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7BC78F">
      <w:pPr>
        <w:shd w:val="clear"/>
        <w:snapToGrid w:val="0"/>
        <w:spacing w:line="360" w:lineRule="auto"/>
        <w:ind w:right="17"/>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p>
    <w:p w14:paraId="2CA6177E">
      <w:pPr>
        <w:widowControl/>
        <w:shd w:val="clear" w:color="auto"/>
        <w:spacing w:line="360" w:lineRule="atLeast"/>
        <w:ind w:firstLine="540"/>
        <w:jc w:val="center"/>
        <w:rPr>
          <w:rFonts w:asciiTheme="minorEastAsia" w:hAnsiTheme="minorEastAsia" w:eastAsiaTheme="minorEastAsia" w:cstheme="minorEastAsia"/>
          <w:bCs/>
          <w:color w:val="auto"/>
          <w:sz w:val="44"/>
          <w:szCs w:val="44"/>
          <w:highlight w:val="none"/>
        </w:rPr>
      </w:pPr>
    </w:p>
    <w:p w14:paraId="280C002D">
      <w:pPr>
        <w:widowControl/>
        <w:shd w:val="clear" w:color="auto"/>
        <w:spacing w:line="360" w:lineRule="atLeast"/>
        <w:ind w:firstLine="540"/>
        <w:jc w:val="center"/>
        <w:rPr>
          <w:rFonts w:asciiTheme="minorEastAsia" w:hAnsiTheme="minorEastAsia" w:eastAsiaTheme="minorEastAsia" w:cstheme="minorEastAsia"/>
          <w:b/>
          <w:color w:val="auto"/>
          <w:kern w:val="0"/>
          <w:sz w:val="72"/>
          <w:szCs w:val="72"/>
          <w:highlight w:val="none"/>
          <w:shd w:val="clear" w:color="auto" w:fill="FFFFFF"/>
        </w:rPr>
      </w:pPr>
    </w:p>
    <w:p w14:paraId="4EAE4890">
      <w:pPr>
        <w:shd w:val="clear"/>
        <w:snapToGrid w:val="0"/>
        <w:spacing w:line="360" w:lineRule="auto"/>
        <w:ind w:right="17"/>
        <w:jc w:val="center"/>
        <w:rPr>
          <w:rFonts w:asciiTheme="minorEastAsia" w:hAnsiTheme="minorEastAsia" w:eastAsiaTheme="minorEastAsia" w:cstheme="minorEastAsia"/>
          <w:b/>
          <w:color w:val="auto"/>
          <w:spacing w:val="60"/>
          <w:sz w:val="84"/>
          <w:szCs w:val="84"/>
          <w:highlight w:val="none"/>
        </w:rPr>
      </w:pPr>
      <w:r>
        <w:rPr>
          <w:rFonts w:hint="eastAsia" w:asciiTheme="minorEastAsia" w:hAnsiTheme="minorEastAsia" w:eastAsiaTheme="minorEastAsia" w:cstheme="minorEastAsia"/>
          <w:b/>
          <w:color w:val="auto"/>
          <w:spacing w:val="60"/>
          <w:sz w:val="84"/>
          <w:szCs w:val="84"/>
          <w:highlight w:val="none"/>
        </w:rPr>
        <w:t>竞争性磋商文件</w:t>
      </w:r>
    </w:p>
    <w:p w14:paraId="2018F05A">
      <w:pPr>
        <w:shd w:val="clear"/>
        <w:snapToGrid w:val="0"/>
        <w:spacing w:line="360" w:lineRule="auto"/>
        <w:ind w:right="17"/>
        <w:jc w:val="left"/>
        <w:rPr>
          <w:rFonts w:asciiTheme="minorEastAsia" w:hAnsiTheme="minorEastAsia" w:eastAsiaTheme="minorEastAsia" w:cstheme="minorEastAsia"/>
          <w:bCs/>
          <w:color w:val="auto"/>
          <w:sz w:val="30"/>
          <w:szCs w:val="30"/>
          <w:highlight w:val="none"/>
        </w:rPr>
      </w:pPr>
    </w:p>
    <w:p w14:paraId="099CED3C">
      <w:pPr>
        <w:shd w:val="clear"/>
        <w:snapToGrid w:val="0"/>
        <w:spacing w:line="360" w:lineRule="auto"/>
        <w:ind w:left="1400" w:right="17" w:hanging="1400" w:hangingChars="500"/>
        <w:jc w:val="left"/>
        <w:rPr>
          <w:rFonts w:hint="eastAsia" w:asciiTheme="minorEastAsia" w:hAnsiTheme="minorEastAsia" w:eastAsiaTheme="minorEastAsia" w:cstheme="minorEastAsia"/>
          <w:bCs/>
          <w:color w:val="auto"/>
          <w:sz w:val="28"/>
          <w:szCs w:val="28"/>
          <w:highlight w:val="none"/>
          <w:lang w:eastAsia="zh-CN"/>
        </w:rPr>
      </w:pPr>
      <w:r>
        <w:rPr>
          <w:rFonts w:hint="eastAsia" w:asciiTheme="minorEastAsia" w:hAnsiTheme="minorEastAsia" w:eastAsiaTheme="minorEastAsia" w:cstheme="minorEastAsia"/>
          <w:bCs/>
          <w:color w:val="auto"/>
          <w:sz w:val="28"/>
          <w:szCs w:val="28"/>
          <w:highlight w:val="none"/>
        </w:rPr>
        <w:t>项目名称：</w:t>
      </w:r>
      <w:r>
        <w:rPr>
          <w:rFonts w:hint="eastAsia" w:asciiTheme="minorEastAsia" w:hAnsiTheme="minorEastAsia" w:eastAsiaTheme="minorEastAsia" w:cstheme="minorEastAsia"/>
          <w:bCs/>
          <w:color w:val="auto"/>
          <w:sz w:val="28"/>
          <w:szCs w:val="28"/>
          <w:highlight w:val="none"/>
          <w:lang w:eastAsia="zh-CN"/>
        </w:rPr>
        <w:t>新疆科技学院经济学院智慧课程建设服务项目</w:t>
      </w:r>
    </w:p>
    <w:p w14:paraId="4422D90F">
      <w:pPr>
        <w:shd w:val="clear"/>
        <w:snapToGrid w:val="0"/>
        <w:spacing w:line="360" w:lineRule="auto"/>
        <w:ind w:right="17"/>
        <w:jc w:val="left"/>
        <w:rPr>
          <w:rFonts w:hint="eastAsia" w:asciiTheme="minorEastAsia" w:hAnsiTheme="minorEastAsia" w:eastAsiaTheme="minorEastAsia" w:cstheme="minorEastAsia"/>
          <w:bCs/>
          <w:color w:val="auto"/>
          <w:sz w:val="28"/>
          <w:szCs w:val="28"/>
          <w:highlight w:val="none"/>
          <w:lang w:eastAsia="zh-CN"/>
        </w:rPr>
      </w:pPr>
      <w:r>
        <w:rPr>
          <w:rFonts w:hint="eastAsia" w:asciiTheme="minorEastAsia" w:hAnsiTheme="minorEastAsia" w:eastAsiaTheme="minorEastAsia" w:cstheme="minorEastAsia"/>
          <w:bCs/>
          <w:color w:val="auto"/>
          <w:sz w:val="28"/>
          <w:szCs w:val="28"/>
          <w:highlight w:val="none"/>
        </w:rPr>
        <w:t>采购项目编号：</w:t>
      </w:r>
      <w:r>
        <w:rPr>
          <w:rFonts w:hint="eastAsia" w:asciiTheme="minorEastAsia" w:hAnsiTheme="minorEastAsia" w:eastAsiaTheme="minorEastAsia" w:cstheme="minorEastAsia"/>
          <w:bCs/>
          <w:color w:val="auto"/>
          <w:sz w:val="28"/>
          <w:szCs w:val="28"/>
          <w:highlight w:val="none"/>
          <w:lang w:eastAsia="zh-CN"/>
        </w:rPr>
        <w:t>XJHY-XJKJXY2024-043</w:t>
      </w:r>
    </w:p>
    <w:p w14:paraId="17A82161">
      <w:pPr>
        <w:pStyle w:val="24"/>
        <w:shd w:val="clear"/>
        <w:tabs>
          <w:tab w:val="left" w:pos="8460"/>
        </w:tabs>
        <w:snapToGrid w:val="0"/>
        <w:spacing w:line="360" w:lineRule="auto"/>
        <w:ind w:right="-334" w:rightChars="-159"/>
        <w:rPr>
          <w:rFonts w:asciiTheme="minorEastAsia" w:hAnsiTheme="minorEastAsia" w:eastAsiaTheme="minorEastAsia" w:cstheme="minorEastAsia"/>
          <w:b/>
          <w:bCs/>
          <w:color w:val="auto"/>
          <w:sz w:val="30"/>
          <w:szCs w:val="30"/>
          <w:highlight w:val="none"/>
        </w:rPr>
      </w:pPr>
    </w:p>
    <w:p w14:paraId="33487533">
      <w:pPr>
        <w:pStyle w:val="24"/>
        <w:shd w:val="clear"/>
        <w:tabs>
          <w:tab w:val="left" w:pos="8460"/>
        </w:tabs>
        <w:snapToGrid w:val="0"/>
        <w:spacing w:line="360" w:lineRule="auto"/>
        <w:ind w:right="-334" w:rightChars="-159"/>
        <w:rPr>
          <w:rFonts w:asciiTheme="minorEastAsia" w:hAnsiTheme="minorEastAsia" w:eastAsiaTheme="minorEastAsia" w:cstheme="minorEastAsia"/>
          <w:b/>
          <w:bCs/>
          <w:color w:val="auto"/>
          <w:sz w:val="30"/>
          <w:szCs w:val="30"/>
          <w:highlight w:val="none"/>
        </w:rPr>
      </w:pPr>
    </w:p>
    <w:p w14:paraId="6D5E8E9E">
      <w:pPr>
        <w:shd w:val="clear"/>
        <w:snapToGrid w:val="0"/>
        <w:spacing w:line="360" w:lineRule="auto"/>
        <w:jc w:val="left"/>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采购人：</w:t>
      </w:r>
      <w:r>
        <w:rPr>
          <w:rFonts w:hint="eastAsia" w:asciiTheme="minorEastAsia" w:hAnsiTheme="minorEastAsia" w:eastAsiaTheme="minorEastAsia" w:cstheme="minorEastAsia"/>
          <w:bCs/>
          <w:color w:val="auto"/>
          <w:sz w:val="28"/>
          <w:szCs w:val="28"/>
          <w:highlight w:val="none"/>
        </w:rPr>
        <w:t>新疆科技学院</w:t>
      </w:r>
    </w:p>
    <w:p w14:paraId="24A75C40">
      <w:pPr>
        <w:shd w:val="clear"/>
        <w:snapToGrid w:val="0"/>
        <w:spacing w:line="360" w:lineRule="auto"/>
        <w:jc w:val="left"/>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rPr>
        <w:t>联系人：</w:t>
      </w:r>
      <w:r>
        <w:rPr>
          <w:rFonts w:hint="eastAsia" w:asciiTheme="minorEastAsia" w:hAnsiTheme="minorEastAsia" w:eastAsiaTheme="minorEastAsia" w:cstheme="minorEastAsia"/>
          <w:color w:val="auto"/>
          <w:sz w:val="28"/>
          <w:szCs w:val="28"/>
          <w:highlight w:val="none"/>
          <w:lang w:val="en-US" w:eastAsia="zh-CN"/>
        </w:rPr>
        <w:t>王老师</w:t>
      </w:r>
    </w:p>
    <w:p w14:paraId="4BA6859A">
      <w:pPr>
        <w:shd w:val="clear"/>
        <w:snapToGrid w:val="0"/>
        <w:spacing w:line="360" w:lineRule="auto"/>
        <w:jc w:val="left"/>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rPr>
        <w:t>联系电话：</w:t>
      </w:r>
      <w:r>
        <w:rPr>
          <w:rFonts w:hint="eastAsia" w:asciiTheme="minorEastAsia" w:hAnsiTheme="minorEastAsia" w:eastAsiaTheme="minorEastAsia" w:cstheme="minorEastAsia"/>
          <w:color w:val="auto"/>
          <w:sz w:val="28"/>
          <w:szCs w:val="28"/>
          <w:highlight w:val="none"/>
          <w:lang w:val="en-US" w:eastAsia="zh-CN"/>
        </w:rPr>
        <w:t>18699616730</w:t>
      </w:r>
    </w:p>
    <w:p w14:paraId="08C1E422">
      <w:pPr>
        <w:shd w:val="clear"/>
        <w:snapToGrid w:val="0"/>
        <w:spacing w:line="360" w:lineRule="auto"/>
        <w:jc w:val="left"/>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地址：库尔勒经济技术开发区金河路360号</w:t>
      </w:r>
    </w:p>
    <w:p w14:paraId="16DF209C">
      <w:pPr>
        <w:shd w:val="clear"/>
        <w:snapToGrid w:val="0"/>
        <w:spacing w:line="360" w:lineRule="auto"/>
        <w:jc w:val="left"/>
        <w:rPr>
          <w:rFonts w:asciiTheme="minorEastAsia" w:hAnsiTheme="minorEastAsia" w:eastAsiaTheme="minorEastAsia" w:cstheme="minorEastAsia"/>
          <w:color w:val="auto"/>
          <w:sz w:val="28"/>
          <w:szCs w:val="28"/>
          <w:highlight w:val="none"/>
        </w:rPr>
      </w:pPr>
    </w:p>
    <w:p w14:paraId="632909AE">
      <w:pPr>
        <w:shd w:val="clear"/>
        <w:snapToGrid w:val="0"/>
        <w:spacing w:line="360" w:lineRule="auto"/>
        <w:jc w:val="left"/>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代理机构：新疆华域建设工程项目管理咨询有限公司</w:t>
      </w:r>
    </w:p>
    <w:p w14:paraId="5573946E">
      <w:pPr>
        <w:shd w:val="clear"/>
        <w:snapToGrid w:val="0"/>
        <w:spacing w:line="360" w:lineRule="auto"/>
        <w:jc w:val="left"/>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联系人：黄工</w:t>
      </w:r>
    </w:p>
    <w:p w14:paraId="106D6C1E">
      <w:pPr>
        <w:shd w:val="clear"/>
        <w:snapToGrid w:val="0"/>
        <w:spacing w:line="360" w:lineRule="auto"/>
        <w:jc w:val="left"/>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联系电话：15609913520</w:t>
      </w:r>
    </w:p>
    <w:p w14:paraId="0CE81FDB">
      <w:pPr>
        <w:shd w:val="clear"/>
        <w:snapToGrid w:val="0"/>
        <w:spacing w:line="360" w:lineRule="auto"/>
        <w:jc w:val="left"/>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地址：新疆乌鲁木齐市水磨沟区五星北路194号新地园大厦1401</w:t>
      </w:r>
    </w:p>
    <w:p w14:paraId="18156889">
      <w:pPr>
        <w:shd w:val="clear"/>
        <w:snapToGrid w:val="0"/>
        <w:spacing w:line="360" w:lineRule="auto"/>
        <w:ind w:right="17" w:firstLine="980" w:firstLineChars="350"/>
        <w:jc w:val="left"/>
        <w:rPr>
          <w:rFonts w:asciiTheme="minorEastAsia" w:hAnsiTheme="minorEastAsia" w:eastAsiaTheme="minorEastAsia" w:cstheme="minorEastAsia"/>
          <w:color w:val="auto"/>
          <w:sz w:val="28"/>
          <w:szCs w:val="28"/>
          <w:highlight w:val="none"/>
        </w:rPr>
      </w:pPr>
    </w:p>
    <w:p w14:paraId="312089AF">
      <w:pPr>
        <w:pStyle w:val="16"/>
        <w:shd w:val="clear"/>
        <w:snapToGrid w:val="0"/>
        <w:spacing w:line="360" w:lineRule="auto"/>
        <w:jc w:val="center"/>
        <w:rPr>
          <w:rFonts w:asciiTheme="minorEastAsia" w:hAnsiTheme="minorEastAsia" w:eastAsiaTheme="minorEastAsia" w:cstheme="minorEastAsia"/>
          <w:color w:val="auto"/>
          <w:sz w:val="30"/>
          <w:szCs w:val="30"/>
          <w:highlight w:val="none"/>
        </w:rPr>
      </w:pPr>
    </w:p>
    <w:p w14:paraId="2A4D0291">
      <w:pPr>
        <w:pStyle w:val="16"/>
        <w:shd w:val="clear"/>
        <w:snapToGrid w:val="0"/>
        <w:spacing w:line="360" w:lineRule="auto"/>
        <w:jc w:val="center"/>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color w:val="auto"/>
          <w:sz w:val="30"/>
          <w:szCs w:val="30"/>
          <w:highlight w:val="none"/>
        </w:rPr>
        <w:t>二〇二</w:t>
      </w:r>
      <w:r>
        <w:rPr>
          <w:rFonts w:hint="eastAsia" w:asciiTheme="minorEastAsia" w:hAnsiTheme="minorEastAsia" w:eastAsiaTheme="minorEastAsia" w:cstheme="minorEastAsia"/>
          <w:color w:val="auto"/>
          <w:sz w:val="30"/>
          <w:szCs w:val="30"/>
          <w:highlight w:val="none"/>
          <w:lang w:val="en-US" w:eastAsia="zh-CN"/>
        </w:rPr>
        <w:t>四</w:t>
      </w:r>
      <w:r>
        <w:rPr>
          <w:rFonts w:hint="eastAsia" w:asciiTheme="minorEastAsia" w:hAnsiTheme="minorEastAsia" w:eastAsiaTheme="minorEastAsia" w:cstheme="minorEastAsia"/>
          <w:color w:val="auto"/>
          <w:sz w:val="30"/>
          <w:szCs w:val="30"/>
          <w:highlight w:val="none"/>
        </w:rPr>
        <w:t>年</w:t>
      </w:r>
      <w:r>
        <w:rPr>
          <w:rFonts w:hint="eastAsia" w:asciiTheme="minorEastAsia" w:hAnsiTheme="minorEastAsia" w:eastAsiaTheme="minorEastAsia" w:cstheme="minorEastAsia"/>
          <w:color w:val="auto"/>
          <w:sz w:val="30"/>
          <w:szCs w:val="30"/>
          <w:highlight w:val="none"/>
          <w:lang w:val="en-US" w:eastAsia="zh-CN"/>
        </w:rPr>
        <w:t>十</w:t>
      </w:r>
      <w:r>
        <w:rPr>
          <w:rFonts w:hint="eastAsia" w:asciiTheme="minorEastAsia" w:hAnsiTheme="minorEastAsia" w:eastAsiaTheme="minorEastAsia" w:cstheme="minorEastAsia"/>
          <w:color w:val="auto"/>
          <w:sz w:val="30"/>
          <w:szCs w:val="30"/>
          <w:highlight w:val="none"/>
        </w:rPr>
        <w:t>月</w:t>
      </w:r>
    </w:p>
    <w:p w14:paraId="0F5C4837">
      <w:pPr>
        <w:shd w:val="clear"/>
        <w:snapToGrid w:val="0"/>
        <w:spacing w:line="360" w:lineRule="auto"/>
        <w:jc w:val="center"/>
        <w:rPr>
          <w:rFonts w:asciiTheme="minorEastAsia" w:hAnsiTheme="minorEastAsia" w:eastAsiaTheme="minorEastAsia" w:cstheme="minorEastAsia"/>
          <w:b/>
          <w:color w:val="auto"/>
          <w:sz w:val="32"/>
          <w:szCs w:val="32"/>
          <w:highlight w:val="none"/>
        </w:rPr>
        <w:sectPr>
          <w:footerReference r:id="rId3" w:type="default"/>
          <w:pgSz w:w="11911" w:h="16838"/>
          <w:pgMar w:top="1440" w:right="1633" w:bottom="1440" w:left="1633" w:header="0" w:footer="879" w:gutter="0"/>
          <w:pgNumType w:fmt="decimal"/>
          <w:cols w:space="720" w:num="1"/>
        </w:sectPr>
      </w:pPr>
    </w:p>
    <w:p w14:paraId="144C9FF2">
      <w:pPr>
        <w:shd w:val="clear"/>
        <w:rPr>
          <w:rFonts w:asciiTheme="minorEastAsia" w:hAnsiTheme="minorEastAsia" w:eastAsiaTheme="minorEastAsia" w:cstheme="minorEastAsia"/>
          <w:color w:val="auto"/>
          <w:highlight w:val="none"/>
        </w:rPr>
      </w:pPr>
    </w:p>
    <w:p w14:paraId="06FB4E65">
      <w:pPr>
        <w:shd w:val="clear"/>
        <w:snapToGrid w:val="0"/>
        <w:spacing w:line="360" w:lineRule="auto"/>
        <w:jc w:val="center"/>
        <w:outlineLvl w:val="0"/>
        <w:rPr>
          <w:rFonts w:asciiTheme="minorEastAsia" w:hAnsiTheme="minorEastAsia" w:eastAsiaTheme="minorEastAsia" w:cstheme="minorEastAsia"/>
          <w:bCs/>
          <w:color w:val="auto"/>
          <w:sz w:val="30"/>
          <w:szCs w:val="30"/>
          <w:highlight w:val="none"/>
        </w:rPr>
      </w:pPr>
      <w:r>
        <w:rPr>
          <w:rFonts w:hint="eastAsia" w:asciiTheme="minorEastAsia" w:hAnsiTheme="minorEastAsia" w:eastAsiaTheme="minorEastAsia" w:cstheme="minorEastAsia"/>
          <w:bCs/>
          <w:color w:val="auto"/>
          <w:sz w:val="30"/>
          <w:szCs w:val="30"/>
          <w:highlight w:val="none"/>
        </w:rPr>
        <w:t>目 录</w:t>
      </w:r>
    </w:p>
    <w:p w14:paraId="74A1AD99">
      <w:pPr>
        <w:pStyle w:val="8"/>
        <w:shd w:val="clear"/>
        <w:ind w:firstLine="0"/>
        <w:rPr>
          <w:rFonts w:asciiTheme="minorEastAsia" w:hAnsiTheme="minorEastAsia" w:eastAsiaTheme="minorEastAsia" w:cstheme="minorEastAsia"/>
          <w:color w:val="auto"/>
          <w:highlight w:val="none"/>
        </w:rPr>
      </w:pPr>
    </w:p>
    <w:p w14:paraId="70499885">
      <w:pPr>
        <w:pStyle w:val="98"/>
        <w:shd w:val="clear"/>
        <w:tabs>
          <w:tab w:val="right" w:leader="dot" w:pos="8305"/>
        </w:tabs>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4"/>
          <w:highlight w:val="none"/>
        </w:rPr>
        <w:fldChar w:fldCharType="begin"/>
      </w:r>
      <w:r>
        <w:rPr>
          <w:rFonts w:hint="eastAsia" w:asciiTheme="minorEastAsia" w:hAnsiTheme="minorEastAsia" w:eastAsiaTheme="minorEastAsia" w:cstheme="minorEastAsia"/>
          <w:color w:val="auto"/>
          <w:szCs w:val="24"/>
          <w:highlight w:val="none"/>
        </w:rPr>
        <w:instrText xml:space="preserve">TOC \o "1-1" \h \u </w:instrText>
      </w:r>
      <w:r>
        <w:rPr>
          <w:rFonts w:hint="eastAsia" w:asciiTheme="minorEastAsia" w:hAnsiTheme="minorEastAsia" w:eastAsiaTheme="minorEastAsia" w:cstheme="minorEastAsia"/>
          <w:color w:val="auto"/>
          <w:szCs w:val="24"/>
          <w:highlight w:val="none"/>
        </w:rPr>
        <w:fldChar w:fldCharType="separate"/>
      </w:r>
    </w:p>
    <w:p w14:paraId="1237A5E2">
      <w:pPr>
        <w:pStyle w:val="98"/>
        <w:shd w:val="clear"/>
        <w:tabs>
          <w:tab w:val="right" w:leader="dot" w:pos="8305"/>
        </w:tabs>
        <w:spacing w:line="480" w:lineRule="auto"/>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"_Toc22261"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第一部分  竞争性磋商公告</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_Toc22261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- 1 -</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66CDB55B">
      <w:pPr>
        <w:pStyle w:val="98"/>
        <w:shd w:val="clear"/>
        <w:tabs>
          <w:tab w:val="right" w:leader="dot" w:pos="8305"/>
        </w:tabs>
        <w:spacing w:line="480" w:lineRule="auto"/>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"_Toc24415"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第二部分  供应商须知前附表</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_Toc24415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- 4 -</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31041E6E">
      <w:pPr>
        <w:pStyle w:val="98"/>
        <w:shd w:val="clear"/>
        <w:tabs>
          <w:tab w:val="right" w:leader="dot" w:pos="8305"/>
        </w:tabs>
        <w:spacing w:line="480" w:lineRule="auto"/>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"_Toc3729"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第三部分  采购合同</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_Toc3729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- 3</w:t>
      </w:r>
      <w:r>
        <w:rPr>
          <w:rFonts w:hint="eastAsia" w:asciiTheme="minorEastAsia" w:hAnsiTheme="minorEastAsia" w:eastAsiaTheme="minorEastAsia" w:cstheme="minorEastAsia"/>
          <w:color w:val="auto"/>
          <w:sz w:val="28"/>
          <w:szCs w:val="28"/>
          <w:highlight w:val="none"/>
          <w:lang w:val="en-US" w:eastAsia="zh-CN"/>
        </w:rPr>
        <w:t>1</w:t>
      </w:r>
      <w:r>
        <w:rPr>
          <w:rFonts w:hint="eastAsia" w:asciiTheme="minorEastAsia" w:hAnsiTheme="minorEastAsia" w:eastAsiaTheme="minorEastAsia" w:cstheme="minorEastAsia"/>
          <w:color w:val="auto"/>
          <w:sz w:val="28"/>
          <w:szCs w:val="28"/>
          <w:highlight w:val="none"/>
        </w:rPr>
        <w:t xml:space="preserve"> -</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47EDD81D">
      <w:pPr>
        <w:pStyle w:val="98"/>
        <w:shd w:val="clear"/>
        <w:tabs>
          <w:tab w:val="right" w:leader="dot" w:pos="8305"/>
        </w:tabs>
        <w:spacing w:line="480" w:lineRule="auto"/>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"_Toc9739"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第四部分  采购需求</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_Toc9739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 xml:space="preserve">- </w:t>
      </w:r>
      <w:r>
        <w:rPr>
          <w:rFonts w:hint="eastAsia" w:asciiTheme="minorEastAsia" w:hAnsiTheme="minorEastAsia" w:eastAsiaTheme="minorEastAsia" w:cstheme="minorEastAsia"/>
          <w:color w:val="auto"/>
          <w:sz w:val="28"/>
          <w:szCs w:val="28"/>
          <w:highlight w:val="none"/>
          <w:lang w:val="en-US" w:eastAsia="zh-CN"/>
        </w:rPr>
        <w:t>47</w:t>
      </w:r>
      <w:r>
        <w:rPr>
          <w:rFonts w:hint="eastAsia" w:asciiTheme="minorEastAsia" w:hAnsiTheme="minorEastAsia" w:eastAsiaTheme="minorEastAsia" w:cstheme="minorEastAsia"/>
          <w:color w:val="auto"/>
          <w:sz w:val="28"/>
          <w:szCs w:val="28"/>
          <w:highlight w:val="none"/>
        </w:rPr>
        <w:t xml:space="preserve"> -</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231536A8">
      <w:pPr>
        <w:pStyle w:val="98"/>
        <w:shd w:val="clear"/>
        <w:tabs>
          <w:tab w:val="right" w:leader="dot" w:pos="8305"/>
        </w:tabs>
        <w:spacing w:line="480" w:lineRule="auto"/>
        <w:rPr>
          <w:rFonts w:asciiTheme="minorEastAsia" w:hAnsiTheme="minorEastAsia" w:eastAsiaTheme="minorEastAsia" w:cstheme="minorEastAsia"/>
          <w:b/>
          <w:bCs/>
          <w:color w:val="auto"/>
          <w:sz w:val="28"/>
          <w:szCs w:val="28"/>
          <w:highlight w:val="none"/>
        </w:rPr>
      </w:pPr>
      <w:r>
        <w:rPr>
          <w:color w:val="auto"/>
          <w:highlight w:val="none"/>
        </w:rPr>
        <w:fldChar w:fldCharType="begin"/>
      </w:r>
      <w:r>
        <w:rPr>
          <w:color w:val="auto"/>
          <w:highlight w:val="none"/>
        </w:rPr>
        <w:instrText xml:space="preserve"> HYPERLINK \l "_Toc20810"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第五部分  磋商响应文件格式</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_Toc20810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 xml:space="preserve">- </w:t>
      </w:r>
      <w:r>
        <w:rPr>
          <w:rFonts w:hint="eastAsia" w:asciiTheme="minorEastAsia" w:hAnsiTheme="minorEastAsia" w:eastAsiaTheme="minorEastAsia" w:cstheme="minorEastAsia"/>
          <w:color w:val="auto"/>
          <w:sz w:val="28"/>
          <w:szCs w:val="28"/>
          <w:highlight w:val="none"/>
          <w:lang w:val="en-US" w:eastAsia="zh-CN"/>
        </w:rPr>
        <w:t>71</w:t>
      </w:r>
      <w:bookmarkStart w:id="179" w:name="_GoBack"/>
      <w:bookmarkEnd w:id="179"/>
      <w:r>
        <w:rPr>
          <w:rFonts w:hint="eastAsia" w:asciiTheme="minorEastAsia" w:hAnsiTheme="minorEastAsia" w:eastAsiaTheme="minorEastAsia" w:cstheme="minorEastAsia"/>
          <w:color w:val="auto"/>
          <w:sz w:val="28"/>
          <w:szCs w:val="28"/>
          <w:highlight w:val="none"/>
        </w:rPr>
        <w:t xml:space="preserve"> -</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74CA293A">
      <w:pPr>
        <w:pStyle w:val="98"/>
        <w:shd w:val="clear"/>
        <w:tabs>
          <w:tab w:val="right" w:leader="dot" w:pos="8305"/>
        </w:tabs>
        <w:rPr>
          <w:rFonts w:asciiTheme="minorEastAsia" w:hAnsiTheme="minorEastAsia" w:eastAsiaTheme="minorEastAsia" w:cstheme="minorEastAsia"/>
          <w:color w:val="auto"/>
          <w:highlight w:val="none"/>
        </w:rPr>
      </w:pPr>
    </w:p>
    <w:p w14:paraId="602EFFB6">
      <w:pPr>
        <w:pStyle w:val="98"/>
        <w:shd w:val="clear"/>
        <w:tabs>
          <w:tab w:val="right" w:leader="dot" w:pos="8305"/>
        </w:tabs>
        <w:rPr>
          <w:rFonts w:asciiTheme="minorEastAsia" w:hAnsiTheme="minorEastAsia" w:eastAsiaTheme="minorEastAsia" w:cstheme="minorEastAsia"/>
          <w:color w:val="auto"/>
          <w:highlight w:val="none"/>
        </w:rPr>
      </w:pPr>
    </w:p>
    <w:p w14:paraId="7E824552">
      <w:pPr>
        <w:shd w:val="clear"/>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fldChar w:fldCharType="end"/>
      </w:r>
    </w:p>
    <w:p w14:paraId="37ABC3C9">
      <w:pPr>
        <w:shd w:val="clear"/>
        <w:rPr>
          <w:rFonts w:asciiTheme="minorEastAsia" w:hAnsiTheme="minorEastAsia" w:eastAsiaTheme="minorEastAsia" w:cstheme="minorEastAsia"/>
          <w:color w:val="auto"/>
          <w:highlight w:val="none"/>
        </w:rPr>
      </w:pPr>
    </w:p>
    <w:p w14:paraId="7A0E1BEE">
      <w:pPr>
        <w:shd w:val="clear"/>
        <w:rPr>
          <w:rFonts w:asciiTheme="minorEastAsia" w:hAnsiTheme="minorEastAsia" w:eastAsiaTheme="minorEastAsia" w:cstheme="minorEastAsia"/>
          <w:color w:val="auto"/>
          <w:highlight w:val="none"/>
        </w:rPr>
      </w:pPr>
    </w:p>
    <w:p w14:paraId="323362CA">
      <w:pPr>
        <w:shd w:val="clear"/>
        <w:snapToGrid w:val="0"/>
        <w:spacing w:line="360"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ab/>
      </w:r>
    </w:p>
    <w:p w14:paraId="41E1C699">
      <w:pPr>
        <w:shd w:val="clear"/>
        <w:snapToGrid w:val="0"/>
        <w:spacing w:line="360" w:lineRule="auto"/>
        <w:rPr>
          <w:rFonts w:asciiTheme="minorEastAsia" w:hAnsiTheme="minorEastAsia" w:eastAsiaTheme="minorEastAsia" w:cstheme="minorEastAsia"/>
          <w:bCs/>
          <w:color w:val="auto"/>
          <w:sz w:val="36"/>
          <w:szCs w:val="36"/>
          <w:highlight w:val="none"/>
        </w:rPr>
      </w:pPr>
    </w:p>
    <w:p w14:paraId="702AAA37">
      <w:pPr>
        <w:shd w:val="clear"/>
        <w:snapToGrid w:val="0"/>
        <w:spacing w:line="360" w:lineRule="auto"/>
        <w:rPr>
          <w:rFonts w:asciiTheme="minorEastAsia" w:hAnsiTheme="minorEastAsia" w:eastAsiaTheme="minorEastAsia" w:cstheme="minorEastAsia"/>
          <w:bCs/>
          <w:color w:val="auto"/>
          <w:sz w:val="36"/>
          <w:szCs w:val="36"/>
          <w:highlight w:val="none"/>
        </w:rPr>
      </w:pPr>
    </w:p>
    <w:p w14:paraId="0FFC1669">
      <w:pPr>
        <w:shd w:val="clear"/>
        <w:snapToGrid w:val="0"/>
        <w:spacing w:line="360" w:lineRule="auto"/>
        <w:rPr>
          <w:rFonts w:asciiTheme="minorEastAsia" w:hAnsiTheme="minorEastAsia" w:eastAsiaTheme="minorEastAsia" w:cstheme="minorEastAsia"/>
          <w:bCs/>
          <w:color w:val="auto"/>
          <w:sz w:val="36"/>
          <w:szCs w:val="36"/>
          <w:highlight w:val="none"/>
        </w:rPr>
      </w:pPr>
    </w:p>
    <w:p w14:paraId="32487A75">
      <w:pPr>
        <w:shd w:val="clear"/>
        <w:snapToGrid w:val="0"/>
        <w:spacing w:line="360" w:lineRule="auto"/>
        <w:jc w:val="center"/>
        <w:outlineLvl w:val="0"/>
        <w:rPr>
          <w:rFonts w:asciiTheme="minorEastAsia" w:hAnsiTheme="minorEastAsia" w:eastAsiaTheme="minorEastAsia" w:cstheme="minorEastAsia"/>
          <w:b/>
          <w:color w:val="auto"/>
          <w:sz w:val="30"/>
          <w:szCs w:val="30"/>
          <w:highlight w:val="none"/>
        </w:rPr>
        <w:sectPr>
          <w:headerReference r:id="rId5" w:type="first"/>
          <w:footerReference r:id="rId7" w:type="first"/>
          <w:headerReference r:id="rId4" w:type="default"/>
          <w:footerReference r:id="rId6" w:type="default"/>
          <w:pgSz w:w="11911" w:h="16838"/>
          <w:pgMar w:top="1440" w:right="1633" w:bottom="1440" w:left="1633" w:header="0" w:footer="879" w:gutter="0"/>
          <w:pgNumType w:fmt="decimal" w:start="1"/>
          <w:cols w:space="720" w:num="1"/>
          <w:docGrid w:linePitch="312" w:charSpace="0"/>
        </w:sectPr>
      </w:pPr>
      <w:bookmarkStart w:id="0" w:name="_Toc22261"/>
      <w:bookmarkStart w:id="1" w:name="_Toc21101"/>
    </w:p>
    <w:p w14:paraId="507F53D3">
      <w:pPr>
        <w:shd w:val="clear"/>
        <w:snapToGrid w:val="0"/>
        <w:spacing w:line="360" w:lineRule="auto"/>
        <w:jc w:val="center"/>
        <w:outlineLvl w:val="0"/>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30"/>
          <w:szCs w:val="30"/>
          <w:highlight w:val="none"/>
        </w:rPr>
        <w:t>第一部分   竞争性磋商公告</w:t>
      </w:r>
      <w:bookmarkEnd w:id="0"/>
      <w:bookmarkEnd w:id="1"/>
    </w:p>
    <w:p w14:paraId="471C6877">
      <w:pPr>
        <w:pStyle w:val="3"/>
        <w:widowControl/>
        <w:shd w:val="clear"/>
        <w:jc w:val="center"/>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lang w:eastAsia="zh-CN"/>
        </w:rPr>
        <w:t>新疆科技学院经济学院智慧课程建设服务项目</w:t>
      </w:r>
      <w:r>
        <w:rPr>
          <w:rFonts w:hint="eastAsia" w:asciiTheme="minorEastAsia" w:hAnsiTheme="minorEastAsia" w:eastAsiaTheme="minorEastAsia" w:cstheme="minorEastAsia"/>
          <w:color w:val="auto"/>
          <w:sz w:val="32"/>
          <w:szCs w:val="32"/>
          <w:highlight w:val="none"/>
        </w:rPr>
        <w:t>竞争性磋商公告</w:t>
      </w:r>
    </w:p>
    <w:p w14:paraId="1DB11A97">
      <w:pPr>
        <w:widowControl/>
        <w:shd w:val="clear"/>
        <w:spacing w:before="100" w:beforeAutospacing="1" w:after="100" w:afterAutospacing="1"/>
        <w:ind w:right="720"/>
        <w:jc w:val="left"/>
        <w:rPr>
          <w:rFonts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项目概况</w:t>
      </w:r>
    </w:p>
    <w:p w14:paraId="497D9289">
      <w:pPr>
        <w:widowControl/>
        <w:shd w:val="clear"/>
        <w:spacing w:before="100" w:beforeAutospacing="1" w:after="100" w:afterAutospacing="1" w:line="360" w:lineRule="auto"/>
        <w:ind w:right="720" w:firstLine="480" w:firstLineChars="200"/>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eastAsia="zh-CN"/>
        </w:rPr>
        <w:t>新疆科技学院经济学院智慧课程建设服务项目</w:t>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color w:val="auto"/>
          <w:kern w:val="0"/>
          <w:sz w:val="24"/>
          <w:szCs w:val="24"/>
          <w:highlight w:val="none"/>
        </w:rPr>
        <w:t>的潜在供应商应在线上获取采购文件，并于</w:t>
      </w:r>
      <w:r>
        <w:rPr>
          <w:rFonts w:hint="eastAsia" w:asciiTheme="minorEastAsia" w:hAnsiTheme="minorEastAsia" w:eastAsiaTheme="minorEastAsia" w:cstheme="minorEastAsia"/>
          <w:color w:val="auto"/>
          <w:kern w:val="0"/>
          <w:sz w:val="24"/>
          <w:szCs w:val="24"/>
          <w:highlight w:val="none"/>
          <w:lang w:eastAsia="zh-CN"/>
        </w:rPr>
        <w:t>2024年11月4日16点30分</w:t>
      </w:r>
      <w:r>
        <w:rPr>
          <w:rFonts w:hint="eastAsia" w:asciiTheme="minorEastAsia" w:hAnsiTheme="minorEastAsia" w:eastAsiaTheme="minorEastAsia" w:cstheme="minorEastAsia"/>
          <w:color w:val="auto"/>
          <w:kern w:val="0"/>
          <w:sz w:val="24"/>
          <w:szCs w:val="24"/>
          <w:highlight w:val="none"/>
        </w:rPr>
        <w:t>（北京时间）前提交响应文件。</w:t>
      </w:r>
    </w:p>
    <w:p w14:paraId="0A0269F4">
      <w:pPr>
        <w:widowControl/>
        <w:shd w:val="clear"/>
        <w:spacing w:before="100" w:beforeAutospacing="1" w:after="100" w:afterAutospacing="1"/>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一、项目基本情况</w:t>
      </w:r>
    </w:p>
    <w:p w14:paraId="3DEE62FE">
      <w:pPr>
        <w:widowControl/>
        <w:shd w:val="clear"/>
        <w:spacing w:before="100" w:beforeAutospacing="1" w:after="100" w:afterAutospacing="1"/>
        <w:jc w:val="left"/>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项目编号：</w:t>
      </w:r>
      <w:r>
        <w:rPr>
          <w:rFonts w:hint="eastAsia" w:asciiTheme="minorEastAsia" w:hAnsiTheme="minorEastAsia" w:eastAsiaTheme="minorEastAsia" w:cstheme="minorEastAsia"/>
          <w:color w:val="auto"/>
          <w:kern w:val="0"/>
          <w:sz w:val="24"/>
          <w:szCs w:val="24"/>
          <w:highlight w:val="none"/>
          <w:lang w:eastAsia="zh-CN"/>
        </w:rPr>
        <w:t>XJHY-XJKJXY2024-043</w:t>
      </w:r>
    </w:p>
    <w:p w14:paraId="7780C7C1">
      <w:pPr>
        <w:widowControl/>
        <w:shd w:val="clear"/>
        <w:spacing w:before="100" w:beforeAutospacing="1" w:after="100" w:afterAutospacing="1"/>
        <w:jc w:val="left"/>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项目名称：</w:t>
      </w:r>
      <w:r>
        <w:rPr>
          <w:rFonts w:hint="eastAsia" w:asciiTheme="minorEastAsia" w:hAnsiTheme="minorEastAsia" w:eastAsiaTheme="minorEastAsia" w:cstheme="minorEastAsia"/>
          <w:color w:val="auto"/>
          <w:kern w:val="0"/>
          <w:sz w:val="24"/>
          <w:szCs w:val="24"/>
          <w:highlight w:val="none"/>
          <w:lang w:eastAsia="zh-CN"/>
        </w:rPr>
        <w:t>新疆科技学院经济学院智慧课程建设服务项目</w:t>
      </w:r>
    </w:p>
    <w:p w14:paraId="4291FE2F">
      <w:pPr>
        <w:widowControl/>
        <w:shd w:val="clear"/>
        <w:spacing w:before="100" w:beforeAutospacing="1" w:after="100" w:afterAutospacing="1"/>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采购方式：竞争性磋商</w:t>
      </w:r>
    </w:p>
    <w:p w14:paraId="28E0A878">
      <w:pPr>
        <w:widowControl/>
        <w:shd w:val="clear"/>
        <w:spacing w:before="100" w:beforeAutospacing="1" w:after="100" w:afterAutospacing="1"/>
        <w:jc w:val="left"/>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预算金额（元）：</w:t>
      </w:r>
      <w:r>
        <w:rPr>
          <w:rFonts w:hint="eastAsia" w:asciiTheme="minorEastAsia" w:hAnsiTheme="minorEastAsia" w:eastAsiaTheme="minorEastAsia" w:cstheme="minorEastAsia"/>
          <w:color w:val="auto"/>
          <w:kern w:val="0"/>
          <w:sz w:val="24"/>
          <w:szCs w:val="24"/>
          <w:highlight w:val="none"/>
          <w:lang w:eastAsia="zh-CN"/>
        </w:rPr>
        <w:t>480000</w:t>
      </w:r>
      <w:r>
        <w:rPr>
          <w:rFonts w:hint="eastAsia" w:asciiTheme="minorEastAsia" w:hAnsiTheme="minorEastAsia" w:eastAsiaTheme="minorEastAsia" w:cstheme="minorEastAsia"/>
          <w:color w:val="auto"/>
          <w:kern w:val="0"/>
          <w:sz w:val="24"/>
          <w:szCs w:val="24"/>
          <w:highlight w:val="none"/>
          <w:lang w:val="en-US" w:eastAsia="zh-CN"/>
        </w:rPr>
        <w:t>.00</w:t>
      </w:r>
    </w:p>
    <w:p w14:paraId="3A5626ED">
      <w:pPr>
        <w:widowControl/>
        <w:shd w:val="clear"/>
        <w:spacing w:before="100" w:beforeAutospacing="1" w:after="100" w:afterAutospacing="1"/>
        <w:jc w:val="left"/>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最高限价（元）：</w:t>
      </w:r>
      <w:r>
        <w:rPr>
          <w:rFonts w:hint="eastAsia" w:asciiTheme="minorEastAsia" w:hAnsiTheme="minorEastAsia" w:eastAsiaTheme="minorEastAsia" w:cstheme="minorEastAsia"/>
          <w:color w:val="auto"/>
          <w:kern w:val="0"/>
          <w:sz w:val="24"/>
          <w:szCs w:val="24"/>
          <w:highlight w:val="none"/>
          <w:lang w:eastAsia="zh-CN"/>
        </w:rPr>
        <w:t>480000</w:t>
      </w:r>
      <w:r>
        <w:rPr>
          <w:rFonts w:hint="eastAsia" w:asciiTheme="minorEastAsia" w:hAnsiTheme="minorEastAsia" w:eastAsiaTheme="minorEastAsia" w:cstheme="minorEastAsia"/>
          <w:color w:val="auto"/>
          <w:kern w:val="0"/>
          <w:sz w:val="24"/>
          <w:szCs w:val="24"/>
          <w:highlight w:val="none"/>
          <w:lang w:val="en-US" w:eastAsia="zh-CN"/>
        </w:rPr>
        <w:t>.00</w:t>
      </w:r>
    </w:p>
    <w:p w14:paraId="2EF482FD">
      <w:pPr>
        <w:widowControl/>
        <w:shd w:val="clear"/>
        <w:spacing w:before="100" w:beforeAutospacing="1" w:after="100" w:afterAutospacing="1"/>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采购需求：详见磋商文件</w:t>
      </w:r>
    </w:p>
    <w:p w14:paraId="4FF223F0">
      <w:pPr>
        <w:shd w:val="clear"/>
        <w:spacing w:line="360" w:lineRule="auto"/>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合同履行期限：详见磋商文件</w:t>
      </w:r>
    </w:p>
    <w:p w14:paraId="4C6382F6">
      <w:pPr>
        <w:widowControl/>
        <w:shd w:val="clear"/>
        <w:spacing w:before="100" w:beforeAutospacing="1" w:after="100" w:afterAutospacing="1"/>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本项目(不接受)联合体投标。</w:t>
      </w:r>
    </w:p>
    <w:p w14:paraId="27F5B1F9">
      <w:pPr>
        <w:widowControl/>
        <w:shd w:val="clear"/>
        <w:spacing w:before="100" w:beforeAutospacing="1" w:after="100" w:afterAutospacing="1"/>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二、申请人的资格要求：</w:t>
      </w:r>
    </w:p>
    <w:p w14:paraId="633A457D">
      <w:pPr>
        <w:shd w:val="clea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1.满足《中华人民共和国政府采购法》第二十二条规定；</w:t>
      </w:r>
    </w:p>
    <w:p w14:paraId="61182FB8">
      <w:pPr>
        <w:shd w:val="clear"/>
        <w:spacing w:line="360" w:lineRule="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2.落实政府采购政策需满足的资格要求：</w:t>
      </w:r>
      <w:r>
        <w:rPr>
          <w:rFonts w:hint="eastAsia" w:asciiTheme="minorEastAsia" w:hAnsiTheme="minorEastAsia" w:eastAsiaTheme="minorEastAsia" w:cstheme="minorEastAsia"/>
          <w:color w:val="auto"/>
          <w:sz w:val="24"/>
          <w:szCs w:val="24"/>
          <w:highlight w:val="none"/>
          <w:lang w:eastAsia="zh-CN"/>
        </w:rPr>
        <w:t>本项目专门面向中小企业</w:t>
      </w:r>
    </w:p>
    <w:p w14:paraId="30A30785">
      <w:pPr>
        <w:numPr>
          <w:ilvl w:val="0"/>
          <w:numId w:val="1"/>
        </w:numPr>
        <w:shd w:val="clea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本项目的特定资格要求：</w:t>
      </w:r>
    </w:p>
    <w:p w14:paraId="66122169">
      <w:pPr>
        <w:shd w:val="clea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（1）、供应商须是中华人民共和国境内注册的，具有有效的营业执照；</w:t>
      </w:r>
    </w:p>
    <w:p w14:paraId="54C56BA7">
      <w:pPr>
        <w:shd w:val="clea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供应商不得为“信用中国网站（www.creditchina.gov.cn）中列入失信被执行人和税收违法黑名单的供应商，不得为中国政府采购网（www.ccgp.gov.cn）政府采购严重违法失信行为记录名单中被财政部门禁止参加政府采购活动的供应商。</w:t>
      </w:r>
    </w:p>
    <w:p w14:paraId="16B053C3">
      <w:pPr>
        <w:widowControl/>
        <w:shd w:val="clear"/>
        <w:spacing w:before="100" w:beforeAutospacing="1" w:after="100" w:afterAutospacing="1"/>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三、获取招标文件</w:t>
      </w:r>
    </w:p>
    <w:p w14:paraId="6B6EB21C">
      <w:pPr>
        <w:widowControl/>
        <w:shd w:val="clear"/>
        <w:spacing w:before="100" w:beforeAutospacing="1" w:after="100" w:afterAutospacing="1"/>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时间：202</w:t>
      </w:r>
      <w:r>
        <w:rPr>
          <w:rFonts w:hint="eastAsia" w:asciiTheme="minorEastAsia" w:hAnsiTheme="minorEastAsia" w:eastAsiaTheme="minorEastAsia" w:cstheme="minorEastAsia"/>
          <w:color w:val="auto"/>
          <w:kern w:val="0"/>
          <w:sz w:val="24"/>
          <w:szCs w:val="24"/>
          <w:highlight w:val="none"/>
          <w:lang w:val="en-US" w:eastAsia="zh-CN"/>
        </w:rPr>
        <w:t>4</w:t>
      </w:r>
      <w:r>
        <w:rPr>
          <w:rFonts w:hint="eastAsia" w:asciiTheme="minorEastAsia" w:hAnsiTheme="minorEastAsia" w:eastAsiaTheme="minorEastAsia" w:cstheme="minorEastAsia"/>
          <w:color w:val="auto"/>
          <w:kern w:val="0"/>
          <w:sz w:val="24"/>
          <w:szCs w:val="24"/>
          <w:highlight w:val="none"/>
        </w:rPr>
        <w:t>年</w:t>
      </w:r>
      <w:r>
        <w:rPr>
          <w:rFonts w:hint="eastAsia" w:asciiTheme="minorEastAsia" w:hAnsiTheme="minorEastAsia" w:eastAsiaTheme="minorEastAsia" w:cstheme="minorEastAsia"/>
          <w:color w:val="auto"/>
          <w:kern w:val="0"/>
          <w:sz w:val="24"/>
          <w:szCs w:val="24"/>
          <w:highlight w:val="none"/>
          <w:lang w:val="en-US" w:eastAsia="zh-CN"/>
        </w:rPr>
        <w:t>10</w:t>
      </w:r>
      <w:r>
        <w:rPr>
          <w:rFonts w:hint="eastAsia" w:asciiTheme="minorEastAsia" w:hAnsiTheme="minorEastAsia" w:eastAsiaTheme="minorEastAsia" w:cstheme="minorEastAsia"/>
          <w:color w:val="auto"/>
          <w:kern w:val="0"/>
          <w:sz w:val="24"/>
          <w:szCs w:val="24"/>
          <w:highlight w:val="none"/>
        </w:rPr>
        <w:t>月</w:t>
      </w:r>
      <w:r>
        <w:rPr>
          <w:rFonts w:hint="eastAsia" w:asciiTheme="minorEastAsia" w:hAnsiTheme="minorEastAsia" w:eastAsiaTheme="minorEastAsia" w:cstheme="minorEastAsia"/>
          <w:color w:val="auto"/>
          <w:kern w:val="0"/>
          <w:sz w:val="24"/>
          <w:szCs w:val="24"/>
          <w:highlight w:val="none"/>
          <w:lang w:val="en-US" w:eastAsia="zh-CN"/>
        </w:rPr>
        <w:t>23</w:t>
      </w:r>
      <w:r>
        <w:rPr>
          <w:rFonts w:hint="eastAsia" w:asciiTheme="minorEastAsia" w:hAnsiTheme="minorEastAsia" w:eastAsiaTheme="minorEastAsia" w:cstheme="minorEastAsia"/>
          <w:color w:val="auto"/>
          <w:kern w:val="0"/>
          <w:sz w:val="24"/>
          <w:szCs w:val="24"/>
          <w:highlight w:val="none"/>
        </w:rPr>
        <w:t>日至202</w:t>
      </w:r>
      <w:r>
        <w:rPr>
          <w:rFonts w:hint="eastAsia" w:asciiTheme="minorEastAsia" w:hAnsiTheme="minorEastAsia" w:eastAsiaTheme="minorEastAsia" w:cstheme="minorEastAsia"/>
          <w:color w:val="auto"/>
          <w:kern w:val="0"/>
          <w:sz w:val="24"/>
          <w:szCs w:val="24"/>
          <w:highlight w:val="none"/>
          <w:lang w:val="en-US" w:eastAsia="zh-CN"/>
        </w:rPr>
        <w:t>4</w:t>
      </w:r>
      <w:r>
        <w:rPr>
          <w:rFonts w:hint="eastAsia" w:asciiTheme="minorEastAsia" w:hAnsiTheme="minorEastAsia" w:eastAsiaTheme="minorEastAsia" w:cstheme="minorEastAsia"/>
          <w:color w:val="auto"/>
          <w:kern w:val="0"/>
          <w:sz w:val="24"/>
          <w:szCs w:val="24"/>
          <w:highlight w:val="none"/>
        </w:rPr>
        <w:t>年</w:t>
      </w:r>
      <w:r>
        <w:rPr>
          <w:rFonts w:hint="eastAsia" w:asciiTheme="minorEastAsia" w:hAnsiTheme="minorEastAsia" w:eastAsiaTheme="minorEastAsia" w:cstheme="minorEastAsia"/>
          <w:color w:val="auto"/>
          <w:kern w:val="0"/>
          <w:sz w:val="24"/>
          <w:szCs w:val="24"/>
          <w:highlight w:val="none"/>
          <w:lang w:val="en-US" w:eastAsia="zh-CN"/>
        </w:rPr>
        <w:t>10</w:t>
      </w:r>
      <w:r>
        <w:rPr>
          <w:rFonts w:hint="eastAsia" w:asciiTheme="minorEastAsia" w:hAnsiTheme="minorEastAsia" w:eastAsiaTheme="minorEastAsia" w:cstheme="minorEastAsia"/>
          <w:color w:val="auto"/>
          <w:kern w:val="0"/>
          <w:sz w:val="24"/>
          <w:szCs w:val="24"/>
          <w:highlight w:val="none"/>
        </w:rPr>
        <w:t>月</w:t>
      </w:r>
      <w:r>
        <w:rPr>
          <w:rFonts w:hint="eastAsia" w:asciiTheme="minorEastAsia" w:hAnsiTheme="minorEastAsia" w:eastAsiaTheme="minorEastAsia" w:cstheme="minorEastAsia"/>
          <w:color w:val="auto"/>
          <w:kern w:val="0"/>
          <w:sz w:val="24"/>
          <w:szCs w:val="24"/>
          <w:highlight w:val="none"/>
          <w:lang w:val="en-US" w:eastAsia="zh-CN"/>
        </w:rPr>
        <w:t>29</w:t>
      </w:r>
      <w:r>
        <w:rPr>
          <w:rFonts w:hint="eastAsia" w:asciiTheme="minorEastAsia" w:hAnsiTheme="minorEastAsia" w:eastAsiaTheme="minorEastAsia" w:cstheme="minorEastAsia"/>
          <w:color w:val="auto"/>
          <w:kern w:val="0"/>
          <w:sz w:val="24"/>
          <w:szCs w:val="24"/>
          <w:highlight w:val="none"/>
        </w:rPr>
        <w:t>日，每天上午</w:t>
      </w:r>
      <w:r>
        <w:rPr>
          <w:rFonts w:hint="eastAsia" w:asciiTheme="minorEastAsia" w:hAnsiTheme="minorEastAsia" w:eastAsiaTheme="minorEastAsia" w:cstheme="minorEastAsia"/>
          <w:color w:val="auto"/>
          <w:kern w:val="0"/>
          <w:sz w:val="24"/>
          <w:szCs w:val="24"/>
          <w:highlight w:val="none"/>
          <w:lang w:val="en-US" w:eastAsia="zh-CN"/>
        </w:rPr>
        <w:t>00</w:t>
      </w:r>
      <w:r>
        <w:rPr>
          <w:rFonts w:hint="eastAsia" w:asciiTheme="minorEastAsia" w:hAnsiTheme="minorEastAsia" w:eastAsiaTheme="minorEastAsia" w:cstheme="minorEastAsia"/>
          <w:color w:val="auto"/>
          <w:kern w:val="0"/>
          <w:sz w:val="24"/>
          <w:szCs w:val="24"/>
          <w:highlight w:val="none"/>
        </w:rPr>
        <w:t>:00至1</w:t>
      </w:r>
      <w:r>
        <w:rPr>
          <w:rFonts w:hint="eastAsia" w:asciiTheme="minorEastAsia" w:hAnsiTheme="minorEastAsia" w:eastAsiaTheme="minorEastAsia" w:cstheme="minorEastAsia"/>
          <w:color w:val="auto"/>
          <w:kern w:val="0"/>
          <w:sz w:val="24"/>
          <w:szCs w:val="24"/>
          <w:highlight w:val="none"/>
          <w:lang w:val="en-US" w:eastAsia="zh-CN"/>
        </w:rPr>
        <w:t>2</w:t>
      </w:r>
      <w:r>
        <w:rPr>
          <w:rFonts w:hint="eastAsia" w:asciiTheme="minorEastAsia" w:hAnsiTheme="minorEastAsia" w:eastAsiaTheme="minorEastAsia" w:cstheme="minorEastAsia"/>
          <w:color w:val="auto"/>
          <w:kern w:val="0"/>
          <w:sz w:val="24"/>
          <w:szCs w:val="24"/>
          <w:highlight w:val="none"/>
        </w:rPr>
        <w:t>:00，下午1</w:t>
      </w:r>
      <w:r>
        <w:rPr>
          <w:rFonts w:hint="eastAsia" w:asciiTheme="minorEastAsia" w:hAnsiTheme="minorEastAsia" w:eastAsiaTheme="minorEastAsia" w:cstheme="minorEastAsia"/>
          <w:color w:val="auto"/>
          <w:kern w:val="0"/>
          <w:sz w:val="24"/>
          <w:szCs w:val="24"/>
          <w:highlight w:val="none"/>
          <w:lang w:val="en-US" w:eastAsia="zh-CN"/>
        </w:rPr>
        <w:t>2</w:t>
      </w:r>
      <w:r>
        <w:rPr>
          <w:rFonts w:hint="eastAsia" w:asciiTheme="minorEastAsia" w:hAnsiTheme="minorEastAsia" w:eastAsiaTheme="minorEastAsia" w:cstheme="minorEastAsia"/>
          <w:color w:val="auto"/>
          <w:kern w:val="0"/>
          <w:sz w:val="24"/>
          <w:szCs w:val="24"/>
          <w:highlight w:val="none"/>
        </w:rPr>
        <w:t>:00至</w:t>
      </w:r>
      <w:r>
        <w:rPr>
          <w:rFonts w:hint="eastAsia" w:asciiTheme="minorEastAsia" w:hAnsiTheme="minorEastAsia" w:eastAsiaTheme="minorEastAsia" w:cstheme="minorEastAsia"/>
          <w:color w:val="auto"/>
          <w:kern w:val="0"/>
          <w:sz w:val="24"/>
          <w:szCs w:val="24"/>
          <w:highlight w:val="none"/>
          <w:lang w:val="en-US" w:eastAsia="zh-CN"/>
        </w:rPr>
        <w:t>23</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en-US" w:eastAsia="zh-CN"/>
        </w:rPr>
        <w:t>59</w:t>
      </w:r>
      <w:r>
        <w:rPr>
          <w:rFonts w:hint="eastAsia" w:asciiTheme="minorEastAsia" w:hAnsiTheme="minorEastAsia" w:eastAsiaTheme="minorEastAsia" w:cstheme="minorEastAsia"/>
          <w:color w:val="auto"/>
          <w:kern w:val="0"/>
          <w:sz w:val="24"/>
          <w:szCs w:val="24"/>
          <w:highlight w:val="none"/>
        </w:rPr>
        <w:t>。（北京时间，法定节假日除外）</w:t>
      </w:r>
    </w:p>
    <w:p w14:paraId="54F13B14">
      <w:pPr>
        <w:widowControl/>
        <w:shd w:val="clear"/>
        <w:spacing w:before="100" w:beforeAutospacing="1" w:after="100" w:afterAutospacing="1"/>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地点：政采云平台（https://www.zcygov.cn/）</w:t>
      </w:r>
    </w:p>
    <w:p w14:paraId="04D82DD2">
      <w:pPr>
        <w:widowControl/>
        <w:shd w:val="clear"/>
        <w:spacing w:before="100" w:beforeAutospacing="1" w:after="100" w:afterAutospacing="1"/>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方式：供应商登陆政采云平台 https://www.zcygov.cn/进入“项目采购”栏目，在获取磋商文件菜单中选择所要投标的项目，申请获取磋商文件。</w:t>
      </w:r>
    </w:p>
    <w:p w14:paraId="6EEC5B57">
      <w:pPr>
        <w:widowControl/>
        <w:shd w:val="clear"/>
        <w:spacing w:before="100" w:beforeAutospacing="1" w:after="100" w:afterAutospacing="1"/>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售价：0</w:t>
      </w:r>
    </w:p>
    <w:p w14:paraId="3FD62F4D">
      <w:pPr>
        <w:widowControl/>
        <w:shd w:val="clear"/>
        <w:spacing w:before="100" w:beforeAutospacing="1" w:after="100" w:afterAutospacing="1"/>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四、响应文件提交</w:t>
      </w:r>
    </w:p>
    <w:p w14:paraId="68B3F563">
      <w:pPr>
        <w:widowControl/>
        <w:shd w:val="clear"/>
        <w:spacing w:before="100" w:beforeAutospacing="1" w:after="100" w:afterAutospacing="1"/>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截止时间：</w:t>
      </w:r>
      <w:r>
        <w:rPr>
          <w:rFonts w:hint="eastAsia" w:asciiTheme="minorEastAsia" w:hAnsiTheme="minorEastAsia" w:eastAsiaTheme="minorEastAsia" w:cstheme="minorEastAsia"/>
          <w:color w:val="auto"/>
          <w:kern w:val="0"/>
          <w:sz w:val="24"/>
          <w:szCs w:val="24"/>
          <w:highlight w:val="none"/>
          <w:lang w:eastAsia="zh-CN"/>
        </w:rPr>
        <w:t>2024年11月4日16点30分</w:t>
      </w:r>
      <w:r>
        <w:rPr>
          <w:rFonts w:hint="eastAsia" w:asciiTheme="minorEastAsia" w:hAnsiTheme="minorEastAsia" w:eastAsiaTheme="minorEastAsia" w:cstheme="minorEastAsia"/>
          <w:color w:val="auto"/>
          <w:kern w:val="0"/>
          <w:sz w:val="24"/>
          <w:szCs w:val="24"/>
          <w:highlight w:val="none"/>
        </w:rPr>
        <w:t>（北京时间）</w:t>
      </w:r>
    </w:p>
    <w:p w14:paraId="463A1BEA">
      <w:pPr>
        <w:widowControl/>
        <w:shd w:val="clear"/>
        <w:spacing w:before="100" w:beforeAutospacing="1" w:after="100" w:afterAutospacing="1"/>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地点：政采云平台（https://www.zcygov.cn/）</w:t>
      </w:r>
    </w:p>
    <w:p w14:paraId="5417FE30">
      <w:pPr>
        <w:widowControl/>
        <w:numPr>
          <w:ilvl w:val="0"/>
          <w:numId w:val="2"/>
        </w:numPr>
        <w:shd w:val="clear"/>
        <w:spacing w:before="100" w:beforeAutospacing="1" w:after="100" w:afterAutospacing="1"/>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响应文件开启</w:t>
      </w:r>
    </w:p>
    <w:p w14:paraId="3151FA82">
      <w:pPr>
        <w:widowControl/>
        <w:shd w:val="clear"/>
        <w:spacing w:before="100" w:beforeAutospacing="1" w:after="100" w:afterAutospacing="1"/>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开启时间：</w:t>
      </w:r>
      <w:r>
        <w:rPr>
          <w:rFonts w:hint="eastAsia" w:asciiTheme="minorEastAsia" w:hAnsiTheme="minorEastAsia" w:eastAsiaTheme="minorEastAsia" w:cstheme="minorEastAsia"/>
          <w:color w:val="auto"/>
          <w:kern w:val="0"/>
          <w:sz w:val="24"/>
          <w:szCs w:val="24"/>
          <w:highlight w:val="none"/>
          <w:lang w:eastAsia="zh-CN"/>
        </w:rPr>
        <w:t>2024年11月4日16点30分</w:t>
      </w:r>
      <w:r>
        <w:rPr>
          <w:rFonts w:hint="eastAsia" w:asciiTheme="minorEastAsia" w:hAnsiTheme="minorEastAsia" w:eastAsiaTheme="minorEastAsia" w:cstheme="minorEastAsia"/>
          <w:color w:val="auto"/>
          <w:kern w:val="0"/>
          <w:sz w:val="24"/>
          <w:szCs w:val="24"/>
          <w:highlight w:val="none"/>
        </w:rPr>
        <w:t>（北京时间）</w:t>
      </w:r>
    </w:p>
    <w:p w14:paraId="196B45AA">
      <w:pPr>
        <w:widowControl/>
        <w:shd w:val="clear"/>
        <w:spacing w:before="100" w:beforeAutospacing="1" w:after="100" w:afterAutospacing="1"/>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地点：政采云平台（https://www.zcygov.cn/）</w:t>
      </w:r>
    </w:p>
    <w:p w14:paraId="47D09AAC">
      <w:pPr>
        <w:widowControl/>
        <w:shd w:val="clear"/>
        <w:spacing w:before="100" w:beforeAutospacing="1" w:after="100" w:afterAutospacing="1"/>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六、公告期限</w:t>
      </w:r>
    </w:p>
    <w:p w14:paraId="36100234">
      <w:pPr>
        <w:widowControl/>
        <w:shd w:val="clear"/>
        <w:spacing w:before="100" w:beforeAutospacing="1" w:after="100" w:afterAutospacing="1"/>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自本公告发布之日起5个工作日</w:t>
      </w:r>
    </w:p>
    <w:p w14:paraId="1009BF89">
      <w:pPr>
        <w:widowControl/>
        <w:shd w:val="clear"/>
        <w:spacing w:before="100" w:beforeAutospacing="1" w:after="100" w:afterAutospacing="1"/>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七、其他补充事宜</w:t>
      </w:r>
    </w:p>
    <w:p w14:paraId="34E035DE">
      <w:pPr>
        <w:shd w:val="clear"/>
        <w:spacing w:line="360" w:lineRule="auto"/>
        <w:ind w:firstLine="240" w:firstLineChars="1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1、请投标单位随时关注本项目的澄清、答疑、变更事项。</w:t>
      </w:r>
    </w:p>
    <w:p w14:paraId="496A9518">
      <w:pPr>
        <w:shd w:val="clear"/>
        <w:spacing w:line="360" w:lineRule="auto"/>
        <w:ind w:firstLine="240" w:firstLineChars="1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2、本项目实行电子招投标，供应商须登录政采云平台申请获取磋商文件，并通过政采云电子投标客户端制作投标文件，同时自行承担与投标有关的一切费用。</w:t>
      </w:r>
    </w:p>
    <w:p w14:paraId="1174F8EB">
      <w:pPr>
        <w:shd w:val="clear"/>
        <w:spacing w:line="360" w:lineRule="auto"/>
        <w:ind w:firstLine="240" w:firstLineChars="1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3、各供应商应在开标前应确保成为政采云平台供应商，并完成 CA 数字证书(符合国密标准)申领。因未注册入库、未办理CA数字证书等原因造成无法投标或投标失败等后果由供应商自行承担。</w:t>
      </w:r>
    </w:p>
    <w:p w14:paraId="0EDC29E4">
      <w:pPr>
        <w:shd w:val="clear"/>
        <w:spacing w:line="360" w:lineRule="auto"/>
        <w:ind w:firstLine="240" w:firstLineChars="1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4、供应商可前往新疆政府采购网(http://www.ccgp-xinjiang.gov.cn/) 下载专区，下载政采云电子投标客户端，安装完成后，可通过账号密码或CA登录客户端进行响应文件制作。在使用政采云电子投标客户端时，建议使用WIN7及以上操作系统。如需咨询，请联系新疆CA服务热线0991-2819290。</w:t>
      </w:r>
    </w:p>
    <w:p w14:paraId="729BA25F">
      <w:pPr>
        <w:shd w:val="clear"/>
        <w:spacing w:line="360" w:lineRule="auto"/>
        <w:ind w:firstLine="240" w:firstLineChars="1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5、本项目采用不见面开标，供应商须在投标截止时间前通过CA在政采云平台上传加密的电子响应文件。供应商对不见面开评标系统的技术操作咨询，可通过 https://edu.zcygov.cn/luban/xinjiang-e-biding 自助查询，也可在政采云帮助中心常见问题解答和操作流程讲解视频中自助查询，网址为：https://service.zcygov.cn/#/help，“项目采购”—“操作流程-电子招投标”— “政府采购项目电子交易管理操作指南-供应商”版面获取操作指南，同时对自助查询无法解决的问题可通过钉钉群及政采云在线客服获取服务支持。</w:t>
      </w:r>
    </w:p>
    <w:p w14:paraId="02E16563">
      <w:pPr>
        <w:shd w:val="clear"/>
        <w:spacing w:line="360" w:lineRule="auto"/>
        <w:ind w:firstLine="240" w:firstLineChars="1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6、供应商在开标前须提前配置好电脑浏览器(建议使用360浏览器或谷歌浏览器) ，开标时请使用制作加密电子响应文件的CA锁进行解密及报价确认。本项目响应文件解密时间定为30分钟，如因自身原因导致无法正常解密，后果由供应商自行承担。</w:t>
      </w:r>
    </w:p>
    <w:p w14:paraId="3C0A05BD">
      <w:pPr>
        <w:widowControl/>
        <w:shd w:val="clear"/>
        <w:spacing w:before="100" w:beforeAutospacing="1" w:after="100" w:afterAutospacing="1"/>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八、凡对本次采购提出询问，请按以下方式联系。</w:t>
      </w:r>
    </w:p>
    <w:p w14:paraId="4B7D8530">
      <w:pPr>
        <w:shd w:val="clear"/>
        <w:spacing w:line="360" w:lineRule="auto"/>
        <w:ind w:firstLine="240" w:firstLineChars="1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1.采购人信息</w:t>
      </w:r>
    </w:p>
    <w:p w14:paraId="26105F7F">
      <w:pPr>
        <w:shd w:val="clear"/>
        <w:spacing w:line="360" w:lineRule="auto"/>
        <w:ind w:firstLine="240" w:firstLineChars="1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名 称：新疆科技学院</w:t>
      </w:r>
    </w:p>
    <w:p w14:paraId="1DE8D79B">
      <w:pPr>
        <w:shd w:val="clear"/>
        <w:spacing w:line="360" w:lineRule="auto"/>
        <w:ind w:firstLine="240" w:firstLineChars="1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 址：库尔勒经济技术开发区金河路360号</w:t>
      </w:r>
    </w:p>
    <w:p w14:paraId="21587342">
      <w:pPr>
        <w:shd w:val="clear"/>
        <w:spacing w:line="360" w:lineRule="auto"/>
        <w:ind w:firstLine="240" w:firstLineChars="1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联系方式：</w:t>
      </w:r>
      <w:r>
        <w:rPr>
          <w:rFonts w:hint="eastAsia" w:asciiTheme="minorEastAsia" w:hAnsiTheme="minorEastAsia" w:eastAsiaTheme="minorEastAsia" w:cstheme="minorEastAsia"/>
          <w:color w:val="auto"/>
          <w:sz w:val="24"/>
          <w:szCs w:val="24"/>
          <w:highlight w:val="none"/>
          <w:lang w:val="en-US" w:eastAsia="zh-CN"/>
        </w:rPr>
        <w:t>王老师</w:t>
      </w:r>
      <w:r>
        <w:rPr>
          <w:rFonts w:hint="eastAsia" w:asciiTheme="minorEastAsia" w:hAnsiTheme="minorEastAsia" w:eastAsiaTheme="minorEastAsia" w:cstheme="minorEastAsia"/>
          <w:color w:val="auto"/>
          <w:sz w:val="24"/>
          <w:szCs w:val="24"/>
          <w:highlight w:val="none"/>
          <w:lang w:eastAsia="zh-CN"/>
        </w:rPr>
        <w:t xml:space="preserve"> </w:t>
      </w:r>
      <w:r>
        <w:rPr>
          <w:rFonts w:hint="eastAsia" w:asciiTheme="minorEastAsia" w:hAnsiTheme="minorEastAsia" w:eastAsiaTheme="minorEastAsia" w:cstheme="minorEastAsia"/>
          <w:color w:val="auto"/>
          <w:sz w:val="24"/>
          <w:szCs w:val="24"/>
          <w:highlight w:val="none"/>
          <w:lang w:val="en-US" w:eastAsia="zh-CN"/>
        </w:rPr>
        <w:t>18699616730</w:t>
      </w:r>
    </w:p>
    <w:p w14:paraId="443D58FD">
      <w:pPr>
        <w:shd w:val="clear"/>
        <w:spacing w:line="360" w:lineRule="auto"/>
        <w:ind w:firstLine="240" w:firstLineChars="1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2.采购代理机构信息</w:t>
      </w:r>
    </w:p>
    <w:p w14:paraId="43E4802A">
      <w:pPr>
        <w:shd w:val="clear"/>
        <w:spacing w:line="360" w:lineRule="auto"/>
        <w:ind w:firstLine="240" w:firstLineChars="1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名 称：新疆华域建设工程项目管理咨询有限公司</w:t>
      </w:r>
    </w:p>
    <w:p w14:paraId="247F63C0">
      <w:pPr>
        <w:shd w:val="clear"/>
        <w:spacing w:line="360" w:lineRule="auto"/>
        <w:ind w:firstLine="240" w:firstLineChars="1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 址：新疆乌鲁木齐市水磨沟区五星北路194号新地园大厦1401</w:t>
      </w:r>
    </w:p>
    <w:p w14:paraId="78CABBB0">
      <w:pPr>
        <w:shd w:val="clear"/>
        <w:spacing w:line="360" w:lineRule="auto"/>
        <w:ind w:firstLine="240" w:firstLineChars="1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3.项目联系方式</w:t>
      </w:r>
    </w:p>
    <w:p w14:paraId="0C301142">
      <w:pPr>
        <w:shd w:val="clear"/>
        <w:spacing w:line="360" w:lineRule="auto"/>
        <w:ind w:firstLine="240" w:firstLineChars="1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项目联系人：黄工</w:t>
      </w:r>
    </w:p>
    <w:p w14:paraId="00F84857">
      <w:pPr>
        <w:shd w:val="clear"/>
        <w:spacing w:line="360" w:lineRule="auto"/>
        <w:ind w:firstLine="240" w:firstLineChars="1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电 话：15609913520</w:t>
      </w:r>
    </w:p>
    <w:p w14:paraId="39758311">
      <w:pPr>
        <w:shd w:val="clear"/>
        <w:snapToGrid w:val="0"/>
        <w:spacing w:line="360" w:lineRule="auto"/>
        <w:jc w:val="center"/>
        <w:outlineLvl w:val="0"/>
        <w:rPr>
          <w:rFonts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bCs/>
          <w:color w:val="auto"/>
          <w:sz w:val="24"/>
          <w:szCs w:val="24"/>
          <w:highlight w:val="none"/>
        </w:rPr>
        <w:br w:type="page"/>
      </w:r>
      <w:bookmarkStart w:id="2" w:name="_Toc9179"/>
      <w:bookmarkStart w:id="3" w:name="_Toc24415"/>
      <w:r>
        <w:rPr>
          <w:rFonts w:hint="eastAsia" w:asciiTheme="minorEastAsia" w:hAnsiTheme="minorEastAsia" w:eastAsiaTheme="minorEastAsia" w:cstheme="minorEastAsia"/>
          <w:b/>
          <w:color w:val="auto"/>
          <w:sz w:val="30"/>
          <w:szCs w:val="30"/>
          <w:highlight w:val="none"/>
        </w:rPr>
        <w:t>第二部分   供应商须知前附表</w:t>
      </w:r>
      <w:bookmarkEnd w:id="2"/>
      <w:bookmarkEnd w:id="3"/>
    </w:p>
    <w:tbl>
      <w:tblPr>
        <w:tblStyle w:val="28"/>
        <w:tblW w:w="10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9245"/>
      </w:tblGrid>
      <w:tr w14:paraId="2E299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1" w:type="dxa"/>
            <w:vAlign w:val="center"/>
          </w:tcPr>
          <w:p w14:paraId="3DA812E7">
            <w:pPr>
              <w:shd w:val="clear"/>
              <w:snapToGrid w:val="0"/>
              <w:spacing w:line="360" w:lineRule="auto"/>
              <w:ind w:right="105" w:rightChars="5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项目</w:t>
            </w:r>
          </w:p>
        </w:tc>
        <w:tc>
          <w:tcPr>
            <w:tcW w:w="9245" w:type="dxa"/>
            <w:vAlign w:val="center"/>
          </w:tcPr>
          <w:p w14:paraId="432853EB">
            <w:pPr>
              <w:shd w:val="clear"/>
              <w:snapToGrid w:val="0"/>
              <w:spacing w:line="360" w:lineRule="auto"/>
              <w:ind w:right="105" w:rightChars="50"/>
              <w:jc w:val="center"/>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内    容</w:t>
            </w:r>
          </w:p>
        </w:tc>
      </w:tr>
      <w:tr w14:paraId="363B2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51" w:type="dxa"/>
            <w:vAlign w:val="center"/>
          </w:tcPr>
          <w:p w14:paraId="22BE2FE1">
            <w:pPr>
              <w:shd w:val="clear"/>
              <w:snapToGrid w:val="0"/>
              <w:spacing w:line="360" w:lineRule="auto"/>
              <w:ind w:right="105" w:rightChars="5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9245" w:type="dxa"/>
            <w:vAlign w:val="center"/>
          </w:tcPr>
          <w:p w14:paraId="6384EAC4">
            <w:pPr>
              <w:shd w:val="clear"/>
              <w:autoSpaceDE w:val="0"/>
              <w:autoSpaceDN w:val="0"/>
              <w:adjustRightInd w:val="0"/>
              <w:spacing w:line="360" w:lineRule="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lang w:eastAsia="zh-CN"/>
              </w:rPr>
              <w:t>新疆科技学院经济学院智慧课程建设服务项目</w:t>
            </w:r>
          </w:p>
          <w:p w14:paraId="1B027C74">
            <w:pPr>
              <w:shd w:val="clear"/>
              <w:autoSpaceDE w:val="0"/>
              <w:autoSpaceDN w:val="0"/>
              <w:adjustRightInd w:val="0"/>
              <w:spacing w:line="360" w:lineRule="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sz w:val="24"/>
                <w:szCs w:val="24"/>
                <w:highlight w:val="none"/>
              </w:rPr>
              <w:t>采购项目编号：</w:t>
            </w:r>
            <w:r>
              <w:rPr>
                <w:rFonts w:hint="eastAsia" w:asciiTheme="minorEastAsia" w:hAnsiTheme="minorEastAsia" w:eastAsiaTheme="minorEastAsia" w:cstheme="minorEastAsia"/>
                <w:color w:val="auto"/>
                <w:sz w:val="24"/>
                <w:szCs w:val="24"/>
                <w:highlight w:val="none"/>
                <w:lang w:eastAsia="zh-CN"/>
              </w:rPr>
              <w:t>XJHY-XJKJXY2024-043</w:t>
            </w:r>
          </w:p>
        </w:tc>
      </w:tr>
      <w:tr w14:paraId="618B3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51" w:type="dxa"/>
            <w:vAlign w:val="center"/>
          </w:tcPr>
          <w:p w14:paraId="4BBAA2C2">
            <w:pPr>
              <w:shd w:val="clear"/>
              <w:snapToGrid w:val="0"/>
              <w:spacing w:line="360" w:lineRule="auto"/>
              <w:ind w:right="105" w:rightChars="5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9245" w:type="dxa"/>
            <w:vAlign w:val="center"/>
          </w:tcPr>
          <w:p w14:paraId="0E5609CF">
            <w:pPr>
              <w:shd w:val="clear"/>
              <w:spacing w:line="360" w:lineRule="auto"/>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采购内容：包含磋商文件、补充答疑文件、采购需求等全部采购及服务内容</w:t>
            </w:r>
          </w:p>
        </w:tc>
      </w:tr>
      <w:tr w14:paraId="4EEAE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1" w:type="dxa"/>
            <w:vAlign w:val="center"/>
          </w:tcPr>
          <w:p w14:paraId="6EDA12A0">
            <w:pPr>
              <w:shd w:val="clear"/>
              <w:snapToGrid w:val="0"/>
              <w:spacing w:line="360" w:lineRule="auto"/>
              <w:ind w:right="105" w:rightChars="5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9245" w:type="dxa"/>
            <w:vAlign w:val="center"/>
          </w:tcPr>
          <w:p w14:paraId="17EA4AD8">
            <w:pPr>
              <w:pStyle w:val="24"/>
              <w:shd w:val="clear"/>
              <w:spacing w:before="75" w:after="75" w:line="400" w:lineRule="exact"/>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磋商供应商资格要求：</w:t>
            </w:r>
          </w:p>
          <w:p w14:paraId="073F705E">
            <w:pPr>
              <w:pStyle w:val="24"/>
              <w:shd w:val="clear"/>
              <w:spacing w:before="75" w:after="75" w:line="400" w:lineRule="exact"/>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1.满足《中华人民共和国政府采购法》第二十二条规定；</w:t>
            </w:r>
          </w:p>
          <w:p w14:paraId="00C7DB1E">
            <w:pPr>
              <w:pStyle w:val="24"/>
              <w:shd w:val="clear"/>
              <w:spacing w:before="75" w:after="75" w:line="400" w:lineRule="exact"/>
              <w:jc w:val="both"/>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2.落实政府采购政策需满足的资格要求：</w:t>
            </w:r>
            <w:r>
              <w:rPr>
                <w:rFonts w:hint="eastAsia" w:asciiTheme="minorEastAsia" w:hAnsiTheme="minorEastAsia" w:eastAsiaTheme="minorEastAsia" w:cstheme="minorEastAsia"/>
                <w:color w:val="auto"/>
                <w:highlight w:val="none"/>
                <w:lang w:eastAsia="zh-CN"/>
              </w:rPr>
              <w:t>本项目专门面向中小企业</w:t>
            </w:r>
          </w:p>
          <w:p w14:paraId="147EB84D">
            <w:pPr>
              <w:pStyle w:val="24"/>
              <w:shd w:val="clear"/>
              <w:spacing w:before="75" w:after="75" w:line="400" w:lineRule="exact"/>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本项目为专门面向中小企业采购项目，须在响应文件中提供《中小企业声明函》，其投标报价不进行扣除优惠政策。</w:t>
            </w:r>
          </w:p>
          <w:p w14:paraId="173BBE2A">
            <w:pPr>
              <w:pStyle w:val="24"/>
              <w:shd w:val="clear"/>
              <w:spacing w:before="75" w:after="75" w:line="400" w:lineRule="exact"/>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3.本项目的特定资格要求：</w:t>
            </w:r>
          </w:p>
          <w:p w14:paraId="1157F006">
            <w:pPr>
              <w:pStyle w:val="24"/>
              <w:shd w:val="clear"/>
              <w:spacing w:before="75" w:after="75" w:line="400" w:lineRule="exact"/>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（1）、供应商须是中华人民共和国境内注册的，具有有效的营业执照；</w:t>
            </w:r>
          </w:p>
          <w:p w14:paraId="612533FB">
            <w:pPr>
              <w:pStyle w:val="24"/>
              <w:shd w:val="clear"/>
              <w:spacing w:before="75" w:after="75" w:line="400" w:lineRule="exact"/>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供应商不得为“信用中国网站（www.creditchina.gov.cn）中列入失信被执行人和税收违法黑名单的供应商，不得为中国政府采购网（www.ccgp.gov.cn）政府采购严重违法失信行为记录名单中被财政部门禁止参加政府采购活动的供应商。</w:t>
            </w:r>
          </w:p>
        </w:tc>
      </w:tr>
      <w:tr w14:paraId="5E063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51" w:type="dxa"/>
            <w:vAlign w:val="center"/>
          </w:tcPr>
          <w:p w14:paraId="1E569C14">
            <w:pPr>
              <w:shd w:val="clear"/>
              <w:snapToGrid w:val="0"/>
              <w:spacing w:line="360" w:lineRule="auto"/>
              <w:ind w:right="105" w:rightChars="5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9245" w:type="dxa"/>
            <w:vAlign w:val="center"/>
          </w:tcPr>
          <w:p w14:paraId="20CFA9D1">
            <w:pPr>
              <w:shd w:val="clear"/>
              <w:spacing w:line="360" w:lineRule="auto"/>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信用查询时间:磋商响应文件提交截止时间前</w:t>
            </w:r>
          </w:p>
        </w:tc>
      </w:tr>
      <w:tr w14:paraId="00C09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51" w:type="dxa"/>
            <w:vAlign w:val="center"/>
          </w:tcPr>
          <w:p w14:paraId="3E3AC005">
            <w:pPr>
              <w:shd w:val="clear"/>
              <w:snapToGrid w:val="0"/>
              <w:spacing w:line="360" w:lineRule="auto"/>
              <w:ind w:right="105" w:rightChars="5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9245" w:type="dxa"/>
            <w:vAlign w:val="center"/>
          </w:tcPr>
          <w:p w14:paraId="4DEB0437">
            <w:pPr>
              <w:shd w:val="clear"/>
              <w:spacing w:line="360" w:lineRule="auto"/>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竞争性磋商文件费用：0元。</w:t>
            </w:r>
          </w:p>
        </w:tc>
      </w:tr>
      <w:tr w14:paraId="6A42A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51" w:type="dxa"/>
            <w:vAlign w:val="center"/>
          </w:tcPr>
          <w:p w14:paraId="597E8738">
            <w:pPr>
              <w:shd w:val="clear"/>
              <w:snapToGrid w:val="0"/>
              <w:spacing w:line="360" w:lineRule="auto"/>
              <w:ind w:right="105" w:rightChars="5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9245" w:type="dxa"/>
            <w:vAlign w:val="center"/>
          </w:tcPr>
          <w:p w14:paraId="4CFAF6AA">
            <w:pPr>
              <w:pStyle w:val="24"/>
              <w:shd w:val="clear"/>
              <w:spacing w:before="75" w:after="75" w:line="400" w:lineRule="exact"/>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投标保证金的金额：人民币</w:t>
            </w:r>
            <w:r>
              <w:rPr>
                <w:rFonts w:hint="eastAsia" w:asciiTheme="minorEastAsia" w:hAnsiTheme="minorEastAsia" w:eastAsiaTheme="minorEastAsia" w:cstheme="minorEastAsia"/>
                <w:color w:val="auto"/>
                <w:highlight w:val="none"/>
                <w:lang w:val="en-US" w:eastAsia="zh-CN"/>
              </w:rPr>
              <w:t>80</w:t>
            </w:r>
            <w:r>
              <w:rPr>
                <w:rFonts w:hint="eastAsia" w:asciiTheme="minorEastAsia" w:hAnsiTheme="minorEastAsia" w:eastAsiaTheme="minorEastAsia" w:cstheme="minorEastAsia"/>
                <w:color w:val="auto"/>
                <w:highlight w:val="none"/>
              </w:rPr>
              <w:t>00元</w:t>
            </w:r>
          </w:p>
          <w:p w14:paraId="7BF3685B">
            <w:pPr>
              <w:pStyle w:val="24"/>
              <w:shd w:val="clear"/>
              <w:spacing w:before="75" w:after="75" w:line="400" w:lineRule="exact"/>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于</w:t>
            </w:r>
            <w:r>
              <w:rPr>
                <w:rFonts w:hint="eastAsia" w:asciiTheme="minorEastAsia" w:hAnsiTheme="minorEastAsia" w:eastAsiaTheme="minorEastAsia" w:cstheme="minorEastAsia"/>
                <w:color w:val="auto"/>
                <w:highlight w:val="none"/>
                <w:lang w:eastAsia="zh-CN"/>
              </w:rPr>
              <w:t>2024年11月4日16点30分</w:t>
            </w:r>
            <w:r>
              <w:rPr>
                <w:rFonts w:hint="eastAsia" w:asciiTheme="minorEastAsia" w:hAnsiTheme="minorEastAsia" w:eastAsiaTheme="minorEastAsia" w:cstheme="minorEastAsia"/>
                <w:color w:val="auto"/>
                <w:highlight w:val="none"/>
              </w:rPr>
              <w:t>前（北京时间，以到账时间为准)从供应商基本账户以支票、银行电汇、网银形式汇至指定账户，供应商递交投标保证金应充分考虑资金在途时间。</w:t>
            </w:r>
          </w:p>
          <w:p w14:paraId="09AC0204">
            <w:pPr>
              <w:pStyle w:val="24"/>
              <w:shd w:val="clear"/>
              <w:spacing w:before="75" w:after="75" w:line="400" w:lineRule="exact"/>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开户单位名称：新疆华域建设工程项目管理咨询有限公司</w:t>
            </w:r>
          </w:p>
          <w:p w14:paraId="54FC1E3B">
            <w:pPr>
              <w:pStyle w:val="24"/>
              <w:shd w:val="clear"/>
              <w:spacing w:before="75" w:after="75" w:line="400" w:lineRule="exact"/>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开户银行：中国银行乌鲁木齐市南湖东路支行</w:t>
            </w:r>
          </w:p>
          <w:p w14:paraId="508FF319">
            <w:pPr>
              <w:pStyle w:val="24"/>
              <w:shd w:val="clear"/>
              <w:spacing w:before="75" w:after="75" w:line="400" w:lineRule="exact"/>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开户行行号：104881006151</w:t>
            </w:r>
          </w:p>
          <w:p w14:paraId="51075BD6">
            <w:pPr>
              <w:pStyle w:val="24"/>
              <w:shd w:val="clear"/>
              <w:spacing w:before="75" w:after="75" w:line="400" w:lineRule="exact"/>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账号：107083025521投标保证金的形式：银行电汇、网银</w:t>
            </w:r>
          </w:p>
          <w:p w14:paraId="52CB4B32">
            <w:pPr>
              <w:pStyle w:val="24"/>
              <w:shd w:val="clear"/>
              <w:spacing w:before="75" w:after="75" w:line="400" w:lineRule="exact"/>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汇款后请把汇款凭证复印件放在投标文件中，无需到公司换取收据。</w:t>
            </w:r>
          </w:p>
          <w:p w14:paraId="74B8F3CF">
            <w:pPr>
              <w:pStyle w:val="24"/>
              <w:shd w:val="clear"/>
              <w:spacing w:before="75" w:after="75" w:line="400" w:lineRule="exact"/>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注：供应商递交磋商保证金时，须注明所投项目名称及采购项目编号。</w:t>
            </w:r>
          </w:p>
          <w:p w14:paraId="0E818196">
            <w:pPr>
              <w:pStyle w:val="24"/>
              <w:shd w:val="clear"/>
              <w:spacing w:before="75" w:after="75" w:line="400" w:lineRule="exact"/>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退还投标保证金找磋商文件中的项目负责人办理。</w:t>
            </w:r>
          </w:p>
          <w:p w14:paraId="68ACD0A5">
            <w:pPr>
              <w:pStyle w:val="24"/>
              <w:shd w:val="clear"/>
              <w:spacing w:before="75" w:after="75" w:line="400" w:lineRule="exact"/>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退还投标保证金时，请将法人授权委托书及委托人的身份证复印件（加盖公章及法人章）、汇款凭证复印件（加盖公章）、基本户信息复印件（加盖公章），彩色扫描件PDF版发送1506064139@qq.com办理退款。</w:t>
            </w:r>
          </w:p>
        </w:tc>
      </w:tr>
      <w:tr w14:paraId="69ED8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51" w:type="dxa"/>
            <w:vAlign w:val="center"/>
          </w:tcPr>
          <w:p w14:paraId="3785182B">
            <w:pPr>
              <w:shd w:val="clear"/>
              <w:snapToGrid w:val="0"/>
              <w:spacing w:line="360" w:lineRule="auto"/>
              <w:ind w:right="105" w:rightChars="5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p>
        </w:tc>
        <w:tc>
          <w:tcPr>
            <w:tcW w:w="9245" w:type="dxa"/>
            <w:vAlign w:val="center"/>
          </w:tcPr>
          <w:p w14:paraId="74DFCD03">
            <w:pPr>
              <w:shd w:val="clear"/>
              <w:spacing w:line="360" w:lineRule="auto"/>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采购预算：</w:t>
            </w:r>
            <w:r>
              <w:rPr>
                <w:rFonts w:hint="eastAsia" w:asciiTheme="minorEastAsia" w:hAnsiTheme="minorEastAsia" w:eastAsiaTheme="minorEastAsia" w:cstheme="minorEastAsia"/>
                <w:color w:val="auto"/>
                <w:sz w:val="24"/>
                <w:szCs w:val="24"/>
                <w:highlight w:val="none"/>
                <w:lang w:eastAsia="zh-CN"/>
              </w:rPr>
              <w:t>480000</w:t>
            </w:r>
            <w:r>
              <w:rPr>
                <w:rFonts w:hint="eastAsia" w:asciiTheme="minorEastAsia" w:hAnsiTheme="minorEastAsia" w:eastAsiaTheme="minorEastAsia" w:cstheme="minorEastAsia"/>
                <w:color w:val="auto"/>
                <w:sz w:val="24"/>
                <w:szCs w:val="24"/>
                <w:highlight w:val="none"/>
              </w:rPr>
              <w:t>元（大写：</w:t>
            </w:r>
            <w:r>
              <w:rPr>
                <w:rFonts w:hint="eastAsia" w:asciiTheme="minorEastAsia" w:hAnsiTheme="minorEastAsia" w:eastAsiaTheme="minorEastAsia" w:cstheme="minorEastAsia"/>
                <w:color w:val="auto"/>
                <w:sz w:val="24"/>
                <w:szCs w:val="24"/>
                <w:highlight w:val="none"/>
                <w:lang w:val="en-US" w:eastAsia="zh-CN"/>
              </w:rPr>
              <w:t>肆拾捌万</w:t>
            </w:r>
            <w:r>
              <w:rPr>
                <w:rFonts w:hint="eastAsia" w:asciiTheme="minorEastAsia" w:hAnsiTheme="minorEastAsia" w:eastAsiaTheme="minorEastAsia" w:cstheme="minorEastAsia"/>
                <w:color w:val="auto"/>
                <w:sz w:val="24"/>
                <w:szCs w:val="24"/>
                <w:highlight w:val="none"/>
              </w:rPr>
              <w:t>元整）</w:t>
            </w:r>
            <w:r>
              <w:rPr>
                <w:rFonts w:hint="eastAsia" w:asciiTheme="minorEastAsia" w:hAnsiTheme="minorEastAsia" w:eastAsiaTheme="minorEastAsia" w:cstheme="minorEastAsia"/>
                <w:b/>
                <w:bCs/>
                <w:color w:val="auto"/>
                <w:sz w:val="24"/>
                <w:szCs w:val="24"/>
                <w:highlight w:val="none"/>
              </w:rPr>
              <w:t>供应商的投标报价不得高于此限价，否则按无效投标处理</w:t>
            </w:r>
          </w:p>
        </w:tc>
      </w:tr>
      <w:tr w14:paraId="5BF4C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51" w:type="dxa"/>
            <w:vAlign w:val="center"/>
          </w:tcPr>
          <w:p w14:paraId="79D3E24D">
            <w:pPr>
              <w:shd w:val="clear"/>
              <w:snapToGrid w:val="0"/>
              <w:spacing w:line="360" w:lineRule="auto"/>
              <w:ind w:right="105" w:rightChars="5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p>
        </w:tc>
        <w:tc>
          <w:tcPr>
            <w:tcW w:w="9245" w:type="dxa"/>
            <w:vAlign w:val="center"/>
          </w:tcPr>
          <w:p w14:paraId="3760FE57">
            <w:pPr>
              <w:numPr>
                <w:ilvl w:val="0"/>
                <w:numId w:val="3"/>
              </w:numPr>
              <w:shd w:val="clear"/>
              <w:spacing w:line="360" w:lineRule="auto"/>
              <w:jc w:val="left"/>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电子投标文件递交：供应商应于</w:t>
            </w:r>
            <w:r>
              <w:rPr>
                <w:rFonts w:hint="eastAsia" w:asciiTheme="minorEastAsia" w:hAnsiTheme="minorEastAsia" w:eastAsiaTheme="minorEastAsia" w:cstheme="minorEastAsia"/>
                <w:bCs/>
                <w:color w:val="auto"/>
                <w:sz w:val="24"/>
                <w:szCs w:val="24"/>
                <w:highlight w:val="none"/>
                <w:lang w:eastAsia="zh-CN"/>
              </w:rPr>
              <w:t>2024年11月4日16点30分</w:t>
            </w:r>
            <w:r>
              <w:rPr>
                <w:rFonts w:hint="eastAsia" w:asciiTheme="minorEastAsia" w:hAnsiTheme="minorEastAsia" w:eastAsiaTheme="minorEastAsia" w:cstheme="minorEastAsia"/>
                <w:bCs/>
                <w:color w:val="auto"/>
                <w:sz w:val="24"/>
                <w:szCs w:val="24"/>
                <w:highlight w:val="none"/>
              </w:rPr>
              <w:t>之前将电子投标文件上传到“政采云”平台。应按照本项目磋商文件和政采云平台的要求编制、加密传输投标文件。供应商对不见面开评标系统的技术操作咨询，可通过https://edu.zcygov.cn/luban/xinjiang-e-biding 自助查询，也可在政采云帮助中心常见问题解答和操作流程讲解视频中自助查询，网址为：  https://service.zcygov.cn/#/help，“项目采购”—“操作流程-电子 招投标”—“政府采购项目电子交易管理操作指南-供应商”版面获取操 作指南，同时对自助查询无法解决的问题可通过钉钉群及政采云在线客服获取服务支持。</w:t>
            </w:r>
          </w:p>
          <w:p w14:paraId="6D867E9C">
            <w:pPr>
              <w:shd w:val="clear"/>
              <w:spacing w:line="360" w:lineRule="auto"/>
              <w:jc w:val="left"/>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（2）投标现场无需递交投标文件，中标单位公示完之后需提供：</w:t>
            </w:r>
          </w:p>
          <w:p w14:paraId="0D952FCC">
            <w:pPr>
              <w:shd w:val="clear"/>
              <w:spacing w:line="360" w:lineRule="auto"/>
              <w:jc w:val="left"/>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纸质版投标文件：正本一份、副本四份。</w:t>
            </w:r>
          </w:p>
          <w:p w14:paraId="604E29F6">
            <w:pPr>
              <w:shd w:val="clear"/>
              <w:spacing w:line="360" w:lineRule="auto"/>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投标文件电子版：以u盘为介质的投标文件电子版一份。</w:t>
            </w:r>
          </w:p>
        </w:tc>
      </w:tr>
      <w:tr w14:paraId="5187F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851" w:type="dxa"/>
            <w:vAlign w:val="center"/>
          </w:tcPr>
          <w:p w14:paraId="7B633C5A">
            <w:pPr>
              <w:shd w:val="clear"/>
              <w:snapToGrid w:val="0"/>
              <w:spacing w:line="360" w:lineRule="auto"/>
              <w:ind w:right="105" w:rightChars="5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w:t>
            </w:r>
          </w:p>
        </w:tc>
        <w:tc>
          <w:tcPr>
            <w:tcW w:w="9245" w:type="dxa"/>
            <w:vAlign w:val="center"/>
          </w:tcPr>
          <w:p w14:paraId="0F033F23">
            <w:pPr>
              <w:shd w:val="clear"/>
              <w:spacing w:line="440" w:lineRule="exact"/>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本项目实行网上投标，采用电子投标文件。若供应商参与投标，自行承担投标一切费用。</w:t>
            </w:r>
          </w:p>
          <w:p w14:paraId="63E95040">
            <w:pPr>
              <w:shd w:val="clear"/>
              <w:spacing w:line="440" w:lineRule="exact"/>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各供应商应在开标前确保成为新疆维吾尔自治区政府采购网正式注册入库供应商，并完成CA数字证书申领。因未注册入库、未办理CA数字证书等原因造成无法投标或投标失败等后果由供应商自行承担。</w:t>
            </w:r>
          </w:p>
          <w:p w14:paraId="16F61967">
            <w:pPr>
              <w:shd w:val="clear"/>
              <w:spacing w:line="440" w:lineRule="exact"/>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Cs/>
                <w:color w:val="auto"/>
                <w:sz w:val="24"/>
                <w:szCs w:val="24"/>
                <w:highlight w:val="none"/>
              </w:rPr>
              <w:t>投标供应商应当在投标截止时间前，将生成的“电子加密投标文件”上传递交至“政府采购云平台”。投标截止时间以后上传递交的投标文件将被“政府采购云平台”拒收。</w:t>
            </w:r>
          </w:p>
        </w:tc>
      </w:tr>
      <w:tr w14:paraId="760B4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51" w:type="dxa"/>
            <w:vAlign w:val="center"/>
          </w:tcPr>
          <w:p w14:paraId="5DF353D2">
            <w:pPr>
              <w:shd w:val="clear"/>
              <w:snapToGrid w:val="0"/>
              <w:spacing w:line="360" w:lineRule="auto"/>
              <w:ind w:right="105" w:rightChars="5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p>
        </w:tc>
        <w:tc>
          <w:tcPr>
            <w:tcW w:w="9245" w:type="dxa"/>
            <w:vAlign w:val="center"/>
          </w:tcPr>
          <w:p w14:paraId="0647A1E8">
            <w:pPr>
              <w:shd w:val="clear"/>
              <w:spacing w:line="360" w:lineRule="auto"/>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磋商报价：供应商的报价应为所确定的招标范围内的全部工作内容的价格体现。</w:t>
            </w:r>
          </w:p>
        </w:tc>
      </w:tr>
      <w:tr w14:paraId="5673E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51" w:type="dxa"/>
            <w:vAlign w:val="center"/>
          </w:tcPr>
          <w:p w14:paraId="23AA9F02">
            <w:pPr>
              <w:shd w:val="clear"/>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w:t>
            </w:r>
          </w:p>
        </w:tc>
        <w:tc>
          <w:tcPr>
            <w:tcW w:w="9245" w:type="dxa"/>
            <w:vAlign w:val="center"/>
          </w:tcPr>
          <w:p w14:paraId="501684E4">
            <w:pPr>
              <w:shd w:val="clear"/>
              <w:spacing w:line="360" w:lineRule="auto"/>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文件解密时间为30分钟，供应商可以登录“政采云”平台，用“项目采购-开标评标”功能进行解密投标文件。若供应商在招标代理现场规定的时间内未按时解密的，视为投标文件撤回。因网上招标系统故障导致所有供应商均解密失败，由采购人或采购代理机构现场请示项目主管部门处理。</w:t>
            </w:r>
          </w:p>
        </w:tc>
      </w:tr>
      <w:tr w14:paraId="3A254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51" w:type="dxa"/>
            <w:vAlign w:val="center"/>
          </w:tcPr>
          <w:p w14:paraId="0C94B281">
            <w:pPr>
              <w:shd w:val="clear"/>
              <w:snapToGrid w:val="0"/>
              <w:spacing w:line="360" w:lineRule="auto"/>
              <w:ind w:right="105" w:rightChars="5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w:t>
            </w:r>
          </w:p>
        </w:tc>
        <w:tc>
          <w:tcPr>
            <w:tcW w:w="9245" w:type="dxa"/>
            <w:vAlign w:val="center"/>
          </w:tcPr>
          <w:p w14:paraId="4C4D44A9">
            <w:pPr>
              <w:shd w:val="clear"/>
              <w:spacing w:line="360" w:lineRule="auto"/>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磋商响应文件的递交截止时间：</w:t>
            </w:r>
            <w:r>
              <w:rPr>
                <w:rFonts w:hint="eastAsia" w:asciiTheme="minorEastAsia" w:hAnsiTheme="minorEastAsia" w:eastAsiaTheme="minorEastAsia" w:cstheme="minorEastAsia"/>
                <w:color w:val="auto"/>
                <w:sz w:val="24"/>
                <w:szCs w:val="24"/>
                <w:highlight w:val="none"/>
                <w:lang w:eastAsia="zh-CN"/>
              </w:rPr>
              <w:t>2024年11月4日16点30分</w:t>
            </w:r>
            <w:r>
              <w:rPr>
                <w:rFonts w:hint="eastAsia" w:asciiTheme="minorEastAsia" w:hAnsiTheme="minorEastAsia" w:eastAsiaTheme="minorEastAsia" w:cstheme="minorEastAsia"/>
                <w:color w:val="auto"/>
                <w:sz w:val="24"/>
                <w:szCs w:val="24"/>
                <w:highlight w:val="none"/>
              </w:rPr>
              <w:t>（北京时间）</w:t>
            </w:r>
          </w:p>
        </w:tc>
      </w:tr>
      <w:tr w14:paraId="39759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51" w:type="dxa"/>
            <w:vAlign w:val="center"/>
          </w:tcPr>
          <w:p w14:paraId="60251DFC">
            <w:pPr>
              <w:shd w:val="clear"/>
              <w:snapToGrid w:val="0"/>
              <w:spacing w:line="360" w:lineRule="auto"/>
              <w:ind w:right="105" w:rightChars="5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w:t>
            </w:r>
          </w:p>
        </w:tc>
        <w:tc>
          <w:tcPr>
            <w:tcW w:w="9245" w:type="dxa"/>
            <w:vAlign w:val="center"/>
          </w:tcPr>
          <w:p w14:paraId="586D609C">
            <w:pPr>
              <w:shd w:val="clear"/>
              <w:spacing w:line="360" w:lineRule="auto"/>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磋商响应文件递交地点：</w:t>
            </w:r>
            <w:r>
              <w:rPr>
                <w:rFonts w:hint="eastAsia" w:asciiTheme="minorEastAsia" w:hAnsiTheme="minorEastAsia" w:eastAsiaTheme="minorEastAsia" w:cstheme="minorEastAsia"/>
                <w:color w:val="auto"/>
                <w:kern w:val="0"/>
                <w:sz w:val="24"/>
                <w:szCs w:val="24"/>
                <w:highlight w:val="none"/>
              </w:rPr>
              <w:t>政采云平台（https://www.zcygov.cn/）</w:t>
            </w:r>
          </w:p>
        </w:tc>
      </w:tr>
      <w:tr w14:paraId="13252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851" w:type="dxa"/>
            <w:vAlign w:val="center"/>
          </w:tcPr>
          <w:p w14:paraId="63EDF4A3">
            <w:pPr>
              <w:shd w:val="clear"/>
              <w:snapToGrid w:val="0"/>
              <w:spacing w:line="360" w:lineRule="auto"/>
              <w:ind w:right="105" w:rightChars="5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w:t>
            </w:r>
          </w:p>
        </w:tc>
        <w:tc>
          <w:tcPr>
            <w:tcW w:w="9245" w:type="dxa"/>
            <w:vAlign w:val="center"/>
          </w:tcPr>
          <w:p w14:paraId="51E0C960">
            <w:pPr>
              <w:shd w:val="clear"/>
              <w:spacing w:line="360" w:lineRule="auto"/>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磋商响应时间：</w:t>
            </w:r>
            <w:r>
              <w:rPr>
                <w:rFonts w:hint="eastAsia" w:asciiTheme="minorEastAsia" w:hAnsiTheme="minorEastAsia" w:eastAsiaTheme="minorEastAsia" w:cstheme="minorEastAsia"/>
                <w:color w:val="auto"/>
                <w:sz w:val="24"/>
                <w:szCs w:val="24"/>
                <w:highlight w:val="none"/>
                <w:lang w:eastAsia="zh-CN"/>
              </w:rPr>
              <w:t>2024年11月4日16点30分</w:t>
            </w:r>
            <w:r>
              <w:rPr>
                <w:rFonts w:hint="eastAsia" w:asciiTheme="minorEastAsia" w:hAnsiTheme="minorEastAsia" w:eastAsiaTheme="minorEastAsia" w:cstheme="minorEastAsia"/>
                <w:color w:val="auto"/>
                <w:sz w:val="24"/>
                <w:szCs w:val="24"/>
                <w:highlight w:val="none"/>
              </w:rPr>
              <w:t>（北京时间）</w:t>
            </w:r>
          </w:p>
          <w:p w14:paraId="6E495269">
            <w:pPr>
              <w:shd w:val="clear"/>
              <w:spacing w:line="360" w:lineRule="auto"/>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磋商地点：</w:t>
            </w:r>
            <w:r>
              <w:rPr>
                <w:rFonts w:hint="eastAsia" w:asciiTheme="minorEastAsia" w:hAnsiTheme="minorEastAsia" w:eastAsiaTheme="minorEastAsia" w:cstheme="minorEastAsia"/>
                <w:color w:val="auto"/>
                <w:kern w:val="0"/>
                <w:sz w:val="24"/>
                <w:szCs w:val="24"/>
                <w:highlight w:val="none"/>
              </w:rPr>
              <w:t>政采云平台（https://www.zcygov.cn/）</w:t>
            </w:r>
          </w:p>
        </w:tc>
      </w:tr>
      <w:tr w14:paraId="5B251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51" w:type="dxa"/>
            <w:vAlign w:val="center"/>
          </w:tcPr>
          <w:p w14:paraId="1CC9F0B3">
            <w:pPr>
              <w:shd w:val="clear"/>
              <w:snapToGrid w:val="0"/>
              <w:spacing w:line="360" w:lineRule="auto"/>
              <w:ind w:right="105" w:rightChars="5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w:t>
            </w:r>
          </w:p>
        </w:tc>
        <w:tc>
          <w:tcPr>
            <w:tcW w:w="9245" w:type="dxa"/>
            <w:vAlign w:val="center"/>
          </w:tcPr>
          <w:p w14:paraId="3D2DDC0E">
            <w:pPr>
              <w:shd w:val="clear"/>
              <w:spacing w:line="450" w:lineRule="exact"/>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成交原则：依据提交最后报价的供应商，由磋商小组采用综合评分法对提交最后报价的供应商的磋商响应文件和最后报价进行综合评分。</w:t>
            </w:r>
          </w:p>
          <w:p w14:paraId="3663C7F9">
            <w:pPr>
              <w:shd w:val="clear"/>
              <w:spacing w:line="450" w:lineRule="exact"/>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综合评分法，是指磋商响应文件满足磋商文件全部实质性要求且按评审因素的量化指标评审得分最高的供应商为成交候选供应商的评审方法。</w:t>
            </w:r>
          </w:p>
        </w:tc>
      </w:tr>
      <w:tr w14:paraId="37DB5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1" w:type="dxa"/>
            <w:vAlign w:val="center"/>
          </w:tcPr>
          <w:p w14:paraId="13656538">
            <w:pPr>
              <w:shd w:val="clear"/>
              <w:snapToGrid w:val="0"/>
              <w:spacing w:line="360" w:lineRule="auto"/>
              <w:ind w:right="105" w:rightChars="5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w:t>
            </w:r>
          </w:p>
        </w:tc>
        <w:tc>
          <w:tcPr>
            <w:tcW w:w="9245" w:type="dxa"/>
            <w:vAlign w:val="center"/>
          </w:tcPr>
          <w:p w14:paraId="4260D21D">
            <w:pPr>
              <w:shd w:val="clear"/>
              <w:spacing w:line="450" w:lineRule="exact"/>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磋商小组的组建：由采购人代表和评审专家共3人以上单数组成，其中评审专家人数不得少于磋商小组成员总数的2/3。</w:t>
            </w:r>
          </w:p>
        </w:tc>
      </w:tr>
      <w:tr w14:paraId="4458B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51" w:type="dxa"/>
            <w:vAlign w:val="center"/>
          </w:tcPr>
          <w:p w14:paraId="06E4E577">
            <w:pPr>
              <w:shd w:val="clear"/>
              <w:snapToGrid w:val="0"/>
              <w:spacing w:line="360" w:lineRule="auto"/>
              <w:ind w:right="105" w:rightChars="5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w:t>
            </w:r>
          </w:p>
        </w:tc>
        <w:tc>
          <w:tcPr>
            <w:tcW w:w="9245" w:type="dxa"/>
            <w:vAlign w:val="center"/>
          </w:tcPr>
          <w:p w14:paraId="6CC83528">
            <w:pPr>
              <w:shd w:val="clear"/>
              <w:spacing w:line="450" w:lineRule="exac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中小微型企业有关政策：</w:t>
            </w:r>
          </w:p>
          <w:p w14:paraId="4C19A305">
            <w:pPr>
              <w:shd w:val="clear"/>
              <w:spacing w:line="450" w:lineRule="exact"/>
              <w:ind w:firstLine="480" w:firstLineChars="20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根据工信部等部委发布的《关于印发中小企业划型标准规定的通知》（工信部联企业[2011]300号）规定执行；监狱企业、残疾人福利性单位视同为小微企业</w:t>
            </w:r>
            <w:r>
              <w:rPr>
                <w:rFonts w:hint="eastAsia" w:asciiTheme="minorEastAsia" w:hAnsiTheme="minorEastAsia" w:eastAsiaTheme="minorEastAsia" w:cstheme="minorEastAsia"/>
                <w:color w:val="auto"/>
                <w:sz w:val="24"/>
                <w:szCs w:val="24"/>
                <w:highlight w:val="none"/>
                <w:lang w:eastAsia="zh-CN"/>
              </w:rPr>
              <w:t>。</w:t>
            </w:r>
          </w:p>
        </w:tc>
      </w:tr>
      <w:tr w14:paraId="54FAF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51" w:type="dxa"/>
            <w:vAlign w:val="center"/>
          </w:tcPr>
          <w:p w14:paraId="2F092F54">
            <w:pPr>
              <w:shd w:val="clear"/>
              <w:snapToGrid w:val="0"/>
              <w:spacing w:line="360" w:lineRule="auto"/>
              <w:ind w:right="105" w:rightChars="5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w:t>
            </w:r>
          </w:p>
        </w:tc>
        <w:tc>
          <w:tcPr>
            <w:tcW w:w="9245" w:type="dxa"/>
            <w:vAlign w:val="center"/>
          </w:tcPr>
          <w:p w14:paraId="5611F7DE">
            <w:pPr>
              <w:shd w:val="clear"/>
              <w:spacing w:line="450" w:lineRule="exact"/>
              <w:jc w:val="left"/>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供货期</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自合同签订之日起</w:t>
            </w:r>
            <w:r>
              <w:rPr>
                <w:rFonts w:hint="eastAsia" w:asciiTheme="minorEastAsia" w:hAnsiTheme="minorEastAsia" w:eastAsiaTheme="minorEastAsia" w:cstheme="minorEastAsia"/>
                <w:color w:val="auto"/>
                <w:sz w:val="24"/>
                <w:highlight w:val="none"/>
                <w:lang w:val="en-US" w:eastAsia="zh-CN"/>
              </w:rPr>
              <w:t>60</w:t>
            </w:r>
            <w:r>
              <w:rPr>
                <w:rFonts w:hint="eastAsia" w:asciiTheme="minorEastAsia" w:hAnsiTheme="minorEastAsia" w:eastAsiaTheme="minorEastAsia" w:cstheme="minorEastAsia"/>
                <w:color w:val="auto"/>
                <w:sz w:val="24"/>
                <w:highlight w:val="none"/>
                <w:lang w:eastAsia="zh-CN"/>
              </w:rPr>
              <w:t>日</w:t>
            </w:r>
          </w:p>
          <w:p w14:paraId="2314FF19">
            <w:pPr>
              <w:shd w:val="clear"/>
              <w:spacing w:line="45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质保期</w:t>
            </w:r>
            <w:r>
              <w:rPr>
                <w:rFonts w:hint="eastAsia" w:asciiTheme="minorEastAsia" w:hAnsiTheme="minorEastAsia" w:eastAsiaTheme="minorEastAsia" w:cstheme="minorEastAsia"/>
                <w:color w:val="auto"/>
                <w:sz w:val="24"/>
                <w:highlight w:val="none"/>
              </w:rPr>
              <w:t>：交付验收合格之日起三年</w:t>
            </w:r>
          </w:p>
          <w:p w14:paraId="30FD2595">
            <w:pPr>
              <w:shd w:val="clear"/>
              <w:spacing w:line="450" w:lineRule="exact"/>
              <w:jc w:val="left"/>
              <w:rPr>
                <w:color w:val="auto"/>
                <w:highlight w:val="none"/>
              </w:rPr>
            </w:pPr>
            <w:r>
              <w:rPr>
                <w:rFonts w:hint="eastAsia" w:asciiTheme="minorEastAsia" w:hAnsiTheme="minorEastAsia" w:eastAsiaTheme="minorEastAsia" w:cstheme="minorEastAsia"/>
                <w:color w:val="auto"/>
                <w:sz w:val="24"/>
                <w:highlight w:val="none"/>
              </w:rPr>
              <w:t>供货地点：</w:t>
            </w:r>
            <w:r>
              <w:rPr>
                <w:rFonts w:hint="eastAsia" w:asciiTheme="minorEastAsia" w:hAnsiTheme="minorEastAsia" w:eastAsiaTheme="minorEastAsia" w:cstheme="minorEastAsia"/>
                <w:color w:val="auto"/>
                <w:sz w:val="24"/>
                <w:highlight w:val="none"/>
                <w:lang w:eastAsia="zh-CN"/>
              </w:rPr>
              <w:t>新疆科技学院</w:t>
            </w:r>
          </w:p>
        </w:tc>
      </w:tr>
      <w:tr w14:paraId="55A6B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51" w:type="dxa"/>
            <w:vAlign w:val="center"/>
          </w:tcPr>
          <w:p w14:paraId="4FD2D3AD">
            <w:pPr>
              <w:shd w:val="clear"/>
              <w:snapToGrid w:val="0"/>
              <w:spacing w:line="360" w:lineRule="auto"/>
              <w:ind w:right="105" w:rightChars="5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19</w:t>
            </w:r>
          </w:p>
        </w:tc>
        <w:tc>
          <w:tcPr>
            <w:tcW w:w="9245" w:type="dxa"/>
            <w:vAlign w:val="center"/>
          </w:tcPr>
          <w:p w14:paraId="4B63C429">
            <w:pPr>
              <w:shd w:val="clear"/>
              <w:spacing w:line="450" w:lineRule="exact"/>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付款方式：安装调试完成并验收合格后支付</w:t>
            </w:r>
            <w:r>
              <w:rPr>
                <w:rFonts w:hint="eastAsia" w:asciiTheme="minorEastAsia" w:hAnsiTheme="minorEastAsia" w:eastAsiaTheme="minorEastAsia" w:cstheme="minorEastAsia"/>
                <w:color w:val="auto"/>
                <w:sz w:val="24"/>
                <w:szCs w:val="24"/>
                <w:highlight w:val="none"/>
                <w:lang w:val="en-US" w:eastAsia="zh-CN"/>
              </w:rPr>
              <w:t>到</w:t>
            </w:r>
            <w:r>
              <w:rPr>
                <w:rFonts w:hint="eastAsia" w:asciiTheme="minorEastAsia" w:hAnsiTheme="minorEastAsia" w:eastAsiaTheme="minorEastAsia" w:cstheme="minorEastAsia"/>
                <w:color w:val="auto"/>
                <w:sz w:val="24"/>
                <w:szCs w:val="24"/>
                <w:highlight w:val="none"/>
              </w:rPr>
              <w:t>合同总额的</w:t>
            </w: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0%（具体付款时间以合同签订内容为准）。乙方应当在申请付款前，开具符合甲方要求的足额发票，否则甲方有权延期付款且不承担逾期付款的违约责任。</w:t>
            </w:r>
          </w:p>
        </w:tc>
      </w:tr>
      <w:tr w14:paraId="7C41C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51" w:type="dxa"/>
            <w:vAlign w:val="center"/>
          </w:tcPr>
          <w:p w14:paraId="681232EB">
            <w:pPr>
              <w:shd w:val="clear"/>
              <w:snapToGrid w:val="0"/>
              <w:spacing w:line="360" w:lineRule="auto"/>
              <w:ind w:right="105" w:rightChars="5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w:t>
            </w:r>
          </w:p>
        </w:tc>
        <w:tc>
          <w:tcPr>
            <w:tcW w:w="9245" w:type="dxa"/>
            <w:vAlign w:val="center"/>
          </w:tcPr>
          <w:p w14:paraId="313193D0">
            <w:pPr>
              <w:shd w:val="clear"/>
              <w:spacing w:line="450" w:lineRule="exact"/>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履约保证金：合同金额的5%，以支票、汇票、本票或者金融机构、担保机构出具的保函等非现金形式。在合同签订七日内提交至财务处，在验收合格后无息退还。</w:t>
            </w:r>
          </w:p>
        </w:tc>
      </w:tr>
      <w:tr w14:paraId="6135D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51" w:type="dxa"/>
            <w:vAlign w:val="center"/>
          </w:tcPr>
          <w:p w14:paraId="5D36BB60">
            <w:pPr>
              <w:shd w:val="clear"/>
              <w:snapToGrid w:val="0"/>
              <w:spacing w:line="360" w:lineRule="auto"/>
              <w:ind w:right="105" w:rightChars="5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w:t>
            </w:r>
          </w:p>
        </w:tc>
        <w:tc>
          <w:tcPr>
            <w:tcW w:w="9245" w:type="dxa"/>
            <w:vAlign w:val="center"/>
          </w:tcPr>
          <w:p w14:paraId="7740671B">
            <w:pPr>
              <w:shd w:val="clear"/>
              <w:spacing w:line="450" w:lineRule="exact"/>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要求：因乙方提供产品质量等原因而导致甲方验收不合格，乙方负责继续完善，并承担所产生的费用，如乙方拒绝完善或完善后仍不符合标准的，甲方有权解除合同，乙方按合同总额的20%的标准向甲方支付违约金。</w:t>
            </w:r>
          </w:p>
        </w:tc>
      </w:tr>
      <w:tr w14:paraId="4225C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51" w:type="dxa"/>
            <w:vAlign w:val="center"/>
          </w:tcPr>
          <w:p w14:paraId="22541DB1">
            <w:pPr>
              <w:shd w:val="clear"/>
              <w:snapToGrid w:val="0"/>
              <w:spacing w:line="360" w:lineRule="auto"/>
              <w:ind w:right="105" w:rightChars="5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w:t>
            </w:r>
          </w:p>
        </w:tc>
        <w:tc>
          <w:tcPr>
            <w:tcW w:w="9245" w:type="dxa"/>
            <w:vAlign w:val="center"/>
          </w:tcPr>
          <w:p w14:paraId="5D7F2EBD">
            <w:pPr>
              <w:shd w:val="clear"/>
              <w:spacing w:line="450" w:lineRule="exact"/>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是否允许提交备选方案：不允许</w:t>
            </w:r>
          </w:p>
        </w:tc>
      </w:tr>
      <w:tr w14:paraId="7AA57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51" w:type="dxa"/>
            <w:vAlign w:val="center"/>
          </w:tcPr>
          <w:p w14:paraId="4A0AE794">
            <w:pPr>
              <w:shd w:val="clear"/>
              <w:snapToGrid w:val="0"/>
              <w:spacing w:line="360" w:lineRule="auto"/>
              <w:ind w:right="105" w:rightChars="5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w:t>
            </w:r>
          </w:p>
        </w:tc>
        <w:tc>
          <w:tcPr>
            <w:tcW w:w="9245" w:type="dxa"/>
            <w:vAlign w:val="center"/>
          </w:tcPr>
          <w:p w14:paraId="2538804E">
            <w:pPr>
              <w:shd w:val="clear"/>
              <w:spacing w:line="450" w:lineRule="exact"/>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踏勘现场：采购人不组织踏勘现场</w:t>
            </w:r>
          </w:p>
        </w:tc>
      </w:tr>
      <w:tr w14:paraId="508E8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51" w:type="dxa"/>
            <w:vAlign w:val="center"/>
          </w:tcPr>
          <w:p w14:paraId="610F2D77">
            <w:pPr>
              <w:shd w:val="clear"/>
              <w:snapToGrid w:val="0"/>
              <w:spacing w:line="360" w:lineRule="auto"/>
              <w:ind w:right="105" w:rightChars="5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24</w:t>
            </w:r>
          </w:p>
        </w:tc>
        <w:tc>
          <w:tcPr>
            <w:tcW w:w="9245" w:type="dxa"/>
            <w:vAlign w:val="center"/>
          </w:tcPr>
          <w:p w14:paraId="3C25B771">
            <w:pPr>
              <w:shd w:val="clear"/>
              <w:spacing w:line="450" w:lineRule="exact"/>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公告发布媒体：新疆政府采购网</w:t>
            </w:r>
          </w:p>
        </w:tc>
      </w:tr>
      <w:tr w14:paraId="13704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51" w:type="dxa"/>
            <w:vAlign w:val="center"/>
          </w:tcPr>
          <w:p w14:paraId="0ED5A786">
            <w:pPr>
              <w:shd w:val="clear"/>
              <w:snapToGrid w:val="0"/>
              <w:spacing w:line="360" w:lineRule="auto"/>
              <w:ind w:right="105" w:rightChars="5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w:t>
            </w:r>
          </w:p>
        </w:tc>
        <w:tc>
          <w:tcPr>
            <w:tcW w:w="9245" w:type="dxa"/>
            <w:vAlign w:val="center"/>
          </w:tcPr>
          <w:p w14:paraId="3CA67B38">
            <w:pPr>
              <w:shd w:val="clear"/>
              <w:spacing w:line="360" w:lineRule="auto"/>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磋商文件的澄清和修改：</w:t>
            </w:r>
          </w:p>
          <w:p w14:paraId="1E9F6FEC">
            <w:pPr>
              <w:shd w:val="clear"/>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提交首次磋商响应文件截止之日前，采购人、采购代理机构或者磋商小组可以对已发出的磋商文件进行必要的澄清或者修改，澄清或者修改的内容作为磋商文件的组成部分。澄清或者修改的内容可能影响磋商响应文件编制的，采购人、采购代理机构应当在提交首次磋商响应文件截止时间至少5日前，以书面形式通知所有获取磋商文件的供应商；不足5日的，采购人、采购代理机构应当顺延提交首次磋商响应文件截止时间。</w:t>
            </w:r>
          </w:p>
        </w:tc>
      </w:tr>
      <w:tr w14:paraId="15BCD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51" w:type="dxa"/>
            <w:vAlign w:val="center"/>
          </w:tcPr>
          <w:p w14:paraId="0BD21D0B">
            <w:pPr>
              <w:shd w:val="clear"/>
              <w:snapToGrid w:val="0"/>
              <w:spacing w:line="360" w:lineRule="auto"/>
              <w:ind w:right="105" w:rightChars="5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26</w:t>
            </w:r>
          </w:p>
        </w:tc>
        <w:tc>
          <w:tcPr>
            <w:tcW w:w="9245" w:type="dxa"/>
            <w:vAlign w:val="center"/>
          </w:tcPr>
          <w:p w14:paraId="0CF4C418">
            <w:pPr>
              <w:shd w:val="clear"/>
              <w:spacing w:line="360" w:lineRule="auto"/>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代理服务费：按新疆维吾尔自治区建设工程招标投标协会文件新建招协[2024]4号文的规定收取，由中标单位支付。</w:t>
            </w:r>
          </w:p>
        </w:tc>
      </w:tr>
      <w:tr w14:paraId="65539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851" w:type="dxa"/>
            <w:vAlign w:val="center"/>
          </w:tcPr>
          <w:p w14:paraId="4C7224EA">
            <w:pPr>
              <w:shd w:val="clear"/>
              <w:snapToGrid w:val="0"/>
              <w:spacing w:line="360" w:lineRule="auto"/>
              <w:ind w:right="105" w:rightChars="5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27</w:t>
            </w:r>
          </w:p>
        </w:tc>
        <w:tc>
          <w:tcPr>
            <w:tcW w:w="9245" w:type="dxa"/>
            <w:vAlign w:val="center"/>
          </w:tcPr>
          <w:p w14:paraId="103870C2">
            <w:pPr>
              <w:shd w:val="clear"/>
              <w:spacing w:line="360" w:lineRule="auto"/>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无论竞标结果如何，供应商均应自行承担竞标所需一切费用。</w:t>
            </w:r>
          </w:p>
        </w:tc>
      </w:tr>
      <w:tr w14:paraId="72381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851" w:type="dxa"/>
            <w:vAlign w:val="center"/>
          </w:tcPr>
          <w:p w14:paraId="38143872">
            <w:pPr>
              <w:shd w:val="clear"/>
              <w:snapToGrid w:val="0"/>
              <w:spacing w:line="360" w:lineRule="auto"/>
              <w:ind w:right="105" w:rightChars="5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28</w:t>
            </w:r>
          </w:p>
        </w:tc>
        <w:tc>
          <w:tcPr>
            <w:tcW w:w="9245" w:type="dxa"/>
            <w:vAlign w:val="center"/>
          </w:tcPr>
          <w:p w14:paraId="3EA474B4">
            <w:pPr>
              <w:shd w:val="clear"/>
              <w:spacing w:line="360" w:lineRule="auto"/>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磋商有效期：磋商响应文件截止之日起90天。</w:t>
            </w:r>
          </w:p>
        </w:tc>
      </w:tr>
      <w:tr w14:paraId="2F582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1" w:type="dxa"/>
            <w:vAlign w:val="center"/>
          </w:tcPr>
          <w:p w14:paraId="050BC44C">
            <w:pPr>
              <w:shd w:val="clear"/>
              <w:snapToGrid w:val="0"/>
              <w:spacing w:line="360" w:lineRule="auto"/>
              <w:ind w:right="105" w:rightChars="5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29</w:t>
            </w:r>
          </w:p>
        </w:tc>
        <w:tc>
          <w:tcPr>
            <w:tcW w:w="9245" w:type="dxa"/>
            <w:vAlign w:val="center"/>
          </w:tcPr>
          <w:p w14:paraId="095A6A33">
            <w:pPr>
              <w:shd w:val="clear"/>
              <w:spacing w:line="360" w:lineRule="auto"/>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供应商所报服务等同或不得低于磋商文件要求的服务要求。任何对磋商文件的忽略或误解不能作为响应文件存在缺陷或瑕疵的理由，其风险由供应商承担。（2）供应商应保证，在中华人民共和国境内使用投标成果、服务或其任何一部分时，不会产生因第三方提出侵犯其专利权或其它知识产权而引起的法律和经济纠纷。</w:t>
            </w:r>
          </w:p>
        </w:tc>
      </w:tr>
    </w:tbl>
    <w:p w14:paraId="7A597B70">
      <w:pPr>
        <w:shd w:val="clear"/>
        <w:snapToGrid w:val="0"/>
        <w:spacing w:line="500" w:lineRule="exact"/>
        <w:jc w:val="left"/>
        <w:outlineLvl w:val="1"/>
        <w:rPr>
          <w:rFonts w:asciiTheme="minorEastAsia" w:hAnsiTheme="minorEastAsia" w:eastAsiaTheme="minorEastAsia" w:cstheme="minorEastAsia"/>
          <w:b/>
          <w:color w:val="auto"/>
          <w:sz w:val="24"/>
          <w:szCs w:val="24"/>
          <w:highlight w:val="none"/>
        </w:rPr>
      </w:pPr>
      <w:bookmarkStart w:id="4" w:name="_Toc27351"/>
      <w:r>
        <w:rPr>
          <w:rFonts w:hint="eastAsia" w:asciiTheme="minorEastAsia" w:hAnsiTheme="minorEastAsia" w:eastAsiaTheme="minorEastAsia" w:cstheme="minorEastAsia"/>
          <w:b/>
          <w:color w:val="auto"/>
          <w:sz w:val="24"/>
          <w:szCs w:val="24"/>
          <w:highlight w:val="none"/>
        </w:rPr>
        <w:t>说明:当正文中的内容与前附表规定的内容不一致时，以前附表的规定为准。</w:t>
      </w:r>
    </w:p>
    <w:p w14:paraId="53FDAE4A">
      <w:pPr>
        <w:shd w:val="clear"/>
        <w:snapToGrid w:val="0"/>
        <w:spacing w:line="500" w:lineRule="exact"/>
        <w:jc w:val="left"/>
        <w:outlineLvl w:val="1"/>
        <w:rPr>
          <w:rFonts w:asciiTheme="minorEastAsia" w:hAnsiTheme="minorEastAsia" w:eastAsiaTheme="minorEastAsia" w:cstheme="minorEastAsia"/>
          <w:b/>
          <w:color w:val="auto"/>
          <w:sz w:val="24"/>
          <w:szCs w:val="24"/>
          <w:highlight w:val="none"/>
        </w:rPr>
      </w:pPr>
    </w:p>
    <w:p w14:paraId="736C4AA6">
      <w:pPr>
        <w:pageBreakBefore/>
        <w:shd w:val="clear"/>
        <w:snapToGrid w:val="0"/>
        <w:spacing w:line="500" w:lineRule="exact"/>
        <w:jc w:val="center"/>
        <w:outlineLvl w:val="1"/>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一、总则</w:t>
      </w:r>
      <w:bookmarkEnd w:id="4"/>
    </w:p>
    <w:p w14:paraId="08A55CE2">
      <w:pPr>
        <w:shd w:val="clear"/>
        <w:snapToGrid w:val="0"/>
        <w:spacing w:line="5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（一）总则</w:t>
      </w:r>
    </w:p>
    <w:p w14:paraId="75AC2DF2">
      <w:pPr>
        <w:shd w:val="clear"/>
        <w:snapToGrid w:val="0"/>
        <w:spacing w:line="5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  项目说明</w:t>
      </w:r>
    </w:p>
    <w:p w14:paraId="2E1D8E0C">
      <w:pPr>
        <w:shd w:val="clear"/>
        <w:snapToGrid w:val="0"/>
        <w:spacing w:line="5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 本项目的说明详见供应商须知前附表（以下简称“前附表”）所述。</w:t>
      </w:r>
    </w:p>
    <w:p w14:paraId="50E7A16B">
      <w:pPr>
        <w:shd w:val="clear"/>
        <w:snapToGrid w:val="0"/>
        <w:spacing w:line="5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 本招标项目已经批准，采购单位为</w:t>
      </w:r>
      <w:r>
        <w:rPr>
          <w:rFonts w:hint="eastAsia" w:asciiTheme="minorEastAsia" w:hAnsiTheme="minorEastAsia" w:eastAsiaTheme="minorEastAsia" w:cstheme="minorEastAsia"/>
          <w:color w:val="auto"/>
          <w:sz w:val="24"/>
          <w:szCs w:val="24"/>
          <w:highlight w:val="none"/>
          <w:u w:val="single"/>
        </w:rPr>
        <w:t>新疆科技学院</w:t>
      </w:r>
      <w:r>
        <w:rPr>
          <w:rFonts w:hint="eastAsia" w:asciiTheme="minorEastAsia" w:hAnsiTheme="minorEastAsia" w:eastAsiaTheme="minorEastAsia" w:cstheme="minorEastAsia"/>
          <w:color w:val="auto"/>
          <w:sz w:val="24"/>
          <w:szCs w:val="24"/>
          <w:highlight w:val="none"/>
        </w:rPr>
        <w:t>，该项目已具备招标条件。</w:t>
      </w:r>
    </w:p>
    <w:p w14:paraId="27F6E3BF">
      <w:pPr>
        <w:shd w:val="clear"/>
        <w:snapToGrid w:val="0"/>
        <w:spacing w:line="5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1.3参加竞标的供应商必须符合供应商须知前附表说明，通过资格后审的供应商为合格的供应商。合格的供应商必须符合磋商文件中对供应商的规定，且具备独立完成本项目的能力，</w:t>
      </w:r>
      <w:r>
        <w:rPr>
          <w:rFonts w:hint="eastAsia" w:asciiTheme="minorEastAsia" w:hAnsiTheme="minorEastAsia" w:eastAsiaTheme="minorEastAsia" w:cstheme="minorEastAsia"/>
          <w:b/>
          <w:color w:val="auto"/>
          <w:sz w:val="24"/>
          <w:szCs w:val="24"/>
          <w:highlight w:val="none"/>
        </w:rPr>
        <w:t>成交后不允许转包、违法分包</w:t>
      </w:r>
      <w:r>
        <w:rPr>
          <w:rFonts w:hint="eastAsia" w:asciiTheme="minorEastAsia" w:hAnsiTheme="minorEastAsia" w:eastAsiaTheme="minorEastAsia" w:cstheme="minorEastAsia"/>
          <w:color w:val="auto"/>
          <w:sz w:val="24"/>
          <w:szCs w:val="24"/>
          <w:highlight w:val="none"/>
        </w:rPr>
        <w:t>。</w:t>
      </w:r>
    </w:p>
    <w:p w14:paraId="7201D410">
      <w:pPr>
        <w:shd w:val="clear"/>
        <w:snapToGrid w:val="0"/>
        <w:spacing w:line="5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 资格后审包括下列的内容</w:t>
      </w:r>
    </w:p>
    <w:p w14:paraId="27085AE3">
      <w:pPr>
        <w:shd w:val="clear"/>
        <w:snapToGrid w:val="0"/>
        <w:spacing w:line="5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1.4.1 供应商须满足“前附表”规定的资格要求 ；</w:t>
      </w:r>
    </w:p>
    <w:p w14:paraId="7D0B8D7C">
      <w:pPr>
        <w:shd w:val="clear"/>
        <w:snapToGrid w:val="0"/>
        <w:spacing w:line="5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1.4.2 磋商响应文件有要求供应商法定代表人或其授权代表签字或盖章和加盖供应商公章要求的，供应商须按要求盖章或签字；</w:t>
      </w:r>
    </w:p>
    <w:p w14:paraId="1456054F">
      <w:pPr>
        <w:shd w:val="clear"/>
        <w:snapToGrid w:val="0"/>
        <w:spacing w:line="5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1.4.3</w:t>
      </w:r>
      <w:r>
        <w:rPr>
          <w:rFonts w:hint="eastAsia" w:asciiTheme="minorEastAsia" w:hAnsiTheme="minorEastAsia" w:eastAsiaTheme="minorEastAsia" w:cstheme="minorEastAsia"/>
          <w:color w:val="auto"/>
          <w:sz w:val="24"/>
          <w:szCs w:val="24"/>
          <w:highlight w:val="none"/>
          <w:lang w:eastAsia="zh-CN"/>
        </w:rPr>
        <w:t>供货期</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质保期</w:t>
      </w:r>
      <w:r>
        <w:rPr>
          <w:rFonts w:hint="eastAsia" w:asciiTheme="minorEastAsia" w:hAnsiTheme="minorEastAsia" w:eastAsiaTheme="minorEastAsia" w:cstheme="minorEastAsia"/>
          <w:color w:val="auto"/>
          <w:sz w:val="24"/>
          <w:szCs w:val="24"/>
          <w:highlight w:val="none"/>
        </w:rPr>
        <w:t>符合磋商文件要求；</w:t>
      </w:r>
    </w:p>
    <w:p w14:paraId="0687D032">
      <w:pPr>
        <w:shd w:val="clear"/>
        <w:snapToGrid w:val="0"/>
        <w:spacing w:line="5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1.4.4 磋商地点符合磋商文件规定；</w:t>
      </w:r>
    </w:p>
    <w:p w14:paraId="77A24910">
      <w:pPr>
        <w:shd w:val="clear"/>
        <w:snapToGrid w:val="0"/>
        <w:spacing w:line="5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1.4.5 磋商内容、质量满足磋商文件要求；</w:t>
      </w:r>
    </w:p>
    <w:p w14:paraId="76CA7281">
      <w:pPr>
        <w:shd w:val="clear"/>
        <w:snapToGrid w:val="0"/>
        <w:spacing w:line="5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1.4.6 磋商响应文件中所提条件均符合采购人的要求；</w:t>
      </w:r>
    </w:p>
    <w:p w14:paraId="492A4890">
      <w:pPr>
        <w:shd w:val="clear"/>
        <w:snapToGrid w:val="0"/>
        <w:spacing w:line="5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1.4.7 符合磋商文件中规定的其他实质性要求；</w:t>
      </w:r>
    </w:p>
    <w:p w14:paraId="22A6A5DA">
      <w:pPr>
        <w:shd w:val="clear"/>
        <w:snapToGrid w:val="0"/>
        <w:spacing w:line="5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1.4.8 无法律、法规和规章禁止的其他情况。</w:t>
      </w:r>
    </w:p>
    <w:p w14:paraId="1057094A">
      <w:pPr>
        <w:shd w:val="clear"/>
        <w:snapToGrid w:val="0"/>
        <w:spacing w:line="500" w:lineRule="exact"/>
        <w:ind w:firstLine="482"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（二）采购方式</w:t>
      </w:r>
    </w:p>
    <w:p w14:paraId="70419791">
      <w:pPr>
        <w:shd w:val="clear"/>
        <w:snapToGrid w:val="0"/>
        <w:spacing w:line="5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 本项目采取</w:t>
      </w:r>
      <w:r>
        <w:rPr>
          <w:rFonts w:hint="eastAsia" w:asciiTheme="minorEastAsia" w:hAnsiTheme="minorEastAsia" w:eastAsiaTheme="minorEastAsia" w:cstheme="minorEastAsia"/>
          <w:color w:val="auto"/>
          <w:sz w:val="24"/>
          <w:szCs w:val="24"/>
          <w:highlight w:val="none"/>
          <w:u w:val="single"/>
        </w:rPr>
        <w:t>竞争性磋商方式</w:t>
      </w:r>
      <w:r>
        <w:rPr>
          <w:rFonts w:hint="eastAsia" w:asciiTheme="minorEastAsia" w:hAnsiTheme="minorEastAsia" w:eastAsiaTheme="minorEastAsia" w:cstheme="minorEastAsia"/>
          <w:color w:val="auto"/>
          <w:sz w:val="24"/>
          <w:szCs w:val="24"/>
          <w:highlight w:val="none"/>
        </w:rPr>
        <w:t>采购。</w:t>
      </w:r>
    </w:p>
    <w:p w14:paraId="369A6370">
      <w:pPr>
        <w:shd w:val="clear"/>
        <w:snapToGrid w:val="0"/>
        <w:spacing w:line="500" w:lineRule="exact"/>
        <w:ind w:firstLine="482" w:firstLineChars="200"/>
        <w:jc w:val="left"/>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（三）合格的供应商</w:t>
      </w:r>
    </w:p>
    <w:p w14:paraId="2DFB46AD">
      <w:pPr>
        <w:shd w:val="clear"/>
        <w:snapToGrid w:val="0"/>
        <w:spacing w:line="5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 合格的供应商必须是有能力按照本竞争性磋商文件规定的要求提供货物、服务，且具有独立承担民事等法律责任的法人或其它经济组织，本次磋商不接受联合体投标。</w:t>
      </w:r>
    </w:p>
    <w:p w14:paraId="3E623ACF">
      <w:pPr>
        <w:shd w:val="clear"/>
        <w:snapToGrid w:val="0"/>
        <w:spacing w:line="5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 供应商应按照磋商文件的要求编制磋商响应文件。磋商响应文件应当对磋商文件提出的要求和条件做出实质性响应。</w:t>
      </w:r>
    </w:p>
    <w:p w14:paraId="591E6681">
      <w:pPr>
        <w:shd w:val="clear"/>
        <w:snapToGrid w:val="0"/>
        <w:spacing w:line="5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3.3已按规定交纳磋商保证金。</w:t>
      </w:r>
    </w:p>
    <w:p w14:paraId="08F1A903">
      <w:pPr>
        <w:shd w:val="clear"/>
        <w:snapToGrid w:val="0"/>
        <w:spacing w:line="5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3.4单位负责人为同一人或者存在直接控股、管理关系的不同供应商，不得参加同一合同项下的政府采购活动。</w:t>
      </w:r>
    </w:p>
    <w:p w14:paraId="6CE383C3">
      <w:pPr>
        <w:shd w:val="clear"/>
        <w:snapToGrid w:val="0"/>
        <w:spacing w:line="5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3.5 为采购项目提供整体设计、规范编制或者项目管理、监理、检测等服务的供应商，不得再参加本项目的采购活动。</w:t>
      </w:r>
    </w:p>
    <w:p w14:paraId="591056EC">
      <w:pPr>
        <w:shd w:val="clear"/>
        <w:snapToGrid w:val="0"/>
        <w:spacing w:line="500" w:lineRule="exact"/>
        <w:ind w:firstLine="482"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（四）适用法律</w:t>
      </w:r>
    </w:p>
    <w:p w14:paraId="2E0F36BC">
      <w:pPr>
        <w:pStyle w:val="18"/>
        <w:shd w:val="clear"/>
        <w:snapToGrid w:val="0"/>
        <w:spacing w:line="500" w:lineRule="exact"/>
        <w:ind w:left="0" w:leftChars="0" w:firstLine="240" w:firstLineChars="100"/>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val="0"/>
          <w:color w:val="auto"/>
          <w:szCs w:val="24"/>
          <w:highlight w:val="none"/>
          <w:u w:val="none"/>
        </w:rPr>
        <w:t>4.1</w:t>
      </w:r>
      <w:r>
        <w:rPr>
          <w:rFonts w:hint="eastAsia" w:asciiTheme="minorEastAsia" w:hAnsiTheme="minorEastAsia" w:eastAsiaTheme="minorEastAsia" w:cstheme="minorEastAsia"/>
          <w:color w:val="auto"/>
          <w:szCs w:val="24"/>
          <w:highlight w:val="none"/>
          <w:u w:val="none"/>
        </w:rPr>
        <w:t xml:space="preserve"> </w:t>
      </w:r>
      <w:r>
        <w:rPr>
          <w:rFonts w:hint="eastAsia" w:asciiTheme="minorEastAsia" w:hAnsiTheme="minorEastAsia" w:eastAsiaTheme="minorEastAsia" w:cstheme="minorEastAsia"/>
          <w:color w:val="auto"/>
          <w:szCs w:val="24"/>
          <w:highlight w:val="none"/>
        </w:rPr>
        <w:t>本次磋商及由本次磋商产生的合同受中华人民共和国的相关法律、法规制约和保护。</w:t>
      </w:r>
    </w:p>
    <w:p w14:paraId="7A3A5FD2">
      <w:pPr>
        <w:shd w:val="clear"/>
        <w:snapToGrid w:val="0"/>
        <w:spacing w:line="500" w:lineRule="exact"/>
        <w:ind w:firstLine="482"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（五）竞争性磋商费用</w:t>
      </w:r>
    </w:p>
    <w:p w14:paraId="6E3A40C7">
      <w:pPr>
        <w:shd w:val="clear"/>
        <w:snapToGrid w:val="0"/>
        <w:spacing w:line="50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 供应商应自行承担所有参加磋商有关的费用。</w:t>
      </w:r>
    </w:p>
    <w:p w14:paraId="5AB836F8">
      <w:pPr>
        <w:shd w:val="clear"/>
        <w:snapToGrid w:val="0"/>
        <w:spacing w:line="500" w:lineRule="exact"/>
        <w:ind w:firstLine="482"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（六）竞争性磋商文件的约束力</w:t>
      </w:r>
    </w:p>
    <w:p w14:paraId="4C7A00B7">
      <w:pPr>
        <w:shd w:val="clear"/>
        <w:snapToGrid w:val="0"/>
        <w:spacing w:line="5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6.1 供应商一旦报名参加本项目竞标，即被认为接受了本竞争性磋商文件中的所有条件和规定。</w:t>
      </w:r>
    </w:p>
    <w:p w14:paraId="40DF33BA">
      <w:pPr>
        <w:shd w:val="clear"/>
        <w:snapToGrid w:val="0"/>
        <w:spacing w:line="500" w:lineRule="exact"/>
        <w:ind w:firstLine="200"/>
        <w:jc w:val="center"/>
        <w:outlineLvl w:val="1"/>
        <w:rPr>
          <w:rFonts w:asciiTheme="minorEastAsia" w:hAnsiTheme="minorEastAsia" w:eastAsiaTheme="minorEastAsia" w:cstheme="minorEastAsia"/>
          <w:b/>
          <w:color w:val="auto"/>
          <w:sz w:val="24"/>
          <w:szCs w:val="24"/>
          <w:highlight w:val="none"/>
        </w:rPr>
      </w:pPr>
      <w:bookmarkStart w:id="5" w:name="_Toc31468"/>
      <w:r>
        <w:rPr>
          <w:rFonts w:hint="eastAsia" w:asciiTheme="minorEastAsia" w:hAnsiTheme="minorEastAsia" w:eastAsiaTheme="minorEastAsia" w:cstheme="minorEastAsia"/>
          <w:b/>
          <w:color w:val="auto"/>
          <w:sz w:val="24"/>
          <w:szCs w:val="24"/>
          <w:highlight w:val="none"/>
        </w:rPr>
        <w:t>二、竞争性磋商文件</w:t>
      </w:r>
      <w:bookmarkEnd w:id="5"/>
    </w:p>
    <w:p w14:paraId="548A31C2">
      <w:pPr>
        <w:shd w:val="clear"/>
        <w:snapToGrid w:val="0"/>
        <w:spacing w:line="500" w:lineRule="exact"/>
        <w:ind w:firstLine="482" w:firstLineChars="200"/>
        <w:jc w:val="left"/>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（七）竞争性磋商文件构成</w:t>
      </w:r>
    </w:p>
    <w:p w14:paraId="4BE7376A">
      <w:pPr>
        <w:shd w:val="clear"/>
        <w:snapToGrid w:val="0"/>
        <w:spacing w:line="50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7.1 竞争性磋商文件包括内容：</w:t>
      </w:r>
    </w:p>
    <w:p w14:paraId="17861061">
      <w:pPr>
        <w:shd w:val="clear"/>
        <w:snapToGrid w:val="0"/>
        <w:spacing w:line="50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7.1.1竞争性磋商公告；</w:t>
      </w:r>
    </w:p>
    <w:p w14:paraId="100B9EC0">
      <w:pPr>
        <w:shd w:val="clear"/>
        <w:snapToGrid w:val="0"/>
        <w:spacing w:line="50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7.1.2供应商须知前附表及须知；</w:t>
      </w:r>
    </w:p>
    <w:p w14:paraId="1E464847">
      <w:pPr>
        <w:shd w:val="clear"/>
        <w:snapToGrid w:val="0"/>
        <w:spacing w:line="50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7.1.3采购合同；</w:t>
      </w:r>
    </w:p>
    <w:p w14:paraId="2C236DBF">
      <w:pPr>
        <w:shd w:val="clear"/>
        <w:snapToGrid w:val="0"/>
        <w:spacing w:line="50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7.1.4采购需求 ；</w:t>
      </w:r>
    </w:p>
    <w:p w14:paraId="46A5A1CF">
      <w:pPr>
        <w:shd w:val="clear"/>
        <w:snapToGrid w:val="0"/>
        <w:spacing w:line="50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7.1.5磋商响应文件格式。</w:t>
      </w:r>
    </w:p>
    <w:p w14:paraId="28D9A428">
      <w:pPr>
        <w:shd w:val="clear"/>
        <w:snapToGrid w:val="0"/>
        <w:spacing w:line="50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7.2 供应商获取竞争性磋商文件后，应仔细检查竞争性磋商文件页数和附件数量，如发现有缺漏，请即时与采购代理机构联系补全。如果供应商不按上述要求操作而造成不良后果，采购人及采购代理机构不承担责任。</w:t>
      </w:r>
    </w:p>
    <w:p w14:paraId="433CD23A">
      <w:pPr>
        <w:shd w:val="clear"/>
        <w:snapToGrid w:val="0"/>
        <w:spacing w:line="500" w:lineRule="exact"/>
        <w:ind w:firstLine="482"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（八）竞争性磋商文件的澄清</w:t>
      </w:r>
    </w:p>
    <w:p w14:paraId="18757C89">
      <w:pPr>
        <w:shd w:val="clear"/>
        <w:snapToGrid w:val="0"/>
        <w:spacing w:line="50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8.1 任何要求对竞争性磋商文件澄清的供应商，均应当在提交首次响应文件截止时间5日前按公告中的通讯地址，以书面形式（加盖公章）递交给采购代理机构，采购代理机构对规定时间内收到的澄清要求以书面形式予以答复，答复不包括问题的来源。</w:t>
      </w:r>
    </w:p>
    <w:p w14:paraId="5C0C0036">
      <w:pPr>
        <w:shd w:val="clear"/>
        <w:snapToGrid w:val="0"/>
        <w:spacing w:line="500" w:lineRule="exact"/>
        <w:ind w:firstLine="482" w:firstLineChars="200"/>
        <w:jc w:val="left"/>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（九）竞争性磋商文件的修改</w:t>
      </w:r>
    </w:p>
    <w:p w14:paraId="4DC0D3F5">
      <w:pPr>
        <w:shd w:val="clear"/>
        <w:snapToGrid w:val="0"/>
        <w:spacing w:line="50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9.1 </w:t>
      </w:r>
      <w:r>
        <w:rPr>
          <w:rFonts w:hint="eastAsia" w:asciiTheme="minorEastAsia" w:hAnsiTheme="minorEastAsia" w:eastAsiaTheme="minorEastAsia" w:cstheme="minorEastAsia"/>
          <w:bCs/>
          <w:color w:val="auto"/>
          <w:sz w:val="24"/>
          <w:szCs w:val="24"/>
          <w:highlight w:val="none"/>
        </w:rPr>
        <w:t>提交首次磋商响应文件截止之日前，采购人、采购代理机构或者磋商小组可以对已发出的磋商文件进行必要的澄清或者修改，澄清或者修改的内容作为磋商文件的组成部分。澄清或者修改的内容可能影响磋商响应文件编制的，采购人、采购代理机构应当在提交首次磋商响应文件截止时间至少5日前，以书面形式通知所有获取磋商文件的供应商；不足5日的，采购人、采购代理机构应当顺延提交首次磋商响应文件截止时间。</w:t>
      </w:r>
    </w:p>
    <w:p w14:paraId="39CD6014">
      <w:pPr>
        <w:shd w:val="clear"/>
        <w:snapToGrid w:val="0"/>
        <w:spacing w:line="50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9.2 竞争性磋商文件的修改将以书面形式通知所有已报名供应商，并对竞标供应商具有约束力。</w:t>
      </w:r>
      <w:r>
        <w:rPr>
          <w:rFonts w:hint="eastAsia" w:asciiTheme="minorEastAsia" w:hAnsiTheme="minorEastAsia" w:eastAsiaTheme="minorEastAsia" w:cstheme="minorEastAsia"/>
          <w:b w:val="0"/>
          <w:bCs/>
          <w:color w:val="auto"/>
          <w:sz w:val="24"/>
          <w:szCs w:val="24"/>
          <w:highlight w:val="none"/>
          <w:u w:val="single"/>
        </w:rPr>
        <w:t>供应商收到修改文件后，应于1日内回复采购人，逾期不回的，视同已收。</w:t>
      </w:r>
    </w:p>
    <w:p w14:paraId="11D58FD2">
      <w:pPr>
        <w:shd w:val="clear"/>
        <w:snapToGrid w:val="0"/>
        <w:spacing w:line="50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9.3 为使供应商有充分的时间对竞争性磋商文件的修改部分进行分析、研究，采购人有权推迟磋商响应文件接收截止日期和磋商时间，并将此变更书面通知所有购买竞争性磋商文件的供应商。</w:t>
      </w:r>
    </w:p>
    <w:p w14:paraId="08E21344">
      <w:pPr>
        <w:shd w:val="clear"/>
        <w:snapToGrid w:val="0"/>
        <w:spacing w:line="50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9.4 采购人发出的所有补充、修改和变更文件均作为竞争性磋商文件的组成部分，与竞争性磋商文件具有同等法律效力。</w:t>
      </w:r>
    </w:p>
    <w:p w14:paraId="60E3E4EB">
      <w:pPr>
        <w:shd w:val="clear"/>
        <w:snapToGrid w:val="0"/>
        <w:spacing w:line="500" w:lineRule="exact"/>
        <w:ind w:firstLine="480" w:firstLineChars="200"/>
        <w:jc w:val="left"/>
        <w:rPr>
          <w:rFonts w:asciiTheme="minorEastAsia" w:hAnsiTheme="minorEastAsia" w:eastAsiaTheme="minorEastAsia" w:cstheme="minorEastAsia"/>
          <w:color w:val="auto"/>
          <w:sz w:val="24"/>
          <w:szCs w:val="24"/>
          <w:highlight w:val="none"/>
        </w:rPr>
      </w:pPr>
    </w:p>
    <w:p w14:paraId="4F7545F3">
      <w:pPr>
        <w:shd w:val="clear"/>
        <w:snapToGrid w:val="0"/>
        <w:spacing w:line="500" w:lineRule="exact"/>
        <w:ind w:firstLine="200"/>
        <w:jc w:val="center"/>
        <w:outlineLvl w:val="1"/>
        <w:rPr>
          <w:rFonts w:asciiTheme="minorEastAsia" w:hAnsiTheme="minorEastAsia" w:eastAsiaTheme="minorEastAsia" w:cstheme="minorEastAsia"/>
          <w:b/>
          <w:color w:val="auto"/>
          <w:sz w:val="24"/>
          <w:szCs w:val="24"/>
          <w:highlight w:val="none"/>
        </w:rPr>
      </w:pPr>
      <w:bookmarkStart w:id="6" w:name="_Toc1863"/>
      <w:r>
        <w:rPr>
          <w:rFonts w:hint="eastAsia" w:asciiTheme="minorEastAsia" w:hAnsiTheme="minorEastAsia" w:eastAsiaTheme="minorEastAsia" w:cstheme="minorEastAsia"/>
          <w:b/>
          <w:color w:val="auto"/>
          <w:sz w:val="24"/>
          <w:szCs w:val="24"/>
          <w:highlight w:val="none"/>
        </w:rPr>
        <w:t>三、磋商响应文件的编制</w:t>
      </w:r>
      <w:bookmarkEnd w:id="6"/>
    </w:p>
    <w:p w14:paraId="5FD0A994">
      <w:pPr>
        <w:shd w:val="clear"/>
        <w:snapToGrid w:val="0"/>
        <w:spacing w:line="500" w:lineRule="exact"/>
        <w:ind w:firstLine="482" w:firstLineChars="200"/>
        <w:jc w:val="left"/>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（十）磋商响应文件的编制要求</w:t>
      </w:r>
    </w:p>
    <w:p w14:paraId="4FFAC365">
      <w:pPr>
        <w:shd w:val="clear"/>
        <w:snapToGrid w:val="0"/>
        <w:spacing w:line="5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10.1 供应商应仔细阅读“竞争性磋商文件”的所有内容，按“竞争性磋商文件”的要求编制“磋商响应文件”，并保证所提供的全部资料的真实性、完整性及有效性，并对“竞争性磋商文件”做出实质性响应。否则，可能被拒绝。</w:t>
      </w:r>
    </w:p>
    <w:p w14:paraId="69C7DA93">
      <w:pPr>
        <w:shd w:val="clear"/>
        <w:snapToGrid w:val="0"/>
        <w:spacing w:line="500" w:lineRule="exact"/>
        <w:ind w:firstLine="482" w:firstLineChars="200"/>
        <w:jc w:val="left"/>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（十一）磋商响应文件构成</w:t>
      </w:r>
    </w:p>
    <w:p w14:paraId="7FD3493B">
      <w:pPr>
        <w:shd w:val="clear"/>
        <w:spacing w:line="500" w:lineRule="exact"/>
        <w:ind w:firstLine="480" w:firstLineChars="200"/>
        <w:rPr>
          <w:rFonts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11.1</w:t>
      </w:r>
      <w:r>
        <w:rPr>
          <w:rFonts w:hint="eastAsia" w:asciiTheme="minorEastAsia" w:hAnsiTheme="minorEastAsia" w:eastAsiaTheme="minorEastAsia" w:cstheme="minorEastAsia"/>
          <w:color w:val="auto"/>
          <w:sz w:val="24"/>
          <w:szCs w:val="24"/>
          <w:highlight w:val="none"/>
        </w:rPr>
        <w:t>磋商响应书</w:t>
      </w:r>
    </w:p>
    <w:p w14:paraId="56D2E79B">
      <w:pPr>
        <w:shd w:val="clear"/>
        <w:spacing w:line="500" w:lineRule="exact"/>
        <w:ind w:firstLine="480" w:firstLineChars="200"/>
        <w:rPr>
          <w:rFonts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11.2开标一览表</w:t>
      </w:r>
    </w:p>
    <w:p w14:paraId="1C1E3BD8">
      <w:pPr>
        <w:shd w:val="clear"/>
        <w:autoSpaceDE w:val="0"/>
        <w:autoSpaceDN w:val="0"/>
        <w:adjustRightInd w:val="0"/>
        <w:spacing w:line="50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供应商基本情况表</w:t>
      </w:r>
    </w:p>
    <w:p w14:paraId="417D74F4">
      <w:pPr>
        <w:shd w:val="clear"/>
        <w:autoSpaceDE w:val="0"/>
        <w:autoSpaceDN w:val="0"/>
        <w:adjustRightInd w:val="0"/>
        <w:spacing w:line="50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法定代表人身份证明书</w:t>
      </w:r>
    </w:p>
    <w:p w14:paraId="319C4B2D">
      <w:pPr>
        <w:shd w:val="clear"/>
        <w:autoSpaceDE w:val="0"/>
        <w:autoSpaceDN w:val="0"/>
        <w:adjustRightInd w:val="0"/>
        <w:spacing w:line="50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法定代表人授权委托书</w:t>
      </w:r>
    </w:p>
    <w:p w14:paraId="3CD61908">
      <w:pPr>
        <w:shd w:val="clear"/>
        <w:autoSpaceDE w:val="0"/>
        <w:autoSpaceDN w:val="0"/>
        <w:adjustRightInd w:val="0"/>
        <w:spacing w:line="50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关于《中华人民共和国政府采购法》第二十二条的承诺书</w:t>
      </w:r>
    </w:p>
    <w:p w14:paraId="70F2D7D5">
      <w:pPr>
        <w:shd w:val="clear"/>
        <w:autoSpaceDE w:val="0"/>
        <w:autoSpaceDN w:val="0"/>
        <w:adjustRightInd w:val="0"/>
        <w:spacing w:line="50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w:t>
      </w:r>
      <w:r>
        <w:rPr>
          <w:rFonts w:hint="eastAsia" w:asciiTheme="minorEastAsia" w:hAnsiTheme="minorEastAsia" w:eastAsiaTheme="minorEastAsia" w:cstheme="minorEastAsia"/>
          <w:color w:val="auto"/>
          <w:sz w:val="24"/>
          <w:szCs w:val="24"/>
          <w:highlight w:val="none"/>
          <w:lang w:val="en-US" w:eastAsia="zh-CN"/>
        </w:rPr>
        <w:t>7</w:t>
      </w:r>
      <w:r>
        <w:rPr>
          <w:rFonts w:hint="eastAsia" w:ascii="宋体" w:hAnsi="宋体"/>
          <w:color w:val="auto"/>
          <w:sz w:val="24"/>
          <w:szCs w:val="24"/>
          <w:highlight w:val="none"/>
        </w:rPr>
        <w:t>廉洁投标承诺书</w:t>
      </w:r>
    </w:p>
    <w:p w14:paraId="7D226C1A">
      <w:pPr>
        <w:shd w:val="clear"/>
        <w:autoSpaceDE w:val="0"/>
        <w:autoSpaceDN w:val="0"/>
        <w:adjustRightInd w:val="0"/>
        <w:spacing w:line="50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供应商的资格声明</w:t>
      </w:r>
    </w:p>
    <w:p w14:paraId="2DAE0F6C">
      <w:pPr>
        <w:shd w:val="clear"/>
        <w:autoSpaceDE w:val="0"/>
        <w:autoSpaceDN w:val="0"/>
        <w:adjustRightInd w:val="0"/>
        <w:spacing w:line="500" w:lineRule="exact"/>
        <w:ind w:firstLine="480" w:firstLineChars="20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11.</w:t>
      </w: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lang w:eastAsia="zh-CN"/>
        </w:rPr>
        <w:t>供应商需提供的资料</w:t>
      </w:r>
    </w:p>
    <w:p w14:paraId="30007430">
      <w:pPr>
        <w:shd w:val="clear"/>
        <w:autoSpaceDE w:val="0"/>
        <w:autoSpaceDN w:val="0"/>
        <w:adjustRightInd w:val="0"/>
        <w:spacing w:line="50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11.1</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采购需求响应偏离表</w:t>
      </w:r>
    </w:p>
    <w:p w14:paraId="2A131108">
      <w:pPr>
        <w:shd w:val="clear"/>
        <w:autoSpaceDE w:val="0"/>
        <w:autoSpaceDN w:val="0"/>
        <w:adjustRightInd w:val="0"/>
        <w:spacing w:line="50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11.1</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供应商类似项目业绩表</w:t>
      </w:r>
    </w:p>
    <w:p w14:paraId="57784FF6">
      <w:pPr>
        <w:shd w:val="clear"/>
        <w:autoSpaceDE w:val="0"/>
        <w:autoSpaceDN w:val="0"/>
        <w:adjustRightInd w:val="0"/>
        <w:spacing w:line="50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11.1</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中小微企业声明函</w:t>
      </w:r>
    </w:p>
    <w:p w14:paraId="4441641A">
      <w:pPr>
        <w:shd w:val="clear"/>
        <w:autoSpaceDE w:val="0"/>
        <w:autoSpaceDN w:val="0"/>
        <w:adjustRightInd w:val="0"/>
        <w:spacing w:line="50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11.1</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评审中所需资料</w:t>
      </w:r>
    </w:p>
    <w:p w14:paraId="2C1C8CC9">
      <w:pPr>
        <w:shd w:val="clear"/>
        <w:autoSpaceDE w:val="0"/>
        <w:autoSpaceDN w:val="0"/>
        <w:adjustRightInd w:val="0"/>
        <w:spacing w:line="50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w:t>
      </w:r>
      <w:r>
        <w:rPr>
          <w:rFonts w:hint="eastAsia" w:asciiTheme="minorEastAsia" w:hAnsiTheme="minorEastAsia" w:eastAsiaTheme="minorEastAsia" w:cstheme="minorEastAsia"/>
          <w:color w:val="auto"/>
          <w:sz w:val="24"/>
          <w:szCs w:val="24"/>
          <w:highlight w:val="none"/>
          <w:lang w:val="en-US" w:eastAsia="zh-CN"/>
        </w:rPr>
        <w:t>14</w:t>
      </w:r>
      <w:r>
        <w:rPr>
          <w:rFonts w:hint="eastAsia" w:asciiTheme="minorEastAsia" w:hAnsiTheme="minorEastAsia" w:eastAsiaTheme="minorEastAsia" w:cstheme="minorEastAsia"/>
          <w:color w:val="auto"/>
          <w:sz w:val="24"/>
          <w:szCs w:val="24"/>
          <w:highlight w:val="none"/>
        </w:rPr>
        <w:t>供应商认为有必要提供的其他资料</w:t>
      </w:r>
    </w:p>
    <w:p w14:paraId="784446A4">
      <w:pPr>
        <w:shd w:val="clear"/>
        <w:snapToGrid w:val="0"/>
        <w:spacing w:line="500" w:lineRule="exact"/>
        <w:ind w:firstLine="482"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（十二）磋商响应文件格式</w:t>
      </w:r>
    </w:p>
    <w:p w14:paraId="625B65E2">
      <w:pPr>
        <w:shd w:val="clear"/>
        <w:snapToGrid w:val="0"/>
        <w:spacing w:line="50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12.1 供应商需按照上述磋商响应文件构成顺序编制磋商响应文件，并编制目录、页码，并按竞争性磋商文件中提供的格式填写、签署。措施文件未提供格式的，供应商可自行拓展。</w:t>
      </w:r>
    </w:p>
    <w:p w14:paraId="7D296800">
      <w:pPr>
        <w:shd w:val="clear"/>
        <w:snapToGrid w:val="0"/>
        <w:spacing w:line="500" w:lineRule="exact"/>
        <w:ind w:firstLine="482"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（十三）竞标报价</w:t>
      </w:r>
    </w:p>
    <w:p w14:paraId="7AF500D5">
      <w:pPr>
        <w:shd w:val="clear"/>
        <w:snapToGrid w:val="0"/>
        <w:spacing w:line="50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13.1 本招标项目使用的货币为</w:t>
      </w:r>
      <w:r>
        <w:rPr>
          <w:rFonts w:hint="eastAsia" w:asciiTheme="minorEastAsia" w:hAnsiTheme="minorEastAsia" w:eastAsiaTheme="minorEastAsia" w:cstheme="minorEastAsia"/>
          <w:color w:val="auto"/>
          <w:sz w:val="24"/>
          <w:szCs w:val="24"/>
          <w:highlight w:val="none"/>
          <w:u w:val="single"/>
        </w:rPr>
        <w:t xml:space="preserve"> 人民币 </w:t>
      </w:r>
      <w:r>
        <w:rPr>
          <w:rFonts w:hint="eastAsia" w:asciiTheme="minorEastAsia" w:hAnsiTheme="minorEastAsia" w:eastAsiaTheme="minorEastAsia" w:cstheme="minorEastAsia"/>
          <w:color w:val="auto"/>
          <w:sz w:val="24"/>
          <w:szCs w:val="24"/>
          <w:highlight w:val="none"/>
        </w:rPr>
        <w:t xml:space="preserve">，实施时亦以 </w:t>
      </w:r>
      <w:r>
        <w:rPr>
          <w:rFonts w:hint="eastAsia" w:asciiTheme="minorEastAsia" w:hAnsiTheme="minorEastAsia" w:eastAsiaTheme="minorEastAsia" w:cstheme="minorEastAsia"/>
          <w:color w:val="auto"/>
          <w:sz w:val="24"/>
          <w:szCs w:val="24"/>
          <w:highlight w:val="none"/>
          <w:u w:val="single"/>
        </w:rPr>
        <w:t xml:space="preserve">人民币 </w:t>
      </w:r>
      <w:r>
        <w:rPr>
          <w:rFonts w:hint="eastAsia" w:asciiTheme="minorEastAsia" w:hAnsiTheme="minorEastAsia" w:eastAsiaTheme="minorEastAsia" w:cstheme="minorEastAsia"/>
          <w:color w:val="auto"/>
          <w:sz w:val="24"/>
          <w:szCs w:val="24"/>
          <w:highlight w:val="none"/>
        </w:rPr>
        <w:t>支付。</w:t>
      </w:r>
    </w:p>
    <w:p w14:paraId="2D550725">
      <w:pPr>
        <w:shd w:val="clear"/>
        <w:snapToGrid w:val="0"/>
        <w:spacing w:line="50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13.2 竞标报价为供应商的报价应为所确定的招标范围内的全部工作内容的价格体现。任何有选择的报价将不予接受（除非采购人另有约定），否则，在评标时将其视为无效投标。</w:t>
      </w:r>
    </w:p>
    <w:p w14:paraId="634273C4">
      <w:pPr>
        <w:shd w:val="clear"/>
        <w:snapToGrid w:val="0"/>
        <w:spacing w:line="50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13.3 开标一览表（报价表）标明的价格在签订合同及合同执行过程中是固定不变的，不得以任何理由予以变更（除非采购人另有约定）。</w:t>
      </w:r>
    </w:p>
    <w:p w14:paraId="4EF1C71E">
      <w:pPr>
        <w:shd w:val="clear"/>
        <w:snapToGrid w:val="0"/>
        <w:spacing w:line="50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13.4 开标时，磋商响应文件中开标一览表（报价表）内容与磋商响应文件中分项报价表内容不一致的，以开标一览表（报价表）为准。磋商响应文件的大小写金额不一致的，以大写金额为准；总价金额与按单价金额汇总金额不一致的，以单价金额计算结果为准；单价金额小数点有明显错位的，以总价为准，并修改单价；对不同文字文本磋商响应文件的解释发生异议的，以中文文本为准。若供应商拒不接受前述修正，将有可能导致投标无效。</w:t>
      </w:r>
    </w:p>
    <w:p w14:paraId="658AB752">
      <w:pPr>
        <w:shd w:val="clear"/>
        <w:snapToGrid w:val="0"/>
        <w:spacing w:line="500" w:lineRule="exact"/>
        <w:ind w:firstLine="482"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（十四）磋商保证金</w:t>
      </w:r>
    </w:p>
    <w:p w14:paraId="6E2AB992">
      <w:pPr>
        <w:shd w:val="clear"/>
        <w:snapToGrid w:val="0"/>
        <w:spacing w:line="50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14.1 磋商保证金是为了保护采购人和招标机构免遭因供应商的违规、违约行为而引起的风险，采购人/招标机构在受到损害时可根据本须知的有关规定没收供应商的磋商保证金。成交供应商如未能按磋商文件要求与采购人签署项目合同并提交履约担保的，视为成交供应商违约，则采购人有权提取成交供应商磋商保证金。</w:t>
      </w:r>
    </w:p>
    <w:p w14:paraId="75FE551D">
      <w:pPr>
        <w:shd w:val="clear"/>
        <w:snapToGrid w:val="0"/>
        <w:spacing w:line="50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14.2 供应商应提交磋商保证金，并作为其竞标的一部分。磋商文件前附表规定交纳磋商保证金的，供应商应按磋商文件前附表规定的要求提交保证金，磋商保证金有效期应与磋商文件规定的磋商有效期一致。供应商未按照磋商文件要求提交磋商保证金的，政府采购代理机构应当拒绝接收供应商的磋商响应文件或磋商小组在评标时将其视为无效竞标。</w:t>
      </w:r>
    </w:p>
    <w:p w14:paraId="15012E93">
      <w:pPr>
        <w:shd w:val="clear"/>
        <w:snapToGrid w:val="0"/>
        <w:spacing w:line="50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14.3 磋商保证金不接受银行保函。凡未提交磋商保证金的投标，将被视为非实质性响应性投标而被拒绝。</w:t>
      </w:r>
    </w:p>
    <w:p w14:paraId="0A405D78">
      <w:pPr>
        <w:shd w:val="clear"/>
        <w:snapToGrid w:val="0"/>
        <w:spacing w:line="50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14.4 联合体投标的，可以由联合体中的一方或者共同提交磋商保证金。以一方名义提交磋商保证金的，对联合体各方均具有约束力。</w:t>
      </w:r>
    </w:p>
    <w:p w14:paraId="1B7E101A">
      <w:pPr>
        <w:shd w:val="clear"/>
        <w:snapToGrid w:val="0"/>
        <w:spacing w:line="50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14.5 未成交供应商的磋商保证金，将在成交通知书发出5个工作日内退还。因违反规定被没收的磋商保证金不予退回。</w:t>
      </w:r>
    </w:p>
    <w:p w14:paraId="2A826AE2">
      <w:pPr>
        <w:shd w:val="clear"/>
        <w:snapToGrid w:val="0"/>
        <w:spacing w:line="50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14.6 成交供应商的磋商保证金，须按磋商要求与采购人签订合同并缴纳履约担保，提供与采购签署的合同复印件（须加盖成交供应商公章）、及按磋商要求向采购人提交履约担保证明资料（加盖成交供应商公章），向招标机构付清政府采购代理服务费后5个工作日内予以退还。</w:t>
      </w:r>
    </w:p>
    <w:p w14:paraId="7BBB4886">
      <w:pPr>
        <w:shd w:val="clear"/>
        <w:snapToGrid w:val="0"/>
        <w:spacing w:line="50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14.7 下列任何情况发生时，磋商保证金将可能被没收：</w:t>
      </w:r>
    </w:p>
    <w:p w14:paraId="6647383C">
      <w:pPr>
        <w:shd w:val="clear"/>
        <w:snapToGrid w:val="0"/>
        <w:spacing w:line="50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14.7.1 供应商在规定的磋商有效期内撤回其投标；</w:t>
      </w:r>
    </w:p>
    <w:p w14:paraId="18410873">
      <w:pPr>
        <w:shd w:val="clear"/>
        <w:snapToGrid w:val="0"/>
        <w:spacing w:line="50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14.7.2 成交供应商无正当理由拒绝按规定与采购人签订合同或未能在规定期限内签署合同的或未按采购文件要求提交履约保证金的；</w:t>
      </w:r>
    </w:p>
    <w:p w14:paraId="1B7D2376">
      <w:pPr>
        <w:shd w:val="clear"/>
        <w:snapToGrid w:val="0"/>
        <w:spacing w:line="50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14.8 供应商办理磋商保证金退款申请手续须提供以下资料：</w:t>
      </w:r>
    </w:p>
    <w:p w14:paraId="25D4DAC2">
      <w:pPr>
        <w:shd w:val="clear"/>
        <w:snapToGrid w:val="0"/>
        <w:spacing w:line="50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14.8.1 供应商给代理机构开具的收款收据（收款单位开具并加盖收款单位财务章）；同时须提供清晰的开户银行名称、银行账号及收款单位名称。</w:t>
      </w:r>
    </w:p>
    <w:p w14:paraId="139B6E40">
      <w:pPr>
        <w:shd w:val="clear"/>
        <w:snapToGrid w:val="0"/>
        <w:spacing w:line="50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14.8.2 退还成交供应商方磋商保证金时，成交供应商方还须提供与采购人签订的合同原件一份（原件核查无误后退还）和已加盖成交方公章的合同全本复印件一份（代理机构存档备查）。</w:t>
      </w:r>
    </w:p>
    <w:p w14:paraId="67812A6E">
      <w:pPr>
        <w:shd w:val="clear"/>
        <w:snapToGrid w:val="0"/>
        <w:spacing w:line="500" w:lineRule="exact"/>
        <w:ind w:firstLine="482"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（十五）磋商有效期</w:t>
      </w:r>
    </w:p>
    <w:p w14:paraId="647EDC53">
      <w:pPr>
        <w:shd w:val="clear"/>
        <w:snapToGrid w:val="0"/>
        <w:spacing w:line="50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15.1 磋商有效期为竞争性磋商文件规定的供应商提交磋商响应文件截止之日起</w:t>
      </w:r>
      <w:r>
        <w:rPr>
          <w:rFonts w:hint="eastAsia" w:asciiTheme="minorEastAsia" w:hAnsiTheme="minorEastAsia" w:eastAsiaTheme="minorEastAsia" w:cstheme="minorEastAsia"/>
          <w:color w:val="auto"/>
          <w:sz w:val="24"/>
          <w:szCs w:val="24"/>
          <w:highlight w:val="none"/>
          <w:u w:val="single"/>
        </w:rPr>
        <w:t>90</w:t>
      </w:r>
      <w:r>
        <w:rPr>
          <w:rFonts w:hint="eastAsia" w:asciiTheme="minorEastAsia" w:hAnsiTheme="minorEastAsia" w:eastAsiaTheme="minorEastAsia" w:cstheme="minorEastAsia"/>
          <w:color w:val="auto"/>
          <w:sz w:val="24"/>
          <w:szCs w:val="24"/>
          <w:highlight w:val="none"/>
        </w:rPr>
        <w:t>天。磋商有效期不满足竞争性磋商文件要求的将视为非响应性文件而予以拒绝。</w:t>
      </w:r>
    </w:p>
    <w:p w14:paraId="6471B937">
      <w:pPr>
        <w:shd w:val="clear"/>
        <w:snapToGrid w:val="0"/>
        <w:spacing w:line="50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15.2 在特殊情况下，采购人于原磋商有效期满之前，可向供应商提出延长磋商有效期的要求，这种要求与答复均应采用书面形式（如信件、传真或电报等），供应商可以拒绝采购人的这一要求而放弃参与磋商，磋商保证金予以退回；同意延长的供应商既不能要求也不允许修改其磋商响应文件。第十四条有关磋商保证金的没收和退还的规定在延长期内继续有效。</w:t>
      </w:r>
    </w:p>
    <w:p w14:paraId="7CAD6B16">
      <w:pPr>
        <w:shd w:val="clear"/>
        <w:snapToGrid w:val="0"/>
        <w:spacing w:line="500" w:lineRule="exact"/>
        <w:ind w:firstLine="482" w:firstLineChars="200"/>
        <w:jc w:val="left"/>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（十六）磋商响应文件份数</w:t>
      </w:r>
    </w:p>
    <w:p w14:paraId="3C2E8623">
      <w:pPr>
        <w:shd w:val="clear"/>
        <w:snapToGrid w:val="0"/>
        <w:spacing w:line="50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16.1 响应文件的组成（投标现场无需递交投标文件，中标单位公示完之后需提供）:</w:t>
      </w:r>
    </w:p>
    <w:p w14:paraId="343F2186">
      <w:pPr>
        <w:shd w:val="clear"/>
        <w:snapToGrid w:val="0"/>
        <w:spacing w:line="50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纸质版投标文件：一式四份，其中正本一份，副本三份，需编制目录及页码，在每一份响应文件上要明确注明“正本”或“副本”字样，如正、副本之间有差异，以正本为准。</w:t>
      </w:r>
    </w:p>
    <w:p w14:paraId="2BB8D5E2">
      <w:pPr>
        <w:shd w:val="clear"/>
        <w:snapToGrid w:val="0"/>
        <w:spacing w:line="50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投标文件电子版：以u盘为介质投标文件的电子版一份。</w:t>
      </w:r>
    </w:p>
    <w:p w14:paraId="19F9EAAA">
      <w:pPr>
        <w:shd w:val="clear"/>
        <w:snapToGrid w:val="0"/>
        <w:spacing w:line="500" w:lineRule="exact"/>
        <w:ind w:firstLine="480" w:firstLineChars="200"/>
        <w:jc w:val="left"/>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15、</w:t>
      </w:r>
      <w:r>
        <w:rPr>
          <w:rFonts w:hint="eastAsia" w:asciiTheme="minorEastAsia" w:hAnsiTheme="minorEastAsia" w:eastAsiaTheme="minorEastAsia" w:cstheme="minorEastAsia"/>
          <w:b/>
          <w:color w:val="auto"/>
          <w:sz w:val="24"/>
          <w:szCs w:val="24"/>
          <w:highlight w:val="none"/>
        </w:rPr>
        <w:t>说明：上传证件、证书等资料须是原件的扫描件，供应商应如实提供资料，并保证真实可靠，不得弄虚作假。如供应商隐瞒事实真相、弄虚作假，一经查实，取消该供应商的磋商资格，若成交的，取消其成交资格。</w:t>
      </w:r>
    </w:p>
    <w:p w14:paraId="4128AB11">
      <w:pPr>
        <w:shd w:val="clear"/>
        <w:snapToGrid w:val="0"/>
        <w:spacing w:line="500" w:lineRule="exact"/>
        <w:ind w:firstLine="480" w:firstLineChars="200"/>
        <w:jc w:val="left"/>
        <w:rPr>
          <w:rFonts w:asciiTheme="minorEastAsia" w:hAnsiTheme="minorEastAsia" w:eastAsiaTheme="minorEastAsia" w:cstheme="minorEastAsia"/>
          <w:color w:val="auto"/>
          <w:sz w:val="24"/>
          <w:szCs w:val="24"/>
          <w:highlight w:val="none"/>
        </w:rPr>
      </w:pPr>
    </w:p>
    <w:p w14:paraId="39AECC23">
      <w:pPr>
        <w:shd w:val="clear"/>
        <w:snapToGrid w:val="0"/>
        <w:spacing w:line="500" w:lineRule="exact"/>
        <w:ind w:firstLine="482" w:firstLineChars="200"/>
        <w:jc w:val="left"/>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（十七）磋商响应文件格式</w:t>
      </w:r>
    </w:p>
    <w:p w14:paraId="470E1755">
      <w:pPr>
        <w:shd w:val="clear"/>
        <w:snapToGrid w:val="0"/>
        <w:spacing w:line="500" w:lineRule="exact"/>
        <w:ind w:firstLine="480" w:firstLineChars="200"/>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17.1 供应商应按磋商文件提供的格式编写。</w:t>
      </w:r>
    </w:p>
    <w:p w14:paraId="086DDE76">
      <w:pPr>
        <w:shd w:val="clear"/>
        <w:snapToGrid w:val="0"/>
        <w:spacing w:line="500" w:lineRule="exact"/>
        <w:ind w:firstLine="482" w:firstLineChars="200"/>
        <w:rPr>
          <w:rFonts w:asciiTheme="minorEastAsia" w:hAnsiTheme="minorEastAsia" w:eastAsiaTheme="minorEastAsia" w:cstheme="minorEastAsia"/>
          <w:b/>
          <w:color w:val="auto"/>
          <w:sz w:val="24"/>
          <w:szCs w:val="24"/>
          <w:highlight w:val="none"/>
        </w:rPr>
      </w:pPr>
    </w:p>
    <w:p w14:paraId="67C7F25E">
      <w:pPr>
        <w:shd w:val="clear"/>
        <w:snapToGrid w:val="0"/>
        <w:spacing w:line="500" w:lineRule="exact"/>
        <w:ind w:firstLine="200"/>
        <w:jc w:val="center"/>
        <w:outlineLvl w:val="1"/>
        <w:rPr>
          <w:rFonts w:asciiTheme="minorEastAsia" w:hAnsiTheme="minorEastAsia" w:eastAsiaTheme="minorEastAsia" w:cstheme="minorEastAsia"/>
          <w:b/>
          <w:color w:val="auto"/>
          <w:sz w:val="24"/>
          <w:szCs w:val="24"/>
          <w:highlight w:val="none"/>
        </w:rPr>
      </w:pPr>
      <w:bookmarkStart w:id="7" w:name="_Toc10581"/>
      <w:r>
        <w:rPr>
          <w:rFonts w:hint="eastAsia" w:asciiTheme="minorEastAsia" w:hAnsiTheme="minorEastAsia" w:eastAsiaTheme="minorEastAsia" w:cstheme="minorEastAsia"/>
          <w:b/>
          <w:color w:val="auto"/>
          <w:sz w:val="24"/>
          <w:szCs w:val="24"/>
          <w:highlight w:val="none"/>
        </w:rPr>
        <w:t>四、磋商响应文件的递交</w:t>
      </w:r>
      <w:bookmarkEnd w:id="7"/>
    </w:p>
    <w:p w14:paraId="7BEA0CC8">
      <w:pPr>
        <w:shd w:val="clear"/>
        <w:snapToGrid w:val="0"/>
        <w:spacing w:line="500" w:lineRule="exact"/>
        <w:ind w:firstLine="482" w:firstLineChars="200"/>
        <w:jc w:val="left"/>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（十八）磋商响应文件递交截止日期及方式</w:t>
      </w:r>
    </w:p>
    <w:p w14:paraId="580214DB">
      <w:pPr>
        <w:shd w:val="clear"/>
        <w:snapToGrid w:val="0"/>
        <w:spacing w:line="5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18.1 所有磋商响应文件都必须在竞争性磋商文件规定的递交截止时间前上传政采云平台。</w:t>
      </w:r>
    </w:p>
    <w:p w14:paraId="6F4CCE3C">
      <w:pPr>
        <w:shd w:val="clear"/>
        <w:snapToGrid w:val="0"/>
        <w:spacing w:line="500" w:lineRule="exact"/>
        <w:ind w:firstLine="480" w:firstLineChars="200"/>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18.2 采购代理机构将在竞争性磋商文件规定的时间和地点组织磋商会议</w:t>
      </w:r>
      <w:r>
        <w:rPr>
          <w:rFonts w:hint="eastAsia" w:asciiTheme="minorEastAsia" w:hAnsiTheme="minorEastAsia" w:eastAsiaTheme="minorEastAsia" w:cstheme="minorEastAsia"/>
          <w:b/>
          <w:color w:val="auto"/>
          <w:sz w:val="24"/>
          <w:szCs w:val="24"/>
          <w:highlight w:val="none"/>
        </w:rPr>
        <w:t>。</w:t>
      </w:r>
    </w:p>
    <w:p w14:paraId="31696A7F">
      <w:pPr>
        <w:shd w:val="clear"/>
        <w:snapToGrid w:val="0"/>
        <w:spacing w:line="500" w:lineRule="exact"/>
        <w:ind w:firstLine="482"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（十九）迟交的磋商响应文件</w:t>
      </w:r>
    </w:p>
    <w:p w14:paraId="5BD75C98">
      <w:pPr>
        <w:shd w:val="clear"/>
        <w:snapToGrid w:val="0"/>
        <w:spacing w:line="5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19.1 采购人将拒绝接收在规定的截止日期后递交的任何磋商响应文件。</w:t>
      </w:r>
      <w:bookmarkStart w:id="8" w:name="_Toc213839733"/>
    </w:p>
    <w:p w14:paraId="46687C79">
      <w:pPr>
        <w:shd w:val="clear"/>
        <w:snapToGrid w:val="0"/>
        <w:spacing w:line="500" w:lineRule="exact"/>
        <w:ind w:firstLine="482" w:firstLineChars="200"/>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（二十）磋商响应文件的修改</w:t>
      </w:r>
      <w:bookmarkEnd w:id="8"/>
    </w:p>
    <w:p w14:paraId="2C4ACB54">
      <w:pPr>
        <w:shd w:val="clear"/>
        <w:snapToGrid w:val="0"/>
        <w:spacing w:line="5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20.1 供应商在递交磋商响应文件截止时间之前，对所递交的磋商响应文件可以以书面形式补充、修改或撤回已提交的磋商响应文件，补充、修改的内容为磋商响应文件的组成部分，对供应商具有约束力。</w:t>
      </w:r>
      <w:bookmarkStart w:id="9" w:name="_Toc213839734"/>
    </w:p>
    <w:p w14:paraId="25EF39CA">
      <w:pPr>
        <w:shd w:val="clear"/>
        <w:snapToGrid w:val="0"/>
        <w:spacing w:line="5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20.2供应商对磋商响应文件的补充、修改或撤回，应按本磋商文件的规定编制、标识和提交。</w:t>
      </w:r>
    </w:p>
    <w:p w14:paraId="087E4F64">
      <w:pPr>
        <w:shd w:val="clear"/>
        <w:snapToGrid w:val="0"/>
        <w:spacing w:line="500" w:lineRule="exact"/>
        <w:ind w:firstLine="200"/>
        <w:jc w:val="center"/>
        <w:outlineLvl w:val="1"/>
        <w:rPr>
          <w:rFonts w:asciiTheme="minorEastAsia" w:hAnsiTheme="minorEastAsia" w:eastAsiaTheme="minorEastAsia" w:cstheme="minorEastAsia"/>
          <w:b/>
          <w:color w:val="auto"/>
          <w:sz w:val="24"/>
          <w:szCs w:val="24"/>
          <w:highlight w:val="none"/>
        </w:rPr>
      </w:pPr>
      <w:bookmarkStart w:id="10" w:name="_Toc14072"/>
      <w:r>
        <w:rPr>
          <w:rFonts w:hint="eastAsia" w:asciiTheme="minorEastAsia" w:hAnsiTheme="minorEastAsia" w:eastAsiaTheme="minorEastAsia" w:cstheme="minorEastAsia"/>
          <w:b/>
          <w:color w:val="auto"/>
          <w:sz w:val="24"/>
          <w:szCs w:val="24"/>
          <w:highlight w:val="none"/>
        </w:rPr>
        <w:t>五、无效标、废标条款</w:t>
      </w:r>
      <w:bookmarkEnd w:id="10"/>
    </w:p>
    <w:p w14:paraId="312FEF4D">
      <w:pPr>
        <w:shd w:val="clear"/>
        <w:snapToGrid w:val="0"/>
        <w:spacing w:line="500" w:lineRule="exact"/>
        <w:ind w:firstLine="482" w:firstLineChars="200"/>
        <w:jc w:val="left"/>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（二十一）无效竞标条款</w:t>
      </w:r>
    </w:p>
    <w:p w14:paraId="408A55EC">
      <w:pPr>
        <w:shd w:val="clear"/>
        <w:snapToGrid w:val="0"/>
        <w:spacing w:line="500" w:lineRule="exact"/>
        <w:ind w:firstLine="480" w:firstLineChars="200"/>
        <w:jc w:val="left"/>
        <w:rPr>
          <w:rFonts w:asciiTheme="minorEastAsia" w:hAnsiTheme="minorEastAsia" w:eastAsiaTheme="minorEastAsia" w:cstheme="minorEastAsia"/>
          <w:color w:val="auto"/>
          <w:sz w:val="24"/>
          <w:szCs w:val="24"/>
          <w:highlight w:val="none"/>
          <w:lang w:val="zh-CN"/>
        </w:rPr>
      </w:pPr>
      <w:bookmarkStart w:id="11" w:name="_Toc520282245"/>
      <w:r>
        <w:rPr>
          <w:rFonts w:hint="eastAsia" w:asciiTheme="minorEastAsia" w:hAnsiTheme="minorEastAsia" w:eastAsiaTheme="minorEastAsia" w:cstheme="minorEastAsia"/>
          <w:color w:val="auto"/>
          <w:sz w:val="24"/>
          <w:szCs w:val="24"/>
          <w:highlight w:val="none"/>
        </w:rPr>
        <w:t>21.1</w:t>
      </w:r>
      <w:r>
        <w:rPr>
          <w:rFonts w:hint="eastAsia" w:asciiTheme="minorEastAsia" w:hAnsiTheme="minorEastAsia" w:eastAsiaTheme="minorEastAsia" w:cstheme="minorEastAsia"/>
          <w:color w:val="auto"/>
          <w:sz w:val="24"/>
          <w:szCs w:val="24"/>
          <w:highlight w:val="none"/>
          <w:lang w:val="zh-CN"/>
        </w:rPr>
        <w:t>未按竞争性磋商文件规定的形式和金额交纳磋商保证金的；</w:t>
      </w:r>
      <w:bookmarkEnd w:id="11"/>
    </w:p>
    <w:p w14:paraId="29163DBC">
      <w:pPr>
        <w:shd w:val="clear"/>
        <w:snapToGrid w:val="0"/>
        <w:spacing w:line="500" w:lineRule="exact"/>
        <w:ind w:firstLine="480" w:firstLineChars="200"/>
        <w:jc w:val="left"/>
        <w:rPr>
          <w:rFonts w:asciiTheme="minorEastAsia" w:hAnsiTheme="minorEastAsia" w:eastAsiaTheme="minorEastAsia" w:cstheme="minorEastAsia"/>
          <w:color w:val="auto"/>
          <w:sz w:val="24"/>
          <w:szCs w:val="24"/>
          <w:highlight w:val="none"/>
          <w:lang w:val="zh-CN"/>
        </w:rPr>
      </w:pPr>
      <w:bookmarkStart w:id="12" w:name="_Toc520282246"/>
      <w:r>
        <w:rPr>
          <w:rFonts w:hint="eastAsia" w:asciiTheme="minorEastAsia" w:hAnsiTheme="minorEastAsia" w:eastAsiaTheme="minorEastAsia" w:cstheme="minorEastAsia"/>
          <w:color w:val="auto"/>
          <w:sz w:val="24"/>
          <w:szCs w:val="24"/>
          <w:highlight w:val="none"/>
        </w:rPr>
        <w:t>21.2</w:t>
      </w:r>
      <w:r>
        <w:rPr>
          <w:rFonts w:hint="eastAsia" w:asciiTheme="minorEastAsia" w:hAnsiTheme="minorEastAsia" w:eastAsiaTheme="minorEastAsia" w:cstheme="minorEastAsia"/>
          <w:color w:val="auto"/>
          <w:sz w:val="24"/>
          <w:szCs w:val="24"/>
          <w:highlight w:val="none"/>
          <w:lang w:val="zh-CN"/>
        </w:rPr>
        <w:t>未按照竞争性磋商文件规定要求签署、盖章的；</w:t>
      </w:r>
      <w:bookmarkEnd w:id="12"/>
    </w:p>
    <w:p w14:paraId="48F20F81">
      <w:pPr>
        <w:shd w:val="clear"/>
        <w:snapToGrid w:val="0"/>
        <w:spacing w:line="500" w:lineRule="exact"/>
        <w:ind w:firstLine="480" w:firstLineChars="200"/>
        <w:jc w:val="left"/>
        <w:rPr>
          <w:rFonts w:asciiTheme="minorEastAsia" w:hAnsiTheme="minorEastAsia" w:eastAsiaTheme="minorEastAsia" w:cstheme="minorEastAsia"/>
          <w:color w:val="auto"/>
          <w:sz w:val="24"/>
          <w:szCs w:val="24"/>
          <w:highlight w:val="none"/>
        </w:rPr>
      </w:pPr>
      <w:bookmarkStart w:id="13" w:name="_Toc520282247"/>
      <w:r>
        <w:rPr>
          <w:rFonts w:hint="eastAsia" w:asciiTheme="minorEastAsia" w:hAnsiTheme="minorEastAsia" w:eastAsiaTheme="minorEastAsia" w:cstheme="minorEastAsia"/>
          <w:color w:val="auto"/>
          <w:sz w:val="24"/>
          <w:szCs w:val="24"/>
          <w:highlight w:val="none"/>
        </w:rPr>
        <w:t>21.3</w:t>
      </w:r>
      <w:r>
        <w:rPr>
          <w:rFonts w:hint="eastAsia" w:asciiTheme="minorEastAsia" w:hAnsiTheme="minorEastAsia" w:eastAsiaTheme="minorEastAsia" w:cstheme="minorEastAsia"/>
          <w:color w:val="auto"/>
          <w:sz w:val="24"/>
          <w:szCs w:val="24"/>
          <w:highlight w:val="none"/>
          <w:lang w:val="zh-CN"/>
        </w:rPr>
        <w:t>未满足</w:t>
      </w:r>
      <w:r>
        <w:rPr>
          <w:rFonts w:hint="eastAsia" w:asciiTheme="minorEastAsia" w:hAnsiTheme="minorEastAsia" w:eastAsiaTheme="minorEastAsia" w:cstheme="minorEastAsia"/>
          <w:color w:val="auto"/>
          <w:sz w:val="24"/>
          <w:szCs w:val="24"/>
          <w:highlight w:val="none"/>
        </w:rPr>
        <w:t>竞争性磋商文件规定资格要求的；</w:t>
      </w:r>
    </w:p>
    <w:p w14:paraId="2D8EB060">
      <w:pPr>
        <w:shd w:val="clear"/>
        <w:snapToGrid w:val="0"/>
        <w:spacing w:line="50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21.4未满足“投标须知”规定的实质性要求的；</w:t>
      </w:r>
    </w:p>
    <w:p w14:paraId="344408CD">
      <w:pPr>
        <w:shd w:val="clear"/>
        <w:snapToGrid w:val="0"/>
        <w:spacing w:line="50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21.5同一供应商提交两个以上不同的磋商响应文件或者竞标报价的（竞争性磋商文件要求允许提交备选方案的除外）；</w:t>
      </w:r>
    </w:p>
    <w:p w14:paraId="71A52FDE">
      <w:pPr>
        <w:shd w:val="clear"/>
        <w:snapToGrid w:val="0"/>
        <w:spacing w:line="50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21.6磋商响应文件载明的磋商响应内容小于竞争性磋商文件规定的采购内容的(缺漏竞争性磋商文件所要求的内容)；</w:t>
      </w:r>
    </w:p>
    <w:p w14:paraId="1F0E211E">
      <w:pPr>
        <w:shd w:val="clear"/>
        <w:snapToGrid w:val="0"/>
        <w:spacing w:line="50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21.7磋商有效期</w:t>
      </w:r>
      <w:r>
        <w:rPr>
          <w:rFonts w:hint="eastAsia" w:asciiTheme="minorEastAsia" w:hAnsiTheme="minorEastAsia" w:eastAsiaTheme="minorEastAsia" w:cstheme="minorEastAsia"/>
          <w:color w:val="auto"/>
          <w:sz w:val="24"/>
          <w:szCs w:val="24"/>
          <w:highlight w:val="none"/>
          <w:lang w:val="zh-CN"/>
        </w:rPr>
        <w:t>不满足要求</w:t>
      </w:r>
      <w:r>
        <w:rPr>
          <w:rFonts w:hint="eastAsia" w:asciiTheme="minorEastAsia" w:hAnsiTheme="minorEastAsia" w:eastAsiaTheme="minorEastAsia" w:cstheme="minorEastAsia"/>
          <w:color w:val="auto"/>
          <w:sz w:val="24"/>
          <w:szCs w:val="24"/>
          <w:highlight w:val="none"/>
        </w:rPr>
        <w:t>的；</w:t>
      </w:r>
    </w:p>
    <w:p w14:paraId="5861A3CC">
      <w:pPr>
        <w:shd w:val="clear"/>
        <w:snapToGrid w:val="0"/>
        <w:spacing w:line="500" w:lineRule="exact"/>
        <w:ind w:firstLine="480" w:firstLineChars="200"/>
        <w:jc w:val="left"/>
        <w:rPr>
          <w:rFonts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21.8</w:t>
      </w:r>
      <w:r>
        <w:rPr>
          <w:rFonts w:hint="eastAsia" w:asciiTheme="minorEastAsia" w:hAnsiTheme="minorEastAsia" w:eastAsiaTheme="minorEastAsia" w:cstheme="minorEastAsia"/>
          <w:color w:val="auto"/>
          <w:sz w:val="24"/>
          <w:szCs w:val="24"/>
          <w:highlight w:val="none"/>
          <w:lang w:val="zh-CN"/>
        </w:rPr>
        <w:t>未满足竞争性磋商文件中商务及技术条款的实质性要求；</w:t>
      </w:r>
      <w:bookmarkEnd w:id="13"/>
    </w:p>
    <w:p w14:paraId="38ED56B6">
      <w:pPr>
        <w:shd w:val="clear"/>
        <w:snapToGrid w:val="0"/>
        <w:spacing w:line="500" w:lineRule="exact"/>
        <w:ind w:firstLine="480" w:firstLineChars="200"/>
        <w:jc w:val="left"/>
        <w:rPr>
          <w:rFonts w:asciiTheme="minorEastAsia" w:hAnsiTheme="minorEastAsia" w:eastAsiaTheme="minorEastAsia" w:cstheme="minorEastAsia"/>
          <w:color w:val="auto"/>
          <w:sz w:val="24"/>
          <w:szCs w:val="24"/>
          <w:highlight w:val="none"/>
          <w:lang w:val="zh-CN"/>
        </w:rPr>
      </w:pPr>
      <w:bookmarkStart w:id="14" w:name="_Toc520282248"/>
      <w:r>
        <w:rPr>
          <w:rFonts w:hint="eastAsia" w:asciiTheme="minorEastAsia" w:hAnsiTheme="minorEastAsia" w:eastAsiaTheme="minorEastAsia" w:cstheme="minorEastAsia"/>
          <w:color w:val="auto"/>
          <w:sz w:val="24"/>
          <w:szCs w:val="24"/>
          <w:highlight w:val="none"/>
        </w:rPr>
        <w:t>21.9</w:t>
      </w:r>
      <w:r>
        <w:rPr>
          <w:rFonts w:hint="eastAsia" w:asciiTheme="minorEastAsia" w:hAnsiTheme="minorEastAsia" w:eastAsiaTheme="minorEastAsia" w:cstheme="minorEastAsia"/>
          <w:color w:val="auto"/>
          <w:sz w:val="24"/>
          <w:szCs w:val="24"/>
          <w:highlight w:val="none"/>
          <w:lang w:val="zh-CN"/>
        </w:rPr>
        <w:t>与其他供应商串通投标，或者与采购人串通投标妨碍其他供应商竞争行为，损害采购人或者其他供应商合法权益的；</w:t>
      </w:r>
      <w:bookmarkEnd w:id="14"/>
    </w:p>
    <w:p w14:paraId="09C5965E">
      <w:pPr>
        <w:shd w:val="clear"/>
        <w:snapToGrid w:val="0"/>
        <w:spacing w:line="500" w:lineRule="exact"/>
        <w:ind w:firstLine="480" w:firstLineChars="200"/>
        <w:jc w:val="left"/>
        <w:rPr>
          <w:rFonts w:asciiTheme="minorEastAsia" w:hAnsiTheme="minorEastAsia" w:eastAsiaTheme="minorEastAsia" w:cstheme="minorEastAsia"/>
          <w:color w:val="auto"/>
          <w:sz w:val="24"/>
          <w:szCs w:val="24"/>
          <w:highlight w:val="none"/>
          <w:lang w:val="zh-CN"/>
        </w:rPr>
      </w:pPr>
      <w:bookmarkStart w:id="15" w:name="_Toc520282249"/>
      <w:r>
        <w:rPr>
          <w:rFonts w:hint="eastAsia" w:asciiTheme="minorEastAsia" w:hAnsiTheme="minorEastAsia" w:eastAsiaTheme="minorEastAsia" w:cstheme="minorEastAsia"/>
          <w:color w:val="auto"/>
          <w:sz w:val="24"/>
          <w:szCs w:val="24"/>
          <w:highlight w:val="none"/>
        </w:rPr>
        <w:t>21.10</w:t>
      </w:r>
      <w:r>
        <w:rPr>
          <w:rFonts w:hint="eastAsia" w:asciiTheme="minorEastAsia" w:hAnsiTheme="minorEastAsia" w:eastAsiaTheme="minorEastAsia" w:cstheme="minorEastAsia"/>
          <w:color w:val="auto"/>
          <w:sz w:val="24"/>
          <w:szCs w:val="24"/>
          <w:highlight w:val="none"/>
          <w:lang w:val="zh-CN"/>
        </w:rPr>
        <w:t>属于竞争性磋商文件规定的其他无效投标情形；</w:t>
      </w:r>
      <w:bookmarkEnd w:id="15"/>
    </w:p>
    <w:p w14:paraId="234C6862">
      <w:pPr>
        <w:shd w:val="clear"/>
        <w:snapToGrid w:val="0"/>
        <w:spacing w:line="500" w:lineRule="exact"/>
        <w:ind w:firstLine="480" w:firstLineChars="200"/>
        <w:jc w:val="left"/>
        <w:rPr>
          <w:rFonts w:asciiTheme="minorEastAsia" w:hAnsiTheme="minorEastAsia" w:eastAsiaTheme="minorEastAsia" w:cstheme="minorEastAsia"/>
          <w:color w:val="auto"/>
          <w:sz w:val="24"/>
          <w:szCs w:val="24"/>
          <w:highlight w:val="none"/>
          <w:lang w:val="zh-CN"/>
        </w:rPr>
      </w:pPr>
      <w:bookmarkStart w:id="16" w:name="_Toc520282250"/>
      <w:r>
        <w:rPr>
          <w:rFonts w:hint="eastAsia" w:asciiTheme="minorEastAsia" w:hAnsiTheme="minorEastAsia" w:eastAsiaTheme="minorEastAsia" w:cstheme="minorEastAsia"/>
          <w:color w:val="auto"/>
          <w:sz w:val="24"/>
          <w:szCs w:val="24"/>
          <w:highlight w:val="none"/>
        </w:rPr>
        <w:t>21.11</w:t>
      </w:r>
      <w:r>
        <w:rPr>
          <w:rFonts w:hint="eastAsia" w:asciiTheme="minorEastAsia" w:hAnsiTheme="minorEastAsia" w:eastAsiaTheme="minorEastAsia" w:cstheme="minorEastAsia"/>
          <w:color w:val="auto"/>
          <w:sz w:val="24"/>
          <w:szCs w:val="24"/>
          <w:highlight w:val="none"/>
          <w:lang w:val="zh-CN"/>
        </w:rPr>
        <w:t>评标委员会认为供应商的价格明显低于其他通过符合性检查供应商的按价格，有可能影响履约的，且供应商未按照规定证明其报价合理性的；</w:t>
      </w:r>
      <w:bookmarkEnd w:id="16"/>
    </w:p>
    <w:p w14:paraId="5804449E">
      <w:pPr>
        <w:shd w:val="clear"/>
        <w:snapToGrid w:val="0"/>
        <w:spacing w:line="500" w:lineRule="exact"/>
        <w:ind w:firstLine="480" w:firstLineChars="200"/>
        <w:jc w:val="left"/>
        <w:rPr>
          <w:rFonts w:asciiTheme="minorEastAsia" w:hAnsiTheme="minorEastAsia" w:eastAsiaTheme="minorEastAsia" w:cstheme="minorEastAsia"/>
          <w:color w:val="auto"/>
          <w:sz w:val="24"/>
          <w:szCs w:val="24"/>
          <w:highlight w:val="none"/>
          <w:lang w:val="zh-CN"/>
        </w:rPr>
      </w:pPr>
      <w:bookmarkStart w:id="17" w:name="_Toc520282251"/>
      <w:r>
        <w:rPr>
          <w:rFonts w:hint="eastAsia" w:asciiTheme="minorEastAsia" w:hAnsiTheme="minorEastAsia" w:eastAsiaTheme="minorEastAsia" w:cstheme="minorEastAsia"/>
          <w:color w:val="auto"/>
          <w:sz w:val="24"/>
          <w:szCs w:val="24"/>
          <w:highlight w:val="none"/>
        </w:rPr>
        <w:t>21.12</w:t>
      </w:r>
      <w:r>
        <w:rPr>
          <w:rFonts w:hint="eastAsia" w:asciiTheme="minorEastAsia" w:hAnsiTheme="minorEastAsia" w:eastAsiaTheme="minorEastAsia" w:cstheme="minorEastAsia"/>
          <w:color w:val="auto"/>
          <w:sz w:val="24"/>
          <w:szCs w:val="24"/>
          <w:highlight w:val="none"/>
          <w:lang w:val="zh-CN"/>
        </w:rPr>
        <w:t>磋商响应文件含有采购人不能接受的附加条件的；</w:t>
      </w:r>
      <w:bookmarkEnd w:id="17"/>
    </w:p>
    <w:p w14:paraId="652B1A85">
      <w:pPr>
        <w:shd w:val="clear"/>
        <w:snapToGrid w:val="0"/>
        <w:spacing w:line="500" w:lineRule="exact"/>
        <w:ind w:firstLine="480" w:firstLineChars="200"/>
        <w:jc w:val="left"/>
        <w:rPr>
          <w:rFonts w:asciiTheme="minorEastAsia" w:hAnsiTheme="minorEastAsia" w:eastAsiaTheme="minorEastAsia" w:cstheme="minorEastAsia"/>
          <w:color w:val="auto"/>
          <w:sz w:val="24"/>
          <w:szCs w:val="24"/>
          <w:highlight w:val="none"/>
        </w:rPr>
      </w:pPr>
      <w:bookmarkStart w:id="18" w:name="_Toc520282252"/>
      <w:r>
        <w:rPr>
          <w:rFonts w:hint="eastAsia" w:asciiTheme="minorEastAsia" w:hAnsiTheme="minorEastAsia" w:eastAsiaTheme="minorEastAsia" w:cstheme="minorEastAsia"/>
          <w:color w:val="auto"/>
          <w:sz w:val="24"/>
          <w:szCs w:val="24"/>
          <w:highlight w:val="none"/>
        </w:rPr>
        <w:t>21.13</w:t>
      </w:r>
      <w:r>
        <w:rPr>
          <w:rFonts w:hint="eastAsia" w:asciiTheme="minorEastAsia" w:hAnsiTheme="minorEastAsia" w:eastAsiaTheme="minorEastAsia" w:cstheme="minorEastAsia"/>
          <w:color w:val="auto"/>
          <w:sz w:val="24"/>
          <w:szCs w:val="24"/>
          <w:highlight w:val="none"/>
          <w:lang w:val="zh-CN"/>
        </w:rPr>
        <w:t>不符合法规和竞争性磋商文件中规定的其他实质性要求的。</w:t>
      </w:r>
      <w:bookmarkEnd w:id="18"/>
    </w:p>
    <w:p w14:paraId="61E70F32">
      <w:pPr>
        <w:shd w:val="clear"/>
        <w:snapToGrid w:val="0"/>
        <w:spacing w:line="500" w:lineRule="exact"/>
        <w:ind w:firstLine="482" w:firstLineChars="200"/>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（二十二）废标条款</w:t>
      </w:r>
    </w:p>
    <w:p w14:paraId="32863AEA">
      <w:pPr>
        <w:shd w:val="clear"/>
        <w:snapToGrid w:val="0"/>
        <w:spacing w:line="500" w:lineRule="exact"/>
        <w:ind w:firstLine="480" w:firstLineChars="200"/>
        <w:jc w:val="left"/>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22.1 开标后，符合专业条件的供应商或者对竞争性磋商文件作实质响应的供应商不足三家的；</w:t>
      </w:r>
    </w:p>
    <w:p w14:paraId="2A7E8B01">
      <w:pPr>
        <w:shd w:val="clear"/>
        <w:snapToGrid w:val="0"/>
        <w:spacing w:line="5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22.2 出现影响采购公正的违法、违规行为的；</w:t>
      </w:r>
    </w:p>
    <w:p w14:paraId="472A03B2">
      <w:pPr>
        <w:shd w:val="clear"/>
        <w:snapToGrid w:val="0"/>
        <w:spacing w:line="5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22.3 供应商的报价均超过了采购预算，采购人不能支付的；</w:t>
      </w:r>
    </w:p>
    <w:p w14:paraId="6599261F">
      <w:pPr>
        <w:shd w:val="clear"/>
        <w:snapToGrid w:val="0"/>
        <w:spacing w:line="5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22.4 因重大变故，采购任务取消的。</w:t>
      </w:r>
    </w:p>
    <w:p w14:paraId="5B686012">
      <w:pPr>
        <w:shd w:val="clear"/>
        <w:snapToGrid w:val="0"/>
        <w:spacing w:line="500" w:lineRule="exact"/>
        <w:ind w:firstLine="482" w:firstLineChars="200"/>
        <w:jc w:val="left"/>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（二十三）参与供应商不得少于三家</w:t>
      </w:r>
    </w:p>
    <w:p w14:paraId="1F0F725C">
      <w:pPr>
        <w:shd w:val="clear"/>
        <w:snapToGrid w:val="0"/>
        <w:spacing w:line="5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23.1 根据《政府采购竞争性磋商采购方式管理暂行办法》的规定，参与项目的供应商不得少于三家。</w:t>
      </w:r>
    </w:p>
    <w:p w14:paraId="29748C52">
      <w:pPr>
        <w:shd w:val="clear"/>
        <w:snapToGrid w:val="0"/>
        <w:spacing w:line="500" w:lineRule="exact"/>
        <w:ind w:firstLine="482"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（二十四）取消成交候选人资格条款</w:t>
      </w:r>
    </w:p>
    <w:p w14:paraId="530C5795">
      <w:pPr>
        <w:shd w:val="clear"/>
        <w:snapToGrid w:val="0"/>
        <w:spacing w:line="5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24.1 提供虚假材料谋取成交的；</w:t>
      </w:r>
    </w:p>
    <w:p w14:paraId="5258B5F9">
      <w:pPr>
        <w:shd w:val="clear"/>
        <w:snapToGrid w:val="0"/>
        <w:spacing w:line="5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24.2 采取不正当手段诋毁、排挤其他供应商的；</w:t>
      </w:r>
    </w:p>
    <w:p w14:paraId="586A74C1">
      <w:pPr>
        <w:shd w:val="clear"/>
        <w:snapToGrid w:val="0"/>
        <w:spacing w:line="5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24.3 与采购人、其他供应商或者采购代理机构恶意串通的；</w:t>
      </w:r>
    </w:p>
    <w:p w14:paraId="50F26BFF">
      <w:pPr>
        <w:shd w:val="clear"/>
        <w:snapToGrid w:val="0"/>
        <w:spacing w:line="5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24.4 向采购人、采购代理机构行贿或者提供其他不正当利益的；</w:t>
      </w:r>
    </w:p>
    <w:p w14:paraId="4555F44B">
      <w:pPr>
        <w:shd w:val="clear"/>
        <w:snapToGrid w:val="0"/>
        <w:spacing w:line="5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24.5 在规定的时间内未按磋商要求与采购人签订采购合同或未按采购文件要求提交履约担保的；</w:t>
      </w:r>
    </w:p>
    <w:p w14:paraId="7F306F55">
      <w:pPr>
        <w:shd w:val="clear"/>
        <w:snapToGrid w:val="0"/>
        <w:spacing w:line="5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24.6 法律、法规规定的其他情况。</w:t>
      </w:r>
    </w:p>
    <w:p w14:paraId="287374F4">
      <w:pPr>
        <w:shd w:val="clear"/>
        <w:snapToGrid w:val="0"/>
        <w:spacing w:line="500" w:lineRule="exact"/>
        <w:ind w:firstLine="200"/>
        <w:jc w:val="center"/>
        <w:outlineLvl w:val="1"/>
        <w:rPr>
          <w:rFonts w:asciiTheme="minorEastAsia" w:hAnsiTheme="minorEastAsia" w:eastAsiaTheme="minorEastAsia" w:cstheme="minorEastAsia"/>
          <w:b/>
          <w:color w:val="auto"/>
          <w:sz w:val="24"/>
          <w:szCs w:val="24"/>
          <w:highlight w:val="none"/>
        </w:rPr>
      </w:pPr>
      <w:bookmarkStart w:id="19" w:name="_Toc5909"/>
      <w:r>
        <w:rPr>
          <w:rFonts w:hint="eastAsia" w:asciiTheme="minorEastAsia" w:hAnsiTheme="minorEastAsia" w:eastAsiaTheme="minorEastAsia" w:cstheme="minorEastAsia"/>
          <w:b/>
          <w:color w:val="auto"/>
          <w:sz w:val="24"/>
          <w:szCs w:val="24"/>
          <w:highlight w:val="none"/>
        </w:rPr>
        <w:t>六、磋商程序及最终报价</w:t>
      </w:r>
      <w:bookmarkEnd w:id="9"/>
      <w:bookmarkEnd w:id="19"/>
    </w:p>
    <w:p w14:paraId="1F95F7DB">
      <w:pPr>
        <w:shd w:val="clear"/>
        <w:snapToGrid w:val="0"/>
        <w:spacing w:line="500" w:lineRule="exact"/>
        <w:ind w:firstLine="472" w:firstLineChars="196"/>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（二十五）磋商原则</w:t>
      </w:r>
    </w:p>
    <w:p w14:paraId="56DE6021">
      <w:pPr>
        <w:shd w:val="clear"/>
        <w:adjustRightInd w:val="0"/>
        <w:snapToGrid w:val="0"/>
        <w:spacing w:line="5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评、定标依据《中华人民共和国政府采购法》、《政府采购竞争性磋商采购方式管理暂行办法》等相关规定，遵循公开、公平、公正、竞争的原则。</w:t>
      </w:r>
    </w:p>
    <w:p w14:paraId="59254114">
      <w:pPr>
        <w:shd w:val="clear"/>
        <w:adjustRightInd w:val="0"/>
        <w:snapToGrid w:val="0"/>
        <w:spacing w:line="5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25.1 严格执行《中华人民共和国政府采购法》及自治区有关法规、政策、维护采购人、供应商的合法权益，选择对采购人最为有利的供应商或候选供应商。</w:t>
      </w:r>
    </w:p>
    <w:p w14:paraId="2DDA8462">
      <w:pPr>
        <w:shd w:val="clear"/>
        <w:adjustRightInd w:val="0"/>
        <w:snapToGrid w:val="0"/>
        <w:spacing w:line="5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25.2 磋商小组所有成员应当集中与单一供应商分别进行磋商，并给予所有参加磋商的供应商平等的磋商机会。不应谈及与供应商所提供的服务质量、技术、价格等无关的话题。</w:t>
      </w:r>
    </w:p>
    <w:p w14:paraId="3DF8BBDB">
      <w:pPr>
        <w:shd w:val="clear"/>
        <w:adjustRightInd w:val="0"/>
        <w:snapToGrid w:val="0"/>
        <w:spacing w:line="5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25.3 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做出的实质性变动是竞争性磋商文件的有效组成部分，磋商小组应当及时以书面形式同时通知所有参加磋商的供应商。</w:t>
      </w:r>
    </w:p>
    <w:p w14:paraId="13D86982">
      <w:pPr>
        <w:shd w:val="clear"/>
        <w:adjustRightInd w:val="0"/>
        <w:snapToGrid w:val="0"/>
        <w:spacing w:line="5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25.4 坚持价格合理、综合评优的原则，不以最低报价作为中标唯一标准。</w:t>
      </w:r>
    </w:p>
    <w:p w14:paraId="3F4365E9">
      <w:pPr>
        <w:shd w:val="clear"/>
        <w:adjustRightInd w:val="0"/>
        <w:snapToGrid w:val="0"/>
        <w:spacing w:line="500" w:lineRule="exact"/>
        <w:ind w:firstLine="482" w:firstLineChars="200"/>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rPr>
        <w:t>（二十六）</w:t>
      </w:r>
      <w:r>
        <w:rPr>
          <w:rFonts w:hint="eastAsia" w:asciiTheme="minorEastAsia" w:hAnsiTheme="minorEastAsia" w:eastAsiaTheme="minorEastAsia" w:cstheme="minorEastAsia"/>
          <w:b/>
          <w:color w:val="auto"/>
          <w:sz w:val="24"/>
          <w:szCs w:val="24"/>
          <w:highlight w:val="none"/>
        </w:rPr>
        <w:t>磋商小组</w:t>
      </w:r>
    </w:p>
    <w:p w14:paraId="2B020B75">
      <w:pPr>
        <w:shd w:val="clear"/>
        <w:snapToGrid w:val="0"/>
        <w:spacing w:line="5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26.1 采购人根据本项目的特点，于开标前48小时内，从新疆政府采购网政采云评审专家库中随机抽取组建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013E830A">
      <w:pPr>
        <w:shd w:val="clear"/>
        <w:snapToGrid w:val="0"/>
        <w:spacing w:line="5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26.2 磋商小组在监督部门的监督下独立完成磋商工作，负责对磋商响应文件进行审查、质询、评审、推选成交候选供应商。</w:t>
      </w:r>
    </w:p>
    <w:p w14:paraId="3A87B4F8">
      <w:pPr>
        <w:shd w:val="clear"/>
        <w:tabs>
          <w:tab w:val="left" w:pos="5744"/>
        </w:tabs>
        <w:snapToGrid w:val="0"/>
        <w:spacing w:line="500" w:lineRule="exact"/>
        <w:ind w:firstLine="482" w:firstLineChars="20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（二十七）磋商程序</w:t>
      </w:r>
      <w:r>
        <w:rPr>
          <w:rFonts w:hint="eastAsia" w:asciiTheme="minorEastAsia" w:hAnsiTheme="minorEastAsia" w:eastAsiaTheme="minorEastAsia" w:cstheme="minorEastAsia"/>
          <w:b/>
          <w:bCs/>
          <w:color w:val="auto"/>
          <w:sz w:val="24"/>
          <w:szCs w:val="24"/>
          <w:highlight w:val="none"/>
        </w:rPr>
        <w:tab/>
      </w:r>
    </w:p>
    <w:p w14:paraId="70C818BE">
      <w:pPr>
        <w:widowControl/>
        <w:shd w:val="clear"/>
        <w:snapToGrid w:val="0"/>
        <w:spacing w:line="5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27.1 代理机构按竞争性磋商文件规定的时间、地点组织开标、磋商。采购单位代表及有关工作人员参加，政府采购监管部门视情况参与。</w:t>
      </w:r>
    </w:p>
    <w:p w14:paraId="042A372D">
      <w:pPr>
        <w:widowControl/>
        <w:shd w:val="clear"/>
        <w:snapToGrid w:val="0"/>
        <w:spacing w:line="500" w:lineRule="exact"/>
        <w:ind w:firstLine="480" w:firstLineChars="200"/>
        <w:rPr>
          <w:rFonts w:asciiTheme="minorEastAsia" w:hAnsiTheme="minorEastAsia" w:eastAsiaTheme="minorEastAsia" w:cstheme="minorEastAsia"/>
          <w:b/>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27.2 招标会将于供应商须知前附表规定的时间和地点召开，邀请供应商参加。磋商小组成员不得参加开标活动。</w:t>
      </w:r>
      <w:r>
        <w:rPr>
          <w:rFonts w:hint="eastAsia" w:asciiTheme="minorEastAsia" w:hAnsiTheme="minorEastAsia" w:eastAsiaTheme="minorEastAsia" w:cstheme="minorEastAsia"/>
          <w:b/>
          <w:color w:val="auto"/>
          <w:sz w:val="24"/>
          <w:szCs w:val="24"/>
          <w:highlight w:val="none"/>
        </w:rPr>
        <w:t>在开标截止时间前不得解密磋商响应文件。</w:t>
      </w:r>
    </w:p>
    <w:p w14:paraId="57054130">
      <w:pPr>
        <w:shd w:val="clear"/>
        <w:snapToGrid w:val="0"/>
        <w:spacing w:line="5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27.3 开标会议由代理机构主持。合格供应商不足3家的，不得评标。对检查未通过的，采购人将拒绝并原封退回其磋商响应文件。</w:t>
      </w:r>
    </w:p>
    <w:p w14:paraId="5C433C4C">
      <w:pPr>
        <w:shd w:val="clear"/>
        <w:snapToGrid w:val="0"/>
        <w:spacing w:line="5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27.4. 在本项目竞争性磋商文件规定的查询时间之外，网站信息发生的任何变更均不作为资格审查依据。</w:t>
      </w:r>
    </w:p>
    <w:p w14:paraId="4D9B819E">
      <w:pPr>
        <w:shd w:val="clear"/>
        <w:snapToGrid w:val="0"/>
        <w:spacing w:line="5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27.5 供应商代表对开标过程和开标记录有疑义，以及认为采购人、采购代理机构相关工作人员有需要回避的情形的，应当场提出询问或者回避申请。供应商未参加开标的，视同认可开标结果。</w:t>
      </w:r>
    </w:p>
    <w:p w14:paraId="174BD86C">
      <w:pPr>
        <w:shd w:val="clear"/>
        <w:snapToGrid w:val="0"/>
        <w:spacing w:line="5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27.6 磋商会议由磋商小组组长主持。磋商小组首先对各磋商响应文件进行初步审查，初步审查包括资格性审查和符合性审查，未通过审查的为无效标。</w:t>
      </w:r>
    </w:p>
    <w:p w14:paraId="59C84748">
      <w:pPr>
        <w:shd w:val="clear"/>
        <w:snapToGrid w:val="0"/>
        <w:spacing w:line="5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⑴资格性检查：磋商小组将根据法律法规和竞争性磋商文件的规定，对磋商响应文件的资格证明文件、磋商保证金等进行审查，以确定供应商是否具备竞争性磋商资格。</w:t>
      </w:r>
    </w:p>
    <w:p w14:paraId="49F7E414">
      <w:pPr>
        <w:widowControl/>
        <w:shd w:val="clear"/>
        <w:tabs>
          <w:tab w:val="left" w:pos="540"/>
        </w:tabs>
        <w:snapToGrid w:val="0"/>
        <w:spacing w:line="5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⑵符合性检查：依据竞争性磋商文件的规定，从磋商响应文件的有效性、完整性和对竞争性磋商文件的响应程度进行审查，以确定是否对竞争性磋商文件的要求做出了实质性的响应，存在重大偏离的磋商响应文件为无效标。所谓重大偏离是指供应商磋商响应文件中所述服务质量、技术、规格、数量等和服务明显不能满足竞争性磋商文件要求。</w:t>
      </w:r>
      <w:r>
        <w:rPr>
          <w:rFonts w:hint="eastAsia" w:asciiTheme="minorEastAsia" w:hAnsiTheme="minorEastAsia" w:eastAsiaTheme="minorEastAsia" w:cstheme="minorEastAsia"/>
          <w:color w:val="auto"/>
          <w:sz w:val="24"/>
          <w:szCs w:val="24"/>
          <w:highlight w:val="none"/>
          <w:u w:val="single"/>
        </w:rPr>
        <w:t>磋商小组成员对需要共同认定的事项存在争议的，应当按照少数服从多数的原则作出结论。持不同意见的磋商小组成员应当在评标报告上签署不同意见及理由，否则视为同意评标报告。</w:t>
      </w:r>
    </w:p>
    <w:p w14:paraId="32DB34E0">
      <w:pPr>
        <w:shd w:val="clear"/>
        <w:snapToGrid w:val="0"/>
        <w:spacing w:line="5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27.7 磋商小组判断“磋商响应文件”的响应性，仅基于“磋商响应文件”本身而不靠外部证据。对非实质性响应的磋商响应文件，供应商不能通过修正或撤销不符之处，而使其成为实质性响应。</w:t>
      </w:r>
    </w:p>
    <w:p w14:paraId="2613EC52">
      <w:pPr>
        <w:pStyle w:val="16"/>
        <w:shd w:val="clear"/>
        <w:tabs>
          <w:tab w:val="left" w:pos="1260"/>
        </w:tabs>
        <w:snapToGrid w:val="0"/>
        <w:spacing w:line="5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27.8 磋商小组根据竞争性磋商文件要求，讨论、通过磋商工作流程和磋商要点。</w:t>
      </w:r>
    </w:p>
    <w:p w14:paraId="55E677FD">
      <w:pPr>
        <w:pStyle w:val="16"/>
        <w:shd w:val="clear"/>
        <w:snapToGrid w:val="0"/>
        <w:spacing w:line="5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27.9 采购人按照供应商签到时间顺序通知有效供应商磋商。</w:t>
      </w:r>
    </w:p>
    <w:p w14:paraId="4F9865FB">
      <w:pPr>
        <w:pStyle w:val="16"/>
        <w:shd w:val="clear"/>
        <w:snapToGrid w:val="0"/>
        <w:spacing w:line="5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参与二次及多次报价及服务承诺的人员须是供应商法定代表人或其授权代表人。供应商未及时参与磋商或多次报价的，视为自动放弃参与磋商的资格。</w:t>
      </w:r>
    </w:p>
    <w:p w14:paraId="6895EB61">
      <w:pPr>
        <w:pStyle w:val="16"/>
        <w:shd w:val="clear"/>
        <w:tabs>
          <w:tab w:val="left" w:pos="1260"/>
        </w:tabs>
        <w:snapToGrid w:val="0"/>
        <w:spacing w:line="5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27.10</w:t>
      </w:r>
      <w:r>
        <w:rPr>
          <w:rFonts w:hint="eastAsia" w:asciiTheme="minorEastAsia" w:hAnsiTheme="minorEastAsia" w:eastAsiaTheme="minorEastAsia" w:cstheme="minorEastAsia"/>
          <w:b/>
          <w:bCs/>
          <w:color w:val="auto"/>
          <w:sz w:val="24"/>
          <w:szCs w:val="24"/>
          <w:highlight w:val="none"/>
        </w:rPr>
        <w:t>第一轮磋商：</w:t>
      </w:r>
      <w:r>
        <w:rPr>
          <w:rFonts w:hint="eastAsia" w:asciiTheme="minorEastAsia" w:hAnsiTheme="minorEastAsia" w:eastAsiaTheme="minorEastAsia" w:cstheme="minorEastAsia"/>
          <w:color w:val="auto"/>
          <w:sz w:val="24"/>
          <w:szCs w:val="24"/>
          <w:highlight w:val="none"/>
        </w:rPr>
        <w:t>磋商小组所有成员集中按已确定的磋商顺序，与单一供应商分别就符合采购需求、质量、服务等进行磋商，并了解其报价组成情况。</w:t>
      </w:r>
    </w:p>
    <w:p w14:paraId="5F8E2460">
      <w:pPr>
        <w:pStyle w:val="16"/>
        <w:shd w:val="clear"/>
        <w:tabs>
          <w:tab w:val="left" w:pos="1260"/>
        </w:tabs>
        <w:snapToGrid w:val="0"/>
        <w:spacing w:line="5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27.11</w:t>
      </w:r>
      <w:r>
        <w:rPr>
          <w:rFonts w:hint="eastAsia" w:asciiTheme="minorEastAsia" w:hAnsiTheme="minorEastAsia" w:eastAsiaTheme="minorEastAsia" w:cstheme="minorEastAsia"/>
          <w:b/>
          <w:bCs/>
          <w:color w:val="auto"/>
          <w:sz w:val="24"/>
          <w:szCs w:val="24"/>
          <w:highlight w:val="none"/>
        </w:rPr>
        <w:t>磋商文件修正：</w:t>
      </w:r>
      <w:r>
        <w:rPr>
          <w:rFonts w:hint="eastAsia" w:asciiTheme="minorEastAsia" w:hAnsiTheme="minorEastAsia" w:eastAsiaTheme="minorEastAsia" w:cstheme="minorEastAsia"/>
          <w:color w:val="auto"/>
          <w:sz w:val="24"/>
          <w:szCs w:val="24"/>
          <w:highlight w:val="none"/>
        </w:rPr>
        <w:t>根据磋商掌握的情况，磋商小组可以根据磋商文件和磋商情况实质性变动采购需求中的技术、服务要求以及合同草案条款，但不得变动磋商文件中的其他内容。实质性变动的内容，须经磋商小组及采购人代表签字确认。采购代理机构通知磋商响应供应商集中，磋商小组强调调整后的采购要求，将磋商文件的修改结果以书面形式通知磋商响应供应商。</w:t>
      </w:r>
    </w:p>
    <w:p w14:paraId="5677B068">
      <w:pPr>
        <w:pStyle w:val="16"/>
        <w:shd w:val="clear"/>
        <w:tabs>
          <w:tab w:val="left" w:pos="1260"/>
        </w:tabs>
        <w:snapToGrid w:val="0"/>
        <w:spacing w:line="5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根据磋商情况和磋商文件修改书面通知，对原磋商响应文件进行修正，并在规定时间内将修正文件由供应商或其授权委托人签字或盖章后上传至系统。逾时未交的，视同放弃磋商。修正文件与磋商响应文件同具法律效力。</w:t>
      </w:r>
    </w:p>
    <w:p w14:paraId="432522AC">
      <w:pPr>
        <w:pStyle w:val="16"/>
        <w:shd w:val="clear"/>
        <w:tabs>
          <w:tab w:val="left" w:pos="1260"/>
        </w:tabs>
        <w:snapToGrid w:val="0"/>
        <w:spacing w:line="500" w:lineRule="exact"/>
        <w:ind w:firstLine="482"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27.12第二轮磋商：</w:t>
      </w:r>
      <w:r>
        <w:rPr>
          <w:rFonts w:hint="eastAsia" w:asciiTheme="minorEastAsia" w:hAnsiTheme="minorEastAsia" w:eastAsiaTheme="minorEastAsia" w:cstheme="minorEastAsia"/>
          <w:color w:val="auto"/>
          <w:sz w:val="24"/>
          <w:szCs w:val="24"/>
          <w:highlight w:val="none"/>
        </w:rPr>
        <w:t>磋商小组就修正后的磋商响应文件与磋商响应供应商分别进行磋商。如未实质性提高采购需求中的技术、服务要求以及合同草案条款情况下，供应商第二轮磋商总报价及分项报价均不得超过第一轮报价，否则其本次报价无效并以其前一轮的报价为有效报价。</w:t>
      </w:r>
    </w:p>
    <w:p w14:paraId="133C6239">
      <w:pPr>
        <w:pStyle w:val="16"/>
        <w:shd w:val="clear"/>
        <w:tabs>
          <w:tab w:val="left" w:pos="1260"/>
        </w:tabs>
        <w:snapToGrid w:val="0"/>
        <w:spacing w:line="5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第二轮磋商后磋商小组未能确定成交候选人的，按27.11磋商文件修正的要求，对磋商文件修正后进行第三轮磋商。</w:t>
      </w:r>
    </w:p>
    <w:p w14:paraId="05CB8A7F">
      <w:pPr>
        <w:pStyle w:val="16"/>
        <w:shd w:val="clear"/>
        <w:tabs>
          <w:tab w:val="left" w:pos="1260"/>
        </w:tabs>
        <w:snapToGrid w:val="0"/>
        <w:spacing w:line="5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27.13</w:t>
      </w:r>
      <w:r>
        <w:rPr>
          <w:rFonts w:hint="eastAsia" w:asciiTheme="minorEastAsia" w:hAnsiTheme="minorEastAsia" w:eastAsiaTheme="minorEastAsia" w:cstheme="minorEastAsia"/>
          <w:b/>
          <w:bCs/>
          <w:color w:val="auto"/>
          <w:sz w:val="24"/>
          <w:szCs w:val="24"/>
          <w:highlight w:val="none"/>
        </w:rPr>
        <w:t>最终报价：</w:t>
      </w:r>
      <w:r>
        <w:rPr>
          <w:rFonts w:hint="eastAsia" w:asciiTheme="minorEastAsia" w:hAnsiTheme="minorEastAsia" w:eastAsiaTheme="minorEastAsia" w:cstheme="minorEastAsia"/>
          <w:color w:val="auto"/>
          <w:sz w:val="24"/>
          <w:szCs w:val="24"/>
          <w:highlight w:val="none"/>
        </w:rPr>
        <w:t>最终的磋商结束后，所有磋商响应供应商作最终报价，在规定时间内递交磋商小组，最终报价是供应商磋商响应文件的有效组成部分。由磋商小组采用综合评分法对提交最后报价的供应商的响应文件和最后报价进行综合评分。</w:t>
      </w:r>
    </w:p>
    <w:p w14:paraId="70CAE87E">
      <w:pPr>
        <w:pStyle w:val="16"/>
        <w:shd w:val="clear"/>
        <w:tabs>
          <w:tab w:val="left" w:pos="1260"/>
        </w:tabs>
        <w:snapToGrid w:val="0"/>
        <w:spacing w:line="5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27.14磋商文件能够详细列明采购标的的技术、服务要求的，磋商结束后，磋商小组应当要求所有实质性响应的供应商在规定时间内提交最后报价，提交最后报价的供应商不得少于3家。</w:t>
      </w:r>
    </w:p>
    <w:p w14:paraId="7E8A7048">
      <w:pPr>
        <w:pStyle w:val="16"/>
        <w:shd w:val="clear"/>
        <w:tabs>
          <w:tab w:val="left" w:pos="1260"/>
        </w:tabs>
        <w:snapToGrid w:val="0"/>
        <w:spacing w:line="5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277C199A">
      <w:pPr>
        <w:pStyle w:val="16"/>
        <w:shd w:val="clear"/>
        <w:tabs>
          <w:tab w:val="left" w:pos="1260"/>
        </w:tabs>
        <w:snapToGrid w:val="0"/>
        <w:spacing w:line="5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w:t>
      </w:r>
    </w:p>
    <w:p w14:paraId="440667AC">
      <w:pPr>
        <w:pStyle w:val="16"/>
        <w:shd w:val="clear"/>
        <w:tabs>
          <w:tab w:val="left" w:pos="1260"/>
        </w:tabs>
        <w:snapToGrid w:val="0"/>
        <w:spacing w:line="5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27.15已提交响应文件的供应商，在提交最后报价之前，可以根据磋商情况退出磋商。采购人、采购代理机构应当退还退出磋商的供应商的磋商保证金。   </w:t>
      </w:r>
    </w:p>
    <w:p w14:paraId="23C4D59B">
      <w:pPr>
        <w:shd w:val="clear"/>
        <w:snapToGrid w:val="0"/>
        <w:spacing w:line="500" w:lineRule="exact"/>
        <w:ind w:firstLine="472" w:firstLineChars="197"/>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27.16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14:paraId="4A81A7E6">
      <w:pPr>
        <w:shd w:val="clear"/>
        <w:snapToGrid w:val="0"/>
        <w:spacing w:line="500" w:lineRule="exact"/>
        <w:ind w:firstLine="472" w:firstLineChars="197"/>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27.17 磋商小组发现磋商文件存在歧义、重大缺陷导致评标工作无法进行，或者磋商文件内容违反国家有关强制性规定的，应当停止评标工作，与采购人或者采购代理机构沟通并作书面记录。采购人或者采购代理机构确认后，应当修改磋商文件，重新组织采购活动。</w:t>
      </w:r>
    </w:p>
    <w:p w14:paraId="3FB95E51">
      <w:pPr>
        <w:pStyle w:val="16"/>
        <w:shd w:val="clear"/>
        <w:snapToGrid w:val="0"/>
        <w:spacing w:line="500" w:lineRule="exact"/>
        <w:ind w:firstLine="354" w:firstLineChars="147"/>
        <w:rPr>
          <w:rFonts w:asciiTheme="minorEastAsia" w:hAnsiTheme="minorEastAsia" w:eastAsiaTheme="minorEastAsia" w:cstheme="minorEastAsia"/>
          <w:b/>
          <w:color w:val="auto"/>
          <w:sz w:val="24"/>
          <w:szCs w:val="24"/>
          <w:highlight w:val="none"/>
        </w:rPr>
      </w:pPr>
      <w:bookmarkStart w:id="20" w:name="_Toc213839741"/>
      <w:r>
        <w:rPr>
          <w:rFonts w:hint="eastAsia" w:asciiTheme="minorEastAsia" w:hAnsiTheme="minorEastAsia" w:eastAsiaTheme="minorEastAsia" w:cstheme="minorEastAsia"/>
          <w:b/>
          <w:color w:val="auto"/>
          <w:sz w:val="24"/>
          <w:szCs w:val="24"/>
          <w:highlight w:val="none"/>
        </w:rPr>
        <w:t>（二十八）最终报价</w:t>
      </w:r>
    </w:p>
    <w:p w14:paraId="1C1DE784">
      <w:pPr>
        <w:shd w:val="clear"/>
        <w:snapToGrid w:val="0"/>
        <w:spacing w:line="5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28.1 磋商结束后，磋商小组将要求所有有效供应商在规定时间内提交最终报价及服务承诺。</w:t>
      </w:r>
    </w:p>
    <w:p w14:paraId="4EE42D9C">
      <w:pPr>
        <w:shd w:val="clear"/>
        <w:snapToGrid w:val="0"/>
        <w:spacing w:line="500" w:lineRule="exact"/>
        <w:ind w:firstLine="354" w:firstLineChars="147"/>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（二十九）确定成交候选供应商</w:t>
      </w:r>
    </w:p>
    <w:p w14:paraId="17A4890A">
      <w:pPr>
        <w:shd w:val="clear"/>
        <w:snapToGrid w:val="0"/>
        <w:spacing w:line="500" w:lineRule="exact"/>
        <w:ind w:firstLine="472" w:firstLineChars="197"/>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29.1 经磋商确定最终采购需求和提交最后报价的供应商后，由磋商小组采用综合评分法对提交最后报价的供应商的磋商响应文件和最后报价进行综合评分。</w:t>
      </w:r>
    </w:p>
    <w:p w14:paraId="217B4873">
      <w:pPr>
        <w:shd w:val="clear"/>
        <w:snapToGrid w:val="0"/>
        <w:spacing w:line="500" w:lineRule="exact"/>
        <w:ind w:firstLine="472" w:firstLineChars="197"/>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w:t>
      </w:r>
    </w:p>
    <w:p w14:paraId="3A32FF99">
      <w:pPr>
        <w:shd w:val="clear"/>
        <w:snapToGrid w:val="0"/>
        <w:spacing w:line="500" w:lineRule="exact"/>
        <w:ind w:firstLine="482" w:firstLineChars="200"/>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（三十）磋商过程</w:t>
      </w:r>
      <w:bookmarkEnd w:id="20"/>
      <w:r>
        <w:rPr>
          <w:rFonts w:hint="eastAsia" w:asciiTheme="minorEastAsia" w:hAnsiTheme="minorEastAsia" w:eastAsiaTheme="minorEastAsia" w:cstheme="minorEastAsia"/>
          <w:b/>
          <w:color w:val="auto"/>
          <w:sz w:val="24"/>
          <w:szCs w:val="24"/>
          <w:highlight w:val="none"/>
        </w:rPr>
        <w:t>保密</w:t>
      </w:r>
    </w:p>
    <w:p w14:paraId="3B4F5E30">
      <w:pPr>
        <w:shd w:val="clear"/>
        <w:snapToGrid w:val="0"/>
        <w:spacing w:line="5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30.1 在宣布成交结果之前，凡属于审查、澄清、评价、比较竞争性磋商文件等有关信息，相关当事人均不得泄露给任何磋商供应商或与磋商工作无关的人员。</w:t>
      </w:r>
    </w:p>
    <w:p w14:paraId="5CC41F39">
      <w:pPr>
        <w:shd w:val="clear"/>
        <w:snapToGrid w:val="0"/>
        <w:spacing w:line="5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30.2 供应商不得探听上述信息，不得以任何行为影响磋商过程，否则其磋商响应文件将被作为无效磋商响应文件。</w:t>
      </w:r>
    </w:p>
    <w:p w14:paraId="20E520F0">
      <w:pPr>
        <w:shd w:val="clear"/>
        <w:snapToGrid w:val="0"/>
        <w:spacing w:line="5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30.3 在磋商期间，代理机构有专门工作人员与供应商进行联络。</w:t>
      </w:r>
    </w:p>
    <w:p w14:paraId="42E8835A">
      <w:pPr>
        <w:shd w:val="clear"/>
        <w:snapToGrid w:val="0"/>
        <w:spacing w:line="5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30.4 采购人和磋商小组不向未成交的供应商解释未成交原因，也不对磋商过程中的细节问题进行公布。</w:t>
      </w:r>
    </w:p>
    <w:p w14:paraId="3ADC5CD7">
      <w:pPr>
        <w:shd w:val="clear"/>
        <w:snapToGrid w:val="0"/>
        <w:spacing w:line="500" w:lineRule="exact"/>
        <w:ind w:firstLine="200"/>
        <w:jc w:val="center"/>
        <w:outlineLvl w:val="1"/>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bookmarkStart w:id="21" w:name="_Toc28256"/>
      <w:r>
        <w:rPr>
          <w:rFonts w:hint="eastAsia" w:asciiTheme="minorEastAsia" w:hAnsiTheme="minorEastAsia" w:eastAsiaTheme="minorEastAsia" w:cstheme="minorEastAsia"/>
          <w:b/>
          <w:color w:val="auto"/>
          <w:sz w:val="24"/>
          <w:szCs w:val="24"/>
          <w:highlight w:val="none"/>
        </w:rPr>
        <w:t>七、评标办法</w:t>
      </w:r>
      <w:bookmarkEnd w:id="21"/>
    </w:p>
    <w:p w14:paraId="123429BD">
      <w:pPr>
        <w:shd w:val="clear"/>
        <w:snapToGrid w:val="0"/>
        <w:spacing w:line="440" w:lineRule="exact"/>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color w:val="auto"/>
          <w:sz w:val="24"/>
          <w:szCs w:val="24"/>
          <w:highlight w:val="none"/>
        </w:rPr>
        <w:t>（三十一）</w:t>
      </w:r>
      <w:r>
        <w:rPr>
          <w:rFonts w:hint="eastAsia" w:asciiTheme="minorEastAsia" w:hAnsiTheme="minorEastAsia" w:eastAsiaTheme="minorEastAsia" w:cstheme="minorEastAsia"/>
          <w:b/>
          <w:bCs/>
          <w:color w:val="auto"/>
          <w:sz w:val="24"/>
          <w:szCs w:val="24"/>
          <w:highlight w:val="none"/>
        </w:rPr>
        <w:t>初步</w:t>
      </w:r>
      <w:r>
        <w:rPr>
          <w:rFonts w:hint="eastAsia" w:asciiTheme="minorEastAsia" w:hAnsiTheme="minorEastAsia" w:eastAsiaTheme="minorEastAsia" w:cstheme="minorEastAsia"/>
          <w:b/>
          <w:color w:val="auto"/>
          <w:sz w:val="24"/>
          <w:szCs w:val="24"/>
          <w:highlight w:val="none"/>
        </w:rPr>
        <w:t>评审</w:t>
      </w:r>
    </w:p>
    <w:p w14:paraId="15E6427A">
      <w:pPr>
        <w:shd w:val="clear"/>
        <w:snapToGrid w:val="0"/>
        <w:spacing w:line="440" w:lineRule="exact"/>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rPr>
        <w:t>初步评审（资格审查标准）</w:t>
      </w:r>
    </w:p>
    <w:tbl>
      <w:tblPr>
        <w:tblStyle w:val="28"/>
        <w:tblW w:w="9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5780"/>
        <w:gridCol w:w="854"/>
        <w:gridCol w:w="852"/>
        <w:gridCol w:w="851"/>
        <w:gridCol w:w="792"/>
      </w:tblGrid>
      <w:tr w14:paraId="6532D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702" w:type="dxa"/>
            <w:tcBorders>
              <w:bottom w:val="single" w:color="auto" w:sz="4" w:space="0"/>
            </w:tcBorders>
            <w:vAlign w:val="center"/>
          </w:tcPr>
          <w:p w14:paraId="7587D16F">
            <w:pPr>
              <w:shd w:val="clear" w:color="auto"/>
              <w:spacing w:line="340" w:lineRule="exact"/>
              <w:jc w:val="center"/>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序号</w:t>
            </w:r>
          </w:p>
        </w:tc>
        <w:tc>
          <w:tcPr>
            <w:tcW w:w="5780" w:type="dxa"/>
            <w:tcBorders>
              <w:bottom w:val="single" w:color="auto" w:sz="4" w:space="0"/>
            </w:tcBorders>
            <w:vAlign w:val="center"/>
          </w:tcPr>
          <w:p w14:paraId="074DF107">
            <w:pPr>
              <w:shd w:val="clear" w:color="auto"/>
              <w:spacing w:line="340" w:lineRule="exact"/>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Cs/>
                <w:color w:val="auto"/>
                <w:sz w:val="24"/>
                <w:szCs w:val="24"/>
                <w:highlight w:val="none"/>
              </w:rPr>
              <w:t>评审内容及标准</w:t>
            </w:r>
          </w:p>
        </w:tc>
        <w:tc>
          <w:tcPr>
            <w:tcW w:w="854" w:type="dxa"/>
            <w:tcBorders>
              <w:bottom w:val="single" w:color="auto" w:sz="4" w:space="0"/>
            </w:tcBorders>
            <w:vAlign w:val="center"/>
          </w:tcPr>
          <w:p w14:paraId="3D8B7DBB">
            <w:pPr>
              <w:shd w:val="clear" w:color="auto"/>
              <w:spacing w:line="340" w:lineRule="exact"/>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供应商1</w:t>
            </w:r>
          </w:p>
        </w:tc>
        <w:tc>
          <w:tcPr>
            <w:tcW w:w="852" w:type="dxa"/>
            <w:tcBorders>
              <w:bottom w:val="single" w:color="auto" w:sz="4" w:space="0"/>
            </w:tcBorders>
            <w:vAlign w:val="center"/>
          </w:tcPr>
          <w:p w14:paraId="4665D361">
            <w:pPr>
              <w:shd w:val="clear" w:color="auto"/>
              <w:spacing w:line="340" w:lineRule="exact"/>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供应商2</w:t>
            </w:r>
          </w:p>
        </w:tc>
        <w:tc>
          <w:tcPr>
            <w:tcW w:w="851" w:type="dxa"/>
            <w:tcBorders>
              <w:bottom w:val="single" w:color="auto" w:sz="4" w:space="0"/>
            </w:tcBorders>
            <w:vAlign w:val="center"/>
          </w:tcPr>
          <w:p w14:paraId="5AC8BD27">
            <w:pPr>
              <w:shd w:val="clear" w:color="auto"/>
              <w:spacing w:line="340" w:lineRule="exact"/>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供应商3</w:t>
            </w:r>
          </w:p>
        </w:tc>
        <w:tc>
          <w:tcPr>
            <w:tcW w:w="792" w:type="dxa"/>
            <w:tcBorders>
              <w:bottom w:val="single" w:color="auto" w:sz="4" w:space="0"/>
            </w:tcBorders>
            <w:vAlign w:val="center"/>
          </w:tcPr>
          <w:p w14:paraId="2D633D5C">
            <w:pPr>
              <w:shd w:val="clear" w:color="auto"/>
              <w:spacing w:line="340" w:lineRule="exact"/>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供应商N</w:t>
            </w:r>
          </w:p>
        </w:tc>
      </w:tr>
      <w:tr w14:paraId="35BB2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702" w:type="dxa"/>
            <w:vAlign w:val="center"/>
          </w:tcPr>
          <w:p w14:paraId="3D09FBE9">
            <w:pPr>
              <w:shd w:val="clear" w:color="auto"/>
              <w:spacing w:line="340" w:lineRule="exact"/>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5780" w:type="dxa"/>
            <w:vAlign w:val="center"/>
          </w:tcPr>
          <w:p w14:paraId="22555979">
            <w:pPr>
              <w:shd w:val="clear" w:color="auto"/>
              <w:spacing w:line="340" w:lineRule="exact"/>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满足《中华人民共和国政府采购法》第二十二条规定；</w:t>
            </w:r>
          </w:p>
        </w:tc>
        <w:tc>
          <w:tcPr>
            <w:tcW w:w="854" w:type="dxa"/>
            <w:vAlign w:val="center"/>
          </w:tcPr>
          <w:p w14:paraId="6B2ED6D6">
            <w:pPr>
              <w:shd w:val="clear" w:color="auto"/>
              <w:spacing w:line="340" w:lineRule="exact"/>
              <w:rPr>
                <w:rFonts w:asciiTheme="minorEastAsia" w:hAnsiTheme="minorEastAsia" w:eastAsiaTheme="minorEastAsia" w:cstheme="minorEastAsia"/>
                <w:color w:val="auto"/>
                <w:sz w:val="24"/>
                <w:szCs w:val="24"/>
                <w:highlight w:val="none"/>
              </w:rPr>
            </w:pPr>
          </w:p>
        </w:tc>
        <w:tc>
          <w:tcPr>
            <w:tcW w:w="852" w:type="dxa"/>
            <w:vAlign w:val="center"/>
          </w:tcPr>
          <w:p w14:paraId="7BD7B4F9">
            <w:pPr>
              <w:shd w:val="clear" w:color="auto"/>
              <w:spacing w:line="340" w:lineRule="exact"/>
              <w:rPr>
                <w:rFonts w:asciiTheme="minorEastAsia" w:hAnsiTheme="minorEastAsia" w:eastAsiaTheme="minorEastAsia" w:cstheme="minorEastAsia"/>
                <w:color w:val="auto"/>
                <w:sz w:val="24"/>
                <w:szCs w:val="24"/>
                <w:highlight w:val="none"/>
              </w:rPr>
            </w:pPr>
          </w:p>
        </w:tc>
        <w:tc>
          <w:tcPr>
            <w:tcW w:w="851" w:type="dxa"/>
            <w:vAlign w:val="center"/>
          </w:tcPr>
          <w:p w14:paraId="0D0C629D">
            <w:pPr>
              <w:shd w:val="clear" w:color="auto"/>
              <w:spacing w:line="340" w:lineRule="exact"/>
              <w:rPr>
                <w:rFonts w:asciiTheme="minorEastAsia" w:hAnsiTheme="minorEastAsia" w:eastAsiaTheme="minorEastAsia" w:cstheme="minorEastAsia"/>
                <w:color w:val="auto"/>
                <w:sz w:val="24"/>
                <w:szCs w:val="24"/>
                <w:highlight w:val="none"/>
              </w:rPr>
            </w:pPr>
          </w:p>
        </w:tc>
        <w:tc>
          <w:tcPr>
            <w:tcW w:w="792" w:type="dxa"/>
            <w:vAlign w:val="center"/>
          </w:tcPr>
          <w:p w14:paraId="27CB7D64">
            <w:pPr>
              <w:shd w:val="clear" w:color="auto"/>
              <w:spacing w:line="340" w:lineRule="exact"/>
              <w:rPr>
                <w:rFonts w:asciiTheme="minorEastAsia" w:hAnsiTheme="minorEastAsia" w:eastAsiaTheme="minorEastAsia" w:cstheme="minorEastAsia"/>
                <w:color w:val="auto"/>
                <w:sz w:val="24"/>
                <w:szCs w:val="24"/>
                <w:highlight w:val="none"/>
              </w:rPr>
            </w:pPr>
          </w:p>
        </w:tc>
      </w:tr>
      <w:tr w14:paraId="5366D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702" w:type="dxa"/>
            <w:shd w:val="clear" w:color="auto" w:fill="auto"/>
            <w:vAlign w:val="center"/>
          </w:tcPr>
          <w:p w14:paraId="3A997C3E">
            <w:pPr>
              <w:shd w:val="clear" w:color="auto"/>
              <w:spacing w:line="340" w:lineRule="exact"/>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2</w:t>
            </w:r>
          </w:p>
        </w:tc>
        <w:tc>
          <w:tcPr>
            <w:tcW w:w="5780" w:type="dxa"/>
            <w:vAlign w:val="center"/>
          </w:tcPr>
          <w:p w14:paraId="49F65B54">
            <w:pPr>
              <w:shd w:val="clear" w:color="auto"/>
              <w:spacing w:line="340" w:lineRule="exac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请根据要求单独上传《中小企业声明函》。格式以采购文件要求为准。</w:t>
            </w:r>
          </w:p>
        </w:tc>
        <w:tc>
          <w:tcPr>
            <w:tcW w:w="854" w:type="dxa"/>
            <w:vAlign w:val="center"/>
          </w:tcPr>
          <w:p w14:paraId="7E8FA725">
            <w:pPr>
              <w:shd w:val="clear" w:color="auto"/>
              <w:spacing w:line="340" w:lineRule="exact"/>
              <w:rPr>
                <w:rFonts w:asciiTheme="minorEastAsia" w:hAnsiTheme="minorEastAsia" w:eastAsiaTheme="minorEastAsia" w:cstheme="minorEastAsia"/>
                <w:color w:val="auto"/>
                <w:sz w:val="24"/>
                <w:szCs w:val="24"/>
                <w:highlight w:val="none"/>
              </w:rPr>
            </w:pPr>
          </w:p>
        </w:tc>
        <w:tc>
          <w:tcPr>
            <w:tcW w:w="852" w:type="dxa"/>
            <w:vAlign w:val="center"/>
          </w:tcPr>
          <w:p w14:paraId="56CFA321">
            <w:pPr>
              <w:shd w:val="clear" w:color="auto"/>
              <w:spacing w:line="340" w:lineRule="exact"/>
              <w:rPr>
                <w:rFonts w:asciiTheme="minorEastAsia" w:hAnsiTheme="minorEastAsia" w:eastAsiaTheme="minorEastAsia" w:cstheme="minorEastAsia"/>
                <w:color w:val="auto"/>
                <w:sz w:val="24"/>
                <w:szCs w:val="24"/>
                <w:highlight w:val="none"/>
              </w:rPr>
            </w:pPr>
          </w:p>
        </w:tc>
        <w:tc>
          <w:tcPr>
            <w:tcW w:w="851" w:type="dxa"/>
            <w:vAlign w:val="center"/>
          </w:tcPr>
          <w:p w14:paraId="013413B9">
            <w:pPr>
              <w:shd w:val="clear" w:color="auto"/>
              <w:spacing w:line="340" w:lineRule="exact"/>
              <w:rPr>
                <w:rFonts w:asciiTheme="minorEastAsia" w:hAnsiTheme="minorEastAsia" w:eastAsiaTheme="minorEastAsia" w:cstheme="minorEastAsia"/>
                <w:color w:val="auto"/>
                <w:sz w:val="24"/>
                <w:szCs w:val="24"/>
                <w:highlight w:val="none"/>
              </w:rPr>
            </w:pPr>
          </w:p>
        </w:tc>
        <w:tc>
          <w:tcPr>
            <w:tcW w:w="792" w:type="dxa"/>
            <w:vAlign w:val="center"/>
          </w:tcPr>
          <w:p w14:paraId="1E2AC3F8">
            <w:pPr>
              <w:shd w:val="clear" w:color="auto"/>
              <w:spacing w:line="340" w:lineRule="exact"/>
              <w:rPr>
                <w:rFonts w:asciiTheme="minorEastAsia" w:hAnsiTheme="minorEastAsia" w:eastAsiaTheme="minorEastAsia" w:cstheme="minorEastAsia"/>
                <w:color w:val="auto"/>
                <w:sz w:val="24"/>
                <w:szCs w:val="24"/>
                <w:highlight w:val="none"/>
              </w:rPr>
            </w:pPr>
          </w:p>
        </w:tc>
      </w:tr>
      <w:tr w14:paraId="60FE4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2" w:type="dxa"/>
            <w:shd w:val="clear" w:color="auto" w:fill="auto"/>
            <w:vAlign w:val="center"/>
          </w:tcPr>
          <w:p w14:paraId="0E201B6B">
            <w:pPr>
              <w:shd w:val="clear" w:color="auto"/>
              <w:spacing w:line="340" w:lineRule="exact"/>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3</w:t>
            </w:r>
          </w:p>
        </w:tc>
        <w:tc>
          <w:tcPr>
            <w:tcW w:w="5780" w:type="dxa"/>
            <w:vAlign w:val="center"/>
          </w:tcPr>
          <w:p w14:paraId="3E3815E2">
            <w:pPr>
              <w:shd w:val="clear" w:color="auto"/>
              <w:spacing w:line="340" w:lineRule="exact"/>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rPr>
              <w:t>供应商须是中华人民共和国境内注册的，具有有效的营业执照；</w:t>
            </w:r>
          </w:p>
        </w:tc>
        <w:tc>
          <w:tcPr>
            <w:tcW w:w="854" w:type="dxa"/>
            <w:vAlign w:val="center"/>
          </w:tcPr>
          <w:p w14:paraId="4C88FE8C">
            <w:pPr>
              <w:shd w:val="clear" w:color="auto"/>
              <w:spacing w:line="340" w:lineRule="exact"/>
              <w:rPr>
                <w:rFonts w:asciiTheme="minorEastAsia" w:hAnsiTheme="minorEastAsia" w:eastAsiaTheme="minorEastAsia" w:cstheme="minorEastAsia"/>
                <w:color w:val="auto"/>
                <w:sz w:val="24"/>
                <w:szCs w:val="24"/>
                <w:highlight w:val="none"/>
              </w:rPr>
            </w:pPr>
          </w:p>
        </w:tc>
        <w:tc>
          <w:tcPr>
            <w:tcW w:w="852" w:type="dxa"/>
            <w:vAlign w:val="center"/>
          </w:tcPr>
          <w:p w14:paraId="06ED6BE0">
            <w:pPr>
              <w:shd w:val="clear" w:color="auto"/>
              <w:spacing w:line="340" w:lineRule="exact"/>
              <w:rPr>
                <w:rFonts w:asciiTheme="minorEastAsia" w:hAnsiTheme="minorEastAsia" w:eastAsiaTheme="minorEastAsia" w:cstheme="minorEastAsia"/>
                <w:color w:val="auto"/>
                <w:sz w:val="24"/>
                <w:szCs w:val="24"/>
                <w:highlight w:val="none"/>
              </w:rPr>
            </w:pPr>
          </w:p>
        </w:tc>
        <w:tc>
          <w:tcPr>
            <w:tcW w:w="851" w:type="dxa"/>
            <w:vAlign w:val="center"/>
          </w:tcPr>
          <w:p w14:paraId="1B5C66B2">
            <w:pPr>
              <w:shd w:val="clear" w:color="auto"/>
              <w:spacing w:line="340" w:lineRule="exact"/>
              <w:rPr>
                <w:rFonts w:asciiTheme="minorEastAsia" w:hAnsiTheme="minorEastAsia" w:eastAsiaTheme="minorEastAsia" w:cstheme="minorEastAsia"/>
                <w:color w:val="auto"/>
                <w:sz w:val="24"/>
                <w:szCs w:val="24"/>
                <w:highlight w:val="none"/>
              </w:rPr>
            </w:pPr>
          </w:p>
        </w:tc>
        <w:tc>
          <w:tcPr>
            <w:tcW w:w="792" w:type="dxa"/>
            <w:vAlign w:val="center"/>
          </w:tcPr>
          <w:p w14:paraId="67BA30E6">
            <w:pPr>
              <w:shd w:val="clear" w:color="auto"/>
              <w:spacing w:line="340" w:lineRule="exact"/>
              <w:rPr>
                <w:rFonts w:asciiTheme="minorEastAsia" w:hAnsiTheme="minorEastAsia" w:eastAsiaTheme="minorEastAsia" w:cstheme="minorEastAsia"/>
                <w:color w:val="auto"/>
                <w:sz w:val="24"/>
                <w:szCs w:val="24"/>
                <w:highlight w:val="none"/>
              </w:rPr>
            </w:pPr>
          </w:p>
        </w:tc>
      </w:tr>
      <w:tr w14:paraId="63285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2" w:type="dxa"/>
            <w:vAlign w:val="center"/>
          </w:tcPr>
          <w:p w14:paraId="11CF941A">
            <w:pPr>
              <w:shd w:val="clear" w:color="auto"/>
              <w:spacing w:line="340" w:lineRule="exact"/>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w:t>
            </w:r>
          </w:p>
        </w:tc>
        <w:tc>
          <w:tcPr>
            <w:tcW w:w="5780" w:type="dxa"/>
            <w:vAlign w:val="center"/>
          </w:tcPr>
          <w:p w14:paraId="67929999">
            <w:pPr>
              <w:shd w:val="clear" w:color="auto"/>
              <w:spacing w:line="340" w:lineRule="exact"/>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rPr>
              <w:t>供应商不得为“信用中国网站（www.creditchina.gov.cn）中列入失信被执行人和税收违法黑名单的供应商，不得为中国政府采购网（www.ccgp.gov.cn）政府采购严重违法失信行为记录名单中被财政部门禁止参加政府采购活动的供应商</w:t>
            </w:r>
            <w:r>
              <w:rPr>
                <w:rFonts w:hint="eastAsia" w:asciiTheme="minorEastAsia" w:hAnsiTheme="minorEastAsia" w:eastAsiaTheme="minorEastAsia" w:cstheme="minorEastAsia"/>
                <w:bCs/>
                <w:color w:val="auto"/>
                <w:sz w:val="24"/>
                <w:szCs w:val="24"/>
                <w:highlight w:val="none"/>
              </w:rPr>
              <w:t>。</w:t>
            </w:r>
          </w:p>
        </w:tc>
        <w:tc>
          <w:tcPr>
            <w:tcW w:w="854" w:type="dxa"/>
            <w:vAlign w:val="center"/>
          </w:tcPr>
          <w:p w14:paraId="49CDF62B">
            <w:pPr>
              <w:shd w:val="clear" w:color="auto"/>
              <w:spacing w:line="340" w:lineRule="exact"/>
              <w:rPr>
                <w:rFonts w:asciiTheme="minorEastAsia" w:hAnsiTheme="minorEastAsia" w:eastAsiaTheme="minorEastAsia" w:cstheme="minorEastAsia"/>
                <w:color w:val="auto"/>
                <w:sz w:val="24"/>
                <w:szCs w:val="24"/>
                <w:highlight w:val="none"/>
              </w:rPr>
            </w:pPr>
          </w:p>
        </w:tc>
        <w:tc>
          <w:tcPr>
            <w:tcW w:w="852" w:type="dxa"/>
            <w:vAlign w:val="center"/>
          </w:tcPr>
          <w:p w14:paraId="7260B369">
            <w:pPr>
              <w:shd w:val="clear" w:color="auto"/>
              <w:spacing w:line="340" w:lineRule="exact"/>
              <w:rPr>
                <w:rFonts w:asciiTheme="minorEastAsia" w:hAnsiTheme="minorEastAsia" w:eastAsiaTheme="minorEastAsia" w:cstheme="minorEastAsia"/>
                <w:color w:val="auto"/>
                <w:sz w:val="24"/>
                <w:szCs w:val="24"/>
                <w:highlight w:val="none"/>
              </w:rPr>
            </w:pPr>
          </w:p>
        </w:tc>
        <w:tc>
          <w:tcPr>
            <w:tcW w:w="851" w:type="dxa"/>
            <w:vAlign w:val="center"/>
          </w:tcPr>
          <w:p w14:paraId="31F3D11F">
            <w:pPr>
              <w:shd w:val="clear" w:color="auto"/>
              <w:spacing w:line="340" w:lineRule="exact"/>
              <w:rPr>
                <w:rFonts w:asciiTheme="minorEastAsia" w:hAnsiTheme="minorEastAsia" w:eastAsiaTheme="minorEastAsia" w:cstheme="minorEastAsia"/>
                <w:color w:val="auto"/>
                <w:sz w:val="24"/>
                <w:szCs w:val="24"/>
                <w:highlight w:val="none"/>
              </w:rPr>
            </w:pPr>
          </w:p>
        </w:tc>
        <w:tc>
          <w:tcPr>
            <w:tcW w:w="792" w:type="dxa"/>
            <w:vAlign w:val="center"/>
          </w:tcPr>
          <w:p w14:paraId="28786190">
            <w:pPr>
              <w:shd w:val="clear" w:color="auto"/>
              <w:spacing w:line="340" w:lineRule="exact"/>
              <w:rPr>
                <w:rFonts w:asciiTheme="minorEastAsia" w:hAnsiTheme="minorEastAsia" w:eastAsiaTheme="minorEastAsia" w:cstheme="minorEastAsia"/>
                <w:color w:val="auto"/>
                <w:sz w:val="24"/>
                <w:szCs w:val="24"/>
                <w:highlight w:val="none"/>
              </w:rPr>
            </w:pPr>
          </w:p>
        </w:tc>
      </w:tr>
      <w:tr w14:paraId="3C1BA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6482" w:type="dxa"/>
            <w:gridSpan w:val="2"/>
            <w:vAlign w:val="center"/>
          </w:tcPr>
          <w:p w14:paraId="531489BD">
            <w:pPr>
              <w:shd w:val="clear" w:color="auto"/>
              <w:spacing w:line="340" w:lineRule="exact"/>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结论：是否通过</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Cs/>
                <w:color w:val="auto"/>
                <w:sz w:val="24"/>
                <w:szCs w:val="24"/>
                <w:highlight w:val="none"/>
              </w:rPr>
              <w:t>资格审查</w:t>
            </w:r>
            <w:r>
              <w:rPr>
                <w:rFonts w:hint="eastAsia" w:asciiTheme="minorEastAsia" w:hAnsiTheme="minorEastAsia" w:eastAsiaTheme="minorEastAsia" w:cstheme="minorEastAsia"/>
                <w:color w:val="auto"/>
                <w:sz w:val="24"/>
                <w:szCs w:val="24"/>
                <w:highlight w:val="none"/>
              </w:rPr>
              <w:t>合格后方可进入符合性审查阶段</w:t>
            </w:r>
            <w:r>
              <w:rPr>
                <w:rFonts w:hint="eastAsia" w:asciiTheme="minorEastAsia" w:hAnsiTheme="minorEastAsia" w:eastAsiaTheme="minorEastAsia" w:cstheme="minorEastAsia"/>
                <w:b/>
                <w:color w:val="auto"/>
                <w:sz w:val="24"/>
                <w:szCs w:val="24"/>
                <w:highlight w:val="none"/>
              </w:rPr>
              <w:t>）</w:t>
            </w:r>
          </w:p>
        </w:tc>
        <w:tc>
          <w:tcPr>
            <w:tcW w:w="854" w:type="dxa"/>
            <w:vAlign w:val="center"/>
          </w:tcPr>
          <w:p w14:paraId="3663770C">
            <w:pPr>
              <w:shd w:val="clear" w:color="auto"/>
              <w:spacing w:line="340" w:lineRule="exact"/>
              <w:rPr>
                <w:rFonts w:asciiTheme="minorEastAsia" w:hAnsiTheme="minorEastAsia" w:eastAsiaTheme="minorEastAsia" w:cstheme="minorEastAsia"/>
                <w:color w:val="auto"/>
                <w:sz w:val="24"/>
                <w:szCs w:val="24"/>
                <w:highlight w:val="none"/>
              </w:rPr>
            </w:pPr>
          </w:p>
        </w:tc>
        <w:tc>
          <w:tcPr>
            <w:tcW w:w="852" w:type="dxa"/>
            <w:vAlign w:val="center"/>
          </w:tcPr>
          <w:p w14:paraId="7106E7F0">
            <w:pPr>
              <w:shd w:val="clear" w:color="auto"/>
              <w:spacing w:line="340" w:lineRule="exact"/>
              <w:rPr>
                <w:rFonts w:asciiTheme="minorEastAsia" w:hAnsiTheme="minorEastAsia" w:eastAsiaTheme="minorEastAsia" w:cstheme="minorEastAsia"/>
                <w:color w:val="auto"/>
                <w:sz w:val="24"/>
                <w:szCs w:val="24"/>
                <w:highlight w:val="none"/>
              </w:rPr>
            </w:pPr>
          </w:p>
        </w:tc>
        <w:tc>
          <w:tcPr>
            <w:tcW w:w="851" w:type="dxa"/>
            <w:vAlign w:val="center"/>
          </w:tcPr>
          <w:p w14:paraId="5E590FC1">
            <w:pPr>
              <w:shd w:val="clear" w:color="auto"/>
              <w:spacing w:line="340" w:lineRule="exact"/>
              <w:rPr>
                <w:rFonts w:asciiTheme="minorEastAsia" w:hAnsiTheme="minorEastAsia" w:eastAsiaTheme="minorEastAsia" w:cstheme="minorEastAsia"/>
                <w:color w:val="auto"/>
                <w:sz w:val="24"/>
                <w:szCs w:val="24"/>
                <w:highlight w:val="none"/>
              </w:rPr>
            </w:pPr>
          </w:p>
        </w:tc>
        <w:tc>
          <w:tcPr>
            <w:tcW w:w="792" w:type="dxa"/>
            <w:vAlign w:val="center"/>
          </w:tcPr>
          <w:p w14:paraId="1B98C86E">
            <w:pPr>
              <w:shd w:val="clear" w:color="auto"/>
              <w:spacing w:line="340" w:lineRule="exact"/>
              <w:rPr>
                <w:rFonts w:asciiTheme="minorEastAsia" w:hAnsiTheme="minorEastAsia" w:eastAsiaTheme="minorEastAsia" w:cstheme="minorEastAsia"/>
                <w:color w:val="auto"/>
                <w:sz w:val="24"/>
                <w:szCs w:val="24"/>
                <w:highlight w:val="none"/>
              </w:rPr>
            </w:pPr>
          </w:p>
        </w:tc>
      </w:tr>
      <w:tr w14:paraId="715A1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0" w:hRule="atLeast"/>
        </w:trPr>
        <w:tc>
          <w:tcPr>
            <w:tcW w:w="9831" w:type="dxa"/>
            <w:gridSpan w:val="6"/>
            <w:vAlign w:val="center"/>
          </w:tcPr>
          <w:p w14:paraId="18EA3509">
            <w:pPr>
              <w:shd w:val="clear" w:color="auto"/>
              <w:spacing w:line="340" w:lineRule="exact"/>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备注：如果投标文件中有一项未通过上述审查标准，评标委员会将认定整个投标文件不响应磋商文件而予以投标无效，并且不允许供应商通过修改或撤销其不符合要求的差异或保留，使之成为具有响应性的投标。通过审核的以“√”标记；未通过的以“×”标记，并予以说明。</w:t>
            </w:r>
          </w:p>
        </w:tc>
      </w:tr>
    </w:tbl>
    <w:p w14:paraId="7ECDB2B8">
      <w:pPr>
        <w:pageBreakBefore/>
        <w:shd w:val="clear"/>
        <w:snapToGrid w:val="0"/>
        <w:spacing w:line="440" w:lineRule="exact"/>
        <w:jc w:val="center"/>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初步评审（符合性审查）</w:t>
      </w:r>
    </w:p>
    <w:tbl>
      <w:tblPr>
        <w:tblStyle w:val="28"/>
        <w:tblW w:w="88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545"/>
        <w:gridCol w:w="4163"/>
        <w:gridCol w:w="806"/>
        <w:gridCol w:w="806"/>
        <w:gridCol w:w="806"/>
        <w:gridCol w:w="807"/>
      </w:tblGrid>
      <w:tr w14:paraId="66AF3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928" w:type="dxa"/>
            <w:tcBorders>
              <w:bottom w:val="single" w:color="auto" w:sz="4" w:space="0"/>
            </w:tcBorders>
            <w:vAlign w:val="center"/>
          </w:tcPr>
          <w:p w14:paraId="783986A5">
            <w:pPr>
              <w:shd w:val="clear" w:color="auto"/>
              <w:spacing w:line="440" w:lineRule="exact"/>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项目</w:t>
            </w:r>
          </w:p>
        </w:tc>
        <w:tc>
          <w:tcPr>
            <w:tcW w:w="4708" w:type="dxa"/>
            <w:gridSpan w:val="2"/>
            <w:tcBorders>
              <w:bottom w:val="single" w:color="auto" w:sz="4" w:space="0"/>
            </w:tcBorders>
            <w:vAlign w:val="center"/>
          </w:tcPr>
          <w:p w14:paraId="179CE4FC">
            <w:pPr>
              <w:shd w:val="clear" w:color="auto"/>
              <w:spacing w:line="440" w:lineRule="exact"/>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评  审  内  容</w:t>
            </w:r>
          </w:p>
        </w:tc>
        <w:tc>
          <w:tcPr>
            <w:tcW w:w="806" w:type="dxa"/>
            <w:tcBorders>
              <w:bottom w:val="single" w:color="auto" w:sz="4" w:space="0"/>
            </w:tcBorders>
            <w:vAlign w:val="center"/>
          </w:tcPr>
          <w:p w14:paraId="78CEE1E4">
            <w:pPr>
              <w:shd w:val="clear" w:color="auto"/>
              <w:spacing w:line="440" w:lineRule="exact"/>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供应商1</w:t>
            </w:r>
          </w:p>
        </w:tc>
        <w:tc>
          <w:tcPr>
            <w:tcW w:w="806" w:type="dxa"/>
            <w:tcBorders>
              <w:bottom w:val="single" w:color="auto" w:sz="4" w:space="0"/>
            </w:tcBorders>
            <w:vAlign w:val="center"/>
          </w:tcPr>
          <w:p w14:paraId="79886551">
            <w:pPr>
              <w:shd w:val="clear" w:color="auto"/>
              <w:spacing w:line="440" w:lineRule="exact"/>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供应商2</w:t>
            </w:r>
          </w:p>
        </w:tc>
        <w:tc>
          <w:tcPr>
            <w:tcW w:w="806" w:type="dxa"/>
            <w:tcBorders>
              <w:bottom w:val="single" w:color="auto" w:sz="4" w:space="0"/>
            </w:tcBorders>
            <w:vAlign w:val="center"/>
          </w:tcPr>
          <w:p w14:paraId="698E2F94">
            <w:pPr>
              <w:shd w:val="clear" w:color="auto"/>
              <w:spacing w:line="440" w:lineRule="exact"/>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供应商3</w:t>
            </w:r>
          </w:p>
        </w:tc>
        <w:tc>
          <w:tcPr>
            <w:tcW w:w="807" w:type="dxa"/>
            <w:tcBorders>
              <w:bottom w:val="single" w:color="auto" w:sz="4" w:space="0"/>
            </w:tcBorders>
            <w:vAlign w:val="center"/>
          </w:tcPr>
          <w:p w14:paraId="26D31793">
            <w:pPr>
              <w:shd w:val="clear" w:color="auto"/>
              <w:spacing w:line="440" w:lineRule="exact"/>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供应商N</w:t>
            </w:r>
          </w:p>
        </w:tc>
      </w:tr>
      <w:tr w14:paraId="0A448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rPr>
        <w:tc>
          <w:tcPr>
            <w:tcW w:w="928" w:type="dxa"/>
            <w:vMerge w:val="restart"/>
            <w:vAlign w:val="center"/>
          </w:tcPr>
          <w:p w14:paraId="170E6251">
            <w:pPr>
              <w:shd w:val="clear" w:color="auto"/>
              <w:spacing w:line="440" w:lineRule="exact"/>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初</w:t>
            </w:r>
          </w:p>
          <w:p w14:paraId="2EFD28DE">
            <w:pPr>
              <w:shd w:val="clear" w:color="auto"/>
              <w:spacing w:line="440" w:lineRule="exact"/>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步</w:t>
            </w:r>
          </w:p>
          <w:p w14:paraId="65919C1B">
            <w:pPr>
              <w:shd w:val="clear" w:color="auto"/>
              <w:spacing w:line="440" w:lineRule="exact"/>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评</w:t>
            </w:r>
          </w:p>
          <w:p w14:paraId="0FABB2FC">
            <w:pPr>
              <w:shd w:val="clear" w:color="auto"/>
              <w:spacing w:line="440" w:lineRule="exact"/>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审</w:t>
            </w:r>
          </w:p>
          <w:p w14:paraId="11DDED01">
            <w:pPr>
              <w:shd w:val="clear" w:color="auto"/>
              <w:spacing w:line="440" w:lineRule="exact"/>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w:t>
            </w:r>
          </w:p>
          <w:p w14:paraId="5B65CB52">
            <w:pPr>
              <w:shd w:val="clear" w:color="auto"/>
              <w:spacing w:line="440" w:lineRule="exact"/>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符合性审查</w:t>
            </w:r>
          </w:p>
          <w:p w14:paraId="0F2C27B8">
            <w:pPr>
              <w:shd w:val="clear" w:color="auto"/>
              <w:spacing w:line="440" w:lineRule="exact"/>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w:t>
            </w:r>
          </w:p>
        </w:tc>
        <w:tc>
          <w:tcPr>
            <w:tcW w:w="545" w:type="dxa"/>
            <w:vAlign w:val="center"/>
          </w:tcPr>
          <w:p w14:paraId="6DE9C5E0">
            <w:pPr>
              <w:shd w:val="clear" w:color="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4163" w:type="dxa"/>
            <w:vAlign w:val="center"/>
          </w:tcPr>
          <w:p w14:paraId="4FB6DD4F">
            <w:pPr>
              <w:rPr>
                <w:rFonts w:asciiTheme="minorEastAsia" w:hAnsiTheme="minorEastAsia" w:eastAsiaTheme="minorEastAsia" w:cstheme="minorEastAsia"/>
                <w:color w:val="auto"/>
                <w:sz w:val="24"/>
                <w:szCs w:val="24"/>
                <w:highlight w:val="none"/>
              </w:rPr>
            </w:pPr>
            <w:r>
              <w:rPr>
                <w:rFonts w:hint="eastAsia" w:ascii="宋体" w:hAnsi="宋体"/>
                <w:color w:val="auto"/>
                <w:sz w:val="24"/>
                <w:szCs w:val="24"/>
                <w:highlight w:val="none"/>
              </w:rPr>
              <w:t>投标报价不得超过招标文件采购预算，是否按照招标文件格式填写；</w:t>
            </w:r>
          </w:p>
        </w:tc>
        <w:tc>
          <w:tcPr>
            <w:tcW w:w="806" w:type="dxa"/>
            <w:vAlign w:val="center"/>
          </w:tcPr>
          <w:p w14:paraId="03ECF4BC">
            <w:pPr>
              <w:shd w:val="clear" w:color="auto"/>
              <w:spacing w:line="440" w:lineRule="exact"/>
              <w:rPr>
                <w:rFonts w:asciiTheme="minorEastAsia" w:hAnsiTheme="minorEastAsia" w:eastAsiaTheme="minorEastAsia" w:cstheme="minorEastAsia"/>
                <w:color w:val="auto"/>
                <w:sz w:val="24"/>
                <w:szCs w:val="24"/>
                <w:highlight w:val="none"/>
              </w:rPr>
            </w:pPr>
          </w:p>
        </w:tc>
        <w:tc>
          <w:tcPr>
            <w:tcW w:w="806" w:type="dxa"/>
            <w:vAlign w:val="center"/>
          </w:tcPr>
          <w:p w14:paraId="57BCD459">
            <w:pPr>
              <w:shd w:val="clear" w:color="auto"/>
              <w:spacing w:line="440" w:lineRule="exact"/>
              <w:rPr>
                <w:rFonts w:asciiTheme="minorEastAsia" w:hAnsiTheme="minorEastAsia" w:eastAsiaTheme="minorEastAsia" w:cstheme="minorEastAsia"/>
                <w:color w:val="auto"/>
                <w:sz w:val="24"/>
                <w:szCs w:val="24"/>
                <w:highlight w:val="none"/>
              </w:rPr>
            </w:pPr>
          </w:p>
        </w:tc>
        <w:tc>
          <w:tcPr>
            <w:tcW w:w="806" w:type="dxa"/>
            <w:vAlign w:val="center"/>
          </w:tcPr>
          <w:p w14:paraId="582B40E4">
            <w:pPr>
              <w:shd w:val="clear" w:color="auto"/>
              <w:spacing w:line="440" w:lineRule="exact"/>
              <w:rPr>
                <w:rFonts w:asciiTheme="minorEastAsia" w:hAnsiTheme="minorEastAsia" w:eastAsiaTheme="minorEastAsia" w:cstheme="minorEastAsia"/>
                <w:color w:val="auto"/>
                <w:sz w:val="24"/>
                <w:szCs w:val="24"/>
                <w:highlight w:val="none"/>
              </w:rPr>
            </w:pPr>
          </w:p>
        </w:tc>
        <w:tc>
          <w:tcPr>
            <w:tcW w:w="807" w:type="dxa"/>
            <w:vAlign w:val="center"/>
          </w:tcPr>
          <w:p w14:paraId="1B6C7B6A">
            <w:pPr>
              <w:shd w:val="clear" w:color="auto"/>
              <w:spacing w:line="440" w:lineRule="exact"/>
              <w:rPr>
                <w:rFonts w:asciiTheme="minorEastAsia" w:hAnsiTheme="minorEastAsia" w:eastAsiaTheme="minorEastAsia" w:cstheme="minorEastAsia"/>
                <w:color w:val="auto"/>
                <w:sz w:val="24"/>
                <w:szCs w:val="24"/>
                <w:highlight w:val="none"/>
              </w:rPr>
            </w:pPr>
          </w:p>
        </w:tc>
      </w:tr>
      <w:tr w14:paraId="791BA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928" w:type="dxa"/>
            <w:vMerge w:val="continue"/>
            <w:vAlign w:val="center"/>
          </w:tcPr>
          <w:p w14:paraId="74BC963F">
            <w:pPr>
              <w:shd w:val="clear" w:color="auto"/>
              <w:spacing w:line="440" w:lineRule="exact"/>
              <w:jc w:val="center"/>
              <w:rPr>
                <w:rFonts w:asciiTheme="minorEastAsia" w:hAnsiTheme="minorEastAsia" w:eastAsiaTheme="minorEastAsia" w:cstheme="minorEastAsia"/>
                <w:color w:val="auto"/>
                <w:sz w:val="24"/>
                <w:szCs w:val="24"/>
                <w:highlight w:val="none"/>
              </w:rPr>
            </w:pPr>
          </w:p>
        </w:tc>
        <w:tc>
          <w:tcPr>
            <w:tcW w:w="545" w:type="dxa"/>
            <w:vAlign w:val="center"/>
          </w:tcPr>
          <w:p w14:paraId="25640F80">
            <w:pPr>
              <w:shd w:val="clear" w:color="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 w:val="24"/>
                <w:szCs w:val="24"/>
                <w:highlight w:val="none"/>
              </w:rPr>
              <w:t>2</w:t>
            </w:r>
          </w:p>
        </w:tc>
        <w:tc>
          <w:tcPr>
            <w:tcW w:w="4163" w:type="dxa"/>
            <w:vAlign w:val="center"/>
          </w:tcPr>
          <w:p w14:paraId="6801F32F">
            <w:pPr>
              <w:rPr>
                <w:rFonts w:asciiTheme="minorEastAsia" w:hAnsiTheme="minorEastAsia" w:eastAsiaTheme="minorEastAsia" w:cstheme="minorEastAsia"/>
                <w:color w:val="auto"/>
                <w:szCs w:val="21"/>
                <w:highlight w:val="none"/>
              </w:rPr>
            </w:pPr>
            <w:r>
              <w:rPr>
                <w:rFonts w:hint="eastAsia" w:ascii="宋体" w:hAnsi="宋体"/>
                <w:color w:val="auto"/>
                <w:sz w:val="24"/>
                <w:szCs w:val="24"/>
                <w:highlight w:val="none"/>
              </w:rPr>
              <w:t>投标文件是否</w:t>
            </w:r>
            <w:r>
              <w:rPr>
                <w:rFonts w:hint="eastAsia" w:ascii="宋体" w:hAnsi="宋体"/>
                <w:color w:val="auto"/>
                <w:sz w:val="24"/>
                <w:szCs w:val="24"/>
                <w:highlight w:val="none"/>
                <w:lang w:val="zh-CN"/>
              </w:rPr>
              <w:t>按照招标文件规定格式完整提供</w:t>
            </w:r>
            <w:r>
              <w:rPr>
                <w:rFonts w:hint="eastAsia" w:ascii="宋体" w:hAnsi="宋体"/>
                <w:color w:val="auto"/>
                <w:sz w:val="24"/>
                <w:szCs w:val="24"/>
                <w:highlight w:val="none"/>
              </w:rPr>
              <w:t>；</w:t>
            </w:r>
          </w:p>
        </w:tc>
        <w:tc>
          <w:tcPr>
            <w:tcW w:w="806" w:type="dxa"/>
            <w:vAlign w:val="center"/>
          </w:tcPr>
          <w:p w14:paraId="0F4D1EC0">
            <w:pPr>
              <w:shd w:val="clear" w:color="auto"/>
              <w:spacing w:line="440" w:lineRule="exact"/>
              <w:rPr>
                <w:rFonts w:asciiTheme="minorEastAsia" w:hAnsiTheme="minorEastAsia" w:eastAsiaTheme="minorEastAsia" w:cstheme="minorEastAsia"/>
                <w:color w:val="auto"/>
                <w:sz w:val="24"/>
                <w:szCs w:val="24"/>
                <w:highlight w:val="none"/>
              </w:rPr>
            </w:pPr>
          </w:p>
        </w:tc>
        <w:tc>
          <w:tcPr>
            <w:tcW w:w="806" w:type="dxa"/>
            <w:vAlign w:val="center"/>
          </w:tcPr>
          <w:p w14:paraId="4134B94E">
            <w:pPr>
              <w:shd w:val="clear" w:color="auto"/>
              <w:spacing w:line="440" w:lineRule="exact"/>
              <w:rPr>
                <w:rFonts w:asciiTheme="minorEastAsia" w:hAnsiTheme="minorEastAsia" w:eastAsiaTheme="minorEastAsia" w:cstheme="minorEastAsia"/>
                <w:color w:val="auto"/>
                <w:sz w:val="24"/>
                <w:szCs w:val="24"/>
                <w:highlight w:val="none"/>
              </w:rPr>
            </w:pPr>
          </w:p>
        </w:tc>
        <w:tc>
          <w:tcPr>
            <w:tcW w:w="806" w:type="dxa"/>
            <w:vAlign w:val="center"/>
          </w:tcPr>
          <w:p w14:paraId="5EC5B379">
            <w:pPr>
              <w:shd w:val="clear" w:color="auto"/>
              <w:spacing w:line="440" w:lineRule="exact"/>
              <w:rPr>
                <w:rFonts w:asciiTheme="minorEastAsia" w:hAnsiTheme="minorEastAsia" w:eastAsiaTheme="minorEastAsia" w:cstheme="minorEastAsia"/>
                <w:color w:val="auto"/>
                <w:sz w:val="24"/>
                <w:szCs w:val="24"/>
                <w:highlight w:val="none"/>
              </w:rPr>
            </w:pPr>
          </w:p>
        </w:tc>
        <w:tc>
          <w:tcPr>
            <w:tcW w:w="807" w:type="dxa"/>
            <w:vAlign w:val="center"/>
          </w:tcPr>
          <w:p w14:paraId="2E253931">
            <w:pPr>
              <w:shd w:val="clear" w:color="auto"/>
              <w:spacing w:line="440" w:lineRule="exact"/>
              <w:rPr>
                <w:rFonts w:asciiTheme="minorEastAsia" w:hAnsiTheme="minorEastAsia" w:eastAsiaTheme="minorEastAsia" w:cstheme="minorEastAsia"/>
                <w:color w:val="auto"/>
                <w:sz w:val="24"/>
                <w:szCs w:val="24"/>
                <w:highlight w:val="none"/>
              </w:rPr>
            </w:pPr>
          </w:p>
        </w:tc>
      </w:tr>
      <w:tr w14:paraId="7DFB0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928" w:type="dxa"/>
            <w:vMerge w:val="continue"/>
            <w:vAlign w:val="center"/>
          </w:tcPr>
          <w:p w14:paraId="5BFAF353">
            <w:pPr>
              <w:shd w:val="clear" w:color="auto"/>
              <w:spacing w:line="440" w:lineRule="exact"/>
              <w:jc w:val="center"/>
              <w:rPr>
                <w:rFonts w:asciiTheme="minorEastAsia" w:hAnsiTheme="minorEastAsia" w:eastAsiaTheme="minorEastAsia" w:cstheme="minorEastAsia"/>
                <w:color w:val="auto"/>
                <w:sz w:val="24"/>
                <w:szCs w:val="24"/>
                <w:highlight w:val="none"/>
              </w:rPr>
            </w:pPr>
          </w:p>
        </w:tc>
        <w:tc>
          <w:tcPr>
            <w:tcW w:w="545" w:type="dxa"/>
            <w:vAlign w:val="center"/>
          </w:tcPr>
          <w:p w14:paraId="3A780A53">
            <w:pPr>
              <w:shd w:val="clear" w:color="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4163" w:type="dxa"/>
            <w:vAlign w:val="center"/>
          </w:tcPr>
          <w:p w14:paraId="2EF38D97">
            <w:pPr>
              <w:rPr>
                <w:rFonts w:asciiTheme="minorEastAsia" w:hAnsiTheme="minorEastAsia" w:eastAsiaTheme="minorEastAsia" w:cstheme="minorEastAsia"/>
                <w:color w:val="auto"/>
                <w:szCs w:val="21"/>
                <w:highlight w:val="none"/>
              </w:rPr>
            </w:pPr>
            <w:r>
              <w:rPr>
                <w:rFonts w:hint="eastAsia" w:ascii="宋体" w:hAnsi="宋体"/>
                <w:color w:val="auto"/>
                <w:sz w:val="24"/>
                <w:szCs w:val="24"/>
                <w:highlight w:val="none"/>
                <w:lang w:val="zh-CN"/>
              </w:rPr>
              <w:t>投标文件中法定代表人身份证明书是否按招标文件规定格式完整提供</w:t>
            </w:r>
            <w:r>
              <w:rPr>
                <w:rFonts w:hint="eastAsia" w:ascii="宋体" w:hAnsi="宋体"/>
                <w:color w:val="auto"/>
                <w:sz w:val="24"/>
                <w:szCs w:val="24"/>
                <w:highlight w:val="none"/>
              </w:rPr>
              <w:t>；</w:t>
            </w:r>
          </w:p>
        </w:tc>
        <w:tc>
          <w:tcPr>
            <w:tcW w:w="806" w:type="dxa"/>
            <w:vAlign w:val="center"/>
          </w:tcPr>
          <w:p w14:paraId="25555D20">
            <w:pPr>
              <w:shd w:val="clear" w:color="auto"/>
              <w:spacing w:line="440" w:lineRule="exact"/>
              <w:rPr>
                <w:rFonts w:asciiTheme="minorEastAsia" w:hAnsiTheme="minorEastAsia" w:eastAsiaTheme="minorEastAsia" w:cstheme="minorEastAsia"/>
                <w:color w:val="auto"/>
                <w:sz w:val="24"/>
                <w:szCs w:val="24"/>
                <w:highlight w:val="none"/>
              </w:rPr>
            </w:pPr>
          </w:p>
        </w:tc>
        <w:tc>
          <w:tcPr>
            <w:tcW w:w="806" w:type="dxa"/>
            <w:vAlign w:val="center"/>
          </w:tcPr>
          <w:p w14:paraId="3754B737">
            <w:pPr>
              <w:shd w:val="clear" w:color="auto"/>
              <w:spacing w:line="440" w:lineRule="exact"/>
              <w:rPr>
                <w:rFonts w:asciiTheme="minorEastAsia" w:hAnsiTheme="minorEastAsia" w:eastAsiaTheme="minorEastAsia" w:cstheme="minorEastAsia"/>
                <w:color w:val="auto"/>
                <w:sz w:val="24"/>
                <w:szCs w:val="24"/>
                <w:highlight w:val="none"/>
              </w:rPr>
            </w:pPr>
          </w:p>
        </w:tc>
        <w:tc>
          <w:tcPr>
            <w:tcW w:w="806" w:type="dxa"/>
            <w:vAlign w:val="center"/>
          </w:tcPr>
          <w:p w14:paraId="6EFF9403">
            <w:pPr>
              <w:shd w:val="clear" w:color="auto"/>
              <w:spacing w:line="440" w:lineRule="exact"/>
              <w:rPr>
                <w:rFonts w:asciiTheme="minorEastAsia" w:hAnsiTheme="minorEastAsia" w:eastAsiaTheme="minorEastAsia" w:cstheme="minorEastAsia"/>
                <w:color w:val="auto"/>
                <w:sz w:val="24"/>
                <w:szCs w:val="24"/>
                <w:highlight w:val="none"/>
              </w:rPr>
            </w:pPr>
          </w:p>
        </w:tc>
        <w:tc>
          <w:tcPr>
            <w:tcW w:w="807" w:type="dxa"/>
            <w:vAlign w:val="center"/>
          </w:tcPr>
          <w:p w14:paraId="1F973CED">
            <w:pPr>
              <w:shd w:val="clear" w:color="auto"/>
              <w:spacing w:line="440" w:lineRule="exact"/>
              <w:rPr>
                <w:rFonts w:asciiTheme="minorEastAsia" w:hAnsiTheme="minorEastAsia" w:eastAsiaTheme="minorEastAsia" w:cstheme="minorEastAsia"/>
                <w:color w:val="auto"/>
                <w:sz w:val="24"/>
                <w:szCs w:val="24"/>
                <w:highlight w:val="none"/>
              </w:rPr>
            </w:pPr>
          </w:p>
        </w:tc>
      </w:tr>
      <w:tr w14:paraId="2E9E8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928" w:type="dxa"/>
            <w:vMerge w:val="continue"/>
            <w:vAlign w:val="center"/>
          </w:tcPr>
          <w:p w14:paraId="24982B7B">
            <w:pPr>
              <w:shd w:val="clear" w:color="auto"/>
              <w:spacing w:line="440" w:lineRule="exact"/>
              <w:jc w:val="center"/>
              <w:rPr>
                <w:rFonts w:asciiTheme="minorEastAsia" w:hAnsiTheme="minorEastAsia" w:eastAsiaTheme="minorEastAsia" w:cstheme="minorEastAsia"/>
                <w:color w:val="auto"/>
                <w:sz w:val="24"/>
                <w:szCs w:val="24"/>
                <w:highlight w:val="none"/>
              </w:rPr>
            </w:pPr>
          </w:p>
        </w:tc>
        <w:tc>
          <w:tcPr>
            <w:tcW w:w="545" w:type="dxa"/>
            <w:vAlign w:val="center"/>
          </w:tcPr>
          <w:p w14:paraId="375CD9DC">
            <w:pPr>
              <w:shd w:val="clear" w:color="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4163" w:type="dxa"/>
            <w:vAlign w:val="center"/>
          </w:tcPr>
          <w:p w14:paraId="14C521A3">
            <w:pPr>
              <w:rPr>
                <w:rFonts w:asciiTheme="minorEastAsia" w:hAnsiTheme="minorEastAsia" w:eastAsiaTheme="minorEastAsia" w:cstheme="minorEastAsia"/>
                <w:color w:val="auto"/>
                <w:szCs w:val="21"/>
                <w:highlight w:val="none"/>
              </w:rPr>
            </w:pPr>
            <w:r>
              <w:rPr>
                <w:rFonts w:hint="eastAsia" w:ascii="宋体" w:hAnsi="宋体"/>
                <w:color w:val="auto"/>
                <w:sz w:val="24"/>
                <w:szCs w:val="24"/>
                <w:highlight w:val="none"/>
                <w:lang w:val="zh-CN"/>
              </w:rPr>
              <w:t>投标文件中法定代表人授权委托书是否按招标文件规定格式完整提供</w:t>
            </w:r>
            <w:r>
              <w:rPr>
                <w:rFonts w:hint="eastAsia" w:ascii="宋体" w:hAnsi="宋体"/>
                <w:color w:val="auto"/>
                <w:sz w:val="24"/>
                <w:szCs w:val="24"/>
                <w:highlight w:val="none"/>
              </w:rPr>
              <w:t>；</w:t>
            </w:r>
          </w:p>
        </w:tc>
        <w:tc>
          <w:tcPr>
            <w:tcW w:w="806" w:type="dxa"/>
            <w:vAlign w:val="center"/>
          </w:tcPr>
          <w:p w14:paraId="5A997649">
            <w:pPr>
              <w:shd w:val="clear" w:color="auto"/>
              <w:spacing w:line="440" w:lineRule="exact"/>
              <w:rPr>
                <w:rFonts w:asciiTheme="minorEastAsia" w:hAnsiTheme="minorEastAsia" w:eastAsiaTheme="minorEastAsia" w:cstheme="minorEastAsia"/>
                <w:color w:val="auto"/>
                <w:sz w:val="24"/>
                <w:szCs w:val="24"/>
                <w:highlight w:val="none"/>
              </w:rPr>
            </w:pPr>
          </w:p>
        </w:tc>
        <w:tc>
          <w:tcPr>
            <w:tcW w:w="806" w:type="dxa"/>
            <w:vAlign w:val="center"/>
          </w:tcPr>
          <w:p w14:paraId="4072E46C">
            <w:pPr>
              <w:shd w:val="clear" w:color="auto"/>
              <w:spacing w:line="440" w:lineRule="exact"/>
              <w:rPr>
                <w:rFonts w:asciiTheme="minorEastAsia" w:hAnsiTheme="minorEastAsia" w:eastAsiaTheme="minorEastAsia" w:cstheme="minorEastAsia"/>
                <w:color w:val="auto"/>
                <w:sz w:val="24"/>
                <w:szCs w:val="24"/>
                <w:highlight w:val="none"/>
              </w:rPr>
            </w:pPr>
          </w:p>
        </w:tc>
        <w:tc>
          <w:tcPr>
            <w:tcW w:w="806" w:type="dxa"/>
            <w:vAlign w:val="center"/>
          </w:tcPr>
          <w:p w14:paraId="40C5B372">
            <w:pPr>
              <w:shd w:val="clear" w:color="auto"/>
              <w:spacing w:line="440" w:lineRule="exact"/>
              <w:rPr>
                <w:rFonts w:asciiTheme="minorEastAsia" w:hAnsiTheme="minorEastAsia" w:eastAsiaTheme="minorEastAsia" w:cstheme="minorEastAsia"/>
                <w:color w:val="auto"/>
                <w:sz w:val="24"/>
                <w:szCs w:val="24"/>
                <w:highlight w:val="none"/>
              </w:rPr>
            </w:pPr>
          </w:p>
        </w:tc>
        <w:tc>
          <w:tcPr>
            <w:tcW w:w="807" w:type="dxa"/>
            <w:vAlign w:val="center"/>
          </w:tcPr>
          <w:p w14:paraId="213FF667">
            <w:pPr>
              <w:shd w:val="clear" w:color="auto"/>
              <w:spacing w:line="440" w:lineRule="exact"/>
              <w:rPr>
                <w:rFonts w:asciiTheme="minorEastAsia" w:hAnsiTheme="minorEastAsia" w:eastAsiaTheme="minorEastAsia" w:cstheme="minorEastAsia"/>
                <w:color w:val="auto"/>
                <w:sz w:val="24"/>
                <w:szCs w:val="24"/>
                <w:highlight w:val="none"/>
              </w:rPr>
            </w:pPr>
          </w:p>
        </w:tc>
      </w:tr>
      <w:tr w14:paraId="3EE6C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928" w:type="dxa"/>
            <w:vMerge w:val="continue"/>
            <w:vAlign w:val="center"/>
          </w:tcPr>
          <w:p w14:paraId="0F13414F">
            <w:pPr>
              <w:shd w:val="clear" w:color="auto"/>
              <w:spacing w:line="440" w:lineRule="exact"/>
              <w:jc w:val="center"/>
              <w:rPr>
                <w:rFonts w:asciiTheme="minorEastAsia" w:hAnsiTheme="minorEastAsia" w:eastAsiaTheme="minorEastAsia" w:cstheme="minorEastAsia"/>
                <w:color w:val="auto"/>
                <w:sz w:val="24"/>
                <w:szCs w:val="24"/>
                <w:highlight w:val="none"/>
              </w:rPr>
            </w:pPr>
          </w:p>
        </w:tc>
        <w:tc>
          <w:tcPr>
            <w:tcW w:w="545" w:type="dxa"/>
            <w:vAlign w:val="center"/>
          </w:tcPr>
          <w:p w14:paraId="435BCB56">
            <w:pPr>
              <w:shd w:val="clear" w:color="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4163" w:type="dxa"/>
            <w:vAlign w:val="center"/>
          </w:tcPr>
          <w:p w14:paraId="141D8E39">
            <w:pPr>
              <w:rPr>
                <w:rFonts w:asciiTheme="minorEastAsia" w:hAnsiTheme="minorEastAsia" w:eastAsiaTheme="minorEastAsia" w:cstheme="minorEastAsia"/>
                <w:color w:val="auto"/>
                <w:szCs w:val="21"/>
                <w:highlight w:val="none"/>
              </w:rPr>
            </w:pPr>
            <w:r>
              <w:rPr>
                <w:rFonts w:hint="eastAsia" w:ascii="宋体" w:hAnsi="宋体"/>
                <w:color w:val="auto"/>
                <w:sz w:val="24"/>
                <w:szCs w:val="24"/>
                <w:highlight w:val="none"/>
              </w:rPr>
              <w:t>投标文件是否按招标文件要求签字或盖章；</w:t>
            </w:r>
          </w:p>
        </w:tc>
        <w:tc>
          <w:tcPr>
            <w:tcW w:w="806" w:type="dxa"/>
            <w:vAlign w:val="center"/>
          </w:tcPr>
          <w:p w14:paraId="712B3009">
            <w:pPr>
              <w:shd w:val="clear" w:color="auto"/>
              <w:spacing w:line="440" w:lineRule="exact"/>
              <w:rPr>
                <w:rFonts w:asciiTheme="minorEastAsia" w:hAnsiTheme="minorEastAsia" w:eastAsiaTheme="minorEastAsia" w:cstheme="minorEastAsia"/>
                <w:color w:val="auto"/>
                <w:sz w:val="24"/>
                <w:szCs w:val="24"/>
                <w:highlight w:val="none"/>
              </w:rPr>
            </w:pPr>
          </w:p>
        </w:tc>
        <w:tc>
          <w:tcPr>
            <w:tcW w:w="806" w:type="dxa"/>
            <w:vAlign w:val="center"/>
          </w:tcPr>
          <w:p w14:paraId="7A1CD5C3">
            <w:pPr>
              <w:shd w:val="clear" w:color="auto"/>
              <w:spacing w:line="440" w:lineRule="exact"/>
              <w:rPr>
                <w:rFonts w:asciiTheme="minorEastAsia" w:hAnsiTheme="minorEastAsia" w:eastAsiaTheme="minorEastAsia" w:cstheme="minorEastAsia"/>
                <w:color w:val="auto"/>
                <w:sz w:val="24"/>
                <w:szCs w:val="24"/>
                <w:highlight w:val="none"/>
              </w:rPr>
            </w:pPr>
          </w:p>
        </w:tc>
        <w:tc>
          <w:tcPr>
            <w:tcW w:w="806" w:type="dxa"/>
            <w:vAlign w:val="center"/>
          </w:tcPr>
          <w:p w14:paraId="34C6E66E">
            <w:pPr>
              <w:shd w:val="clear" w:color="auto"/>
              <w:spacing w:line="440" w:lineRule="exact"/>
              <w:rPr>
                <w:rFonts w:asciiTheme="minorEastAsia" w:hAnsiTheme="minorEastAsia" w:eastAsiaTheme="minorEastAsia" w:cstheme="minorEastAsia"/>
                <w:color w:val="auto"/>
                <w:sz w:val="24"/>
                <w:szCs w:val="24"/>
                <w:highlight w:val="none"/>
              </w:rPr>
            </w:pPr>
          </w:p>
        </w:tc>
        <w:tc>
          <w:tcPr>
            <w:tcW w:w="807" w:type="dxa"/>
            <w:vAlign w:val="center"/>
          </w:tcPr>
          <w:p w14:paraId="100F7887">
            <w:pPr>
              <w:shd w:val="clear" w:color="auto"/>
              <w:spacing w:line="440" w:lineRule="exact"/>
              <w:rPr>
                <w:rFonts w:asciiTheme="minorEastAsia" w:hAnsiTheme="minorEastAsia" w:eastAsiaTheme="minorEastAsia" w:cstheme="minorEastAsia"/>
                <w:color w:val="auto"/>
                <w:sz w:val="24"/>
                <w:szCs w:val="24"/>
                <w:highlight w:val="none"/>
              </w:rPr>
            </w:pPr>
          </w:p>
        </w:tc>
      </w:tr>
      <w:tr w14:paraId="49021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928" w:type="dxa"/>
            <w:vMerge w:val="continue"/>
            <w:vAlign w:val="center"/>
          </w:tcPr>
          <w:p w14:paraId="74B626CA">
            <w:pPr>
              <w:shd w:val="clear" w:color="auto"/>
              <w:spacing w:line="440" w:lineRule="exact"/>
              <w:jc w:val="center"/>
              <w:rPr>
                <w:rFonts w:asciiTheme="minorEastAsia" w:hAnsiTheme="minorEastAsia" w:eastAsiaTheme="minorEastAsia" w:cstheme="minorEastAsia"/>
                <w:color w:val="auto"/>
                <w:sz w:val="24"/>
                <w:szCs w:val="24"/>
                <w:highlight w:val="none"/>
              </w:rPr>
            </w:pPr>
          </w:p>
        </w:tc>
        <w:tc>
          <w:tcPr>
            <w:tcW w:w="545" w:type="dxa"/>
            <w:vAlign w:val="center"/>
          </w:tcPr>
          <w:p w14:paraId="6BE38A54">
            <w:pPr>
              <w:shd w:val="clear" w:color="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4163" w:type="dxa"/>
            <w:vAlign w:val="center"/>
          </w:tcPr>
          <w:p w14:paraId="5363BDB8">
            <w:pPr>
              <w:rPr>
                <w:rFonts w:asciiTheme="minorEastAsia" w:hAnsiTheme="minorEastAsia" w:eastAsiaTheme="minorEastAsia" w:cstheme="minorEastAsia"/>
                <w:color w:val="auto"/>
                <w:szCs w:val="21"/>
                <w:highlight w:val="none"/>
              </w:rPr>
            </w:pPr>
            <w:r>
              <w:rPr>
                <w:rFonts w:hint="eastAsia" w:ascii="宋体" w:hAnsi="宋体"/>
                <w:color w:val="auto"/>
                <w:sz w:val="24"/>
                <w:szCs w:val="24"/>
                <w:highlight w:val="none"/>
              </w:rPr>
              <w:t>投标保证金的缴纳主体是否与供应商一致、提供投标担保符合招标文件要求；</w:t>
            </w:r>
          </w:p>
        </w:tc>
        <w:tc>
          <w:tcPr>
            <w:tcW w:w="806" w:type="dxa"/>
            <w:vAlign w:val="center"/>
          </w:tcPr>
          <w:p w14:paraId="6218792D">
            <w:pPr>
              <w:shd w:val="clear" w:color="auto"/>
              <w:spacing w:line="440" w:lineRule="exact"/>
              <w:rPr>
                <w:rFonts w:asciiTheme="minorEastAsia" w:hAnsiTheme="minorEastAsia" w:eastAsiaTheme="minorEastAsia" w:cstheme="minorEastAsia"/>
                <w:color w:val="auto"/>
                <w:sz w:val="24"/>
                <w:szCs w:val="24"/>
                <w:highlight w:val="none"/>
              </w:rPr>
            </w:pPr>
          </w:p>
        </w:tc>
        <w:tc>
          <w:tcPr>
            <w:tcW w:w="806" w:type="dxa"/>
            <w:vAlign w:val="center"/>
          </w:tcPr>
          <w:p w14:paraId="041961BC">
            <w:pPr>
              <w:shd w:val="clear" w:color="auto"/>
              <w:spacing w:line="440" w:lineRule="exact"/>
              <w:rPr>
                <w:rFonts w:asciiTheme="minorEastAsia" w:hAnsiTheme="minorEastAsia" w:eastAsiaTheme="minorEastAsia" w:cstheme="minorEastAsia"/>
                <w:color w:val="auto"/>
                <w:sz w:val="24"/>
                <w:szCs w:val="24"/>
                <w:highlight w:val="none"/>
              </w:rPr>
            </w:pPr>
          </w:p>
        </w:tc>
        <w:tc>
          <w:tcPr>
            <w:tcW w:w="806" w:type="dxa"/>
            <w:vAlign w:val="center"/>
          </w:tcPr>
          <w:p w14:paraId="5B3CCD02">
            <w:pPr>
              <w:shd w:val="clear" w:color="auto"/>
              <w:spacing w:line="440" w:lineRule="exact"/>
              <w:rPr>
                <w:rFonts w:asciiTheme="minorEastAsia" w:hAnsiTheme="minorEastAsia" w:eastAsiaTheme="minorEastAsia" w:cstheme="minorEastAsia"/>
                <w:color w:val="auto"/>
                <w:sz w:val="24"/>
                <w:szCs w:val="24"/>
                <w:highlight w:val="none"/>
              </w:rPr>
            </w:pPr>
          </w:p>
        </w:tc>
        <w:tc>
          <w:tcPr>
            <w:tcW w:w="807" w:type="dxa"/>
            <w:vAlign w:val="center"/>
          </w:tcPr>
          <w:p w14:paraId="118F29C2">
            <w:pPr>
              <w:shd w:val="clear" w:color="auto"/>
              <w:spacing w:line="440" w:lineRule="exact"/>
              <w:rPr>
                <w:rFonts w:asciiTheme="minorEastAsia" w:hAnsiTheme="minorEastAsia" w:eastAsiaTheme="minorEastAsia" w:cstheme="minorEastAsia"/>
                <w:color w:val="auto"/>
                <w:sz w:val="24"/>
                <w:szCs w:val="24"/>
                <w:highlight w:val="none"/>
              </w:rPr>
            </w:pPr>
          </w:p>
        </w:tc>
      </w:tr>
      <w:tr w14:paraId="02F61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928" w:type="dxa"/>
            <w:vMerge w:val="continue"/>
            <w:vAlign w:val="center"/>
          </w:tcPr>
          <w:p w14:paraId="4D2097AD">
            <w:pPr>
              <w:shd w:val="clear" w:color="auto"/>
              <w:spacing w:line="440" w:lineRule="exact"/>
              <w:jc w:val="center"/>
              <w:rPr>
                <w:rFonts w:asciiTheme="minorEastAsia" w:hAnsiTheme="minorEastAsia" w:eastAsiaTheme="minorEastAsia" w:cstheme="minorEastAsia"/>
                <w:color w:val="auto"/>
                <w:sz w:val="24"/>
                <w:szCs w:val="24"/>
                <w:highlight w:val="none"/>
              </w:rPr>
            </w:pPr>
          </w:p>
        </w:tc>
        <w:tc>
          <w:tcPr>
            <w:tcW w:w="545" w:type="dxa"/>
            <w:vAlign w:val="center"/>
          </w:tcPr>
          <w:p w14:paraId="44AB860F">
            <w:pPr>
              <w:shd w:val="clear" w:color="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p>
        </w:tc>
        <w:tc>
          <w:tcPr>
            <w:tcW w:w="4163" w:type="dxa"/>
            <w:vAlign w:val="center"/>
          </w:tcPr>
          <w:p w14:paraId="4A906A61">
            <w:pPr>
              <w:rPr>
                <w:rFonts w:asciiTheme="minorEastAsia" w:hAnsiTheme="minorEastAsia" w:eastAsiaTheme="minorEastAsia" w:cstheme="minorEastAsia"/>
                <w:color w:val="auto"/>
                <w:szCs w:val="21"/>
                <w:highlight w:val="none"/>
              </w:rPr>
            </w:pPr>
            <w:r>
              <w:rPr>
                <w:rFonts w:hint="eastAsia" w:ascii="宋体" w:hAnsi="宋体"/>
                <w:color w:val="auto"/>
                <w:sz w:val="24"/>
                <w:szCs w:val="24"/>
                <w:highlight w:val="none"/>
              </w:rPr>
              <w:t>投标文件的</w:t>
            </w:r>
            <w:r>
              <w:rPr>
                <w:rFonts w:hint="eastAsia" w:ascii="宋体" w:hAnsi="宋体"/>
                <w:color w:val="auto"/>
                <w:sz w:val="24"/>
                <w:szCs w:val="24"/>
                <w:highlight w:val="none"/>
                <w:lang w:eastAsia="zh-CN"/>
              </w:rPr>
              <w:t>供货期</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质保期</w:t>
            </w:r>
            <w:r>
              <w:rPr>
                <w:rFonts w:hint="eastAsia" w:ascii="宋体" w:hAnsi="宋体"/>
                <w:color w:val="auto"/>
                <w:sz w:val="24"/>
                <w:szCs w:val="24"/>
                <w:highlight w:val="none"/>
              </w:rPr>
              <w:t>是否满足招标文件规定期限；</w:t>
            </w:r>
          </w:p>
        </w:tc>
        <w:tc>
          <w:tcPr>
            <w:tcW w:w="806" w:type="dxa"/>
            <w:vAlign w:val="center"/>
          </w:tcPr>
          <w:p w14:paraId="0AEF97C4">
            <w:pPr>
              <w:shd w:val="clear" w:color="auto"/>
              <w:spacing w:line="440" w:lineRule="exact"/>
              <w:rPr>
                <w:rFonts w:asciiTheme="minorEastAsia" w:hAnsiTheme="minorEastAsia" w:eastAsiaTheme="minorEastAsia" w:cstheme="minorEastAsia"/>
                <w:color w:val="auto"/>
                <w:sz w:val="24"/>
                <w:szCs w:val="24"/>
                <w:highlight w:val="none"/>
              </w:rPr>
            </w:pPr>
          </w:p>
        </w:tc>
        <w:tc>
          <w:tcPr>
            <w:tcW w:w="806" w:type="dxa"/>
            <w:vAlign w:val="center"/>
          </w:tcPr>
          <w:p w14:paraId="0CDD2603">
            <w:pPr>
              <w:shd w:val="clear" w:color="auto"/>
              <w:spacing w:line="440" w:lineRule="exact"/>
              <w:rPr>
                <w:rFonts w:asciiTheme="minorEastAsia" w:hAnsiTheme="minorEastAsia" w:eastAsiaTheme="minorEastAsia" w:cstheme="minorEastAsia"/>
                <w:color w:val="auto"/>
                <w:sz w:val="24"/>
                <w:szCs w:val="24"/>
                <w:highlight w:val="none"/>
              </w:rPr>
            </w:pPr>
          </w:p>
        </w:tc>
        <w:tc>
          <w:tcPr>
            <w:tcW w:w="806" w:type="dxa"/>
            <w:vAlign w:val="center"/>
          </w:tcPr>
          <w:p w14:paraId="460A5EF2">
            <w:pPr>
              <w:shd w:val="clear" w:color="auto"/>
              <w:spacing w:line="440" w:lineRule="exact"/>
              <w:rPr>
                <w:rFonts w:asciiTheme="minorEastAsia" w:hAnsiTheme="minorEastAsia" w:eastAsiaTheme="minorEastAsia" w:cstheme="minorEastAsia"/>
                <w:color w:val="auto"/>
                <w:sz w:val="24"/>
                <w:szCs w:val="24"/>
                <w:highlight w:val="none"/>
              </w:rPr>
            </w:pPr>
          </w:p>
        </w:tc>
        <w:tc>
          <w:tcPr>
            <w:tcW w:w="807" w:type="dxa"/>
            <w:vAlign w:val="center"/>
          </w:tcPr>
          <w:p w14:paraId="30943689">
            <w:pPr>
              <w:shd w:val="clear" w:color="auto"/>
              <w:spacing w:line="440" w:lineRule="exact"/>
              <w:rPr>
                <w:rFonts w:asciiTheme="minorEastAsia" w:hAnsiTheme="minorEastAsia" w:eastAsiaTheme="minorEastAsia" w:cstheme="minorEastAsia"/>
                <w:color w:val="auto"/>
                <w:sz w:val="24"/>
                <w:szCs w:val="24"/>
                <w:highlight w:val="none"/>
              </w:rPr>
            </w:pPr>
          </w:p>
        </w:tc>
      </w:tr>
      <w:tr w14:paraId="57CD7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928" w:type="dxa"/>
            <w:vMerge w:val="continue"/>
            <w:vAlign w:val="center"/>
          </w:tcPr>
          <w:p w14:paraId="1D0493C8">
            <w:pPr>
              <w:shd w:val="clear" w:color="auto"/>
              <w:spacing w:line="440" w:lineRule="exact"/>
              <w:jc w:val="center"/>
              <w:rPr>
                <w:rFonts w:asciiTheme="minorEastAsia" w:hAnsiTheme="minorEastAsia" w:eastAsiaTheme="minorEastAsia" w:cstheme="minorEastAsia"/>
                <w:color w:val="auto"/>
                <w:sz w:val="24"/>
                <w:szCs w:val="24"/>
                <w:highlight w:val="none"/>
              </w:rPr>
            </w:pPr>
          </w:p>
        </w:tc>
        <w:tc>
          <w:tcPr>
            <w:tcW w:w="545" w:type="dxa"/>
            <w:vAlign w:val="center"/>
          </w:tcPr>
          <w:p w14:paraId="6D031C60">
            <w:pPr>
              <w:shd w:val="clear" w:color="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p>
        </w:tc>
        <w:tc>
          <w:tcPr>
            <w:tcW w:w="4163" w:type="dxa"/>
            <w:vAlign w:val="center"/>
          </w:tcPr>
          <w:p w14:paraId="63E2672E">
            <w:pPr>
              <w:rPr>
                <w:rFonts w:asciiTheme="minorEastAsia" w:hAnsiTheme="minorEastAsia" w:eastAsiaTheme="minorEastAsia" w:cstheme="minorEastAsia"/>
                <w:color w:val="auto"/>
                <w:szCs w:val="21"/>
                <w:highlight w:val="none"/>
              </w:rPr>
            </w:pPr>
            <w:r>
              <w:rPr>
                <w:rFonts w:hint="eastAsia" w:ascii="宋体" w:hAnsi="宋体"/>
                <w:color w:val="auto"/>
                <w:sz w:val="24"/>
                <w:szCs w:val="24"/>
                <w:highlight w:val="none"/>
              </w:rPr>
              <w:t>投标有效期是否满足招标文件要求的；</w:t>
            </w:r>
          </w:p>
        </w:tc>
        <w:tc>
          <w:tcPr>
            <w:tcW w:w="806" w:type="dxa"/>
            <w:vAlign w:val="center"/>
          </w:tcPr>
          <w:p w14:paraId="0C4E5A5E">
            <w:pPr>
              <w:shd w:val="clear" w:color="auto"/>
              <w:spacing w:line="440" w:lineRule="exact"/>
              <w:rPr>
                <w:rFonts w:asciiTheme="minorEastAsia" w:hAnsiTheme="minorEastAsia" w:eastAsiaTheme="minorEastAsia" w:cstheme="minorEastAsia"/>
                <w:color w:val="auto"/>
                <w:sz w:val="24"/>
                <w:szCs w:val="24"/>
                <w:highlight w:val="none"/>
              </w:rPr>
            </w:pPr>
          </w:p>
        </w:tc>
        <w:tc>
          <w:tcPr>
            <w:tcW w:w="806" w:type="dxa"/>
            <w:vAlign w:val="center"/>
          </w:tcPr>
          <w:p w14:paraId="4ECA8478">
            <w:pPr>
              <w:shd w:val="clear" w:color="auto"/>
              <w:spacing w:line="440" w:lineRule="exact"/>
              <w:rPr>
                <w:rFonts w:asciiTheme="minorEastAsia" w:hAnsiTheme="minorEastAsia" w:eastAsiaTheme="minorEastAsia" w:cstheme="minorEastAsia"/>
                <w:color w:val="auto"/>
                <w:sz w:val="24"/>
                <w:szCs w:val="24"/>
                <w:highlight w:val="none"/>
              </w:rPr>
            </w:pPr>
          </w:p>
        </w:tc>
        <w:tc>
          <w:tcPr>
            <w:tcW w:w="806" w:type="dxa"/>
            <w:vAlign w:val="center"/>
          </w:tcPr>
          <w:p w14:paraId="254D4FB0">
            <w:pPr>
              <w:shd w:val="clear" w:color="auto"/>
              <w:spacing w:line="440" w:lineRule="exact"/>
              <w:rPr>
                <w:rFonts w:asciiTheme="minorEastAsia" w:hAnsiTheme="minorEastAsia" w:eastAsiaTheme="minorEastAsia" w:cstheme="minorEastAsia"/>
                <w:color w:val="auto"/>
                <w:sz w:val="24"/>
                <w:szCs w:val="24"/>
                <w:highlight w:val="none"/>
              </w:rPr>
            </w:pPr>
          </w:p>
        </w:tc>
        <w:tc>
          <w:tcPr>
            <w:tcW w:w="807" w:type="dxa"/>
            <w:vAlign w:val="center"/>
          </w:tcPr>
          <w:p w14:paraId="5371C0CA">
            <w:pPr>
              <w:shd w:val="clear" w:color="auto"/>
              <w:spacing w:line="440" w:lineRule="exact"/>
              <w:rPr>
                <w:rFonts w:asciiTheme="minorEastAsia" w:hAnsiTheme="minorEastAsia" w:eastAsiaTheme="minorEastAsia" w:cstheme="minorEastAsia"/>
                <w:color w:val="auto"/>
                <w:sz w:val="24"/>
                <w:szCs w:val="24"/>
                <w:highlight w:val="none"/>
              </w:rPr>
            </w:pPr>
          </w:p>
        </w:tc>
      </w:tr>
      <w:tr w14:paraId="1B0A2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928" w:type="dxa"/>
            <w:vMerge w:val="continue"/>
            <w:vAlign w:val="center"/>
          </w:tcPr>
          <w:p w14:paraId="6199CE43">
            <w:pPr>
              <w:shd w:val="clear" w:color="auto"/>
              <w:spacing w:line="440" w:lineRule="exact"/>
              <w:jc w:val="center"/>
              <w:rPr>
                <w:rFonts w:asciiTheme="minorEastAsia" w:hAnsiTheme="minorEastAsia" w:eastAsiaTheme="minorEastAsia" w:cstheme="minorEastAsia"/>
                <w:color w:val="auto"/>
                <w:sz w:val="24"/>
                <w:szCs w:val="24"/>
                <w:highlight w:val="none"/>
              </w:rPr>
            </w:pPr>
          </w:p>
        </w:tc>
        <w:tc>
          <w:tcPr>
            <w:tcW w:w="545" w:type="dxa"/>
            <w:vAlign w:val="center"/>
          </w:tcPr>
          <w:p w14:paraId="7D27EFB6">
            <w:pPr>
              <w:shd w:val="clear" w:color="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w:t>
            </w:r>
          </w:p>
        </w:tc>
        <w:tc>
          <w:tcPr>
            <w:tcW w:w="4163" w:type="dxa"/>
            <w:vAlign w:val="center"/>
          </w:tcPr>
          <w:p w14:paraId="69772B05">
            <w:pPr>
              <w:rPr>
                <w:rFonts w:asciiTheme="minorEastAsia" w:hAnsiTheme="minorEastAsia" w:eastAsiaTheme="minorEastAsia" w:cstheme="minorEastAsia"/>
                <w:color w:val="auto"/>
                <w:szCs w:val="21"/>
                <w:highlight w:val="none"/>
              </w:rPr>
            </w:pPr>
            <w:r>
              <w:rPr>
                <w:rFonts w:hint="eastAsia" w:ascii="宋体" w:hAnsi="宋体"/>
                <w:color w:val="auto"/>
                <w:sz w:val="24"/>
                <w:szCs w:val="24"/>
                <w:highlight w:val="none"/>
              </w:rPr>
              <w:t>投标文件是否附有采购人不能接受的条件；</w:t>
            </w:r>
          </w:p>
        </w:tc>
        <w:tc>
          <w:tcPr>
            <w:tcW w:w="806" w:type="dxa"/>
            <w:vAlign w:val="center"/>
          </w:tcPr>
          <w:p w14:paraId="5EF81252">
            <w:pPr>
              <w:shd w:val="clear" w:color="auto"/>
              <w:spacing w:line="440" w:lineRule="exact"/>
              <w:rPr>
                <w:rFonts w:asciiTheme="minorEastAsia" w:hAnsiTheme="minorEastAsia" w:eastAsiaTheme="minorEastAsia" w:cstheme="minorEastAsia"/>
                <w:color w:val="auto"/>
                <w:sz w:val="24"/>
                <w:szCs w:val="24"/>
                <w:highlight w:val="none"/>
              </w:rPr>
            </w:pPr>
          </w:p>
        </w:tc>
        <w:tc>
          <w:tcPr>
            <w:tcW w:w="806" w:type="dxa"/>
            <w:vAlign w:val="center"/>
          </w:tcPr>
          <w:p w14:paraId="0C5832FB">
            <w:pPr>
              <w:shd w:val="clear" w:color="auto"/>
              <w:spacing w:line="440" w:lineRule="exact"/>
              <w:rPr>
                <w:rFonts w:asciiTheme="minorEastAsia" w:hAnsiTheme="minorEastAsia" w:eastAsiaTheme="minorEastAsia" w:cstheme="minorEastAsia"/>
                <w:color w:val="auto"/>
                <w:sz w:val="24"/>
                <w:szCs w:val="24"/>
                <w:highlight w:val="none"/>
              </w:rPr>
            </w:pPr>
          </w:p>
        </w:tc>
        <w:tc>
          <w:tcPr>
            <w:tcW w:w="806" w:type="dxa"/>
            <w:vAlign w:val="center"/>
          </w:tcPr>
          <w:p w14:paraId="15D13232">
            <w:pPr>
              <w:shd w:val="clear" w:color="auto"/>
              <w:spacing w:line="440" w:lineRule="exact"/>
              <w:rPr>
                <w:rFonts w:asciiTheme="minorEastAsia" w:hAnsiTheme="minorEastAsia" w:eastAsiaTheme="minorEastAsia" w:cstheme="minorEastAsia"/>
                <w:color w:val="auto"/>
                <w:sz w:val="24"/>
                <w:szCs w:val="24"/>
                <w:highlight w:val="none"/>
              </w:rPr>
            </w:pPr>
          </w:p>
        </w:tc>
        <w:tc>
          <w:tcPr>
            <w:tcW w:w="807" w:type="dxa"/>
            <w:vAlign w:val="center"/>
          </w:tcPr>
          <w:p w14:paraId="44997382">
            <w:pPr>
              <w:shd w:val="clear" w:color="auto"/>
              <w:spacing w:line="440" w:lineRule="exact"/>
              <w:rPr>
                <w:rFonts w:asciiTheme="minorEastAsia" w:hAnsiTheme="minorEastAsia" w:eastAsiaTheme="minorEastAsia" w:cstheme="minorEastAsia"/>
                <w:color w:val="auto"/>
                <w:sz w:val="24"/>
                <w:szCs w:val="24"/>
                <w:highlight w:val="none"/>
              </w:rPr>
            </w:pPr>
          </w:p>
        </w:tc>
      </w:tr>
      <w:tr w14:paraId="62316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928" w:type="dxa"/>
            <w:vMerge w:val="continue"/>
            <w:vAlign w:val="center"/>
          </w:tcPr>
          <w:p w14:paraId="0CC6F390">
            <w:pPr>
              <w:shd w:val="clear" w:color="auto"/>
              <w:spacing w:line="440" w:lineRule="exact"/>
              <w:jc w:val="center"/>
              <w:rPr>
                <w:rFonts w:asciiTheme="minorEastAsia" w:hAnsiTheme="minorEastAsia" w:eastAsiaTheme="minorEastAsia" w:cstheme="minorEastAsia"/>
                <w:color w:val="auto"/>
                <w:sz w:val="24"/>
                <w:szCs w:val="24"/>
                <w:highlight w:val="none"/>
              </w:rPr>
            </w:pPr>
          </w:p>
        </w:tc>
        <w:tc>
          <w:tcPr>
            <w:tcW w:w="545" w:type="dxa"/>
            <w:vAlign w:val="center"/>
          </w:tcPr>
          <w:p w14:paraId="72359A70">
            <w:pPr>
              <w:shd w:val="clear" w:color="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p>
        </w:tc>
        <w:tc>
          <w:tcPr>
            <w:tcW w:w="4163" w:type="dxa"/>
            <w:vAlign w:val="center"/>
          </w:tcPr>
          <w:p w14:paraId="7A23F2C3">
            <w:pPr>
              <w:rPr>
                <w:rFonts w:asciiTheme="minorEastAsia" w:hAnsiTheme="minorEastAsia" w:eastAsiaTheme="minorEastAsia" w:cstheme="minorEastAsia"/>
                <w:color w:val="auto"/>
                <w:szCs w:val="21"/>
                <w:highlight w:val="none"/>
              </w:rPr>
            </w:pPr>
            <w:r>
              <w:rPr>
                <w:rFonts w:hint="eastAsia" w:ascii="宋体" w:hAnsi="宋体"/>
                <w:color w:val="auto"/>
                <w:sz w:val="24"/>
                <w:szCs w:val="24"/>
                <w:highlight w:val="none"/>
              </w:rPr>
              <w:t>是否满足招标文件实质性要求的其他情形。</w:t>
            </w:r>
          </w:p>
        </w:tc>
        <w:tc>
          <w:tcPr>
            <w:tcW w:w="806" w:type="dxa"/>
            <w:vAlign w:val="center"/>
          </w:tcPr>
          <w:p w14:paraId="5BC3C7B6">
            <w:pPr>
              <w:shd w:val="clear" w:color="auto"/>
              <w:spacing w:line="440" w:lineRule="exact"/>
              <w:rPr>
                <w:rFonts w:asciiTheme="minorEastAsia" w:hAnsiTheme="minorEastAsia" w:eastAsiaTheme="minorEastAsia" w:cstheme="minorEastAsia"/>
                <w:color w:val="auto"/>
                <w:sz w:val="24"/>
                <w:szCs w:val="24"/>
                <w:highlight w:val="none"/>
              </w:rPr>
            </w:pPr>
          </w:p>
        </w:tc>
        <w:tc>
          <w:tcPr>
            <w:tcW w:w="806" w:type="dxa"/>
            <w:vAlign w:val="center"/>
          </w:tcPr>
          <w:p w14:paraId="58BC12B0">
            <w:pPr>
              <w:shd w:val="clear" w:color="auto"/>
              <w:spacing w:line="440" w:lineRule="exact"/>
              <w:rPr>
                <w:rFonts w:asciiTheme="minorEastAsia" w:hAnsiTheme="minorEastAsia" w:eastAsiaTheme="minorEastAsia" w:cstheme="minorEastAsia"/>
                <w:color w:val="auto"/>
                <w:sz w:val="24"/>
                <w:szCs w:val="24"/>
                <w:highlight w:val="none"/>
              </w:rPr>
            </w:pPr>
          </w:p>
        </w:tc>
        <w:tc>
          <w:tcPr>
            <w:tcW w:w="806" w:type="dxa"/>
            <w:vAlign w:val="center"/>
          </w:tcPr>
          <w:p w14:paraId="6AFE1EF2">
            <w:pPr>
              <w:shd w:val="clear" w:color="auto"/>
              <w:spacing w:line="440" w:lineRule="exact"/>
              <w:rPr>
                <w:rFonts w:asciiTheme="minorEastAsia" w:hAnsiTheme="minorEastAsia" w:eastAsiaTheme="minorEastAsia" w:cstheme="minorEastAsia"/>
                <w:color w:val="auto"/>
                <w:sz w:val="24"/>
                <w:szCs w:val="24"/>
                <w:highlight w:val="none"/>
              </w:rPr>
            </w:pPr>
          </w:p>
        </w:tc>
        <w:tc>
          <w:tcPr>
            <w:tcW w:w="807" w:type="dxa"/>
            <w:vAlign w:val="center"/>
          </w:tcPr>
          <w:p w14:paraId="6B10AB94">
            <w:pPr>
              <w:shd w:val="clear" w:color="auto"/>
              <w:spacing w:line="440" w:lineRule="exact"/>
              <w:rPr>
                <w:rFonts w:asciiTheme="minorEastAsia" w:hAnsiTheme="minorEastAsia" w:eastAsiaTheme="minorEastAsia" w:cstheme="minorEastAsia"/>
                <w:color w:val="auto"/>
                <w:sz w:val="24"/>
                <w:szCs w:val="24"/>
                <w:highlight w:val="none"/>
              </w:rPr>
            </w:pPr>
          </w:p>
        </w:tc>
      </w:tr>
      <w:tr w14:paraId="700C4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trPr>
        <w:tc>
          <w:tcPr>
            <w:tcW w:w="8861" w:type="dxa"/>
            <w:gridSpan w:val="7"/>
            <w:vAlign w:val="center"/>
          </w:tcPr>
          <w:p w14:paraId="210C38F8">
            <w:pPr>
              <w:shd w:val="clear" w:color="auto"/>
              <w:spacing w:line="440" w:lineRule="exact"/>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结论：是否通过初步评审</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color w:val="auto"/>
                <w:sz w:val="24"/>
                <w:szCs w:val="24"/>
                <w:highlight w:val="none"/>
              </w:rPr>
              <w:t>初步评审合格后方可进入详细评审阶段</w:t>
            </w:r>
            <w:r>
              <w:rPr>
                <w:rFonts w:hint="eastAsia" w:asciiTheme="minorEastAsia" w:hAnsiTheme="minorEastAsia" w:eastAsiaTheme="minorEastAsia" w:cstheme="minorEastAsia"/>
                <w:b/>
                <w:color w:val="auto"/>
                <w:sz w:val="24"/>
                <w:szCs w:val="24"/>
                <w:highlight w:val="none"/>
              </w:rPr>
              <w:t>）</w:t>
            </w:r>
          </w:p>
        </w:tc>
      </w:tr>
      <w:tr w14:paraId="2FC0B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trPr>
        <w:tc>
          <w:tcPr>
            <w:tcW w:w="8861" w:type="dxa"/>
            <w:gridSpan w:val="7"/>
            <w:vAlign w:val="center"/>
          </w:tcPr>
          <w:p w14:paraId="6AFBB2A0">
            <w:pPr>
              <w:shd w:val="clear" w:color="auto"/>
              <w:spacing w:line="440" w:lineRule="exact"/>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备注：如果磋商响应文件中有一项未通过上述审查标准，磋商小组将认定整个磋商响应文件不响应竞磋文件而予以投标无效，并且不允许供应商通过修改或撤销其不符合要求的差异或保留，使之成为具有响应性的投标。通过审核的以“√”标记；未通过的以“×”标记，并予以说明。</w:t>
            </w:r>
          </w:p>
        </w:tc>
      </w:tr>
    </w:tbl>
    <w:p w14:paraId="323FB2DF">
      <w:pPr>
        <w:pStyle w:val="95"/>
        <w:numPr>
          <w:ilvl w:val="0"/>
          <w:numId w:val="4"/>
        </w:numPr>
        <w:shd w:val="clear" w:color="auto"/>
        <w:spacing w:line="440" w:lineRule="exact"/>
        <w:ind w:firstLine="482"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bookmarkStart w:id="22" w:name="_Hlk521877884"/>
      <w:r>
        <w:rPr>
          <w:rFonts w:hint="eastAsia" w:asciiTheme="minorEastAsia" w:hAnsiTheme="minorEastAsia" w:eastAsiaTheme="minorEastAsia" w:cstheme="minorEastAsia"/>
          <w:b/>
          <w:color w:val="auto"/>
          <w:sz w:val="24"/>
          <w:szCs w:val="24"/>
          <w:highlight w:val="none"/>
        </w:rPr>
        <w:t>详细评审</w:t>
      </w:r>
      <w:bookmarkEnd w:id="22"/>
    </w:p>
    <w:tbl>
      <w:tblPr>
        <w:tblStyle w:val="28"/>
        <w:tblW w:w="8520"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246"/>
        <w:gridCol w:w="1445"/>
        <w:gridCol w:w="5096"/>
        <w:gridCol w:w="733"/>
      </w:tblGrid>
      <w:tr w14:paraId="3F0B700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41" w:hRule="atLeast"/>
          <w:jc w:val="center"/>
        </w:trPr>
        <w:tc>
          <w:tcPr>
            <w:tcW w:w="1246" w:type="dxa"/>
            <w:noWrap w:val="0"/>
            <w:vAlign w:val="center"/>
          </w:tcPr>
          <w:p w14:paraId="3F7B6498">
            <w:pPr>
              <w:pStyle w:val="107"/>
              <w:keepNext w:val="0"/>
              <w:keepLines w:val="0"/>
              <w:pageBreakBefore w:val="0"/>
              <w:widowControl/>
              <w:kinsoku/>
              <w:wordWrap/>
              <w:overflowPunct/>
              <w:topLinePunct w:val="0"/>
              <w:autoSpaceDE/>
              <w:autoSpaceDN/>
              <w:bidi w:val="0"/>
              <w:adjustRightInd w:val="0"/>
              <w:snapToGrid w:val="0"/>
              <w:spacing w:line="400" w:lineRule="exact"/>
              <w:textAlignment w:val="baseline"/>
              <w:rPr>
                <w:rFonts w:ascii="宋体" w:hAnsi="宋体" w:eastAsia="宋体" w:cs="宋体"/>
                <w:b/>
                <w:bCs/>
                <w:sz w:val="24"/>
                <w:szCs w:val="24"/>
                <w:highlight w:val="none"/>
              </w:rPr>
            </w:pPr>
            <w:r>
              <w:rPr>
                <w:rFonts w:hint="eastAsia" w:ascii="宋体" w:hAnsi="宋体" w:eastAsia="宋体" w:cs="宋体"/>
                <w:b/>
                <w:bCs/>
                <w:sz w:val="24"/>
                <w:szCs w:val="24"/>
                <w:highlight w:val="none"/>
              </w:rPr>
              <w:t>评标项目</w:t>
            </w:r>
          </w:p>
        </w:tc>
        <w:tc>
          <w:tcPr>
            <w:tcW w:w="1445" w:type="dxa"/>
            <w:noWrap w:val="0"/>
            <w:vAlign w:val="center"/>
          </w:tcPr>
          <w:p w14:paraId="538DD196">
            <w:pPr>
              <w:pStyle w:val="107"/>
              <w:keepNext w:val="0"/>
              <w:keepLines w:val="0"/>
              <w:pageBreakBefore w:val="0"/>
              <w:widowControl/>
              <w:kinsoku/>
              <w:wordWrap/>
              <w:overflowPunct/>
              <w:topLinePunct w:val="0"/>
              <w:autoSpaceDE/>
              <w:autoSpaceDN/>
              <w:bidi w:val="0"/>
              <w:adjustRightInd w:val="0"/>
              <w:snapToGrid w:val="0"/>
              <w:spacing w:line="400" w:lineRule="exact"/>
              <w:textAlignment w:val="baseline"/>
              <w:rPr>
                <w:rFonts w:ascii="宋体" w:hAnsi="宋体" w:eastAsia="宋体" w:cs="宋体"/>
                <w:b/>
                <w:bCs/>
                <w:sz w:val="24"/>
                <w:szCs w:val="24"/>
                <w:highlight w:val="none"/>
              </w:rPr>
            </w:pPr>
            <w:r>
              <w:rPr>
                <w:rFonts w:hint="eastAsia" w:ascii="宋体" w:hAnsi="宋体" w:eastAsia="宋体" w:cs="宋体"/>
                <w:b/>
                <w:bCs/>
                <w:sz w:val="24"/>
                <w:szCs w:val="24"/>
                <w:highlight w:val="none"/>
              </w:rPr>
              <w:t>评标分项</w:t>
            </w:r>
          </w:p>
        </w:tc>
        <w:tc>
          <w:tcPr>
            <w:tcW w:w="5096" w:type="dxa"/>
            <w:noWrap w:val="0"/>
            <w:vAlign w:val="center"/>
          </w:tcPr>
          <w:p w14:paraId="336D89D6">
            <w:pPr>
              <w:pStyle w:val="107"/>
              <w:keepNext w:val="0"/>
              <w:keepLines w:val="0"/>
              <w:pageBreakBefore w:val="0"/>
              <w:widowControl/>
              <w:kinsoku/>
              <w:wordWrap/>
              <w:overflowPunct/>
              <w:topLinePunct w:val="0"/>
              <w:autoSpaceDE/>
              <w:autoSpaceDN/>
              <w:bidi w:val="0"/>
              <w:adjustRightInd w:val="0"/>
              <w:snapToGrid w:val="0"/>
              <w:spacing w:line="400" w:lineRule="exact"/>
              <w:textAlignment w:val="baseline"/>
              <w:rPr>
                <w:rFonts w:ascii="宋体" w:hAnsi="宋体" w:eastAsia="宋体" w:cs="宋体"/>
                <w:b/>
                <w:bCs/>
                <w:sz w:val="24"/>
                <w:szCs w:val="24"/>
                <w:highlight w:val="none"/>
              </w:rPr>
            </w:pPr>
            <w:r>
              <w:rPr>
                <w:rFonts w:hint="eastAsia" w:ascii="宋体" w:hAnsi="宋体" w:eastAsia="宋体" w:cs="宋体"/>
                <w:b/>
                <w:bCs/>
                <w:sz w:val="24"/>
                <w:szCs w:val="24"/>
                <w:highlight w:val="none"/>
              </w:rPr>
              <w:t>评标分项</w:t>
            </w:r>
          </w:p>
        </w:tc>
        <w:tc>
          <w:tcPr>
            <w:tcW w:w="733" w:type="dxa"/>
            <w:noWrap w:val="0"/>
            <w:vAlign w:val="center"/>
          </w:tcPr>
          <w:p w14:paraId="753B8A0C">
            <w:pPr>
              <w:pStyle w:val="107"/>
              <w:keepNext w:val="0"/>
              <w:keepLines w:val="0"/>
              <w:pageBreakBefore w:val="0"/>
              <w:widowControl/>
              <w:kinsoku/>
              <w:wordWrap/>
              <w:overflowPunct/>
              <w:topLinePunct w:val="0"/>
              <w:autoSpaceDE/>
              <w:autoSpaceDN/>
              <w:bidi w:val="0"/>
              <w:adjustRightInd w:val="0"/>
              <w:snapToGrid w:val="0"/>
              <w:spacing w:line="400" w:lineRule="exact"/>
              <w:textAlignment w:val="baseline"/>
              <w:rPr>
                <w:rFonts w:ascii="宋体" w:hAnsi="宋体" w:eastAsia="宋体" w:cs="宋体"/>
                <w:b/>
                <w:bCs/>
                <w:sz w:val="24"/>
                <w:szCs w:val="24"/>
                <w:highlight w:val="none"/>
              </w:rPr>
            </w:pPr>
            <w:r>
              <w:rPr>
                <w:rFonts w:hint="eastAsia" w:ascii="宋体" w:hAnsi="宋体" w:eastAsia="宋体" w:cs="宋体"/>
                <w:b/>
                <w:bCs/>
                <w:sz w:val="24"/>
                <w:szCs w:val="24"/>
                <w:highlight w:val="none"/>
              </w:rPr>
              <w:t>分值</w:t>
            </w:r>
          </w:p>
        </w:tc>
      </w:tr>
      <w:tr w14:paraId="35E5BD9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40" w:hRule="atLeast"/>
          <w:jc w:val="center"/>
        </w:trPr>
        <w:tc>
          <w:tcPr>
            <w:tcW w:w="1246" w:type="dxa"/>
            <w:noWrap w:val="0"/>
            <w:vAlign w:val="center"/>
          </w:tcPr>
          <w:p w14:paraId="2D1191AB">
            <w:pPr>
              <w:pStyle w:val="107"/>
              <w:keepNext w:val="0"/>
              <w:keepLines w:val="0"/>
              <w:pageBreakBefore w:val="0"/>
              <w:widowControl/>
              <w:kinsoku/>
              <w:wordWrap/>
              <w:overflowPunct/>
              <w:topLinePunct w:val="0"/>
              <w:autoSpaceDE/>
              <w:autoSpaceDN/>
              <w:bidi w:val="0"/>
              <w:adjustRightInd w:val="0"/>
              <w:snapToGrid w:val="0"/>
              <w:spacing w:line="400" w:lineRule="exact"/>
              <w:textAlignment w:val="baseline"/>
              <w:rPr>
                <w:rFonts w:ascii="宋体" w:hAnsi="宋体" w:eastAsia="宋体" w:cs="宋体"/>
                <w:sz w:val="24"/>
                <w:szCs w:val="24"/>
                <w:highlight w:val="none"/>
              </w:rPr>
            </w:pPr>
            <w:r>
              <w:rPr>
                <w:rFonts w:hint="eastAsia" w:ascii="宋体" w:hAnsi="宋体" w:eastAsia="宋体" w:cs="宋体"/>
                <w:sz w:val="24"/>
                <w:szCs w:val="24"/>
                <w:highlight w:val="none"/>
              </w:rPr>
              <w:t>价格部分（</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0分）</w:t>
            </w:r>
          </w:p>
        </w:tc>
        <w:tc>
          <w:tcPr>
            <w:tcW w:w="1445" w:type="dxa"/>
            <w:noWrap w:val="0"/>
            <w:vAlign w:val="center"/>
          </w:tcPr>
          <w:p w14:paraId="2219F0D3">
            <w:pPr>
              <w:pStyle w:val="107"/>
              <w:keepNext w:val="0"/>
              <w:keepLines w:val="0"/>
              <w:pageBreakBefore w:val="0"/>
              <w:widowControl/>
              <w:kinsoku/>
              <w:wordWrap/>
              <w:overflowPunct/>
              <w:topLinePunct w:val="0"/>
              <w:autoSpaceDE/>
              <w:autoSpaceDN/>
              <w:bidi w:val="0"/>
              <w:adjustRightInd w:val="0"/>
              <w:snapToGrid w:val="0"/>
              <w:spacing w:line="400" w:lineRule="exact"/>
              <w:textAlignment w:val="baseline"/>
              <w:rPr>
                <w:rFonts w:ascii="宋体" w:hAnsi="宋体" w:eastAsia="宋体" w:cs="宋体"/>
                <w:sz w:val="24"/>
                <w:szCs w:val="24"/>
                <w:highlight w:val="none"/>
              </w:rPr>
            </w:pPr>
            <w:r>
              <w:rPr>
                <w:rFonts w:hint="eastAsia" w:ascii="宋体" w:hAnsi="宋体" w:eastAsia="宋体" w:cs="宋体"/>
                <w:sz w:val="24"/>
                <w:szCs w:val="24"/>
                <w:highlight w:val="none"/>
              </w:rPr>
              <w:t>投标报价</w:t>
            </w:r>
          </w:p>
        </w:tc>
        <w:tc>
          <w:tcPr>
            <w:tcW w:w="5096" w:type="dxa"/>
            <w:noWrap w:val="0"/>
            <w:vAlign w:val="center"/>
          </w:tcPr>
          <w:p w14:paraId="2700204D">
            <w:pPr>
              <w:pStyle w:val="107"/>
              <w:shd w:val="clear" w:color="auto" w:fill="auto"/>
              <w:spacing w:line="360" w:lineRule="auto"/>
              <w:jc w:val="left"/>
              <w:rPr>
                <w:rFonts w:hint="eastAsia" w:ascii="宋体" w:hAnsi="宋体" w:eastAsia="宋体" w:cs="宋体"/>
                <w:snapToGrid w:val="0"/>
                <w:sz w:val="24"/>
                <w:szCs w:val="24"/>
                <w:highlight w:val="none"/>
                <w:lang w:val="en-US" w:eastAsia="zh-CN" w:bidi="ar-SA"/>
              </w:rPr>
            </w:pPr>
            <w:r>
              <w:rPr>
                <w:rFonts w:hint="eastAsia" w:ascii="宋体" w:hAnsi="宋体" w:eastAsia="宋体" w:cs="宋体"/>
                <w:snapToGrid w:val="0"/>
                <w:sz w:val="24"/>
                <w:szCs w:val="24"/>
                <w:highlight w:val="none"/>
                <w:lang w:val="en-US" w:eastAsia="zh-CN" w:bidi="ar-SA"/>
              </w:rPr>
              <w:t>采用低价优先法计算，即满足招标文件要求且投标报价最低的价格为评标基准价，其价格分为满分。其他供应商的价格分统一按照下列公式计算：</w:t>
            </w:r>
          </w:p>
          <w:p w14:paraId="621F5A80">
            <w:pPr>
              <w:pStyle w:val="107"/>
              <w:shd w:val="clear" w:color="auto" w:fill="auto"/>
              <w:spacing w:line="360" w:lineRule="auto"/>
              <w:jc w:val="left"/>
              <w:rPr>
                <w:rFonts w:ascii="宋体" w:hAnsi="宋体" w:eastAsia="宋体" w:cs="宋体"/>
                <w:sz w:val="24"/>
                <w:szCs w:val="24"/>
                <w:highlight w:val="none"/>
              </w:rPr>
            </w:pPr>
            <w:r>
              <w:rPr>
                <w:rFonts w:hint="eastAsia" w:ascii="宋体" w:hAnsi="宋体" w:eastAsia="宋体" w:cs="宋体"/>
                <w:snapToGrid w:val="0"/>
                <w:sz w:val="24"/>
                <w:szCs w:val="24"/>
                <w:highlight w:val="none"/>
                <w:lang w:val="en-US" w:eastAsia="zh-CN" w:bidi="ar-SA"/>
              </w:rPr>
              <w:t>投标报价得分=（评标基准价／投标报价）×价格权值×100（小数点保留两位）。项目评审过程中，不得去掉投标报价中的最高报价和最低报价。在评审过程中，评审小组发现投标供应商的报价明显低于其他投标报价，使得其投标报价可能低于其个别成本的，应当要求该投标供应商做出书面说明并提供相关证明材料。投标供应商不能合理说明或者不能提供相关证明材料的，评审小组认定该投标供应商以低于成本报价竞标，其投标将被否决。</w:t>
            </w:r>
          </w:p>
        </w:tc>
        <w:tc>
          <w:tcPr>
            <w:tcW w:w="733" w:type="dxa"/>
            <w:noWrap w:val="0"/>
            <w:vAlign w:val="center"/>
          </w:tcPr>
          <w:p w14:paraId="435E3AAB">
            <w:pPr>
              <w:pStyle w:val="107"/>
              <w:keepNext w:val="0"/>
              <w:keepLines w:val="0"/>
              <w:pageBreakBefore w:val="0"/>
              <w:widowControl/>
              <w:kinsoku/>
              <w:wordWrap/>
              <w:overflowPunct/>
              <w:topLinePunct w:val="0"/>
              <w:autoSpaceDE/>
              <w:autoSpaceDN/>
              <w:bidi w:val="0"/>
              <w:adjustRightInd w:val="0"/>
              <w:snapToGrid w:val="0"/>
              <w:spacing w:line="400" w:lineRule="exact"/>
              <w:textAlignment w:val="baseline"/>
              <w:rPr>
                <w:rFonts w:ascii="宋体" w:hAnsi="宋体" w:eastAsia="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0</w:t>
            </w:r>
          </w:p>
        </w:tc>
      </w:tr>
      <w:tr w14:paraId="017B5CA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246" w:type="dxa"/>
            <w:vMerge w:val="restart"/>
            <w:noWrap w:val="0"/>
            <w:vAlign w:val="center"/>
          </w:tcPr>
          <w:p w14:paraId="6D371752">
            <w:pPr>
              <w:pStyle w:val="107"/>
              <w:keepNext w:val="0"/>
              <w:keepLines w:val="0"/>
              <w:pageBreakBefore w:val="0"/>
              <w:widowControl/>
              <w:kinsoku/>
              <w:wordWrap/>
              <w:overflowPunct/>
              <w:topLinePunct w:val="0"/>
              <w:autoSpaceDE/>
              <w:autoSpaceDN/>
              <w:bidi w:val="0"/>
              <w:adjustRightInd w:val="0"/>
              <w:snapToGrid w:val="0"/>
              <w:spacing w:line="400" w:lineRule="exact"/>
              <w:textAlignment w:val="baseline"/>
              <w:rPr>
                <w:rFonts w:ascii="宋体" w:hAnsi="宋体" w:eastAsia="宋体" w:cs="宋体"/>
                <w:sz w:val="24"/>
                <w:szCs w:val="24"/>
                <w:highlight w:val="none"/>
              </w:rPr>
            </w:pPr>
            <w:r>
              <w:rPr>
                <w:rFonts w:hint="eastAsia" w:ascii="宋体" w:hAnsi="宋体" w:eastAsia="宋体" w:cs="宋体"/>
                <w:sz w:val="24"/>
                <w:szCs w:val="24"/>
                <w:highlight w:val="none"/>
              </w:rPr>
              <w:t>商务部分（</w:t>
            </w: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分）</w:t>
            </w:r>
          </w:p>
        </w:tc>
        <w:tc>
          <w:tcPr>
            <w:tcW w:w="1445" w:type="dxa"/>
            <w:noWrap w:val="0"/>
            <w:vAlign w:val="center"/>
          </w:tcPr>
          <w:p w14:paraId="3D05F79F">
            <w:pPr>
              <w:pStyle w:val="107"/>
              <w:keepNext w:val="0"/>
              <w:keepLines w:val="0"/>
              <w:pageBreakBefore w:val="0"/>
              <w:widowControl/>
              <w:kinsoku/>
              <w:wordWrap/>
              <w:overflowPunct/>
              <w:topLinePunct w:val="0"/>
              <w:autoSpaceDE/>
              <w:autoSpaceDN/>
              <w:bidi w:val="0"/>
              <w:adjustRightInd w:val="0"/>
              <w:snapToGrid w:val="0"/>
              <w:spacing w:line="400" w:lineRule="exact"/>
              <w:textAlignment w:val="baseline"/>
              <w:rPr>
                <w:rFonts w:ascii="宋体" w:hAnsi="宋体" w:eastAsia="宋体" w:cs="宋体"/>
                <w:sz w:val="24"/>
                <w:szCs w:val="24"/>
                <w:highlight w:val="none"/>
              </w:rPr>
            </w:pPr>
            <w:r>
              <w:rPr>
                <w:rFonts w:hint="eastAsia" w:ascii="宋体" w:hAnsi="宋体" w:eastAsia="宋体" w:cs="宋体"/>
                <w:sz w:val="24"/>
                <w:szCs w:val="24"/>
                <w:highlight w:val="none"/>
              </w:rPr>
              <w:t>类似项目业绩</w:t>
            </w:r>
          </w:p>
        </w:tc>
        <w:tc>
          <w:tcPr>
            <w:tcW w:w="5096" w:type="dxa"/>
            <w:noWrap w:val="0"/>
            <w:vAlign w:val="center"/>
          </w:tcPr>
          <w:p w14:paraId="5230D2D4">
            <w:pPr>
              <w:pStyle w:val="107"/>
              <w:shd w:val="clear" w:color="auto" w:fill="auto"/>
              <w:spacing w:line="360" w:lineRule="auto"/>
              <w:jc w:val="left"/>
              <w:rPr>
                <w:rFonts w:hint="eastAsia" w:ascii="宋体" w:hAnsi="宋体" w:eastAsia="宋体" w:cs="宋体"/>
                <w:snapToGrid w:val="0"/>
                <w:sz w:val="24"/>
                <w:szCs w:val="24"/>
                <w:highlight w:val="none"/>
                <w:lang w:val="en-US" w:eastAsia="zh-CN" w:bidi="ar-SA"/>
              </w:rPr>
            </w:pPr>
            <w:r>
              <w:rPr>
                <w:rFonts w:hint="eastAsia" w:ascii="宋体" w:hAnsi="宋体" w:eastAsia="宋体" w:cs="宋体"/>
                <w:snapToGrid w:val="0"/>
                <w:sz w:val="24"/>
                <w:szCs w:val="24"/>
                <w:highlight w:val="none"/>
                <w:lang w:val="en-US" w:eastAsia="zh-CN" w:bidi="ar-SA"/>
              </w:rPr>
              <w:t>提供近三年（2021年</w:t>
            </w:r>
            <w:r>
              <w:rPr>
                <w:rFonts w:hint="eastAsia" w:ascii="宋体" w:hAnsi="宋体" w:cs="宋体"/>
                <w:snapToGrid w:val="0"/>
                <w:sz w:val="24"/>
                <w:szCs w:val="24"/>
                <w:highlight w:val="none"/>
                <w:lang w:val="en-US" w:eastAsia="zh-CN" w:bidi="ar-SA"/>
              </w:rPr>
              <w:t>9</w:t>
            </w:r>
            <w:r>
              <w:rPr>
                <w:rFonts w:hint="eastAsia" w:ascii="宋体" w:hAnsi="宋体" w:eastAsia="宋体" w:cs="宋体"/>
                <w:snapToGrid w:val="0"/>
                <w:sz w:val="24"/>
                <w:szCs w:val="24"/>
                <w:highlight w:val="none"/>
                <w:lang w:val="en-US" w:eastAsia="zh-CN" w:bidi="ar-SA"/>
              </w:rPr>
              <w:t>月1日至今）已完成类似项目业绩，以供应商业绩为准，业绩证明材料为：合同或中标通知书复印件，每提供1项有效业绩得</w:t>
            </w:r>
            <w:r>
              <w:rPr>
                <w:rFonts w:hint="eastAsia" w:ascii="宋体" w:hAnsi="宋体" w:cs="宋体"/>
                <w:snapToGrid w:val="0"/>
                <w:sz w:val="24"/>
                <w:szCs w:val="24"/>
                <w:highlight w:val="none"/>
                <w:lang w:val="en-US" w:eastAsia="zh-CN" w:bidi="ar-SA"/>
              </w:rPr>
              <w:t>2</w:t>
            </w:r>
            <w:r>
              <w:rPr>
                <w:rFonts w:hint="eastAsia" w:ascii="宋体" w:hAnsi="宋体" w:eastAsia="宋体" w:cs="宋体"/>
                <w:snapToGrid w:val="0"/>
                <w:sz w:val="24"/>
                <w:szCs w:val="24"/>
                <w:highlight w:val="none"/>
                <w:lang w:val="en-US" w:eastAsia="zh-CN" w:bidi="ar-SA"/>
              </w:rPr>
              <w:t>分，本项最多得</w:t>
            </w:r>
            <w:r>
              <w:rPr>
                <w:rFonts w:hint="eastAsia" w:ascii="宋体" w:hAnsi="宋体" w:cs="宋体"/>
                <w:snapToGrid w:val="0"/>
                <w:sz w:val="24"/>
                <w:szCs w:val="24"/>
                <w:highlight w:val="none"/>
                <w:lang w:val="en-US" w:eastAsia="zh-CN" w:bidi="ar-SA"/>
              </w:rPr>
              <w:t>6</w:t>
            </w:r>
            <w:r>
              <w:rPr>
                <w:rFonts w:hint="eastAsia" w:ascii="宋体" w:hAnsi="宋体" w:eastAsia="宋体" w:cs="宋体"/>
                <w:snapToGrid w:val="0"/>
                <w:sz w:val="24"/>
                <w:szCs w:val="24"/>
                <w:highlight w:val="none"/>
                <w:lang w:val="en-US" w:eastAsia="zh-CN" w:bidi="ar-SA"/>
              </w:rPr>
              <w:t>分；未提供业绩证明材料或是经评标委员会认定为无效业绩的，本项不得分。</w:t>
            </w:r>
          </w:p>
        </w:tc>
        <w:tc>
          <w:tcPr>
            <w:tcW w:w="733" w:type="dxa"/>
            <w:noWrap w:val="0"/>
            <w:vAlign w:val="center"/>
          </w:tcPr>
          <w:p w14:paraId="3523C795">
            <w:pPr>
              <w:pStyle w:val="107"/>
              <w:keepNext w:val="0"/>
              <w:keepLines w:val="0"/>
              <w:pageBreakBefore w:val="0"/>
              <w:widowControl/>
              <w:kinsoku/>
              <w:wordWrap/>
              <w:overflowPunct/>
              <w:topLinePunct w:val="0"/>
              <w:autoSpaceDE/>
              <w:autoSpaceDN/>
              <w:bidi w:val="0"/>
              <w:adjustRightInd w:val="0"/>
              <w:snapToGrid w:val="0"/>
              <w:spacing w:line="400" w:lineRule="exact"/>
              <w:textAlignment w:val="baseline"/>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6</w:t>
            </w:r>
          </w:p>
        </w:tc>
      </w:tr>
      <w:tr w14:paraId="797509B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246" w:type="dxa"/>
            <w:vMerge w:val="continue"/>
            <w:noWrap w:val="0"/>
            <w:vAlign w:val="center"/>
          </w:tcPr>
          <w:p w14:paraId="4DC17C17">
            <w:pPr>
              <w:pStyle w:val="107"/>
              <w:keepNext w:val="0"/>
              <w:keepLines w:val="0"/>
              <w:pageBreakBefore w:val="0"/>
              <w:widowControl/>
              <w:kinsoku/>
              <w:wordWrap/>
              <w:overflowPunct/>
              <w:topLinePunct w:val="0"/>
              <w:autoSpaceDE/>
              <w:autoSpaceDN/>
              <w:bidi w:val="0"/>
              <w:adjustRightInd w:val="0"/>
              <w:snapToGrid w:val="0"/>
              <w:spacing w:line="400" w:lineRule="exact"/>
              <w:textAlignment w:val="baseline"/>
              <w:rPr>
                <w:rFonts w:hint="eastAsia" w:ascii="宋体" w:hAnsi="宋体" w:eastAsia="宋体" w:cs="宋体"/>
                <w:sz w:val="24"/>
                <w:szCs w:val="24"/>
                <w:highlight w:val="none"/>
              </w:rPr>
            </w:pPr>
          </w:p>
        </w:tc>
        <w:tc>
          <w:tcPr>
            <w:tcW w:w="1445" w:type="dxa"/>
            <w:noWrap w:val="0"/>
            <w:vAlign w:val="center"/>
          </w:tcPr>
          <w:p w14:paraId="01BA4899">
            <w:pPr>
              <w:ind w:firstLine="0" w:firstLineChars="0"/>
              <w:jc w:val="center"/>
              <w:rPr>
                <w:rFonts w:hint="eastAsia" w:ascii="宋体" w:hAnsi="宋体" w:eastAsia="宋体" w:cs="宋体"/>
                <w:color w:val="000000"/>
                <w:kern w:val="2"/>
                <w:sz w:val="24"/>
                <w:szCs w:val="24"/>
                <w:highlight w:val="none"/>
                <w:lang w:val="en-US" w:eastAsia="zh-CN" w:bidi="ar-SA"/>
              </w:rPr>
            </w:pPr>
            <w:r>
              <w:rPr>
                <w:rFonts w:hint="eastAsia" w:ascii="仿宋" w:hAnsi="仿宋" w:cs="仿宋"/>
                <w:sz w:val="24"/>
                <w:szCs w:val="24"/>
                <w:highlight w:val="none"/>
              </w:rPr>
              <w:t>企业实力</w:t>
            </w:r>
          </w:p>
        </w:tc>
        <w:tc>
          <w:tcPr>
            <w:tcW w:w="5096" w:type="dxa"/>
            <w:noWrap w:val="0"/>
            <w:vAlign w:val="center"/>
          </w:tcPr>
          <w:p w14:paraId="5849CB4E">
            <w:pPr>
              <w:pStyle w:val="107"/>
              <w:shd w:val="clear" w:color="auto" w:fill="auto"/>
              <w:spacing w:line="360" w:lineRule="auto"/>
              <w:jc w:val="left"/>
              <w:rPr>
                <w:rFonts w:hint="eastAsia" w:ascii="宋体" w:hAnsi="宋体" w:eastAsia="宋体" w:cs="宋体"/>
                <w:snapToGrid w:val="0"/>
                <w:sz w:val="24"/>
                <w:szCs w:val="24"/>
                <w:highlight w:val="none"/>
                <w:lang w:val="en-US" w:eastAsia="zh-CN" w:bidi="ar-SA"/>
              </w:rPr>
            </w:pPr>
            <w:r>
              <w:rPr>
                <w:rFonts w:hint="eastAsia" w:ascii="宋体" w:hAnsi="宋体" w:eastAsia="宋体" w:cs="宋体"/>
                <w:snapToGrid w:val="0"/>
                <w:sz w:val="24"/>
                <w:szCs w:val="24"/>
                <w:highlight w:val="none"/>
                <w:lang w:val="en-US" w:eastAsia="zh-CN" w:bidi="ar-SA"/>
              </w:rPr>
              <w:t>供应商具有质量管理体系认证证书、信息技术服务管理体系认证证书、信息安全管理体系认证证书，每提供1个得</w:t>
            </w:r>
            <w:r>
              <w:rPr>
                <w:rFonts w:hint="eastAsia" w:ascii="宋体" w:hAnsi="宋体" w:cs="宋体"/>
                <w:snapToGrid w:val="0"/>
                <w:sz w:val="24"/>
                <w:szCs w:val="24"/>
                <w:highlight w:val="none"/>
                <w:lang w:val="en-US" w:eastAsia="zh-CN" w:bidi="ar-SA"/>
              </w:rPr>
              <w:t>3</w:t>
            </w:r>
            <w:r>
              <w:rPr>
                <w:rFonts w:hint="eastAsia" w:ascii="宋体" w:hAnsi="宋体" w:eastAsia="宋体" w:cs="宋体"/>
                <w:snapToGrid w:val="0"/>
                <w:sz w:val="24"/>
                <w:szCs w:val="24"/>
                <w:highlight w:val="none"/>
                <w:lang w:val="en-US" w:eastAsia="zh-CN" w:bidi="ar-SA"/>
              </w:rPr>
              <w:t>分，须同时提供：证书和网站查询截图，提供不全或未提供不得分。</w:t>
            </w:r>
          </w:p>
        </w:tc>
        <w:tc>
          <w:tcPr>
            <w:tcW w:w="733" w:type="dxa"/>
            <w:noWrap w:val="0"/>
            <w:vAlign w:val="center"/>
          </w:tcPr>
          <w:p w14:paraId="7AF348DC">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9</w:t>
            </w:r>
          </w:p>
        </w:tc>
      </w:tr>
      <w:tr w14:paraId="2F669AF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246" w:type="dxa"/>
            <w:vMerge w:val="continue"/>
            <w:noWrap w:val="0"/>
            <w:vAlign w:val="center"/>
          </w:tcPr>
          <w:p w14:paraId="2E3790EB">
            <w:pPr>
              <w:pStyle w:val="107"/>
              <w:keepNext w:val="0"/>
              <w:keepLines w:val="0"/>
              <w:pageBreakBefore w:val="0"/>
              <w:widowControl/>
              <w:kinsoku/>
              <w:wordWrap/>
              <w:overflowPunct/>
              <w:topLinePunct w:val="0"/>
              <w:autoSpaceDE/>
              <w:autoSpaceDN/>
              <w:bidi w:val="0"/>
              <w:adjustRightInd w:val="0"/>
              <w:snapToGrid w:val="0"/>
              <w:spacing w:line="400" w:lineRule="exact"/>
              <w:textAlignment w:val="baseline"/>
              <w:rPr>
                <w:rFonts w:hint="eastAsia" w:ascii="宋体" w:hAnsi="宋体" w:eastAsia="宋体" w:cs="宋体"/>
                <w:sz w:val="24"/>
                <w:szCs w:val="24"/>
                <w:highlight w:val="none"/>
              </w:rPr>
            </w:pPr>
          </w:p>
        </w:tc>
        <w:tc>
          <w:tcPr>
            <w:tcW w:w="1445" w:type="dxa"/>
            <w:noWrap w:val="0"/>
            <w:vAlign w:val="center"/>
          </w:tcPr>
          <w:p w14:paraId="0EA683C9">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软件著作权证书</w:t>
            </w:r>
          </w:p>
        </w:tc>
        <w:tc>
          <w:tcPr>
            <w:tcW w:w="5096" w:type="dxa"/>
            <w:noWrap w:val="0"/>
            <w:vAlign w:val="center"/>
          </w:tcPr>
          <w:p w14:paraId="64B52941">
            <w:pPr>
              <w:pStyle w:val="107"/>
              <w:shd w:val="clear" w:color="auto" w:fill="auto"/>
              <w:spacing w:line="360" w:lineRule="auto"/>
              <w:jc w:val="left"/>
              <w:rPr>
                <w:rFonts w:hint="eastAsia" w:ascii="宋体" w:hAnsi="宋体" w:eastAsia="宋体" w:cs="宋体"/>
                <w:snapToGrid w:val="0"/>
                <w:sz w:val="24"/>
                <w:szCs w:val="24"/>
                <w:highlight w:val="none"/>
                <w:lang w:val="en-US" w:eastAsia="zh-CN" w:bidi="ar-SA"/>
              </w:rPr>
            </w:pPr>
            <w:r>
              <w:rPr>
                <w:rFonts w:hint="eastAsia" w:ascii="宋体" w:hAnsi="宋体" w:eastAsia="宋体" w:cs="宋体"/>
                <w:snapToGrid w:val="0"/>
                <w:sz w:val="24"/>
                <w:szCs w:val="24"/>
                <w:highlight w:val="none"/>
                <w:lang w:val="en-US" w:eastAsia="zh-CN" w:bidi="ar-SA"/>
              </w:rPr>
              <w:t>供应商提供与本项目相关的具有独立知识产权的计算机软件著作权证书，得3分。</w:t>
            </w:r>
          </w:p>
          <w:p w14:paraId="70756DBB">
            <w:pPr>
              <w:pStyle w:val="107"/>
              <w:shd w:val="clear" w:color="auto" w:fill="auto"/>
              <w:spacing w:line="360" w:lineRule="auto"/>
              <w:jc w:val="left"/>
              <w:rPr>
                <w:rFonts w:hint="eastAsia" w:ascii="宋体" w:hAnsi="宋体" w:eastAsia="宋体" w:cs="宋体"/>
                <w:snapToGrid w:val="0"/>
                <w:sz w:val="24"/>
                <w:szCs w:val="24"/>
                <w:highlight w:val="none"/>
                <w:lang w:val="en-US" w:eastAsia="zh-CN" w:bidi="ar-SA"/>
              </w:rPr>
            </w:pPr>
            <w:r>
              <w:rPr>
                <w:rFonts w:hint="eastAsia" w:ascii="宋体" w:hAnsi="宋体" w:eastAsia="宋体" w:cs="宋体"/>
                <w:snapToGrid w:val="0"/>
                <w:sz w:val="24"/>
                <w:szCs w:val="24"/>
                <w:highlight w:val="none"/>
                <w:lang w:val="en-US" w:eastAsia="zh-CN" w:bidi="ar-SA"/>
              </w:rPr>
              <w:t>须提供证书。注：供应商与计算机软件著作权证书的所有者必须为同一公司，软件著作权证书满足磋商文件所需功能即可得分，著作权申请日期不能晚于本项目公告挂网日期。</w:t>
            </w:r>
          </w:p>
        </w:tc>
        <w:tc>
          <w:tcPr>
            <w:tcW w:w="733" w:type="dxa"/>
            <w:noWrap w:val="0"/>
            <w:vAlign w:val="center"/>
          </w:tcPr>
          <w:p w14:paraId="63E38424">
            <w:pPr>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p>
        </w:tc>
      </w:tr>
      <w:tr w14:paraId="2FC6FD4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522" w:hRule="atLeast"/>
          <w:jc w:val="center"/>
        </w:trPr>
        <w:tc>
          <w:tcPr>
            <w:tcW w:w="1246" w:type="dxa"/>
            <w:vMerge w:val="continue"/>
            <w:noWrap w:val="0"/>
            <w:vAlign w:val="center"/>
          </w:tcPr>
          <w:p w14:paraId="1F95A856">
            <w:pPr>
              <w:pStyle w:val="107"/>
              <w:keepNext w:val="0"/>
              <w:keepLines w:val="0"/>
              <w:pageBreakBefore w:val="0"/>
              <w:widowControl/>
              <w:kinsoku/>
              <w:wordWrap/>
              <w:overflowPunct/>
              <w:topLinePunct w:val="0"/>
              <w:autoSpaceDE/>
              <w:autoSpaceDN/>
              <w:bidi w:val="0"/>
              <w:adjustRightInd w:val="0"/>
              <w:snapToGrid w:val="0"/>
              <w:spacing w:line="400" w:lineRule="exact"/>
              <w:textAlignment w:val="baseline"/>
              <w:rPr>
                <w:rFonts w:ascii="宋体" w:hAnsi="宋体" w:eastAsia="宋体" w:cs="宋体"/>
                <w:sz w:val="24"/>
                <w:szCs w:val="24"/>
                <w:highlight w:val="none"/>
              </w:rPr>
            </w:pPr>
          </w:p>
        </w:tc>
        <w:tc>
          <w:tcPr>
            <w:tcW w:w="1445" w:type="dxa"/>
            <w:noWrap w:val="0"/>
            <w:vAlign w:val="center"/>
          </w:tcPr>
          <w:p w14:paraId="0BB47DA8">
            <w:pPr>
              <w:pStyle w:val="107"/>
              <w:keepNext w:val="0"/>
              <w:keepLines w:val="0"/>
              <w:pageBreakBefore w:val="0"/>
              <w:widowControl/>
              <w:kinsoku/>
              <w:wordWrap/>
              <w:overflowPunct/>
              <w:topLinePunct w:val="0"/>
              <w:autoSpaceDE/>
              <w:autoSpaceDN/>
              <w:bidi w:val="0"/>
              <w:adjustRightInd w:val="0"/>
              <w:snapToGrid w:val="0"/>
              <w:spacing w:line="400" w:lineRule="exact"/>
              <w:textAlignment w:val="baseline"/>
              <w:rPr>
                <w:rFonts w:ascii="宋体" w:hAnsi="宋体" w:eastAsia="宋体" w:cs="宋体"/>
                <w:sz w:val="24"/>
                <w:szCs w:val="24"/>
                <w:highlight w:val="none"/>
              </w:rPr>
            </w:pPr>
            <w:r>
              <w:rPr>
                <w:rFonts w:hint="eastAsia" w:ascii="宋体" w:hAnsi="宋体" w:eastAsia="宋体" w:cs="宋体"/>
                <w:kern w:val="2"/>
                <w:sz w:val="24"/>
                <w:szCs w:val="24"/>
                <w:highlight w:val="none"/>
              </w:rPr>
              <w:t>本地服务</w:t>
            </w:r>
          </w:p>
        </w:tc>
        <w:tc>
          <w:tcPr>
            <w:tcW w:w="5096" w:type="dxa"/>
            <w:noWrap w:val="0"/>
            <w:vAlign w:val="center"/>
          </w:tcPr>
          <w:p w14:paraId="49418395">
            <w:pPr>
              <w:pStyle w:val="107"/>
              <w:shd w:val="clear" w:color="auto" w:fill="auto"/>
              <w:spacing w:line="360" w:lineRule="auto"/>
              <w:jc w:val="left"/>
              <w:rPr>
                <w:rFonts w:hint="eastAsia" w:ascii="宋体" w:hAnsi="宋体" w:eastAsia="宋体" w:cs="宋体"/>
                <w:snapToGrid w:val="0"/>
                <w:sz w:val="24"/>
                <w:szCs w:val="24"/>
                <w:highlight w:val="none"/>
                <w:lang w:val="en-US" w:eastAsia="zh-CN" w:bidi="ar-SA"/>
              </w:rPr>
            </w:pPr>
            <w:r>
              <w:rPr>
                <w:rFonts w:hint="eastAsia" w:ascii="宋体" w:hAnsi="宋体" w:eastAsia="宋体" w:cs="宋体"/>
                <w:snapToGrid w:val="0"/>
                <w:sz w:val="24"/>
                <w:szCs w:val="24"/>
                <w:highlight w:val="none"/>
                <w:lang w:val="en-US" w:eastAsia="zh-CN" w:bidi="ar-SA"/>
              </w:rPr>
              <w:t>本地售后服务情况的承诺。能提供本地售后服务或委托有本地售后服务公司的证明材料。有承诺得</w:t>
            </w:r>
            <w:r>
              <w:rPr>
                <w:rFonts w:hint="eastAsia" w:ascii="宋体" w:hAnsi="宋体" w:cs="宋体"/>
                <w:snapToGrid w:val="0"/>
                <w:sz w:val="24"/>
                <w:szCs w:val="24"/>
                <w:highlight w:val="none"/>
                <w:lang w:val="en-US" w:eastAsia="zh-CN" w:bidi="ar-SA"/>
              </w:rPr>
              <w:t>4</w:t>
            </w:r>
            <w:r>
              <w:rPr>
                <w:rFonts w:hint="eastAsia" w:ascii="宋体" w:hAnsi="宋体" w:eastAsia="宋体" w:cs="宋体"/>
                <w:snapToGrid w:val="0"/>
                <w:sz w:val="24"/>
                <w:szCs w:val="24"/>
                <w:highlight w:val="none"/>
                <w:lang w:val="en-US" w:eastAsia="zh-CN" w:bidi="ar-SA"/>
              </w:rPr>
              <w:t>分，否则不得分。</w:t>
            </w:r>
          </w:p>
        </w:tc>
        <w:tc>
          <w:tcPr>
            <w:tcW w:w="733" w:type="dxa"/>
            <w:noWrap w:val="0"/>
            <w:vAlign w:val="center"/>
          </w:tcPr>
          <w:p w14:paraId="79AF8339">
            <w:pPr>
              <w:pStyle w:val="107"/>
              <w:keepNext w:val="0"/>
              <w:keepLines w:val="0"/>
              <w:pageBreakBefore w:val="0"/>
              <w:widowControl/>
              <w:kinsoku/>
              <w:wordWrap/>
              <w:overflowPunct/>
              <w:topLinePunct w:val="0"/>
              <w:autoSpaceDE/>
              <w:autoSpaceDN/>
              <w:bidi w:val="0"/>
              <w:adjustRightInd w:val="0"/>
              <w:snapToGrid w:val="0"/>
              <w:spacing w:line="400" w:lineRule="exact"/>
              <w:textAlignment w:val="baseline"/>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p>
        </w:tc>
      </w:tr>
      <w:tr w14:paraId="733B5DC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346" w:hRule="atLeast"/>
          <w:jc w:val="center"/>
        </w:trPr>
        <w:tc>
          <w:tcPr>
            <w:tcW w:w="1246" w:type="dxa"/>
            <w:vMerge w:val="restart"/>
            <w:noWrap w:val="0"/>
            <w:vAlign w:val="center"/>
          </w:tcPr>
          <w:p w14:paraId="7A39DA4B">
            <w:pPr>
              <w:pStyle w:val="107"/>
              <w:keepNext w:val="0"/>
              <w:keepLines w:val="0"/>
              <w:pageBreakBefore w:val="0"/>
              <w:widowControl/>
              <w:kinsoku/>
              <w:wordWrap/>
              <w:overflowPunct/>
              <w:topLinePunct w:val="0"/>
              <w:autoSpaceDE/>
              <w:autoSpaceDN/>
              <w:bidi w:val="0"/>
              <w:adjustRightInd w:val="0"/>
              <w:snapToGrid w:val="0"/>
              <w:spacing w:line="400" w:lineRule="exact"/>
              <w:jc w:val="center"/>
              <w:textAlignment w:val="baseline"/>
              <w:rPr>
                <w:rFonts w:ascii="宋体" w:hAnsi="宋体" w:eastAsia="宋体" w:cs="宋体"/>
                <w:sz w:val="24"/>
                <w:szCs w:val="24"/>
                <w:highlight w:val="none"/>
              </w:rPr>
            </w:pPr>
            <w:r>
              <w:rPr>
                <w:rFonts w:hint="eastAsia" w:ascii="宋体" w:hAnsi="宋体" w:eastAsia="宋体" w:cs="宋体"/>
                <w:sz w:val="24"/>
                <w:szCs w:val="24"/>
                <w:highlight w:val="none"/>
              </w:rPr>
              <w:t>技术部分（</w:t>
            </w:r>
            <w:r>
              <w:rPr>
                <w:rFonts w:hint="eastAsia" w:ascii="宋体" w:hAnsi="宋体" w:eastAsia="宋体" w:cs="宋体"/>
                <w:sz w:val="24"/>
                <w:szCs w:val="24"/>
                <w:highlight w:val="none"/>
                <w:lang w:val="en-US" w:eastAsia="zh-CN"/>
              </w:rPr>
              <w:t>6</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分）</w:t>
            </w:r>
          </w:p>
        </w:tc>
        <w:tc>
          <w:tcPr>
            <w:tcW w:w="1445" w:type="dxa"/>
            <w:noWrap w:val="0"/>
            <w:vAlign w:val="center"/>
          </w:tcPr>
          <w:p w14:paraId="1F9B8B93">
            <w:pPr>
              <w:pStyle w:val="107"/>
              <w:keepNext w:val="0"/>
              <w:keepLines w:val="0"/>
              <w:pageBreakBefore w:val="0"/>
              <w:widowControl/>
              <w:kinsoku/>
              <w:wordWrap/>
              <w:overflowPunct/>
              <w:topLinePunct w:val="0"/>
              <w:autoSpaceDE/>
              <w:autoSpaceDN/>
              <w:bidi w:val="0"/>
              <w:adjustRightInd w:val="0"/>
              <w:snapToGrid w:val="0"/>
              <w:spacing w:line="400" w:lineRule="exact"/>
              <w:textAlignment w:val="baseline"/>
              <w:rPr>
                <w:rFonts w:ascii="宋体" w:hAnsi="宋体" w:eastAsia="宋体" w:cs="宋体"/>
                <w:sz w:val="24"/>
                <w:szCs w:val="24"/>
                <w:highlight w:val="none"/>
              </w:rPr>
            </w:pPr>
            <w:r>
              <w:rPr>
                <w:rFonts w:hint="eastAsia" w:ascii="宋体" w:hAnsi="宋体" w:eastAsia="宋体" w:cs="宋体"/>
                <w:sz w:val="24"/>
                <w:szCs w:val="24"/>
                <w:highlight w:val="none"/>
              </w:rPr>
              <w:t>技术响应</w:t>
            </w:r>
          </w:p>
        </w:tc>
        <w:tc>
          <w:tcPr>
            <w:tcW w:w="5096" w:type="dxa"/>
            <w:noWrap w:val="0"/>
            <w:vAlign w:val="center"/>
          </w:tcPr>
          <w:p w14:paraId="4ED61651">
            <w:pPr>
              <w:pStyle w:val="107"/>
              <w:shd w:val="clear" w:color="auto" w:fill="auto"/>
              <w:spacing w:line="360" w:lineRule="auto"/>
              <w:jc w:val="left"/>
              <w:rPr>
                <w:rFonts w:hint="default" w:ascii="宋体" w:hAnsi="宋体" w:eastAsia="宋体" w:cs="宋体"/>
                <w:snapToGrid w:val="0"/>
                <w:sz w:val="24"/>
                <w:szCs w:val="24"/>
                <w:highlight w:val="none"/>
                <w:lang w:val="en-US" w:eastAsia="zh-CN" w:bidi="ar-SA"/>
              </w:rPr>
            </w:pPr>
            <w:r>
              <w:rPr>
                <w:rFonts w:hint="eastAsia" w:ascii="宋体" w:hAnsi="宋体" w:eastAsia="宋体" w:cs="宋体"/>
                <w:snapToGrid w:val="0"/>
                <w:sz w:val="24"/>
                <w:szCs w:val="24"/>
                <w:highlight w:val="none"/>
                <w:lang w:val="en-US" w:eastAsia="zh-CN" w:bidi="ar-SA"/>
              </w:rPr>
              <w:t>所投产品技术参数完全符合招标文件采购需求的要求，得</w:t>
            </w:r>
            <w:r>
              <w:rPr>
                <w:rFonts w:hint="eastAsia" w:ascii="宋体" w:hAnsi="宋体" w:cs="宋体"/>
                <w:snapToGrid w:val="0"/>
                <w:sz w:val="24"/>
                <w:szCs w:val="24"/>
                <w:highlight w:val="none"/>
                <w:lang w:val="en-US" w:eastAsia="zh-CN" w:bidi="ar-SA"/>
              </w:rPr>
              <w:t>20</w:t>
            </w:r>
            <w:r>
              <w:rPr>
                <w:rFonts w:hint="eastAsia" w:ascii="宋体" w:hAnsi="宋体" w:eastAsia="宋体" w:cs="宋体"/>
                <w:snapToGrid w:val="0"/>
                <w:sz w:val="24"/>
                <w:szCs w:val="24"/>
                <w:highlight w:val="none"/>
                <w:lang w:val="en-US" w:eastAsia="zh-CN" w:bidi="ar-SA"/>
              </w:rPr>
              <w:t>分。技术参数</w:t>
            </w:r>
            <w:r>
              <w:rPr>
                <w:rFonts w:hint="eastAsia" w:ascii="仿宋" w:hAnsi="仿宋" w:cs="仿宋"/>
                <w:sz w:val="24"/>
                <w:szCs w:val="24"/>
                <w:highlight w:val="none"/>
              </w:rPr>
              <w:t>“▲”条款的</w:t>
            </w:r>
            <w:r>
              <w:rPr>
                <w:rFonts w:hint="eastAsia" w:ascii="宋体" w:hAnsi="宋体" w:eastAsia="宋体" w:cs="宋体"/>
                <w:snapToGrid w:val="0"/>
                <w:sz w:val="24"/>
                <w:szCs w:val="24"/>
                <w:highlight w:val="none"/>
                <w:lang w:val="en-US" w:eastAsia="zh-CN" w:bidi="ar-SA"/>
              </w:rPr>
              <w:t>有一项不满足扣</w:t>
            </w:r>
            <w:r>
              <w:rPr>
                <w:rFonts w:hint="eastAsia" w:ascii="宋体" w:hAnsi="宋体" w:cs="宋体"/>
                <w:snapToGrid w:val="0"/>
                <w:sz w:val="24"/>
                <w:szCs w:val="24"/>
                <w:highlight w:val="none"/>
                <w:lang w:val="en-US" w:eastAsia="zh-CN" w:bidi="ar-SA"/>
              </w:rPr>
              <w:t>2</w:t>
            </w:r>
            <w:r>
              <w:rPr>
                <w:rFonts w:hint="eastAsia" w:ascii="宋体" w:hAnsi="宋体" w:eastAsia="宋体" w:cs="宋体"/>
                <w:snapToGrid w:val="0"/>
                <w:sz w:val="24"/>
                <w:szCs w:val="24"/>
                <w:highlight w:val="none"/>
                <w:lang w:val="en-US" w:eastAsia="zh-CN" w:bidi="ar-SA"/>
              </w:rPr>
              <w:t>分，扣完为止。其他条款不满足扣1分，扣完为止。</w:t>
            </w:r>
          </w:p>
          <w:p w14:paraId="3CA1D5EF">
            <w:pPr>
              <w:pStyle w:val="107"/>
              <w:shd w:val="clear" w:color="auto" w:fill="auto"/>
              <w:spacing w:line="360" w:lineRule="auto"/>
              <w:jc w:val="left"/>
              <w:rPr>
                <w:rFonts w:hint="eastAsia" w:ascii="宋体" w:hAnsi="宋体" w:eastAsia="宋体" w:cs="宋体"/>
                <w:snapToGrid w:val="0"/>
                <w:sz w:val="24"/>
                <w:szCs w:val="24"/>
                <w:highlight w:val="none"/>
                <w:lang w:val="en-US" w:eastAsia="zh-CN" w:bidi="ar-SA"/>
              </w:rPr>
            </w:pPr>
            <w:r>
              <w:rPr>
                <w:rFonts w:hint="eastAsia" w:ascii="宋体" w:hAnsi="宋体" w:eastAsia="宋体" w:cs="宋体"/>
                <w:snapToGrid w:val="0"/>
                <w:sz w:val="24"/>
                <w:szCs w:val="24"/>
                <w:highlight w:val="none"/>
                <w:lang w:val="en-US" w:eastAsia="zh-CN" w:bidi="ar-SA"/>
              </w:rPr>
              <w:t>注：投标人须对本招标文件</w:t>
            </w:r>
            <w:r>
              <w:rPr>
                <w:rFonts w:hint="default" w:ascii="宋体" w:hAnsi="宋体" w:eastAsia="宋体" w:cs="宋体"/>
                <w:snapToGrid w:val="0"/>
                <w:sz w:val="24"/>
                <w:szCs w:val="24"/>
                <w:highlight w:val="none"/>
                <w:lang w:val="en-US" w:eastAsia="zh-CN" w:bidi="ar-SA"/>
              </w:rPr>
              <w:t>技术要求进行点对点应答，必须在引用本招标文件的基础上,进行逐条逐项答复、说明和解释,特别对有具体参数要求的指标，投标人必须提供所投</w:t>
            </w:r>
            <w:r>
              <w:rPr>
                <w:rFonts w:hint="eastAsia" w:ascii="宋体" w:hAnsi="宋体" w:eastAsia="宋体" w:cs="宋体"/>
                <w:snapToGrid w:val="0"/>
                <w:sz w:val="24"/>
                <w:szCs w:val="24"/>
                <w:highlight w:val="none"/>
                <w:lang w:val="en-US" w:eastAsia="zh-CN" w:bidi="ar-SA"/>
              </w:rPr>
              <w:t>产品对应的证明材料，若未提供有效证明材料则该参数将被视为负偏离。</w:t>
            </w:r>
          </w:p>
        </w:tc>
        <w:tc>
          <w:tcPr>
            <w:tcW w:w="733" w:type="dxa"/>
            <w:noWrap w:val="0"/>
            <w:vAlign w:val="center"/>
          </w:tcPr>
          <w:p w14:paraId="1532C40C">
            <w:pPr>
              <w:pStyle w:val="107"/>
              <w:keepNext w:val="0"/>
              <w:keepLines w:val="0"/>
              <w:pageBreakBefore w:val="0"/>
              <w:widowControl/>
              <w:kinsoku/>
              <w:wordWrap/>
              <w:overflowPunct/>
              <w:topLinePunct w:val="0"/>
              <w:autoSpaceDE/>
              <w:autoSpaceDN/>
              <w:bidi w:val="0"/>
              <w:adjustRightInd w:val="0"/>
              <w:snapToGrid w:val="0"/>
              <w:spacing w:line="400" w:lineRule="exact"/>
              <w:textAlignment w:val="baseline"/>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w:t>
            </w:r>
          </w:p>
        </w:tc>
      </w:tr>
      <w:tr w14:paraId="0459168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32" w:hRule="atLeast"/>
          <w:jc w:val="center"/>
        </w:trPr>
        <w:tc>
          <w:tcPr>
            <w:tcW w:w="1246" w:type="dxa"/>
            <w:vMerge w:val="continue"/>
            <w:noWrap w:val="0"/>
            <w:vAlign w:val="center"/>
          </w:tcPr>
          <w:p w14:paraId="2797849F">
            <w:pPr>
              <w:pStyle w:val="107"/>
              <w:keepNext w:val="0"/>
              <w:keepLines w:val="0"/>
              <w:pageBreakBefore w:val="0"/>
              <w:widowControl/>
              <w:kinsoku/>
              <w:wordWrap/>
              <w:overflowPunct/>
              <w:topLinePunct w:val="0"/>
              <w:autoSpaceDE/>
              <w:autoSpaceDN/>
              <w:bidi w:val="0"/>
              <w:adjustRightInd w:val="0"/>
              <w:snapToGrid w:val="0"/>
              <w:spacing w:line="400" w:lineRule="exact"/>
              <w:textAlignment w:val="baseline"/>
              <w:rPr>
                <w:rFonts w:ascii="宋体" w:hAnsi="宋体" w:eastAsia="宋体" w:cs="宋体"/>
                <w:sz w:val="24"/>
                <w:szCs w:val="24"/>
                <w:highlight w:val="none"/>
              </w:rPr>
            </w:pPr>
          </w:p>
        </w:tc>
        <w:tc>
          <w:tcPr>
            <w:tcW w:w="1445" w:type="dxa"/>
            <w:noWrap w:val="0"/>
            <w:vAlign w:val="center"/>
          </w:tcPr>
          <w:p w14:paraId="2CCC494C">
            <w:pPr>
              <w:pStyle w:val="107"/>
              <w:keepNext w:val="0"/>
              <w:keepLines w:val="0"/>
              <w:pageBreakBefore w:val="0"/>
              <w:widowControl/>
              <w:kinsoku/>
              <w:wordWrap/>
              <w:overflowPunct/>
              <w:topLinePunct w:val="0"/>
              <w:autoSpaceDE/>
              <w:autoSpaceDN/>
              <w:bidi w:val="0"/>
              <w:adjustRightInd w:val="0"/>
              <w:snapToGrid w:val="0"/>
              <w:spacing w:line="400" w:lineRule="exact"/>
              <w:textAlignment w:val="baseline"/>
              <w:rPr>
                <w:rFonts w:ascii="宋体" w:hAnsi="宋体" w:eastAsia="宋体" w:cs="宋体"/>
                <w:sz w:val="24"/>
                <w:szCs w:val="24"/>
                <w:highlight w:val="none"/>
              </w:rPr>
            </w:pPr>
            <w:r>
              <w:rPr>
                <w:rFonts w:hint="eastAsia" w:ascii="宋体" w:hAnsi="宋体" w:eastAsia="宋体" w:cs="宋体"/>
                <w:sz w:val="24"/>
                <w:szCs w:val="24"/>
                <w:highlight w:val="none"/>
              </w:rPr>
              <w:t>项目服务方案</w:t>
            </w:r>
          </w:p>
        </w:tc>
        <w:tc>
          <w:tcPr>
            <w:tcW w:w="5096" w:type="dxa"/>
            <w:noWrap w:val="0"/>
            <w:vAlign w:val="center"/>
          </w:tcPr>
          <w:p w14:paraId="1FC3BC0C">
            <w:pPr>
              <w:pStyle w:val="107"/>
              <w:shd w:val="clear" w:color="auto" w:fill="auto"/>
              <w:spacing w:line="360" w:lineRule="auto"/>
              <w:jc w:val="left"/>
              <w:rPr>
                <w:rFonts w:hint="eastAsia" w:ascii="宋体" w:hAnsi="宋体" w:eastAsia="宋体" w:cs="宋体"/>
                <w:snapToGrid w:val="0"/>
                <w:sz w:val="24"/>
                <w:szCs w:val="24"/>
                <w:highlight w:val="none"/>
                <w:lang w:val="en-US" w:eastAsia="zh-CN" w:bidi="ar-SA"/>
              </w:rPr>
            </w:pPr>
            <w:r>
              <w:rPr>
                <w:rFonts w:hint="eastAsia" w:ascii="宋体" w:hAnsi="宋体" w:eastAsia="宋体" w:cs="宋体"/>
                <w:snapToGrid w:val="0"/>
                <w:sz w:val="24"/>
                <w:szCs w:val="24"/>
                <w:highlight w:val="none"/>
                <w:lang w:val="en-US" w:eastAsia="zh-CN" w:bidi="ar-SA"/>
              </w:rPr>
              <w:t>根据供应商对本项目（1）整体服务背景、项目需求评估和目标</w:t>
            </w:r>
            <w:r>
              <w:rPr>
                <w:rFonts w:hint="eastAsia" w:ascii="宋体" w:hAnsi="宋体" w:cs="宋体"/>
                <w:snapToGrid w:val="0"/>
                <w:sz w:val="24"/>
                <w:szCs w:val="24"/>
                <w:highlight w:val="none"/>
                <w:lang w:val="en-US" w:eastAsia="zh-CN" w:bidi="ar-SA"/>
              </w:rPr>
              <w:t>；</w:t>
            </w:r>
            <w:r>
              <w:rPr>
                <w:rFonts w:hint="eastAsia" w:ascii="宋体" w:hAnsi="宋体" w:eastAsia="宋体" w:cs="宋体"/>
                <w:snapToGrid w:val="0"/>
                <w:sz w:val="24"/>
                <w:szCs w:val="24"/>
                <w:highlight w:val="none"/>
                <w:lang w:val="en-US" w:eastAsia="zh-CN" w:bidi="ar-SA"/>
              </w:rPr>
              <w:t>（2）项目重难点分析</w:t>
            </w:r>
            <w:r>
              <w:rPr>
                <w:rFonts w:hint="eastAsia" w:ascii="宋体" w:hAnsi="宋体" w:cs="宋体"/>
                <w:snapToGrid w:val="0"/>
                <w:sz w:val="24"/>
                <w:szCs w:val="24"/>
                <w:highlight w:val="none"/>
                <w:lang w:val="en-US" w:eastAsia="zh-CN" w:bidi="ar-SA"/>
              </w:rPr>
              <w:t>；</w:t>
            </w:r>
            <w:r>
              <w:rPr>
                <w:rFonts w:hint="eastAsia" w:ascii="宋体" w:hAnsi="宋体" w:eastAsia="宋体" w:cs="宋体"/>
                <w:snapToGrid w:val="0"/>
                <w:sz w:val="24"/>
                <w:szCs w:val="24"/>
                <w:highlight w:val="none"/>
                <w:lang w:val="en-US" w:eastAsia="zh-CN" w:bidi="ar-SA"/>
              </w:rPr>
              <w:t>（3）组织管理保障方案</w:t>
            </w:r>
            <w:r>
              <w:rPr>
                <w:rFonts w:hint="eastAsia" w:ascii="宋体" w:hAnsi="宋体" w:cs="宋体"/>
                <w:snapToGrid w:val="0"/>
                <w:sz w:val="24"/>
                <w:szCs w:val="24"/>
                <w:highlight w:val="none"/>
                <w:lang w:val="en-US" w:eastAsia="zh-CN" w:bidi="ar-SA"/>
              </w:rPr>
              <w:t>；</w:t>
            </w:r>
            <w:r>
              <w:rPr>
                <w:rFonts w:hint="eastAsia" w:ascii="宋体" w:hAnsi="宋体" w:eastAsia="宋体" w:cs="宋体"/>
                <w:snapToGrid w:val="0"/>
                <w:sz w:val="24"/>
                <w:szCs w:val="24"/>
                <w:highlight w:val="none"/>
                <w:lang w:val="en-US" w:eastAsia="zh-CN" w:bidi="ar-SA"/>
              </w:rPr>
              <w:t>（</w:t>
            </w:r>
            <w:r>
              <w:rPr>
                <w:rFonts w:hint="eastAsia" w:ascii="宋体" w:hAnsi="宋体" w:cs="宋体"/>
                <w:snapToGrid w:val="0"/>
                <w:sz w:val="24"/>
                <w:szCs w:val="24"/>
                <w:highlight w:val="none"/>
                <w:lang w:val="en-US" w:eastAsia="zh-CN" w:bidi="ar-SA"/>
              </w:rPr>
              <w:t>4</w:t>
            </w:r>
            <w:r>
              <w:rPr>
                <w:rFonts w:hint="eastAsia" w:ascii="宋体" w:hAnsi="宋体" w:eastAsia="宋体" w:cs="宋体"/>
                <w:snapToGrid w:val="0"/>
                <w:sz w:val="24"/>
                <w:szCs w:val="24"/>
                <w:highlight w:val="none"/>
                <w:lang w:val="en-US" w:eastAsia="zh-CN" w:bidi="ar-SA"/>
              </w:rPr>
              <w:t>）质量保障措施；（</w:t>
            </w:r>
            <w:r>
              <w:rPr>
                <w:rFonts w:hint="eastAsia" w:ascii="宋体" w:hAnsi="宋体" w:cs="宋体"/>
                <w:snapToGrid w:val="0"/>
                <w:sz w:val="24"/>
                <w:szCs w:val="24"/>
                <w:highlight w:val="none"/>
                <w:lang w:val="en-US" w:eastAsia="zh-CN" w:bidi="ar-SA"/>
              </w:rPr>
              <w:t>5</w:t>
            </w:r>
            <w:r>
              <w:rPr>
                <w:rFonts w:hint="eastAsia" w:ascii="宋体" w:hAnsi="宋体" w:eastAsia="宋体" w:cs="宋体"/>
                <w:snapToGrid w:val="0"/>
                <w:sz w:val="24"/>
                <w:szCs w:val="24"/>
                <w:highlight w:val="none"/>
                <w:lang w:val="en-US" w:eastAsia="zh-CN" w:bidi="ar-SA"/>
              </w:rPr>
              <w:t>）组织调研方案、时间进度计划、人员分工配备；（</w:t>
            </w:r>
            <w:r>
              <w:rPr>
                <w:rFonts w:hint="eastAsia" w:ascii="宋体" w:hAnsi="宋体" w:cs="宋体"/>
                <w:snapToGrid w:val="0"/>
                <w:sz w:val="24"/>
                <w:szCs w:val="24"/>
                <w:highlight w:val="none"/>
                <w:lang w:val="en-US" w:eastAsia="zh-CN" w:bidi="ar-SA"/>
              </w:rPr>
              <w:t>6</w:t>
            </w:r>
            <w:r>
              <w:rPr>
                <w:rFonts w:hint="eastAsia" w:ascii="宋体" w:hAnsi="宋体" w:eastAsia="宋体" w:cs="宋体"/>
                <w:snapToGrid w:val="0"/>
                <w:sz w:val="24"/>
                <w:szCs w:val="24"/>
                <w:highlight w:val="none"/>
                <w:lang w:val="en-US" w:eastAsia="zh-CN" w:bidi="ar-SA"/>
              </w:rPr>
              <w:t>）进度保障控制和目标。</w:t>
            </w:r>
          </w:p>
          <w:p w14:paraId="1D9A8244">
            <w:pPr>
              <w:pStyle w:val="107"/>
              <w:shd w:val="clear" w:color="auto" w:fill="auto"/>
              <w:spacing w:line="360" w:lineRule="auto"/>
              <w:jc w:val="left"/>
              <w:rPr>
                <w:rFonts w:hint="eastAsia" w:ascii="宋体" w:hAnsi="宋体" w:eastAsia="宋体" w:cs="宋体"/>
                <w:snapToGrid w:val="0"/>
                <w:sz w:val="24"/>
                <w:szCs w:val="24"/>
                <w:highlight w:val="none"/>
                <w:lang w:val="en-US" w:eastAsia="zh-CN" w:bidi="ar-SA"/>
              </w:rPr>
            </w:pPr>
            <w:r>
              <w:rPr>
                <w:rFonts w:hint="eastAsia" w:ascii="宋体" w:hAnsi="宋体" w:eastAsia="宋体" w:cs="宋体"/>
                <w:snapToGrid w:val="0"/>
                <w:sz w:val="24"/>
                <w:szCs w:val="24"/>
                <w:highlight w:val="none"/>
                <w:lang w:val="en-US" w:eastAsia="zh-CN" w:bidi="ar-SA"/>
              </w:rPr>
              <w:t>以上方案全面、内容具体详尽、有针对性解释说明，无瑕疵，一项得5分，每有一处瑕疵扣1分，每项内容最多扣4分，不提供不得分。</w:t>
            </w:r>
          </w:p>
          <w:p w14:paraId="65A4F193">
            <w:pPr>
              <w:pStyle w:val="107"/>
              <w:shd w:val="clear" w:color="auto" w:fill="auto"/>
              <w:spacing w:line="360" w:lineRule="auto"/>
              <w:jc w:val="left"/>
              <w:rPr>
                <w:rFonts w:hint="eastAsia" w:ascii="宋体" w:hAnsi="宋体" w:eastAsia="宋体" w:cs="宋体"/>
                <w:snapToGrid w:val="0"/>
                <w:sz w:val="24"/>
                <w:szCs w:val="24"/>
                <w:highlight w:val="none"/>
                <w:lang w:val="en-US" w:eastAsia="zh-CN" w:bidi="ar-SA"/>
              </w:rPr>
            </w:pPr>
            <w:r>
              <w:rPr>
                <w:rFonts w:hint="eastAsia" w:ascii="宋体" w:hAnsi="宋体" w:eastAsia="宋体" w:cs="宋体"/>
                <w:snapToGrid w:val="0"/>
                <w:sz w:val="24"/>
                <w:szCs w:val="24"/>
                <w:highlight w:val="none"/>
                <w:lang w:val="en-US" w:eastAsia="zh-CN" w:bidi="ar-SA"/>
              </w:rPr>
              <w:t>注：本项目称“瑕疵”是指内容缺项、不完整或缺少关键点；非专门针对本项目或不适用本项目特征、套用其他项目内容、同一问题前后前述不一致矛盾；存在逻辑漏洞、科学原理或常识错误；不利于本项目目标的实现、现有技术条件下不可能出现的情形等任意一种情形。</w:t>
            </w:r>
          </w:p>
        </w:tc>
        <w:tc>
          <w:tcPr>
            <w:tcW w:w="733" w:type="dxa"/>
            <w:noWrap w:val="0"/>
            <w:vAlign w:val="center"/>
          </w:tcPr>
          <w:p w14:paraId="364E208D">
            <w:pPr>
              <w:pStyle w:val="107"/>
              <w:keepNext w:val="0"/>
              <w:keepLines w:val="0"/>
              <w:pageBreakBefore w:val="0"/>
              <w:widowControl/>
              <w:kinsoku/>
              <w:wordWrap/>
              <w:overflowPunct/>
              <w:topLinePunct w:val="0"/>
              <w:autoSpaceDE/>
              <w:autoSpaceDN/>
              <w:bidi w:val="0"/>
              <w:adjustRightInd w:val="0"/>
              <w:snapToGrid w:val="0"/>
              <w:spacing w:line="400" w:lineRule="exact"/>
              <w:textAlignment w:val="baseline"/>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30</w:t>
            </w:r>
          </w:p>
        </w:tc>
      </w:tr>
      <w:tr w14:paraId="6EA806A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2" w:hRule="atLeast"/>
          <w:jc w:val="center"/>
        </w:trPr>
        <w:tc>
          <w:tcPr>
            <w:tcW w:w="1246" w:type="dxa"/>
            <w:vMerge w:val="continue"/>
            <w:noWrap w:val="0"/>
            <w:vAlign w:val="center"/>
          </w:tcPr>
          <w:p w14:paraId="30EA9D7E">
            <w:pPr>
              <w:pStyle w:val="107"/>
              <w:keepNext w:val="0"/>
              <w:keepLines w:val="0"/>
              <w:pageBreakBefore w:val="0"/>
              <w:widowControl/>
              <w:kinsoku/>
              <w:wordWrap/>
              <w:overflowPunct/>
              <w:topLinePunct w:val="0"/>
              <w:autoSpaceDE/>
              <w:autoSpaceDN/>
              <w:bidi w:val="0"/>
              <w:adjustRightInd w:val="0"/>
              <w:snapToGrid w:val="0"/>
              <w:spacing w:line="400" w:lineRule="exact"/>
              <w:textAlignment w:val="baseline"/>
              <w:rPr>
                <w:rFonts w:ascii="宋体" w:hAnsi="宋体" w:eastAsia="宋体" w:cs="宋体"/>
                <w:sz w:val="24"/>
                <w:szCs w:val="24"/>
                <w:highlight w:val="none"/>
              </w:rPr>
            </w:pPr>
          </w:p>
        </w:tc>
        <w:tc>
          <w:tcPr>
            <w:tcW w:w="1445" w:type="dxa"/>
            <w:noWrap w:val="0"/>
            <w:vAlign w:val="center"/>
          </w:tcPr>
          <w:p w14:paraId="55D9012C">
            <w:pPr>
              <w:pStyle w:val="107"/>
              <w:keepNext w:val="0"/>
              <w:keepLines w:val="0"/>
              <w:pageBreakBefore w:val="0"/>
              <w:widowControl/>
              <w:kinsoku/>
              <w:wordWrap/>
              <w:overflowPunct/>
              <w:topLinePunct w:val="0"/>
              <w:autoSpaceDE/>
              <w:autoSpaceDN/>
              <w:bidi w:val="0"/>
              <w:adjustRightInd w:val="0"/>
              <w:snapToGrid w:val="0"/>
              <w:spacing w:line="400" w:lineRule="exact"/>
              <w:textAlignment w:val="baseline"/>
              <w:rPr>
                <w:rFonts w:hint="eastAsia" w:ascii="宋体" w:hAnsi="宋体" w:eastAsia="宋体" w:cs="宋体"/>
                <w:snapToGrid w:val="0"/>
                <w:sz w:val="24"/>
                <w:szCs w:val="24"/>
                <w:highlight w:val="none"/>
                <w:lang w:val="en-US" w:eastAsia="zh-CN" w:bidi="ar-SA"/>
              </w:rPr>
            </w:pPr>
            <w:r>
              <w:rPr>
                <w:rFonts w:hint="eastAsia" w:ascii="宋体" w:hAnsi="宋体" w:eastAsia="宋体" w:cs="宋体"/>
                <w:sz w:val="24"/>
                <w:szCs w:val="24"/>
                <w:highlight w:val="none"/>
              </w:rPr>
              <w:t>售后服务</w:t>
            </w:r>
          </w:p>
        </w:tc>
        <w:tc>
          <w:tcPr>
            <w:tcW w:w="5096" w:type="dxa"/>
            <w:noWrap w:val="0"/>
            <w:vAlign w:val="center"/>
          </w:tcPr>
          <w:p w14:paraId="54088954">
            <w:pPr>
              <w:pStyle w:val="107"/>
              <w:shd w:val="clear" w:color="auto" w:fill="auto"/>
              <w:spacing w:line="360" w:lineRule="auto"/>
              <w:jc w:val="left"/>
              <w:rPr>
                <w:rFonts w:hint="eastAsia" w:ascii="宋体" w:hAnsi="宋体" w:eastAsia="宋体" w:cs="宋体"/>
                <w:snapToGrid w:val="0"/>
                <w:sz w:val="24"/>
                <w:szCs w:val="24"/>
                <w:highlight w:val="none"/>
                <w:lang w:val="en-US" w:eastAsia="zh-CN" w:bidi="ar-SA"/>
              </w:rPr>
            </w:pPr>
            <w:r>
              <w:rPr>
                <w:rFonts w:hint="eastAsia" w:ascii="宋体" w:hAnsi="宋体" w:eastAsia="宋体" w:cs="宋体"/>
                <w:snapToGrid w:val="0"/>
                <w:sz w:val="24"/>
                <w:szCs w:val="24"/>
                <w:highlight w:val="none"/>
                <w:lang w:val="en-US" w:eastAsia="zh-CN" w:bidi="ar-SA"/>
              </w:rPr>
              <w:t>根据供应商的质保承诺、售后服务体系、售后服务响应时间、故障排除时间、上门维护升级、主动巡检等服务措施，根据本次项目实际需求提供售后服务方案，售后服务方案应能满足本项目的部署需求。根据售后服务方案的完整性、响应时间进行评分，优得</w:t>
            </w:r>
            <w:r>
              <w:rPr>
                <w:rFonts w:hint="eastAsia" w:ascii="宋体" w:hAnsi="宋体" w:cs="宋体"/>
                <w:snapToGrid w:val="0"/>
                <w:sz w:val="24"/>
                <w:szCs w:val="24"/>
                <w:highlight w:val="none"/>
                <w:lang w:val="en-US" w:eastAsia="zh-CN" w:bidi="ar-SA"/>
              </w:rPr>
              <w:t>9</w:t>
            </w:r>
            <w:r>
              <w:rPr>
                <w:rFonts w:hint="eastAsia" w:ascii="宋体" w:hAnsi="宋体" w:eastAsia="宋体" w:cs="宋体"/>
                <w:snapToGrid w:val="0"/>
                <w:sz w:val="24"/>
                <w:szCs w:val="24"/>
                <w:highlight w:val="none"/>
                <w:lang w:val="en-US" w:eastAsia="zh-CN" w:bidi="ar-SA"/>
              </w:rPr>
              <w:t>分，良得</w:t>
            </w:r>
            <w:r>
              <w:rPr>
                <w:rFonts w:hint="eastAsia" w:ascii="宋体" w:hAnsi="宋体" w:cs="宋体"/>
                <w:snapToGrid w:val="0"/>
                <w:sz w:val="24"/>
                <w:szCs w:val="24"/>
                <w:highlight w:val="none"/>
                <w:lang w:val="en-US" w:eastAsia="zh-CN" w:bidi="ar-SA"/>
              </w:rPr>
              <w:t>6</w:t>
            </w:r>
            <w:r>
              <w:rPr>
                <w:rFonts w:hint="eastAsia" w:ascii="宋体" w:hAnsi="宋体" w:eastAsia="宋体" w:cs="宋体"/>
                <w:snapToGrid w:val="0"/>
                <w:sz w:val="24"/>
                <w:szCs w:val="24"/>
                <w:highlight w:val="none"/>
                <w:lang w:val="en-US" w:eastAsia="zh-CN" w:bidi="ar-SA"/>
              </w:rPr>
              <w:t>分，差得3分，未提供不得分。</w:t>
            </w:r>
          </w:p>
        </w:tc>
        <w:tc>
          <w:tcPr>
            <w:tcW w:w="733" w:type="dxa"/>
            <w:noWrap w:val="0"/>
            <w:vAlign w:val="center"/>
          </w:tcPr>
          <w:p w14:paraId="66CBEF32">
            <w:pPr>
              <w:pStyle w:val="107"/>
              <w:keepNext w:val="0"/>
              <w:keepLines w:val="0"/>
              <w:pageBreakBefore w:val="0"/>
              <w:widowControl/>
              <w:kinsoku/>
              <w:wordWrap/>
              <w:overflowPunct/>
              <w:topLinePunct w:val="0"/>
              <w:autoSpaceDE/>
              <w:autoSpaceDN/>
              <w:bidi w:val="0"/>
              <w:adjustRightInd w:val="0"/>
              <w:snapToGrid w:val="0"/>
              <w:spacing w:line="400" w:lineRule="exact"/>
              <w:textAlignment w:val="baseline"/>
              <w:rPr>
                <w:rFonts w:hint="default" w:ascii="宋体" w:hAnsi="宋体" w:eastAsia="宋体" w:cs="宋体"/>
                <w:snapToGrid w:val="0"/>
                <w:color w:val="auto"/>
                <w:sz w:val="24"/>
                <w:szCs w:val="24"/>
                <w:highlight w:val="none"/>
                <w:lang w:val="en-US" w:eastAsia="zh-CN" w:bidi="ar-SA"/>
              </w:rPr>
            </w:pPr>
            <w:r>
              <w:rPr>
                <w:rFonts w:hint="eastAsia" w:ascii="宋体" w:hAnsi="宋体" w:cs="宋体"/>
                <w:color w:val="auto"/>
                <w:sz w:val="24"/>
                <w:szCs w:val="24"/>
                <w:highlight w:val="none"/>
                <w:lang w:val="en-US" w:eastAsia="zh-CN"/>
              </w:rPr>
              <w:t>9</w:t>
            </w:r>
          </w:p>
        </w:tc>
      </w:tr>
      <w:tr w14:paraId="30C52D4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241" w:hRule="atLeast"/>
          <w:jc w:val="center"/>
        </w:trPr>
        <w:tc>
          <w:tcPr>
            <w:tcW w:w="1246" w:type="dxa"/>
            <w:vMerge w:val="continue"/>
            <w:noWrap w:val="0"/>
            <w:vAlign w:val="center"/>
          </w:tcPr>
          <w:p w14:paraId="6094712D">
            <w:pPr>
              <w:pStyle w:val="107"/>
              <w:keepNext w:val="0"/>
              <w:keepLines w:val="0"/>
              <w:pageBreakBefore w:val="0"/>
              <w:widowControl/>
              <w:kinsoku/>
              <w:wordWrap/>
              <w:overflowPunct/>
              <w:topLinePunct w:val="0"/>
              <w:autoSpaceDE/>
              <w:autoSpaceDN/>
              <w:bidi w:val="0"/>
              <w:adjustRightInd w:val="0"/>
              <w:snapToGrid w:val="0"/>
              <w:spacing w:line="400" w:lineRule="exact"/>
              <w:textAlignment w:val="baseline"/>
              <w:rPr>
                <w:rFonts w:ascii="宋体" w:hAnsi="宋体" w:eastAsia="宋体" w:cs="宋体"/>
                <w:sz w:val="24"/>
                <w:szCs w:val="24"/>
                <w:highlight w:val="none"/>
              </w:rPr>
            </w:pPr>
          </w:p>
        </w:tc>
        <w:tc>
          <w:tcPr>
            <w:tcW w:w="1445" w:type="dxa"/>
            <w:noWrap w:val="0"/>
            <w:vAlign w:val="center"/>
          </w:tcPr>
          <w:p w14:paraId="1061BE36">
            <w:pPr>
              <w:pStyle w:val="107"/>
              <w:shd w:val="clear" w:color="auto" w:fil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培训方案</w:t>
            </w:r>
          </w:p>
        </w:tc>
        <w:tc>
          <w:tcPr>
            <w:tcW w:w="5096" w:type="dxa"/>
            <w:noWrap w:val="0"/>
            <w:vAlign w:val="center"/>
          </w:tcPr>
          <w:p w14:paraId="0632C6D4">
            <w:pPr>
              <w:pStyle w:val="107"/>
              <w:shd w:val="clear" w:color="auto" w:fill="auto"/>
              <w:spacing w:line="360" w:lineRule="auto"/>
              <w:jc w:val="left"/>
              <w:rPr>
                <w:rFonts w:hint="eastAsia" w:ascii="宋体" w:hAnsi="宋体" w:eastAsia="宋体" w:cs="宋体"/>
                <w:sz w:val="24"/>
                <w:szCs w:val="24"/>
                <w:highlight w:val="none"/>
              </w:rPr>
            </w:pPr>
            <w:r>
              <w:rPr>
                <w:rFonts w:hint="eastAsia" w:ascii="宋体" w:hAnsi="宋体" w:eastAsia="宋体" w:cs="宋体"/>
                <w:snapToGrid w:val="0"/>
                <w:sz w:val="24"/>
                <w:szCs w:val="24"/>
                <w:highlight w:val="none"/>
                <w:lang w:val="en-US" w:eastAsia="zh-CN" w:bidi="ar-SA"/>
              </w:rPr>
              <w:t>根据产品使用周期内的培训方案（包括但不限于：培训方案、培训时间、培训计划及培训人员等）的完整性、可行性、科学性等方面进行综合评审；优得</w:t>
            </w:r>
            <w:r>
              <w:rPr>
                <w:rFonts w:hint="eastAsia" w:ascii="宋体" w:hAnsi="宋体" w:cs="宋体"/>
                <w:snapToGrid w:val="0"/>
                <w:sz w:val="24"/>
                <w:szCs w:val="24"/>
                <w:highlight w:val="none"/>
                <w:lang w:val="en-US" w:eastAsia="zh-CN" w:bidi="ar-SA"/>
              </w:rPr>
              <w:t>9</w:t>
            </w:r>
            <w:r>
              <w:rPr>
                <w:rFonts w:hint="eastAsia" w:ascii="宋体" w:hAnsi="宋体" w:eastAsia="宋体" w:cs="宋体"/>
                <w:snapToGrid w:val="0"/>
                <w:sz w:val="24"/>
                <w:szCs w:val="24"/>
                <w:highlight w:val="none"/>
                <w:lang w:val="en-US" w:eastAsia="zh-CN" w:bidi="ar-SA"/>
              </w:rPr>
              <w:t>分，良得</w:t>
            </w:r>
            <w:r>
              <w:rPr>
                <w:rFonts w:hint="eastAsia" w:ascii="宋体" w:hAnsi="宋体" w:cs="宋体"/>
                <w:snapToGrid w:val="0"/>
                <w:sz w:val="24"/>
                <w:szCs w:val="24"/>
                <w:highlight w:val="none"/>
                <w:lang w:val="en-US" w:eastAsia="zh-CN" w:bidi="ar-SA"/>
              </w:rPr>
              <w:t>6</w:t>
            </w:r>
            <w:r>
              <w:rPr>
                <w:rFonts w:hint="eastAsia" w:ascii="宋体" w:hAnsi="宋体" w:eastAsia="宋体" w:cs="宋体"/>
                <w:snapToGrid w:val="0"/>
                <w:sz w:val="24"/>
                <w:szCs w:val="24"/>
                <w:highlight w:val="none"/>
                <w:lang w:val="en-US" w:eastAsia="zh-CN" w:bidi="ar-SA"/>
              </w:rPr>
              <w:t>分，一般得</w:t>
            </w:r>
            <w:r>
              <w:rPr>
                <w:rFonts w:hint="eastAsia" w:ascii="宋体" w:hAnsi="宋体" w:cs="宋体"/>
                <w:snapToGrid w:val="0"/>
                <w:sz w:val="24"/>
                <w:szCs w:val="24"/>
                <w:highlight w:val="none"/>
                <w:lang w:val="en-US" w:eastAsia="zh-CN" w:bidi="ar-SA"/>
              </w:rPr>
              <w:t>3</w:t>
            </w:r>
            <w:r>
              <w:rPr>
                <w:rFonts w:hint="eastAsia" w:ascii="宋体" w:hAnsi="宋体" w:eastAsia="宋体" w:cs="宋体"/>
                <w:snapToGrid w:val="0"/>
                <w:sz w:val="24"/>
                <w:szCs w:val="24"/>
                <w:highlight w:val="none"/>
                <w:lang w:val="en-US" w:eastAsia="zh-CN" w:bidi="ar-SA"/>
              </w:rPr>
              <w:t>分，差不得分。</w:t>
            </w:r>
          </w:p>
        </w:tc>
        <w:tc>
          <w:tcPr>
            <w:tcW w:w="733" w:type="dxa"/>
            <w:noWrap w:val="0"/>
            <w:vAlign w:val="center"/>
          </w:tcPr>
          <w:p w14:paraId="6FBC34F5">
            <w:pPr>
              <w:pStyle w:val="107"/>
              <w:shd w:val="clear" w:color="auto" w:fil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r>
    </w:tbl>
    <w:p w14:paraId="4C0E782D">
      <w:pPr>
        <w:pStyle w:val="95"/>
        <w:shd w:val="clear" w:color="auto"/>
        <w:spacing w:line="440" w:lineRule="exact"/>
        <w:rPr>
          <w:rFonts w:asciiTheme="minorEastAsia" w:hAnsiTheme="minorEastAsia" w:eastAsiaTheme="minorEastAsia" w:cstheme="minorEastAsia"/>
          <w:color w:val="auto"/>
          <w:sz w:val="24"/>
          <w:szCs w:val="24"/>
          <w:highlight w:val="none"/>
        </w:rPr>
      </w:pPr>
    </w:p>
    <w:tbl>
      <w:tblPr>
        <w:tblStyle w:val="28"/>
        <w:tblpPr w:leftFromText="180" w:rightFromText="180" w:vertAnchor="text" w:horzAnchor="page" w:tblpX="1674" w:tblpY="440"/>
        <w:tblOverlap w:val="never"/>
        <w:tblW w:w="886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61"/>
      </w:tblGrid>
      <w:tr w14:paraId="26527F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8861" w:type="dxa"/>
            <w:tcBorders>
              <w:top w:val="single" w:color="auto" w:sz="4" w:space="0"/>
              <w:bottom w:val="single" w:color="auto" w:sz="4" w:space="0"/>
            </w:tcBorders>
            <w:vAlign w:val="center"/>
          </w:tcPr>
          <w:p w14:paraId="451112C5">
            <w:pPr>
              <w:shd w:val="clear"/>
              <w:snapToGrid w:val="0"/>
              <w:spacing w:line="440" w:lineRule="exact"/>
              <w:ind w:firstLine="360" w:firstLineChars="150"/>
              <w:rPr>
                <w:rFonts w:asciiTheme="minorEastAsia" w:hAnsiTheme="minorEastAsia" w:eastAsiaTheme="minorEastAsia" w:cstheme="minorEastAsia"/>
                <w:color w:val="auto"/>
                <w:sz w:val="24"/>
                <w:szCs w:val="24"/>
                <w:highlight w:val="none"/>
              </w:rPr>
            </w:pPr>
            <w:bookmarkStart w:id="23" w:name="_Toc32023"/>
            <w:r>
              <w:rPr>
                <w:rFonts w:hint="eastAsia" w:asciiTheme="minorEastAsia" w:hAnsiTheme="minorEastAsia" w:eastAsiaTheme="minorEastAsia" w:cstheme="minorEastAsia"/>
                <w:color w:val="auto"/>
                <w:sz w:val="24"/>
                <w:szCs w:val="24"/>
                <w:highlight w:val="none"/>
              </w:rPr>
              <w:t>根据中华人民共和国财政部、中华人民共和国工业和信息化部《政府采购促进中小企业发展暂行办法》（财库[2011]181号）文件的规定，</w:t>
            </w:r>
            <w:r>
              <w:rPr>
                <w:rFonts w:hint="eastAsia" w:asciiTheme="minorEastAsia" w:hAnsiTheme="minorEastAsia" w:eastAsiaTheme="minorEastAsia" w:cstheme="minorEastAsia"/>
                <w:bCs/>
                <w:color w:val="auto"/>
                <w:sz w:val="24"/>
                <w:szCs w:val="24"/>
                <w:highlight w:val="none"/>
              </w:rPr>
              <w:t>属于中小企业</w:t>
            </w:r>
            <w:r>
              <w:rPr>
                <w:rFonts w:hint="eastAsia" w:asciiTheme="minorEastAsia" w:hAnsiTheme="minorEastAsia" w:eastAsiaTheme="minorEastAsia" w:cstheme="minorEastAsia"/>
                <w:color w:val="auto"/>
                <w:sz w:val="24"/>
                <w:szCs w:val="24"/>
                <w:highlight w:val="none"/>
              </w:rPr>
              <w:t>评审优惠内容及幅度如下：</w:t>
            </w:r>
          </w:p>
          <w:p w14:paraId="0F76FA2E">
            <w:pPr>
              <w:shd w:val="clear"/>
              <w:snapToGrid w:val="0"/>
              <w:spacing w:line="440" w:lineRule="exact"/>
              <w:ind w:firstLine="241" w:firstLineChars="1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（一）</w:t>
            </w:r>
            <w:r>
              <w:rPr>
                <w:rFonts w:hint="eastAsia" w:asciiTheme="minorEastAsia" w:hAnsiTheme="minorEastAsia" w:eastAsiaTheme="minorEastAsia" w:cstheme="minorEastAsia"/>
                <w:color w:val="auto"/>
                <w:sz w:val="24"/>
                <w:szCs w:val="24"/>
                <w:highlight w:val="none"/>
              </w:rPr>
              <w:t>中小企业（含中型、小型、微型企业）应当</w:t>
            </w:r>
            <w:r>
              <w:rPr>
                <w:rFonts w:hint="eastAsia" w:asciiTheme="minorEastAsia" w:hAnsiTheme="minorEastAsia" w:eastAsiaTheme="minorEastAsia" w:cstheme="minorEastAsia"/>
                <w:b/>
                <w:color w:val="auto"/>
                <w:sz w:val="24"/>
                <w:szCs w:val="24"/>
                <w:highlight w:val="none"/>
              </w:rPr>
              <w:t>同时符合</w:t>
            </w:r>
            <w:r>
              <w:rPr>
                <w:rFonts w:hint="eastAsia" w:asciiTheme="minorEastAsia" w:hAnsiTheme="minorEastAsia" w:eastAsiaTheme="minorEastAsia" w:cstheme="minorEastAsia"/>
                <w:color w:val="auto"/>
                <w:sz w:val="24"/>
                <w:szCs w:val="24"/>
                <w:highlight w:val="none"/>
              </w:rPr>
              <w:t>以下条件：</w:t>
            </w:r>
          </w:p>
          <w:p w14:paraId="01CA94DE">
            <w:pPr>
              <w:pStyle w:val="101"/>
              <w:shd w:val="clear"/>
              <w:spacing w:line="440" w:lineRule="exact"/>
              <w:ind w:left="846" w:leftChars="403"/>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①符合中小企业划分标准（按《关于印发中小企业划型标准规定的通知》（工信部联企业〔2011〕300号）执行）；</w:t>
            </w:r>
          </w:p>
          <w:p w14:paraId="731A8ECA">
            <w:pPr>
              <w:pStyle w:val="101"/>
              <w:shd w:val="clear"/>
              <w:spacing w:line="440" w:lineRule="exact"/>
              <w:ind w:left="846" w:leftChars="403"/>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②提供本企业制造的货物、承担的项目或者服务，或者提供其他中小企业制造的货物。本项所称货物不包括使用大型企业注册商标的货物；</w:t>
            </w:r>
          </w:p>
          <w:p w14:paraId="55FF703B">
            <w:pPr>
              <w:pStyle w:val="101"/>
              <w:shd w:val="clear"/>
              <w:spacing w:line="440" w:lineRule="exact"/>
              <w:ind w:left="846" w:leftChars="403"/>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③小型、微型企业提供中型企业制造的货物的，视同为中型企业。</w:t>
            </w:r>
          </w:p>
        </w:tc>
      </w:tr>
    </w:tbl>
    <w:p w14:paraId="42F40231">
      <w:pPr>
        <w:shd w:val="clear"/>
        <w:snapToGrid w:val="0"/>
        <w:spacing w:line="500" w:lineRule="exact"/>
        <w:ind w:firstLine="200"/>
        <w:jc w:val="center"/>
        <w:outlineLvl w:val="1"/>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八、成交及合同签订</w:t>
      </w:r>
      <w:bookmarkEnd w:id="23"/>
    </w:p>
    <w:p w14:paraId="70370FDD">
      <w:pPr>
        <w:shd w:val="clear"/>
        <w:snapToGrid w:val="0"/>
        <w:spacing w:line="500" w:lineRule="exact"/>
        <w:ind w:firstLine="482"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（三十二）成交供应商</w:t>
      </w:r>
    </w:p>
    <w:p w14:paraId="48DA9907">
      <w:pPr>
        <w:shd w:val="clear"/>
        <w:snapToGrid w:val="0"/>
        <w:spacing w:line="5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32.1 根据磋商小组对各供应商满足竞争性磋商文件实质性响应（所谓实质性响应，是指文件应与竞争性磋商文件的所有实质性条款、条件和要求相符，无显著差异或保留（由磋商小组确定）；经磋商确定最终采购需求和提交最后报价的供应商中由磋商小组采用综合评分法对提交最后报价的供应商的磋商响应文件和最后报价进行综合评分，并以综合评分由高到低选取三名成交候选人推荐给采购人（评分相同时，按最后报价由低到高的顺序推荐；评审得分和最后报价相同的，按照技术指标优劣顺序推荐）。</w:t>
      </w:r>
    </w:p>
    <w:p w14:paraId="7502A94F">
      <w:pPr>
        <w:shd w:val="clear"/>
        <w:snapToGrid w:val="0"/>
        <w:spacing w:line="500" w:lineRule="exact"/>
        <w:ind w:firstLine="482"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（三十三）资格条件</w:t>
      </w:r>
    </w:p>
    <w:p w14:paraId="27F8EC02">
      <w:pPr>
        <w:shd w:val="clear"/>
        <w:snapToGrid w:val="0"/>
        <w:spacing w:line="50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33.1 采购人将在签订合同前对成交候选供应商是否能圆满地履行合同进行审查。审查包括成交候选供应商磋商响应文件中提供的所有资格证明材料原件，成交候选供应商磋商响应文件及补充承诺中涉及的其他相关资料原件，以及对本项目实施可能存在风险的其他因素。</w:t>
      </w:r>
    </w:p>
    <w:p w14:paraId="488A93BE">
      <w:pPr>
        <w:shd w:val="clear"/>
        <w:snapToGrid w:val="0"/>
        <w:spacing w:line="50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33.2 采购人若发现成交候选供应商在竞标过程中提供虚假证明文件，故意隐瞒公司不良信誉和财务状况，以及存在可能对合同圆满履行造成风险的其他因素等，则按规定取消其成交资格，监管部门依法进行处理。</w:t>
      </w:r>
    </w:p>
    <w:p w14:paraId="7142D3EA">
      <w:pPr>
        <w:shd w:val="clear"/>
        <w:snapToGrid w:val="0"/>
        <w:spacing w:line="50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33.3 如果成交候选供应商被确认为不具备执行合同的能力，采购人将考虑按同样的程序审查下一个成交候选供应商。</w:t>
      </w:r>
    </w:p>
    <w:p w14:paraId="14FC095C">
      <w:pPr>
        <w:shd w:val="clear"/>
        <w:snapToGrid w:val="0"/>
        <w:spacing w:line="500" w:lineRule="exact"/>
        <w:ind w:firstLine="482"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（三十四）成交通知书</w:t>
      </w:r>
    </w:p>
    <w:p w14:paraId="51F1D454">
      <w:pPr>
        <w:shd w:val="clear"/>
        <w:snapToGrid w:val="0"/>
        <w:spacing w:line="50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34.1 成交结果在原磋商公告发布媒体上发布后，公示期1个工作日，采购人将同时向成交供应商发出成交通知书。</w:t>
      </w:r>
    </w:p>
    <w:p w14:paraId="11E4324D">
      <w:pPr>
        <w:shd w:val="clear"/>
        <w:snapToGrid w:val="0"/>
        <w:spacing w:line="50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34.2 成交人应及时到政府采购人领取成交通知书，成交通知书是签订合同的依据和组成部分。</w:t>
      </w:r>
    </w:p>
    <w:p w14:paraId="61CA5C58">
      <w:pPr>
        <w:shd w:val="clear"/>
        <w:snapToGrid w:val="0"/>
        <w:spacing w:line="500" w:lineRule="exact"/>
        <w:ind w:firstLine="482"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（三十五）签订合同</w:t>
      </w:r>
    </w:p>
    <w:p w14:paraId="2237851F">
      <w:pPr>
        <w:shd w:val="clear"/>
        <w:snapToGrid w:val="0"/>
        <w:spacing w:line="500" w:lineRule="exact"/>
        <w:ind w:firstLine="480" w:firstLineChars="200"/>
        <w:jc w:val="left"/>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35.1 成交供应商应在规定的时间、地点与采购人签订合同，竞争性磋商文件、成交人的磋商响应文件、分次报价及服务承诺文件以及评标过程中有关澄清文件均作为合同附件，</w:t>
      </w:r>
      <w:r>
        <w:rPr>
          <w:rFonts w:hint="eastAsia" w:asciiTheme="minorEastAsia" w:hAnsiTheme="minorEastAsia" w:eastAsiaTheme="minorEastAsia" w:cstheme="minorEastAsia"/>
          <w:bCs/>
          <w:color w:val="auto"/>
          <w:sz w:val="24"/>
          <w:szCs w:val="24"/>
          <w:highlight w:val="none"/>
        </w:rPr>
        <w:t>合同经采购人、成交供应商双方审核盖章后实施。</w:t>
      </w:r>
    </w:p>
    <w:p w14:paraId="39A6FC9F">
      <w:pPr>
        <w:shd w:val="clear"/>
        <w:snapToGrid w:val="0"/>
        <w:spacing w:line="50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35.2 成交供应商无正当理由未在规定时间内与采购人签订合同的或未按磋商文件要求提交履约担保的，采购人有权建议取消其成交资格，并报请监管部门将对其依法处理。</w:t>
      </w:r>
    </w:p>
    <w:p w14:paraId="71094895">
      <w:pPr>
        <w:shd w:val="clear"/>
        <w:snapToGrid w:val="0"/>
        <w:spacing w:line="500" w:lineRule="exact"/>
        <w:ind w:firstLine="482" w:firstLineChars="200"/>
        <w:jc w:val="left"/>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（三十六）政府采购代理服务费和履约保证金</w:t>
      </w:r>
    </w:p>
    <w:p w14:paraId="1208E081">
      <w:pPr>
        <w:shd w:val="clear"/>
        <w:snapToGrid w:val="0"/>
        <w:spacing w:line="50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36.1成交供应商应向政府采购代理机构缴纳代理服务费，</w:t>
      </w:r>
      <w:r>
        <w:rPr>
          <w:rFonts w:hint="eastAsia" w:asciiTheme="minorEastAsia" w:hAnsiTheme="minorEastAsia" w:eastAsiaTheme="minorEastAsia" w:cstheme="minorEastAsia"/>
          <w:bCs/>
          <w:color w:val="auto"/>
          <w:sz w:val="24"/>
          <w:szCs w:val="24"/>
          <w:highlight w:val="none"/>
        </w:rPr>
        <w:t>政府采购代理服务费按</w:t>
      </w:r>
      <w:r>
        <w:rPr>
          <w:rFonts w:hint="eastAsia" w:asciiTheme="minorEastAsia" w:hAnsiTheme="minorEastAsia" w:eastAsiaTheme="minorEastAsia" w:cstheme="minorEastAsia"/>
          <w:color w:val="auto"/>
          <w:sz w:val="24"/>
          <w:szCs w:val="24"/>
          <w:highlight w:val="none"/>
        </w:rPr>
        <w:t>国家发改委计价格[2002]1980号文、</w:t>
      </w:r>
      <w:r>
        <w:rPr>
          <w:rFonts w:hint="eastAsia" w:asciiTheme="minorEastAsia" w:hAnsiTheme="minorEastAsia" w:eastAsiaTheme="minorEastAsia" w:cstheme="minorEastAsia"/>
          <w:color w:val="auto"/>
          <w:sz w:val="24"/>
          <w:highlight w:val="none"/>
        </w:rPr>
        <w:t>发改办价格[2003]857号文计取。</w:t>
      </w:r>
    </w:p>
    <w:p w14:paraId="1F5A9FD8">
      <w:pPr>
        <w:shd w:val="clear"/>
        <w:snapToGrid w:val="0"/>
        <w:spacing w:line="500" w:lineRule="exact"/>
        <w:ind w:left="359" w:leftChars="171"/>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36.2 成交供应商需在签订合同时需按磋商文件要求向采购人提交履约担保。</w:t>
      </w:r>
    </w:p>
    <w:p w14:paraId="71BB250F">
      <w:pPr>
        <w:shd w:val="clear"/>
        <w:snapToGrid w:val="0"/>
        <w:spacing w:line="500" w:lineRule="exact"/>
        <w:ind w:firstLine="200"/>
        <w:jc w:val="center"/>
        <w:outlineLvl w:val="1"/>
        <w:rPr>
          <w:rFonts w:asciiTheme="minorEastAsia" w:hAnsiTheme="minorEastAsia" w:eastAsiaTheme="minorEastAsia" w:cstheme="minorEastAsia"/>
          <w:b/>
          <w:color w:val="auto"/>
          <w:sz w:val="24"/>
          <w:szCs w:val="24"/>
          <w:highlight w:val="none"/>
        </w:rPr>
      </w:pPr>
      <w:bookmarkStart w:id="24" w:name="_Toc6848"/>
      <w:r>
        <w:rPr>
          <w:rFonts w:hint="eastAsia" w:asciiTheme="minorEastAsia" w:hAnsiTheme="minorEastAsia" w:eastAsiaTheme="minorEastAsia" w:cstheme="minorEastAsia"/>
          <w:b/>
          <w:color w:val="auto"/>
          <w:sz w:val="24"/>
          <w:szCs w:val="24"/>
          <w:highlight w:val="none"/>
        </w:rPr>
        <w:t>九、验收及付款</w:t>
      </w:r>
      <w:bookmarkEnd w:id="24"/>
    </w:p>
    <w:p w14:paraId="2CBCA152">
      <w:pPr>
        <w:shd w:val="clear"/>
        <w:snapToGrid w:val="0"/>
        <w:spacing w:line="500" w:lineRule="exact"/>
        <w:ind w:firstLine="482" w:firstLineChars="200"/>
        <w:jc w:val="left"/>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（三十七）验收</w:t>
      </w:r>
    </w:p>
    <w:p w14:paraId="12E272D3">
      <w:pPr>
        <w:shd w:val="clear"/>
        <w:snapToGrid w:val="0"/>
        <w:spacing w:line="50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37.1 采购单位组建验收小组，验收小组由采购单位三人以上组成，按</w:t>
      </w:r>
      <w:r>
        <w:rPr>
          <w:rFonts w:hint="eastAsia" w:asciiTheme="minorEastAsia" w:hAnsiTheme="minorEastAsia" w:eastAsiaTheme="minorEastAsia" w:cstheme="minorEastAsia"/>
          <w:bCs/>
          <w:color w:val="auto"/>
          <w:sz w:val="24"/>
          <w:szCs w:val="24"/>
          <w:highlight w:val="none"/>
        </w:rPr>
        <w:t>采购合同约定的时间组织验收。</w:t>
      </w:r>
    </w:p>
    <w:p w14:paraId="317213DB">
      <w:pPr>
        <w:shd w:val="clear"/>
        <w:snapToGrid w:val="0"/>
        <w:spacing w:line="500" w:lineRule="exact"/>
        <w:ind w:firstLine="482" w:firstLineChars="200"/>
        <w:jc w:val="left"/>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（三十八）项目办结及付款</w:t>
      </w:r>
    </w:p>
    <w:p w14:paraId="523E9209">
      <w:pPr>
        <w:shd w:val="clear"/>
        <w:snapToGrid w:val="0"/>
        <w:spacing w:line="500" w:lineRule="exact"/>
        <w:ind w:firstLine="480" w:firstLineChars="200"/>
        <w:jc w:val="left"/>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rPr>
        <w:t>38.1 采购人凭项目合同、验收报告和提供采购人要求的发票原件后，在合同约定的时间内办理采购款支付手续。</w:t>
      </w:r>
    </w:p>
    <w:p w14:paraId="56062B39">
      <w:pPr>
        <w:shd w:val="clear"/>
        <w:snapToGrid w:val="0"/>
        <w:spacing w:line="500" w:lineRule="exact"/>
        <w:ind w:firstLine="200"/>
        <w:jc w:val="center"/>
        <w:outlineLvl w:val="1"/>
        <w:rPr>
          <w:rFonts w:asciiTheme="minorEastAsia" w:hAnsiTheme="minorEastAsia" w:eastAsiaTheme="minorEastAsia" w:cstheme="minorEastAsia"/>
          <w:b/>
          <w:color w:val="auto"/>
          <w:sz w:val="24"/>
          <w:szCs w:val="24"/>
          <w:highlight w:val="none"/>
        </w:rPr>
      </w:pPr>
      <w:bookmarkStart w:id="25" w:name="_Toc17033"/>
      <w:r>
        <w:rPr>
          <w:rFonts w:hint="eastAsia" w:asciiTheme="minorEastAsia" w:hAnsiTheme="minorEastAsia" w:eastAsiaTheme="minorEastAsia" w:cstheme="minorEastAsia"/>
          <w:b/>
          <w:color w:val="auto"/>
          <w:sz w:val="24"/>
          <w:szCs w:val="24"/>
          <w:highlight w:val="none"/>
        </w:rPr>
        <w:t>十、质疑与投诉</w:t>
      </w:r>
      <w:bookmarkEnd w:id="25"/>
    </w:p>
    <w:p w14:paraId="1668136A">
      <w:pPr>
        <w:shd w:val="clear"/>
        <w:snapToGrid w:val="0"/>
        <w:spacing w:line="500" w:lineRule="exact"/>
        <w:ind w:firstLine="472" w:firstLineChars="196"/>
        <w:outlineLvl w:val="0"/>
        <w:rPr>
          <w:rFonts w:asciiTheme="minorEastAsia" w:hAnsiTheme="minorEastAsia" w:eastAsiaTheme="minorEastAsia" w:cstheme="minorEastAsia"/>
          <w:b/>
          <w:bCs/>
          <w:color w:val="auto"/>
          <w:sz w:val="24"/>
          <w:szCs w:val="24"/>
          <w:highlight w:val="none"/>
        </w:rPr>
      </w:pPr>
      <w:bookmarkStart w:id="26" w:name="_Toc8717"/>
      <w:bookmarkStart w:id="27" w:name="_Toc19410"/>
      <w:r>
        <w:rPr>
          <w:rFonts w:hint="eastAsia" w:asciiTheme="minorEastAsia" w:hAnsiTheme="minorEastAsia" w:eastAsiaTheme="minorEastAsia" w:cstheme="minorEastAsia"/>
          <w:b/>
          <w:bCs/>
          <w:color w:val="auto"/>
          <w:sz w:val="24"/>
          <w:szCs w:val="24"/>
          <w:highlight w:val="none"/>
        </w:rPr>
        <w:t>（三十九）质疑与投诉</w:t>
      </w:r>
      <w:bookmarkEnd w:id="26"/>
      <w:bookmarkEnd w:id="27"/>
    </w:p>
    <w:p w14:paraId="07D7FDB4">
      <w:pPr>
        <w:shd w:val="clear"/>
        <w:snapToGrid w:val="0"/>
        <w:spacing w:line="500" w:lineRule="exact"/>
        <w:ind w:firstLine="482" w:firstLineChars="200"/>
        <w:outlineLvl w:val="0"/>
        <w:rPr>
          <w:rFonts w:asciiTheme="minorEastAsia" w:hAnsiTheme="minorEastAsia" w:eastAsiaTheme="minorEastAsia" w:cstheme="minorEastAsia"/>
          <w:color w:val="auto"/>
          <w:sz w:val="24"/>
          <w:szCs w:val="24"/>
          <w:highlight w:val="none"/>
        </w:rPr>
      </w:pPr>
      <w:bookmarkStart w:id="28" w:name="_Toc25914"/>
      <w:bookmarkStart w:id="29" w:name="_Toc30957"/>
      <w:r>
        <w:rPr>
          <w:rFonts w:hint="eastAsia" w:asciiTheme="minorEastAsia" w:hAnsiTheme="minorEastAsia" w:eastAsiaTheme="minorEastAsia" w:cstheme="minorEastAsia"/>
          <w:b/>
          <w:bCs/>
          <w:color w:val="auto"/>
          <w:sz w:val="24"/>
          <w:szCs w:val="24"/>
          <w:highlight w:val="none"/>
        </w:rPr>
        <w:t>39.1 质疑的提出</w:t>
      </w:r>
      <w:bookmarkEnd w:id="28"/>
      <w:bookmarkEnd w:id="29"/>
    </w:p>
    <w:p w14:paraId="673548D3">
      <w:pPr>
        <w:shd w:val="clear"/>
        <w:snapToGrid w:val="0"/>
        <w:spacing w:line="50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1）供应商认为竞磋文件、招标过程和中标、成交结果使自己的权益受到损害的，可以在知道或者应知其权益受到损害之日起七个工作日内，以书面形式向采购人提出质疑。</w:t>
      </w:r>
    </w:p>
    <w:p w14:paraId="14E993E8">
      <w:pPr>
        <w:shd w:val="clear"/>
        <w:snapToGrid w:val="0"/>
        <w:spacing w:line="50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2）质疑函的必备内容</w:t>
      </w:r>
    </w:p>
    <w:p w14:paraId="7D16B0E8">
      <w:pPr>
        <w:shd w:val="clear"/>
        <w:snapToGrid w:val="0"/>
        <w:spacing w:line="50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①供应商提交的质疑函必须注明单位名称、详细地址、可供查询的单位和法定代表人的电话号码；</w:t>
      </w:r>
    </w:p>
    <w:p w14:paraId="25739A15">
      <w:pPr>
        <w:shd w:val="clear"/>
        <w:snapToGrid w:val="0"/>
        <w:spacing w:line="50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②所参加项目的具体质疑事项及事实依据；</w:t>
      </w:r>
    </w:p>
    <w:p w14:paraId="7573B654">
      <w:pPr>
        <w:shd w:val="clear"/>
        <w:snapToGrid w:val="0"/>
        <w:spacing w:line="50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③提起质疑的日期；</w:t>
      </w:r>
    </w:p>
    <w:p w14:paraId="578B4650">
      <w:pPr>
        <w:shd w:val="clear"/>
        <w:snapToGrid w:val="0"/>
        <w:spacing w:line="50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④质疑函须加盖单位公章和法定代表人签章。</w:t>
      </w:r>
    </w:p>
    <w:p w14:paraId="5C0559B7">
      <w:pPr>
        <w:shd w:val="clear"/>
        <w:snapToGrid w:val="0"/>
        <w:spacing w:line="50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⑤委托代理人递交质疑函的，还须提交委托质疑事项的委托授权书（附法定代表人和被授权人身份证正反面），加盖单位公章和法定代表人签章和被授权人签字，并出示被授权人身份证。</w:t>
      </w:r>
    </w:p>
    <w:p w14:paraId="2D5FC17C">
      <w:pPr>
        <w:shd w:val="clear"/>
        <w:snapToGrid w:val="0"/>
        <w:spacing w:line="50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3）质疑应符合下列条件：</w:t>
      </w:r>
    </w:p>
    <w:p w14:paraId="5EAD92AD">
      <w:pPr>
        <w:shd w:val="clear"/>
        <w:snapToGrid w:val="0"/>
        <w:spacing w:line="50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①质疑人是参与所质疑项目的招标活动供应商；</w:t>
      </w:r>
    </w:p>
    <w:p w14:paraId="1BFB0781">
      <w:pPr>
        <w:shd w:val="clear"/>
        <w:snapToGrid w:val="0"/>
        <w:spacing w:line="50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②质疑函内容符合相关的规定；</w:t>
      </w:r>
    </w:p>
    <w:p w14:paraId="674928F3">
      <w:pPr>
        <w:shd w:val="clear"/>
        <w:snapToGrid w:val="0"/>
        <w:spacing w:line="50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③在规定的有效期限内提起质疑；</w:t>
      </w:r>
    </w:p>
    <w:p w14:paraId="31B889C2">
      <w:pPr>
        <w:shd w:val="clear"/>
        <w:snapToGrid w:val="0"/>
        <w:spacing w:line="50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④招投标监管部门规定的其他条件。</w:t>
      </w:r>
    </w:p>
    <w:p w14:paraId="6789FF72">
      <w:pPr>
        <w:shd w:val="clear"/>
        <w:snapToGrid w:val="0"/>
        <w:spacing w:line="50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4）采购人在收到供应商的书面质疑后七个工作日内作出答复，并以书面形式通知质疑供应商和其他有关供应商，但答复的内容不涉及商业秘密。</w:t>
      </w:r>
    </w:p>
    <w:p w14:paraId="51C99D95">
      <w:pPr>
        <w:shd w:val="clear"/>
        <w:snapToGrid w:val="0"/>
        <w:spacing w:line="50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提出质疑的供应商对答复不满意的，可以在答复期满后十五个工作日内向同级政府招标监督管理部门投诉。政府招标监督管理部门应当在收到投诉三十个工作日内，对投诉事项作出处理决定，并以书面形式通知投诉人和与投诉事项相关的当事人。</w:t>
      </w:r>
    </w:p>
    <w:p w14:paraId="5E10A697">
      <w:pPr>
        <w:shd w:val="clear"/>
        <w:snapToGrid w:val="0"/>
        <w:spacing w:line="500" w:lineRule="exact"/>
        <w:jc w:val="left"/>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附表一</w:t>
      </w:r>
    </w:p>
    <w:p w14:paraId="5E858A68">
      <w:pPr>
        <w:shd w:val="clear"/>
        <w:snapToGrid w:val="0"/>
        <w:spacing w:line="440" w:lineRule="exact"/>
        <w:jc w:val="center"/>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质 疑 书</w:t>
      </w:r>
    </w:p>
    <w:p w14:paraId="5218967B">
      <w:pPr>
        <w:shd w:val="clear"/>
        <w:snapToGrid w:val="0"/>
        <w:spacing w:line="440" w:lineRule="exact"/>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(政府采购代理机构名称)：</w:t>
      </w:r>
    </w:p>
    <w:p w14:paraId="72134DD6">
      <w:pPr>
        <w:shd w:val="clear"/>
        <w:snapToGrid w:val="0"/>
        <w:spacing w:line="440" w:lineRule="exact"/>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依据《中华人民共和国政府采购法》第五十二条规定，认为</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项目的采购活动中有几个内容损害了我公司的权益，现以书面原件形式提出质疑。并根据《中华人民共和国政府采购法实施条例》第五十五条规定，提出以下请求和提供必要的证明材料。质疑的事实和理由：</w:t>
      </w:r>
    </w:p>
    <w:p w14:paraId="3F2C802B">
      <w:pPr>
        <w:shd w:val="clear"/>
        <w:snapToGrid w:val="0"/>
        <w:spacing w:line="440" w:lineRule="exact"/>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w:t>
      </w:r>
      <w:r>
        <w:rPr>
          <w:rFonts w:hint="eastAsia" w:asciiTheme="minorEastAsia" w:hAnsiTheme="minorEastAsia" w:eastAsiaTheme="minorEastAsia" w:cstheme="minorEastAsia"/>
          <w:bCs/>
          <w:color w:val="auto"/>
          <w:sz w:val="24"/>
          <w:szCs w:val="24"/>
          <w:highlight w:val="none"/>
          <w:u w:val="single"/>
        </w:rPr>
        <w:t xml:space="preserve">  (事宜经过)            </w:t>
      </w:r>
      <w:r>
        <w:rPr>
          <w:rFonts w:hint="eastAsia" w:asciiTheme="minorEastAsia" w:hAnsiTheme="minorEastAsia" w:eastAsiaTheme="minorEastAsia" w:cstheme="minorEastAsia"/>
          <w:bCs/>
          <w:color w:val="auto"/>
          <w:sz w:val="24"/>
          <w:szCs w:val="24"/>
          <w:highlight w:val="none"/>
        </w:rPr>
        <w:t>；2、</w:t>
      </w:r>
      <w:r>
        <w:rPr>
          <w:rFonts w:hint="eastAsia" w:asciiTheme="minorEastAsia" w:hAnsiTheme="minorEastAsia" w:eastAsiaTheme="minorEastAsia" w:cstheme="minorEastAsia"/>
          <w:bCs/>
          <w:color w:val="auto"/>
          <w:sz w:val="24"/>
          <w:szCs w:val="24"/>
          <w:highlight w:val="none"/>
          <w:u w:val="single"/>
        </w:rPr>
        <w:t xml:space="preserve">  (事宜经过)            </w:t>
      </w:r>
      <w:r>
        <w:rPr>
          <w:rFonts w:hint="eastAsia" w:asciiTheme="minorEastAsia" w:hAnsiTheme="minorEastAsia" w:eastAsiaTheme="minorEastAsia" w:cstheme="minorEastAsia"/>
          <w:bCs/>
          <w:color w:val="auto"/>
          <w:sz w:val="24"/>
          <w:szCs w:val="24"/>
          <w:highlight w:val="none"/>
        </w:rPr>
        <w:t>；……</w:t>
      </w:r>
    </w:p>
    <w:p w14:paraId="050A3E01">
      <w:pPr>
        <w:shd w:val="clear"/>
        <w:snapToGrid w:val="0"/>
        <w:spacing w:line="440" w:lineRule="exact"/>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我们认为，以上几项，违背了政府采购法规的有关规定，其中第1项</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违背《</w:t>
      </w:r>
      <w:r>
        <w:rPr>
          <w:rFonts w:hint="eastAsia" w:asciiTheme="minorEastAsia" w:hAnsiTheme="minorEastAsia" w:eastAsiaTheme="minorEastAsia" w:cstheme="minorEastAsia"/>
          <w:bCs/>
          <w:color w:val="auto"/>
          <w:sz w:val="24"/>
          <w:szCs w:val="24"/>
          <w:highlight w:val="none"/>
          <w:u w:val="single"/>
        </w:rPr>
        <w:t xml:space="preserve">           法</w:t>
      </w:r>
      <w:r>
        <w:rPr>
          <w:rFonts w:hint="eastAsia" w:asciiTheme="minorEastAsia" w:hAnsiTheme="minorEastAsia" w:eastAsiaTheme="minorEastAsia" w:cstheme="minorEastAsia"/>
          <w:bCs/>
          <w:color w:val="auto"/>
          <w:sz w:val="24"/>
          <w:szCs w:val="24"/>
          <w:highlight w:val="none"/>
        </w:rPr>
        <w:t>》第</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条的“</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”规定，第2项</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违背《</w:t>
      </w:r>
      <w:r>
        <w:rPr>
          <w:rFonts w:hint="eastAsia" w:asciiTheme="minorEastAsia" w:hAnsiTheme="minorEastAsia" w:eastAsiaTheme="minorEastAsia" w:cstheme="minorEastAsia"/>
          <w:bCs/>
          <w:color w:val="auto"/>
          <w:sz w:val="24"/>
          <w:szCs w:val="24"/>
          <w:highlight w:val="none"/>
          <w:u w:val="single"/>
        </w:rPr>
        <w:t xml:space="preserve">              法</w:t>
      </w:r>
      <w:r>
        <w:rPr>
          <w:rFonts w:hint="eastAsia" w:asciiTheme="minorEastAsia" w:hAnsiTheme="minorEastAsia" w:eastAsiaTheme="minorEastAsia" w:cstheme="minorEastAsia"/>
          <w:bCs/>
          <w:color w:val="auto"/>
          <w:sz w:val="24"/>
          <w:szCs w:val="24"/>
          <w:highlight w:val="none"/>
        </w:rPr>
        <w:t>》第</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条的规定，请予审查纠正为盼。</w:t>
      </w:r>
    </w:p>
    <w:p w14:paraId="37E20F8B">
      <w:pPr>
        <w:shd w:val="clear"/>
        <w:snapToGrid w:val="0"/>
        <w:spacing w:line="440" w:lineRule="exact"/>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 xml:space="preserve">                             质疑人(全称并加</w:t>
      </w:r>
      <w:r>
        <w:rPr>
          <w:rFonts w:hint="eastAsia" w:asciiTheme="minorEastAsia" w:hAnsiTheme="minorEastAsia" w:eastAsiaTheme="minorEastAsia" w:cstheme="minorEastAsia"/>
          <w:bCs/>
          <w:color w:val="auto"/>
          <w:sz w:val="24"/>
          <w:szCs w:val="24"/>
          <w:highlight w:val="none"/>
          <w:u w:val="single"/>
        </w:rPr>
        <w:t>盖</w:t>
      </w:r>
      <w:r>
        <w:rPr>
          <w:rFonts w:hint="eastAsia" w:asciiTheme="minorEastAsia" w:hAnsiTheme="minorEastAsia" w:eastAsiaTheme="minorEastAsia" w:cstheme="minorEastAsia"/>
          <w:bCs/>
          <w:color w:val="auto"/>
          <w:sz w:val="24"/>
          <w:szCs w:val="24"/>
          <w:highlight w:val="none"/>
        </w:rPr>
        <w:t>公章)：</w:t>
      </w:r>
      <w:r>
        <w:rPr>
          <w:rFonts w:hint="eastAsia" w:asciiTheme="minorEastAsia" w:hAnsiTheme="minorEastAsia" w:eastAsiaTheme="minorEastAsia" w:cstheme="minorEastAsia"/>
          <w:bCs/>
          <w:color w:val="auto"/>
          <w:sz w:val="24"/>
          <w:szCs w:val="24"/>
          <w:highlight w:val="none"/>
          <w:u w:val="single"/>
        </w:rPr>
        <w:t xml:space="preserve">          </w:t>
      </w:r>
    </w:p>
    <w:p w14:paraId="4AA72F7C">
      <w:pPr>
        <w:shd w:val="clear"/>
        <w:snapToGrid w:val="0"/>
        <w:spacing w:line="440" w:lineRule="exact"/>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 xml:space="preserve">                             法定代表人签字：</w:t>
      </w:r>
      <w:r>
        <w:rPr>
          <w:rFonts w:hint="eastAsia" w:asciiTheme="minorEastAsia" w:hAnsiTheme="minorEastAsia" w:eastAsiaTheme="minorEastAsia" w:cstheme="minorEastAsia"/>
          <w:bCs/>
          <w:color w:val="auto"/>
          <w:sz w:val="24"/>
          <w:szCs w:val="24"/>
          <w:highlight w:val="none"/>
          <w:u w:val="single"/>
        </w:rPr>
        <w:t xml:space="preserve">          </w:t>
      </w:r>
    </w:p>
    <w:p w14:paraId="485998CA">
      <w:pPr>
        <w:shd w:val="clear"/>
        <w:snapToGrid w:val="0"/>
        <w:spacing w:line="440" w:lineRule="exact"/>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 xml:space="preserve">                             委托人签字：</w:t>
      </w:r>
      <w:r>
        <w:rPr>
          <w:rFonts w:hint="eastAsia" w:asciiTheme="minorEastAsia" w:hAnsiTheme="minorEastAsia" w:eastAsiaTheme="minorEastAsia" w:cstheme="minorEastAsia"/>
          <w:bCs/>
          <w:color w:val="auto"/>
          <w:sz w:val="24"/>
          <w:szCs w:val="24"/>
          <w:highlight w:val="none"/>
          <w:u w:val="single"/>
        </w:rPr>
        <w:t xml:space="preserve">          </w:t>
      </w:r>
    </w:p>
    <w:p w14:paraId="0C3D85E1">
      <w:pPr>
        <w:shd w:val="clear"/>
        <w:snapToGrid w:val="0"/>
        <w:spacing w:line="440" w:lineRule="exact"/>
        <w:rPr>
          <w:rFonts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 xml:space="preserve">                             地址：</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联系电话：</w:t>
      </w:r>
      <w:r>
        <w:rPr>
          <w:rFonts w:hint="eastAsia" w:asciiTheme="minorEastAsia" w:hAnsiTheme="minorEastAsia" w:eastAsiaTheme="minorEastAsia" w:cstheme="minorEastAsia"/>
          <w:bCs/>
          <w:color w:val="auto"/>
          <w:sz w:val="24"/>
          <w:szCs w:val="24"/>
          <w:highlight w:val="none"/>
          <w:u w:val="single"/>
        </w:rPr>
        <w:t xml:space="preserve">     </w:t>
      </w:r>
    </w:p>
    <w:p w14:paraId="0CD52465">
      <w:pPr>
        <w:shd w:val="clear"/>
        <w:snapToGrid w:val="0"/>
        <w:spacing w:line="440" w:lineRule="exact"/>
        <w:rPr>
          <w:rFonts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 xml:space="preserve">                             邮编：</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传真：</w:t>
      </w:r>
      <w:r>
        <w:rPr>
          <w:rFonts w:hint="eastAsia" w:asciiTheme="minorEastAsia" w:hAnsiTheme="minorEastAsia" w:eastAsiaTheme="minorEastAsia" w:cstheme="minorEastAsia"/>
          <w:bCs/>
          <w:color w:val="auto"/>
          <w:sz w:val="24"/>
          <w:szCs w:val="24"/>
          <w:highlight w:val="none"/>
          <w:u w:val="single"/>
        </w:rPr>
        <w:t xml:space="preserve">         </w:t>
      </w:r>
    </w:p>
    <w:p w14:paraId="44064739">
      <w:pPr>
        <w:shd w:val="clear"/>
        <w:snapToGrid w:val="0"/>
        <w:spacing w:line="440" w:lineRule="exact"/>
        <w:rPr>
          <w:rFonts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 xml:space="preserve">                             日期：</w:t>
      </w:r>
      <w:r>
        <w:rPr>
          <w:rFonts w:hint="eastAsia" w:asciiTheme="minorEastAsia" w:hAnsiTheme="minorEastAsia" w:eastAsiaTheme="minorEastAsia" w:cstheme="minorEastAsia"/>
          <w:bCs/>
          <w:color w:val="auto"/>
          <w:sz w:val="24"/>
          <w:szCs w:val="24"/>
          <w:highlight w:val="none"/>
          <w:u w:val="single"/>
        </w:rPr>
        <w:t xml:space="preserve">                     </w:t>
      </w:r>
    </w:p>
    <w:p w14:paraId="6E52003F">
      <w:pPr>
        <w:shd w:val="clear"/>
        <w:snapToGrid w:val="0"/>
        <w:spacing w:line="440" w:lineRule="exact"/>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注：质疑人提供的资料应包括但不限于以下内容：</w:t>
      </w:r>
    </w:p>
    <w:p w14:paraId="5DA25D06">
      <w:pPr>
        <w:shd w:val="clear"/>
        <w:snapToGrid w:val="0"/>
        <w:spacing w:line="440" w:lineRule="exact"/>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1、加盖供应商单位公章法定代表人授权书；</w:t>
      </w:r>
    </w:p>
    <w:p w14:paraId="4898DD5B">
      <w:pPr>
        <w:shd w:val="clear"/>
        <w:snapToGrid w:val="0"/>
        <w:spacing w:line="440" w:lineRule="exac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2、明确的请求和供应商单位加盖公章证明材料。</w:t>
      </w:r>
    </w:p>
    <w:p w14:paraId="4DBB6A6F">
      <w:pPr>
        <w:shd w:val="clear"/>
        <w:snapToGrid w:val="0"/>
        <w:spacing w:line="440" w:lineRule="exact"/>
        <w:rPr>
          <w:rFonts w:asciiTheme="minorEastAsia" w:hAnsiTheme="minorEastAsia" w:eastAsiaTheme="minorEastAsia" w:cstheme="minorEastAsia"/>
          <w:b/>
          <w:color w:val="auto"/>
          <w:sz w:val="24"/>
          <w:szCs w:val="24"/>
          <w:highlight w:val="none"/>
        </w:rPr>
      </w:pPr>
    </w:p>
    <w:p w14:paraId="02F951AC">
      <w:pPr>
        <w:shd w:val="clear"/>
        <w:snapToGrid w:val="0"/>
        <w:spacing w:line="440" w:lineRule="exact"/>
        <w:rPr>
          <w:rFonts w:asciiTheme="minorEastAsia" w:hAnsiTheme="minorEastAsia" w:eastAsiaTheme="minorEastAsia" w:cstheme="minorEastAsia"/>
          <w:b/>
          <w:color w:val="auto"/>
          <w:sz w:val="24"/>
          <w:szCs w:val="24"/>
          <w:highlight w:val="none"/>
        </w:rPr>
      </w:pPr>
    </w:p>
    <w:p w14:paraId="49916F3C">
      <w:pPr>
        <w:shd w:val="clear"/>
        <w:snapToGrid w:val="0"/>
        <w:spacing w:line="440" w:lineRule="exact"/>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r>
        <w:rPr>
          <w:rFonts w:hint="eastAsia" w:asciiTheme="minorEastAsia" w:hAnsiTheme="minorEastAsia" w:eastAsiaTheme="minorEastAsia" w:cstheme="minorEastAsia"/>
          <w:b/>
          <w:color w:val="auto"/>
          <w:sz w:val="24"/>
          <w:szCs w:val="24"/>
          <w:highlight w:val="none"/>
        </w:rPr>
        <w:t>附表二</w:t>
      </w:r>
    </w:p>
    <w:p w14:paraId="4B2C3274">
      <w:pPr>
        <w:shd w:val="clear"/>
        <w:snapToGrid w:val="0"/>
        <w:spacing w:line="440" w:lineRule="exact"/>
        <w:ind w:firstLine="482" w:firstLineChars="200"/>
        <w:jc w:val="center"/>
        <w:outlineLvl w:val="0"/>
        <w:rPr>
          <w:rFonts w:asciiTheme="minorEastAsia" w:hAnsiTheme="minorEastAsia" w:eastAsiaTheme="minorEastAsia" w:cstheme="minorEastAsia"/>
          <w:color w:val="auto"/>
          <w:sz w:val="24"/>
          <w:szCs w:val="24"/>
          <w:highlight w:val="none"/>
        </w:rPr>
      </w:pPr>
      <w:bookmarkStart w:id="30" w:name="_Toc16258"/>
      <w:bookmarkStart w:id="31" w:name="_Toc5031"/>
      <w:r>
        <w:rPr>
          <w:rFonts w:hint="eastAsia" w:asciiTheme="minorEastAsia" w:hAnsiTheme="minorEastAsia" w:eastAsiaTheme="minorEastAsia" w:cstheme="minorEastAsia"/>
          <w:b/>
          <w:bCs/>
          <w:color w:val="auto"/>
          <w:sz w:val="24"/>
          <w:szCs w:val="24"/>
          <w:highlight w:val="none"/>
        </w:rPr>
        <w:t>质疑内容</w:t>
      </w:r>
      <w:bookmarkEnd w:id="30"/>
      <w:bookmarkEnd w:id="31"/>
    </w:p>
    <w:tbl>
      <w:tblPr>
        <w:tblStyle w:val="28"/>
        <w:tblW w:w="8647" w:type="dxa"/>
        <w:jc w:val="center"/>
        <w:tblLayout w:type="fixed"/>
        <w:tblCellMar>
          <w:top w:w="0" w:type="dxa"/>
          <w:left w:w="0" w:type="dxa"/>
          <w:bottom w:w="0" w:type="dxa"/>
          <w:right w:w="0" w:type="dxa"/>
        </w:tblCellMar>
      </w:tblPr>
      <w:tblGrid>
        <w:gridCol w:w="936"/>
        <w:gridCol w:w="905"/>
        <w:gridCol w:w="6806"/>
      </w:tblGrid>
      <w:tr w14:paraId="7D7E656D">
        <w:tblPrEx>
          <w:tblCellMar>
            <w:top w:w="0" w:type="dxa"/>
            <w:left w:w="0" w:type="dxa"/>
            <w:bottom w:w="0" w:type="dxa"/>
            <w:right w:w="0" w:type="dxa"/>
          </w:tblCellMar>
        </w:tblPrEx>
        <w:trPr>
          <w:trHeight w:val="567" w:hRule="atLeast"/>
          <w:jc w:val="center"/>
        </w:trPr>
        <w:tc>
          <w:tcPr>
            <w:tcW w:w="1841"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D6D2D62">
            <w:pPr>
              <w:shd w:val="clear"/>
              <w:snapToGrid w:val="0"/>
              <w:spacing w:line="440" w:lineRule="exact"/>
              <w:ind w:firstLine="480" w:firstLineChars="200"/>
              <w:outlineLvl w:val="0"/>
              <w:rPr>
                <w:rFonts w:asciiTheme="minorEastAsia" w:hAnsiTheme="minorEastAsia" w:eastAsiaTheme="minorEastAsia" w:cstheme="minorEastAsia"/>
                <w:color w:val="auto"/>
                <w:sz w:val="24"/>
                <w:szCs w:val="24"/>
                <w:highlight w:val="none"/>
              </w:rPr>
            </w:pPr>
            <w:bookmarkStart w:id="32" w:name="_Toc2338"/>
            <w:bookmarkStart w:id="33" w:name="_Toc21078"/>
            <w:r>
              <w:rPr>
                <w:rFonts w:hint="eastAsia" w:asciiTheme="minorEastAsia" w:hAnsiTheme="minorEastAsia" w:eastAsiaTheme="minorEastAsia" w:cstheme="minorEastAsia"/>
                <w:color w:val="auto"/>
                <w:sz w:val="24"/>
                <w:szCs w:val="24"/>
                <w:highlight w:val="none"/>
              </w:rPr>
              <w:t>项目名称</w:t>
            </w:r>
            <w:bookmarkEnd w:id="32"/>
            <w:bookmarkEnd w:id="33"/>
          </w:p>
        </w:tc>
        <w:tc>
          <w:tcPr>
            <w:tcW w:w="68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6F8FE27">
            <w:pPr>
              <w:shd w:val="clear"/>
              <w:snapToGrid w:val="0"/>
              <w:spacing w:line="44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tc>
      </w:tr>
      <w:tr w14:paraId="4ABC54A1">
        <w:tblPrEx>
          <w:tblCellMar>
            <w:top w:w="0" w:type="dxa"/>
            <w:left w:w="0" w:type="dxa"/>
            <w:bottom w:w="0" w:type="dxa"/>
            <w:right w:w="0" w:type="dxa"/>
          </w:tblCellMar>
        </w:tblPrEx>
        <w:trPr>
          <w:trHeight w:val="567" w:hRule="atLeast"/>
          <w:jc w:val="center"/>
        </w:trPr>
        <w:tc>
          <w:tcPr>
            <w:tcW w:w="184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F600BDD">
            <w:pPr>
              <w:shd w:val="clear"/>
              <w:snapToGrid w:val="0"/>
              <w:spacing w:line="440" w:lineRule="exact"/>
              <w:ind w:firstLine="480" w:firstLineChars="200"/>
              <w:outlineLvl w:val="0"/>
              <w:rPr>
                <w:rFonts w:asciiTheme="minorEastAsia" w:hAnsiTheme="minorEastAsia" w:eastAsiaTheme="minorEastAsia" w:cstheme="minorEastAsia"/>
                <w:color w:val="auto"/>
                <w:sz w:val="24"/>
                <w:szCs w:val="24"/>
                <w:highlight w:val="none"/>
              </w:rPr>
            </w:pPr>
            <w:bookmarkStart w:id="34" w:name="_Toc19856"/>
            <w:bookmarkStart w:id="35" w:name="_Toc5211"/>
            <w:r>
              <w:rPr>
                <w:rFonts w:hint="eastAsia" w:asciiTheme="minorEastAsia" w:hAnsiTheme="minorEastAsia" w:eastAsiaTheme="minorEastAsia" w:cstheme="minorEastAsia"/>
                <w:color w:val="auto"/>
                <w:sz w:val="24"/>
                <w:szCs w:val="24"/>
                <w:highlight w:val="none"/>
              </w:rPr>
              <w:t>采购项目编号</w:t>
            </w:r>
            <w:bookmarkEnd w:id="34"/>
            <w:bookmarkEnd w:id="35"/>
          </w:p>
        </w:tc>
        <w:tc>
          <w:tcPr>
            <w:tcW w:w="6806" w:type="dxa"/>
            <w:tcBorders>
              <w:top w:val="nil"/>
              <w:left w:val="nil"/>
              <w:bottom w:val="single" w:color="auto" w:sz="8" w:space="0"/>
              <w:right w:val="single" w:color="auto" w:sz="8" w:space="0"/>
            </w:tcBorders>
            <w:tcMar>
              <w:top w:w="0" w:type="dxa"/>
              <w:left w:w="108" w:type="dxa"/>
              <w:bottom w:w="0" w:type="dxa"/>
              <w:right w:w="108" w:type="dxa"/>
            </w:tcMar>
            <w:vAlign w:val="center"/>
          </w:tcPr>
          <w:p w14:paraId="628FB37B">
            <w:pPr>
              <w:shd w:val="clear"/>
              <w:snapToGrid w:val="0"/>
              <w:spacing w:line="44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tc>
      </w:tr>
      <w:tr w14:paraId="5482138F">
        <w:tblPrEx>
          <w:tblCellMar>
            <w:top w:w="0" w:type="dxa"/>
            <w:left w:w="0" w:type="dxa"/>
            <w:bottom w:w="0" w:type="dxa"/>
            <w:right w:w="0" w:type="dxa"/>
          </w:tblCellMar>
        </w:tblPrEx>
        <w:trPr>
          <w:cantSplit/>
          <w:trHeight w:val="3879" w:hRule="atLeast"/>
          <w:jc w:val="center"/>
        </w:trPr>
        <w:tc>
          <w:tcPr>
            <w:tcW w:w="9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ADA5984">
            <w:pPr>
              <w:shd w:val="clear"/>
              <w:snapToGrid w:val="0"/>
              <w:spacing w:line="440" w:lineRule="exact"/>
              <w:ind w:firstLine="480" w:firstLineChars="200"/>
              <w:outlineLvl w:val="0"/>
              <w:rPr>
                <w:rFonts w:asciiTheme="minorEastAsia" w:hAnsiTheme="minorEastAsia" w:eastAsiaTheme="minorEastAsia" w:cstheme="minorEastAsia"/>
                <w:color w:val="auto"/>
                <w:sz w:val="24"/>
                <w:szCs w:val="24"/>
                <w:highlight w:val="none"/>
              </w:rPr>
            </w:pPr>
            <w:bookmarkStart w:id="36" w:name="_Toc9705"/>
            <w:bookmarkStart w:id="37" w:name="_Toc19055"/>
            <w:r>
              <w:rPr>
                <w:rFonts w:hint="eastAsia" w:asciiTheme="minorEastAsia" w:hAnsiTheme="minorEastAsia" w:eastAsiaTheme="minorEastAsia" w:cstheme="minorEastAsia"/>
                <w:color w:val="auto"/>
                <w:sz w:val="24"/>
                <w:szCs w:val="24"/>
                <w:highlight w:val="none"/>
              </w:rPr>
              <w:t>具体的质疑事项及事实依据</w:t>
            </w:r>
            <w:bookmarkEnd w:id="36"/>
            <w:bookmarkEnd w:id="37"/>
          </w:p>
        </w:tc>
        <w:tc>
          <w:tcPr>
            <w:tcW w:w="7711" w:type="dxa"/>
            <w:gridSpan w:val="2"/>
            <w:tcBorders>
              <w:top w:val="nil"/>
              <w:left w:val="nil"/>
              <w:bottom w:val="single" w:color="auto" w:sz="8" w:space="0"/>
              <w:right w:val="single" w:color="auto" w:sz="8" w:space="0"/>
            </w:tcBorders>
            <w:tcMar>
              <w:top w:w="0" w:type="dxa"/>
              <w:left w:w="108" w:type="dxa"/>
              <w:bottom w:w="0" w:type="dxa"/>
              <w:right w:w="108" w:type="dxa"/>
            </w:tcMar>
          </w:tcPr>
          <w:p w14:paraId="2CE41980">
            <w:pPr>
              <w:shd w:val="clear"/>
              <w:snapToGrid w:val="0"/>
              <w:spacing w:line="276" w:lineRule="auto"/>
              <w:ind w:firstLine="482" w:firstLineChars="200"/>
              <w:outlineLvl w:val="0"/>
              <w:rPr>
                <w:rFonts w:asciiTheme="minorEastAsia" w:hAnsiTheme="minorEastAsia" w:eastAsiaTheme="minorEastAsia" w:cstheme="minorEastAsia"/>
                <w:color w:val="auto"/>
                <w:sz w:val="24"/>
                <w:szCs w:val="24"/>
                <w:highlight w:val="none"/>
              </w:rPr>
            </w:pPr>
            <w:bookmarkStart w:id="38" w:name="_Toc13573"/>
            <w:bookmarkStart w:id="39" w:name="_Toc11039"/>
            <w:r>
              <w:rPr>
                <w:rFonts w:hint="eastAsia" w:asciiTheme="minorEastAsia" w:hAnsiTheme="minorEastAsia" w:eastAsiaTheme="minorEastAsia" w:cstheme="minorEastAsia"/>
                <w:b/>
                <w:bCs/>
                <w:color w:val="auto"/>
                <w:sz w:val="24"/>
                <w:szCs w:val="24"/>
                <w:highlight w:val="none"/>
              </w:rPr>
              <w:t>一、质疑事项1：</w:t>
            </w:r>
            <w:bookmarkEnd w:id="38"/>
            <w:bookmarkEnd w:id="39"/>
          </w:p>
          <w:p w14:paraId="3A7DE074">
            <w:pPr>
              <w:shd w:val="clear"/>
              <w:snapToGrid w:val="0"/>
              <w:spacing w:line="276" w:lineRule="auto"/>
              <w:ind w:firstLine="480" w:firstLineChars="200"/>
              <w:outlineLvl w:val="0"/>
              <w:rPr>
                <w:rFonts w:asciiTheme="minorEastAsia" w:hAnsiTheme="minorEastAsia" w:eastAsiaTheme="minorEastAsia" w:cstheme="minorEastAsia"/>
                <w:color w:val="auto"/>
                <w:sz w:val="24"/>
                <w:szCs w:val="24"/>
                <w:highlight w:val="none"/>
              </w:rPr>
            </w:pPr>
            <w:bookmarkStart w:id="40" w:name="_Toc25614"/>
            <w:bookmarkStart w:id="41" w:name="_Toc23129"/>
            <w:r>
              <w:rPr>
                <w:rFonts w:hint="eastAsia" w:asciiTheme="minorEastAsia" w:hAnsiTheme="minorEastAsia" w:eastAsiaTheme="minorEastAsia" w:cstheme="minorEastAsia"/>
                <w:color w:val="auto"/>
                <w:sz w:val="24"/>
                <w:szCs w:val="24"/>
                <w:highlight w:val="none"/>
              </w:rPr>
              <w:t>主要内容：</w:t>
            </w:r>
            <w:bookmarkEnd w:id="40"/>
            <w:bookmarkEnd w:id="41"/>
          </w:p>
          <w:p w14:paraId="0E3CE913">
            <w:pPr>
              <w:shd w:val="clear"/>
              <w:snapToGrid w:val="0"/>
              <w:spacing w:line="276" w:lineRule="auto"/>
              <w:ind w:firstLine="480" w:firstLineChars="200"/>
              <w:outlineLvl w:val="0"/>
              <w:rPr>
                <w:rFonts w:asciiTheme="minorEastAsia" w:hAnsiTheme="minorEastAsia" w:eastAsiaTheme="minorEastAsia" w:cstheme="minorEastAsia"/>
                <w:color w:val="auto"/>
                <w:sz w:val="24"/>
                <w:szCs w:val="24"/>
                <w:highlight w:val="none"/>
              </w:rPr>
            </w:pPr>
            <w:bookmarkStart w:id="42" w:name="_Toc2762"/>
            <w:bookmarkStart w:id="43" w:name="_Toc4921"/>
            <w:r>
              <w:rPr>
                <w:rFonts w:hint="eastAsia" w:asciiTheme="minorEastAsia" w:hAnsiTheme="minorEastAsia" w:eastAsiaTheme="minorEastAsia" w:cstheme="minorEastAsia"/>
                <w:color w:val="auto"/>
                <w:sz w:val="24"/>
                <w:szCs w:val="24"/>
                <w:highlight w:val="none"/>
              </w:rPr>
              <w:t>事实依据：</w:t>
            </w:r>
            <w:bookmarkEnd w:id="42"/>
            <w:bookmarkEnd w:id="43"/>
          </w:p>
          <w:p w14:paraId="28509772">
            <w:pPr>
              <w:shd w:val="clear"/>
              <w:snapToGrid w:val="0"/>
              <w:spacing w:line="276" w:lineRule="auto"/>
              <w:ind w:firstLine="480" w:firstLineChars="200"/>
              <w:outlineLvl w:val="0"/>
              <w:rPr>
                <w:rFonts w:asciiTheme="minorEastAsia" w:hAnsiTheme="minorEastAsia" w:eastAsiaTheme="minorEastAsia" w:cstheme="minorEastAsia"/>
                <w:color w:val="auto"/>
                <w:sz w:val="24"/>
                <w:szCs w:val="24"/>
                <w:highlight w:val="none"/>
              </w:rPr>
            </w:pPr>
            <w:bookmarkStart w:id="44" w:name="_Toc24639"/>
            <w:bookmarkStart w:id="45" w:name="_Toc9636"/>
            <w:r>
              <w:rPr>
                <w:rFonts w:hint="eastAsia" w:asciiTheme="minorEastAsia" w:hAnsiTheme="minorEastAsia" w:eastAsiaTheme="minorEastAsia" w:cstheme="minorEastAsia"/>
                <w:color w:val="auto"/>
                <w:sz w:val="24"/>
                <w:szCs w:val="24"/>
                <w:highlight w:val="none"/>
              </w:rPr>
              <w:t>适应法规条款：</w:t>
            </w:r>
            <w:bookmarkEnd w:id="44"/>
            <w:bookmarkEnd w:id="45"/>
          </w:p>
          <w:p w14:paraId="4576F95D">
            <w:pPr>
              <w:shd w:val="clear"/>
              <w:snapToGrid w:val="0"/>
              <w:spacing w:line="276" w:lineRule="auto"/>
              <w:ind w:firstLine="480" w:firstLineChars="200"/>
              <w:outlineLvl w:val="0"/>
              <w:rPr>
                <w:rFonts w:asciiTheme="minorEastAsia" w:hAnsiTheme="minorEastAsia" w:eastAsiaTheme="minorEastAsia" w:cstheme="minorEastAsia"/>
                <w:color w:val="auto"/>
                <w:sz w:val="24"/>
                <w:szCs w:val="24"/>
                <w:highlight w:val="none"/>
              </w:rPr>
            </w:pPr>
            <w:bookmarkStart w:id="46" w:name="_Toc4949"/>
            <w:bookmarkStart w:id="47" w:name="_Toc17715"/>
            <w:r>
              <w:rPr>
                <w:rFonts w:hint="eastAsia" w:asciiTheme="minorEastAsia" w:hAnsiTheme="minorEastAsia" w:eastAsiaTheme="minorEastAsia" w:cstheme="minorEastAsia"/>
                <w:color w:val="auto"/>
                <w:sz w:val="24"/>
                <w:szCs w:val="24"/>
                <w:highlight w:val="none"/>
              </w:rPr>
              <w:t>佐证材料：</w:t>
            </w:r>
            <w:bookmarkEnd w:id="46"/>
            <w:bookmarkEnd w:id="47"/>
          </w:p>
          <w:p w14:paraId="4AB31D9A">
            <w:pPr>
              <w:shd w:val="clear"/>
              <w:snapToGrid w:val="0"/>
              <w:spacing w:line="276" w:lineRule="auto"/>
              <w:ind w:firstLine="482" w:firstLineChars="200"/>
              <w:outlineLvl w:val="0"/>
              <w:rPr>
                <w:rFonts w:asciiTheme="minorEastAsia" w:hAnsiTheme="minorEastAsia" w:eastAsiaTheme="minorEastAsia" w:cstheme="minorEastAsia"/>
                <w:color w:val="auto"/>
                <w:sz w:val="24"/>
                <w:szCs w:val="24"/>
                <w:highlight w:val="none"/>
              </w:rPr>
            </w:pPr>
            <w:bookmarkStart w:id="48" w:name="_Toc28263"/>
            <w:bookmarkStart w:id="49" w:name="_Toc30791"/>
            <w:r>
              <w:rPr>
                <w:rFonts w:hint="eastAsia" w:asciiTheme="minorEastAsia" w:hAnsiTheme="minorEastAsia" w:eastAsiaTheme="minorEastAsia" w:cstheme="minorEastAsia"/>
                <w:b/>
                <w:bCs/>
                <w:color w:val="auto"/>
                <w:sz w:val="24"/>
                <w:szCs w:val="24"/>
                <w:highlight w:val="none"/>
              </w:rPr>
              <w:t>二、质疑事项2：</w:t>
            </w:r>
            <w:bookmarkEnd w:id="48"/>
            <w:bookmarkEnd w:id="49"/>
          </w:p>
          <w:p w14:paraId="0EDF5909">
            <w:pPr>
              <w:shd w:val="clear"/>
              <w:snapToGrid w:val="0"/>
              <w:spacing w:line="276" w:lineRule="auto"/>
              <w:ind w:firstLine="480" w:firstLineChars="200"/>
              <w:outlineLvl w:val="0"/>
              <w:rPr>
                <w:rFonts w:asciiTheme="minorEastAsia" w:hAnsiTheme="minorEastAsia" w:eastAsiaTheme="minorEastAsia" w:cstheme="minorEastAsia"/>
                <w:color w:val="auto"/>
                <w:sz w:val="24"/>
                <w:szCs w:val="24"/>
                <w:highlight w:val="none"/>
              </w:rPr>
            </w:pPr>
            <w:bookmarkStart w:id="50" w:name="_Toc10041"/>
            <w:bookmarkStart w:id="51" w:name="_Toc5157"/>
            <w:r>
              <w:rPr>
                <w:rFonts w:hint="eastAsia" w:asciiTheme="minorEastAsia" w:hAnsiTheme="minorEastAsia" w:eastAsiaTheme="minorEastAsia" w:cstheme="minorEastAsia"/>
                <w:color w:val="auto"/>
                <w:sz w:val="24"/>
                <w:szCs w:val="24"/>
                <w:highlight w:val="none"/>
              </w:rPr>
              <w:t>主要内容：</w:t>
            </w:r>
            <w:bookmarkEnd w:id="50"/>
            <w:bookmarkEnd w:id="51"/>
          </w:p>
          <w:p w14:paraId="1955849C">
            <w:pPr>
              <w:shd w:val="clear"/>
              <w:snapToGrid w:val="0"/>
              <w:spacing w:line="276" w:lineRule="auto"/>
              <w:ind w:firstLine="480" w:firstLineChars="200"/>
              <w:outlineLvl w:val="0"/>
              <w:rPr>
                <w:rFonts w:asciiTheme="minorEastAsia" w:hAnsiTheme="minorEastAsia" w:eastAsiaTheme="minorEastAsia" w:cstheme="minorEastAsia"/>
                <w:color w:val="auto"/>
                <w:sz w:val="24"/>
                <w:szCs w:val="24"/>
                <w:highlight w:val="none"/>
              </w:rPr>
            </w:pPr>
            <w:bookmarkStart w:id="52" w:name="_Toc2440"/>
            <w:bookmarkStart w:id="53" w:name="_Toc576"/>
            <w:r>
              <w:rPr>
                <w:rFonts w:hint="eastAsia" w:asciiTheme="minorEastAsia" w:hAnsiTheme="minorEastAsia" w:eastAsiaTheme="minorEastAsia" w:cstheme="minorEastAsia"/>
                <w:color w:val="auto"/>
                <w:sz w:val="24"/>
                <w:szCs w:val="24"/>
                <w:highlight w:val="none"/>
              </w:rPr>
              <w:t>事实依据：</w:t>
            </w:r>
            <w:bookmarkEnd w:id="52"/>
            <w:bookmarkEnd w:id="53"/>
          </w:p>
          <w:p w14:paraId="08558376">
            <w:pPr>
              <w:shd w:val="clear"/>
              <w:snapToGrid w:val="0"/>
              <w:spacing w:line="276" w:lineRule="auto"/>
              <w:ind w:firstLine="480" w:firstLineChars="200"/>
              <w:outlineLvl w:val="0"/>
              <w:rPr>
                <w:rFonts w:asciiTheme="minorEastAsia" w:hAnsiTheme="minorEastAsia" w:eastAsiaTheme="minorEastAsia" w:cstheme="minorEastAsia"/>
                <w:color w:val="auto"/>
                <w:sz w:val="24"/>
                <w:szCs w:val="24"/>
                <w:highlight w:val="none"/>
              </w:rPr>
            </w:pPr>
            <w:bookmarkStart w:id="54" w:name="_Toc19804"/>
            <w:bookmarkStart w:id="55" w:name="_Toc32283"/>
            <w:r>
              <w:rPr>
                <w:rFonts w:hint="eastAsia" w:asciiTheme="minorEastAsia" w:hAnsiTheme="minorEastAsia" w:eastAsiaTheme="minorEastAsia" w:cstheme="minorEastAsia"/>
                <w:color w:val="auto"/>
                <w:sz w:val="24"/>
                <w:szCs w:val="24"/>
                <w:highlight w:val="none"/>
              </w:rPr>
              <w:t>适应法规条款：</w:t>
            </w:r>
            <w:bookmarkEnd w:id="54"/>
            <w:bookmarkEnd w:id="55"/>
          </w:p>
          <w:p w14:paraId="427A379C">
            <w:pPr>
              <w:shd w:val="clear"/>
              <w:snapToGrid w:val="0"/>
              <w:spacing w:line="276" w:lineRule="auto"/>
              <w:ind w:firstLine="480" w:firstLineChars="200"/>
              <w:outlineLvl w:val="0"/>
              <w:rPr>
                <w:rFonts w:asciiTheme="minorEastAsia" w:hAnsiTheme="minorEastAsia" w:eastAsiaTheme="minorEastAsia" w:cstheme="minorEastAsia"/>
                <w:color w:val="auto"/>
                <w:sz w:val="24"/>
                <w:szCs w:val="24"/>
                <w:highlight w:val="none"/>
              </w:rPr>
            </w:pPr>
            <w:bookmarkStart w:id="56" w:name="_Toc20847"/>
            <w:bookmarkStart w:id="57" w:name="_Toc21267"/>
            <w:r>
              <w:rPr>
                <w:rFonts w:hint="eastAsia" w:asciiTheme="minorEastAsia" w:hAnsiTheme="minorEastAsia" w:eastAsiaTheme="minorEastAsia" w:cstheme="minorEastAsia"/>
                <w:color w:val="auto"/>
                <w:sz w:val="24"/>
                <w:szCs w:val="24"/>
                <w:highlight w:val="none"/>
              </w:rPr>
              <w:t>佐证材料： </w:t>
            </w:r>
            <w:bookmarkEnd w:id="56"/>
            <w:bookmarkEnd w:id="57"/>
          </w:p>
          <w:p w14:paraId="52B3BAC8">
            <w:pPr>
              <w:shd w:val="clear"/>
              <w:snapToGrid w:val="0"/>
              <w:spacing w:line="276" w:lineRule="auto"/>
              <w:ind w:firstLine="482" w:firstLineChars="200"/>
              <w:outlineLvl w:val="0"/>
              <w:rPr>
                <w:rFonts w:asciiTheme="minorEastAsia" w:hAnsiTheme="minorEastAsia" w:eastAsiaTheme="minorEastAsia" w:cstheme="minorEastAsia"/>
                <w:color w:val="auto"/>
                <w:sz w:val="24"/>
                <w:szCs w:val="24"/>
                <w:highlight w:val="none"/>
              </w:rPr>
            </w:pPr>
            <w:bookmarkStart w:id="58" w:name="_Toc27781"/>
            <w:bookmarkStart w:id="59" w:name="_Toc25584"/>
            <w:r>
              <w:rPr>
                <w:rFonts w:hint="eastAsia" w:asciiTheme="minorEastAsia" w:hAnsiTheme="minorEastAsia" w:eastAsiaTheme="minorEastAsia" w:cstheme="minorEastAsia"/>
                <w:b/>
                <w:bCs/>
                <w:color w:val="auto"/>
                <w:sz w:val="24"/>
                <w:szCs w:val="24"/>
                <w:highlight w:val="none"/>
              </w:rPr>
              <w:t>三、同上</w:t>
            </w:r>
            <w:bookmarkEnd w:id="58"/>
            <w:bookmarkEnd w:id="59"/>
          </w:p>
        </w:tc>
      </w:tr>
    </w:tbl>
    <w:p w14:paraId="5ECC9D2D">
      <w:pPr>
        <w:shd w:val="clear"/>
        <w:snapToGrid w:val="0"/>
        <w:spacing w:line="440" w:lineRule="exact"/>
        <w:ind w:firstLine="482" w:firstLineChars="200"/>
        <w:outlineLvl w:val="0"/>
        <w:rPr>
          <w:rFonts w:asciiTheme="minorEastAsia" w:hAnsiTheme="minorEastAsia" w:eastAsiaTheme="minorEastAsia" w:cstheme="minorEastAsia"/>
          <w:b/>
          <w:bCs/>
          <w:color w:val="auto"/>
          <w:sz w:val="24"/>
          <w:szCs w:val="24"/>
          <w:highlight w:val="none"/>
        </w:rPr>
      </w:pPr>
      <w:bookmarkStart w:id="60" w:name="_Toc9069"/>
      <w:bookmarkStart w:id="61" w:name="_Toc1484"/>
      <w:r>
        <w:rPr>
          <w:rFonts w:hint="eastAsia" w:asciiTheme="minorEastAsia" w:hAnsiTheme="minorEastAsia" w:eastAsiaTheme="minorEastAsia" w:cstheme="minorEastAsia"/>
          <w:b/>
          <w:bCs/>
          <w:color w:val="auto"/>
          <w:sz w:val="24"/>
          <w:szCs w:val="24"/>
          <w:highlight w:val="none"/>
        </w:rPr>
        <w:t>质疑人（盖公章）：</w:t>
      </w:r>
      <w:bookmarkEnd w:id="60"/>
      <w:bookmarkEnd w:id="61"/>
    </w:p>
    <w:p w14:paraId="50EECFF2">
      <w:pPr>
        <w:shd w:val="clear"/>
        <w:snapToGrid w:val="0"/>
        <w:spacing w:line="440" w:lineRule="exact"/>
        <w:ind w:firstLine="482" w:firstLineChars="200"/>
        <w:outlineLvl w:val="0"/>
        <w:rPr>
          <w:rFonts w:asciiTheme="minorEastAsia" w:hAnsiTheme="minorEastAsia" w:eastAsiaTheme="minorEastAsia" w:cstheme="minorEastAsia"/>
          <w:b/>
          <w:bCs/>
          <w:color w:val="auto"/>
          <w:sz w:val="24"/>
          <w:szCs w:val="24"/>
          <w:highlight w:val="none"/>
        </w:rPr>
      </w:pPr>
      <w:bookmarkStart w:id="62" w:name="_Toc18025"/>
      <w:bookmarkStart w:id="63" w:name="_Toc15635"/>
      <w:r>
        <w:rPr>
          <w:rFonts w:hint="eastAsia" w:asciiTheme="minorEastAsia" w:hAnsiTheme="minorEastAsia" w:eastAsiaTheme="minorEastAsia" w:cstheme="minorEastAsia"/>
          <w:b/>
          <w:bCs/>
          <w:color w:val="auto"/>
          <w:sz w:val="24"/>
          <w:szCs w:val="24"/>
          <w:highlight w:val="none"/>
        </w:rPr>
        <w:t>法定发表人（签字、盖章）：</w:t>
      </w:r>
      <w:bookmarkEnd w:id="62"/>
      <w:bookmarkEnd w:id="63"/>
    </w:p>
    <w:p w14:paraId="24221AD3">
      <w:pPr>
        <w:shd w:val="clear"/>
        <w:snapToGrid w:val="0"/>
        <w:spacing w:line="440" w:lineRule="exact"/>
        <w:ind w:firstLine="482" w:firstLineChars="200"/>
        <w:outlineLvl w:val="0"/>
        <w:rPr>
          <w:rFonts w:asciiTheme="minorEastAsia" w:hAnsiTheme="minorEastAsia" w:eastAsiaTheme="minorEastAsia" w:cstheme="minorEastAsia"/>
          <w:b/>
          <w:bCs/>
          <w:color w:val="auto"/>
          <w:sz w:val="24"/>
          <w:szCs w:val="24"/>
          <w:highlight w:val="none"/>
        </w:rPr>
      </w:pPr>
      <w:bookmarkStart w:id="64" w:name="_Toc12827"/>
      <w:bookmarkStart w:id="65" w:name="_Toc9674"/>
      <w:r>
        <w:rPr>
          <w:rFonts w:hint="eastAsia" w:asciiTheme="minorEastAsia" w:hAnsiTheme="minorEastAsia" w:eastAsiaTheme="minorEastAsia" w:cstheme="minorEastAsia"/>
          <w:b/>
          <w:bCs/>
          <w:color w:val="auto"/>
          <w:sz w:val="24"/>
          <w:szCs w:val="24"/>
          <w:highlight w:val="none"/>
        </w:rPr>
        <w:t>授权代理人（签字）：</w:t>
      </w:r>
      <w:bookmarkEnd w:id="64"/>
      <w:bookmarkEnd w:id="65"/>
    </w:p>
    <w:p w14:paraId="0F9B8F93">
      <w:pPr>
        <w:shd w:val="clear"/>
        <w:snapToGrid w:val="0"/>
        <w:spacing w:line="440" w:lineRule="exact"/>
        <w:ind w:firstLine="482" w:firstLineChars="200"/>
        <w:outlineLvl w:val="0"/>
        <w:rPr>
          <w:rFonts w:asciiTheme="minorEastAsia" w:hAnsiTheme="minorEastAsia" w:eastAsiaTheme="minorEastAsia" w:cstheme="minorEastAsia"/>
          <w:b/>
          <w:bCs/>
          <w:color w:val="auto"/>
          <w:sz w:val="24"/>
          <w:szCs w:val="24"/>
          <w:highlight w:val="none"/>
        </w:rPr>
      </w:pPr>
      <w:bookmarkStart w:id="66" w:name="_Toc10390"/>
      <w:bookmarkStart w:id="67" w:name="_Toc21978"/>
      <w:r>
        <w:rPr>
          <w:rFonts w:hint="eastAsia" w:asciiTheme="minorEastAsia" w:hAnsiTheme="minorEastAsia" w:eastAsiaTheme="minorEastAsia" w:cstheme="minorEastAsia"/>
          <w:b/>
          <w:bCs/>
          <w:color w:val="auto"/>
          <w:sz w:val="24"/>
          <w:szCs w:val="24"/>
          <w:highlight w:val="none"/>
        </w:rPr>
        <w:t>日期：年  月 日</w:t>
      </w:r>
      <w:bookmarkEnd w:id="66"/>
      <w:bookmarkEnd w:id="67"/>
    </w:p>
    <w:p w14:paraId="0DF0D987">
      <w:pPr>
        <w:shd w:val="clear"/>
        <w:snapToGrid w:val="0"/>
        <w:spacing w:line="440" w:lineRule="exact"/>
        <w:ind w:firstLine="482" w:firstLineChars="200"/>
        <w:outlineLvl w:val="0"/>
        <w:rPr>
          <w:rFonts w:asciiTheme="minorEastAsia" w:hAnsiTheme="minorEastAsia" w:eastAsiaTheme="minorEastAsia" w:cstheme="minorEastAsia"/>
          <w:color w:val="auto"/>
          <w:sz w:val="24"/>
          <w:szCs w:val="24"/>
          <w:highlight w:val="none"/>
        </w:rPr>
      </w:pPr>
      <w:bookmarkStart w:id="68" w:name="_Toc3990"/>
      <w:bookmarkStart w:id="69" w:name="_Toc10187"/>
      <w:r>
        <w:rPr>
          <w:rFonts w:hint="eastAsia" w:asciiTheme="minorEastAsia" w:hAnsiTheme="minorEastAsia" w:eastAsiaTheme="minorEastAsia" w:cstheme="minorEastAsia"/>
          <w:b/>
          <w:bCs/>
          <w:color w:val="auto"/>
          <w:sz w:val="24"/>
          <w:szCs w:val="24"/>
          <w:highlight w:val="none"/>
        </w:rPr>
        <w:t>备注：</w:t>
      </w:r>
      <w:bookmarkEnd w:id="68"/>
      <w:bookmarkEnd w:id="69"/>
    </w:p>
    <w:p w14:paraId="67250592">
      <w:pPr>
        <w:shd w:val="clear"/>
        <w:snapToGrid w:val="0"/>
        <w:spacing w:line="440" w:lineRule="exact"/>
        <w:ind w:firstLine="480" w:firstLineChars="200"/>
        <w:outlineLvl w:val="0"/>
        <w:rPr>
          <w:rFonts w:asciiTheme="minorEastAsia" w:hAnsiTheme="minorEastAsia" w:eastAsiaTheme="minorEastAsia" w:cstheme="minorEastAsia"/>
          <w:color w:val="auto"/>
          <w:sz w:val="24"/>
          <w:szCs w:val="24"/>
          <w:highlight w:val="none"/>
        </w:rPr>
      </w:pPr>
      <w:bookmarkStart w:id="70" w:name="_Toc26970"/>
      <w:bookmarkStart w:id="71" w:name="_Toc21980"/>
      <w:r>
        <w:rPr>
          <w:rFonts w:hint="eastAsia" w:asciiTheme="minorEastAsia" w:hAnsiTheme="minorEastAsia" w:eastAsiaTheme="minorEastAsia" w:cstheme="minorEastAsia"/>
          <w:color w:val="auto"/>
          <w:sz w:val="24"/>
          <w:szCs w:val="24"/>
          <w:highlight w:val="none"/>
        </w:rPr>
        <w:t>1、质疑人的法定代表人办理质疑事务的，在提交质疑函（无需填写授权委托人）的同时，还应提交加盖质疑人公章的营业执照（事业单位法人证书）副本复印件和法定代表人的身份证复印件。并出具身份证原件用于核对。</w:t>
      </w:r>
      <w:bookmarkEnd w:id="70"/>
      <w:bookmarkEnd w:id="71"/>
    </w:p>
    <w:p w14:paraId="062DB79B">
      <w:pPr>
        <w:shd w:val="clear"/>
        <w:snapToGrid w:val="0"/>
        <w:spacing w:line="440" w:lineRule="exact"/>
        <w:ind w:firstLine="480" w:firstLineChars="200"/>
        <w:outlineLvl w:val="0"/>
        <w:rPr>
          <w:rFonts w:asciiTheme="minorEastAsia" w:hAnsiTheme="minorEastAsia" w:eastAsiaTheme="minorEastAsia" w:cstheme="minorEastAsia"/>
          <w:color w:val="auto"/>
          <w:sz w:val="24"/>
          <w:szCs w:val="24"/>
          <w:highlight w:val="none"/>
        </w:rPr>
      </w:pPr>
      <w:bookmarkStart w:id="72" w:name="_Toc29109"/>
      <w:bookmarkStart w:id="73" w:name="_Toc29931"/>
      <w:r>
        <w:rPr>
          <w:rFonts w:hint="eastAsia" w:asciiTheme="minorEastAsia" w:hAnsiTheme="minorEastAsia" w:eastAsiaTheme="minorEastAsia" w:cstheme="minorEastAsia"/>
          <w:color w:val="auto"/>
          <w:sz w:val="24"/>
          <w:szCs w:val="24"/>
          <w:highlight w:val="none"/>
        </w:rPr>
        <w:t>2、授权本项目授权代理人办理质疑事务的，除提交质疑书、加盖质疑人公章的营业执照（事业单位法人证书）副本复印件和法定代表人的身份证复印件外，还应当提交由质疑人出具的明确载明授权委托的具体权限和事项的法定代表人授权委托书以及授权委托人的身份证复印件。</w:t>
      </w:r>
      <w:bookmarkEnd w:id="72"/>
      <w:bookmarkEnd w:id="73"/>
    </w:p>
    <w:p w14:paraId="2E592AED">
      <w:pPr>
        <w:shd w:val="clear"/>
        <w:snapToGrid w:val="0"/>
        <w:spacing w:line="440" w:lineRule="exact"/>
        <w:ind w:firstLine="480" w:firstLineChars="200"/>
        <w:outlineLvl w:val="0"/>
        <w:rPr>
          <w:rFonts w:asciiTheme="minorEastAsia" w:hAnsiTheme="minorEastAsia" w:eastAsiaTheme="minorEastAsia" w:cstheme="minorEastAsia"/>
          <w:color w:val="auto"/>
          <w:sz w:val="24"/>
          <w:szCs w:val="24"/>
          <w:highlight w:val="none"/>
        </w:rPr>
      </w:pPr>
      <w:bookmarkStart w:id="74" w:name="_Toc22526"/>
      <w:bookmarkStart w:id="75" w:name="_Toc22283"/>
      <w:r>
        <w:rPr>
          <w:rFonts w:hint="eastAsia" w:asciiTheme="minorEastAsia" w:hAnsiTheme="minorEastAsia" w:eastAsiaTheme="minorEastAsia" w:cstheme="minorEastAsia"/>
          <w:color w:val="auto"/>
          <w:sz w:val="24"/>
          <w:szCs w:val="24"/>
          <w:highlight w:val="none"/>
        </w:rPr>
        <w:t>3、“具体的质疑事项及事实依据”一栏填写不下时，质疑人可另附页（A4），但附纸要求加盖质疑人公章。</w:t>
      </w:r>
      <w:bookmarkEnd w:id="74"/>
      <w:bookmarkEnd w:id="75"/>
    </w:p>
    <w:p w14:paraId="754753F4">
      <w:pPr>
        <w:shd w:val="clear"/>
        <w:snapToGrid w:val="0"/>
        <w:spacing w:line="440" w:lineRule="exact"/>
        <w:ind w:firstLine="480" w:firstLineChars="200"/>
        <w:outlineLvl w:val="0"/>
        <w:rPr>
          <w:rFonts w:asciiTheme="minorEastAsia" w:hAnsiTheme="minorEastAsia" w:eastAsiaTheme="minorEastAsia" w:cstheme="minorEastAsia"/>
          <w:color w:val="auto"/>
          <w:sz w:val="24"/>
          <w:szCs w:val="24"/>
          <w:highlight w:val="none"/>
        </w:rPr>
      </w:pPr>
      <w:bookmarkStart w:id="76" w:name="_Toc29680"/>
      <w:bookmarkStart w:id="77" w:name="_Toc13249"/>
      <w:r>
        <w:rPr>
          <w:rFonts w:hint="eastAsia" w:asciiTheme="minorEastAsia" w:hAnsiTheme="minorEastAsia" w:eastAsiaTheme="minorEastAsia" w:cstheme="minorEastAsia"/>
          <w:color w:val="auto"/>
          <w:sz w:val="24"/>
          <w:szCs w:val="24"/>
          <w:highlight w:val="none"/>
        </w:rPr>
        <w:t>4、与质疑事项有关的材料应与质疑函合并装订。</w:t>
      </w:r>
      <w:bookmarkEnd w:id="76"/>
      <w:bookmarkEnd w:id="77"/>
    </w:p>
    <w:p w14:paraId="391E0A78">
      <w:pPr>
        <w:shd w:val="clear"/>
        <w:snapToGrid w:val="0"/>
        <w:spacing w:line="440" w:lineRule="exact"/>
        <w:ind w:firstLine="480" w:firstLineChars="200"/>
        <w:jc w:val="left"/>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b/>
          <w:bCs/>
          <w:color w:val="auto"/>
          <w:sz w:val="24"/>
          <w:szCs w:val="24"/>
          <w:highlight w:val="none"/>
        </w:rPr>
        <w:t>质疑函一式三份。</w:t>
      </w:r>
    </w:p>
    <w:p w14:paraId="7403E546">
      <w:pPr>
        <w:pStyle w:val="2"/>
        <w:shd w:val="clear"/>
        <w:jc w:val="cente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val="0"/>
          <w:bCs/>
          <w:color w:val="auto"/>
          <w:sz w:val="24"/>
          <w:szCs w:val="24"/>
          <w:highlight w:val="none"/>
        </w:rPr>
        <w:br w:type="page"/>
      </w:r>
      <w:bookmarkStart w:id="78" w:name="_Toc4069"/>
      <w:bookmarkStart w:id="79" w:name="_Toc3729"/>
      <w:r>
        <w:rPr>
          <w:rFonts w:hint="eastAsia" w:asciiTheme="minorEastAsia" w:hAnsiTheme="minorEastAsia" w:eastAsiaTheme="minorEastAsia" w:cstheme="minorEastAsia"/>
          <w:color w:val="auto"/>
          <w:sz w:val="28"/>
          <w:szCs w:val="28"/>
          <w:highlight w:val="none"/>
        </w:rPr>
        <w:t>第三部分 采购合同</w:t>
      </w:r>
    </w:p>
    <w:bookmarkEnd w:id="78"/>
    <w:bookmarkEnd w:id="79"/>
    <w:p w14:paraId="20F43B8D">
      <w:pPr>
        <w:pStyle w:val="14"/>
        <w:jc w:val="center"/>
        <w:rPr>
          <w:rFonts w:ascii="宋体" w:hAnsi="宋体" w:cs="宋体"/>
          <w:b/>
          <w:bCs/>
          <w:color w:val="auto"/>
          <w:spacing w:val="-20"/>
          <w:kern w:val="44"/>
          <w:sz w:val="48"/>
          <w:szCs w:val="48"/>
          <w:highlight w:val="none"/>
        </w:rPr>
      </w:pPr>
      <w:bookmarkStart w:id="80" w:name="_Toc3995"/>
    </w:p>
    <w:p w14:paraId="13979502">
      <w:pPr>
        <w:pStyle w:val="14"/>
        <w:jc w:val="center"/>
        <w:rPr>
          <w:rFonts w:ascii="宋体" w:hAnsi="宋体" w:cs="宋体"/>
          <w:b/>
          <w:bCs/>
          <w:color w:val="auto"/>
          <w:spacing w:val="-20"/>
          <w:kern w:val="44"/>
          <w:sz w:val="48"/>
          <w:szCs w:val="48"/>
          <w:highlight w:val="none"/>
        </w:rPr>
      </w:pPr>
    </w:p>
    <w:p w14:paraId="00C1CE7E">
      <w:pPr>
        <w:pStyle w:val="14"/>
        <w:jc w:val="center"/>
        <w:rPr>
          <w:rFonts w:ascii="宋体" w:hAnsi="宋体" w:cs="宋体"/>
          <w:b/>
          <w:bCs/>
          <w:color w:val="auto"/>
          <w:spacing w:val="-20"/>
          <w:kern w:val="44"/>
          <w:sz w:val="48"/>
          <w:szCs w:val="48"/>
          <w:highlight w:val="none"/>
        </w:rPr>
      </w:pPr>
    </w:p>
    <w:p w14:paraId="2B442CE0">
      <w:pPr>
        <w:rPr>
          <w:rFonts w:ascii="宋体" w:hAnsi="宋体" w:cs="宋体"/>
          <w:b/>
          <w:bCs/>
          <w:color w:val="auto"/>
          <w:spacing w:val="-20"/>
          <w:kern w:val="44"/>
          <w:sz w:val="48"/>
          <w:szCs w:val="48"/>
          <w:highlight w:val="none"/>
        </w:rPr>
      </w:pPr>
    </w:p>
    <w:p w14:paraId="7902852C">
      <w:pPr>
        <w:rPr>
          <w:rFonts w:ascii="宋体" w:hAnsi="宋体" w:cs="宋体"/>
          <w:b/>
          <w:bCs/>
          <w:color w:val="auto"/>
          <w:spacing w:val="-20"/>
          <w:kern w:val="44"/>
          <w:sz w:val="48"/>
          <w:szCs w:val="48"/>
          <w:highlight w:val="none"/>
        </w:rPr>
      </w:pPr>
    </w:p>
    <w:p w14:paraId="337B0E44">
      <w:pPr>
        <w:rPr>
          <w:rFonts w:ascii="宋体" w:hAnsi="宋体" w:cs="宋体"/>
          <w:b/>
          <w:bCs/>
          <w:color w:val="auto"/>
          <w:spacing w:val="-20"/>
          <w:kern w:val="44"/>
          <w:sz w:val="48"/>
          <w:szCs w:val="48"/>
          <w:highlight w:val="none"/>
        </w:rPr>
      </w:pPr>
    </w:p>
    <w:p w14:paraId="6E3425E8">
      <w:pPr>
        <w:pStyle w:val="14"/>
        <w:jc w:val="center"/>
        <w:rPr>
          <w:rFonts w:ascii="宋体" w:hAnsi="宋体" w:cs="宋体"/>
          <w:b/>
          <w:bCs/>
          <w:color w:val="auto"/>
          <w:spacing w:val="-20"/>
          <w:kern w:val="44"/>
          <w:sz w:val="48"/>
          <w:szCs w:val="48"/>
          <w:highlight w:val="none"/>
        </w:rPr>
      </w:pPr>
    </w:p>
    <w:p w14:paraId="27E5C43E">
      <w:pPr>
        <w:pStyle w:val="14"/>
        <w:jc w:val="center"/>
        <w:rPr>
          <w:rFonts w:ascii="宋体" w:hAnsi="宋体" w:cs="宋体"/>
          <w:b/>
          <w:bCs/>
          <w:color w:val="auto"/>
          <w:spacing w:val="-20"/>
          <w:kern w:val="44"/>
          <w:sz w:val="48"/>
          <w:szCs w:val="48"/>
          <w:highlight w:val="none"/>
        </w:rPr>
      </w:pPr>
    </w:p>
    <w:p w14:paraId="311A83BD">
      <w:pPr>
        <w:pStyle w:val="14"/>
        <w:jc w:val="center"/>
        <w:rPr>
          <w:rFonts w:hint="eastAsia" w:ascii="宋体" w:hAnsi="宋体" w:cs="宋体"/>
          <w:b/>
          <w:bCs/>
          <w:color w:val="auto"/>
          <w:spacing w:val="-20"/>
          <w:kern w:val="44"/>
          <w:sz w:val="36"/>
          <w:szCs w:val="36"/>
          <w:highlight w:val="none"/>
        </w:rPr>
      </w:pPr>
      <w:r>
        <w:rPr>
          <w:rFonts w:hint="eastAsia" w:ascii="宋体" w:hAnsi="宋体" w:cs="宋体"/>
          <w:b/>
          <w:bCs/>
          <w:color w:val="auto"/>
          <w:spacing w:val="-20"/>
          <w:kern w:val="44"/>
          <w:sz w:val="36"/>
          <w:szCs w:val="36"/>
          <w:highlight w:val="none"/>
        </w:rPr>
        <w:t>政府采购货物买卖合同</w:t>
      </w:r>
    </w:p>
    <w:p w14:paraId="0C3BC955">
      <w:pPr>
        <w:rPr>
          <w:rFonts w:ascii="宋体" w:hAnsi="宋体" w:cs="宋体"/>
          <w:b/>
          <w:bCs/>
          <w:color w:val="auto"/>
          <w:spacing w:val="-20"/>
          <w:kern w:val="44"/>
          <w:sz w:val="40"/>
          <w:szCs w:val="40"/>
          <w:highlight w:val="none"/>
        </w:rPr>
      </w:pPr>
    </w:p>
    <w:p w14:paraId="304686EC">
      <w:pPr>
        <w:rPr>
          <w:rFonts w:ascii="宋体" w:hAnsi="宋体" w:cs="宋体"/>
          <w:b/>
          <w:bCs/>
          <w:color w:val="auto"/>
          <w:spacing w:val="-20"/>
          <w:kern w:val="44"/>
          <w:sz w:val="40"/>
          <w:szCs w:val="40"/>
          <w:highlight w:val="none"/>
        </w:rPr>
      </w:pPr>
    </w:p>
    <w:p w14:paraId="4410DF0A">
      <w:pPr>
        <w:rPr>
          <w:rFonts w:ascii="宋体" w:hAnsi="宋体" w:cs="宋体"/>
          <w:b/>
          <w:bCs/>
          <w:color w:val="auto"/>
          <w:spacing w:val="-20"/>
          <w:kern w:val="44"/>
          <w:sz w:val="40"/>
          <w:szCs w:val="40"/>
          <w:highlight w:val="none"/>
        </w:rPr>
      </w:pPr>
    </w:p>
    <w:p w14:paraId="6BAF1F55">
      <w:pPr>
        <w:spacing w:line="360" w:lineRule="auto"/>
        <w:ind w:left="420" w:leftChars="200"/>
        <w:rPr>
          <w:color w:val="auto"/>
          <w:sz w:val="24"/>
          <w:szCs w:val="24"/>
          <w:highlight w:val="none"/>
        </w:rPr>
      </w:pPr>
      <w:r>
        <w:rPr>
          <w:rFonts w:hint="eastAsia" w:ascii="宋体" w:hAnsi="宋体" w:cs="宋体"/>
          <w:color w:val="auto"/>
          <w:kern w:val="0"/>
          <w:sz w:val="24"/>
          <w:szCs w:val="24"/>
          <w:highlight w:val="none"/>
        </w:rPr>
        <w:t>项目名称：</w:t>
      </w:r>
      <w:r>
        <w:rPr>
          <w:rFonts w:hint="eastAsia"/>
          <w:color w:val="auto"/>
          <w:sz w:val="24"/>
          <w:szCs w:val="24"/>
          <w:highlight w:val="none"/>
          <w:u w:val="single"/>
        </w:rPr>
        <w:t xml:space="preserve">                             </w:t>
      </w:r>
    </w:p>
    <w:p w14:paraId="706CB08D">
      <w:pPr>
        <w:spacing w:line="360" w:lineRule="auto"/>
        <w:ind w:left="420" w:leftChars="200"/>
        <w:rPr>
          <w:color w:val="auto"/>
          <w:sz w:val="24"/>
          <w:szCs w:val="24"/>
          <w:highlight w:val="none"/>
          <w:u w:val="single"/>
        </w:rPr>
      </w:pPr>
      <w:r>
        <w:rPr>
          <w:rFonts w:hint="eastAsia"/>
          <w:color w:val="auto"/>
          <w:sz w:val="24"/>
          <w:szCs w:val="24"/>
          <w:highlight w:val="none"/>
        </w:rPr>
        <w:t>合同编号：</w:t>
      </w:r>
      <w:r>
        <w:rPr>
          <w:rFonts w:hint="eastAsia"/>
          <w:color w:val="auto"/>
          <w:sz w:val="24"/>
          <w:szCs w:val="24"/>
          <w:highlight w:val="none"/>
          <w:u w:val="single"/>
        </w:rPr>
        <w:t xml:space="preserve">                             </w:t>
      </w:r>
    </w:p>
    <w:p w14:paraId="38D457B1">
      <w:pPr>
        <w:spacing w:line="360" w:lineRule="auto"/>
        <w:ind w:left="420" w:leftChars="200"/>
        <w:rPr>
          <w:color w:val="auto"/>
          <w:sz w:val="24"/>
          <w:szCs w:val="24"/>
          <w:highlight w:val="none"/>
        </w:rPr>
      </w:pPr>
      <w:r>
        <w:rPr>
          <w:rFonts w:hint="eastAsia"/>
          <w:color w:val="auto"/>
          <w:sz w:val="24"/>
          <w:szCs w:val="24"/>
          <w:highlight w:val="none"/>
        </w:rPr>
        <w:t>甲    方：</w:t>
      </w:r>
      <w:r>
        <w:rPr>
          <w:rFonts w:hint="eastAsia"/>
          <w:color w:val="auto"/>
          <w:sz w:val="24"/>
          <w:szCs w:val="24"/>
          <w:highlight w:val="none"/>
          <w:u w:val="single"/>
        </w:rPr>
        <w:t xml:space="preserve">                             </w:t>
      </w:r>
    </w:p>
    <w:p w14:paraId="4A47C94E">
      <w:pPr>
        <w:spacing w:line="360" w:lineRule="auto"/>
        <w:ind w:left="420" w:leftChars="200"/>
        <w:rPr>
          <w:color w:val="auto"/>
          <w:sz w:val="24"/>
          <w:szCs w:val="24"/>
          <w:highlight w:val="none"/>
          <w:u w:val="single"/>
        </w:rPr>
      </w:pPr>
      <w:r>
        <w:rPr>
          <w:rFonts w:hint="eastAsia"/>
          <w:color w:val="auto"/>
          <w:sz w:val="24"/>
          <w:szCs w:val="24"/>
          <w:highlight w:val="none"/>
        </w:rPr>
        <w:t>乙    方：</w:t>
      </w:r>
      <w:r>
        <w:rPr>
          <w:rFonts w:hint="eastAsia"/>
          <w:color w:val="auto"/>
          <w:sz w:val="24"/>
          <w:szCs w:val="24"/>
          <w:highlight w:val="none"/>
          <w:u w:val="single"/>
        </w:rPr>
        <w:t xml:space="preserve">                             </w:t>
      </w:r>
    </w:p>
    <w:p w14:paraId="14E1CB9B">
      <w:pPr>
        <w:spacing w:line="360" w:lineRule="auto"/>
        <w:ind w:left="420" w:leftChars="200"/>
        <w:rPr>
          <w:color w:val="auto"/>
          <w:sz w:val="24"/>
          <w:szCs w:val="24"/>
          <w:highlight w:val="none"/>
        </w:rPr>
      </w:pPr>
      <w:r>
        <w:rPr>
          <w:rFonts w:hint="eastAsia"/>
          <w:color w:val="auto"/>
          <w:sz w:val="24"/>
          <w:szCs w:val="24"/>
          <w:highlight w:val="none"/>
        </w:rPr>
        <w:t>签订时间：</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u w:val="single"/>
        </w:rPr>
        <w:t xml:space="preserve">            </w:t>
      </w:r>
    </w:p>
    <w:p w14:paraId="79A9D46A">
      <w:pPr>
        <w:rPr>
          <w:color w:val="auto"/>
          <w:highlight w:val="none"/>
        </w:rPr>
      </w:pPr>
    </w:p>
    <w:p w14:paraId="691AEDD9">
      <w:pPr>
        <w:rPr>
          <w:rFonts w:eastAsia="黑体"/>
          <w:color w:val="auto"/>
          <w:sz w:val="44"/>
          <w:szCs w:val="44"/>
          <w:highlight w:val="none"/>
        </w:rPr>
      </w:pPr>
      <w:r>
        <w:rPr>
          <w:rFonts w:eastAsia="黑体"/>
          <w:color w:val="auto"/>
          <w:sz w:val="44"/>
          <w:szCs w:val="44"/>
          <w:highlight w:val="none"/>
        </w:rPr>
        <w:br w:type="page"/>
      </w:r>
    </w:p>
    <w:p w14:paraId="23DAC66D">
      <w:pPr>
        <w:jc w:val="center"/>
        <w:rPr>
          <w:rFonts w:hint="eastAsia" w:eastAsia="黑体"/>
          <w:color w:val="auto"/>
          <w:sz w:val="32"/>
          <w:szCs w:val="32"/>
          <w:highlight w:val="none"/>
        </w:rPr>
      </w:pPr>
      <w:r>
        <w:rPr>
          <w:rFonts w:hint="eastAsia" w:eastAsia="黑体"/>
          <w:color w:val="auto"/>
          <w:sz w:val="32"/>
          <w:szCs w:val="32"/>
          <w:highlight w:val="none"/>
        </w:rPr>
        <w:t>使 用 说 明</w:t>
      </w:r>
    </w:p>
    <w:p w14:paraId="32640A6D">
      <w:pPr>
        <w:ind w:firstLine="640" w:firstLineChars="200"/>
        <w:rPr>
          <w:rFonts w:hint="eastAsia" w:ascii="仿宋_GB2312" w:hAnsi="仿宋_GB2312" w:eastAsia="仿宋_GB2312" w:cs="仿宋_GB2312"/>
          <w:color w:val="auto"/>
          <w:sz w:val="32"/>
          <w:szCs w:val="32"/>
          <w:highlight w:val="none"/>
        </w:rPr>
      </w:pPr>
    </w:p>
    <w:p w14:paraId="10FFF65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1.本合同标准文本适用于购买现成货物的采购项目，不包括需要供应商定制开发、创新研发的货物采购项目。</w:t>
      </w:r>
    </w:p>
    <w:p w14:paraId="542C803B">
      <w:pPr>
        <w:spacing w:line="360" w:lineRule="auto"/>
        <w:rPr>
          <w:rFonts w:hint="eastAsia" w:ascii="宋体" w:hAnsi="宋体" w:cs="宋体"/>
          <w:color w:val="auto"/>
          <w:sz w:val="36"/>
          <w:szCs w:val="36"/>
          <w:highlight w:val="none"/>
        </w:rPr>
      </w:pPr>
      <w:r>
        <w:rPr>
          <w:rFonts w:hint="eastAsia" w:ascii="宋体" w:hAnsi="宋体" w:cs="宋体"/>
          <w:color w:val="auto"/>
          <w:sz w:val="36"/>
          <w:szCs w:val="36"/>
          <w:highlight w:val="none"/>
        </w:rPr>
        <w:t xml:space="preserve">   </w:t>
      </w:r>
      <w:r>
        <w:rPr>
          <w:rFonts w:hint="eastAsia" w:ascii="宋体" w:hAnsi="宋体" w:cs="宋体"/>
          <w:color w:val="auto"/>
          <w:sz w:val="24"/>
          <w:szCs w:val="24"/>
          <w:highlight w:val="none"/>
        </w:rPr>
        <w:t>2.本合同标准文本为政府采购货物买卖合同编制提供参考，可以结合采购项目具体情况，对文本作必要的调整修订后使用。</w:t>
      </w:r>
    </w:p>
    <w:p w14:paraId="20106EB8">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3.本合同标准文本各条款中，如涉及填写多家供应商、制造商，多种采购标的、分包主要内容等信息的，可根据采购项目具体情况添加信息项。</w:t>
      </w:r>
    </w:p>
    <w:p w14:paraId="576BCF0C">
      <w:pPr>
        <w:ind w:firstLine="880" w:firstLineChars="200"/>
        <w:rPr>
          <w:rFonts w:eastAsia="黑体"/>
          <w:color w:val="auto"/>
          <w:sz w:val="44"/>
          <w:szCs w:val="44"/>
          <w:highlight w:val="none"/>
        </w:rPr>
        <w:sectPr>
          <w:headerReference r:id="rId8" w:type="default"/>
          <w:footerReference r:id="rId9" w:type="default"/>
          <w:pgSz w:w="11906" w:h="16838"/>
          <w:pgMar w:top="1440" w:right="1800" w:bottom="1440" w:left="1800" w:header="851" w:footer="992" w:gutter="0"/>
          <w:pgNumType w:fmt="decimal" w:start="1"/>
          <w:cols w:space="720" w:num="1"/>
          <w:docGrid w:type="lines" w:linePitch="312" w:charSpace="0"/>
        </w:sectPr>
      </w:pPr>
    </w:p>
    <w:bookmarkEnd w:id="80"/>
    <w:p w14:paraId="4C521342">
      <w:pPr>
        <w:pStyle w:val="3"/>
        <w:adjustRightInd w:val="0"/>
        <w:snapToGrid w:val="0"/>
        <w:spacing w:line="400" w:lineRule="exact"/>
        <w:rPr>
          <w:rFonts w:hint="eastAsia" w:ascii="黑体" w:hAnsi="黑体" w:eastAsia="黑体"/>
          <w:color w:val="auto"/>
          <w:sz w:val="28"/>
          <w:szCs w:val="28"/>
          <w:highlight w:val="none"/>
        </w:rPr>
      </w:pPr>
      <w:bookmarkStart w:id="81" w:name="_Toc22209"/>
    </w:p>
    <w:p w14:paraId="5961AFC1">
      <w:pPr>
        <w:pStyle w:val="3"/>
        <w:adjustRightInd w:val="0"/>
        <w:snapToGrid w:val="0"/>
        <w:spacing w:line="400" w:lineRule="exact"/>
        <w:rPr>
          <w:rFonts w:hint="eastAsia" w:ascii="黑体" w:hAnsi="华文中宋" w:eastAsia="黑体"/>
          <w:b w:val="0"/>
          <w:color w:val="auto"/>
          <w:sz w:val="28"/>
          <w:szCs w:val="28"/>
          <w:highlight w:val="none"/>
        </w:rPr>
      </w:pPr>
      <w:r>
        <w:rPr>
          <w:rFonts w:hint="eastAsia" w:ascii="黑体" w:hAnsi="黑体" w:eastAsia="黑体"/>
          <w:b w:val="0"/>
          <w:color w:val="auto"/>
          <w:sz w:val="28"/>
          <w:szCs w:val="28"/>
          <w:highlight w:val="none"/>
        </w:rPr>
        <w:t xml:space="preserve">第一节 </w:t>
      </w:r>
      <w:r>
        <w:rPr>
          <w:rFonts w:hint="eastAsia" w:ascii="黑体" w:hAnsi="华文中宋" w:eastAsia="黑体"/>
          <w:b w:val="0"/>
          <w:color w:val="auto"/>
          <w:sz w:val="28"/>
          <w:szCs w:val="28"/>
          <w:highlight w:val="none"/>
        </w:rPr>
        <w:t>政府采购合同协议书</w:t>
      </w:r>
      <w:bookmarkEnd w:id="81"/>
    </w:p>
    <w:p w14:paraId="526DB134">
      <w:pPr>
        <w:pStyle w:val="3"/>
        <w:adjustRightInd w:val="0"/>
        <w:snapToGrid w:val="0"/>
        <w:spacing w:line="400" w:lineRule="exact"/>
        <w:rPr>
          <w:rFonts w:hint="eastAsia" w:ascii="黑体" w:hAnsi="华文中宋" w:eastAsia="黑体"/>
          <w:b w:val="0"/>
          <w:color w:val="auto"/>
          <w:sz w:val="28"/>
          <w:szCs w:val="28"/>
          <w:highlight w:val="none"/>
        </w:rPr>
      </w:pPr>
    </w:p>
    <w:p w14:paraId="0C9B1915">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甲方（全称）：</w:t>
      </w:r>
      <w:r>
        <w:rPr>
          <w:rFonts w:hint="eastAsia" w:ascii="宋体" w:hAnsi="宋体"/>
          <w:color w:val="auto"/>
          <w:szCs w:val="21"/>
          <w:highlight w:val="none"/>
          <w:u w:val="single"/>
        </w:rPr>
        <w:t xml:space="preserve">                        </w:t>
      </w:r>
      <w:r>
        <w:rPr>
          <w:rFonts w:hint="eastAsia" w:ascii="宋体" w:hAnsi="宋体"/>
          <w:color w:val="auto"/>
          <w:szCs w:val="21"/>
          <w:highlight w:val="none"/>
        </w:rPr>
        <w:t>（采购人、受采购人委托签订合同的单位或采购</w:t>
      </w:r>
      <w:r>
        <w:rPr>
          <w:rFonts w:hint="eastAsia" w:ascii="宋体" w:hAnsi="宋体"/>
          <w:color w:val="auto"/>
          <w:szCs w:val="21"/>
          <w:highlight w:val="none"/>
        </w:rPr>
        <w:tab/>
      </w:r>
      <w:r>
        <w:rPr>
          <w:rFonts w:hint="eastAsia" w:ascii="宋体" w:hAnsi="宋体"/>
          <w:color w:val="auto"/>
          <w:szCs w:val="21"/>
          <w:highlight w:val="none"/>
        </w:rPr>
        <w:t xml:space="preserve">                                   文件约定的合同甲方）</w:t>
      </w:r>
    </w:p>
    <w:p w14:paraId="64CD8F87">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乙方1（全称）：</w:t>
      </w:r>
      <w:r>
        <w:rPr>
          <w:rFonts w:hint="eastAsia" w:ascii="宋体" w:hAnsi="宋体"/>
          <w:color w:val="auto"/>
          <w:szCs w:val="21"/>
          <w:highlight w:val="none"/>
          <w:u w:val="single"/>
        </w:rPr>
        <w:t xml:space="preserve">                       </w:t>
      </w:r>
      <w:r>
        <w:rPr>
          <w:rFonts w:hint="eastAsia" w:ascii="宋体" w:hAnsi="宋体"/>
          <w:color w:val="auto"/>
          <w:szCs w:val="21"/>
          <w:highlight w:val="none"/>
        </w:rPr>
        <w:t>（供应商）</w:t>
      </w:r>
    </w:p>
    <w:p w14:paraId="2CF18D59">
      <w:pPr>
        <w:adjustRightInd w:val="0"/>
        <w:snapToGrid w:val="0"/>
        <w:spacing w:line="400" w:lineRule="exact"/>
        <w:rPr>
          <w:rFonts w:hint="eastAsia" w:ascii="宋体" w:hAnsi="宋体"/>
          <w:color w:val="auto"/>
          <w:szCs w:val="21"/>
          <w:highlight w:val="none"/>
        </w:rPr>
      </w:pPr>
      <w:r>
        <w:rPr>
          <w:rFonts w:hint="eastAsia" w:ascii="宋体" w:hAnsi="宋体"/>
          <w:color w:val="auto"/>
          <w:szCs w:val="21"/>
          <w:highlight w:val="none"/>
        </w:rPr>
        <w:t>乙方2（全称）：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5C9F77F3">
      <w:pPr>
        <w:adjustRightInd w:val="0"/>
        <w:snapToGrid w:val="0"/>
        <w:spacing w:line="400" w:lineRule="exact"/>
        <w:rPr>
          <w:rFonts w:hint="eastAsia" w:ascii="宋体" w:hAnsi="宋体"/>
          <w:color w:val="auto"/>
          <w:szCs w:val="21"/>
          <w:highlight w:val="none"/>
        </w:rPr>
      </w:pPr>
      <w:r>
        <w:rPr>
          <w:rFonts w:hint="eastAsia"/>
          <w:color w:val="auto"/>
          <w:highlight w:val="none"/>
        </w:rPr>
        <w:t>乙方</w:t>
      </w:r>
      <w:r>
        <w:rPr>
          <w:rFonts w:hint="eastAsia" w:ascii="宋体" w:hAnsi="宋体"/>
          <w:color w:val="auto"/>
          <w:szCs w:val="21"/>
          <w:highlight w:val="none"/>
        </w:rPr>
        <w:t>3</w:t>
      </w:r>
      <w:r>
        <w:rPr>
          <w:rFonts w:hint="eastAsia"/>
          <w:color w:val="auto"/>
          <w:highlight w:val="none"/>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5CC6CA39">
      <w:pPr>
        <w:spacing w:line="400" w:lineRule="exact"/>
        <w:rPr>
          <w:color w:val="auto"/>
          <w:highlight w:val="none"/>
        </w:rPr>
      </w:pPr>
    </w:p>
    <w:p w14:paraId="289F4543">
      <w:pPr>
        <w:pStyle w:val="15"/>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77F63D59">
      <w:pPr>
        <w:numPr>
          <w:ilvl w:val="0"/>
          <w:numId w:val="5"/>
        </w:numPr>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项目信息</w:t>
      </w:r>
    </w:p>
    <w:p w14:paraId="5406231E">
      <w:pPr>
        <w:pStyle w:val="15"/>
        <w:numPr>
          <w:ilvl w:val="0"/>
          <w:numId w:val="6"/>
        </w:numPr>
        <w:adjustRightInd w:val="0"/>
        <w:snapToGrid w:val="0"/>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rPr>
        <w:t>采购项目名称：</w:t>
      </w:r>
      <w:r>
        <w:rPr>
          <w:rFonts w:ascii="宋体" w:hAnsi="宋体"/>
          <w:color w:val="auto"/>
          <w:szCs w:val="21"/>
          <w:highlight w:val="none"/>
          <w:u w:val="single"/>
        </w:rPr>
        <w:t xml:space="preserve">                                          </w:t>
      </w:r>
    </w:p>
    <w:p w14:paraId="371E05F8">
      <w:pPr>
        <w:pStyle w:val="15"/>
        <w:tabs>
          <w:tab w:val="left" w:pos="999"/>
        </w:tabs>
        <w:adjustRightInd w:val="0"/>
        <w:snapToGrid w:val="0"/>
        <w:spacing w:line="400" w:lineRule="exact"/>
        <w:ind w:firstLine="0"/>
        <w:rPr>
          <w:rFonts w:ascii="宋体" w:hAnsi="宋体"/>
          <w:color w:val="auto"/>
          <w:szCs w:val="21"/>
          <w:highlight w:val="none"/>
        </w:rPr>
      </w:pPr>
      <w:r>
        <w:rPr>
          <w:rFonts w:hint="eastAsia" w:ascii="宋体" w:hAnsi="宋体"/>
          <w:color w:val="auto"/>
          <w:szCs w:val="21"/>
          <w:highlight w:val="none"/>
        </w:rPr>
        <w:t xml:space="preserve">         采购项目编号：</w:t>
      </w:r>
      <w:r>
        <w:rPr>
          <w:rFonts w:ascii="宋体" w:hAnsi="宋体"/>
          <w:color w:val="auto"/>
          <w:szCs w:val="21"/>
          <w:highlight w:val="none"/>
          <w:u w:val="single"/>
        </w:rPr>
        <w:t xml:space="preserve">                                          </w:t>
      </w:r>
    </w:p>
    <w:p w14:paraId="58D535E9">
      <w:pPr>
        <w:pStyle w:val="15"/>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（2）采购计划编号：</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p>
    <w:p w14:paraId="1DF376C8">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（3）项目内容：</w:t>
      </w:r>
    </w:p>
    <w:p w14:paraId="06A7B9F6">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采购标的及数量（台/套</w:t>
      </w:r>
      <w:r>
        <w:rPr>
          <w:rFonts w:ascii="宋体" w:hAnsi="宋体"/>
          <w:color w:val="auto"/>
          <w:szCs w:val="21"/>
          <w:highlight w:val="none"/>
          <w:lang w:val="en"/>
        </w:rPr>
        <w:t>/</w:t>
      </w:r>
      <w:r>
        <w:rPr>
          <w:rFonts w:hint="eastAsia" w:ascii="宋体" w:hAnsi="宋体"/>
          <w:color w:val="auto"/>
          <w:szCs w:val="21"/>
          <w:highlight w:val="none"/>
          <w:lang w:val="en"/>
        </w:rPr>
        <w:t>个</w:t>
      </w:r>
      <w:r>
        <w:rPr>
          <w:rFonts w:ascii="宋体" w:hAnsi="宋体"/>
          <w:color w:val="auto"/>
          <w:szCs w:val="21"/>
          <w:highlight w:val="none"/>
          <w:lang w:val="en"/>
        </w:rPr>
        <w:t>/</w:t>
      </w:r>
      <w:r>
        <w:rPr>
          <w:rFonts w:hint="eastAsia" w:ascii="宋体" w:hAnsi="宋体"/>
          <w:color w:val="auto"/>
          <w:szCs w:val="21"/>
          <w:highlight w:val="none"/>
          <w:lang w:val="en"/>
        </w:rPr>
        <w:t>架</w:t>
      </w:r>
      <w:r>
        <w:rPr>
          <w:rFonts w:ascii="宋体" w:hAnsi="宋体"/>
          <w:color w:val="auto"/>
          <w:szCs w:val="21"/>
          <w:highlight w:val="none"/>
          <w:lang w:val="en"/>
        </w:rPr>
        <w:t>/</w:t>
      </w:r>
      <w:r>
        <w:rPr>
          <w:rFonts w:hint="eastAsia" w:ascii="宋体" w:hAnsi="宋体"/>
          <w:color w:val="auto"/>
          <w:szCs w:val="21"/>
          <w:highlight w:val="none"/>
          <w:lang w:val="en"/>
        </w:rPr>
        <w:t>组等</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409E1095">
      <w:pPr>
        <w:adjustRightInd w:val="0"/>
        <w:snapToGrid w:val="0"/>
        <w:spacing w:line="400" w:lineRule="exact"/>
        <w:ind w:firstLine="420" w:firstLineChars="200"/>
        <w:rPr>
          <w:rFonts w:ascii="宋体" w:hAnsi="宋体" w:cs="宋体"/>
          <w:color w:val="auto"/>
          <w:szCs w:val="21"/>
          <w:highlight w:val="none"/>
          <w:lang w:val="en"/>
        </w:rPr>
      </w:pPr>
      <w:r>
        <w:rPr>
          <w:rFonts w:hint="eastAsia" w:ascii="宋体" w:hAnsi="宋体"/>
          <w:color w:val="auto"/>
          <w:szCs w:val="21"/>
          <w:highlight w:val="none"/>
        </w:rPr>
        <w:t xml:space="preserve">     </w:t>
      </w:r>
      <w:r>
        <w:rPr>
          <w:rFonts w:hint="eastAsia" w:ascii="宋体" w:hAnsi="宋体" w:cs="宋体"/>
          <w:color w:val="auto"/>
          <w:szCs w:val="21"/>
          <w:highlight w:val="none"/>
        </w:rPr>
        <w:t>品牌：</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lang w:val="en"/>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lang w:val="en"/>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lang w:val="en"/>
        </w:rPr>
        <w:t xml:space="preserve">     </w:t>
      </w:r>
      <w:r>
        <w:rPr>
          <w:rFonts w:hint="eastAsia" w:ascii="宋体" w:hAnsi="宋体" w:cs="宋体"/>
          <w:color w:val="auto"/>
          <w:szCs w:val="21"/>
          <w:highlight w:val="none"/>
        </w:rPr>
        <w:t>规格型号：</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lang w:val="en"/>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lang w:val="en"/>
        </w:rPr>
        <w:t xml:space="preserve">   </w:t>
      </w:r>
    </w:p>
    <w:p w14:paraId="0B8E4F20">
      <w:pPr>
        <w:adjustRightInd w:val="0"/>
        <w:snapToGrid w:val="0"/>
        <w:spacing w:line="400" w:lineRule="exact"/>
        <w:ind w:firstLine="945" w:firstLineChars="450"/>
        <w:rPr>
          <w:rFonts w:ascii="宋体" w:hAnsi="宋体"/>
          <w:color w:val="auto"/>
          <w:szCs w:val="21"/>
          <w:highlight w:val="none"/>
          <w:u w:val="single"/>
        </w:rPr>
      </w:pPr>
      <w:r>
        <w:rPr>
          <w:rFonts w:hint="eastAsia" w:ascii="宋体" w:hAnsi="宋体"/>
          <w:color w:val="auto"/>
          <w:szCs w:val="21"/>
          <w:highlight w:val="none"/>
        </w:rPr>
        <w:t>采购标的的技术要求、商务要求具体见附件。</w:t>
      </w:r>
    </w:p>
    <w:p w14:paraId="553E1E95">
      <w:pPr>
        <w:adjustRightInd w:val="0"/>
        <w:snapToGrid w:val="0"/>
        <w:spacing w:line="400" w:lineRule="exact"/>
        <w:ind w:firstLine="945" w:firstLineChars="450"/>
        <w:rPr>
          <w:rFonts w:hint="eastAsia" w:ascii="宋体" w:hAnsi="宋体" w:cs="宋体"/>
          <w:color w:val="auto"/>
          <w:szCs w:val="21"/>
          <w:highlight w:val="none"/>
        </w:rPr>
      </w:pPr>
      <w:r>
        <w:rPr>
          <w:rFonts w:hint="eastAsia" w:ascii="汉仪书宋二S" w:hAnsi="汉仪书宋二S" w:eastAsia="汉仪书宋二S" w:cs="汉仪书宋二S"/>
          <w:color w:val="auto"/>
          <w:szCs w:val="21"/>
          <w:highlight w:val="none"/>
        </w:rPr>
        <w:t>①</w:t>
      </w:r>
      <w:r>
        <w:rPr>
          <w:rFonts w:hint="eastAsia" w:ascii="宋体" w:hAnsi="宋体" w:cs="宋体"/>
          <w:color w:val="auto"/>
          <w:szCs w:val="21"/>
          <w:highlight w:val="none"/>
        </w:rPr>
        <w:t>涉及信息类产品，请填写该产品关键部件的品牌、型号：</w:t>
      </w:r>
    </w:p>
    <w:p w14:paraId="2F026F28">
      <w:pPr>
        <w:adjustRightInd w:val="0"/>
        <w:snapToGrid w:val="0"/>
        <w:spacing w:line="400" w:lineRule="exact"/>
        <w:ind w:firstLine="420" w:firstLineChars="200"/>
        <w:rPr>
          <w:rFonts w:hint="eastAsia" w:ascii="宋体" w:hAnsi="宋体" w:cs="宋体"/>
          <w:color w:val="auto"/>
          <w:kern w:val="0"/>
          <w:szCs w:val="21"/>
          <w:highlight w:val="none"/>
          <w:u w:val="single"/>
        </w:rPr>
      </w:pPr>
      <w:r>
        <w:rPr>
          <w:rFonts w:hint="eastAsia" w:ascii="宋体" w:hAnsi="宋体" w:cs="宋体"/>
          <w:color w:val="auto"/>
          <w:szCs w:val="21"/>
          <w:highlight w:val="none"/>
        </w:rPr>
        <w:t xml:space="preserve">     标的名称：</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lang w:val="en"/>
        </w:rPr>
        <w:t xml:space="preserve">               </w:t>
      </w:r>
      <w:r>
        <w:rPr>
          <w:rFonts w:hint="eastAsia" w:ascii="宋体" w:hAnsi="宋体" w:cs="宋体"/>
          <w:color w:val="auto"/>
          <w:kern w:val="0"/>
          <w:szCs w:val="21"/>
          <w:highlight w:val="none"/>
          <w:u w:val="single"/>
        </w:rPr>
        <w:t xml:space="preserve">    </w:t>
      </w:r>
    </w:p>
    <w:p w14:paraId="276BF32E">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关键部件：</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品牌：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型号：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1C75B067">
      <w:pPr>
        <w:pStyle w:val="110"/>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     </w:t>
      </w:r>
      <w:r>
        <w:rPr>
          <w:rFonts w:hint="eastAsia" w:ascii="宋体" w:hAnsi="宋体" w:eastAsia="宋体" w:cs="宋体"/>
          <w:color w:val="auto"/>
          <w:kern w:val="2"/>
          <w:sz w:val="21"/>
          <w:highlight w:val="none"/>
        </w:rPr>
        <w:t>关键部件</w:t>
      </w:r>
      <w:r>
        <w:rPr>
          <w:rFonts w:hint="eastAsia" w:ascii="宋体" w:hAnsi="宋体" w:eastAsia="宋体" w:cs="宋体"/>
          <w:color w:val="auto"/>
          <w:sz w:val="21"/>
          <w:highlight w:val="none"/>
        </w:rPr>
        <w:t>：</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品牌：</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型号：</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w:t>
      </w:r>
    </w:p>
    <w:p w14:paraId="754AE06D">
      <w:pPr>
        <w:pStyle w:val="110"/>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     关键部件：</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品牌：</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型号：</w:t>
      </w:r>
      <w:r>
        <w:rPr>
          <w:rFonts w:hint="eastAsia" w:ascii="宋体" w:hAnsi="宋体" w:eastAsia="宋体" w:cs="宋体"/>
          <w:color w:val="auto"/>
          <w:sz w:val="21"/>
          <w:highlight w:val="none"/>
          <w:u w:val="single"/>
        </w:rPr>
        <w:t xml:space="preserve">       </w:t>
      </w:r>
    </w:p>
    <w:p w14:paraId="151C86E7">
      <w:pPr>
        <w:pStyle w:val="110"/>
        <w:snapToGrid w:val="0"/>
        <w:ind w:firstLine="0" w:firstLineChars="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   （注：关键部件是指财政部会同有关部门发布的政府采购需求标准规定的需要通过国家有关部门指定的测评机构开展的安全可靠测评的软硬件，如CPU芯片、操作系统、数据库等。）</w:t>
      </w:r>
    </w:p>
    <w:p w14:paraId="3B41825C">
      <w:pPr>
        <w:pStyle w:val="110"/>
        <w:snapToGrid w:val="0"/>
        <w:ind w:firstLine="0" w:firstLineChars="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         </w:t>
      </w:r>
      <w:r>
        <w:rPr>
          <w:rFonts w:hint="eastAsia" w:ascii="汉仪书宋二S" w:hAnsi="汉仪书宋二S" w:eastAsia="汉仪书宋二S" w:cs="汉仪书宋二S"/>
          <w:color w:val="auto"/>
          <w:sz w:val="21"/>
          <w:highlight w:val="none"/>
        </w:rPr>
        <w:t>②</w:t>
      </w:r>
      <w:r>
        <w:rPr>
          <w:rFonts w:hint="eastAsia" w:ascii="宋体" w:hAnsi="宋体" w:eastAsia="宋体" w:cs="宋体"/>
          <w:color w:val="auto"/>
          <w:sz w:val="21"/>
          <w:highlight w:val="none"/>
        </w:rPr>
        <w:t>涉及车辆采购，请填写是否属于新能源汽车：</w:t>
      </w:r>
    </w:p>
    <w:p w14:paraId="6F70BFA2">
      <w:pPr>
        <w:pStyle w:val="110"/>
        <w:snapToGrid w:val="0"/>
        <w:ind w:firstLine="0" w:firstLineChars="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         </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是，《政府采购品目分类目录》底级品目名称：</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数量：</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金额：</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w:t>
      </w:r>
    </w:p>
    <w:p w14:paraId="4211B64B">
      <w:pPr>
        <w:pStyle w:val="110"/>
        <w:snapToGrid w:val="0"/>
        <w:ind w:firstLine="0" w:firstLineChars="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         </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否</w:t>
      </w:r>
    </w:p>
    <w:p w14:paraId="3A0BF261">
      <w:pPr>
        <w:pStyle w:val="110"/>
        <w:snapToGrid w:val="0"/>
        <w:ind w:firstLine="0" w:firstLineChars="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    （</w:t>
      </w:r>
      <w:r>
        <w:rPr>
          <w:rFonts w:ascii="宋体" w:hAnsi="宋体" w:eastAsia="宋体" w:cs="宋体"/>
          <w:color w:val="auto"/>
          <w:sz w:val="21"/>
          <w:highlight w:val="none"/>
          <w:lang w:val="en"/>
        </w:rPr>
        <w:t>4</w:t>
      </w:r>
      <w:r>
        <w:rPr>
          <w:rFonts w:hint="eastAsia" w:ascii="宋体" w:hAnsi="宋体" w:eastAsia="宋体" w:cs="宋体"/>
          <w:color w:val="auto"/>
          <w:sz w:val="21"/>
          <w:highlight w:val="none"/>
        </w:rPr>
        <w:t>）政府采购组织形式：</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 xml:space="preserve">政府集中采购  </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 xml:space="preserve">部门集中采购  </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分散采购</w:t>
      </w:r>
    </w:p>
    <w:p w14:paraId="57CD95E5">
      <w:pPr>
        <w:pStyle w:val="110"/>
        <w:snapToGrid w:val="0"/>
        <w:ind w:firstLine="420" w:firstLineChars="0"/>
        <w:rPr>
          <w:rFonts w:hint="eastAsia" w:ascii="宋体" w:hAnsi="宋体" w:eastAsia="宋体" w:cs="宋体"/>
          <w:color w:val="auto"/>
          <w:sz w:val="21"/>
          <w:highlight w:val="none"/>
        </w:rPr>
      </w:pPr>
      <w:r>
        <w:rPr>
          <w:rFonts w:hint="eastAsia" w:ascii="宋体" w:hAnsi="宋体" w:eastAsia="宋体" w:cs="宋体"/>
          <w:color w:val="auto"/>
          <w:sz w:val="21"/>
          <w:highlight w:val="none"/>
        </w:rPr>
        <w:t>（</w:t>
      </w:r>
      <w:r>
        <w:rPr>
          <w:rFonts w:ascii="宋体" w:hAnsi="宋体" w:eastAsia="宋体" w:cs="宋体"/>
          <w:color w:val="auto"/>
          <w:sz w:val="21"/>
          <w:highlight w:val="none"/>
          <w:lang w:val="en"/>
        </w:rPr>
        <w:t>5</w:t>
      </w:r>
      <w:r>
        <w:rPr>
          <w:rFonts w:hint="eastAsia" w:ascii="宋体" w:hAnsi="宋体" w:eastAsia="宋体" w:cs="宋体"/>
          <w:color w:val="auto"/>
          <w:sz w:val="21"/>
          <w:highlight w:val="none"/>
        </w:rPr>
        <w:t>）政府采购方式：</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 xml:space="preserve">公开招标 </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 xml:space="preserve">邀请招标 </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 xml:space="preserve">竞争性谈判 </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竞争性磋商</w:t>
      </w:r>
    </w:p>
    <w:p w14:paraId="701C2897">
      <w:pPr>
        <w:pStyle w:val="110"/>
        <w:snapToGrid w:val="0"/>
        <w:ind w:firstLine="420" w:firstLineChars="0"/>
        <w:rPr>
          <w:rFonts w:hint="eastAsia" w:ascii="宋体" w:hAnsi="宋体" w:eastAsia="宋体" w:cs="宋体"/>
          <w:color w:val="auto"/>
          <w:sz w:val="21"/>
          <w:highlight w:val="none"/>
          <w:u w:val="single"/>
        </w:rPr>
      </w:pPr>
      <w:r>
        <w:rPr>
          <w:rFonts w:hint="eastAsia" w:ascii="宋体" w:hAnsi="宋体" w:cs="宋体"/>
          <w:color w:val="auto"/>
          <w:highlight w:val="none"/>
        </w:rPr>
        <w:t xml:space="preserve">                  </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 xml:space="preserve">询价 </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 xml:space="preserve">单一来源 </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 xml:space="preserve">框架协议 </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其他：</w:t>
      </w:r>
      <w:r>
        <w:rPr>
          <w:rFonts w:hint="eastAsia" w:ascii="宋体" w:hAnsi="宋体" w:eastAsia="宋体" w:cs="宋体"/>
          <w:color w:val="auto"/>
          <w:sz w:val="21"/>
          <w:highlight w:val="none"/>
          <w:u w:val="single"/>
        </w:rPr>
        <w:t xml:space="preserve">          </w:t>
      </w:r>
    </w:p>
    <w:p w14:paraId="04E8E086">
      <w:pPr>
        <w:pStyle w:val="110"/>
        <w:snapToGrid w:val="0"/>
        <w:ind w:firstLine="420" w:firstLineChars="0"/>
        <w:rPr>
          <w:rFonts w:ascii="宋体" w:hAnsi="宋体" w:eastAsia="宋体" w:cs="宋体"/>
          <w:color w:val="auto"/>
          <w:sz w:val="21"/>
          <w:highlight w:val="none"/>
        </w:rPr>
      </w:pPr>
      <w:r>
        <w:rPr>
          <w:rFonts w:hint="eastAsia" w:ascii="宋体" w:hAnsi="宋体" w:eastAsia="宋体" w:cs="宋体"/>
          <w:color w:val="auto"/>
          <w:sz w:val="21"/>
          <w:highlight w:val="none"/>
        </w:rPr>
        <w:t>（注：在框架协议采购的第二阶段，可选择使用该合同文本）</w:t>
      </w:r>
    </w:p>
    <w:p w14:paraId="538DEDF9">
      <w:pPr>
        <w:pStyle w:val="110"/>
        <w:snapToGrid w:val="0"/>
        <w:ind w:firstLine="220" w:firstLineChars="100"/>
        <w:rPr>
          <w:rFonts w:hint="eastAsia" w:ascii="宋体" w:hAnsi="宋体" w:eastAsia="宋体" w:cs="Times New Roman"/>
          <w:color w:val="auto"/>
          <w:kern w:val="2"/>
          <w:sz w:val="21"/>
          <w:highlight w:val="none"/>
        </w:rPr>
      </w:pPr>
      <w:r>
        <w:rPr>
          <w:rFonts w:hint="eastAsia" w:ascii="宋体" w:hAnsi="宋体"/>
          <w:color w:val="auto"/>
          <w:highlight w:val="none"/>
        </w:rPr>
        <w:t xml:space="preserve"> （</w:t>
      </w:r>
      <w:r>
        <w:rPr>
          <w:rFonts w:ascii="宋体" w:hAnsi="宋体"/>
          <w:color w:val="auto"/>
          <w:highlight w:val="none"/>
          <w:lang w:val="en"/>
        </w:rPr>
        <w:t>6</w:t>
      </w:r>
      <w:r>
        <w:rPr>
          <w:rFonts w:hint="eastAsia" w:ascii="宋体" w:hAnsi="宋体"/>
          <w:color w:val="auto"/>
          <w:highlight w:val="none"/>
        </w:rPr>
        <w:t>）</w:t>
      </w:r>
      <w:r>
        <w:rPr>
          <w:rFonts w:hint="eastAsia" w:ascii="宋体" w:hAnsi="宋体" w:eastAsia="宋体" w:cs="Times New Roman"/>
          <w:color w:val="auto"/>
          <w:kern w:val="2"/>
          <w:sz w:val="21"/>
          <w:highlight w:val="none"/>
        </w:rPr>
        <w:t>中标（成交）采购标的制造商是否为中小企业：</w:t>
      </w:r>
      <w:r>
        <w:rPr>
          <w:rFonts w:hint="eastAsia" w:ascii="宋体" w:hAnsi="宋体" w:eastAsia="宋体" w:cs="Times New Roman"/>
          <w:color w:val="auto"/>
          <w:kern w:val="2"/>
          <w:sz w:val="21"/>
          <w:highlight w:val="none"/>
        </w:rPr>
        <w:sym w:font="Wingdings" w:char="00A8"/>
      </w:r>
      <w:r>
        <w:rPr>
          <w:rFonts w:hint="eastAsia" w:ascii="宋体" w:hAnsi="宋体" w:eastAsia="宋体" w:cs="Times New Roman"/>
          <w:color w:val="auto"/>
          <w:kern w:val="2"/>
          <w:sz w:val="21"/>
          <w:highlight w:val="none"/>
        </w:rPr>
        <w:t xml:space="preserve">是      </w:t>
      </w:r>
      <w:r>
        <w:rPr>
          <w:rFonts w:hint="eastAsia" w:ascii="宋体" w:hAnsi="宋体" w:eastAsia="宋体" w:cs="Times New Roman"/>
          <w:color w:val="auto"/>
          <w:kern w:val="2"/>
          <w:sz w:val="21"/>
          <w:highlight w:val="none"/>
        </w:rPr>
        <w:sym w:font="Wingdings" w:char="00A8"/>
      </w:r>
      <w:r>
        <w:rPr>
          <w:rFonts w:hint="eastAsia" w:ascii="宋体" w:hAnsi="宋体" w:eastAsia="宋体" w:cs="Times New Roman"/>
          <w:color w:val="auto"/>
          <w:kern w:val="2"/>
          <w:sz w:val="21"/>
          <w:highlight w:val="none"/>
        </w:rPr>
        <w:t>否</w:t>
      </w:r>
    </w:p>
    <w:p w14:paraId="177B248F">
      <w:pPr>
        <w:adjustRightInd w:val="0"/>
        <w:snapToGrid w:val="0"/>
        <w:spacing w:line="400" w:lineRule="exact"/>
        <w:rPr>
          <w:rFonts w:hint="eastAsia" w:ascii="宋体" w:hAnsi="宋体"/>
          <w:iCs/>
          <w:color w:val="auto"/>
          <w:szCs w:val="21"/>
          <w:highlight w:val="none"/>
        </w:rPr>
      </w:pPr>
      <w:r>
        <w:rPr>
          <w:rFonts w:hint="eastAsia" w:ascii="宋体" w:hAnsi="宋体"/>
          <w:color w:val="auto"/>
          <w:szCs w:val="21"/>
          <w:highlight w:val="none"/>
        </w:rPr>
        <w:t xml:space="preserve">         本合同是否为专门面向中小企业的采购合同（中小企业预留合同）：</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65D4CEC1">
      <w:pPr>
        <w:adjustRightInd w:val="0"/>
        <w:snapToGrid w:val="0"/>
        <w:spacing w:line="400" w:lineRule="exact"/>
        <w:rPr>
          <w:rFonts w:hint="eastAsia" w:ascii="宋体" w:hAnsi="宋体"/>
          <w:iCs/>
          <w:color w:val="auto"/>
          <w:szCs w:val="21"/>
          <w:highlight w:val="none"/>
        </w:rPr>
      </w:pPr>
      <w:r>
        <w:rPr>
          <w:rFonts w:hint="eastAsia"/>
          <w:color w:val="auto"/>
          <w:highlight w:val="none"/>
        </w:rPr>
        <w:t xml:space="preserve">         若本项目不专门面向中小企业采购，是否给予小微企业评审优惠：</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00D72A07">
      <w:pPr>
        <w:adjustRightInd w:val="0"/>
        <w:snapToGrid w:val="0"/>
        <w:spacing w:line="400" w:lineRule="exact"/>
        <w:rPr>
          <w:rFonts w:hint="eastAsia" w:ascii="宋体" w:hAnsi="宋体"/>
          <w:iCs/>
          <w:color w:val="auto"/>
          <w:szCs w:val="21"/>
          <w:highlight w:val="none"/>
        </w:rPr>
      </w:pPr>
      <w:r>
        <w:rPr>
          <w:rFonts w:hint="eastAsia"/>
          <w:color w:val="auto"/>
          <w:highlight w:val="none"/>
        </w:rPr>
        <w:t xml:space="preserve">         中标（成交）采购标的制造商是否为残疾人福利性单位：</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088775CF">
      <w:pPr>
        <w:snapToGrid w:val="0"/>
        <w:spacing w:line="400" w:lineRule="exact"/>
        <w:rPr>
          <w:color w:val="auto"/>
          <w:highlight w:val="none"/>
        </w:rPr>
      </w:pPr>
      <w:r>
        <w:rPr>
          <w:rFonts w:hint="eastAsia"/>
          <w:color w:val="auto"/>
          <w:highlight w:val="none"/>
        </w:rPr>
        <w:t xml:space="preserve">         中标（成交）采购标的制造商是否为监狱企业：</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1C21E472">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lang w:val="en"/>
        </w:rPr>
        <w:t>7</w:t>
      </w:r>
      <w:r>
        <w:rPr>
          <w:rFonts w:hint="eastAsia" w:ascii="宋体" w:hAnsi="宋体"/>
          <w:color w:val="auto"/>
          <w:szCs w:val="21"/>
          <w:highlight w:val="none"/>
        </w:rPr>
        <w:t>）合同是否分包：</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157A2EAC">
      <w:pPr>
        <w:adjustRightInd w:val="0"/>
        <w:snapToGrid w:val="0"/>
        <w:spacing w:line="400" w:lineRule="exact"/>
        <w:ind w:firstLine="840" w:firstLineChars="400"/>
        <w:rPr>
          <w:rFonts w:hint="eastAsia" w:ascii="宋体" w:hAnsi="宋体"/>
          <w:color w:val="auto"/>
          <w:szCs w:val="21"/>
          <w:highlight w:val="none"/>
          <w:u w:val="single"/>
        </w:rPr>
      </w:pPr>
      <w:r>
        <w:rPr>
          <w:rFonts w:hint="eastAsia" w:ascii="宋体" w:hAnsi="宋体"/>
          <w:color w:val="auto"/>
          <w:szCs w:val="21"/>
          <w:highlight w:val="none"/>
        </w:rPr>
        <w:t xml:space="preserve"> 分包主要内容：</w:t>
      </w:r>
      <w:r>
        <w:rPr>
          <w:rFonts w:hint="eastAsia" w:ascii="宋体" w:hAnsi="宋体"/>
          <w:color w:val="auto"/>
          <w:szCs w:val="21"/>
          <w:highlight w:val="none"/>
          <w:u w:val="single"/>
        </w:rPr>
        <w:t xml:space="preserve">                                            </w:t>
      </w:r>
    </w:p>
    <w:p w14:paraId="4A633F50">
      <w:pPr>
        <w:adjustRightInd w:val="0"/>
        <w:snapToGrid w:val="0"/>
        <w:spacing w:line="400" w:lineRule="exact"/>
        <w:ind w:firstLine="840" w:firstLineChars="400"/>
        <w:rPr>
          <w:rFonts w:hint="eastAsia" w:ascii="宋体" w:hAnsi="宋体"/>
          <w:color w:val="auto"/>
          <w:szCs w:val="21"/>
          <w:highlight w:val="none"/>
        </w:rPr>
      </w:pPr>
      <w:r>
        <w:rPr>
          <w:rFonts w:hint="eastAsia" w:ascii="宋体" w:hAnsi="宋体"/>
          <w:color w:val="auto"/>
          <w:szCs w:val="21"/>
          <w:highlight w:val="none"/>
        </w:rPr>
        <w:t xml:space="preserve"> 分包供应商/制造商名称（如供应商和制造商不同，请分别填写）：</w:t>
      </w:r>
    </w:p>
    <w:p w14:paraId="772DA566">
      <w:pPr>
        <w:adjustRightInd w:val="0"/>
        <w:snapToGrid w:val="0"/>
        <w:spacing w:line="400" w:lineRule="exact"/>
        <w:ind w:firstLine="840" w:firstLineChars="400"/>
        <w:rPr>
          <w:rFonts w:ascii="宋体" w:hAnsi="宋体"/>
          <w:color w:val="auto"/>
          <w:szCs w:val="21"/>
          <w:highlight w:val="none"/>
          <w:u w:val="singl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p>
    <w:p w14:paraId="0F5914B6">
      <w:pPr>
        <w:adjustRightInd w:val="0"/>
        <w:snapToGrid w:val="0"/>
        <w:spacing w:line="400" w:lineRule="exact"/>
        <w:ind w:firstLine="840" w:firstLineChars="400"/>
        <w:rPr>
          <w:rFonts w:hint="eastAsia" w:ascii="宋体" w:hAnsi="宋体"/>
          <w:color w:val="auto"/>
          <w:szCs w:val="21"/>
          <w:highlight w:val="none"/>
        </w:rPr>
      </w:pPr>
      <w:r>
        <w:rPr>
          <w:rFonts w:hint="eastAsia" w:ascii="宋体" w:hAnsi="宋体"/>
          <w:color w:val="auto"/>
          <w:szCs w:val="21"/>
          <w:highlight w:val="none"/>
        </w:rPr>
        <w:t xml:space="preserve"> 分包供应商/制造商类型（如果供应商和制造商不同，只填写制造商类型）：</w:t>
      </w:r>
    </w:p>
    <w:p w14:paraId="4FBFF45B">
      <w:pPr>
        <w:adjustRightInd w:val="0"/>
        <w:snapToGrid w:val="0"/>
        <w:spacing w:line="400" w:lineRule="exact"/>
        <w:ind w:firstLine="840" w:firstLineChars="400"/>
        <w:rPr>
          <w:rFonts w:hint="eastAsia"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大型企业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中型企业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小微型企业  </w:t>
      </w:r>
    </w:p>
    <w:p w14:paraId="26CF9FE6">
      <w:pPr>
        <w:adjustRightInd w:val="0"/>
        <w:snapToGrid w:val="0"/>
        <w:spacing w:line="400" w:lineRule="exact"/>
        <w:ind w:firstLine="840" w:firstLineChars="400"/>
        <w:rPr>
          <w:rFonts w:eastAsia="华文楷体"/>
          <w:color w:val="auto"/>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残疾人福利性单位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监狱企业 </w:t>
      </w:r>
      <w:r>
        <w:rPr>
          <w:rFonts w:hint="eastAsia" w:ascii="宋体" w:hAnsi="宋体"/>
          <w:iCs/>
          <w:color w:val="auto"/>
          <w:szCs w:val="21"/>
          <w:highlight w:val="none"/>
        </w:rPr>
        <w:sym w:font="Wingdings" w:char="00A8"/>
      </w:r>
      <w:r>
        <w:rPr>
          <w:rFonts w:hint="eastAsia" w:ascii="宋体" w:hAnsi="宋体"/>
          <w:iCs/>
          <w:color w:val="auto"/>
          <w:szCs w:val="21"/>
          <w:highlight w:val="none"/>
        </w:rPr>
        <w:t>其他</w:t>
      </w:r>
    </w:p>
    <w:p w14:paraId="422C94B7">
      <w:pPr>
        <w:adjustRightInd w:val="0"/>
        <w:snapToGrid w:val="0"/>
        <w:spacing w:line="400" w:lineRule="exact"/>
        <w:rPr>
          <w:rFonts w:hint="eastAsia" w:ascii="宋体" w:hAnsi="宋体" w:cs="宋体"/>
          <w:iCs/>
          <w:color w:val="auto"/>
          <w:szCs w:val="21"/>
          <w:highlight w:val="none"/>
        </w:rPr>
      </w:pPr>
      <w:r>
        <w:rPr>
          <w:rFonts w:hint="eastAsia" w:ascii="宋体" w:hAnsi="宋体"/>
          <w:color w:val="auto"/>
          <w:szCs w:val="21"/>
          <w:highlight w:val="none"/>
        </w:rPr>
        <w:t xml:space="preserve">    </w:t>
      </w:r>
      <w:r>
        <w:rPr>
          <w:rFonts w:hint="eastAsia" w:ascii="宋体" w:hAnsi="宋体" w:cs="宋体"/>
          <w:color w:val="auto"/>
          <w:szCs w:val="21"/>
          <w:highlight w:val="none"/>
        </w:rPr>
        <w:t>（</w:t>
      </w:r>
      <w:r>
        <w:rPr>
          <w:rFonts w:ascii="宋体" w:hAnsi="宋体" w:cs="宋体"/>
          <w:color w:val="auto"/>
          <w:szCs w:val="21"/>
          <w:highlight w:val="none"/>
          <w:lang w:val="en"/>
        </w:rPr>
        <w:t>8</w:t>
      </w:r>
      <w:r>
        <w:rPr>
          <w:rFonts w:hint="eastAsia" w:ascii="宋体" w:hAnsi="宋体" w:cs="宋体"/>
          <w:color w:val="auto"/>
          <w:szCs w:val="21"/>
          <w:highlight w:val="none"/>
        </w:rPr>
        <w:t>）中标（成交）供应商是否为外商投资企业：</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是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否</w:t>
      </w:r>
    </w:p>
    <w:p w14:paraId="79A1E9C4">
      <w:pPr>
        <w:pStyle w:val="110"/>
        <w:tabs>
          <w:tab w:val="left" w:pos="1340"/>
        </w:tabs>
        <w:ind w:firstLine="420"/>
        <w:rPr>
          <w:rFonts w:hint="eastAsia" w:ascii="宋体" w:hAnsi="宋体" w:eastAsia="宋体" w:cs="宋体"/>
          <w:color w:val="auto"/>
          <w:sz w:val="21"/>
          <w:highlight w:val="none"/>
          <w:u w:val="single"/>
        </w:rPr>
      </w:pPr>
      <w:r>
        <w:rPr>
          <w:rFonts w:hint="eastAsia" w:ascii="宋体" w:hAnsi="宋体" w:eastAsia="宋体" w:cs="宋体"/>
          <w:color w:val="auto"/>
          <w:sz w:val="21"/>
          <w:highlight w:val="none"/>
        </w:rPr>
        <w:t xml:space="preserve">     外商投资企业类型：</w:t>
      </w:r>
      <w:r>
        <w:rPr>
          <w:rFonts w:hint="eastAsia" w:ascii="宋体" w:hAnsi="宋体" w:eastAsia="宋体" w:cs="宋体"/>
          <w:iCs/>
          <w:color w:val="auto"/>
          <w:sz w:val="21"/>
          <w:highlight w:val="none"/>
        </w:rPr>
        <w:sym w:font="Wingdings" w:char="00A8"/>
      </w:r>
      <w:r>
        <w:rPr>
          <w:rFonts w:hint="eastAsia" w:ascii="宋体" w:hAnsi="宋体" w:eastAsia="宋体" w:cs="宋体"/>
          <w:color w:val="auto"/>
          <w:sz w:val="21"/>
          <w:highlight w:val="none"/>
        </w:rPr>
        <w:t xml:space="preserve">全部由外国投资者投资  </w:t>
      </w:r>
      <w:r>
        <w:rPr>
          <w:rFonts w:hint="eastAsia" w:ascii="宋体" w:hAnsi="宋体" w:eastAsia="宋体" w:cs="宋体"/>
          <w:iCs/>
          <w:color w:val="auto"/>
          <w:sz w:val="21"/>
          <w:highlight w:val="none"/>
        </w:rPr>
        <w:sym w:font="Wingdings" w:char="00A8"/>
      </w:r>
      <w:r>
        <w:rPr>
          <w:rFonts w:hint="eastAsia" w:ascii="宋体" w:hAnsi="宋体" w:eastAsia="宋体" w:cs="宋体"/>
          <w:iCs/>
          <w:color w:val="auto"/>
          <w:sz w:val="21"/>
          <w:highlight w:val="none"/>
        </w:rPr>
        <w:t>部分由外国投资者投资</w:t>
      </w:r>
    </w:p>
    <w:p w14:paraId="5C0013E9">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lang w:val="en"/>
        </w:rPr>
        <w:t>9</w:t>
      </w:r>
      <w:r>
        <w:rPr>
          <w:rFonts w:hint="eastAsia" w:ascii="宋体" w:hAnsi="宋体" w:cs="宋体"/>
          <w:color w:val="auto"/>
          <w:szCs w:val="21"/>
          <w:highlight w:val="none"/>
        </w:rPr>
        <w:t>）是否涉及进口产品：</w:t>
      </w:r>
    </w:p>
    <w:p w14:paraId="0CE7B083">
      <w:pPr>
        <w:adjustRightInd w:val="0"/>
        <w:snapToGrid w:val="0"/>
        <w:spacing w:line="400" w:lineRule="exact"/>
        <w:ind w:firstLine="840" w:firstLineChars="400"/>
        <w:rPr>
          <w:rFonts w:hint="eastAsia" w:ascii="宋体" w:hAnsi="宋体" w:cs="宋体"/>
          <w:color w:val="auto"/>
          <w:szCs w:val="21"/>
          <w:highlight w:val="none"/>
          <w:u w:val="single"/>
        </w:rPr>
      </w:pPr>
      <w:r>
        <w:rPr>
          <w:rFonts w:hint="eastAsia" w:ascii="宋体" w:hAnsi="宋体" w:cs="宋体"/>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是，《政府采购品目分类目录》底级品目名称：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金额：</w:t>
      </w:r>
      <w:r>
        <w:rPr>
          <w:rFonts w:hint="eastAsia" w:ascii="宋体" w:hAnsi="宋体" w:cs="宋体"/>
          <w:color w:val="auto"/>
          <w:szCs w:val="21"/>
          <w:highlight w:val="none"/>
          <w:u w:val="single"/>
        </w:rPr>
        <w:t xml:space="preserve">        </w:t>
      </w:r>
    </w:p>
    <w:p w14:paraId="2E8791FF">
      <w:pPr>
        <w:adjustRightInd w:val="0"/>
        <w:snapToGrid w:val="0"/>
        <w:spacing w:line="400" w:lineRule="exact"/>
        <w:ind w:firstLine="840" w:firstLineChars="400"/>
        <w:rPr>
          <w:rFonts w:hint="eastAsia" w:ascii="宋体" w:hAnsi="宋体"/>
          <w:color w:val="auto"/>
          <w:szCs w:val="21"/>
          <w:highlight w:val="none"/>
        </w:rPr>
      </w:pPr>
      <w:r>
        <w:rPr>
          <w:rFonts w:hint="eastAsia" w:ascii="宋体" w:hAnsi="宋体" w:cs="宋体"/>
          <w:color w:val="auto"/>
          <w:szCs w:val="21"/>
          <w:highlight w:val="none"/>
        </w:rPr>
        <w:t xml:space="preserve">        国别：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品牌：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规格型号：</w:t>
      </w:r>
      <w:r>
        <w:rPr>
          <w:rFonts w:hint="eastAsia" w:ascii="宋体" w:hAnsi="宋体" w:cs="宋体"/>
          <w:color w:val="auto"/>
          <w:szCs w:val="21"/>
          <w:highlight w:val="none"/>
          <w:u w:val="single"/>
        </w:rPr>
        <w:t xml:space="preserve">        </w:t>
      </w:r>
      <w:r>
        <w:rPr>
          <w:rFonts w:hint="eastAsia" w:ascii="宋体" w:hAnsi="宋体"/>
          <w:color w:val="auto"/>
          <w:szCs w:val="21"/>
          <w:highlight w:val="none"/>
        </w:rPr>
        <w:t xml:space="preserve">      </w:t>
      </w:r>
    </w:p>
    <w:p w14:paraId="61F6FF9F">
      <w:pPr>
        <w:adjustRightInd w:val="0"/>
        <w:snapToGrid w:val="0"/>
        <w:spacing w:line="400" w:lineRule="exact"/>
        <w:ind w:firstLine="840" w:firstLineChars="40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否</w:t>
      </w:r>
    </w:p>
    <w:p w14:paraId="4F8616BE">
      <w:pPr>
        <w:tabs>
          <w:tab w:val="left" w:pos="740"/>
        </w:tabs>
        <w:adjustRightInd w:val="0"/>
        <w:snapToGrid w:val="0"/>
        <w:spacing w:line="400" w:lineRule="exact"/>
        <w:rPr>
          <w:rFonts w:hint="eastAsia" w:ascii="宋体" w:hAnsi="宋体"/>
          <w:color w:val="auto"/>
          <w:szCs w:val="21"/>
          <w:highlight w:val="none"/>
        </w:rPr>
      </w:pPr>
      <w:r>
        <w:rPr>
          <w:rFonts w:hint="eastAsia" w:ascii="宋体" w:hAnsi="宋体"/>
          <w:color w:val="auto"/>
          <w:szCs w:val="21"/>
          <w:highlight w:val="none"/>
        </w:rPr>
        <w:t xml:space="preserve">    （1</w:t>
      </w:r>
      <w:r>
        <w:rPr>
          <w:rFonts w:ascii="宋体" w:hAnsi="宋体"/>
          <w:color w:val="auto"/>
          <w:szCs w:val="21"/>
          <w:highlight w:val="none"/>
          <w:lang w:val="en"/>
        </w:rPr>
        <w:t>0</w:t>
      </w:r>
      <w:r>
        <w:rPr>
          <w:rFonts w:hint="eastAsia" w:ascii="宋体" w:hAnsi="宋体"/>
          <w:color w:val="auto"/>
          <w:szCs w:val="21"/>
          <w:highlight w:val="none"/>
        </w:rPr>
        <w:t>）是否涉及节能产品：</w:t>
      </w:r>
    </w:p>
    <w:p w14:paraId="11223EF1">
      <w:pPr>
        <w:tabs>
          <w:tab w:val="left" w:pos="740"/>
        </w:tabs>
        <w:adjustRightInd w:val="0"/>
        <w:snapToGrid w:val="0"/>
        <w:spacing w:line="400" w:lineRule="exact"/>
        <w:rPr>
          <w:rFonts w:hint="eastAsia" w:ascii="宋体" w:hAnsi="宋体"/>
          <w:iCs/>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是，《节能产品政府采购品目清单》的底级品目名称：</w:t>
      </w:r>
      <w:r>
        <w:rPr>
          <w:rFonts w:hint="eastAsia" w:ascii="宋体" w:hAnsi="宋体"/>
          <w:color w:val="auto"/>
          <w:szCs w:val="21"/>
          <w:highlight w:val="none"/>
          <w:u w:val="single"/>
        </w:rPr>
        <w:t xml:space="preserve">         </w:t>
      </w:r>
      <w:r>
        <w:rPr>
          <w:rFonts w:hint="eastAsia" w:ascii="宋体" w:hAnsi="宋体"/>
          <w:iCs/>
          <w:color w:val="auto"/>
          <w:szCs w:val="21"/>
          <w:highlight w:val="none"/>
        </w:rPr>
        <w:t xml:space="preserve">     </w:t>
      </w:r>
    </w:p>
    <w:p w14:paraId="3939529A">
      <w:pPr>
        <w:tabs>
          <w:tab w:val="left" w:pos="740"/>
        </w:tabs>
        <w:adjustRightInd w:val="0"/>
        <w:snapToGrid w:val="0"/>
        <w:spacing w:line="400" w:lineRule="exact"/>
        <w:rPr>
          <w:rFonts w:hint="eastAsia"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强制采购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优先采购    </w:t>
      </w:r>
    </w:p>
    <w:p w14:paraId="37785871">
      <w:pPr>
        <w:tabs>
          <w:tab w:val="left" w:pos="740"/>
        </w:tabs>
        <w:adjustRightInd w:val="0"/>
        <w:snapToGrid w:val="0"/>
        <w:spacing w:line="400" w:lineRule="exact"/>
        <w:rPr>
          <w:rFonts w:hint="eastAsia" w:ascii="宋体" w:hAnsi="宋体"/>
          <w:color w:val="auto"/>
          <w:szCs w:val="21"/>
          <w:highlight w:val="none"/>
        </w:rPr>
      </w:pPr>
      <w:r>
        <w:rPr>
          <w:rFonts w:hint="eastAsia" w:ascii="宋体" w:hAnsi="宋体"/>
          <w:iCs/>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否</w:t>
      </w:r>
    </w:p>
    <w:p w14:paraId="7906BF07">
      <w:pPr>
        <w:tabs>
          <w:tab w:val="left" w:pos="740"/>
        </w:tabs>
        <w:adjustRightInd w:val="0"/>
        <w:snapToGrid w:val="0"/>
        <w:spacing w:line="400" w:lineRule="exact"/>
        <w:rPr>
          <w:rFonts w:hint="eastAsia" w:ascii="宋体" w:hAnsi="宋体"/>
          <w:color w:val="auto"/>
          <w:szCs w:val="21"/>
          <w:highlight w:val="none"/>
        </w:rPr>
      </w:pPr>
      <w:r>
        <w:rPr>
          <w:rFonts w:hint="eastAsia" w:ascii="宋体" w:hAnsi="宋体"/>
          <w:color w:val="auto"/>
          <w:szCs w:val="21"/>
          <w:highlight w:val="none"/>
        </w:rPr>
        <w:t xml:space="preserve">          是否涉及环境标志产品：</w:t>
      </w:r>
    </w:p>
    <w:p w14:paraId="31F89530">
      <w:pPr>
        <w:tabs>
          <w:tab w:val="left" w:pos="740"/>
        </w:tabs>
        <w:adjustRightInd w:val="0"/>
        <w:snapToGrid w:val="0"/>
        <w:spacing w:line="400" w:lineRule="exact"/>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是，《环境标志产品政府采购品目清单》的底级品目名称：</w:t>
      </w:r>
      <w:r>
        <w:rPr>
          <w:rFonts w:hint="eastAsia" w:ascii="宋体" w:hAnsi="宋体"/>
          <w:color w:val="auto"/>
          <w:szCs w:val="21"/>
          <w:highlight w:val="none"/>
          <w:u w:val="single"/>
        </w:rPr>
        <w:t xml:space="preserve">         </w:t>
      </w:r>
      <w:r>
        <w:rPr>
          <w:rFonts w:hint="eastAsia" w:ascii="宋体" w:hAnsi="宋体"/>
          <w:iCs/>
          <w:color w:val="auto"/>
          <w:szCs w:val="21"/>
          <w:highlight w:val="none"/>
        </w:rPr>
        <w:t xml:space="preserve"> </w:t>
      </w:r>
    </w:p>
    <w:p w14:paraId="274034D3">
      <w:pPr>
        <w:tabs>
          <w:tab w:val="left" w:pos="740"/>
        </w:tabs>
        <w:adjustRightInd w:val="0"/>
        <w:snapToGrid w:val="0"/>
        <w:spacing w:line="400" w:lineRule="exact"/>
        <w:rPr>
          <w:rFonts w:hint="eastAsia"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强制采购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优先采购    </w:t>
      </w:r>
    </w:p>
    <w:p w14:paraId="7FDBDFC8">
      <w:pPr>
        <w:tabs>
          <w:tab w:val="left" w:pos="740"/>
        </w:tabs>
        <w:adjustRightInd w:val="0"/>
        <w:snapToGrid w:val="0"/>
        <w:spacing w:line="400" w:lineRule="exact"/>
        <w:rPr>
          <w:rFonts w:hint="eastAsia" w:ascii="宋体" w:hAnsi="宋体"/>
          <w:color w:val="auto"/>
          <w:szCs w:val="21"/>
          <w:highlight w:val="none"/>
        </w:rPr>
      </w:pPr>
      <w:r>
        <w:rPr>
          <w:rFonts w:hint="eastAsia" w:ascii="宋体" w:hAnsi="宋体"/>
          <w:iCs/>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否</w:t>
      </w:r>
    </w:p>
    <w:p w14:paraId="28F12683">
      <w:pPr>
        <w:pStyle w:val="110"/>
        <w:snapToGrid w:val="0"/>
        <w:ind w:firstLine="0" w:firstLineChars="0"/>
        <w:rPr>
          <w:rFonts w:hint="eastAsia" w:ascii="宋体" w:hAnsi="宋体" w:eastAsia="宋体" w:cs="Times New Roman"/>
          <w:color w:val="auto"/>
          <w:kern w:val="2"/>
          <w:sz w:val="21"/>
          <w:highlight w:val="none"/>
        </w:rPr>
      </w:pPr>
      <w:r>
        <w:rPr>
          <w:rFonts w:hint="eastAsia" w:ascii="宋体" w:hAnsi="宋体"/>
          <w:color w:val="auto"/>
          <w:sz w:val="21"/>
          <w:highlight w:val="none"/>
        </w:rPr>
        <w:t xml:space="preserve">          </w:t>
      </w:r>
      <w:r>
        <w:rPr>
          <w:rFonts w:hint="eastAsia" w:ascii="宋体" w:hAnsi="宋体" w:eastAsia="宋体" w:cs="Times New Roman"/>
          <w:color w:val="auto"/>
          <w:kern w:val="2"/>
          <w:sz w:val="21"/>
          <w:highlight w:val="none"/>
        </w:rPr>
        <w:t xml:space="preserve">是否涉及绿色产品： </w:t>
      </w:r>
    </w:p>
    <w:p w14:paraId="761BE775">
      <w:pPr>
        <w:pStyle w:val="110"/>
        <w:ind w:firstLine="420" w:firstLineChars="0"/>
        <w:rPr>
          <w:rFonts w:hint="eastAsia" w:ascii="宋体" w:hAnsi="宋体" w:eastAsia="宋体"/>
          <w:color w:val="auto"/>
          <w:highlight w:val="none"/>
          <w:u w:val="single"/>
        </w:rPr>
      </w:pPr>
      <w:r>
        <w:rPr>
          <w:rFonts w:hint="eastAsia" w:ascii="宋体" w:hAnsi="宋体" w:eastAsia="宋体" w:cs="Times New Roman"/>
          <w:color w:val="auto"/>
          <w:kern w:val="2"/>
          <w:sz w:val="21"/>
          <w:highlight w:val="none"/>
        </w:rPr>
        <w:t xml:space="preserve">     </w:t>
      </w:r>
      <w:r>
        <w:rPr>
          <w:rFonts w:hint="eastAsia" w:ascii="宋体" w:hAnsi="宋体" w:eastAsia="宋体" w:cs="Times New Roman"/>
          <w:color w:val="auto"/>
          <w:kern w:val="2"/>
          <w:sz w:val="21"/>
          <w:highlight w:val="none"/>
        </w:rPr>
        <w:sym w:font="Wingdings" w:char="00A8"/>
      </w:r>
      <w:r>
        <w:rPr>
          <w:rFonts w:hint="eastAsia" w:ascii="宋体" w:hAnsi="宋体" w:eastAsia="宋体" w:cs="Times New Roman"/>
          <w:color w:val="auto"/>
          <w:kern w:val="2"/>
          <w:sz w:val="21"/>
          <w:highlight w:val="none"/>
        </w:rPr>
        <w:t>是，绿色产品政府采购相关政策确定的底级品目名称：</w:t>
      </w:r>
      <w:r>
        <w:rPr>
          <w:rFonts w:hint="eastAsia" w:ascii="宋体" w:hAnsi="宋体" w:eastAsia="宋体"/>
          <w:color w:val="auto"/>
          <w:highlight w:val="none"/>
          <w:u w:val="single"/>
        </w:rPr>
        <w:t xml:space="preserve">         </w:t>
      </w:r>
    </w:p>
    <w:p w14:paraId="4ABEA962">
      <w:pPr>
        <w:tabs>
          <w:tab w:val="left" w:pos="740"/>
        </w:tabs>
        <w:adjustRightInd w:val="0"/>
        <w:snapToGrid w:val="0"/>
        <w:spacing w:line="400" w:lineRule="exact"/>
        <w:rPr>
          <w:rFonts w:hint="eastAsia"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强制采购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优先采购    </w:t>
      </w:r>
    </w:p>
    <w:p w14:paraId="0FAFA60F">
      <w:pPr>
        <w:pStyle w:val="110"/>
        <w:ind w:firstLine="420" w:firstLineChars="0"/>
        <w:rPr>
          <w:rFonts w:hint="eastAsia" w:ascii="宋体" w:hAnsi="宋体"/>
          <w:color w:val="auto"/>
          <w:sz w:val="21"/>
          <w:highlight w:val="none"/>
        </w:rPr>
      </w:pPr>
      <w:r>
        <w:rPr>
          <w:rFonts w:hint="eastAsia" w:ascii="宋体" w:hAnsi="宋体" w:eastAsia="宋体" w:cs="Times New Roman"/>
          <w:color w:val="auto"/>
          <w:kern w:val="2"/>
          <w:sz w:val="21"/>
          <w:highlight w:val="none"/>
        </w:rPr>
        <w:t xml:space="preserve">     </w:t>
      </w:r>
      <w:r>
        <w:rPr>
          <w:rFonts w:hint="eastAsia" w:ascii="宋体" w:hAnsi="宋体" w:eastAsia="宋体" w:cs="Times New Roman"/>
          <w:color w:val="auto"/>
          <w:kern w:val="2"/>
          <w:sz w:val="21"/>
          <w:highlight w:val="none"/>
        </w:rPr>
        <w:sym w:font="Wingdings" w:char="00A8"/>
      </w:r>
      <w:r>
        <w:rPr>
          <w:rFonts w:hint="eastAsia" w:ascii="宋体" w:hAnsi="宋体" w:eastAsia="宋体" w:cs="Times New Roman"/>
          <w:color w:val="auto"/>
          <w:kern w:val="2"/>
          <w:sz w:val="21"/>
          <w:highlight w:val="none"/>
        </w:rPr>
        <w:t>否</w:t>
      </w:r>
    </w:p>
    <w:p w14:paraId="7CD3D472">
      <w:pPr>
        <w:adjustRightInd w:val="0"/>
        <w:snapToGrid w:val="0"/>
        <w:spacing w:line="400" w:lineRule="exact"/>
        <w:rPr>
          <w:rFonts w:hint="eastAsia" w:ascii="宋体" w:hAnsi="宋体"/>
          <w:color w:val="auto"/>
          <w:szCs w:val="21"/>
          <w:highlight w:val="none"/>
        </w:rPr>
      </w:pPr>
      <w:r>
        <w:rPr>
          <w:rFonts w:hint="eastAsia" w:ascii="宋体" w:hAnsi="宋体"/>
          <w:color w:val="auto"/>
          <w:szCs w:val="21"/>
          <w:highlight w:val="none"/>
        </w:rPr>
        <w:t xml:space="preserve">    （1</w:t>
      </w:r>
      <w:r>
        <w:rPr>
          <w:rFonts w:ascii="宋体" w:hAnsi="宋体"/>
          <w:color w:val="auto"/>
          <w:szCs w:val="21"/>
          <w:highlight w:val="none"/>
          <w:lang w:val="en"/>
        </w:rPr>
        <w:t>1</w:t>
      </w:r>
      <w:r>
        <w:rPr>
          <w:rFonts w:hint="eastAsia" w:ascii="宋体" w:hAnsi="宋体"/>
          <w:color w:val="auto"/>
          <w:szCs w:val="21"/>
          <w:highlight w:val="none"/>
        </w:rPr>
        <w:t>）涉及商品包装和快递包装的，是否参考《商品包装政府采购需求标准（试行）》、《快递包装政府采购需求标准（试行）》明确产品及相关快递服务的具体包装要求：</w:t>
      </w:r>
    </w:p>
    <w:p w14:paraId="2B47CEB4">
      <w:pPr>
        <w:adjustRightInd w:val="0"/>
        <w:snapToGrid w:val="0"/>
        <w:spacing w:line="400" w:lineRule="exact"/>
        <w:ind w:firstLine="840" w:firstLineChars="400"/>
        <w:rPr>
          <w:rFonts w:hint="eastAsia" w:ascii="宋体" w:hAnsi="宋体"/>
          <w:color w:val="auto"/>
          <w:szCs w:val="21"/>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 xml:space="preserve">是       </w:t>
      </w:r>
      <w:r>
        <w:rPr>
          <w:rFonts w:hint="eastAsia" w:ascii="宋体" w:hAnsi="宋体"/>
          <w:color w:val="auto"/>
          <w:szCs w:val="21"/>
          <w:highlight w:val="none"/>
        </w:rPr>
        <w:sym w:font="Wingdings" w:char="00A8"/>
      </w:r>
      <w:r>
        <w:rPr>
          <w:rFonts w:hint="eastAsia" w:ascii="宋体" w:hAnsi="宋体"/>
          <w:color w:val="auto"/>
          <w:szCs w:val="21"/>
          <w:highlight w:val="none"/>
        </w:rPr>
        <w:t xml:space="preserve">否      </w:t>
      </w:r>
      <w:r>
        <w:rPr>
          <w:rFonts w:hint="eastAsia" w:ascii="宋体" w:hAnsi="宋体"/>
          <w:color w:val="auto"/>
          <w:szCs w:val="21"/>
          <w:highlight w:val="none"/>
        </w:rPr>
        <w:sym w:font="Wingdings" w:char="00A8"/>
      </w:r>
      <w:r>
        <w:rPr>
          <w:rFonts w:hint="eastAsia" w:ascii="宋体" w:hAnsi="宋体"/>
          <w:color w:val="auto"/>
          <w:szCs w:val="21"/>
          <w:highlight w:val="none"/>
        </w:rPr>
        <w:t>不涉及</w:t>
      </w:r>
    </w:p>
    <w:p w14:paraId="31779D77">
      <w:pPr>
        <w:numPr>
          <w:ilvl w:val="0"/>
          <w:numId w:val="5"/>
        </w:numPr>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合同金额</w:t>
      </w:r>
    </w:p>
    <w:p w14:paraId="7C0AB8C3">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（1）合同金额小写：</w:t>
      </w:r>
      <w:r>
        <w:rPr>
          <w:rFonts w:hint="eastAsia" w:ascii="宋体" w:hAnsi="宋体"/>
          <w:color w:val="auto"/>
          <w:szCs w:val="21"/>
          <w:highlight w:val="none"/>
          <w:u w:val="single"/>
        </w:rPr>
        <w:t xml:space="preserve">                           </w:t>
      </w:r>
    </w:p>
    <w:p w14:paraId="6E9234A7">
      <w:pPr>
        <w:adjustRightInd w:val="0"/>
        <w:snapToGrid w:val="0"/>
        <w:spacing w:line="400" w:lineRule="exact"/>
        <w:rPr>
          <w:rFonts w:ascii="宋体" w:hAnsi="宋体"/>
          <w:color w:val="auto"/>
          <w:szCs w:val="21"/>
          <w:highlight w:val="none"/>
          <w:u w:val="single"/>
        </w:rPr>
      </w:pPr>
      <w:r>
        <w:rPr>
          <w:rFonts w:hint="eastAsia" w:ascii="宋体" w:hAnsi="宋体"/>
          <w:color w:val="auto"/>
          <w:szCs w:val="21"/>
          <w:highlight w:val="none"/>
        </w:rPr>
        <w:t xml:space="preserve">                 大写：</w:t>
      </w:r>
      <w:r>
        <w:rPr>
          <w:rFonts w:hint="eastAsia" w:ascii="宋体" w:hAnsi="宋体"/>
          <w:color w:val="auto"/>
          <w:szCs w:val="21"/>
          <w:highlight w:val="none"/>
          <w:u w:val="single"/>
        </w:rPr>
        <w:t xml:space="preserve">                           </w:t>
      </w:r>
    </w:p>
    <w:p w14:paraId="0EF6F652">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分包金额（如有）小写：</w:t>
      </w:r>
      <w:r>
        <w:rPr>
          <w:rFonts w:hint="eastAsia" w:ascii="宋体" w:hAnsi="宋体"/>
          <w:color w:val="auto"/>
          <w:szCs w:val="21"/>
          <w:highlight w:val="none"/>
          <w:u w:val="single"/>
        </w:rPr>
        <w:t xml:space="preserve">                   </w:t>
      </w:r>
    </w:p>
    <w:p w14:paraId="66C46FD3">
      <w:pPr>
        <w:adjustRightInd w:val="0"/>
        <w:snapToGrid w:val="0"/>
        <w:spacing w:line="400" w:lineRule="exact"/>
        <w:rPr>
          <w:rFonts w:hint="eastAsia" w:ascii="宋体" w:hAnsi="宋体"/>
          <w:color w:val="auto"/>
          <w:szCs w:val="21"/>
          <w:highlight w:val="none"/>
          <w:u w:val="single"/>
        </w:rPr>
      </w:pPr>
      <w:r>
        <w:rPr>
          <w:rFonts w:hint="eastAsia" w:ascii="宋体" w:hAnsi="宋体"/>
          <w:color w:val="auto"/>
          <w:szCs w:val="21"/>
          <w:highlight w:val="none"/>
        </w:rPr>
        <w:t xml:space="preserve">                     大写：</w:t>
      </w:r>
      <w:r>
        <w:rPr>
          <w:rFonts w:hint="eastAsia" w:ascii="宋体" w:hAnsi="宋体"/>
          <w:color w:val="auto"/>
          <w:szCs w:val="21"/>
          <w:highlight w:val="none"/>
          <w:u w:val="single"/>
        </w:rPr>
        <w:t xml:space="preserve">                       </w:t>
      </w:r>
    </w:p>
    <w:p w14:paraId="023876EA">
      <w:pPr>
        <w:adjustRightInd w:val="0"/>
        <w:snapToGrid w:val="0"/>
        <w:spacing w:line="400" w:lineRule="exact"/>
        <w:rPr>
          <w:rFonts w:hint="eastAsia" w:ascii="宋体" w:hAnsi="宋体"/>
          <w:color w:val="auto"/>
          <w:szCs w:val="21"/>
          <w:highlight w:val="none"/>
        </w:rPr>
      </w:pPr>
      <w:r>
        <w:rPr>
          <w:rFonts w:hint="eastAsia" w:ascii="宋体" w:hAnsi="宋体"/>
          <w:color w:val="auto"/>
          <w:szCs w:val="21"/>
          <w:highlight w:val="none"/>
        </w:rPr>
        <w:t xml:space="preserve">    （注：固定单价合同应填写单价和最高限价）</w:t>
      </w:r>
    </w:p>
    <w:p w14:paraId="5DECE8F4">
      <w:pPr>
        <w:adjustRightInd w:val="0"/>
        <w:snapToGrid w:val="0"/>
        <w:spacing w:line="400" w:lineRule="exact"/>
        <w:rPr>
          <w:rFonts w:hint="eastAsia" w:ascii="宋体" w:hAnsi="宋体"/>
          <w:color w:val="auto"/>
          <w:szCs w:val="21"/>
          <w:highlight w:val="none"/>
        </w:rPr>
      </w:pPr>
      <w:r>
        <w:rPr>
          <w:rFonts w:hint="eastAsia" w:ascii="宋体" w:hAnsi="宋体"/>
          <w:color w:val="auto"/>
          <w:szCs w:val="21"/>
          <w:highlight w:val="none"/>
        </w:rPr>
        <w:t xml:space="preserve">    （2）合同定价方式（采用组合定价方式的，可以勾选多项）：</w:t>
      </w:r>
    </w:p>
    <w:p w14:paraId="01712F68">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固定总价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固定单价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固定费率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成本补偿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绩效激励 </w:t>
      </w:r>
      <w:r>
        <w:rPr>
          <w:rFonts w:hint="eastAsia" w:ascii="宋体" w:hAnsi="宋体"/>
          <w:iCs/>
          <w:color w:val="auto"/>
          <w:szCs w:val="21"/>
          <w:highlight w:val="none"/>
        </w:rPr>
        <w:sym w:font="Wingdings" w:char="00A8"/>
      </w:r>
      <w:r>
        <w:rPr>
          <w:rFonts w:hint="eastAsia" w:ascii="宋体" w:hAnsi="宋体"/>
          <w:iCs/>
          <w:color w:val="auto"/>
          <w:szCs w:val="21"/>
          <w:highlight w:val="none"/>
        </w:rPr>
        <w:t>其他</w:t>
      </w:r>
      <w:r>
        <w:rPr>
          <w:rFonts w:hint="eastAsia" w:ascii="宋体" w:hAnsi="宋体"/>
          <w:color w:val="auto"/>
          <w:szCs w:val="21"/>
          <w:highlight w:val="none"/>
          <w:u w:val="single"/>
        </w:rPr>
        <w:t xml:space="preserve">       </w:t>
      </w:r>
    </w:p>
    <w:p w14:paraId="4456855E">
      <w:pPr>
        <w:pStyle w:val="82"/>
        <w:spacing w:line="400" w:lineRule="exact"/>
        <w:rPr>
          <w:color w:val="auto"/>
          <w:highlight w:val="none"/>
        </w:rPr>
      </w:pPr>
      <w:r>
        <w:rPr>
          <w:rFonts w:hint="eastAsia" w:ascii="宋体" w:hAnsi="宋体"/>
          <w:color w:val="auto"/>
          <w:highlight w:val="none"/>
        </w:rPr>
        <w:t>（3）付款方式（按项目实际勾选填写）：</w:t>
      </w:r>
    </w:p>
    <w:p w14:paraId="046E62F4">
      <w:pPr>
        <w:adjustRightInd w:val="0"/>
        <w:snapToGrid w:val="0"/>
        <w:spacing w:line="400" w:lineRule="exact"/>
        <w:ind w:firstLine="630"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全额付款：</w:t>
      </w:r>
      <w:r>
        <w:rPr>
          <w:rFonts w:hint="eastAsia" w:ascii="宋体" w:hAnsi="宋体"/>
          <w:color w:val="auto"/>
          <w:szCs w:val="21"/>
          <w:highlight w:val="none"/>
          <w:u w:val="single"/>
        </w:rPr>
        <w:t xml:space="preserve">     （应明确一次性支付合同款项的条件）                    </w:t>
      </w:r>
    </w:p>
    <w:p w14:paraId="4422C5B5">
      <w:pPr>
        <w:snapToGrid w:val="0"/>
        <w:spacing w:line="400" w:lineRule="exact"/>
        <w:ind w:firstLine="630" w:firstLineChars="300"/>
        <w:rPr>
          <w:color w:val="auto"/>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分期付款：</w:t>
      </w:r>
      <w:r>
        <w:rPr>
          <w:rFonts w:hint="eastAsia" w:ascii="宋体" w:hAnsi="宋体"/>
          <w:color w:val="auto"/>
          <w:szCs w:val="21"/>
          <w:highlight w:val="none"/>
          <w:u w:val="single"/>
        </w:rPr>
        <w:t xml:space="preserve">  （应明确分期支付合同款项的各期比例和支付条件，各期支付条件应与分期履约验收情况挂钩） </w:t>
      </w:r>
      <w:r>
        <w:rPr>
          <w:rFonts w:hint="eastAsia" w:ascii="宋体" w:hAnsi="宋体"/>
          <w:color w:val="auto"/>
          <w:szCs w:val="21"/>
          <w:highlight w:val="none"/>
        </w:rPr>
        <w:t>，其中涉及预付款的：</w:t>
      </w:r>
      <w:r>
        <w:rPr>
          <w:rFonts w:hint="eastAsia" w:ascii="宋体" w:hAnsi="宋体"/>
          <w:color w:val="auto"/>
          <w:szCs w:val="21"/>
          <w:highlight w:val="none"/>
          <w:u w:val="single"/>
        </w:rPr>
        <w:t xml:space="preserve"> （应明确预付款的支付比例和支付条件） </w:t>
      </w:r>
    </w:p>
    <w:p w14:paraId="5D4E0854">
      <w:pPr>
        <w:adjustRightInd w:val="0"/>
        <w:snapToGrid w:val="0"/>
        <w:spacing w:line="400" w:lineRule="exact"/>
        <w:ind w:firstLine="630"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成本补偿：</w:t>
      </w:r>
      <w:r>
        <w:rPr>
          <w:rFonts w:hint="eastAsia" w:ascii="宋体" w:hAnsi="宋体"/>
          <w:color w:val="auto"/>
          <w:szCs w:val="21"/>
          <w:highlight w:val="none"/>
          <w:u w:val="single"/>
        </w:rPr>
        <w:t xml:space="preserve">      （应明确按照成本补偿方式的支付方式和支付条件）   </w:t>
      </w:r>
    </w:p>
    <w:p w14:paraId="0C5D8A9A">
      <w:pPr>
        <w:adjustRightInd w:val="0"/>
        <w:snapToGrid w:val="0"/>
        <w:spacing w:line="400" w:lineRule="exact"/>
        <w:ind w:firstLine="630" w:firstLineChars="300"/>
        <w:rPr>
          <w:rFonts w:ascii="宋体" w:hAnsi="宋体"/>
          <w:color w:val="auto"/>
          <w:szCs w:val="21"/>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绩效激励：</w:t>
      </w:r>
      <w:r>
        <w:rPr>
          <w:rFonts w:hint="eastAsia" w:ascii="宋体" w:hAnsi="宋体"/>
          <w:color w:val="auto"/>
          <w:szCs w:val="21"/>
          <w:highlight w:val="none"/>
          <w:u w:val="single"/>
        </w:rPr>
        <w:t xml:space="preserve">      （应明确按照绩效激励方式的支付方式和支付条件）   </w:t>
      </w:r>
    </w:p>
    <w:p w14:paraId="010EC474">
      <w:pPr>
        <w:numPr>
          <w:ilvl w:val="0"/>
          <w:numId w:val="5"/>
        </w:numPr>
        <w:adjustRightInd w:val="0"/>
        <w:snapToGrid w:val="0"/>
        <w:spacing w:line="400" w:lineRule="exact"/>
        <w:ind w:firstLine="422" w:firstLineChars="200"/>
        <w:rPr>
          <w:rFonts w:ascii="宋体" w:hAnsi="宋体"/>
          <w:b/>
          <w:color w:val="auto"/>
          <w:szCs w:val="21"/>
          <w:highlight w:val="none"/>
          <w:u w:val="single"/>
        </w:rPr>
      </w:pPr>
      <w:r>
        <w:rPr>
          <w:rFonts w:hint="eastAsia" w:ascii="宋体" w:hAnsi="宋体"/>
          <w:b/>
          <w:color w:val="auto"/>
          <w:szCs w:val="21"/>
          <w:highlight w:val="none"/>
        </w:rPr>
        <w:t>合同履行</w:t>
      </w:r>
    </w:p>
    <w:p w14:paraId="389B4B1B">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（1）起始日期：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日，完成日期：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5DFFD192">
      <w:pPr>
        <w:adjustRightInd w:val="0"/>
        <w:snapToGrid w:val="0"/>
        <w:spacing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（2）履约地点</w:t>
      </w:r>
      <w:r>
        <w:rPr>
          <w:rFonts w:hint="eastAsia" w:ascii="宋体" w:hAnsi="宋体" w:cs="宋体"/>
          <w:bCs/>
          <w:color w:val="auto"/>
          <w:szCs w:val="21"/>
          <w:highlight w:val="none"/>
        </w:rPr>
        <w:t>：</w:t>
      </w:r>
      <w:r>
        <w:rPr>
          <w:rFonts w:hint="eastAsia" w:ascii="宋体" w:hAnsi="宋体" w:cs="宋体"/>
          <w:color w:val="auto"/>
          <w:szCs w:val="21"/>
          <w:highlight w:val="none"/>
          <w:u w:val="single"/>
        </w:rPr>
        <w:t xml:space="preserve">                             </w:t>
      </w:r>
    </w:p>
    <w:p w14:paraId="73DFC048">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bCs/>
          <w:color w:val="auto"/>
          <w:szCs w:val="21"/>
          <w:highlight w:val="none"/>
        </w:rPr>
        <w:t>（3）履约担保：</w:t>
      </w:r>
      <w:r>
        <w:rPr>
          <w:rFonts w:hint="eastAsia" w:ascii="宋体" w:hAnsi="宋体" w:cs="宋体"/>
          <w:color w:val="auto"/>
          <w:highlight w:val="none"/>
        </w:rPr>
        <w:t>是否收取履约保证金：</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否</w:t>
      </w:r>
    </w:p>
    <w:p w14:paraId="70E3CDF1">
      <w:pPr>
        <w:pStyle w:val="110"/>
        <w:rPr>
          <w:rFonts w:hint="eastAsia" w:ascii="宋体" w:hAnsi="宋体" w:eastAsia="宋体" w:cs="宋体"/>
          <w:color w:val="auto"/>
          <w:sz w:val="21"/>
          <w:highlight w:val="none"/>
        </w:rPr>
      </w:pPr>
      <w:r>
        <w:rPr>
          <w:rFonts w:hint="eastAsia" w:ascii="宋体" w:hAnsi="宋体" w:cs="宋体"/>
          <w:bCs/>
          <w:color w:val="auto"/>
          <w:highlight w:val="none"/>
        </w:rPr>
        <w:t xml:space="preserve">  </w:t>
      </w:r>
      <w:r>
        <w:rPr>
          <w:rFonts w:hint="eastAsia" w:ascii="宋体" w:hAnsi="宋体" w:eastAsia="宋体" w:cs="宋体"/>
          <w:color w:val="auto"/>
          <w:sz w:val="21"/>
          <w:highlight w:val="none"/>
        </w:rPr>
        <w:t xml:space="preserve">  收取履约保证金形式：</w:t>
      </w:r>
      <w:r>
        <w:rPr>
          <w:rFonts w:hint="eastAsia" w:ascii="宋体" w:hAnsi="宋体" w:eastAsia="宋体" w:cs="宋体"/>
          <w:bCs/>
          <w:color w:val="auto"/>
          <w:sz w:val="21"/>
          <w:highlight w:val="none"/>
          <w:u w:val="single"/>
        </w:rPr>
        <w:t xml:space="preserve">                            </w:t>
      </w:r>
    </w:p>
    <w:p w14:paraId="042C9974">
      <w:pPr>
        <w:pStyle w:val="110"/>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    收取履约保证金金额：</w:t>
      </w:r>
      <w:r>
        <w:rPr>
          <w:rFonts w:hint="eastAsia" w:ascii="宋体" w:hAnsi="宋体" w:eastAsia="宋体" w:cs="宋体"/>
          <w:bCs/>
          <w:color w:val="auto"/>
          <w:sz w:val="21"/>
          <w:highlight w:val="none"/>
          <w:u w:val="single"/>
        </w:rPr>
        <w:t xml:space="preserve">                            </w:t>
      </w:r>
    </w:p>
    <w:p w14:paraId="67733192">
      <w:pPr>
        <w:snapToGrid w:val="0"/>
        <w:spacing w:line="400" w:lineRule="exact"/>
        <w:ind w:firstLine="420" w:firstLineChars="200"/>
        <w:rPr>
          <w:rFonts w:hint="eastAsia" w:ascii="宋体" w:hAnsi="宋体" w:cs="宋体"/>
          <w:color w:val="auto"/>
          <w:highlight w:val="none"/>
        </w:rPr>
      </w:pPr>
      <w:r>
        <w:rPr>
          <w:rFonts w:hint="eastAsia" w:ascii="宋体" w:hAnsi="宋体" w:cs="宋体"/>
          <w:bCs/>
          <w:color w:val="auto"/>
          <w:szCs w:val="21"/>
          <w:highlight w:val="none"/>
        </w:rPr>
        <w:t xml:space="preserve">    履约担保期限：</w:t>
      </w:r>
      <w:r>
        <w:rPr>
          <w:rFonts w:hint="eastAsia" w:ascii="宋体" w:hAnsi="宋体" w:cs="宋体"/>
          <w:bCs/>
          <w:color w:val="auto"/>
          <w:szCs w:val="21"/>
          <w:highlight w:val="none"/>
          <w:u w:val="single"/>
        </w:rPr>
        <w:t xml:space="preserve">                                  </w:t>
      </w:r>
    </w:p>
    <w:p w14:paraId="233B9A61">
      <w:pPr>
        <w:adjustRightInd w:val="0"/>
        <w:snapToGrid w:val="0"/>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（4）分期履行要求：</w:t>
      </w:r>
      <w:r>
        <w:rPr>
          <w:rFonts w:hint="eastAsia" w:ascii="宋体" w:hAnsi="宋体" w:cs="宋体"/>
          <w:bCs/>
          <w:color w:val="auto"/>
          <w:szCs w:val="21"/>
          <w:highlight w:val="none"/>
          <w:u w:val="single"/>
        </w:rPr>
        <w:t xml:space="preserve">                                                        </w:t>
      </w:r>
    </w:p>
    <w:p w14:paraId="6FFAF009">
      <w:pPr>
        <w:adjustRightInd w:val="0"/>
        <w:snapToGrid w:val="0"/>
        <w:spacing w:line="400" w:lineRule="exact"/>
        <w:ind w:firstLine="420" w:firstLineChars="200"/>
        <w:rPr>
          <w:rFonts w:hint="eastAsia" w:ascii="宋体" w:hAnsi="宋体" w:cs="宋体"/>
          <w:color w:val="auto"/>
          <w:szCs w:val="21"/>
          <w:highlight w:val="none"/>
          <w:u w:val="single"/>
        </w:rPr>
      </w:pPr>
      <w:r>
        <w:rPr>
          <w:rFonts w:hint="eastAsia" w:ascii="宋体" w:hAnsi="宋体" w:cs="宋体"/>
          <w:bCs/>
          <w:color w:val="auto"/>
          <w:szCs w:val="21"/>
          <w:highlight w:val="none"/>
        </w:rPr>
        <w:t>（5）风险处置措施和替代方案：</w:t>
      </w:r>
      <w:r>
        <w:rPr>
          <w:rFonts w:hint="eastAsia" w:ascii="宋体" w:hAnsi="宋体" w:cs="宋体"/>
          <w:color w:val="auto"/>
          <w:szCs w:val="21"/>
          <w:highlight w:val="none"/>
          <w:u w:val="single"/>
        </w:rPr>
        <w:t xml:space="preserve">                                                               </w:t>
      </w:r>
    </w:p>
    <w:p w14:paraId="3CD79975">
      <w:pPr>
        <w:numPr>
          <w:ilvl w:val="0"/>
          <w:numId w:val="5"/>
        </w:numPr>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合同验收</w:t>
      </w:r>
    </w:p>
    <w:p w14:paraId="1E222E03">
      <w:pPr>
        <w:numPr>
          <w:ilvl w:val="0"/>
          <w:numId w:val="7"/>
        </w:numPr>
        <w:adjustRightInd w:val="0"/>
        <w:snapToGrid w:val="0"/>
        <w:spacing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验收组织方式：</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自行组织 </w:t>
      </w:r>
      <w:r>
        <w:rPr>
          <w:rFonts w:hint="eastAsia" w:ascii="宋体" w:hAnsi="宋体" w:cs="宋体"/>
          <w:color w:val="auto"/>
          <w:szCs w:val="21"/>
          <w:highlight w:val="none"/>
        </w:rPr>
        <w:sym w:font="Wingdings" w:char="00A8"/>
      </w:r>
      <w:r>
        <w:rPr>
          <w:rFonts w:hint="eastAsia" w:ascii="宋体" w:hAnsi="宋体"/>
          <w:bCs/>
          <w:color w:val="auto"/>
          <w:szCs w:val="21"/>
          <w:highlight w:val="none"/>
        </w:rPr>
        <w:t>委托第三方组织</w:t>
      </w:r>
    </w:p>
    <w:p w14:paraId="3F815AAA">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 xml:space="preserve">         验收主体：</w:t>
      </w:r>
      <w:r>
        <w:rPr>
          <w:rFonts w:hint="eastAsia" w:ascii="宋体" w:hAnsi="宋体"/>
          <w:bCs/>
          <w:color w:val="auto"/>
          <w:szCs w:val="21"/>
          <w:highlight w:val="none"/>
          <w:u w:val="single"/>
        </w:rPr>
        <w:t xml:space="preserve">                  </w:t>
      </w:r>
    </w:p>
    <w:p w14:paraId="623F7727">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 xml:space="preserve">        是否邀请本项目的其他供应商参加验收：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298A096B">
      <w:pPr>
        <w:adjustRightInd w:val="0"/>
        <w:snapToGrid w:val="0"/>
        <w:spacing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是否邀请专家参加验收：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4C54FCB9">
      <w:pPr>
        <w:adjustRightInd w:val="0"/>
        <w:snapToGrid w:val="0"/>
        <w:spacing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是否邀请服务对象参加验收：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478ACE36">
      <w:pPr>
        <w:adjustRightInd w:val="0"/>
        <w:snapToGrid w:val="0"/>
        <w:spacing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是否邀请第三方检测机构参加验收：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0525670C">
      <w:pPr>
        <w:adjustRightInd w:val="0"/>
        <w:snapToGrid w:val="0"/>
        <w:spacing w:line="400" w:lineRule="exact"/>
        <w:ind w:firstLine="840" w:firstLineChars="400"/>
        <w:rPr>
          <w:rFonts w:hint="eastAsia" w:ascii="宋体" w:hAnsi="宋体"/>
          <w:bCs/>
          <w:color w:val="auto"/>
          <w:szCs w:val="21"/>
          <w:highlight w:val="none"/>
        </w:rPr>
      </w:pPr>
      <w:r>
        <w:rPr>
          <w:rFonts w:hint="eastAsia" w:ascii="宋体" w:hAnsi="宋体"/>
          <w:bCs/>
          <w:color w:val="auto"/>
          <w:szCs w:val="21"/>
          <w:highlight w:val="none"/>
        </w:rPr>
        <w:t>是否进行抽查检测：</w:t>
      </w:r>
      <w:r>
        <w:rPr>
          <w:rFonts w:hint="eastAsia" w:ascii="宋体" w:hAnsi="宋体" w:cs="宋体"/>
          <w:color w:val="auto"/>
          <w:szCs w:val="21"/>
          <w:highlight w:val="none"/>
        </w:rPr>
        <w:sym w:font="Wingdings" w:char="00A8"/>
      </w:r>
      <w:r>
        <w:rPr>
          <w:rFonts w:hint="eastAsia" w:ascii="宋体" w:hAnsi="宋体"/>
          <w:bCs/>
          <w:color w:val="auto"/>
          <w:szCs w:val="21"/>
          <w:highlight w:val="none"/>
        </w:rPr>
        <w:t>是，抽查比例：</w:t>
      </w:r>
      <w:r>
        <w:rPr>
          <w:rFonts w:hint="eastAsia" w:ascii="宋体" w:hAnsi="宋体"/>
          <w:bCs/>
          <w:color w:val="auto"/>
          <w:szCs w:val="21"/>
          <w:highlight w:val="none"/>
          <w:u w:val="single"/>
        </w:rPr>
        <w:t xml:space="preserve">        </w:t>
      </w:r>
      <w:r>
        <w:rPr>
          <w:rFonts w:hint="eastAsia" w:ascii="宋体" w:hAnsi="宋体"/>
          <w:bCs/>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0AC0D23F">
      <w:pPr>
        <w:adjustRightInd w:val="0"/>
        <w:snapToGrid w:val="0"/>
        <w:spacing w:line="400" w:lineRule="exact"/>
        <w:ind w:firstLine="840" w:firstLineChars="400"/>
        <w:rPr>
          <w:rFonts w:hint="eastAsia" w:ascii="宋体" w:hAnsi="宋体"/>
          <w:bCs/>
          <w:color w:val="auto"/>
          <w:szCs w:val="21"/>
          <w:highlight w:val="none"/>
          <w:u w:val="single"/>
        </w:rPr>
      </w:pPr>
      <w:r>
        <w:rPr>
          <w:rFonts w:hint="eastAsia" w:ascii="宋体" w:hAnsi="宋体"/>
          <w:bCs/>
          <w:color w:val="auto"/>
          <w:szCs w:val="21"/>
          <w:highlight w:val="none"/>
        </w:rPr>
        <w:t>是否存在破坏性检测：</w:t>
      </w:r>
      <w:r>
        <w:rPr>
          <w:rFonts w:hint="eastAsia" w:ascii="宋体" w:hAnsi="宋体" w:cs="宋体"/>
          <w:color w:val="auto"/>
          <w:szCs w:val="21"/>
          <w:highlight w:val="none"/>
        </w:rPr>
        <w:sym w:font="Wingdings" w:char="00A8"/>
      </w:r>
      <w:r>
        <w:rPr>
          <w:rFonts w:hint="eastAsia" w:ascii="宋体" w:hAnsi="宋体"/>
          <w:bCs/>
          <w:color w:val="auto"/>
          <w:szCs w:val="21"/>
          <w:highlight w:val="none"/>
        </w:rPr>
        <w:t>是，</w:t>
      </w:r>
      <w:r>
        <w:rPr>
          <w:rFonts w:hint="eastAsia" w:ascii="宋体" w:hAnsi="宋体"/>
          <w:bCs/>
          <w:color w:val="auto"/>
          <w:szCs w:val="21"/>
          <w:highlight w:val="none"/>
          <w:u w:val="single"/>
        </w:rPr>
        <w:t>（应明确对被破坏的检测产品的处理方式）</w:t>
      </w:r>
    </w:p>
    <w:p w14:paraId="7002B892">
      <w:pPr>
        <w:adjustRightInd w:val="0"/>
        <w:snapToGrid w:val="0"/>
        <w:spacing w:line="400" w:lineRule="exact"/>
        <w:ind w:firstLine="840" w:firstLineChars="400"/>
        <w:rPr>
          <w:rFonts w:hint="eastAsia" w:ascii="宋体" w:hAnsi="宋体"/>
          <w:bCs/>
          <w:color w:val="auto"/>
          <w:szCs w:val="21"/>
          <w:highlight w:val="none"/>
        </w:rPr>
      </w:pPr>
      <w:r>
        <w:rPr>
          <w:rFonts w:hint="eastAsia" w:ascii="宋体" w:hAnsi="宋体"/>
          <w:bCs/>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5688DA22">
      <w:pPr>
        <w:adjustRightInd w:val="0"/>
        <w:snapToGrid w:val="0"/>
        <w:spacing w:line="400" w:lineRule="exact"/>
        <w:ind w:firstLine="840" w:firstLineChars="400"/>
        <w:rPr>
          <w:rFonts w:hint="eastAsia" w:ascii="宋体" w:hAnsi="宋体"/>
          <w:bCs/>
          <w:color w:val="auto"/>
          <w:szCs w:val="21"/>
          <w:highlight w:val="none"/>
          <w:u w:val="single"/>
        </w:rPr>
      </w:pPr>
      <w:r>
        <w:rPr>
          <w:rFonts w:hint="eastAsia" w:ascii="宋体" w:hAnsi="宋体"/>
          <w:bCs/>
          <w:color w:val="auto"/>
          <w:szCs w:val="21"/>
          <w:highlight w:val="none"/>
        </w:rPr>
        <w:t>验收组织的其他事项：</w:t>
      </w:r>
      <w:r>
        <w:rPr>
          <w:rFonts w:hint="eastAsia" w:ascii="宋体" w:hAnsi="宋体"/>
          <w:bCs/>
          <w:color w:val="auto"/>
          <w:szCs w:val="21"/>
          <w:highlight w:val="none"/>
          <w:u w:val="single"/>
        </w:rPr>
        <w:t xml:space="preserve">                </w:t>
      </w:r>
    </w:p>
    <w:p w14:paraId="078B9DCD">
      <w:pPr>
        <w:adjustRightInd w:val="0"/>
        <w:snapToGrid w:val="0"/>
        <w:spacing w:line="400" w:lineRule="exact"/>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（2）履约验收时间：</w:t>
      </w:r>
      <w:r>
        <w:rPr>
          <w:rFonts w:hint="eastAsia" w:ascii="宋体" w:hAnsi="宋体"/>
          <w:bCs/>
          <w:color w:val="auto"/>
          <w:szCs w:val="21"/>
          <w:highlight w:val="none"/>
          <w:u w:val="single"/>
        </w:rPr>
        <w:t xml:space="preserve">（计划于何时验收/供应商提出验收申请之日起   日内组织验收） </w:t>
      </w:r>
    </w:p>
    <w:p w14:paraId="2F0FC74F">
      <w:pPr>
        <w:adjustRightInd w:val="0"/>
        <w:snapToGrid w:val="0"/>
        <w:spacing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（3）履约验收方式：</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一次性验收         </w:t>
      </w:r>
    </w:p>
    <w:p w14:paraId="38924719">
      <w:pPr>
        <w:adjustRightInd w:val="0"/>
        <w:snapToGrid w:val="0"/>
        <w:spacing w:line="400" w:lineRule="exact"/>
        <w:rPr>
          <w:rFonts w:hint="eastAsia" w:ascii="宋体" w:hAnsi="宋体"/>
          <w:bCs/>
          <w:color w:val="auto"/>
          <w:szCs w:val="21"/>
          <w:highlight w:val="none"/>
        </w:rPr>
      </w:pPr>
      <w:r>
        <w:rPr>
          <w:rFonts w:hint="eastAsia" w:ascii="宋体" w:hAnsi="宋体"/>
          <w:bCs/>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bCs/>
          <w:color w:val="auto"/>
          <w:szCs w:val="21"/>
          <w:highlight w:val="none"/>
        </w:rPr>
        <w:t>分期/分项验收：</w:t>
      </w:r>
      <w:r>
        <w:rPr>
          <w:rFonts w:hint="eastAsia" w:ascii="宋体" w:hAnsi="宋体"/>
          <w:bCs/>
          <w:color w:val="auto"/>
          <w:szCs w:val="21"/>
          <w:highlight w:val="none"/>
          <w:u w:val="single"/>
        </w:rPr>
        <w:t xml:space="preserve"> （应明确分期</w:t>
      </w:r>
      <w:r>
        <w:rPr>
          <w:rFonts w:ascii="宋体" w:hAnsi="宋体"/>
          <w:bCs/>
          <w:color w:val="auto"/>
          <w:szCs w:val="21"/>
          <w:highlight w:val="none"/>
          <w:u w:val="single"/>
          <w:lang w:val="en"/>
        </w:rPr>
        <w:t>/</w:t>
      </w:r>
      <w:r>
        <w:rPr>
          <w:rFonts w:hint="eastAsia" w:ascii="宋体" w:hAnsi="宋体"/>
          <w:bCs/>
          <w:color w:val="auto"/>
          <w:szCs w:val="21"/>
          <w:highlight w:val="none"/>
          <w:u w:val="single"/>
          <w:lang w:val="en"/>
        </w:rPr>
        <w:t>分项验收的工作安排</w:t>
      </w:r>
      <w:r>
        <w:rPr>
          <w:rFonts w:hint="eastAsia" w:ascii="宋体" w:hAnsi="宋体"/>
          <w:bCs/>
          <w:color w:val="auto"/>
          <w:szCs w:val="21"/>
          <w:highlight w:val="none"/>
          <w:u w:val="single"/>
        </w:rPr>
        <w:t xml:space="preserve">）  </w:t>
      </w:r>
    </w:p>
    <w:p w14:paraId="05FBF41D">
      <w:pPr>
        <w:adjustRightInd w:val="0"/>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（4）履约验收程序：</w:t>
      </w:r>
      <w:r>
        <w:rPr>
          <w:rFonts w:hint="eastAsia" w:ascii="宋体" w:hAnsi="宋体"/>
          <w:bCs/>
          <w:color w:val="auto"/>
          <w:szCs w:val="21"/>
          <w:highlight w:val="none"/>
          <w:u w:val="single"/>
        </w:rPr>
        <w:t xml:space="preserve">                                         </w:t>
      </w:r>
    </w:p>
    <w:p w14:paraId="19621462">
      <w:pPr>
        <w:adjustRightInd w:val="0"/>
        <w:snapToGrid w:val="0"/>
        <w:spacing w:line="400" w:lineRule="exact"/>
        <w:ind w:firstLine="420" w:firstLineChars="200"/>
        <w:rPr>
          <w:rFonts w:ascii="宋体" w:hAnsi="宋体"/>
          <w:bCs/>
          <w:color w:val="auto"/>
          <w:szCs w:val="21"/>
          <w:highlight w:val="none"/>
          <w:u w:val="single"/>
        </w:rPr>
      </w:pPr>
      <w:r>
        <w:rPr>
          <w:rFonts w:hint="eastAsia" w:ascii="宋体" w:hAnsi="宋体"/>
          <w:bCs/>
          <w:color w:val="auto"/>
          <w:szCs w:val="21"/>
          <w:highlight w:val="none"/>
        </w:rPr>
        <w:t>（5）履约验收的内容：</w:t>
      </w:r>
      <w:r>
        <w:rPr>
          <w:rFonts w:hint="eastAsia" w:ascii="宋体" w:hAnsi="宋体"/>
          <w:bCs/>
          <w:color w:val="auto"/>
          <w:szCs w:val="21"/>
          <w:highlight w:val="none"/>
          <w:u w:val="single"/>
        </w:rPr>
        <w:t xml:space="preserve"> （应当包括每一项技术和商务要求的履约情况，特别是落实政府采购扶持中小企业，支持绿色发展和乡村振兴等政策情况）                                      </w:t>
      </w:r>
    </w:p>
    <w:p w14:paraId="2491405D">
      <w:pPr>
        <w:adjustRightInd w:val="0"/>
        <w:snapToGrid w:val="0"/>
        <w:spacing w:line="400" w:lineRule="exact"/>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（6）履约验收标准：</w:t>
      </w:r>
      <w:r>
        <w:rPr>
          <w:rFonts w:hint="eastAsia" w:ascii="宋体" w:hAnsi="宋体"/>
          <w:bCs/>
          <w:color w:val="auto"/>
          <w:szCs w:val="21"/>
          <w:highlight w:val="none"/>
          <w:u w:val="single"/>
        </w:rPr>
        <w:t xml:space="preserve">                                         </w:t>
      </w:r>
    </w:p>
    <w:p w14:paraId="0CC7FD70">
      <w:pPr>
        <w:pStyle w:val="110"/>
        <w:ind w:firstLine="420"/>
        <w:rPr>
          <w:rFonts w:hint="eastAsia" w:ascii="宋体" w:hAnsi="宋体" w:eastAsia="宋体" w:cs="宋体"/>
          <w:color w:val="auto"/>
          <w:sz w:val="21"/>
          <w:highlight w:val="none"/>
        </w:rPr>
      </w:pPr>
      <w:r>
        <w:rPr>
          <w:rFonts w:hint="eastAsia" w:ascii="宋体" w:hAnsi="宋体" w:eastAsia="宋体" w:cs="宋体"/>
          <w:bCs/>
          <w:color w:val="auto"/>
          <w:sz w:val="21"/>
          <w:highlight w:val="none"/>
        </w:rPr>
        <w:t>（7）是否以采购活动中供应商提供的样品作为参考：</w:t>
      </w:r>
      <w:r>
        <w:rPr>
          <w:rFonts w:hint="eastAsia" w:ascii="宋体" w:hAnsi="宋体" w:eastAsia="宋体" w:cs="宋体"/>
          <w:color w:val="auto"/>
          <w:sz w:val="21"/>
          <w:highlight w:val="none"/>
        </w:rPr>
        <w:sym w:font="Wingdings" w:char="00A8"/>
      </w:r>
      <w:r>
        <w:rPr>
          <w:rFonts w:hint="eastAsia" w:ascii="宋体" w:hAnsi="宋体" w:eastAsia="宋体" w:cs="宋体"/>
          <w:bCs/>
          <w:color w:val="auto"/>
          <w:sz w:val="21"/>
          <w:highlight w:val="none"/>
        </w:rPr>
        <w:t xml:space="preserve">是  </w:t>
      </w:r>
      <w:r>
        <w:rPr>
          <w:rFonts w:hint="eastAsia" w:ascii="宋体" w:hAnsi="宋体" w:eastAsia="宋体" w:cs="宋体"/>
          <w:color w:val="auto"/>
          <w:sz w:val="21"/>
          <w:highlight w:val="none"/>
        </w:rPr>
        <w:sym w:font="Wingdings" w:char="00A8"/>
      </w:r>
      <w:r>
        <w:rPr>
          <w:rFonts w:hint="eastAsia" w:ascii="宋体" w:hAnsi="宋体" w:eastAsia="宋体" w:cs="宋体"/>
          <w:bCs/>
          <w:color w:val="auto"/>
          <w:sz w:val="21"/>
          <w:highlight w:val="none"/>
        </w:rPr>
        <w:t>否</w:t>
      </w:r>
    </w:p>
    <w:p w14:paraId="185F568B">
      <w:pPr>
        <w:adjustRightInd w:val="0"/>
        <w:snapToGrid w:val="0"/>
        <w:spacing w:line="400" w:lineRule="exact"/>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rPr>
        <w:t>（8）履约验收其他事项：</w:t>
      </w:r>
      <w:r>
        <w:rPr>
          <w:rFonts w:hint="eastAsia" w:ascii="宋体" w:hAnsi="宋体" w:cs="宋体"/>
          <w:bCs/>
          <w:color w:val="auto"/>
          <w:szCs w:val="21"/>
          <w:highlight w:val="none"/>
          <w:u w:val="single"/>
        </w:rPr>
        <w:t xml:space="preserve">      （产权过户登记等）          </w:t>
      </w:r>
    </w:p>
    <w:p w14:paraId="42D5B567">
      <w:pPr>
        <w:numPr>
          <w:ilvl w:val="0"/>
          <w:numId w:val="5"/>
        </w:numPr>
        <w:adjustRightInd w:val="0"/>
        <w:snapToGrid w:val="0"/>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组成合同的文件</w:t>
      </w:r>
    </w:p>
    <w:p w14:paraId="5C1067C6">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本协议书与下列文件一起构成合同文件，如下述文件之间有任何抵触、矛盾或歧义，应按以下顺序解释：</w:t>
      </w:r>
    </w:p>
    <w:p w14:paraId="707DB295">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（1）政府采购合同协议书及其变更、补充协议</w:t>
      </w:r>
    </w:p>
    <w:p w14:paraId="60758CAF">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（2）政府采购合同专用条款</w:t>
      </w:r>
    </w:p>
    <w:p w14:paraId="4003466C">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（3）政府采购合同通用条款</w:t>
      </w:r>
    </w:p>
    <w:p w14:paraId="6CED6FF0">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（4）中标（成交）通知书</w:t>
      </w:r>
    </w:p>
    <w:p w14:paraId="12F7C13F">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（5）投标（响应）文件</w:t>
      </w:r>
    </w:p>
    <w:p w14:paraId="0470DA32">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（6）采购文件</w:t>
      </w:r>
    </w:p>
    <w:p w14:paraId="18AD9AE0">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（7）有关技术文件，图纸</w:t>
      </w:r>
    </w:p>
    <w:p w14:paraId="5CC746D9">
      <w:pPr>
        <w:pStyle w:val="110"/>
        <w:ind w:firstLine="420"/>
        <w:rPr>
          <w:rFonts w:hint="eastAsia" w:ascii="宋体" w:hAnsi="宋体" w:eastAsia="宋体" w:cs="宋体"/>
          <w:color w:val="auto"/>
          <w:kern w:val="2"/>
          <w:sz w:val="21"/>
          <w:highlight w:val="none"/>
        </w:rPr>
      </w:pPr>
      <w:r>
        <w:rPr>
          <w:rFonts w:hint="eastAsia" w:ascii="宋体" w:hAnsi="宋体" w:eastAsia="宋体" w:cs="宋体"/>
          <w:color w:val="auto"/>
          <w:sz w:val="21"/>
          <w:highlight w:val="none"/>
        </w:rPr>
        <w:t>（8）</w:t>
      </w:r>
      <w:r>
        <w:rPr>
          <w:rFonts w:hint="eastAsia" w:ascii="宋体" w:hAnsi="宋体" w:eastAsia="宋体" w:cs="宋体"/>
          <w:color w:val="auto"/>
          <w:kern w:val="2"/>
          <w:sz w:val="21"/>
          <w:highlight w:val="none"/>
        </w:rPr>
        <w:t>国家法律、行政法规和规章制度规定或合同约定的作为合同组成部分的其他文件</w:t>
      </w:r>
    </w:p>
    <w:p w14:paraId="2CCDE74C">
      <w:pPr>
        <w:numPr>
          <w:ilvl w:val="0"/>
          <w:numId w:val="5"/>
        </w:numPr>
        <w:adjustRightInd w:val="0"/>
        <w:snapToGrid w:val="0"/>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合同生效</w:t>
      </w:r>
    </w:p>
    <w:p w14:paraId="6A1AA493">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本合同自</w:t>
      </w:r>
      <w:r>
        <w:rPr>
          <w:rFonts w:hint="eastAsia" w:ascii="宋体" w:hAnsi="宋体"/>
          <w:color w:val="auto"/>
          <w:szCs w:val="21"/>
          <w:highlight w:val="none"/>
          <w:u w:val="single"/>
        </w:rPr>
        <w:t xml:space="preserve">                             </w:t>
      </w:r>
      <w:r>
        <w:rPr>
          <w:rFonts w:hint="eastAsia" w:ascii="宋体" w:hAnsi="宋体"/>
          <w:color w:val="auto"/>
          <w:szCs w:val="21"/>
          <w:highlight w:val="none"/>
        </w:rPr>
        <w:t>生效。</w:t>
      </w:r>
    </w:p>
    <w:p w14:paraId="050D9E14">
      <w:pPr>
        <w:numPr>
          <w:ilvl w:val="0"/>
          <w:numId w:val="5"/>
        </w:numPr>
        <w:adjustRightInd w:val="0"/>
        <w:snapToGrid w:val="0"/>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合同份数</w:t>
      </w:r>
    </w:p>
    <w:p w14:paraId="62538606">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本合同一式</w:t>
      </w:r>
      <w:r>
        <w:rPr>
          <w:rFonts w:hint="eastAsia" w:ascii="宋体" w:hAnsi="宋体"/>
          <w:color w:val="auto"/>
          <w:szCs w:val="21"/>
          <w:highlight w:val="none"/>
          <w:u w:val="single"/>
        </w:rPr>
        <w:t xml:space="preserve">    </w:t>
      </w:r>
      <w:r>
        <w:rPr>
          <w:rFonts w:hint="eastAsia" w:ascii="宋体" w:hAnsi="宋体"/>
          <w:color w:val="auto"/>
          <w:szCs w:val="21"/>
          <w:highlight w:val="none"/>
        </w:rPr>
        <w:t>份，甲方执</w:t>
      </w:r>
      <w:r>
        <w:rPr>
          <w:rFonts w:hint="eastAsia" w:ascii="宋体" w:hAnsi="宋体"/>
          <w:color w:val="auto"/>
          <w:szCs w:val="21"/>
          <w:highlight w:val="none"/>
          <w:u w:val="single"/>
        </w:rPr>
        <w:t xml:space="preserve">    </w:t>
      </w:r>
      <w:r>
        <w:rPr>
          <w:rFonts w:hint="eastAsia" w:ascii="宋体" w:hAnsi="宋体"/>
          <w:color w:val="auto"/>
          <w:szCs w:val="21"/>
          <w:highlight w:val="none"/>
        </w:rPr>
        <w:t>份，乙方执</w:t>
      </w:r>
      <w:r>
        <w:rPr>
          <w:rFonts w:hint="eastAsia" w:ascii="宋体" w:hAnsi="宋体"/>
          <w:color w:val="auto"/>
          <w:szCs w:val="21"/>
          <w:highlight w:val="none"/>
          <w:u w:val="single"/>
        </w:rPr>
        <w:t xml:space="preserve">    </w:t>
      </w:r>
      <w:r>
        <w:rPr>
          <w:rFonts w:hint="eastAsia" w:ascii="宋体" w:hAnsi="宋体"/>
          <w:color w:val="auto"/>
          <w:szCs w:val="21"/>
          <w:highlight w:val="none"/>
        </w:rPr>
        <w:t>份，均具有同等法律效力。</w:t>
      </w:r>
    </w:p>
    <w:p w14:paraId="210EEAA1">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27EDE16F">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合同订立地点：</w:t>
      </w:r>
      <w:r>
        <w:rPr>
          <w:rFonts w:hint="eastAsia" w:ascii="宋体" w:hAnsi="宋体"/>
          <w:color w:val="auto"/>
          <w:szCs w:val="21"/>
          <w:highlight w:val="none"/>
          <w:u w:val="single"/>
        </w:rPr>
        <w:t xml:space="preserve">                           </w:t>
      </w:r>
    </w:p>
    <w:p w14:paraId="05F8B4C8">
      <w:pPr>
        <w:adjustRightInd w:val="0"/>
        <w:snapToGrid w:val="0"/>
        <w:spacing w:line="400" w:lineRule="exact"/>
        <w:ind w:firstLine="420" w:firstLineChars="200"/>
        <w:rPr>
          <w:color w:val="auto"/>
          <w:highlight w:val="none"/>
        </w:rPr>
      </w:pPr>
      <w:r>
        <w:rPr>
          <w:rFonts w:hint="eastAsia" w:ascii="宋体" w:hAnsi="宋体"/>
          <w:color w:val="auto"/>
          <w:szCs w:val="21"/>
          <w:highlight w:val="none"/>
        </w:rPr>
        <w:t>附件：具体标的及其技术要求和商务要求、联合协议、分包意向协议等。</w:t>
      </w:r>
    </w:p>
    <w:p w14:paraId="0B451BE9">
      <w:pPr>
        <w:rPr>
          <w:rFonts w:hint="eastAsia"/>
          <w:color w:val="auto"/>
          <w:highlight w:val="none"/>
        </w:rPr>
      </w:pPr>
      <w:r>
        <w:rPr>
          <w:rFonts w:hint="eastAsia"/>
          <w:color w:val="auto"/>
          <w:highlight w:val="none"/>
        </w:rPr>
        <w:br w:type="page"/>
      </w:r>
    </w:p>
    <w:p w14:paraId="446EA6BB">
      <w:pPr>
        <w:pStyle w:val="82"/>
        <w:rPr>
          <w:rFonts w:hint="eastAsia"/>
          <w:color w:val="auto"/>
          <w:highlight w:val="none"/>
        </w:rPr>
      </w:pPr>
    </w:p>
    <w:tbl>
      <w:tblPr>
        <w:tblStyle w:val="28"/>
        <w:tblW w:w="9131"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057"/>
        <w:gridCol w:w="2622"/>
        <w:gridCol w:w="2151"/>
        <w:gridCol w:w="2301"/>
      </w:tblGrid>
      <w:tr w14:paraId="473852B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679" w:type="dxa"/>
            <w:gridSpan w:val="2"/>
            <w:tcBorders>
              <w:bottom w:val="single" w:color="auto" w:sz="2" w:space="0"/>
              <w:right w:val="single" w:color="auto" w:sz="2" w:space="0"/>
            </w:tcBorders>
            <w:noWrap w:val="0"/>
            <w:vAlign w:val="center"/>
          </w:tcPr>
          <w:p w14:paraId="11A3F073">
            <w:pPr>
              <w:adjustRightInd w:val="0"/>
              <w:snapToGrid w:val="0"/>
              <w:spacing w:line="300" w:lineRule="exact"/>
              <w:jc w:val="center"/>
              <w:rPr>
                <w:color w:val="auto"/>
                <w:highlight w:val="none"/>
              </w:rPr>
            </w:pPr>
            <w:r>
              <w:rPr>
                <w:color w:val="auto"/>
                <w:szCs w:val="21"/>
                <w:highlight w:val="none"/>
              </w:rPr>
              <w:t>甲方</w:t>
            </w:r>
            <w:r>
              <w:rPr>
                <w:rFonts w:hint="eastAsia"/>
                <w:color w:val="auto"/>
                <w:szCs w:val="21"/>
                <w:highlight w:val="none"/>
              </w:rPr>
              <w:t>（采购人</w:t>
            </w:r>
            <w:r>
              <w:rPr>
                <w:rFonts w:hint="eastAsia" w:ascii="宋体" w:hAnsi="宋体"/>
                <w:color w:val="auto"/>
                <w:szCs w:val="21"/>
                <w:highlight w:val="none"/>
              </w:rPr>
              <w:t>、受采购人委托签订合同的单位或</w:t>
            </w:r>
            <w:r>
              <w:rPr>
                <w:rFonts w:hint="eastAsia"/>
                <w:color w:val="auto"/>
                <w:szCs w:val="21"/>
                <w:highlight w:val="none"/>
              </w:rPr>
              <w:t>采购文件约定的合同甲方）</w:t>
            </w:r>
          </w:p>
        </w:tc>
        <w:tc>
          <w:tcPr>
            <w:tcW w:w="4452" w:type="dxa"/>
            <w:gridSpan w:val="2"/>
            <w:tcBorders>
              <w:left w:val="single" w:color="auto" w:sz="2" w:space="0"/>
              <w:bottom w:val="single" w:color="auto" w:sz="2" w:space="0"/>
            </w:tcBorders>
            <w:noWrap w:val="0"/>
            <w:vAlign w:val="center"/>
          </w:tcPr>
          <w:p w14:paraId="36C63BDF">
            <w:pPr>
              <w:adjustRightInd w:val="0"/>
              <w:snapToGrid w:val="0"/>
              <w:spacing w:line="300" w:lineRule="exact"/>
              <w:jc w:val="center"/>
              <w:rPr>
                <w:color w:val="auto"/>
                <w:highlight w:val="none"/>
              </w:rPr>
            </w:pPr>
            <w:r>
              <w:rPr>
                <w:color w:val="auto"/>
                <w:szCs w:val="21"/>
                <w:highlight w:val="none"/>
              </w:rPr>
              <w:t>乙方</w:t>
            </w:r>
            <w:r>
              <w:rPr>
                <w:rFonts w:hint="eastAsia"/>
                <w:color w:val="auto"/>
                <w:szCs w:val="21"/>
                <w:highlight w:val="none"/>
              </w:rPr>
              <w:t>（供应商）</w:t>
            </w:r>
          </w:p>
        </w:tc>
      </w:tr>
      <w:tr w14:paraId="2210DB2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2057" w:type="dxa"/>
            <w:tcBorders>
              <w:top w:val="single" w:color="auto" w:sz="2" w:space="0"/>
              <w:bottom w:val="single" w:color="auto" w:sz="2" w:space="0"/>
              <w:right w:val="single" w:color="auto" w:sz="2" w:space="0"/>
            </w:tcBorders>
            <w:noWrap w:val="0"/>
            <w:vAlign w:val="center"/>
          </w:tcPr>
          <w:p w14:paraId="1CC9CF9B">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（公章或合同章）</w:t>
            </w:r>
          </w:p>
        </w:tc>
        <w:tc>
          <w:tcPr>
            <w:tcW w:w="2622" w:type="dxa"/>
            <w:tcBorders>
              <w:top w:val="single" w:color="auto" w:sz="2" w:space="0"/>
              <w:left w:val="single" w:color="auto" w:sz="2" w:space="0"/>
              <w:bottom w:val="single" w:color="auto" w:sz="2" w:space="0"/>
              <w:right w:val="single" w:color="auto" w:sz="2" w:space="0"/>
            </w:tcBorders>
            <w:noWrap w:val="0"/>
            <w:vAlign w:val="center"/>
          </w:tcPr>
          <w:p w14:paraId="2C8018C4">
            <w:pPr>
              <w:adjustRightInd w:val="0"/>
              <w:snapToGrid w:val="0"/>
              <w:spacing w:line="300" w:lineRule="exact"/>
              <w:jc w:val="center"/>
              <w:rPr>
                <w:color w:val="auto"/>
                <w:szCs w:val="21"/>
                <w:highlight w:val="none"/>
              </w:rPr>
            </w:pPr>
          </w:p>
        </w:tc>
        <w:tc>
          <w:tcPr>
            <w:tcW w:w="2151" w:type="dxa"/>
            <w:tcBorders>
              <w:top w:val="single" w:color="auto" w:sz="2" w:space="0"/>
              <w:left w:val="single" w:color="auto" w:sz="2" w:space="0"/>
              <w:bottom w:val="single" w:color="auto" w:sz="2" w:space="0"/>
              <w:right w:val="single" w:color="auto" w:sz="2" w:space="0"/>
            </w:tcBorders>
            <w:noWrap w:val="0"/>
            <w:vAlign w:val="center"/>
          </w:tcPr>
          <w:p w14:paraId="63CF9BAC">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（公章或合同章）</w:t>
            </w:r>
          </w:p>
        </w:tc>
        <w:tc>
          <w:tcPr>
            <w:tcW w:w="2301" w:type="dxa"/>
            <w:tcBorders>
              <w:top w:val="single" w:color="auto" w:sz="2" w:space="0"/>
              <w:left w:val="single" w:color="auto" w:sz="2" w:space="0"/>
              <w:bottom w:val="single" w:color="auto" w:sz="2" w:space="0"/>
            </w:tcBorders>
            <w:noWrap w:val="0"/>
            <w:vAlign w:val="center"/>
          </w:tcPr>
          <w:p w14:paraId="043A1301">
            <w:pPr>
              <w:adjustRightInd w:val="0"/>
              <w:snapToGrid w:val="0"/>
              <w:spacing w:line="300" w:lineRule="exact"/>
              <w:jc w:val="center"/>
              <w:rPr>
                <w:color w:val="auto"/>
                <w:spacing w:val="20"/>
                <w:szCs w:val="21"/>
                <w:highlight w:val="none"/>
              </w:rPr>
            </w:pPr>
          </w:p>
        </w:tc>
      </w:tr>
      <w:tr w14:paraId="599D4E0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2057" w:type="dxa"/>
            <w:vMerge w:val="restart"/>
            <w:tcBorders>
              <w:top w:val="single" w:color="auto" w:sz="2" w:space="0"/>
              <w:right w:val="single" w:color="auto" w:sz="2" w:space="0"/>
            </w:tcBorders>
            <w:noWrap w:val="0"/>
            <w:vAlign w:val="center"/>
          </w:tcPr>
          <w:p w14:paraId="2670689D">
            <w:pPr>
              <w:adjustRightInd w:val="0"/>
              <w:snapToGrid w:val="0"/>
              <w:spacing w:line="300" w:lineRule="exact"/>
              <w:jc w:val="center"/>
              <w:rPr>
                <w:color w:val="auto"/>
                <w:szCs w:val="21"/>
                <w:highlight w:val="none"/>
              </w:rPr>
            </w:pPr>
            <w:r>
              <w:rPr>
                <w:color w:val="auto"/>
                <w:szCs w:val="21"/>
                <w:highlight w:val="none"/>
              </w:rPr>
              <w:t>法定代表人</w:t>
            </w:r>
          </w:p>
          <w:p w14:paraId="6ACA894B">
            <w:pPr>
              <w:adjustRightInd w:val="0"/>
              <w:snapToGrid w:val="0"/>
              <w:spacing w:line="300" w:lineRule="exact"/>
              <w:ind w:firstLine="100" w:firstLineChars="48"/>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622" w:type="dxa"/>
            <w:vMerge w:val="restart"/>
            <w:tcBorders>
              <w:top w:val="single" w:color="auto" w:sz="2" w:space="0"/>
              <w:left w:val="single" w:color="auto" w:sz="2" w:space="0"/>
              <w:right w:val="single" w:color="auto" w:sz="2" w:space="0"/>
            </w:tcBorders>
            <w:noWrap w:val="0"/>
            <w:vAlign w:val="center"/>
          </w:tcPr>
          <w:p w14:paraId="402E691C">
            <w:pPr>
              <w:adjustRightInd w:val="0"/>
              <w:snapToGrid w:val="0"/>
              <w:spacing w:line="300" w:lineRule="exact"/>
              <w:jc w:val="center"/>
              <w:rPr>
                <w:color w:val="auto"/>
                <w:szCs w:val="21"/>
                <w:highlight w:val="none"/>
              </w:rPr>
            </w:pPr>
          </w:p>
        </w:tc>
        <w:tc>
          <w:tcPr>
            <w:tcW w:w="2151" w:type="dxa"/>
            <w:tcBorders>
              <w:top w:val="single" w:color="auto" w:sz="2" w:space="0"/>
              <w:left w:val="single" w:color="auto" w:sz="2" w:space="0"/>
              <w:right w:val="single" w:color="auto" w:sz="2" w:space="0"/>
            </w:tcBorders>
            <w:noWrap w:val="0"/>
            <w:vAlign w:val="center"/>
          </w:tcPr>
          <w:p w14:paraId="22E1F2C2">
            <w:pPr>
              <w:adjustRightInd w:val="0"/>
              <w:snapToGrid w:val="0"/>
              <w:spacing w:line="300" w:lineRule="exact"/>
              <w:jc w:val="center"/>
              <w:rPr>
                <w:color w:val="auto"/>
                <w:szCs w:val="21"/>
                <w:highlight w:val="none"/>
              </w:rPr>
            </w:pPr>
            <w:r>
              <w:rPr>
                <w:color w:val="auto"/>
                <w:szCs w:val="21"/>
                <w:highlight w:val="none"/>
              </w:rPr>
              <w:t>法定代表人</w:t>
            </w:r>
          </w:p>
          <w:p w14:paraId="3BB586D7">
            <w:pPr>
              <w:adjustRightInd w:val="0"/>
              <w:snapToGrid w:val="0"/>
              <w:spacing w:line="300" w:lineRule="exact"/>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301" w:type="dxa"/>
            <w:tcBorders>
              <w:top w:val="single" w:color="auto" w:sz="2" w:space="0"/>
              <w:left w:val="single" w:color="auto" w:sz="2" w:space="0"/>
              <w:bottom w:val="single" w:color="auto" w:sz="2" w:space="0"/>
            </w:tcBorders>
            <w:noWrap w:val="0"/>
            <w:vAlign w:val="center"/>
          </w:tcPr>
          <w:p w14:paraId="7EAD8D44">
            <w:pPr>
              <w:adjustRightInd w:val="0"/>
              <w:snapToGrid w:val="0"/>
              <w:spacing w:line="300" w:lineRule="exact"/>
              <w:jc w:val="center"/>
              <w:rPr>
                <w:color w:val="auto"/>
                <w:szCs w:val="21"/>
                <w:highlight w:val="none"/>
              </w:rPr>
            </w:pPr>
          </w:p>
        </w:tc>
      </w:tr>
      <w:tr w14:paraId="5127C8D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57" w:type="dxa"/>
            <w:vMerge w:val="continue"/>
            <w:tcBorders>
              <w:bottom w:val="single" w:color="auto" w:sz="2" w:space="0"/>
              <w:right w:val="single" w:color="auto" w:sz="2" w:space="0"/>
            </w:tcBorders>
            <w:noWrap w:val="0"/>
            <w:vAlign w:val="center"/>
          </w:tcPr>
          <w:p w14:paraId="3975A4CB">
            <w:pPr>
              <w:adjustRightInd w:val="0"/>
              <w:snapToGrid w:val="0"/>
              <w:spacing w:line="300" w:lineRule="exact"/>
              <w:jc w:val="center"/>
              <w:rPr>
                <w:color w:val="auto"/>
                <w:szCs w:val="21"/>
                <w:highlight w:val="none"/>
              </w:rPr>
            </w:pPr>
          </w:p>
        </w:tc>
        <w:tc>
          <w:tcPr>
            <w:tcW w:w="2622" w:type="dxa"/>
            <w:vMerge w:val="continue"/>
            <w:tcBorders>
              <w:left w:val="single" w:color="auto" w:sz="2" w:space="0"/>
              <w:bottom w:val="single" w:color="auto" w:sz="2" w:space="0"/>
              <w:right w:val="single" w:color="auto" w:sz="2" w:space="0"/>
            </w:tcBorders>
            <w:noWrap w:val="0"/>
            <w:vAlign w:val="center"/>
          </w:tcPr>
          <w:p w14:paraId="245E2A58">
            <w:pPr>
              <w:adjustRightInd w:val="0"/>
              <w:snapToGrid w:val="0"/>
              <w:spacing w:line="300" w:lineRule="exact"/>
              <w:jc w:val="center"/>
              <w:rPr>
                <w:color w:val="auto"/>
                <w:szCs w:val="21"/>
                <w:highlight w:val="none"/>
              </w:rPr>
            </w:pPr>
          </w:p>
        </w:tc>
        <w:tc>
          <w:tcPr>
            <w:tcW w:w="2151" w:type="dxa"/>
            <w:tcBorders>
              <w:top w:val="single" w:color="auto" w:sz="2" w:space="0"/>
              <w:left w:val="single" w:color="auto" w:sz="2" w:space="0"/>
              <w:bottom w:val="single" w:color="auto" w:sz="2" w:space="0"/>
              <w:right w:val="single" w:color="auto" w:sz="2" w:space="0"/>
            </w:tcBorders>
            <w:noWrap w:val="0"/>
            <w:vAlign w:val="center"/>
          </w:tcPr>
          <w:p w14:paraId="4FF7A942">
            <w:pPr>
              <w:adjustRightInd w:val="0"/>
              <w:snapToGrid w:val="0"/>
              <w:spacing w:line="300" w:lineRule="exact"/>
              <w:jc w:val="center"/>
              <w:rPr>
                <w:rFonts w:hint="eastAsia"/>
                <w:color w:val="auto"/>
                <w:szCs w:val="21"/>
                <w:highlight w:val="none"/>
              </w:rPr>
            </w:pPr>
            <w:r>
              <w:rPr>
                <w:rFonts w:hint="eastAsia"/>
                <w:color w:val="auto"/>
                <w:szCs w:val="21"/>
                <w:highlight w:val="none"/>
              </w:rPr>
              <w:t>拥有者性别</w:t>
            </w:r>
          </w:p>
        </w:tc>
        <w:tc>
          <w:tcPr>
            <w:tcW w:w="2301" w:type="dxa"/>
            <w:tcBorders>
              <w:top w:val="single" w:color="auto" w:sz="2" w:space="0"/>
              <w:left w:val="single" w:color="auto" w:sz="2" w:space="0"/>
              <w:bottom w:val="single" w:color="auto" w:sz="2" w:space="0"/>
            </w:tcBorders>
            <w:noWrap w:val="0"/>
            <w:vAlign w:val="center"/>
          </w:tcPr>
          <w:p w14:paraId="489F0881">
            <w:pPr>
              <w:adjustRightInd w:val="0"/>
              <w:snapToGrid w:val="0"/>
              <w:spacing w:line="300" w:lineRule="exact"/>
              <w:jc w:val="center"/>
              <w:rPr>
                <w:color w:val="auto"/>
                <w:spacing w:val="20"/>
                <w:szCs w:val="21"/>
                <w:highlight w:val="none"/>
              </w:rPr>
            </w:pPr>
          </w:p>
        </w:tc>
      </w:tr>
      <w:tr w14:paraId="0E91C9D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57" w:type="dxa"/>
            <w:tcBorders>
              <w:top w:val="single" w:color="auto" w:sz="2" w:space="0"/>
              <w:bottom w:val="single" w:color="auto" w:sz="2" w:space="0"/>
              <w:right w:val="single" w:color="auto" w:sz="2" w:space="0"/>
            </w:tcBorders>
            <w:noWrap w:val="0"/>
            <w:vAlign w:val="center"/>
          </w:tcPr>
          <w:p w14:paraId="6FE9C677">
            <w:pPr>
              <w:adjustRightInd w:val="0"/>
              <w:snapToGrid w:val="0"/>
              <w:spacing w:line="300" w:lineRule="exact"/>
              <w:jc w:val="center"/>
              <w:rPr>
                <w:rFonts w:hint="eastAsia"/>
                <w:color w:val="auto"/>
                <w:szCs w:val="21"/>
                <w:highlight w:val="none"/>
              </w:rPr>
            </w:pPr>
            <w:r>
              <w:rPr>
                <w:rFonts w:hint="eastAsia"/>
                <w:color w:val="auto"/>
                <w:szCs w:val="21"/>
                <w:highlight w:val="none"/>
              </w:rPr>
              <w:t>住  所</w:t>
            </w:r>
          </w:p>
        </w:tc>
        <w:tc>
          <w:tcPr>
            <w:tcW w:w="2622" w:type="dxa"/>
            <w:tcBorders>
              <w:top w:val="single" w:color="auto" w:sz="2" w:space="0"/>
              <w:left w:val="single" w:color="auto" w:sz="2" w:space="0"/>
              <w:bottom w:val="single" w:color="auto" w:sz="2" w:space="0"/>
              <w:right w:val="single" w:color="auto" w:sz="2" w:space="0"/>
            </w:tcBorders>
            <w:noWrap w:val="0"/>
            <w:vAlign w:val="center"/>
          </w:tcPr>
          <w:p w14:paraId="73C37CBC">
            <w:pPr>
              <w:adjustRightInd w:val="0"/>
              <w:snapToGrid w:val="0"/>
              <w:spacing w:line="300" w:lineRule="exact"/>
              <w:jc w:val="center"/>
              <w:rPr>
                <w:color w:val="auto"/>
                <w:szCs w:val="21"/>
                <w:highlight w:val="none"/>
              </w:rPr>
            </w:pPr>
          </w:p>
        </w:tc>
        <w:tc>
          <w:tcPr>
            <w:tcW w:w="2151" w:type="dxa"/>
            <w:tcBorders>
              <w:top w:val="single" w:color="auto" w:sz="2" w:space="0"/>
              <w:left w:val="single" w:color="auto" w:sz="2" w:space="0"/>
              <w:bottom w:val="single" w:color="auto" w:sz="2" w:space="0"/>
              <w:right w:val="single" w:color="auto" w:sz="2" w:space="0"/>
            </w:tcBorders>
            <w:noWrap w:val="0"/>
            <w:vAlign w:val="center"/>
          </w:tcPr>
          <w:p w14:paraId="5E71B47F">
            <w:pPr>
              <w:adjustRightInd w:val="0"/>
              <w:snapToGrid w:val="0"/>
              <w:spacing w:line="300" w:lineRule="exact"/>
              <w:jc w:val="center"/>
              <w:rPr>
                <w:rFonts w:hint="eastAsia"/>
                <w:color w:val="auto"/>
                <w:szCs w:val="21"/>
                <w:highlight w:val="none"/>
              </w:rPr>
            </w:pPr>
            <w:r>
              <w:rPr>
                <w:rFonts w:hint="eastAsia"/>
                <w:color w:val="auto"/>
                <w:szCs w:val="21"/>
                <w:highlight w:val="none"/>
              </w:rPr>
              <w:t>住  所</w:t>
            </w:r>
          </w:p>
        </w:tc>
        <w:tc>
          <w:tcPr>
            <w:tcW w:w="2301" w:type="dxa"/>
            <w:tcBorders>
              <w:top w:val="single" w:color="auto" w:sz="2" w:space="0"/>
              <w:left w:val="single" w:color="auto" w:sz="2" w:space="0"/>
              <w:bottom w:val="single" w:color="auto" w:sz="2" w:space="0"/>
            </w:tcBorders>
            <w:noWrap w:val="0"/>
            <w:vAlign w:val="center"/>
          </w:tcPr>
          <w:p w14:paraId="0BE3AF55">
            <w:pPr>
              <w:adjustRightInd w:val="0"/>
              <w:snapToGrid w:val="0"/>
              <w:spacing w:line="300" w:lineRule="exact"/>
              <w:jc w:val="center"/>
              <w:rPr>
                <w:color w:val="auto"/>
                <w:spacing w:val="20"/>
                <w:szCs w:val="21"/>
                <w:highlight w:val="none"/>
              </w:rPr>
            </w:pPr>
          </w:p>
        </w:tc>
      </w:tr>
      <w:tr w14:paraId="7A4EE35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57" w:type="dxa"/>
            <w:tcBorders>
              <w:top w:val="single" w:color="auto" w:sz="2" w:space="0"/>
              <w:bottom w:val="single" w:color="auto" w:sz="2" w:space="0"/>
              <w:right w:val="single" w:color="auto" w:sz="2" w:space="0"/>
            </w:tcBorders>
            <w:noWrap w:val="0"/>
            <w:vAlign w:val="center"/>
          </w:tcPr>
          <w:p w14:paraId="3D0DB25E">
            <w:pPr>
              <w:adjustRightInd w:val="0"/>
              <w:snapToGrid w:val="0"/>
              <w:spacing w:line="300" w:lineRule="exact"/>
              <w:jc w:val="center"/>
              <w:rPr>
                <w:color w:val="auto"/>
                <w:szCs w:val="21"/>
                <w:highlight w:val="none"/>
              </w:rPr>
            </w:pPr>
            <w:r>
              <w:rPr>
                <w:color w:val="auto"/>
                <w:szCs w:val="21"/>
                <w:highlight w:val="none"/>
              </w:rPr>
              <w:t>联 系 人</w:t>
            </w:r>
          </w:p>
        </w:tc>
        <w:tc>
          <w:tcPr>
            <w:tcW w:w="2622" w:type="dxa"/>
            <w:tcBorders>
              <w:top w:val="single" w:color="auto" w:sz="2" w:space="0"/>
              <w:left w:val="single" w:color="auto" w:sz="2" w:space="0"/>
              <w:bottom w:val="single" w:color="auto" w:sz="2" w:space="0"/>
              <w:right w:val="single" w:color="auto" w:sz="2" w:space="0"/>
            </w:tcBorders>
            <w:noWrap w:val="0"/>
            <w:vAlign w:val="center"/>
          </w:tcPr>
          <w:p w14:paraId="112F218F">
            <w:pPr>
              <w:adjustRightInd w:val="0"/>
              <w:snapToGrid w:val="0"/>
              <w:spacing w:line="300" w:lineRule="exact"/>
              <w:jc w:val="center"/>
              <w:rPr>
                <w:color w:val="auto"/>
                <w:szCs w:val="21"/>
                <w:highlight w:val="none"/>
              </w:rPr>
            </w:pPr>
          </w:p>
        </w:tc>
        <w:tc>
          <w:tcPr>
            <w:tcW w:w="2151" w:type="dxa"/>
            <w:tcBorders>
              <w:top w:val="single" w:color="auto" w:sz="2" w:space="0"/>
              <w:left w:val="single" w:color="auto" w:sz="2" w:space="0"/>
              <w:bottom w:val="single" w:color="auto" w:sz="2" w:space="0"/>
              <w:right w:val="single" w:color="auto" w:sz="2" w:space="0"/>
            </w:tcBorders>
            <w:noWrap w:val="0"/>
            <w:vAlign w:val="center"/>
          </w:tcPr>
          <w:p w14:paraId="206E499D">
            <w:pPr>
              <w:adjustRightInd w:val="0"/>
              <w:snapToGrid w:val="0"/>
              <w:spacing w:line="300" w:lineRule="exact"/>
              <w:jc w:val="center"/>
              <w:rPr>
                <w:color w:val="auto"/>
                <w:szCs w:val="21"/>
                <w:highlight w:val="none"/>
              </w:rPr>
            </w:pPr>
            <w:r>
              <w:rPr>
                <w:color w:val="auto"/>
                <w:szCs w:val="21"/>
                <w:highlight w:val="none"/>
              </w:rPr>
              <w:t>联 系 人</w:t>
            </w:r>
          </w:p>
        </w:tc>
        <w:tc>
          <w:tcPr>
            <w:tcW w:w="2301" w:type="dxa"/>
            <w:tcBorders>
              <w:top w:val="single" w:color="auto" w:sz="2" w:space="0"/>
              <w:left w:val="single" w:color="auto" w:sz="2" w:space="0"/>
              <w:bottom w:val="single" w:color="auto" w:sz="2" w:space="0"/>
            </w:tcBorders>
            <w:noWrap w:val="0"/>
            <w:vAlign w:val="center"/>
          </w:tcPr>
          <w:p w14:paraId="438EB6F4">
            <w:pPr>
              <w:adjustRightInd w:val="0"/>
              <w:snapToGrid w:val="0"/>
              <w:spacing w:line="300" w:lineRule="exact"/>
              <w:jc w:val="center"/>
              <w:rPr>
                <w:color w:val="auto"/>
                <w:spacing w:val="20"/>
                <w:szCs w:val="21"/>
                <w:highlight w:val="none"/>
              </w:rPr>
            </w:pPr>
          </w:p>
        </w:tc>
      </w:tr>
      <w:tr w14:paraId="69491FB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57" w:type="dxa"/>
            <w:tcBorders>
              <w:top w:val="single" w:color="auto" w:sz="2" w:space="0"/>
              <w:bottom w:val="single" w:color="auto" w:sz="2" w:space="0"/>
              <w:right w:val="single" w:color="auto" w:sz="2" w:space="0"/>
            </w:tcBorders>
            <w:noWrap w:val="0"/>
            <w:vAlign w:val="center"/>
          </w:tcPr>
          <w:p w14:paraId="40EFF21D">
            <w:pPr>
              <w:adjustRightInd w:val="0"/>
              <w:snapToGrid w:val="0"/>
              <w:spacing w:line="300" w:lineRule="exact"/>
              <w:jc w:val="center"/>
              <w:rPr>
                <w:color w:val="auto"/>
                <w:szCs w:val="21"/>
                <w:highlight w:val="none"/>
              </w:rPr>
            </w:pPr>
            <w:r>
              <w:rPr>
                <w:color w:val="auto"/>
                <w:szCs w:val="21"/>
                <w:highlight w:val="none"/>
              </w:rPr>
              <w:t>联系电话</w:t>
            </w:r>
          </w:p>
        </w:tc>
        <w:tc>
          <w:tcPr>
            <w:tcW w:w="2622" w:type="dxa"/>
            <w:tcBorders>
              <w:top w:val="single" w:color="auto" w:sz="2" w:space="0"/>
              <w:left w:val="single" w:color="auto" w:sz="2" w:space="0"/>
              <w:bottom w:val="single" w:color="auto" w:sz="2" w:space="0"/>
              <w:right w:val="single" w:color="auto" w:sz="2" w:space="0"/>
            </w:tcBorders>
            <w:noWrap w:val="0"/>
            <w:vAlign w:val="center"/>
          </w:tcPr>
          <w:p w14:paraId="5D1A03E3">
            <w:pPr>
              <w:adjustRightInd w:val="0"/>
              <w:snapToGrid w:val="0"/>
              <w:spacing w:line="300" w:lineRule="exact"/>
              <w:jc w:val="center"/>
              <w:rPr>
                <w:color w:val="auto"/>
                <w:szCs w:val="21"/>
                <w:highlight w:val="none"/>
              </w:rPr>
            </w:pPr>
          </w:p>
        </w:tc>
        <w:tc>
          <w:tcPr>
            <w:tcW w:w="2151" w:type="dxa"/>
            <w:tcBorders>
              <w:top w:val="single" w:color="auto" w:sz="2" w:space="0"/>
              <w:left w:val="single" w:color="auto" w:sz="2" w:space="0"/>
              <w:bottom w:val="single" w:color="auto" w:sz="2" w:space="0"/>
              <w:right w:val="single" w:color="auto" w:sz="2" w:space="0"/>
            </w:tcBorders>
            <w:noWrap w:val="0"/>
            <w:vAlign w:val="center"/>
          </w:tcPr>
          <w:p w14:paraId="4D2A15A4">
            <w:pPr>
              <w:adjustRightInd w:val="0"/>
              <w:snapToGrid w:val="0"/>
              <w:spacing w:line="300" w:lineRule="exact"/>
              <w:jc w:val="center"/>
              <w:rPr>
                <w:color w:val="auto"/>
                <w:szCs w:val="21"/>
                <w:highlight w:val="none"/>
              </w:rPr>
            </w:pPr>
            <w:r>
              <w:rPr>
                <w:color w:val="auto"/>
                <w:szCs w:val="21"/>
                <w:highlight w:val="none"/>
              </w:rPr>
              <w:t>联系电话</w:t>
            </w:r>
          </w:p>
        </w:tc>
        <w:tc>
          <w:tcPr>
            <w:tcW w:w="2301" w:type="dxa"/>
            <w:tcBorders>
              <w:top w:val="single" w:color="auto" w:sz="2" w:space="0"/>
              <w:left w:val="single" w:color="auto" w:sz="2" w:space="0"/>
              <w:bottom w:val="single" w:color="auto" w:sz="2" w:space="0"/>
            </w:tcBorders>
            <w:noWrap w:val="0"/>
            <w:vAlign w:val="center"/>
          </w:tcPr>
          <w:p w14:paraId="01F7D240">
            <w:pPr>
              <w:adjustRightInd w:val="0"/>
              <w:snapToGrid w:val="0"/>
              <w:spacing w:line="300" w:lineRule="exact"/>
              <w:jc w:val="center"/>
              <w:rPr>
                <w:color w:val="auto"/>
                <w:spacing w:val="20"/>
                <w:szCs w:val="21"/>
                <w:highlight w:val="none"/>
              </w:rPr>
            </w:pPr>
          </w:p>
        </w:tc>
      </w:tr>
      <w:tr w14:paraId="1B2CFF6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57" w:type="dxa"/>
            <w:tcBorders>
              <w:top w:val="single" w:color="auto" w:sz="2" w:space="0"/>
              <w:bottom w:val="single" w:color="auto" w:sz="2" w:space="0"/>
              <w:right w:val="single" w:color="auto" w:sz="2" w:space="0"/>
            </w:tcBorders>
            <w:noWrap w:val="0"/>
            <w:vAlign w:val="center"/>
          </w:tcPr>
          <w:p w14:paraId="3EAC5DBE">
            <w:pPr>
              <w:adjustRightInd w:val="0"/>
              <w:snapToGrid w:val="0"/>
              <w:spacing w:line="300" w:lineRule="exact"/>
              <w:jc w:val="center"/>
              <w:rPr>
                <w:rFonts w:hint="eastAsia"/>
                <w:color w:val="auto"/>
                <w:szCs w:val="21"/>
                <w:highlight w:val="none"/>
              </w:rPr>
            </w:pPr>
            <w:r>
              <w:rPr>
                <w:rFonts w:hint="eastAsia"/>
                <w:color w:val="auto"/>
                <w:szCs w:val="21"/>
                <w:highlight w:val="none"/>
              </w:rPr>
              <w:t>通信地址</w:t>
            </w:r>
          </w:p>
        </w:tc>
        <w:tc>
          <w:tcPr>
            <w:tcW w:w="2622" w:type="dxa"/>
            <w:tcBorders>
              <w:top w:val="single" w:color="auto" w:sz="2" w:space="0"/>
              <w:left w:val="single" w:color="auto" w:sz="2" w:space="0"/>
              <w:bottom w:val="single" w:color="auto" w:sz="2" w:space="0"/>
              <w:right w:val="single" w:color="auto" w:sz="2" w:space="0"/>
            </w:tcBorders>
            <w:noWrap w:val="0"/>
            <w:vAlign w:val="center"/>
          </w:tcPr>
          <w:p w14:paraId="23AC918B">
            <w:pPr>
              <w:adjustRightInd w:val="0"/>
              <w:snapToGrid w:val="0"/>
              <w:spacing w:line="300" w:lineRule="exact"/>
              <w:jc w:val="center"/>
              <w:rPr>
                <w:color w:val="auto"/>
                <w:szCs w:val="21"/>
                <w:highlight w:val="none"/>
              </w:rPr>
            </w:pPr>
          </w:p>
        </w:tc>
        <w:tc>
          <w:tcPr>
            <w:tcW w:w="2151" w:type="dxa"/>
            <w:tcBorders>
              <w:top w:val="single" w:color="auto" w:sz="2" w:space="0"/>
              <w:left w:val="single" w:color="auto" w:sz="2" w:space="0"/>
              <w:bottom w:val="single" w:color="auto" w:sz="2" w:space="0"/>
              <w:right w:val="single" w:color="auto" w:sz="2" w:space="0"/>
            </w:tcBorders>
            <w:noWrap w:val="0"/>
            <w:vAlign w:val="center"/>
          </w:tcPr>
          <w:p w14:paraId="7095F57C">
            <w:pPr>
              <w:adjustRightInd w:val="0"/>
              <w:snapToGrid w:val="0"/>
              <w:spacing w:line="300" w:lineRule="exact"/>
              <w:jc w:val="center"/>
              <w:rPr>
                <w:color w:val="auto"/>
                <w:szCs w:val="21"/>
                <w:highlight w:val="none"/>
              </w:rPr>
            </w:pPr>
            <w:r>
              <w:rPr>
                <w:rFonts w:hint="eastAsia"/>
                <w:color w:val="auto"/>
                <w:szCs w:val="21"/>
                <w:highlight w:val="none"/>
              </w:rPr>
              <w:t>通信地址</w:t>
            </w:r>
          </w:p>
        </w:tc>
        <w:tc>
          <w:tcPr>
            <w:tcW w:w="2301" w:type="dxa"/>
            <w:tcBorders>
              <w:top w:val="single" w:color="auto" w:sz="2" w:space="0"/>
              <w:left w:val="single" w:color="auto" w:sz="2" w:space="0"/>
              <w:bottom w:val="single" w:color="auto" w:sz="2" w:space="0"/>
            </w:tcBorders>
            <w:noWrap w:val="0"/>
            <w:vAlign w:val="center"/>
          </w:tcPr>
          <w:p w14:paraId="55FDE783">
            <w:pPr>
              <w:adjustRightInd w:val="0"/>
              <w:snapToGrid w:val="0"/>
              <w:spacing w:line="300" w:lineRule="exact"/>
              <w:jc w:val="center"/>
              <w:rPr>
                <w:color w:val="auto"/>
                <w:spacing w:val="20"/>
                <w:szCs w:val="21"/>
                <w:highlight w:val="none"/>
              </w:rPr>
            </w:pPr>
          </w:p>
        </w:tc>
      </w:tr>
      <w:tr w14:paraId="50BB7CC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57" w:type="dxa"/>
            <w:tcBorders>
              <w:top w:val="single" w:color="auto" w:sz="2" w:space="0"/>
              <w:bottom w:val="single" w:color="auto" w:sz="2" w:space="0"/>
              <w:right w:val="single" w:color="auto" w:sz="2" w:space="0"/>
            </w:tcBorders>
            <w:noWrap w:val="0"/>
            <w:vAlign w:val="center"/>
          </w:tcPr>
          <w:p w14:paraId="3EB3FF12">
            <w:pPr>
              <w:adjustRightInd w:val="0"/>
              <w:snapToGrid w:val="0"/>
              <w:spacing w:line="300" w:lineRule="exact"/>
              <w:jc w:val="center"/>
              <w:rPr>
                <w:color w:val="auto"/>
                <w:szCs w:val="21"/>
                <w:highlight w:val="none"/>
              </w:rPr>
            </w:pPr>
            <w:r>
              <w:rPr>
                <w:color w:val="auto"/>
                <w:szCs w:val="21"/>
                <w:highlight w:val="none"/>
              </w:rPr>
              <w:t>邮政编码</w:t>
            </w:r>
          </w:p>
        </w:tc>
        <w:tc>
          <w:tcPr>
            <w:tcW w:w="2622" w:type="dxa"/>
            <w:tcBorders>
              <w:top w:val="single" w:color="auto" w:sz="2" w:space="0"/>
              <w:left w:val="single" w:color="auto" w:sz="2" w:space="0"/>
              <w:bottom w:val="single" w:color="auto" w:sz="2" w:space="0"/>
              <w:right w:val="single" w:color="auto" w:sz="2" w:space="0"/>
            </w:tcBorders>
            <w:noWrap w:val="0"/>
            <w:vAlign w:val="center"/>
          </w:tcPr>
          <w:p w14:paraId="3FCB57BD">
            <w:pPr>
              <w:adjustRightInd w:val="0"/>
              <w:snapToGrid w:val="0"/>
              <w:spacing w:line="300" w:lineRule="exact"/>
              <w:jc w:val="center"/>
              <w:rPr>
                <w:color w:val="auto"/>
                <w:szCs w:val="21"/>
                <w:highlight w:val="none"/>
              </w:rPr>
            </w:pPr>
          </w:p>
        </w:tc>
        <w:tc>
          <w:tcPr>
            <w:tcW w:w="2151" w:type="dxa"/>
            <w:tcBorders>
              <w:top w:val="single" w:color="auto" w:sz="2" w:space="0"/>
              <w:left w:val="single" w:color="auto" w:sz="2" w:space="0"/>
              <w:bottom w:val="single" w:color="auto" w:sz="2" w:space="0"/>
              <w:right w:val="single" w:color="auto" w:sz="2" w:space="0"/>
            </w:tcBorders>
            <w:noWrap w:val="0"/>
            <w:vAlign w:val="center"/>
          </w:tcPr>
          <w:p w14:paraId="3DB253F4">
            <w:pPr>
              <w:adjustRightInd w:val="0"/>
              <w:snapToGrid w:val="0"/>
              <w:spacing w:line="300" w:lineRule="exact"/>
              <w:jc w:val="center"/>
              <w:rPr>
                <w:color w:val="auto"/>
                <w:szCs w:val="21"/>
                <w:highlight w:val="none"/>
              </w:rPr>
            </w:pPr>
            <w:r>
              <w:rPr>
                <w:color w:val="auto"/>
                <w:szCs w:val="21"/>
                <w:highlight w:val="none"/>
              </w:rPr>
              <w:t>邮政编码</w:t>
            </w:r>
          </w:p>
        </w:tc>
        <w:tc>
          <w:tcPr>
            <w:tcW w:w="2301" w:type="dxa"/>
            <w:tcBorders>
              <w:top w:val="single" w:color="auto" w:sz="2" w:space="0"/>
              <w:left w:val="single" w:color="auto" w:sz="2" w:space="0"/>
              <w:bottom w:val="single" w:color="auto" w:sz="2" w:space="0"/>
            </w:tcBorders>
            <w:noWrap w:val="0"/>
            <w:vAlign w:val="center"/>
          </w:tcPr>
          <w:p w14:paraId="3B29EA03">
            <w:pPr>
              <w:adjustRightInd w:val="0"/>
              <w:snapToGrid w:val="0"/>
              <w:spacing w:line="300" w:lineRule="exact"/>
              <w:jc w:val="center"/>
              <w:rPr>
                <w:color w:val="auto"/>
                <w:spacing w:val="20"/>
                <w:szCs w:val="21"/>
                <w:highlight w:val="none"/>
              </w:rPr>
            </w:pPr>
          </w:p>
        </w:tc>
      </w:tr>
      <w:tr w14:paraId="660F4CB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57" w:type="dxa"/>
            <w:tcBorders>
              <w:top w:val="single" w:color="auto" w:sz="2" w:space="0"/>
              <w:bottom w:val="single" w:color="auto" w:sz="2" w:space="0"/>
              <w:right w:val="single" w:color="auto" w:sz="2" w:space="0"/>
            </w:tcBorders>
            <w:noWrap w:val="0"/>
            <w:vAlign w:val="center"/>
          </w:tcPr>
          <w:p w14:paraId="15FE9787">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2622" w:type="dxa"/>
            <w:tcBorders>
              <w:top w:val="single" w:color="auto" w:sz="2" w:space="0"/>
              <w:left w:val="single" w:color="auto" w:sz="2" w:space="0"/>
              <w:bottom w:val="single" w:color="auto" w:sz="2" w:space="0"/>
              <w:right w:val="single" w:color="auto" w:sz="2" w:space="0"/>
            </w:tcBorders>
            <w:noWrap w:val="0"/>
            <w:vAlign w:val="center"/>
          </w:tcPr>
          <w:p w14:paraId="2D77536C">
            <w:pPr>
              <w:adjustRightInd w:val="0"/>
              <w:snapToGrid w:val="0"/>
              <w:spacing w:line="300" w:lineRule="exact"/>
              <w:jc w:val="center"/>
              <w:rPr>
                <w:color w:val="auto"/>
                <w:szCs w:val="21"/>
                <w:highlight w:val="none"/>
              </w:rPr>
            </w:pPr>
          </w:p>
        </w:tc>
        <w:tc>
          <w:tcPr>
            <w:tcW w:w="2151" w:type="dxa"/>
            <w:tcBorders>
              <w:top w:val="single" w:color="auto" w:sz="2" w:space="0"/>
              <w:left w:val="single" w:color="auto" w:sz="2" w:space="0"/>
              <w:bottom w:val="single" w:color="auto" w:sz="2" w:space="0"/>
              <w:right w:val="single" w:color="auto" w:sz="2" w:space="0"/>
            </w:tcBorders>
            <w:noWrap w:val="0"/>
            <w:vAlign w:val="center"/>
          </w:tcPr>
          <w:p w14:paraId="62B2A8D0">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2301" w:type="dxa"/>
            <w:tcBorders>
              <w:top w:val="single" w:color="auto" w:sz="2" w:space="0"/>
              <w:left w:val="single" w:color="auto" w:sz="2" w:space="0"/>
              <w:bottom w:val="single" w:color="auto" w:sz="2" w:space="0"/>
            </w:tcBorders>
            <w:noWrap w:val="0"/>
            <w:vAlign w:val="center"/>
          </w:tcPr>
          <w:p w14:paraId="456B7BFE">
            <w:pPr>
              <w:adjustRightInd w:val="0"/>
              <w:snapToGrid w:val="0"/>
              <w:spacing w:line="300" w:lineRule="exact"/>
              <w:jc w:val="center"/>
              <w:rPr>
                <w:color w:val="auto"/>
                <w:spacing w:val="20"/>
                <w:szCs w:val="21"/>
                <w:highlight w:val="none"/>
              </w:rPr>
            </w:pPr>
          </w:p>
        </w:tc>
      </w:tr>
      <w:tr w14:paraId="38BF6FE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57" w:type="dxa"/>
            <w:tcBorders>
              <w:top w:val="single" w:color="auto" w:sz="2" w:space="0"/>
              <w:bottom w:val="single" w:color="auto" w:sz="2" w:space="0"/>
              <w:right w:val="single" w:color="auto" w:sz="2" w:space="0"/>
            </w:tcBorders>
            <w:noWrap w:val="0"/>
            <w:vAlign w:val="center"/>
          </w:tcPr>
          <w:p w14:paraId="18AA25DC">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2622" w:type="dxa"/>
            <w:tcBorders>
              <w:top w:val="single" w:color="auto" w:sz="2" w:space="0"/>
              <w:left w:val="single" w:color="auto" w:sz="2" w:space="0"/>
              <w:bottom w:val="single" w:color="auto" w:sz="2" w:space="0"/>
              <w:right w:val="single" w:color="auto" w:sz="2" w:space="0"/>
            </w:tcBorders>
            <w:noWrap w:val="0"/>
            <w:vAlign w:val="center"/>
          </w:tcPr>
          <w:p w14:paraId="2A8CDC62">
            <w:pPr>
              <w:adjustRightInd w:val="0"/>
              <w:snapToGrid w:val="0"/>
              <w:spacing w:line="300" w:lineRule="exact"/>
              <w:jc w:val="center"/>
              <w:rPr>
                <w:color w:val="auto"/>
                <w:szCs w:val="21"/>
                <w:highlight w:val="none"/>
              </w:rPr>
            </w:pPr>
          </w:p>
        </w:tc>
        <w:tc>
          <w:tcPr>
            <w:tcW w:w="2151" w:type="dxa"/>
            <w:tcBorders>
              <w:top w:val="single" w:color="auto" w:sz="2" w:space="0"/>
              <w:left w:val="single" w:color="auto" w:sz="2" w:space="0"/>
              <w:bottom w:val="single" w:color="auto" w:sz="2" w:space="0"/>
              <w:right w:val="single" w:color="auto" w:sz="2" w:space="0"/>
            </w:tcBorders>
            <w:noWrap w:val="0"/>
            <w:vAlign w:val="center"/>
          </w:tcPr>
          <w:p w14:paraId="520F7868">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2301" w:type="dxa"/>
            <w:tcBorders>
              <w:top w:val="single" w:color="auto" w:sz="2" w:space="0"/>
              <w:left w:val="single" w:color="auto" w:sz="2" w:space="0"/>
              <w:bottom w:val="single" w:color="auto" w:sz="2" w:space="0"/>
            </w:tcBorders>
            <w:noWrap w:val="0"/>
            <w:vAlign w:val="center"/>
          </w:tcPr>
          <w:p w14:paraId="3C6D672E">
            <w:pPr>
              <w:adjustRightInd w:val="0"/>
              <w:snapToGrid w:val="0"/>
              <w:spacing w:line="300" w:lineRule="exact"/>
              <w:jc w:val="center"/>
              <w:rPr>
                <w:color w:val="auto"/>
                <w:spacing w:val="20"/>
                <w:szCs w:val="21"/>
                <w:highlight w:val="none"/>
              </w:rPr>
            </w:pPr>
          </w:p>
        </w:tc>
      </w:tr>
      <w:tr w14:paraId="649BE8B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57" w:type="dxa"/>
            <w:tcBorders>
              <w:top w:val="single" w:color="auto" w:sz="2" w:space="0"/>
              <w:bottom w:val="single" w:color="auto" w:sz="2" w:space="0"/>
              <w:right w:val="single" w:color="auto" w:sz="2" w:space="0"/>
            </w:tcBorders>
            <w:noWrap w:val="0"/>
            <w:vAlign w:val="center"/>
          </w:tcPr>
          <w:p w14:paraId="01EDAAA8">
            <w:pPr>
              <w:adjustRightInd w:val="0"/>
              <w:snapToGrid w:val="0"/>
              <w:spacing w:line="300" w:lineRule="exact"/>
              <w:jc w:val="center"/>
              <w:rPr>
                <w:color w:val="auto"/>
                <w:szCs w:val="21"/>
                <w:highlight w:val="none"/>
              </w:rPr>
            </w:pPr>
          </w:p>
        </w:tc>
        <w:tc>
          <w:tcPr>
            <w:tcW w:w="2622" w:type="dxa"/>
            <w:tcBorders>
              <w:top w:val="single" w:color="auto" w:sz="2" w:space="0"/>
              <w:left w:val="single" w:color="auto" w:sz="2" w:space="0"/>
              <w:bottom w:val="single" w:color="auto" w:sz="2" w:space="0"/>
              <w:right w:val="single" w:color="auto" w:sz="2" w:space="0"/>
            </w:tcBorders>
            <w:noWrap w:val="0"/>
            <w:vAlign w:val="center"/>
          </w:tcPr>
          <w:p w14:paraId="4A7C1EEF">
            <w:pPr>
              <w:adjustRightInd w:val="0"/>
              <w:snapToGrid w:val="0"/>
              <w:spacing w:line="300" w:lineRule="exact"/>
              <w:jc w:val="center"/>
              <w:rPr>
                <w:color w:val="auto"/>
                <w:szCs w:val="21"/>
                <w:highlight w:val="none"/>
              </w:rPr>
            </w:pPr>
          </w:p>
        </w:tc>
        <w:tc>
          <w:tcPr>
            <w:tcW w:w="2151" w:type="dxa"/>
            <w:tcBorders>
              <w:top w:val="single" w:color="auto" w:sz="2" w:space="0"/>
              <w:left w:val="single" w:color="auto" w:sz="2" w:space="0"/>
              <w:bottom w:val="single" w:color="auto" w:sz="2" w:space="0"/>
              <w:right w:val="single" w:color="auto" w:sz="2" w:space="0"/>
            </w:tcBorders>
            <w:noWrap w:val="0"/>
            <w:vAlign w:val="center"/>
          </w:tcPr>
          <w:p w14:paraId="67C1C32D">
            <w:pPr>
              <w:adjustRightInd w:val="0"/>
              <w:snapToGrid w:val="0"/>
              <w:spacing w:line="300" w:lineRule="exact"/>
              <w:jc w:val="center"/>
              <w:rPr>
                <w:color w:val="auto"/>
                <w:szCs w:val="21"/>
                <w:highlight w:val="none"/>
              </w:rPr>
            </w:pPr>
            <w:r>
              <w:rPr>
                <w:color w:val="auto"/>
                <w:szCs w:val="21"/>
                <w:highlight w:val="none"/>
              </w:rPr>
              <w:t>开户名称</w:t>
            </w:r>
          </w:p>
        </w:tc>
        <w:tc>
          <w:tcPr>
            <w:tcW w:w="2301" w:type="dxa"/>
            <w:tcBorders>
              <w:top w:val="single" w:color="auto" w:sz="2" w:space="0"/>
              <w:left w:val="single" w:color="auto" w:sz="2" w:space="0"/>
              <w:bottom w:val="single" w:color="auto" w:sz="2" w:space="0"/>
            </w:tcBorders>
            <w:noWrap w:val="0"/>
            <w:vAlign w:val="center"/>
          </w:tcPr>
          <w:p w14:paraId="6673566B">
            <w:pPr>
              <w:adjustRightInd w:val="0"/>
              <w:snapToGrid w:val="0"/>
              <w:spacing w:line="300" w:lineRule="exact"/>
              <w:jc w:val="center"/>
              <w:rPr>
                <w:color w:val="auto"/>
                <w:spacing w:val="20"/>
                <w:szCs w:val="21"/>
                <w:highlight w:val="none"/>
              </w:rPr>
            </w:pPr>
          </w:p>
        </w:tc>
      </w:tr>
      <w:tr w14:paraId="0BB714A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57" w:type="dxa"/>
            <w:tcBorders>
              <w:top w:val="single" w:color="auto" w:sz="2" w:space="0"/>
              <w:bottom w:val="single" w:color="auto" w:sz="2" w:space="0"/>
              <w:right w:val="single" w:color="auto" w:sz="2" w:space="0"/>
            </w:tcBorders>
            <w:noWrap w:val="0"/>
            <w:vAlign w:val="center"/>
          </w:tcPr>
          <w:p w14:paraId="387970D8">
            <w:pPr>
              <w:adjustRightInd w:val="0"/>
              <w:snapToGrid w:val="0"/>
              <w:spacing w:line="300" w:lineRule="exact"/>
              <w:jc w:val="center"/>
              <w:rPr>
                <w:color w:val="auto"/>
                <w:szCs w:val="21"/>
                <w:highlight w:val="none"/>
              </w:rPr>
            </w:pPr>
          </w:p>
        </w:tc>
        <w:tc>
          <w:tcPr>
            <w:tcW w:w="2622" w:type="dxa"/>
            <w:tcBorders>
              <w:top w:val="single" w:color="auto" w:sz="2" w:space="0"/>
              <w:left w:val="single" w:color="auto" w:sz="2" w:space="0"/>
              <w:bottom w:val="single" w:color="auto" w:sz="2" w:space="0"/>
              <w:right w:val="single" w:color="auto" w:sz="2" w:space="0"/>
            </w:tcBorders>
            <w:noWrap w:val="0"/>
            <w:vAlign w:val="center"/>
          </w:tcPr>
          <w:p w14:paraId="7F86A4E1">
            <w:pPr>
              <w:adjustRightInd w:val="0"/>
              <w:snapToGrid w:val="0"/>
              <w:spacing w:line="300" w:lineRule="exact"/>
              <w:jc w:val="center"/>
              <w:rPr>
                <w:color w:val="auto"/>
                <w:szCs w:val="21"/>
                <w:highlight w:val="none"/>
              </w:rPr>
            </w:pPr>
          </w:p>
        </w:tc>
        <w:tc>
          <w:tcPr>
            <w:tcW w:w="2151" w:type="dxa"/>
            <w:tcBorders>
              <w:top w:val="single" w:color="auto" w:sz="2" w:space="0"/>
              <w:left w:val="single" w:color="auto" w:sz="2" w:space="0"/>
              <w:bottom w:val="single" w:color="auto" w:sz="2" w:space="0"/>
              <w:right w:val="single" w:color="auto" w:sz="2" w:space="0"/>
            </w:tcBorders>
            <w:noWrap w:val="0"/>
            <w:vAlign w:val="center"/>
          </w:tcPr>
          <w:p w14:paraId="102A0737">
            <w:pPr>
              <w:adjustRightInd w:val="0"/>
              <w:snapToGrid w:val="0"/>
              <w:spacing w:line="300" w:lineRule="exact"/>
              <w:jc w:val="center"/>
              <w:rPr>
                <w:color w:val="auto"/>
                <w:szCs w:val="21"/>
                <w:highlight w:val="none"/>
              </w:rPr>
            </w:pPr>
            <w:r>
              <w:rPr>
                <w:color w:val="auto"/>
                <w:szCs w:val="21"/>
                <w:highlight w:val="none"/>
              </w:rPr>
              <w:t>开户银行</w:t>
            </w:r>
          </w:p>
        </w:tc>
        <w:tc>
          <w:tcPr>
            <w:tcW w:w="2301" w:type="dxa"/>
            <w:tcBorders>
              <w:top w:val="single" w:color="auto" w:sz="2" w:space="0"/>
              <w:left w:val="single" w:color="auto" w:sz="2" w:space="0"/>
              <w:bottom w:val="single" w:color="auto" w:sz="2" w:space="0"/>
            </w:tcBorders>
            <w:noWrap w:val="0"/>
            <w:vAlign w:val="center"/>
          </w:tcPr>
          <w:p w14:paraId="3E233A6E">
            <w:pPr>
              <w:adjustRightInd w:val="0"/>
              <w:snapToGrid w:val="0"/>
              <w:spacing w:line="300" w:lineRule="exact"/>
              <w:jc w:val="center"/>
              <w:rPr>
                <w:color w:val="auto"/>
                <w:spacing w:val="20"/>
                <w:szCs w:val="21"/>
                <w:highlight w:val="none"/>
              </w:rPr>
            </w:pPr>
          </w:p>
        </w:tc>
      </w:tr>
      <w:tr w14:paraId="655476F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57" w:type="dxa"/>
            <w:tcBorders>
              <w:top w:val="single" w:color="auto" w:sz="2" w:space="0"/>
              <w:bottom w:val="single" w:color="auto" w:sz="2" w:space="0"/>
              <w:right w:val="single" w:color="auto" w:sz="2" w:space="0"/>
            </w:tcBorders>
            <w:noWrap w:val="0"/>
            <w:vAlign w:val="center"/>
          </w:tcPr>
          <w:p w14:paraId="4E08817D">
            <w:pPr>
              <w:adjustRightInd w:val="0"/>
              <w:snapToGrid w:val="0"/>
              <w:spacing w:line="300" w:lineRule="exact"/>
              <w:jc w:val="center"/>
              <w:rPr>
                <w:color w:val="auto"/>
                <w:szCs w:val="21"/>
                <w:highlight w:val="none"/>
              </w:rPr>
            </w:pPr>
          </w:p>
        </w:tc>
        <w:tc>
          <w:tcPr>
            <w:tcW w:w="2622" w:type="dxa"/>
            <w:tcBorders>
              <w:top w:val="single" w:color="auto" w:sz="2" w:space="0"/>
              <w:left w:val="single" w:color="auto" w:sz="2" w:space="0"/>
              <w:bottom w:val="single" w:color="auto" w:sz="2" w:space="0"/>
              <w:right w:val="single" w:color="auto" w:sz="2" w:space="0"/>
            </w:tcBorders>
            <w:noWrap w:val="0"/>
            <w:vAlign w:val="center"/>
          </w:tcPr>
          <w:p w14:paraId="71D8FB9B">
            <w:pPr>
              <w:adjustRightInd w:val="0"/>
              <w:snapToGrid w:val="0"/>
              <w:spacing w:line="300" w:lineRule="exact"/>
              <w:jc w:val="center"/>
              <w:rPr>
                <w:color w:val="auto"/>
                <w:szCs w:val="21"/>
                <w:highlight w:val="none"/>
              </w:rPr>
            </w:pPr>
          </w:p>
        </w:tc>
        <w:tc>
          <w:tcPr>
            <w:tcW w:w="2151" w:type="dxa"/>
            <w:tcBorders>
              <w:top w:val="single" w:color="auto" w:sz="2" w:space="0"/>
              <w:left w:val="single" w:color="auto" w:sz="2" w:space="0"/>
              <w:bottom w:val="single" w:color="auto" w:sz="2" w:space="0"/>
              <w:right w:val="single" w:color="auto" w:sz="2" w:space="0"/>
            </w:tcBorders>
            <w:noWrap w:val="0"/>
            <w:vAlign w:val="center"/>
          </w:tcPr>
          <w:p w14:paraId="7B40BCE3">
            <w:pPr>
              <w:adjustRightInd w:val="0"/>
              <w:snapToGrid w:val="0"/>
              <w:spacing w:line="300" w:lineRule="exact"/>
              <w:jc w:val="center"/>
              <w:rPr>
                <w:color w:val="auto"/>
                <w:szCs w:val="21"/>
                <w:highlight w:val="none"/>
              </w:rPr>
            </w:pPr>
            <w:r>
              <w:rPr>
                <w:color w:val="auto"/>
                <w:szCs w:val="21"/>
                <w:highlight w:val="none"/>
              </w:rPr>
              <w:t>银行账号</w:t>
            </w:r>
          </w:p>
        </w:tc>
        <w:tc>
          <w:tcPr>
            <w:tcW w:w="2301" w:type="dxa"/>
            <w:tcBorders>
              <w:top w:val="single" w:color="auto" w:sz="2" w:space="0"/>
              <w:left w:val="single" w:color="auto" w:sz="2" w:space="0"/>
              <w:bottom w:val="single" w:color="auto" w:sz="2" w:space="0"/>
            </w:tcBorders>
            <w:noWrap w:val="0"/>
            <w:vAlign w:val="center"/>
          </w:tcPr>
          <w:p w14:paraId="66D18CAE">
            <w:pPr>
              <w:adjustRightInd w:val="0"/>
              <w:snapToGrid w:val="0"/>
              <w:spacing w:line="300" w:lineRule="exact"/>
              <w:jc w:val="center"/>
              <w:rPr>
                <w:color w:val="auto"/>
                <w:spacing w:val="20"/>
                <w:szCs w:val="21"/>
                <w:highlight w:val="none"/>
              </w:rPr>
            </w:pPr>
          </w:p>
        </w:tc>
      </w:tr>
      <w:tr w14:paraId="68D83A4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9131" w:type="dxa"/>
            <w:gridSpan w:val="4"/>
            <w:tcBorders>
              <w:top w:val="single" w:color="auto" w:sz="2" w:space="0"/>
            </w:tcBorders>
            <w:noWrap w:val="0"/>
            <w:vAlign w:val="center"/>
          </w:tcPr>
          <w:p w14:paraId="39FDE7F4">
            <w:pPr>
              <w:pStyle w:val="15"/>
              <w:adjustRightInd w:val="0"/>
              <w:snapToGrid w:val="0"/>
              <w:spacing w:before="120" w:beforeLines="50" w:line="360" w:lineRule="auto"/>
              <w:jc w:val="left"/>
              <w:rPr>
                <w:color w:val="auto"/>
                <w:spacing w:val="20"/>
                <w:szCs w:val="21"/>
                <w:highlight w:val="none"/>
              </w:rPr>
            </w:pPr>
            <w:r>
              <w:rPr>
                <w:rFonts w:hint="eastAsia" w:ascii="宋体" w:hAnsi="宋体"/>
                <w:color w:val="auto"/>
                <w:szCs w:val="21"/>
                <w:highlight w:val="none"/>
              </w:rPr>
              <w:t>注：涉及联合体或其他合同主体的信息应按上表格式加列。</w:t>
            </w:r>
          </w:p>
        </w:tc>
      </w:tr>
    </w:tbl>
    <w:p w14:paraId="2CAE382D">
      <w:pPr>
        <w:pStyle w:val="3"/>
        <w:adjustRightInd w:val="0"/>
        <w:snapToGrid w:val="0"/>
        <w:spacing w:beforeLines="50"/>
        <w:rPr>
          <w:rFonts w:ascii="黑体" w:hAnsi="黑体" w:eastAsia="黑体"/>
          <w:color w:val="auto"/>
          <w:sz w:val="28"/>
          <w:szCs w:val="28"/>
          <w:highlight w:val="none"/>
        </w:rPr>
      </w:pPr>
      <w:r>
        <w:rPr>
          <w:rFonts w:ascii="宋体" w:hAnsi="宋体"/>
          <w:color w:val="auto"/>
          <w:sz w:val="21"/>
          <w:szCs w:val="21"/>
          <w:highlight w:val="none"/>
          <w:u w:val="single"/>
        </w:rPr>
        <w:br w:type="page"/>
      </w:r>
      <w:bookmarkStart w:id="82" w:name="_Toc27624"/>
      <w:r>
        <w:rPr>
          <w:rFonts w:hint="eastAsia" w:ascii="黑体" w:hAnsi="黑体" w:eastAsia="黑体"/>
          <w:b w:val="0"/>
          <w:color w:val="auto"/>
          <w:sz w:val="28"/>
          <w:szCs w:val="28"/>
          <w:highlight w:val="none"/>
        </w:rPr>
        <w:t>第二节 政府采购合同通用条款</w:t>
      </w:r>
      <w:bookmarkEnd w:id="82"/>
    </w:p>
    <w:p w14:paraId="4FE3D730">
      <w:pPr>
        <w:tabs>
          <w:tab w:val="left" w:pos="8820"/>
          <w:tab w:val="left" w:pos="9345"/>
          <w:tab w:val="left" w:pos="9765"/>
        </w:tabs>
        <w:adjustRightInd w:val="0"/>
        <w:snapToGrid w:val="0"/>
        <w:spacing w:line="400" w:lineRule="exact"/>
        <w:jc w:val="left"/>
        <w:rPr>
          <w:rFonts w:ascii="宋体" w:hAnsi="宋体"/>
          <w:b/>
          <w:bCs/>
          <w:color w:val="auto"/>
          <w:sz w:val="24"/>
          <w:highlight w:val="none"/>
        </w:rPr>
      </w:pPr>
      <w:r>
        <w:rPr>
          <w:rFonts w:hint="eastAsia" w:ascii="宋体" w:hAnsi="宋体"/>
          <w:b/>
          <w:color w:val="auto"/>
          <w:sz w:val="24"/>
          <w:highlight w:val="none"/>
        </w:rPr>
        <w:t xml:space="preserve">1. </w:t>
      </w:r>
      <w:r>
        <w:rPr>
          <w:rFonts w:hint="eastAsia" w:ascii="宋体" w:hAnsi="宋体"/>
          <w:b/>
          <w:bCs/>
          <w:color w:val="auto"/>
          <w:sz w:val="24"/>
          <w:highlight w:val="none"/>
        </w:rPr>
        <w:t>定义</w:t>
      </w:r>
    </w:p>
    <w:p w14:paraId="62B53C44">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1.1合同当事人</w:t>
      </w:r>
    </w:p>
    <w:p w14:paraId="4B561996">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（1）采购人（以下称甲方）是指使用财政性资金，通过政府采购方式向供应商购买货物及其相关服务的国家机关、事业单位、团体组织。</w:t>
      </w:r>
    </w:p>
    <w:p w14:paraId="60D0152B">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（2）供应商（以下称乙方）是指参加政府采购活动并且中标（成交），向采购人提供合同约定的货物及其相关服务的法人、非法人组织或者自然人。</w:t>
      </w:r>
    </w:p>
    <w:p w14:paraId="309F7DE9">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cs="宋体"/>
          <w:bCs/>
          <w:color w:val="auto"/>
          <w:szCs w:val="21"/>
          <w:highlight w:val="none"/>
        </w:rPr>
        <w:t>依法参与合同缔结或履行，享有权利、承担义务的合同当事人</w:t>
      </w:r>
      <w:r>
        <w:rPr>
          <w:rFonts w:hint="eastAsia" w:ascii="宋体" w:hAnsi="宋体"/>
          <w:color w:val="auto"/>
          <w:szCs w:val="21"/>
          <w:highlight w:val="none"/>
        </w:rPr>
        <w:t>。</w:t>
      </w:r>
    </w:p>
    <w:p w14:paraId="4B306AC8">
      <w:pPr>
        <w:tabs>
          <w:tab w:val="left" w:pos="570"/>
          <w:tab w:val="left" w:pos="9240"/>
          <w:tab w:val="left" w:pos="9555"/>
        </w:tabs>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607A344E">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cs="宋体"/>
          <w:bCs/>
          <w:color w:val="auto"/>
          <w:szCs w:val="21"/>
          <w:highlight w:val="none"/>
        </w:rPr>
        <w:t>合同当事人意思表示达成一致的任何协议，包括签署的</w:t>
      </w:r>
      <w:r>
        <w:rPr>
          <w:rFonts w:hint="eastAsia" w:ascii="宋体" w:hAnsi="宋体"/>
          <w:color w:val="auto"/>
          <w:szCs w:val="21"/>
          <w:highlight w:val="none"/>
        </w:rPr>
        <w:t>政府采购合同协议书及其变更、补充协议，政府采购合同专用条款，政府采购合同通用条款，中标（成交）通知书，投标（响应）文件，采购文件，有关技术文件和图纸，以及</w:t>
      </w:r>
      <w:r>
        <w:rPr>
          <w:rFonts w:hint="eastAsia" w:ascii="宋体" w:hAnsi="宋体" w:cs="宋体"/>
          <w:color w:val="auto"/>
          <w:szCs w:val="21"/>
          <w:highlight w:val="none"/>
        </w:rPr>
        <w:t>国家法律、行政法规和规章制度规定或合同约定的作为合同组成部分的其他文件</w:t>
      </w:r>
      <w:r>
        <w:rPr>
          <w:rFonts w:hint="eastAsia" w:ascii="宋体" w:hAnsi="宋体"/>
          <w:color w:val="auto"/>
          <w:szCs w:val="21"/>
          <w:highlight w:val="none"/>
        </w:rPr>
        <w:t>。</w:t>
      </w:r>
    </w:p>
    <w:p w14:paraId="25773085">
      <w:pPr>
        <w:tabs>
          <w:tab w:val="left" w:pos="570"/>
          <w:tab w:val="left" w:pos="9240"/>
          <w:tab w:val="left" w:pos="9555"/>
        </w:tabs>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（2）“合同价款”系指根据本合同规定乙方在全面履行合同义务后甲方应支付给乙方的价款。</w:t>
      </w:r>
    </w:p>
    <w:p w14:paraId="113329C2">
      <w:pPr>
        <w:tabs>
          <w:tab w:val="left" w:pos="570"/>
          <w:tab w:val="left" w:pos="9240"/>
          <w:tab w:val="left" w:pos="9555"/>
        </w:tabs>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（3）“货物”系指乙方根据本合同规定须向甲方提供的各种形态和种类的物品，包括原材料、设备、产品（包括软件）及相关的其备品备件、工具、手册及</w:t>
      </w:r>
      <w:r>
        <w:rPr>
          <w:rFonts w:ascii="宋体" w:hAnsi="宋体"/>
          <w:color w:val="auto"/>
          <w:szCs w:val="21"/>
          <w:highlight w:val="none"/>
          <w:lang w:val="en"/>
        </w:rPr>
        <w:t>其他</w:t>
      </w:r>
      <w:r>
        <w:rPr>
          <w:rFonts w:hint="eastAsia" w:ascii="宋体" w:hAnsi="宋体"/>
          <w:color w:val="auto"/>
          <w:szCs w:val="21"/>
          <w:highlight w:val="none"/>
        </w:rPr>
        <w:t>技术资料和材料等。</w:t>
      </w:r>
    </w:p>
    <w:p w14:paraId="748B33AF">
      <w:pPr>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（4）“相关服务”系指根据合同规定，乙方应提供的与货物有关的技术、管理和</w:t>
      </w:r>
      <w:r>
        <w:rPr>
          <w:rFonts w:ascii="宋体" w:hAnsi="宋体"/>
          <w:color w:val="auto"/>
          <w:szCs w:val="21"/>
          <w:highlight w:val="none"/>
          <w:lang w:val="en"/>
        </w:rPr>
        <w:t>其他</w:t>
      </w:r>
      <w:r>
        <w:rPr>
          <w:rFonts w:hint="eastAsia" w:ascii="宋体" w:hAnsi="宋体"/>
          <w:color w:val="auto"/>
          <w:szCs w:val="21"/>
          <w:highlight w:val="none"/>
        </w:rPr>
        <w:t>服务，包括但不限于：管理和质量保证、运输、保险、检验、现场准备、安装、集成、调试、培训、维修、废弃处置、技术支持等以及合同中规定乙方应承担的</w:t>
      </w:r>
      <w:r>
        <w:rPr>
          <w:rFonts w:ascii="宋体" w:hAnsi="宋体"/>
          <w:color w:val="auto"/>
          <w:szCs w:val="21"/>
          <w:highlight w:val="none"/>
          <w:lang w:val="en"/>
        </w:rPr>
        <w:t>其他</w:t>
      </w:r>
      <w:r>
        <w:rPr>
          <w:rFonts w:hint="eastAsia" w:ascii="宋体" w:hAnsi="宋体"/>
          <w:color w:val="auto"/>
          <w:szCs w:val="21"/>
          <w:highlight w:val="none"/>
        </w:rPr>
        <w:t>义务。</w:t>
      </w:r>
    </w:p>
    <w:p w14:paraId="0B9D8B95">
      <w:pPr>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（5）“分包”系指中标（成交）供应商按采购文件、投标（响应）文件的规定，根据分包意向协议，将中标（成交）项目中的部分履约内容，分给具有相应资质条件的供应商履行合同的行为。</w:t>
      </w:r>
    </w:p>
    <w:p w14:paraId="78853528">
      <w:pPr>
        <w:tabs>
          <w:tab w:val="left" w:pos="570"/>
          <w:tab w:val="left" w:pos="9240"/>
          <w:tab w:val="left" w:pos="9555"/>
        </w:tabs>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06702C72">
      <w:pPr>
        <w:tabs>
          <w:tab w:val="left" w:pos="570"/>
          <w:tab w:val="left" w:pos="9240"/>
          <w:tab w:val="left" w:pos="9555"/>
        </w:tabs>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（7）其他术语解释，见【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1D31FD6C">
      <w:pPr>
        <w:numPr>
          <w:ilvl w:val="0"/>
          <w:numId w:val="8"/>
        </w:num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color w:val="auto"/>
          <w:sz w:val="24"/>
          <w:highlight w:val="none"/>
        </w:rPr>
        <w:t>合同标的及金额</w:t>
      </w:r>
    </w:p>
    <w:p w14:paraId="1B6EB069">
      <w:pPr>
        <w:autoSpaceDE w:val="0"/>
        <w:autoSpaceDN w:val="0"/>
        <w:adjustRightInd w:val="0"/>
        <w:snapToGrid w:val="0"/>
        <w:spacing w:line="400" w:lineRule="exact"/>
        <w:ind w:firstLine="420" w:firstLineChars="200"/>
        <w:jc w:val="left"/>
        <w:rPr>
          <w:rFonts w:ascii="宋体" w:hAnsi="宋体"/>
          <w:b/>
          <w:bCs/>
          <w:i/>
          <w:iCs/>
          <w:color w:val="auto"/>
          <w:szCs w:val="21"/>
          <w:highlight w:val="none"/>
        </w:rPr>
      </w:pPr>
      <w:r>
        <w:rPr>
          <w:rFonts w:hint="eastAsia" w:ascii="宋体" w:hAnsi="宋体"/>
          <w:color w:val="auto"/>
          <w:szCs w:val="21"/>
          <w:highlight w:val="none"/>
        </w:rPr>
        <w:t>2.1 合同标的及金额应与中标（成交）结果一致。乙方为履行本合同而发生的所有费用均应包含在合同价款中，甲方不再另行支付</w:t>
      </w:r>
      <w:r>
        <w:rPr>
          <w:rFonts w:ascii="宋体" w:hAnsi="宋体"/>
          <w:color w:val="auto"/>
          <w:szCs w:val="21"/>
          <w:highlight w:val="none"/>
          <w:lang w:val="en"/>
        </w:rPr>
        <w:t>其他</w:t>
      </w:r>
      <w:r>
        <w:rPr>
          <w:rFonts w:hint="eastAsia" w:ascii="宋体" w:hAnsi="宋体"/>
          <w:color w:val="auto"/>
          <w:szCs w:val="21"/>
          <w:highlight w:val="none"/>
        </w:rPr>
        <w:t>任何费用。</w:t>
      </w:r>
    </w:p>
    <w:p w14:paraId="114C9F18">
      <w:pPr>
        <w:adjustRightInd w:val="0"/>
        <w:snapToGrid w:val="0"/>
        <w:spacing w:line="400" w:lineRule="exact"/>
        <w:jc w:val="left"/>
        <w:rPr>
          <w:rFonts w:ascii="宋体" w:hAnsi="宋体"/>
          <w:b/>
          <w:color w:val="auto"/>
          <w:sz w:val="24"/>
          <w:highlight w:val="none"/>
        </w:rPr>
      </w:pPr>
      <w:r>
        <w:rPr>
          <w:rFonts w:hint="eastAsia" w:ascii="宋体" w:hAnsi="宋体"/>
          <w:b/>
          <w:color w:val="auto"/>
          <w:sz w:val="24"/>
          <w:highlight w:val="none"/>
        </w:rPr>
        <w:t>3. 履行合同的时间、地点和方式</w:t>
      </w:r>
    </w:p>
    <w:p w14:paraId="1D9C2E9F">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3.1 </w:t>
      </w:r>
      <w:r>
        <w:rPr>
          <w:rFonts w:hint="eastAsia" w:ascii="宋体" w:hAnsi="宋体" w:cs="宋体"/>
          <w:color w:val="auto"/>
          <w:szCs w:val="21"/>
          <w:highlight w:val="none"/>
        </w:rPr>
        <w:t>乙方应当在约定的时间、地点，按照约定方式履行合同。</w:t>
      </w:r>
    </w:p>
    <w:p w14:paraId="4EEF5FA8">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4. 甲方的权利和义务</w:t>
      </w:r>
    </w:p>
    <w:p w14:paraId="33FD3C15">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4.1</w:t>
      </w:r>
      <w:r>
        <w:rPr>
          <w:rFonts w:ascii="宋体" w:hAnsi="宋体"/>
          <w:color w:val="auto"/>
          <w:szCs w:val="21"/>
          <w:highlight w:val="none"/>
        </w:rPr>
        <w:t xml:space="preserve"> 签署合同后，甲方</w:t>
      </w:r>
      <w:r>
        <w:rPr>
          <w:rFonts w:hint="eastAsia" w:ascii="宋体" w:hAnsi="宋体"/>
          <w:color w:val="auto"/>
          <w:szCs w:val="21"/>
          <w:highlight w:val="none"/>
        </w:rPr>
        <w:t>应</w:t>
      </w:r>
      <w:r>
        <w:rPr>
          <w:rFonts w:ascii="宋体" w:hAnsi="宋体"/>
          <w:color w:val="auto"/>
          <w:szCs w:val="21"/>
          <w:highlight w:val="none"/>
        </w:rPr>
        <w:t>确定</w:t>
      </w:r>
      <w:r>
        <w:rPr>
          <w:rFonts w:hint="eastAsia" w:ascii="宋体" w:hAnsi="宋体"/>
          <w:color w:val="auto"/>
          <w:szCs w:val="21"/>
          <w:highlight w:val="none"/>
        </w:rPr>
        <w:t>项目负责人（或项目联系人）</w:t>
      </w:r>
      <w:r>
        <w:rPr>
          <w:rFonts w:ascii="宋体" w:hAnsi="宋体"/>
          <w:color w:val="auto"/>
          <w:szCs w:val="21"/>
          <w:highlight w:val="none"/>
        </w:rPr>
        <w:t>，负责与本合同有关的事务。</w:t>
      </w:r>
      <w:r>
        <w:rPr>
          <w:rFonts w:hint="eastAsia" w:ascii="宋体" w:hAnsi="宋体"/>
          <w:color w:val="auto"/>
          <w:szCs w:val="21"/>
          <w:highlight w:val="none"/>
        </w:rPr>
        <w:t>甲方有权对乙方的履约行为进行检查，并</w:t>
      </w:r>
      <w:r>
        <w:rPr>
          <w:rFonts w:ascii="宋体" w:hAnsi="宋体"/>
          <w:color w:val="auto"/>
          <w:szCs w:val="21"/>
          <w:highlight w:val="none"/>
        </w:rPr>
        <w:t>及时确认乙方提交的事项</w:t>
      </w:r>
      <w:r>
        <w:rPr>
          <w:rFonts w:hint="eastAsia" w:ascii="宋体" w:hAnsi="宋体"/>
          <w:color w:val="auto"/>
          <w:szCs w:val="21"/>
          <w:highlight w:val="none"/>
        </w:rPr>
        <w:t>。甲方应当</w:t>
      </w:r>
      <w:r>
        <w:rPr>
          <w:rFonts w:ascii="宋体" w:hAnsi="宋体"/>
          <w:color w:val="auto"/>
          <w:szCs w:val="21"/>
          <w:highlight w:val="none"/>
        </w:rPr>
        <w:t>配合乙方完成</w:t>
      </w:r>
      <w:r>
        <w:rPr>
          <w:rFonts w:hint="eastAsia" w:ascii="宋体" w:hAnsi="宋体"/>
          <w:color w:val="auto"/>
          <w:szCs w:val="21"/>
          <w:highlight w:val="none"/>
        </w:rPr>
        <w:t>相关项目</w:t>
      </w:r>
      <w:r>
        <w:rPr>
          <w:rFonts w:ascii="宋体" w:hAnsi="宋体"/>
          <w:color w:val="auto"/>
          <w:szCs w:val="21"/>
          <w:highlight w:val="none"/>
        </w:rPr>
        <w:t>实施工作。</w:t>
      </w:r>
    </w:p>
    <w:p w14:paraId="09D47975">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4.2 </w:t>
      </w:r>
      <w:r>
        <w:rPr>
          <w:rFonts w:ascii="宋体" w:hAnsi="宋体"/>
          <w:color w:val="auto"/>
          <w:szCs w:val="21"/>
          <w:highlight w:val="none"/>
        </w:rPr>
        <w:t>甲方有权要求乙方按时提交各阶段有关</w:t>
      </w:r>
      <w:r>
        <w:rPr>
          <w:rFonts w:hint="eastAsia" w:ascii="宋体" w:hAnsi="宋体"/>
          <w:color w:val="auto"/>
          <w:szCs w:val="21"/>
          <w:highlight w:val="none"/>
        </w:rPr>
        <w:t>安排计划</w:t>
      </w:r>
      <w:r>
        <w:rPr>
          <w:rFonts w:ascii="宋体" w:hAnsi="宋体"/>
          <w:color w:val="auto"/>
          <w:szCs w:val="21"/>
          <w:highlight w:val="none"/>
        </w:rPr>
        <w:t>，并有权</w:t>
      </w:r>
      <w:r>
        <w:rPr>
          <w:rFonts w:hint="eastAsia" w:ascii="宋体" w:hAnsi="宋体"/>
          <w:color w:val="auto"/>
          <w:szCs w:val="21"/>
          <w:highlight w:val="none"/>
        </w:rPr>
        <w:t>定期核对乙方提供货物数量、规格、质量等内容。甲方</w:t>
      </w:r>
      <w:r>
        <w:rPr>
          <w:rFonts w:ascii="宋体" w:hAnsi="宋体"/>
          <w:color w:val="auto"/>
          <w:szCs w:val="21"/>
          <w:highlight w:val="none"/>
        </w:rPr>
        <w:t>有权督促乙方工作并要求乙方</w:t>
      </w:r>
      <w:r>
        <w:rPr>
          <w:rFonts w:hint="eastAsia" w:ascii="宋体" w:hAnsi="宋体"/>
          <w:color w:val="auto"/>
          <w:szCs w:val="21"/>
          <w:highlight w:val="none"/>
        </w:rPr>
        <w:t>更</w:t>
      </w:r>
      <w:r>
        <w:rPr>
          <w:rFonts w:ascii="宋体" w:hAnsi="宋体"/>
          <w:color w:val="auto"/>
          <w:szCs w:val="21"/>
          <w:highlight w:val="none"/>
        </w:rPr>
        <w:t>换不符合要求的</w:t>
      </w:r>
      <w:r>
        <w:rPr>
          <w:rFonts w:hint="eastAsia" w:ascii="宋体" w:hAnsi="宋体"/>
          <w:color w:val="auto"/>
          <w:szCs w:val="21"/>
          <w:highlight w:val="none"/>
        </w:rPr>
        <w:t>货物</w:t>
      </w:r>
      <w:r>
        <w:rPr>
          <w:rFonts w:ascii="宋体" w:hAnsi="宋体"/>
          <w:color w:val="auto"/>
          <w:szCs w:val="21"/>
          <w:highlight w:val="none"/>
        </w:rPr>
        <w:t>。</w:t>
      </w:r>
    </w:p>
    <w:p w14:paraId="3B7B5C6F">
      <w:pPr>
        <w:autoSpaceDE w:val="0"/>
        <w:autoSpaceDN w:val="0"/>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甲方</w:t>
      </w:r>
      <w:r>
        <w:rPr>
          <w:rFonts w:hint="eastAsia" w:ascii="宋体" w:hAnsi="宋体"/>
          <w:color w:val="auto"/>
          <w:szCs w:val="21"/>
          <w:highlight w:val="none"/>
        </w:rPr>
        <w:t>有权要求乙方对缺陷部分予以修复，并按合同约定享有货物保修及其他合同约定的权利。</w:t>
      </w:r>
    </w:p>
    <w:p w14:paraId="3E489E2A">
      <w:pPr>
        <w:snapToGrid w:val="0"/>
        <w:spacing w:line="400" w:lineRule="exact"/>
        <w:ind w:firstLine="420" w:firstLineChars="200"/>
        <w:rPr>
          <w:rFonts w:hint="eastAsia" w:eastAsia="华文楷体"/>
          <w:color w:val="auto"/>
          <w:highlight w:val="none"/>
        </w:rPr>
      </w:pPr>
      <w:r>
        <w:rPr>
          <w:rFonts w:ascii="宋体" w:hAnsi="宋体"/>
          <w:color w:val="auto"/>
          <w:szCs w:val="21"/>
          <w:highlight w:val="none"/>
        </w:rPr>
        <w:t>4.4 甲方应当按照合同约定及时对交付的货物进行验收</w:t>
      </w:r>
      <w:r>
        <w:rPr>
          <w:rFonts w:hint="eastAsia" w:ascii="宋体" w:hAnsi="宋体"/>
          <w:color w:val="auto"/>
          <w:szCs w:val="21"/>
          <w:highlight w:val="none"/>
        </w:rPr>
        <w:t>，</w:t>
      </w:r>
      <w:r>
        <w:rPr>
          <w:rFonts w:hint="eastAsia" w:ascii="宋体" w:hAnsi="宋体" w:cs="宋体"/>
          <w:color w:val="auto"/>
          <w:szCs w:val="21"/>
          <w:highlight w:val="none"/>
        </w:rPr>
        <w:t>未</w:t>
      </w:r>
      <w:r>
        <w:rPr>
          <w:rFonts w:hint="eastAsia" w:ascii="宋体" w:hAnsi="宋体"/>
          <w:color w:val="auto"/>
          <w:szCs w:val="21"/>
          <w:highlight w:val="none"/>
        </w:rPr>
        <w:t>在</w:t>
      </w:r>
      <w:r>
        <w:rPr>
          <w:rFonts w:hint="eastAsia" w:ascii="宋体" w:hAnsi="宋体" w:cs="宋体"/>
          <w:b/>
          <w:bCs/>
          <w:color w:val="auto"/>
          <w:szCs w:val="21"/>
          <w:highlight w:val="none"/>
        </w:rPr>
        <w:t>【政府采购合同专用条款】</w:t>
      </w:r>
      <w:r>
        <w:rPr>
          <w:rFonts w:hint="eastAsia" w:ascii="宋体" w:hAnsi="宋体" w:cs="宋体"/>
          <w:color w:val="auto"/>
          <w:szCs w:val="21"/>
          <w:highlight w:val="none"/>
        </w:rPr>
        <w:t>约定的期限内对乙方履约提出任何异议或者向乙方作出任何说明的，</w:t>
      </w:r>
      <w:r>
        <w:rPr>
          <w:rFonts w:hint="eastAsia" w:ascii="宋体" w:hAnsi="宋体"/>
          <w:color w:val="auto"/>
          <w:szCs w:val="21"/>
          <w:highlight w:val="none"/>
        </w:rPr>
        <w:t>视为验收通过。</w:t>
      </w:r>
    </w:p>
    <w:p w14:paraId="1270ECB4">
      <w:pPr>
        <w:autoSpaceDE w:val="0"/>
        <w:autoSpaceDN w:val="0"/>
        <w:adjustRightInd w:val="0"/>
        <w:snapToGrid w:val="0"/>
        <w:spacing w:line="400" w:lineRule="exact"/>
        <w:ind w:firstLine="420" w:firstLineChars="200"/>
        <w:jc w:val="left"/>
        <w:rPr>
          <w:rFonts w:hint="eastAsia"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w:t>
      </w:r>
      <w:r>
        <w:rPr>
          <w:rFonts w:ascii="宋体" w:hAnsi="宋体"/>
          <w:color w:val="auto"/>
          <w:szCs w:val="21"/>
          <w:highlight w:val="none"/>
        </w:rPr>
        <w:t xml:space="preserve">5 </w:t>
      </w:r>
      <w:r>
        <w:rPr>
          <w:rFonts w:hint="eastAsia" w:ascii="宋体" w:hAnsi="宋体"/>
          <w:color w:val="auto"/>
          <w:szCs w:val="21"/>
          <w:highlight w:val="none"/>
        </w:rPr>
        <w:t>甲方应当根据合同约定及时向乙方支付合同价款</w:t>
      </w:r>
      <w:r>
        <w:rPr>
          <w:rFonts w:ascii="宋体" w:hAnsi="宋体"/>
          <w:color w:val="auto"/>
          <w:szCs w:val="21"/>
          <w:highlight w:val="none"/>
        </w:rPr>
        <w:t>，不得以内部人员变更、履行内部付款流程等为由，拒绝或迟延支付。</w:t>
      </w:r>
    </w:p>
    <w:p w14:paraId="0C7ADACE">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4.6</w:t>
      </w:r>
      <w:r>
        <w:rPr>
          <w:rFonts w:ascii="宋体" w:hAnsi="宋体"/>
          <w:color w:val="auto"/>
          <w:szCs w:val="21"/>
          <w:highlight w:val="none"/>
        </w:rPr>
        <w:t xml:space="preserve"> </w:t>
      </w:r>
      <w:r>
        <w:rPr>
          <w:rFonts w:hint="eastAsia" w:ascii="宋体" w:hAnsi="宋体"/>
          <w:color w:val="auto"/>
          <w:szCs w:val="21"/>
          <w:highlight w:val="none"/>
        </w:rPr>
        <w:t>国家法律法规规定及</w:t>
      </w:r>
      <w:r>
        <w:rPr>
          <w:rFonts w:hint="eastAsia" w:ascii="宋体" w:hAnsi="宋体" w:cs="宋体"/>
          <w:b/>
          <w:bCs/>
          <w:color w:val="auto"/>
          <w:szCs w:val="21"/>
          <w:highlight w:val="none"/>
        </w:rPr>
        <w:t>【政府采购合同专用条款】</w:t>
      </w:r>
      <w:r>
        <w:rPr>
          <w:rFonts w:hint="eastAsia" w:ascii="宋体" w:hAnsi="宋体"/>
          <w:color w:val="auto"/>
          <w:szCs w:val="21"/>
          <w:highlight w:val="none"/>
        </w:rPr>
        <w:t>约定应由甲方承担的其他义务和责任。</w:t>
      </w:r>
    </w:p>
    <w:p w14:paraId="0A922D0D">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5. 乙方的权利和义务</w:t>
      </w:r>
    </w:p>
    <w:p w14:paraId="7136CECA">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5.1 </w:t>
      </w:r>
      <w:r>
        <w:rPr>
          <w:rFonts w:ascii="宋体" w:hAnsi="宋体"/>
          <w:color w:val="auto"/>
          <w:szCs w:val="21"/>
          <w:highlight w:val="none"/>
        </w:rPr>
        <w:t>签署合同后，乙方</w:t>
      </w:r>
      <w:r>
        <w:rPr>
          <w:rFonts w:hint="eastAsia" w:ascii="宋体" w:hAnsi="宋体"/>
          <w:color w:val="auto"/>
          <w:szCs w:val="21"/>
          <w:highlight w:val="none"/>
        </w:rPr>
        <w:t>应</w:t>
      </w:r>
      <w:r>
        <w:rPr>
          <w:rFonts w:ascii="宋体" w:hAnsi="宋体"/>
          <w:color w:val="auto"/>
          <w:szCs w:val="21"/>
          <w:highlight w:val="none"/>
        </w:rPr>
        <w:t>确定</w:t>
      </w:r>
      <w:r>
        <w:rPr>
          <w:rFonts w:hint="eastAsia" w:ascii="宋体" w:hAnsi="宋体"/>
          <w:color w:val="auto"/>
          <w:szCs w:val="21"/>
          <w:highlight w:val="none"/>
        </w:rPr>
        <w:t>项目负责人（或项目联系人）</w:t>
      </w:r>
      <w:r>
        <w:rPr>
          <w:rFonts w:ascii="宋体" w:hAnsi="宋体"/>
          <w:color w:val="auto"/>
          <w:szCs w:val="21"/>
          <w:highlight w:val="none"/>
        </w:rPr>
        <w:t>，负责与本合同有关的事务。</w:t>
      </w:r>
    </w:p>
    <w:p w14:paraId="0AA78C71">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2 乙方应按照合同要求</w:t>
      </w:r>
      <w:r>
        <w:rPr>
          <w:rFonts w:hint="eastAsia" w:ascii="宋体" w:hAnsi="宋体"/>
          <w:color w:val="auto"/>
          <w:szCs w:val="21"/>
          <w:highlight w:val="none"/>
        </w:rPr>
        <w:t>履约</w:t>
      </w:r>
      <w:r>
        <w:rPr>
          <w:rFonts w:ascii="宋体" w:hAnsi="宋体"/>
          <w:color w:val="auto"/>
          <w:szCs w:val="21"/>
          <w:highlight w:val="none"/>
        </w:rPr>
        <w:t>，充分合理安排，确保</w:t>
      </w:r>
      <w:r>
        <w:rPr>
          <w:rFonts w:hint="eastAsia" w:ascii="宋体" w:hAnsi="宋体"/>
          <w:color w:val="auto"/>
          <w:szCs w:val="21"/>
          <w:highlight w:val="none"/>
        </w:rPr>
        <w:t>提供的货物及相关服务符合合同有关</w:t>
      </w:r>
      <w:r>
        <w:rPr>
          <w:rFonts w:ascii="宋体" w:hAnsi="宋体"/>
          <w:color w:val="auto"/>
          <w:szCs w:val="21"/>
          <w:highlight w:val="none"/>
        </w:rPr>
        <w:t>要求</w:t>
      </w:r>
      <w:r>
        <w:rPr>
          <w:rFonts w:hint="eastAsia" w:ascii="宋体" w:hAnsi="宋体"/>
          <w:color w:val="auto"/>
          <w:szCs w:val="21"/>
          <w:highlight w:val="none"/>
        </w:rPr>
        <w:t>。接受项目行业管理部门及政府有关部门的指导，配合甲方的履约检查及验收，并</w:t>
      </w:r>
      <w:r>
        <w:rPr>
          <w:rFonts w:ascii="宋体" w:hAnsi="宋体"/>
          <w:color w:val="auto"/>
          <w:szCs w:val="21"/>
          <w:highlight w:val="none"/>
        </w:rPr>
        <w:t>负责项目实施过程中的所有协调工作。</w:t>
      </w:r>
    </w:p>
    <w:p w14:paraId="3ADE06A9">
      <w:pPr>
        <w:pStyle w:val="14"/>
        <w:spacing w:line="400" w:lineRule="exact"/>
        <w:ind w:firstLine="369" w:firstLineChars="176"/>
        <w:rPr>
          <w:rFonts w:ascii="宋体" w:hAnsi="宋体" w:cs="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3</w:t>
      </w:r>
      <w:r>
        <w:rPr>
          <w:rFonts w:hint="eastAsia" w:ascii="宋体" w:hAnsi="宋体"/>
          <w:color w:val="auto"/>
          <w:szCs w:val="21"/>
          <w:highlight w:val="none"/>
        </w:rPr>
        <w:t>乙方有权</w:t>
      </w:r>
      <w:r>
        <w:rPr>
          <w:rFonts w:hint="eastAsia" w:ascii="宋体" w:hAnsi="宋体" w:cs="宋体"/>
          <w:color w:val="auto"/>
          <w:szCs w:val="21"/>
          <w:highlight w:val="none"/>
        </w:rPr>
        <w:t>根据合同约定向甲方收取合同价款。</w:t>
      </w:r>
    </w:p>
    <w:p w14:paraId="4503B216">
      <w:pPr>
        <w:pStyle w:val="14"/>
        <w:spacing w:line="400" w:lineRule="exact"/>
        <w:ind w:firstLine="369" w:firstLineChars="176"/>
        <w:rPr>
          <w:rFonts w:ascii="宋体" w:hAnsi="宋体" w:cs="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4</w:t>
      </w:r>
      <w:r>
        <w:rPr>
          <w:rFonts w:hint="eastAsia" w:ascii="宋体" w:hAnsi="宋体" w:cs="宋体"/>
          <w:color w:val="auto"/>
          <w:szCs w:val="21"/>
          <w:highlight w:val="none"/>
        </w:rPr>
        <w:t>国家法律法规规定</w:t>
      </w:r>
      <w:r>
        <w:rPr>
          <w:rFonts w:hint="eastAsia" w:ascii="宋体" w:hAnsi="宋体"/>
          <w:color w:val="auto"/>
          <w:szCs w:val="21"/>
          <w:highlight w:val="none"/>
        </w:rPr>
        <w:t>及</w:t>
      </w:r>
      <w:r>
        <w:rPr>
          <w:rFonts w:hint="eastAsia" w:ascii="宋体" w:hAnsi="宋体" w:cs="宋体"/>
          <w:b/>
          <w:bCs/>
          <w:color w:val="auto"/>
          <w:szCs w:val="21"/>
          <w:highlight w:val="none"/>
        </w:rPr>
        <w:t>【政府采购合同专用条款】</w:t>
      </w:r>
      <w:r>
        <w:rPr>
          <w:rFonts w:hint="eastAsia" w:ascii="宋体" w:hAnsi="宋体" w:cs="宋体"/>
          <w:color w:val="auto"/>
          <w:szCs w:val="21"/>
          <w:highlight w:val="none"/>
        </w:rPr>
        <w:t>约定应由乙方承担的其他义务和责任。</w:t>
      </w:r>
    </w:p>
    <w:p w14:paraId="31888635">
      <w:pPr>
        <w:numPr>
          <w:ilvl w:val="0"/>
          <w:numId w:val="9"/>
        </w:numPr>
        <w:autoSpaceDE w:val="0"/>
        <w:autoSpaceDN w:val="0"/>
        <w:adjustRightInd w:val="0"/>
        <w:snapToGrid w:val="0"/>
        <w:spacing w:line="400" w:lineRule="exact"/>
        <w:jc w:val="left"/>
        <w:rPr>
          <w:rFonts w:hint="eastAsia" w:ascii="宋体" w:hAnsi="宋体"/>
          <w:b/>
          <w:bCs/>
          <w:color w:val="auto"/>
          <w:sz w:val="24"/>
          <w:highlight w:val="none"/>
        </w:rPr>
      </w:pPr>
      <w:r>
        <w:rPr>
          <w:rFonts w:hint="eastAsia" w:ascii="宋体" w:hAnsi="宋体"/>
          <w:b/>
          <w:bCs/>
          <w:color w:val="auto"/>
          <w:sz w:val="24"/>
          <w:highlight w:val="none"/>
        </w:rPr>
        <w:t>合同履行</w:t>
      </w:r>
    </w:p>
    <w:p w14:paraId="7B5B2357">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6.1 甲乙双方应当按照</w:t>
      </w:r>
      <w:r>
        <w:rPr>
          <w:rFonts w:hint="eastAsia" w:ascii="宋体" w:hAnsi="宋体" w:cs="宋体"/>
          <w:b/>
          <w:bCs/>
          <w:color w:val="auto"/>
          <w:szCs w:val="21"/>
          <w:highlight w:val="none"/>
        </w:rPr>
        <w:t>【政府采购合同专用条款】</w:t>
      </w:r>
      <w:r>
        <w:rPr>
          <w:rFonts w:hint="eastAsia" w:ascii="宋体" w:hAnsi="宋体"/>
          <w:color w:val="auto"/>
          <w:szCs w:val="21"/>
          <w:highlight w:val="none"/>
        </w:rPr>
        <w:t>约定顺序履行合同义务；如果没有先后顺序的，应当同时履行。</w:t>
      </w:r>
    </w:p>
    <w:p w14:paraId="3B65B3C1">
      <w:pPr>
        <w:autoSpaceDE w:val="0"/>
        <w:autoSpaceDN w:val="0"/>
        <w:adjustRightInd w:val="0"/>
        <w:snapToGrid w:val="0"/>
        <w:spacing w:line="400" w:lineRule="exact"/>
        <w:ind w:firstLine="420" w:firstLineChars="200"/>
        <w:jc w:val="left"/>
        <w:rPr>
          <w:color w:val="auto"/>
          <w:highlight w:val="none"/>
        </w:rPr>
      </w:pPr>
      <w:r>
        <w:rPr>
          <w:rFonts w:hint="eastAsia" w:ascii="宋体" w:hAnsi="宋体"/>
          <w:color w:val="auto"/>
          <w:szCs w:val="21"/>
          <w:highlight w:val="none"/>
        </w:rPr>
        <w:t>6.2 甲乙双方按照合同约定顺序履行合同义务时，应当先履行一方未履行的，后履行一方有权拒绝其履行请求。先履行一方履行不符合约定的，后履行一方有权拒绝其相应的履行请求。</w:t>
      </w:r>
    </w:p>
    <w:p w14:paraId="30EFB0FE">
      <w:pPr>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7. 货物包装、运输、保险和交付要求</w:t>
      </w:r>
    </w:p>
    <w:p w14:paraId="62949112">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7.1 本合同</w:t>
      </w:r>
      <w:r>
        <w:rPr>
          <w:rFonts w:hint="eastAsia" w:ascii="宋体" w:hAnsi="宋体"/>
          <w:bCs/>
          <w:color w:val="auto"/>
          <w:szCs w:val="21"/>
          <w:highlight w:val="none"/>
        </w:rPr>
        <w:t>涉及商品包装、快递包装的，</w:t>
      </w:r>
      <w:r>
        <w:rPr>
          <w:rFonts w:hint="eastAsia" w:ascii="宋体" w:hAnsi="宋体"/>
          <w:color w:val="auto"/>
          <w:szCs w:val="21"/>
          <w:highlight w:val="none"/>
        </w:rPr>
        <w:t>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另有约定外，</w:t>
      </w:r>
      <w:r>
        <w:rPr>
          <w:rFonts w:hint="eastAsia" w:ascii="宋体" w:hAnsi="宋体"/>
          <w:color w:val="auto"/>
          <w:szCs w:val="21"/>
          <w:highlight w:val="none"/>
        </w:rPr>
        <w:t>包装应适应远距离运输、防潮、防震、防锈和防野蛮装卸等要求，确保货物安全无损地运抵</w:t>
      </w:r>
      <w:r>
        <w:rPr>
          <w:rFonts w:hint="eastAsia" w:ascii="宋体" w:hAnsi="宋体"/>
          <w:b/>
          <w:color w:val="auto"/>
          <w:szCs w:val="21"/>
          <w:highlight w:val="none"/>
        </w:rPr>
        <w:t>【政府采购合同专用条款】</w:t>
      </w:r>
      <w:r>
        <w:rPr>
          <w:rFonts w:hint="eastAsia" w:ascii="宋体" w:hAnsi="宋体"/>
          <w:bCs/>
          <w:color w:val="auto"/>
          <w:szCs w:val="21"/>
          <w:highlight w:val="none"/>
        </w:rPr>
        <w:t>约定的</w:t>
      </w:r>
      <w:r>
        <w:rPr>
          <w:rFonts w:hint="eastAsia" w:ascii="宋体" w:hAnsi="宋体"/>
          <w:color w:val="auto"/>
          <w:szCs w:val="21"/>
          <w:highlight w:val="none"/>
        </w:rPr>
        <w:t>指定现场。</w:t>
      </w:r>
    </w:p>
    <w:p w14:paraId="55F3E41D">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7.2 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另有约定外，</w:t>
      </w:r>
      <w:r>
        <w:rPr>
          <w:rFonts w:hint="eastAsia" w:ascii="宋体" w:hAnsi="宋体"/>
          <w:color w:val="auto"/>
          <w:szCs w:val="21"/>
          <w:highlight w:val="none"/>
        </w:rPr>
        <w:t>乙方负责办理将货物运抵本合同规定的交货地点，并装卸、交付至甲方的一切运输事项，相关费用应包含在合同价款中。</w:t>
      </w:r>
    </w:p>
    <w:p w14:paraId="25783764">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7.3 货物保险要求按</w:t>
      </w:r>
      <w:r>
        <w:rPr>
          <w:rFonts w:hint="eastAsia" w:ascii="宋体" w:hAnsi="宋体"/>
          <w:b/>
          <w:color w:val="auto"/>
          <w:szCs w:val="21"/>
          <w:highlight w:val="none"/>
        </w:rPr>
        <w:t>【政府采购合同专用条款】</w:t>
      </w:r>
      <w:r>
        <w:rPr>
          <w:rFonts w:hint="eastAsia" w:ascii="宋体" w:hAnsi="宋体"/>
          <w:bCs/>
          <w:color w:val="auto"/>
          <w:szCs w:val="21"/>
          <w:highlight w:val="none"/>
        </w:rPr>
        <w:t>规定执行</w:t>
      </w:r>
      <w:r>
        <w:rPr>
          <w:rFonts w:hint="eastAsia" w:ascii="宋体" w:hAnsi="宋体"/>
          <w:color w:val="auto"/>
          <w:szCs w:val="21"/>
          <w:highlight w:val="none"/>
        </w:rPr>
        <w:t>。</w:t>
      </w:r>
    </w:p>
    <w:p w14:paraId="4A1136C4">
      <w:pPr>
        <w:autoSpaceDE w:val="0"/>
        <w:autoSpaceDN w:val="0"/>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3674198B">
      <w:pPr>
        <w:autoSpaceDE w:val="0"/>
        <w:autoSpaceDN w:val="0"/>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7.5 </w:t>
      </w:r>
      <w:r>
        <w:rPr>
          <w:rFonts w:hint="eastAsia" w:ascii="宋体" w:hAnsi="宋体" w:cs="宋体"/>
          <w:color w:val="auto"/>
          <w:szCs w:val="21"/>
          <w:highlight w:val="none"/>
        </w:rPr>
        <w:t>乙方在运输到达之前应提前通知甲方，并提示货物运输装卸的注意事项，甲方配合乙方做好货物的接收工作。</w:t>
      </w:r>
    </w:p>
    <w:p w14:paraId="48BAD338">
      <w:pPr>
        <w:pStyle w:val="110"/>
        <w:ind w:firstLine="420"/>
        <w:rPr>
          <w:color w:val="auto"/>
          <w:sz w:val="21"/>
          <w:highlight w:val="none"/>
        </w:rPr>
      </w:pPr>
      <w:r>
        <w:rPr>
          <w:rFonts w:hint="eastAsia" w:ascii="宋体" w:hAnsi="宋体" w:eastAsia="宋体" w:cs="Times New Roman"/>
          <w:color w:val="auto"/>
          <w:kern w:val="2"/>
          <w:sz w:val="21"/>
          <w:highlight w:val="none"/>
        </w:rPr>
        <w:t>7.6 如因包装、运输问题导致货物损毁、丢失或者品质下降，甲方有权要求降价、换货、拒收部分或整批货物，由此产生的费用和损失，均由乙方承担。</w:t>
      </w:r>
    </w:p>
    <w:p w14:paraId="160A4DE8">
      <w:pPr>
        <w:adjustRightInd w:val="0"/>
        <w:snapToGrid w:val="0"/>
        <w:spacing w:line="400" w:lineRule="exact"/>
        <w:jc w:val="left"/>
        <w:rPr>
          <w:rFonts w:ascii="宋体" w:hAnsi="宋体"/>
          <w:b/>
          <w:color w:val="auto"/>
          <w:sz w:val="24"/>
          <w:highlight w:val="none"/>
        </w:rPr>
      </w:pPr>
      <w:r>
        <w:rPr>
          <w:rFonts w:hint="eastAsia" w:ascii="宋体" w:hAnsi="宋体"/>
          <w:b/>
          <w:color w:val="auto"/>
          <w:sz w:val="24"/>
          <w:highlight w:val="none"/>
        </w:rPr>
        <w:t>8. 质量标准和保证</w:t>
      </w:r>
    </w:p>
    <w:p w14:paraId="02CC44E1">
      <w:pPr>
        <w:pStyle w:val="16"/>
        <w:adjustRightInd w:val="0"/>
        <w:snapToGrid w:val="0"/>
        <w:spacing w:line="400" w:lineRule="exact"/>
        <w:ind w:firstLine="220" w:firstLineChars="200"/>
        <w:jc w:val="left"/>
        <w:rPr>
          <w:rFonts w:hAnsi="宋体"/>
          <w:b/>
          <w:color w:val="auto"/>
          <w:highlight w:val="none"/>
        </w:rPr>
      </w:pPr>
      <w:r>
        <w:rPr>
          <w:rFonts w:hint="eastAsia" w:hAnsi="宋体"/>
          <w:color w:val="auto"/>
          <w:highlight w:val="none"/>
        </w:rPr>
        <w:t>8.1 质量标准</w:t>
      </w:r>
    </w:p>
    <w:p w14:paraId="6B8F7931">
      <w:pPr>
        <w:autoSpaceDE w:val="0"/>
        <w:autoSpaceDN w:val="0"/>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（1）本合同下提供的货物应符合合同</w:t>
      </w:r>
      <w:r>
        <w:rPr>
          <w:rFonts w:hint="eastAsia" w:ascii="宋体" w:hAnsi="宋体" w:cs="宋体"/>
          <w:color w:val="auto"/>
          <w:szCs w:val="21"/>
          <w:highlight w:val="none"/>
        </w:rPr>
        <w:t>约定的品牌、规格型号、技术性能、配置、质量、数量等要求。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265782D9">
      <w:pPr>
        <w:pStyle w:val="16"/>
        <w:adjustRightInd w:val="0"/>
        <w:snapToGrid w:val="0"/>
        <w:spacing w:line="400" w:lineRule="exact"/>
        <w:ind w:firstLine="220" w:firstLineChars="200"/>
        <w:jc w:val="left"/>
        <w:rPr>
          <w:rFonts w:hAnsi="宋体"/>
          <w:color w:val="auto"/>
          <w:highlight w:val="none"/>
        </w:rPr>
      </w:pPr>
      <w:r>
        <w:rPr>
          <w:rFonts w:hint="eastAsia" w:hAnsi="宋体"/>
          <w:color w:val="auto"/>
          <w:highlight w:val="none"/>
        </w:rPr>
        <w:t>（2）采用中华人民共和国法定计量单位。</w:t>
      </w:r>
    </w:p>
    <w:p w14:paraId="76C71DB2">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（3）乙方所提供的货物应符合国家有关安全、环保、卫生的规定。</w:t>
      </w:r>
    </w:p>
    <w:p w14:paraId="30A50953">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（4）乙方应向甲方提交所提供货物的技术文件，包括相应的中文技术文件，如：产品目录、图纸、操作手册、使用说明、维护手册或服务指南等。上述文件应包装好随货物一同发运。</w:t>
      </w:r>
    </w:p>
    <w:p w14:paraId="20851479">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8.2 保证</w:t>
      </w:r>
    </w:p>
    <w:p w14:paraId="5FEED3FA">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（1）乙方应保证提供的货物完全符合合同规定的质量、规格和性能要求。乙方应保证货物在正确安装、正常使用和保养条件下，</w:t>
      </w:r>
      <w:r>
        <w:rPr>
          <w:rFonts w:hint="eastAsia" w:ascii="宋体" w:hAnsi="宋体" w:cs="宋体"/>
          <w:color w:val="auto"/>
          <w:szCs w:val="21"/>
          <w:highlight w:val="none"/>
        </w:rPr>
        <w:t>在其使用寿命期内具备合同约定的性能</w:t>
      </w:r>
      <w:r>
        <w:rPr>
          <w:rFonts w:hint="eastAsia" w:ascii="宋体" w:hAnsi="宋体"/>
          <w:color w:val="auto"/>
          <w:szCs w:val="21"/>
          <w:highlight w:val="none"/>
        </w:rPr>
        <w:t>。存在质量保证期的，货物最终交付验收合格后在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规定或乙方书面承诺（两者以较长的为准）的质量保证期内，本保证保持有效。</w:t>
      </w:r>
    </w:p>
    <w:p w14:paraId="53936273">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7F71B7FF">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1FA5F69C">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（4）在质量保证期内，如果货物的质量或规格与合同不符，或证实货物是有缺陷的，包括潜在的缺陷或使用不符合要求的材料等，甲方可以根据本合同第15.1条规定以书面形式追究乙方的违约责任。</w:t>
      </w:r>
    </w:p>
    <w:p w14:paraId="1267B220">
      <w:pPr>
        <w:adjustRightInd w:val="0"/>
        <w:snapToGrid w:val="0"/>
        <w:spacing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（5）乙方在约定的时间内未能弥补缺陷，甲方可采取必要的补救措施，但其风险和费用将由乙方承担，甲方根据合同约定对乙方行使的其他权利不受影响。</w:t>
      </w:r>
    </w:p>
    <w:p w14:paraId="0259817C">
      <w:pPr>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9. 权利瑕疵担保</w:t>
      </w:r>
    </w:p>
    <w:p w14:paraId="5EF3D309">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9.1 乙方保证对其出售的货物享有合法的权利。</w:t>
      </w:r>
    </w:p>
    <w:p w14:paraId="70DDE1C1">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9.2 </w:t>
      </w:r>
      <w:r>
        <w:rPr>
          <w:rFonts w:hint="eastAsia" w:ascii="宋体" w:hAnsi="宋体" w:cs="宋体"/>
          <w:color w:val="auto"/>
          <w:szCs w:val="15"/>
          <w:highlight w:val="none"/>
        </w:rPr>
        <w:t>乙方保证在交付的货物上不存在抵押权等担保物权。</w:t>
      </w:r>
    </w:p>
    <w:p w14:paraId="60CEF177">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9.3 如甲方使用上述货物构成对第三人侵权的，则由乙方承担全部责任。</w:t>
      </w:r>
    </w:p>
    <w:p w14:paraId="7B961D58">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10. 知识产权保护</w:t>
      </w:r>
    </w:p>
    <w:p w14:paraId="603F73DA">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10.1 乙方对其所销售的货物应当享有知识产权或经权利人合法授权，保证没有侵犯任何第三人的知识产权等权利。</w:t>
      </w:r>
      <w:bookmarkStart w:id="83" w:name="_Hlk163047038"/>
      <w:r>
        <w:rPr>
          <w:rFonts w:hint="eastAsia" w:ascii="宋体" w:hAnsi="宋体" w:cs="宋体"/>
          <w:color w:val="auto"/>
          <w:szCs w:val="15"/>
          <w:highlight w:val="none"/>
        </w:rPr>
        <w:t>因违反前述约定对第三人构成侵权的，应当由乙方向第三人承担法律责任；甲方依法向第三人赔偿后，有权向乙方追偿。甲方有其他损失的，乙方应当赔偿</w:t>
      </w:r>
      <w:bookmarkEnd w:id="83"/>
      <w:r>
        <w:rPr>
          <w:rFonts w:hint="eastAsia" w:ascii="宋体" w:hAnsi="宋体"/>
          <w:color w:val="auto"/>
          <w:szCs w:val="21"/>
          <w:highlight w:val="none"/>
        </w:rPr>
        <w:t>。</w:t>
      </w:r>
    </w:p>
    <w:p w14:paraId="3E50693F">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11. 保密义务</w:t>
      </w:r>
    </w:p>
    <w:p w14:paraId="305A23D6">
      <w:pPr>
        <w:autoSpaceDE w:val="0"/>
        <w:autoSpaceDN w:val="0"/>
        <w:adjustRightInd w:val="0"/>
        <w:snapToGrid w:val="0"/>
        <w:spacing w:line="400" w:lineRule="exact"/>
        <w:ind w:firstLine="420" w:firstLineChars="200"/>
        <w:jc w:val="left"/>
        <w:rPr>
          <w:rFonts w:hint="eastAsia" w:ascii="宋体" w:hAnsi="宋体" w:cs="宋体"/>
          <w:color w:val="auto"/>
          <w:szCs w:val="15"/>
          <w:highlight w:val="none"/>
        </w:rPr>
      </w:pPr>
      <w:r>
        <w:rPr>
          <w:rFonts w:hint="eastAsia" w:ascii="宋体" w:hAnsi="宋体" w:cs="宋体"/>
          <w:color w:val="auto"/>
          <w:szCs w:val="15"/>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color w:val="auto"/>
          <w:szCs w:val="15"/>
          <w:highlight w:val="none"/>
        </w:rPr>
        <w:t>【政府采购合同专用条款】</w:t>
      </w:r>
      <w:r>
        <w:rPr>
          <w:rFonts w:hint="eastAsia" w:ascii="宋体" w:hAnsi="宋体" w:cs="宋体"/>
          <w:color w:val="auto"/>
          <w:szCs w:val="15"/>
          <w:highlight w:val="none"/>
        </w:rPr>
        <w:t>中约定。</w:t>
      </w:r>
    </w:p>
    <w:p w14:paraId="5ADD3DEF">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12. 合同价款支付</w:t>
      </w:r>
    </w:p>
    <w:p w14:paraId="0B723225">
      <w:pPr>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12.1 合同价款支付按照国库集中支付制度及财政管理相关规定执行。</w:t>
      </w:r>
    </w:p>
    <w:p w14:paraId="54425996">
      <w:pPr>
        <w:pStyle w:val="3"/>
        <w:spacing w:line="400" w:lineRule="exact"/>
        <w:ind w:firstLine="420" w:firstLineChars="200"/>
        <w:rPr>
          <w:rFonts w:hint="eastAsia" w:eastAsia="宋体"/>
          <w:color w:val="auto"/>
          <w:highlight w:val="none"/>
        </w:rPr>
      </w:pPr>
      <w:r>
        <w:rPr>
          <w:rFonts w:hint="eastAsia" w:ascii="宋体" w:hAnsi="宋体"/>
          <w:b w:val="0"/>
          <w:color w:val="auto"/>
          <w:sz w:val="21"/>
          <w:szCs w:val="21"/>
          <w:highlight w:val="none"/>
        </w:rPr>
        <w:t xml:space="preserve">12.2 </w:t>
      </w:r>
      <w:r>
        <w:rPr>
          <w:rFonts w:hint="eastAsia" w:ascii="宋体" w:hAnsi="宋体" w:eastAsia="宋体"/>
          <w:b w:val="0"/>
          <w:color w:val="auto"/>
          <w:sz w:val="21"/>
          <w:szCs w:val="21"/>
          <w:highlight w:val="none"/>
        </w:rPr>
        <w:t>对于满足合同约定支付条件的，甲方原则上应当自收到发票后10个工作日内将资金支付到合同约定的</w:t>
      </w:r>
      <w:r>
        <w:rPr>
          <w:rFonts w:hint="eastAsia" w:ascii="宋体" w:hAnsi="宋体"/>
          <w:b w:val="0"/>
          <w:color w:val="auto"/>
          <w:sz w:val="21"/>
          <w:szCs w:val="21"/>
          <w:highlight w:val="none"/>
        </w:rPr>
        <w:t>乙方</w:t>
      </w:r>
      <w:r>
        <w:rPr>
          <w:rFonts w:hint="eastAsia" w:ascii="宋体" w:hAnsi="宋体" w:eastAsia="宋体"/>
          <w:b w:val="0"/>
          <w:color w:val="auto"/>
          <w:sz w:val="21"/>
          <w:szCs w:val="21"/>
          <w:highlight w:val="none"/>
        </w:rPr>
        <w:t>账户，不得以机构变动、人员更替、政策调整等为由迟延付款，不得将采购文件和合同中未规定的义务作为向乙方付款的条件。具体合同价款支付时间在【</w:t>
      </w:r>
      <w:r>
        <w:rPr>
          <w:rFonts w:hint="eastAsia" w:ascii="宋体" w:hAnsi="宋体" w:eastAsia="宋体"/>
          <w:bCs/>
          <w:color w:val="auto"/>
          <w:sz w:val="21"/>
          <w:szCs w:val="21"/>
          <w:highlight w:val="none"/>
        </w:rPr>
        <w:t>政府采购合同专用条款</w:t>
      </w:r>
      <w:r>
        <w:rPr>
          <w:rFonts w:hint="eastAsia" w:ascii="宋体" w:hAnsi="宋体" w:eastAsia="宋体"/>
          <w:b w:val="0"/>
          <w:color w:val="auto"/>
          <w:sz w:val="21"/>
          <w:szCs w:val="21"/>
          <w:highlight w:val="none"/>
        </w:rPr>
        <w:t>】中</w:t>
      </w:r>
      <w:r>
        <w:rPr>
          <w:rFonts w:hint="eastAsia" w:ascii="宋体" w:hAnsi="宋体"/>
          <w:b w:val="0"/>
          <w:color w:val="auto"/>
          <w:sz w:val="21"/>
          <w:szCs w:val="21"/>
          <w:highlight w:val="none"/>
        </w:rPr>
        <w:t>约</w:t>
      </w:r>
      <w:r>
        <w:rPr>
          <w:rFonts w:hint="eastAsia" w:ascii="宋体" w:hAnsi="宋体" w:eastAsia="宋体"/>
          <w:b w:val="0"/>
          <w:color w:val="auto"/>
          <w:sz w:val="21"/>
          <w:szCs w:val="21"/>
          <w:highlight w:val="none"/>
        </w:rPr>
        <w:t>定。</w:t>
      </w:r>
    </w:p>
    <w:p w14:paraId="1EC6608A">
      <w:pPr>
        <w:pStyle w:val="14"/>
        <w:spacing w:line="400" w:lineRule="exact"/>
        <w:rPr>
          <w:rFonts w:ascii="宋体" w:hAnsi="宋体"/>
          <w:b/>
          <w:bCs/>
          <w:color w:val="auto"/>
          <w:sz w:val="24"/>
          <w:szCs w:val="24"/>
          <w:highlight w:val="none"/>
        </w:rPr>
      </w:pPr>
      <w:r>
        <w:rPr>
          <w:rFonts w:hint="eastAsia" w:ascii="宋体" w:hAnsi="宋体"/>
          <w:b/>
          <w:bCs/>
          <w:color w:val="auto"/>
          <w:sz w:val="24"/>
          <w:szCs w:val="24"/>
          <w:highlight w:val="none"/>
        </w:rPr>
        <w:t>13. 履约保证金</w:t>
      </w:r>
    </w:p>
    <w:p w14:paraId="4FA298FC">
      <w:pPr>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13.1 </w:t>
      </w:r>
      <w:r>
        <w:rPr>
          <w:rFonts w:hint="eastAsia" w:ascii="宋体" w:hAnsi="宋体" w:cs="宋体"/>
          <w:color w:val="auto"/>
          <w:szCs w:val="15"/>
          <w:highlight w:val="none"/>
        </w:rPr>
        <w:t>乙方应当以支票、汇票、本票或者金融机构、担保机构出具的保函等非现金形式提交。</w:t>
      </w:r>
    </w:p>
    <w:p w14:paraId="712465C8">
      <w:pPr>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13.2 如果乙方出现</w:t>
      </w:r>
      <w:r>
        <w:rPr>
          <w:rFonts w:hint="eastAsia" w:ascii="宋体" w:hAnsi="宋体" w:cs="宋体"/>
          <w:b/>
          <w:bCs/>
          <w:color w:val="auto"/>
          <w:szCs w:val="15"/>
          <w:highlight w:val="none"/>
        </w:rPr>
        <w:t>【政府采购合同专用条款】</w:t>
      </w:r>
      <w:r>
        <w:rPr>
          <w:rFonts w:hint="eastAsia" w:ascii="宋体" w:hAnsi="宋体" w:cs="宋体"/>
          <w:color w:val="auto"/>
          <w:szCs w:val="15"/>
          <w:highlight w:val="none"/>
        </w:rPr>
        <w:t>约定情形的</w:t>
      </w:r>
      <w:r>
        <w:rPr>
          <w:rFonts w:hint="eastAsia" w:ascii="宋体" w:hAnsi="宋体"/>
          <w:color w:val="auto"/>
          <w:szCs w:val="21"/>
          <w:highlight w:val="none"/>
        </w:rPr>
        <w:t>，履约保证金不予退还；如果乙方未能按合同约定全面履行义务，甲方有权从履约保证金中取得补偿或赔偿，且不影响甲方要求乙方承担合同约定的超过履约保证金的违约责任的权利。</w:t>
      </w:r>
    </w:p>
    <w:p w14:paraId="7F923E27">
      <w:pPr>
        <w:spacing w:line="400" w:lineRule="exact"/>
        <w:ind w:firstLine="420"/>
        <w:rPr>
          <w:color w:val="auto"/>
          <w:highlight w:val="none"/>
        </w:rPr>
      </w:pPr>
      <w:r>
        <w:rPr>
          <w:rFonts w:hint="eastAsia" w:ascii="宋体" w:hAnsi="宋体"/>
          <w:color w:val="auto"/>
          <w:szCs w:val="21"/>
          <w:highlight w:val="none"/>
        </w:rPr>
        <w:t>13.3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3B2E8434">
      <w:pPr>
        <w:autoSpaceDE w:val="0"/>
        <w:autoSpaceDN w:val="0"/>
        <w:adjustRightInd w:val="0"/>
        <w:snapToGrid w:val="0"/>
        <w:spacing w:line="400" w:lineRule="exact"/>
        <w:jc w:val="left"/>
        <w:rPr>
          <w:rFonts w:ascii="宋体" w:hAnsi="宋体"/>
          <w:b/>
          <w:color w:val="auto"/>
          <w:sz w:val="24"/>
          <w:highlight w:val="none"/>
        </w:rPr>
      </w:pPr>
      <w:r>
        <w:rPr>
          <w:rFonts w:hint="eastAsia" w:ascii="宋体" w:hAnsi="宋体"/>
          <w:b/>
          <w:bCs/>
          <w:color w:val="auto"/>
          <w:sz w:val="24"/>
          <w:highlight w:val="none"/>
        </w:rPr>
        <w:t xml:space="preserve">14. </w:t>
      </w:r>
      <w:r>
        <w:rPr>
          <w:rFonts w:hint="eastAsia"/>
          <w:b/>
          <w:color w:val="auto"/>
          <w:sz w:val="24"/>
          <w:highlight w:val="none"/>
        </w:rPr>
        <w:t>售后</w:t>
      </w:r>
      <w:r>
        <w:rPr>
          <w:rFonts w:hint="eastAsia" w:ascii="宋体" w:hAnsi="宋体"/>
          <w:b/>
          <w:color w:val="auto"/>
          <w:sz w:val="24"/>
          <w:highlight w:val="none"/>
        </w:rPr>
        <w:t>服务</w:t>
      </w:r>
    </w:p>
    <w:p w14:paraId="7EAD2D00">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14.1 除项目不涉及或采购活动中明确约定无须承担外，乙方还应提供下列服务：</w:t>
      </w:r>
    </w:p>
    <w:p w14:paraId="67D9635A">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623A4716">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25EA2435">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cs="宋体"/>
          <w:b/>
          <w:bCs/>
          <w:color w:val="auto"/>
          <w:szCs w:val="15"/>
          <w:highlight w:val="none"/>
        </w:rPr>
        <w:t>【政府采购合同专用条款】</w:t>
      </w:r>
      <w:r>
        <w:rPr>
          <w:rFonts w:hint="eastAsia" w:ascii="宋体" w:hAnsi="宋体"/>
          <w:color w:val="auto"/>
          <w:szCs w:val="21"/>
          <w:highlight w:val="none"/>
        </w:rPr>
        <w:t>约定的期限内对所有的货物实施运行监督、维修，但前提条件是该服务并不能免除乙方在质量保证期内所承担的义务；</w:t>
      </w:r>
    </w:p>
    <w:p w14:paraId="7E33101E">
      <w:pPr>
        <w:autoSpaceDE w:val="0"/>
        <w:autoSpaceDN w:val="0"/>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（4）在制造商所在地或指定现场就货物的安装、启动、运营、维护、废弃处置等对甲方操作人员进行培训</w:t>
      </w:r>
      <w:r>
        <w:rPr>
          <w:rFonts w:hint="eastAsia" w:ascii="宋体" w:hAnsi="宋体" w:cs="宋体"/>
          <w:color w:val="auto"/>
          <w:szCs w:val="15"/>
          <w:highlight w:val="none"/>
        </w:rPr>
        <w:t>；</w:t>
      </w:r>
    </w:p>
    <w:p w14:paraId="56BA0E0E">
      <w:pPr>
        <w:pStyle w:val="110"/>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（5）依照法律、行政法规的规定或者按照</w:t>
      </w:r>
      <w:r>
        <w:rPr>
          <w:rFonts w:hint="eastAsia" w:ascii="宋体" w:hAnsi="宋体" w:eastAsia="宋体" w:cs="宋体"/>
          <w:b/>
          <w:bCs/>
          <w:color w:val="auto"/>
          <w:sz w:val="21"/>
          <w:highlight w:val="none"/>
        </w:rPr>
        <w:t>【政府采购合同专用条款】</w:t>
      </w:r>
      <w:r>
        <w:rPr>
          <w:rFonts w:hint="eastAsia" w:ascii="宋体" w:hAnsi="宋体" w:eastAsia="宋体" w:cs="宋体"/>
          <w:color w:val="auto"/>
          <w:sz w:val="21"/>
          <w:highlight w:val="none"/>
        </w:rPr>
        <w:t>约定，货物在有效使用年限届满后应予回收的，乙方负有自行或者委托第三人对货物予以回收的义务；</w:t>
      </w:r>
    </w:p>
    <w:p w14:paraId="5A3A1A0C">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（6）</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19F47E20">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14.2 乙方提供的售后服务的费用已包含在合同价款中，甲方不再另行支付。</w:t>
      </w:r>
    </w:p>
    <w:p w14:paraId="55194F37">
      <w:pPr>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15. 违约责任</w:t>
      </w:r>
    </w:p>
    <w:p w14:paraId="67863CBC">
      <w:pPr>
        <w:adjustRightInd w:val="0"/>
        <w:snapToGrid w:val="0"/>
        <w:spacing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15.1质量瑕疵的违约责任</w:t>
      </w:r>
    </w:p>
    <w:p w14:paraId="4EA34E61">
      <w:pPr>
        <w:autoSpaceDE w:val="0"/>
        <w:autoSpaceDN w:val="0"/>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乙方提供的产品不符合合同约定的质量标准或存在产品质量缺陷，甲方有权要求乙方根据</w:t>
      </w:r>
      <w:r>
        <w:rPr>
          <w:rFonts w:hint="eastAsia" w:ascii="宋体" w:hAnsi="宋体"/>
          <w:b/>
          <w:color w:val="auto"/>
          <w:szCs w:val="21"/>
          <w:highlight w:val="none"/>
        </w:rPr>
        <w:t>【政府采购合同专用条款】</w:t>
      </w:r>
      <w:r>
        <w:rPr>
          <w:rFonts w:hint="eastAsia" w:ascii="宋体" w:hAnsi="宋体"/>
          <w:bCs/>
          <w:color w:val="auto"/>
          <w:szCs w:val="21"/>
          <w:highlight w:val="none"/>
        </w:rPr>
        <w:t>要求</w:t>
      </w:r>
      <w:r>
        <w:rPr>
          <w:rFonts w:hint="eastAsia" w:ascii="宋体" w:hAnsi="宋体"/>
          <w:color w:val="auto"/>
          <w:szCs w:val="21"/>
          <w:highlight w:val="none"/>
        </w:rPr>
        <w:t>及时修理、重作、更换，并承担由此给甲方造成的损失。</w:t>
      </w:r>
    </w:p>
    <w:p w14:paraId="3679CCD6">
      <w:pPr>
        <w:autoSpaceDE w:val="0"/>
        <w:autoSpaceDN w:val="0"/>
        <w:adjustRightInd w:val="0"/>
        <w:snapToGrid w:val="0"/>
        <w:spacing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15.2 迟延交货的违约责任</w:t>
      </w:r>
    </w:p>
    <w:p w14:paraId="177BF649">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1084AFF0">
      <w:pPr>
        <w:autoSpaceDE w:val="0"/>
        <w:autoSpaceDN w:val="0"/>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（2）如果乙方没有按照合同规定的时间交货和提供相关服务，甲方有权从货款中扣除误期赔偿费而不影响合同项下的其他补救方法，赔偿费按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规定执行。如果涉及公共利益，且赔偿金额无法弥补公共利益损失，甲方可要求继续履行或者采取其他补救措施。</w:t>
      </w:r>
    </w:p>
    <w:p w14:paraId="41326031">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15.3 迟延支付的违约责任</w:t>
      </w:r>
    </w:p>
    <w:p w14:paraId="575115DE">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3690A19C">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15.4其他违约责任根据项目实际需要按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74144809">
      <w:pPr>
        <w:numPr>
          <w:ilvl w:val="0"/>
          <w:numId w:val="10"/>
        </w:numPr>
        <w:autoSpaceDE w:val="0"/>
        <w:autoSpaceDN w:val="0"/>
        <w:adjustRightInd w:val="0"/>
        <w:snapToGrid w:val="0"/>
        <w:spacing w:line="400" w:lineRule="exact"/>
        <w:jc w:val="left"/>
        <w:rPr>
          <w:rFonts w:ascii="宋体" w:hAnsi="宋体"/>
          <w:b/>
          <w:color w:val="auto"/>
          <w:sz w:val="24"/>
          <w:highlight w:val="none"/>
        </w:rPr>
      </w:pPr>
      <w:r>
        <w:rPr>
          <w:rFonts w:hint="eastAsia" w:ascii="宋体" w:hAnsi="宋体"/>
          <w:b/>
          <w:color w:val="auto"/>
          <w:sz w:val="24"/>
          <w:highlight w:val="none"/>
        </w:rPr>
        <w:t>合同变更、中止与终止</w:t>
      </w:r>
    </w:p>
    <w:p w14:paraId="70E267FE">
      <w:pPr>
        <w:adjustRightInd w:val="0"/>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 xml:space="preserve">    16.1合同的变更</w:t>
      </w:r>
    </w:p>
    <w:p w14:paraId="5C8A113B">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政府采购合同履行中，在不改变合同其他条款的前提下，甲方可以在合同价款10%的范围内追加与合同标的相同的货物，并就此与乙方协商一致后签订补充协议。</w:t>
      </w:r>
    </w:p>
    <w:p w14:paraId="260E2DC9">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16.2合同的中止</w:t>
      </w:r>
    </w:p>
    <w:p w14:paraId="240C5F1F">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（1）合同履行过程中因供应商就采购文件、采购过程或结果提起投诉的，甲方认为有必要的，可以中止合同的履行。</w:t>
      </w:r>
    </w:p>
    <w:p w14:paraId="4A6B3BD6">
      <w:pPr>
        <w:autoSpaceDE w:val="0"/>
        <w:autoSpaceDN w:val="0"/>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190A11E4">
      <w:pPr>
        <w:pStyle w:val="110"/>
        <w:ind w:firstLine="420"/>
        <w:jc w:val="both"/>
        <w:rPr>
          <w:color w:val="auto"/>
          <w:sz w:val="21"/>
          <w:highlight w:val="none"/>
        </w:rPr>
      </w:pPr>
      <w:r>
        <w:rPr>
          <w:rFonts w:hint="eastAsia" w:ascii="宋体" w:hAnsi="宋体" w:eastAsia="宋体" w:cs="宋体"/>
          <w:color w:val="auto"/>
          <w:sz w:val="21"/>
          <w:highlight w:val="none"/>
        </w:rPr>
        <w:t>（3）乙方分立、合并或者变更住所的，应当及时以书面形式告知甲方。乙方没有及时告知甲方，致使合同履行发生困难的，甲方可以中止合同履行并要求乙方承担由此给甲方造成的损失。</w:t>
      </w:r>
    </w:p>
    <w:p w14:paraId="4A338434">
      <w:pPr>
        <w:snapToGrid w:val="0"/>
        <w:spacing w:line="400" w:lineRule="exact"/>
        <w:ind w:firstLine="420" w:firstLineChars="200"/>
        <w:jc w:val="left"/>
        <w:rPr>
          <w:color w:val="auto"/>
          <w:highlight w:val="none"/>
        </w:rPr>
      </w:pPr>
      <w:r>
        <w:rPr>
          <w:rFonts w:hint="eastAsia" w:ascii="宋体" w:hAnsi="宋体"/>
          <w:color w:val="auto"/>
          <w:szCs w:val="21"/>
          <w:highlight w:val="none"/>
        </w:rPr>
        <w:t>（4）甲方不得以行政区划调整、政府换届、机构或者职能调整以及相关责任人更替为由中止合同。</w:t>
      </w:r>
    </w:p>
    <w:p w14:paraId="10B0921C">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16.3合同的终止</w:t>
      </w:r>
    </w:p>
    <w:p w14:paraId="4B5F36CD">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6B108423">
      <w:pPr>
        <w:snapToGrid w:val="0"/>
        <w:spacing w:line="400" w:lineRule="exact"/>
        <w:ind w:firstLine="420" w:firstLineChars="200"/>
        <w:rPr>
          <w:rFonts w:hint="eastAsia" w:ascii="宋体" w:hAnsi="宋体" w:cs="宋体"/>
          <w:color w:val="auto"/>
          <w:szCs w:val="21"/>
          <w:highlight w:val="none"/>
        </w:rPr>
      </w:pPr>
      <w:r>
        <w:rPr>
          <w:rFonts w:hint="eastAsia" w:ascii="宋体" w:hAnsi="宋体"/>
          <w:color w:val="auto"/>
          <w:szCs w:val="21"/>
          <w:highlight w:val="none"/>
        </w:rPr>
        <w:t>（2）乙方未按合同约定履行，构成根本性违约的，甲方有权终止合同，</w:t>
      </w:r>
      <w:r>
        <w:rPr>
          <w:rFonts w:hint="eastAsia" w:ascii="宋体" w:hAnsi="宋体" w:cs="宋体"/>
          <w:color w:val="auto"/>
          <w:szCs w:val="21"/>
          <w:highlight w:val="none"/>
        </w:rPr>
        <w:t>并追究乙方的违约责任</w:t>
      </w:r>
      <w:r>
        <w:rPr>
          <w:rFonts w:hint="eastAsia" w:ascii="宋体" w:hAnsi="宋体"/>
          <w:color w:val="auto"/>
          <w:szCs w:val="21"/>
          <w:highlight w:val="none"/>
        </w:rPr>
        <w:t>。</w:t>
      </w:r>
    </w:p>
    <w:p w14:paraId="788C8B3A">
      <w:pPr>
        <w:pStyle w:val="110"/>
        <w:rPr>
          <w:rFonts w:hint="eastAsia" w:ascii="宋体" w:hAnsi="宋体"/>
          <w:color w:val="auto"/>
          <w:highlight w:val="none"/>
        </w:rPr>
      </w:pPr>
      <w:r>
        <w:rPr>
          <w:rFonts w:hint="eastAsia" w:ascii="宋体" w:hAnsi="宋体"/>
          <w:color w:val="auto"/>
          <w:highlight w:val="none"/>
        </w:rPr>
        <w:t xml:space="preserve">16.4 </w:t>
      </w:r>
      <w:r>
        <w:rPr>
          <w:rFonts w:hint="eastAsia" w:ascii="宋体" w:hAnsi="宋体" w:eastAsia="宋体" w:cs="Times New Roman"/>
          <w:color w:val="auto"/>
          <w:kern w:val="2"/>
          <w:sz w:val="21"/>
          <w:highlight w:val="none"/>
        </w:rPr>
        <w:t>涉及国家利益、社会公共利益的情形</w:t>
      </w:r>
    </w:p>
    <w:p w14:paraId="70E3D28A">
      <w:pPr>
        <w:pStyle w:val="110"/>
        <w:ind w:firstLine="420"/>
        <w:jc w:val="both"/>
        <w:rPr>
          <w:color w:val="auto"/>
          <w:sz w:val="21"/>
          <w:highlight w:val="none"/>
        </w:rPr>
      </w:pPr>
      <w:r>
        <w:rPr>
          <w:rFonts w:hint="eastAsia" w:ascii="宋体" w:hAnsi="宋体" w:eastAsia="宋体" w:cs="宋体"/>
          <w:color w:val="auto"/>
          <w:sz w:val="21"/>
          <w:highlight w:val="none"/>
        </w:rPr>
        <w:t>政府采购合同继续履行将损害国家利益和社会公共利益的，双方当事人应当变更、中止或者终止合同。有过错的一方应当承担赔偿责任，双方都有过错的，各自承担相应的责任。</w:t>
      </w:r>
    </w:p>
    <w:p w14:paraId="36243158">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17. 合同分包</w:t>
      </w:r>
    </w:p>
    <w:p w14:paraId="266EC69F">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17.1 乙方不得将合同转包给其他供应商。涉及合同分包的，乙方应根据采购文件和投标（响应）文件规定进行合同分包。</w:t>
      </w:r>
    </w:p>
    <w:p w14:paraId="657D19A0">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17.2 乙方执行政府采购政策向中小企业依法分包的，乙方应当按采购文件和投标（响应）文件签订分包意向协议，分包意向协议属于本合同组成部分。</w:t>
      </w:r>
    </w:p>
    <w:p w14:paraId="6F6B869D">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18. 不可抗力</w:t>
      </w:r>
    </w:p>
    <w:p w14:paraId="02847737">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18.1 不可抗力是指合同双方不能预见、不能避免且不能克服的客观情况。</w:t>
      </w:r>
    </w:p>
    <w:p w14:paraId="1964E842">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18.2 任何一方对由于不可抗力造成的部分或全部不能履行合同不承担违约责任。但迟延履行后发生不可抗力的，不能免除责任。</w:t>
      </w:r>
    </w:p>
    <w:p w14:paraId="42100959">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715CD1E8">
      <w:pPr>
        <w:autoSpaceDE w:val="0"/>
        <w:autoSpaceDN w:val="0"/>
        <w:adjustRightInd w:val="0"/>
        <w:snapToGrid w:val="0"/>
        <w:spacing w:line="400" w:lineRule="exact"/>
        <w:jc w:val="left"/>
        <w:rPr>
          <w:rFonts w:hint="eastAsia" w:ascii="宋体" w:hAnsi="宋体"/>
          <w:b/>
          <w:bCs/>
          <w:color w:val="auto"/>
          <w:sz w:val="24"/>
          <w:highlight w:val="none"/>
        </w:rPr>
      </w:pPr>
      <w:r>
        <w:rPr>
          <w:rFonts w:hint="eastAsia" w:ascii="宋体" w:hAnsi="宋体"/>
          <w:b/>
          <w:bCs/>
          <w:color w:val="auto"/>
          <w:sz w:val="24"/>
          <w:highlight w:val="none"/>
        </w:rPr>
        <w:t>19. 解决争议的方法</w:t>
      </w:r>
    </w:p>
    <w:p w14:paraId="7AA5AE0C">
      <w:pPr>
        <w:pStyle w:val="110"/>
        <w:ind w:firstLine="42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11528B8A">
      <w:pPr>
        <w:pStyle w:val="110"/>
        <w:ind w:firstLine="42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19.2 选择仲裁的，应在</w:t>
      </w:r>
      <w:r>
        <w:rPr>
          <w:rFonts w:hint="eastAsia" w:ascii="宋体" w:hAnsi="宋体" w:eastAsia="宋体" w:cs="宋体"/>
          <w:b/>
          <w:bCs/>
          <w:color w:val="auto"/>
          <w:sz w:val="21"/>
          <w:highlight w:val="none"/>
        </w:rPr>
        <w:t>【政府采购合同专用条款】</w:t>
      </w:r>
      <w:r>
        <w:rPr>
          <w:rFonts w:hint="eastAsia" w:ascii="宋体" w:hAnsi="宋体" w:eastAsia="宋体" w:cs="宋体"/>
          <w:color w:val="auto"/>
          <w:sz w:val="21"/>
          <w:highlight w:val="none"/>
        </w:rPr>
        <w:t>中明确仲裁机构及仲裁地；通过诉讼方式解决的，可以在</w:t>
      </w:r>
      <w:r>
        <w:rPr>
          <w:rFonts w:hint="eastAsia" w:ascii="宋体" w:hAnsi="宋体" w:eastAsia="宋体" w:cs="宋体"/>
          <w:b/>
          <w:bCs/>
          <w:color w:val="auto"/>
          <w:sz w:val="21"/>
          <w:highlight w:val="none"/>
        </w:rPr>
        <w:t>【政府采购合同专用条款】</w:t>
      </w:r>
      <w:r>
        <w:rPr>
          <w:rFonts w:hint="eastAsia" w:ascii="宋体" w:hAnsi="宋体" w:eastAsia="宋体" w:cs="宋体"/>
          <w:color w:val="auto"/>
          <w:sz w:val="21"/>
          <w:highlight w:val="none"/>
        </w:rPr>
        <w:t>中进一步约定选择与争议有实际联系的地点的人民法院管辖，但管辖法院的约定不得违反级别管辖和专属管辖的规定。</w:t>
      </w:r>
    </w:p>
    <w:p w14:paraId="584FEE14">
      <w:pPr>
        <w:pStyle w:val="110"/>
        <w:ind w:firstLine="42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19.3 如甲乙双方有争议的事项不影响合同其他部分的履行，在争议解决期间，合同其他部分应当继续履行。</w:t>
      </w:r>
    </w:p>
    <w:p w14:paraId="23AAF5B3">
      <w:pPr>
        <w:autoSpaceDE w:val="0"/>
        <w:autoSpaceDN w:val="0"/>
        <w:adjustRightInd w:val="0"/>
        <w:snapToGrid w:val="0"/>
        <w:spacing w:line="400" w:lineRule="exact"/>
        <w:jc w:val="left"/>
        <w:rPr>
          <w:rFonts w:ascii="宋体" w:hAnsi="宋体"/>
          <w:color w:val="auto"/>
          <w:sz w:val="24"/>
          <w:highlight w:val="none"/>
        </w:rPr>
      </w:pPr>
      <w:r>
        <w:rPr>
          <w:rFonts w:hint="eastAsia" w:ascii="宋体" w:hAnsi="宋体"/>
          <w:b/>
          <w:color w:val="auto"/>
          <w:sz w:val="24"/>
          <w:highlight w:val="none"/>
        </w:rPr>
        <w:t>20. 政府采购政策</w:t>
      </w:r>
    </w:p>
    <w:p w14:paraId="37049731">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20.1 </w:t>
      </w:r>
      <w:r>
        <w:rPr>
          <w:rFonts w:hint="eastAsia" w:ascii="宋体" w:hAnsi="宋体" w:cs="宋体"/>
          <w:color w:val="auto"/>
          <w:highlight w:val="none"/>
          <w:lang w:val="en-GB"/>
        </w:rPr>
        <w:t>本合同应当按照规定执行政府采购政策。</w:t>
      </w:r>
    </w:p>
    <w:p w14:paraId="786B58B3">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0.2 本合同依法执行政府采购政策的方式和内容，属于合同履约验收的范围。</w:t>
      </w:r>
      <w:r>
        <w:rPr>
          <w:rFonts w:hint="eastAsia" w:ascii="宋体" w:hAnsi="宋体" w:cs="宋体"/>
          <w:color w:val="auto"/>
          <w:highlight w:val="none"/>
        </w:rPr>
        <w:t>甲乙双方</w:t>
      </w:r>
      <w:r>
        <w:rPr>
          <w:rFonts w:hint="eastAsia" w:ascii="宋体" w:hAnsi="宋体" w:cs="宋体"/>
          <w:color w:val="auto"/>
          <w:highlight w:val="none"/>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6ED17494">
      <w:pPr>
        <w:pStyle w:val="14"/>
        <w:spacing w:line="400" w:lineRule="exact"/>
        <w:ind w:firstLine="42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0D7408EC">
      <w:pPr>
        <w:autoSpaceDE w:val="0"/>
        <w:autoSpaceDN w:val="0"/>
        <w:adjustRightInd w:val="0"/>
        <w:snapToGrid w:val="0"/>
        <w:spacing w:line="400" w:lineRule="exact"/>
        <w:jc w:val="left"/>
        <w:rPr>
          <w:rFonts w:hint="eastAsia" w:ascii="宋体" w:hAnsi="宋体"/>
          <w:b/>
          <w:color w:val="auto"/>
          <w:sz w:val="24"/>
          <w:highlight w:val="none"/>
        </w:rPr>
      </w:pPr>
      <w:r>
        <w:rPr>
          <w:rFonts w:hint="eastAsia" w:ascii="宋体" w:hAnsi="宋体"/>
          <w:b/>
          <w:color w:val="auto"/>
          <w:sz w:val="24"/>
          <w:highlight w:val="none"/>
        </w:rPr>
        <w:t>21. 法律适用</w:t>
      </w:r>
    </w:p>
    <w:p w14:paraId="031CB990">
      <w:pPr>
        <w:pStyle w:val="110"/>
        <w:ind w:firstLine="42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21.1 本合同的订立、生效、解释、履行及与本合同有关的争议解决，均适用法律、行政法规。</w:t>
      </w:r>
    </w:p>
    <w:p w14:paraId="7DEEB9DA">
      <w:pPr>
        <w:pStyle w:val="110"/>
        <w:ind w:firstLine="42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21.2 本合同条款与法律、行政法规的强制性规定不一致的，双方当事人应按照法律、行政法规的强制性规定修改本合同的相关条款。</w:t>
      </w:r>
    </w:p>
    <w:p w14:paraId="62BCF582">
      <w:pPr>
        <w:autoSpaceDE w:val="0"/>
        <w:autoSpaceDN w:val="0"/>
        <w:adjustRightInd w:val="0"/>
        <w:snapToGrid w:val="0"/>
        <w:spacing w:line="400" w:lineRule="exact"/>
        <w:jc w:val="left"/>
        <w:rPr>
          <w:rFonts w:ascii="宋体" w:hAnsi="宋体"/>
          <w:b/>
          <w:color w:val="auto"/>
          <w:sz w:val="24"/>
          <w:highlight w:val="none"/>
        </w:rPr>
      </w:pPr>
      <w:r>
        <w:rPr>
          <w:rFonts w:hint="eastAsia" w:ascii="宋体" w:hAnsi="宋体"/>
          <w:b/>
          <w:color w:val="auto"/>
          <w:sz w:val="24"/>
          <w:highlight w:val="none"/>
        </w:rPr>
        <w:t>22. 通知</w:t>
      </w:r>
    </w:p>
    <w:p w14:paraId="010AC0FF">
      <w:pPr>
        <w:pStyle w:val="110"/>
        <w:ind w:firstLine="42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22.1 本合同任何一方向对方发出的通知、信件、数据电文等，应当发送至本合同第一部分《政府采购合同协议书》所约定的通讯地址、联系人、联系电话或电子邮箱。</w:t>
      </w:r>
    </w:p>
    <w:p w14:paraId="6EE43B97">
      <w:pPr>
        <w:pStyle w:val="110"/>
        <w:ind w:firstLine="0" w:firstLineChars="0"/>
        <w:jc w:val="both"/>
        <w:rPr>
          <w:color w:val="auto"/>
          <w:sz w:val="21"/>
          <w:highlight w:val="none"/>
        </w:rPr>
      </w:pPr>
      <w:r>
        <w:rPr>
          <w:rFonts w:hint="eastAsia" w:ascii="宋体" w:hAnsi="宋体" w:eastAsia="宋体" w:cs="宋体"/>
          <w:color w:val="auto"/>
          <w:sz w:val="21"/>
          <w:highlight w:val="none"/>
        </w:rPr>
        <w:t xml:space="preserve">    22.2 一方当事人变更名称、住所、联系人、联系电话或电子邮箱等信息的，应当在变更后3日内及时书面通知对方，对方实际收到变更通知前的送达仍为有效送达。</w:t>
      </w:r>
    </w:p>
    <w:p w14:paraId="7C152032">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22.3本合同一方给另一方的通知均应采用书面形式，传真或快递送到本合同中规定的对方的地址和办理签收手续。</w:t>
      </w:r>
    </w:p>
    <w:p w14:paraId="181005B6">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22.4通知以送达之日或通知书中规定的生效之日起生效，两者中以较迟之日为准。</w:t>
      </w:r>
    </w:p>
    <w:p w14:paraId="08897C27">
      <w:pPr>
        <w:numPr>
          <w:ilvl w:val="0"/>
          <w:numId w:val="11"/>
        </w:numPr>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51F423A5">
      <w:pPr>
        <w:adjustRightInd w:val="0"/>
        <w:snapToGrid w:val="0"/>
        <w:spacing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23.1合同未尽事项见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24574249">
      <w:pPr>
        <w:adjustRightInd w:val="0"/>
        <w:snapToGrid w:val="0"/>
        <w:spacing w:line="400" w:lineRule="exact"/>
        <w:jc w:val="left"/>
        <w:rPr>
          <w:rFonts w:ascii="黑体" w:hAnsi="华文中宋" w:eastAsia="黑体"/>
          <w:color w:val="auto"/>
          <w:sz w:val="28"/>
          <w:szCs w:val="28"/>
          <w:highlight w:val="none"/>
        </w:rPr>
      </w:pPr>
      <w:r>
        <w:rPr>
          <w:rFonts w:hint="eastAsia" w:ascii="宋体" w:hAnsi="宋体"/>
          <w:bCs/>
          <w:color w:val="auto"/>
          <w:szCs w:val="21"/>
          <w:highlight w:val="none"/>
        </w:rPr>
        <w:t xml:space="preserve">    23.2 合同附件与合同正文具有同等的法律效力。</w:t>
      </w:r>
      <w:bookmarkStart w:id="84" w:name="_Toc20313"/>
    </w:p>
    <w:p w14:paraId="5C36C915">
      <w:pPr>
        <w:adjustRightInd w:val="0"/>
        <w:snapToGrid w:val="0"/>
        <w:jc w:val="center"/>
        <w:rPr>
          <w:rFonts w:hint="eastAsia" w:ascii="黑体" w:hAnsi="华文中宋" w:eastAsia="黑体"/>
          <w:color w:val="auto"/>
          <w:sz w:val="28"/>
          <w:szCs w:val="28"/>
          <w:highlight w:val="none"/>
        </w:rPr>
      </w:pPr>
      <w:r>
        <w:rPr>
          <w:rFonts w:hint="eastAsia" w:ascii="黑体" w:hAnsi="华文中宋" w:eastAsia="黑体"/>
          <w:color w:val="auto"/>
          <w:sz w:val="28"/>
          <w:szCs w:val="28"/>
          <w:highlight w:val="none"/>
        </w:rPr>
        <w:br w:type="page"/>
      </w:r>
    </w:p>
    <w:p w14:paraId="5D8F52FA">
      <w:pPr>
        <w:pStyle w:val="3"/>
        <w:adjustRightInd w:val="0"/>
        <w:snapToGrid w:val="0"/>
        <w:rPr>
          <w:rFonts w:ascii="黑体" w:hAnsi="华文中宋" w:eastAsia="黑体"/>
          <w:b w:val="0"/>
          <w:color w:val="auto"/>
          <w:sz w:val="28"/>
          <w:szCs w:val="28"/>
          <w:highlight w:val="none"/>
        </w:rPr>
      </w:pPr>
      <w:r>
        <w:rPr>
          <w:rFonts w:hint="eastAsia" w:ascii="黑体" w:hAnsi="华文中宋" w:eastAsia="黑体"/>
          <w:b w:val="0"/>
          <w:color w:val="auto"/>
          <w:sz w:val="28"/>
          <w:szCs w:val="28"/>
          <w:highlight w:val="none"/>
        </w:rPr>
        <w:t>第三节 政府采购合同专用条款</w:t>
      </w:r>
      <w:bookmarkEnd w:id="84"/>
    </w:p>
    <w:tbl>
      <w:tblPr>
        <w:tblStyle w:val="28"/>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2B2662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21BC14B0">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533DF009">
            <w:pPr>
              <w:adjustRightInd w:val="0"/>
              <w:snapToGrid w:val="0"/>
              <w:jc w:val="center"/>
              <w:rPr>
                <w:rFonts w:ascii="宋体" w:hAnsi="宋体"/>
                <w:color w:val="auto"/>
                <w:szCs w:val="21"/>
                <w:highlight w:val="none"/>
              </w:rPr>
            </w:pPr>
            <w:r>
              <w:rPr>
                <w:rFonts w:hint="eastAsia" w:ascii="宋体" w:hAnsi="宋体"/>
                <w:color w:val="auto"/>
                <w:szCs w:val="21"/>
                <w:highlight w:val="none"/>
              </w:rPr>
              <w:t>第1.2（6）项</w:t>
            </w:r>
          </w:p>
        </w:tc>
        <w:tc>
          <w:tcPr>
            <w:tcW w:w="1742" w:type="dxa"/>
            <w:noWrap w:val="0"/>
            <w:vAlign w:val="center"/>
          </w:tcPr>
          <w:p w14:paraId="3F9ECE6C">
            <w:pPr>
              <w:adjustRightInd w:val="0"/>
              <w:snapToGrid w:val="0"/>
              <w:jc w:val="left"/>
              <w:rPr>
                <w:rFonts w:ascii="宋体" w:hAnsi="宋体"/>
                <w:color w:val="auto"/>
                <w:szCs w:val="21"/>
                <w:highlight w:val="none"/>
              </w:rPr>
            </w:pPr>
            <w:r>
              <w:rPr>
                <w:rFonts w:hint="eastAsia" w:ascii="宋体" w:hAnsi="宋体"/>
                <w:color w:val="auto"/>
                <w:szCs w:val="21"/>
                <w:highlight w:val="none"/>
              </w:rPr>
              <w:t>联合体具体要求</w:t>
            </w:r>
          </w:p>
        </w:tc>
        <w:tc>
          <w:tcPr>
            <w:tcW w:w="5170" w:type="dxa"/>
            <w:noWrap w:val="0"/>
            <w:vAlign w:val="center"/>
          </w:tcPr>
          <w:p w14:paraId="16241A5E">
            <w:pPr>
              <w:adjustRightInd w:val="0"/>
              <w:snapToGrid w:val="0"/>
              <w:jc w:val="left"/>
              <w:rPr>
                <w:rFonts w:ascii="宋体" w:hAnsi="宋体"/>
                <w:color w:val="auto"/>
                <w:szCs w:val="21"/>
                <w:highlight w:val="none"/>
              </w:rPr>
            </w:pPr>
          </w:p>
        </w:tc>
      </w:tr>
      <w:tr w14:paraId="7DD8C3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noWrap w:val="0"/>
            <w:vAlign w:val="center"/>
          </w:tcPr>
          <w:p w14:paraId="12DE3F6B">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8021732">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第1.2（7）项</w:t>
            </w:r>
          </w:p>
        </w:tc>
        <w:tc>
          <w:tcPr>
            <w:tcW w:w="1742" w:type="dxa"/>
            <w:noWrap w:val="0"/>
            <w:vAlign w:val="center"/>
          </w:tcPr>
          <w:p w14:paraId="1ED59E8D">
            <w:pPr>
              <w:adjustRightInd w:val="0"/>
              <w:snapToGrid w:val="0"/>
              <w:jc w:val="left"/>
              <w:rPr>
                <w:rFonts w:hint="eastAsia" w:ascii="宋体" w:hAnsi="宋体"/>
                <w:color w:val="auto"/>
                <w:szCs w:val="21"/>
                <w:highlight w:val="none"/>
              </w:rPr>
            </w:pPr>
            <w:r>
              <w:rPr>
                <w:rFonts w:hint="eastAsia" w:ascii="宋体" w:hAnsi="宋体"/>
                <w:color w:val="auto"/>
                <w:szCs w:val="21"/>
                <w:highlight w:val="none"/>
              </w:rPr>
              <w:t>其他术语解释</w:t>
            </w:r>
          </w:p>
        </w:tc>
        <w:tc>
          <w:tcPr>
            <w:tcW w:w="5170" w:type="dxa"/>
            <w:noWrap w:val="0"/>
            <w:vAlign w:val="center"/>
          </w:tcPr>
          <w:p w14:paraId="62F918B6">
            <w:pPr>
              <w:adjustRightInd w:val="0"/>
              <w:snapToGrid w:val="0"/>
              <w:jc w:val="left"/>
              <w:rPr>
                <w:rFonts w:ascii="宋体" w:hAnsi="宋体"/>
                <w:color w:val="auto"/>
                <w:szCs w:val="21"/>
                <w:highlight w:val="none"/>
              </w:rPr>
            </w:pPr>
          </w:p>
        </w:tc>
      </w:tr>
      <w:tr w14:paraId="3034D4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2831978E">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86249BD">
            <w:pPr>
              <w:adjustRightInd w:val="0"/>
              <w:snapToGrid w:val="0"/>
              <w:jc w:val="center"/>
              <w:rPr>
                <w:rFonts w:ascii="宋体" w:hAnsi="宋体"/>
                <w:color w:val="auto"/>
                <w:szCs w:val="21"/>
                <w:highlight w:val="none"/>
              </w:rPr>
            </w:pPr>
            <w:r>
              <w:rPr>
                <w:rFonts w:hint="eastAsia" w:ascii="宋体" w:hAnsi="宋体"/>
                <w:color w:val="auto"/>
                <w:szCs w:val="21"/>
                <w:highlight w:val="none"/>
              </w:rPr>
              <w:t>第4.4款</w:t>
            </w:r>
          </w:p>
        </w:tc>
        <w:tc>
          <w:tcPr>
            <w:tcW w:w="1742" w:type="dxa"/>
            <w:noWrap w:val="0"/>
            <w:vAlign w:val="center"/>
          </w:tcPr>
          <w:p w14:paraId="293A9EB7">
            <w:pPr>
              <w:adjustRightInd w:val="0"/>
              <w:snapToGrid w:val="0"/>
              <w:jc w:val="left"/>
              <w:rPr>
                <w:rFonts w:hint="eastAsia" w:ascii="宋体" w:hAnsi="宋体"/>
                <w:color w:val="auto"/>
                <w:szCs w:val="21"/>
                <w:highlight w:val="none"/>
              </w:rPr>
            </w:pPr>
            <w:r>
              <w:rPr>
                <w:rFonts w:hint="eastAsia" w:ascii="宋体" w:hAnsi="宋体"/>
                <w:color w:val="auto"/>
                <w:szCs w:val="21"/>
                <w:highlight w:val="none"/>
              </w:rPr>
              <w:t>履约验收中甲方提出异议或作出说明的期限</w:t>
            </w:r>
          </w:p>
        </w:tc>
        <w:tc>
          <w:tcPr>
            <w:tcW w:w="5170" w:type="dxa"/>
            <w:noWrap w:val="0"/>
            <w:vAlign w:val="center"/>
          </w:tcPr>
          <w:p w14:paraId="2CA620E9">
            <w:pPr>
              <w:adjustRightInd w:val="0"/>
              <w:snapToGrid w:val="0"/>
              <w:jc w:val="left"/>
              <w:rPr>
                <w:rFonts w:ascii="宋体" w:hAnsi="宋体"/>
                <w:color w:val="auto"/>
                <w:szCs w:val="21"/>
                <w:highlight w:val="none"/>
              </w:rPr>
            </w:pPr>
          </w:p>
        </w:tc>
      </w:tr>
      <w:tr w14:paraId="21BF72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44A80F0D">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29950BB">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第4.6款</w:t>
            </w:r>
          </w:p>
        </w:tc>
        <w:tc>
          <w:tcPr>
            <w:tcW w:w="1742" w:type="dxa"/>
            <w:noWrap w:val="0"/>
            <w:vAlign w:val="center"/>
          </w:tcPr>
          <w:p w14:paraId="739F00FA">
            <w:pPr>
              <w:adjustRightInd w:val="0"/>
              <w:snapToGrid w:val="0"/>
              <w:jc w:val="left"/>
              <w:rPr>
                <w:rFonts w:hint="eastAsia" w:ascii="宋体" w:hAnsi="宋体"/>
                <w:color w:val="auto"/>
                <w:szCs w:val="21"/>
                <w:highlight w:val="none"/>
              </w:rPr>
            </w:pPr>
            <w:r>
              <w:rPr>
                <w:rFonts w:hint="eastAsia" w:ascii="宋体" w:hAnsi="宋体"/>
                <w:color w:val="auto"/>
                <w:szCs w:val="21"/>
                <w:highlight w:val="none"/>
              </w:rPr>
              <w:t>约定甲方承担的其他义务和责任</w:t>
            </w:r>
          </w:p>
        </w:tc>
        <w:tc>
          <w:tcPr>
            <w:tcW w:w="5170" w:type="dxa"/>
            <w:noWrap w:val="0"/>
            <w:vAlign w:val="center"/>
          </w:tcPr>
          <w:p w14:paraId="6D9A5C73">
            <w:pPr>
              <w:adjustRightInd w:val="0"/>
              <w:snapToGrid w:val="0"/>
              <w:jc w:val="left"/>
              <w:rPr>
                <w:rFonts w:ascii="宋体" w:hAnsi="宋体"/>
                <w:color w:val="auto"/>
                <w:szCs w:val="21"/>
                <w:highlight w:val="none"/>
              </w:rPr>
            </w:pPr>
          </w:p>
        </w:tc>
      </w:tr>
      <w:tr w14:paraId="5E80D3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5F57F073">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1323A1E2">
            <w:pPr>
              <w:snapToGrid w:val="0"/>
              <w:jc w:val="center"/>
              <w:rPr>
                <w:color w:val="auto"/>
                <w:highlight w:val="none"/>
              </w:rPr>
            </w:pPr>
            <w:r>
              <w:rPr>
                <w:rFonts w:hint="eastAsia" w:ascii="宋体" w:hAnsi="宋体"/>
                <w:color w:val="auto"/>
                <w:szCs w:val="21"/>
                <w:highlight w:val="none"/>
              </w:rPr>
              <w:t>第5.4款</w:t>
            </w:r>
          </w:p>
        </w:tc>
        <w:tc>
          <w:tcPr>
            <w:tcW w:w="1742" w:type="dxa"/>
            <w:noWrap w:val="0"/>
            <w:vAlign w:val="center"/>
          </w:tcPr>
          <w:p w14:paraId="5468E366">
            <w:pPr>
              <w:adjustRightInd w:val="0"/>
              <w:snapToGrid w:val="0"/>
              <w:jc w:val="left"/>
              <w:rPr>
                <w:rFonts w:hint="eastAsia" w:ascii="宋体" w:hAnsi="宋体"/>
                <w:color w:val="auto"/>
                <w:szCs w:val="21"/>
                <w:highlight w:val="none"/>
              </w:rPr>
            </w:pPr>
            <w:r>
              <w:rPr>
                <w:rFonts w:hint="eastAsia" w:ascii="宋体" w:hAnsi="宋体"/>
                <w:color w:val="auto"/>
                <w:szCs w:val="21"/>
                <w:highlight w:val="none"/>
              </w:rPr>
              <w:t>约定乙方承担的其他义务和责任</w:t>
            </w:r>
          </w:p>
        </w:tc>
        <w:tc>
          <w:tcPr>
            <w:tcW w:w="5170" w:type="dxa"/>
            <w:noWrap w:val="0"/>
            <w:vAlign w:val="center"/>
          </w:tcPr>
          <w:p w14:paraId="001E5859">
            <w:pPr>
              <w:adjustRightInd w:val="0"/>
              <w:snapToGrid w:val="0"/>
              <w:jc w:val="left"/>
              <w:rPr>
                <w:rFonts w:ascii="宋体" w:hAnsi="宋体"/>
                <w:color w:val="auto"/>
                <w:szCs w:val="21"/>
                <w:highlight w:val="none"/>
              </w:rPr>
            </w:pPr>
          </w:p>
        </w:tc>
      </w:tr>
      <w:tr w14:paraId="610869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6F6DBA9E">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06278A66">
            <w:pPr>
              <w:snapToGrid w:val="0"/>
              <w:jc w:val="center"/>
              <w:rPr>
                <w:rFonts w:hint="eastAsia" w:ascii="宋体" w:hAnsi="宋体"/>
                <w:color w:val="auto"/>
                <w:szCs w:val="21"/>
                <w:highlight w:val="none"/>
              </w:rPr>
            </w:pPr>
            <w:r>
              <w:rPr>
                <w:rFonts w:hint="eastAsia" w:ascii="宋体" w:hAnsi="宋体"/>
                <w:color w:val="auto"/>
                <w:szCs w:val="21"/>
                <w:highlight w:val="none"/>
              </w:rPr>
              <w:t>第6.1款</w:t>
            </w:r>
          </w:p>
        </w:tc>
        <w:tc>
          <w:tcPr>
            <w:tcW w:w="1742" w:type="dxa"/>
            <w:noWrap w:val="0"/>
            <w:vAlign w:val="center"/>
          </w:tcPr>
          <w:p w14:paraId="2B75E939">
            <w:pPr>
              <w:adjustRightInd w:val="0"/>
              <w:snapToGrid w:val="0"/>
              <w:jc w:val="left"/>
              <w:rPr>
                <w:rFonts w:hint="eastAsia" w:ascii="宋体" w:hAnsi="宋体"/>
                <w:color w:val="auto"/>
                <w:szCs w:val="21"/>
                <w:highlight w:val="none"/>
              </w:rPr>
            </w:pPr>
            <w:r>
              <w:rPr>
                <w:rFonts w:hint="eastAsia" w:ascii="宋体" w:hAnsi="宋体"/>
                <w:color w:val="auto"/>
                <w:szCs w:val="21"/>
                <w:highlight w:val="none"/>
              </w:rPr>
              <w:t>履行合同义务的顺序</w:t>
            </w:r>
          </w:p>
        </w:tc>
        <w:tc>
          <w:tcPr>
            <w:tcW w:w="5170" w:type="dxa"/>
            <w:noWrap w:val="0"/>
            <w:vAlign w:val="center"/>
          </w:tcPr>
          <w:p w14:paraId="293DC849">
            <w:pPr>
              <w:adjustRightInd w:val="0"/>
              <w:snapToGrid w:val="0"/>
              <w:jc w:val="left"/>
              <w:rPr>
                <w:rFonts w:ascii="宋体" w:hAnsi="宋体"/>
                <w:color w:val="auto"/>
                <w:szCs w:val="21"/>
                <w:highlight w:val="none"/>
              </w:rPr>
            </w:pPr>
          </w:p>
        </w:tc>
      </w:tr>
      <w:tr w14:paraId="52CD00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noWrap w:val="0"/>
            <w:vAlign w:val="center"/>
          </w:tcPr>
          <w:p w14:paraId="5746C43B">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76E3BC4">
            <w:pPr>
              <w:adjustRightInd w:val="0"/>
              <w:snapToGrid w:val="0"/>
              <w:jc w:val="center"/>
              <w:rPr>
                <w:rFonts w:ascii="宋体" w:hAnsi="宋体"/>
                <w:color w:val="auto"/>
                <w:szCs w:val="21"/>
                <w:highlight w:val="none"/>
              </w:rPr>
            </w:pPr>
            <w:r>
              <w:rPr>
                <w:rFonts w:hint="eastAsia" w:ascii="宋体" w:hAnsi="宋体"/>
                <w:color w:val="auto"/>
                <w:szCs w:val="21"/>
                <w:highlight w:val="none"/>
              </w:rPr>
              <w:t>第7.1款</w:t>
            </w:r>
          </w:p>
        </w:tc>
        <w:tc>
          <w:tcPr>
            <w:tcW w:w="1742" w:type="dxa"/>
            <w:noWrap w:val="0"/>
            <w:vAlign w:val="center"/>
          </w:tcPr>
          <w:p w14:paraId="0AC3B89F">
            <w:pPr>
              <w:adjustRightInd w:val="0"/>
              <w:snapToGrid w:val="0"/>
              <w:jc w:val="left"/>
              <w:rPr>
                <w:rFonts w:ascii="宋体" w:hAnsi="宋体"/>
                <w:color w:val="auto"/>
                <w:szCs w:val="21"/>
                <w:highlight w:val="none"/>
              </w:rPr>
            </w:pPr>
            <w:r>
              <w:rPr>
                <w:rFonts w:hint="eastAsia" w:ascii="宋体" w:hAnsi="宋体"/>
                <w:color w:val="auto"/>
                <w:szCs w:val="21"/>
                <w:highlight w:val="none"/>
              </w:rPr>
              <w:t>包装特殊要求</w:t>
            </w:r>
          </w:p>
        </w:tc>
        <w:tc>
          <w:tcPr>
            <w:tcW w:w="5170" w:type="dxa"/>
            <w:noWrap w:val="0"/>
            <w:vAlign w:val="center"/>
          </w:tcPr>
          <w:p w14:paraId="2515D829">
            <w:pPr>
              <w:rPr>
                <w:color w:val="auto"/>
                <w:highlight w:val="none"/>
              </w:rPr>
            </w:pPr>
          </w:p>
        </w:tc>
      </w:tr>
      <w:tr w14:paraId="3F146A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noWrap w:val="0"/>
            <w:vAlign w:val="center"/>
          </w:tcPr>
          <w:p w14:paraId="480558C9">
            <w:pPr>
              <w:adjustRightInd w:val="0"/>
              <w:snapToGrid w:val="0"/>
              <w:jc w:val="center"/>
              <w:rPr>
                <w:rFonts w:hint="eastAsia" w:ascii="宋体" w:hAnsi="宋体"/>
                <w:color w:val="auto"/>
                <w:szCs w:val="21"/>
                <w:highlight w:val="none"/>
              </w:rPr>
            </w:pPr>
          </w:p>
        </w:tc>
        <w:tc>
          <w:tcPr>
            <w:tcW w:w="1742" w:type="dxa"/>
            <w:noWrap w:val="0"/>
            <w:vAlign w:val="center"/>
          </w:tcPr>
          <w:p w14:paraId="39572ABD">
            <w:pPr>
              <w:adjustRightInd w:val="0"/>
              <w:snapToGrid w:val="0"/>
              <w:jc w:val="left"/>
              <w:rPr>
                <w:rFonts w:hint="eastAsia" w:ascii="宋体" w:hAnsi="宋体"/>
                <w:color w:val="auto"/>
                <w:szCs w:val="21"/>
                <w:highlight w:val="none"/>
              </w:rPr>
            </w:pPr>
            <w:r>
              <w:rPr>
                <w:rFonts w:hint="eastAsia" w:ascii="宋体" w:hAnsi="宋体"/>
                <w:color w:val="auto"/>
                <w:szCs w:val="21"/>
                <w:highlight w:val="none"/>
              </w:rPr>
              <w:t>指定现场</w:t>
            </w:r>
          </w:p>
        </w:tc>
        <w:tc>
          <w:tcPr>
            <w:tcW w:w="5170" w:type="dxa"/>
            <w:noWrap w:val="0"/>
            <w:vAlign w:val="center"/>
          </w:tcPr>
          <w:p w14:paraId="53271097">
            <w:pPr>
              <w:rPr>
                <w:rFonts w:hint="eastAsia"/>
                <w:color w:val="auto"/>
                <w:highlight w:val="none"/>
              </w:rPr>
            </w:pPr>
          </w:p>
        </w:tc>
      </w:tr>
      <w:tr w14:paraId="0DA6D4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noWrap w:val="0"/>
            <w:vAlign w:val="center"/>
          </w:tcPr>
          <w:p w14:paraId="6EAED3C8">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70E8390">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第7.2款</w:t>
            </w:r>
          </w:p>
        </w:tc>
        <w:tc>
          <w:tcPr>
            <w:tcW w:w="1742" w:type="dxa"/>
            <w:noWrap w:val="0"/>
            <w:vAlign w:val="center"/>
          </w:tcPr>
          <w:p w14:paraId="48E6E974">
            <w:pPr>
              <w:adjustRightInd w:val="0"/>
              <w:snapToGrid w:val="0"/>
              <w:jc w:val="left"/>
              <w:rPr>
                <w:rFonts w:hint="eastAsia" w:ascii="宋体" w:hAnsi="宋体"/>
                <w:color w:val="auto"/>
                <w:szCs w:val="21"/>
                <w:highlight w:val="none"/>
              </w:rPr>
            </w:pPr>
            <w:r>
              <w:rPr>
                <w:rFonts w:hint="eastAsia" w:ascii="宋体" w:hAnsi="宋体"/>
                <w:color w:val="auto"/>
                <w:szCs w:val="21"/>
                <w:highlight w:val="none"/>
              </w:rPr>
              <w:t>运输特殊要求</w:t>
            </w:r>
          </w:p>
        </w:tc>
        <w:tc>
          <w:tcPr>
            <w:tcW w:w="5170" w:type="dxa"/>
            <w:noWrap w:val="0"/>
            <w:vAlign w:val="center"/>
          </w:tcPr>
          <w:p w14:paraId="751A8999">
            <w:pPr>
              <w:rPr>
                <w:rFonts w:hint="eastAsia"/>
                <w:color w:val="auto"/>
                <w:highlight w:val="none"/>
              </w:rPr>
            </w:pPr>
          </w:p>
        </w:tc>
      </w:tr>
      <w:tr w14:paraId="5E6875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noWrap w:val="0"/>
            <w:vAlign w:val="center"/>
          </w:tcPr>
          <w:p w14:paraId="544FA9E0">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C0E37E8">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第7.3款</w:t>
            </w:r>
          </w:p>
        </w:tc>
        <w:tc>
          <w:tcPr>
            <w:tcW w:w="1742" w:type="dxa"/>
            <w:noWrap w:val="0"/>
            <w:vAlign w:val="center"/>
          </w:tcPr>
          <w:p w14:paraId="1BF3889A">
            <w:pPr>
              <w:adjustRightInd w:val="0"/>
              <w:snapToGrid w:val="0"/>
              <w:jc w:val="left"/>
              <w:rPr>
                <w:rFonts w:hint="eastAsia" w:ascii="宋体" w:hAnsi="宋体"/>
                <w:color w:val="auto"/>
                <w:szCs w:val="21"/>
                <w:highlight w:val="none"/>
              </w:rPr>
            </w:pPr>
            <w:r>
              <w:rPr>
                <w:rFonts w:hint="eastAsia" w:ascii="宋体" w:hAnsi="宋体"/>
                <w:color w:val="auto"/>
                <w:szCs w:val="21"/>
                <w:highlight w:val="none"/>
              </w:rPr>
              <w:t>保险要求</w:t>
            </w:r>
          </w:p>
        </w:tc>
        <w:tc>
          <w:tcPr>
            <w:tcW w:w="5170" w:type="dxa"/>
            <w:noWrap w:val="0"/>
            <w:vAlign w:val="center"/>
          </w:tcPr>
          <w:p w14:paraId="2C035ACB">
            <w:pPr>
              <w:rPr>
                <w:rFonts w:hint="eastAsia"/>
                <w:color w:val="auto"/>
                <w:highlight w:val="none"/>
              </w:rPr>
            </w:pPr>
          </w:p>
        </w:tc>
      </w:tr>
      <w:tr w14:paraId="040107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0FE91957">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5B1EADF4">
            <w:pPr>
              <w:adjustRightInd w:val="0"/>
              <w:snapToGrid w:val="0"/>
              <w:jc w:val="center"/>
              <w:rPr>
                <w:rFonts w:ascii="宋体" w:hAnsi="宋体"/>
                <w:color w:val="auto"/>
                <w:szCs w:val="21"/>
                <w:highlight w:val="none"/>
              </w:rPr>
            </w:pPr>
            <w:r>
              <w:rPr>
                <w:rFonts w:hint="eastAsia" w:ascii="宋体" w:hAnsi="宋体"/>
                <w:color w:val="auto"/>
                <w:szCs w:val="21"/>
                <w:highlight w:val="none"/>
              </w:rPr>
              <w:t>第8.2（1）项</w:t>
            </w:r>
          </w:p>
        </w:tc>
        <w:tc>
          <w:tcPr>
            <w:tcW w:w="1742" w:type="dxa"/>
            <w:noWrap w:val="0"/>
            <w:vAlign w:val="center"/>
          </w:tcPr>
          <w:p w14:paraId="602CE7C9">
            <w:pPr>
              <w:adjustRightInd w:val="0"/>
              <w:snapToGrid w:val="0"/>
              <w:jc w:val="left"/>
              <w:rPr>
                <w:rFonts w:ascii="宋体" w:hAnsi="宋体"/>
                <w:color w:val="auto"/>
                <w:szCs w:val="21"/>
                <w:highlight w:val="none"/>
              </w:rPr>
            </w:pPr>
            <w:r>
              <w:rPr>
                <w:rFonts w:hint="eastAsia" w:ascii="宋体" w:hAnsi="宋体"/>
                <w:color w:val="auto"/>
                <w:szCs w:val="21"/>
                <w:highlight w:val="none"/>
              </w:rPr>
              <w:t>质量保证期</w:t>
            </w:r>
          </w:p>
        </w:tc>
        <w:tc>
          <w:tcPr>
            <w:tcW w:w="5170" w:type="dxa"/>
            <w:noWrap w:val="0"/>
            <w:vAlign w:val="center"/>
          </w:tcPr>
          <w:p w14:paraId="43FE74EA">
            <w:pPr>
              <w:autoSpaceDE w:val="0"/>
              <w:autoSpaceDN w:val="0"/>
              <w:adjustRightInd w:val="0"/>
              <w:snapToGrid w:val="0"/>
              <w:ind w:firstLine="420" w:firstLineChars="200"/>
              <w:jc w:val="left"/>
              <w:rPr>
                <w:rFonts w:ascii="宋体" w:hAnsi="宋体"/>
                <w:color w:val="auto"/>
                <w:szCs w:val="21"/>
                <w:highlight w:val="none"/>
              </w:rPr>
            </w:pPr>
          </w:p>
        </w:tc>
      </w:tr>
      <w:tr w14:paraId="041C53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210DFFAE">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5E8319D5">
            <w:pPr>
              <w:adjustRightInd w:val="0"/>
              <w:snapToGrid w:val="0"/>
              <w:jc w:val="center"/>
              <w:rPr>
                <w:rFonts w:ascii="宋体" w:hAnsi="宋体"/>
                <w:color w:val="auto"/>
                <w:szCs w:val="21"/>
                <w:highlight w:val="none"/>
              </w:rPr>
            </w:pPr>
            <w:r>
              <w:rPr>
                <w:rFonts w:hint="eastAsia" w:ascii="宋体" w:hAnsi="宋体"/>
                <w:color w:val="auto"/>
                <w:szCs w:val="21"/>
                <w:highlight w:val="none"/>
              </w:rPr>
              <w:t>第8.2（3）项</w:t>
            </w:r>
          </w:p>
        </w:tc>
        <w:tc>
          <w:tcPr>
            <w:tcW w:w="1742" w:type="dxa"/>
            <w:noWrap w:val="0"/>
            <w:vAlign w:val="center"/>
          </w:tcPr>
          <w:p w14:paraId="68C262A6">
            <w:pPr>
              <w:adjustRightInd w:val="0"/>
              <w:snapToGrid w:val="0"/>
              <w:jc w:val="left"/>
              <w:rPr>
                <w:rFonts w:hint="eastAsia" w:ascii="宋体" w:hAnsi="宋体"/>
                <w:color w:val="auto"/>
                <w:szCs w:val="21"/>
                <w:highlight w:val="none"/>
              </w:rPr>
            </w:pPr>
            <w:r>
              <w:rPr>
                <w:rFonts w:hint="eastAsia" w:ascii="宋体" w:hAnsi="宋体"/>
                <w:color w:val="auto"/>
                <w:szCs w:val="21"/>
                <w:highlight w:val="none"/>
              </w:rPr>
              <w:t>货物质量缺陷</w:t>
            </w:r>
          </w:p>
          <w:p w14:paraId="52B7EE85">
            <w:pPr>
              <w:adjustRightInd w:val="0"/>
              <w:snapToGrid w:val="0"/>
              <w:jc w:val="left"/>
              <w:rPr>
                <w:rFonts w:ascii="宋体" w:hAnsi="宋体"/>
                <w:color w:val="auto"/>
                <w:szCs w:val="21"/>
                <w:highlight w:val="none"/>
              </w:rPr>
            </w:pPr>
            <w:r>
              <w:rPr>
                <w:rFonts w:hint="eastAsia" w:ascii="宋体" w:hAnsi="宋体"/>
                <w:color w:val="auto"/>
                <w:szCs w:val="21"/>
                <w:highlight w:val="none"/>
              </w:rPr>
              <w:t>响应时间</w:t>
            </w:r>
          </w:p>
        </w:tc>
        <w:tc>
          <w:tcPr>
            <w:tcW w:w="5170" w:type="dxa"/>
            <w:noWrap w:val="0"/>
            <w:vAlign w:val="center"/>
          </w:tcPr>
          <w:p w14:paraId="21CA1A63">
            <w:pPr>
              <w:adjustRightInd w:val="0"/>
              <w:snapToGrid w:val="0"/>
              <w:jc w:val="left"/>
              <w:rPr>
                <w:rFonts w:ascii="宋体" w:hAnsi="宋体"/>
                <w:color w:val="auto"/>
                <w:szCs w:val="21"/>
                <w:highlight w:val="none"/>
              </w:rPr>
            </w:pPr>
          </w:p>
        </w:tc>
      </w:tr>
      <w:tr w14:paraId="619A20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3732E73C">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第二节</w:t>
            </w:r>
          </w:p>
          <w:p w14:paraId="73FCEB53">
            <w:pPr>
              <w:pStyle w:val="110"/>
              <w:ind w:firstLine="0" w:firstLineChars="0"/>
              <w:jc w:val="center"/>
              <w:rPr>
                <w:color w:val="auto"/>
                <w:highlight w:val="none"/>
              </w:rPr>
            </w:pPr>
            <w:r>
              <w:rPr>
                <w:rFonts w:hint="eastAsia" w:ascii="宋体" w:hAnsi="宋体" w:eastAsia="宋体" w:cs="宋体"/>
                <w:color w:val="auto"/>
                <w:highlight w:val="none"/>
              </w:rPr>
              <w:t>第11.1款</w:t>
            </w:r>
          </w:p>
        </w:tc>
        <w:tc>
          <w:tcPr>
            <w:tcW w:w="1742" w:type="dxa"/>
            <w:noWrap w:val="0"/>
            <w:vAlign w:val="center"/>
          </w:tcPr>
          <w:p w14:paraId="3C45EC10">
            <w:pPr>
              <w:adjustRightInd w:val="0"/>
              <w:snapToGrid w:val="0"/>
              <w:rPr>
                <w:rFonts w:ascii="宋体" w:hAnsi="宋体"/>
                <w:color w:val="auto"/>
                <w:szCs w:val="21"/>
                <w:highlight w:val="none"/>
              </w:rPr>
            </w:pPr>
            <w:r>
              <w:rPr>
                <w:rFonts w:hint="eastAsia" w:ascii="宋体" w:hAnsi="宋体"/>
                <w:color w:val="auto"/>
                <w:szCs w:val="21"/>
                <w:highlight w:val="none"/>
              </w:rPr>
              <w:t>其他应当保密的信息</w:t>
            </w:r>
          </w:p>
        </w:tc>
        <w:tc>
          <w:tcPr>
            <w:tcW w:w="5170" w:type="dxa"/>
            <w:noWrap w:val="0"/>
            <w:vAlign w:val="center"/>
          </w:tcPr>
          <w:p w14:paraId="1362A02F">
            <w:pPr>
              <w:adjustRightInd w:val="0"/>
              <w:snapToGrid w:val="0"/>
              <w:jc w:val="left"/>
              <w:rPr>
                <w:rFonts w:ascii="宋体" w:hAnsi="宋体"/>
                <w:color w:val="auto"/>
                <w:szCs w:val="21"/>
                <w:highlight w:val="none"/>
              </w:rPr>
            </w:pPr>
          </w:p>
        </w:tc>
      </w:tr>
      <w:tr w14:paraId="47CC5CF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14:paraId="5FA8DB49">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DC83A3B">
            <w:pPr>
              <w:adjustRightInd w:val="0"/>
              <w:snapToGrid w:val="0"/>
              <w:jc w:val="center"/>
              <w:rPr>
                <w:rFonts w:ascii="宋体" w:hAnsi="宋体"/>
                <w:color w:val="auto"/>
                <w:szCs w:val="21"/>
                <w:highlight w:val="none"/>
              </w:rPr>
            </w:pPr>
            <w:r>
              <w:rPr>
                <w:rFonts w:hint="eastAsia" w:ascii="宋体" w:hAnsi="宋体"/>
                <w:color w:val="auto"/>
                <w:szCs w:val="21"/>
                <w:highlight w:val="none"/>
              </w:rPr>
              <w:t>第12.2款</w:t>
            </w:r>
          </w:p>
        </w:tc>
        <w:tc>
          <w:tcPr>
            <w:tcW w:w="1742" w:type="dxa"/>
            <w:noWrap w:val="0"/>
            <w:vAlign w:val="center"/>
          </w:tcPr>
          <w:p w14:paraId="597D89E4">
            <w:pPr>
              <w:adjustRightInd w:val="0"/>
              <w:snapToGrid w:val="0"/>
              <w:jc w:val="left"/>
              <w:rPr>
                <w:rFonts w:hint="eastAsia" w:ascii="宋体" w:hAnsi="宋体"/>
                <w:color w:val="auto"/>
                <w:szCs w:val="21"/>
                <w:highlight w:val="none"/>
              </w:rPr>
            </w:pPr>
            <w:r>
              <w:rPr>
                <w:rFonts w:hint="eastAsia" w:ascii="宋体" w:hAnsi="宋体"/>
                <w:color w:val="auto"/>
                <w:szCs w:val="21"/>
                <w:highlight w:val="none"/>
              </w:rPr>
              <w:t>合同价款支付时间</w:t>
            </w:r>
          </w:p>
        </w:tc>
        <w:tc>
          <w:tcPr>
            <w:tcW w:w="5170" w:type="dxa"/>
            <w:noWrap w:val="0"/>
            <w:vAlign w:val="center"/>
          </w:tcPr>
          <w:p w14:paraId="04224362">
            <w:pPr>
              <w:adjustRightInd w:val="0"/>
              <w:snapToGrid w:val="0"/>
              <w:jc w:val="left"/>
              <w:rPr>
                <w:rFonts w:ascii="宋体" w:hAnsi="宋体"/>
                <w:color w:val="auto"/>
                <w:szCs w:val="21"/>
                <w:highlight w:val="none"/>
              </w:rPr>
            </w:pPr>
          </w:p>
        </w:tc>
      </w:tr>
      <w:tr w14:paraId="564119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14:paraId="2BD468F3">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0CDEF1DB">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第13.2款</w:t>
            </w:r>
          </w:p>
        </w:tc>
        <w:tc>
          <w:tcPr>
            <w:tcW w:w="1742" w:type="dxa"/>
            <w:noWrap w:val="0"/>
            <w:vAlign w:val="center"/>
          </w:tcPr>
          <w:p w14:paraId="61197EC1">
            <w:pPr>
              <w:adjustRightInd w:val="0"/>
              <w:snapToGrid w:val="0"/>
              <w:jc w:val="left"/>
              <w:rPr>
                <w:rFonts w:ascii="宋体" w:hAnsi="宋体"/>
                <w:color w:val="auto"/>
                <w:szCs w:val="21"/>
                <w:highlight w:val="none"/>
              </w:rPr>
            </w:pPr>
            <w:r>
              <w:rPr>
                <w:rFonts w:hint="eastAsia" w:ascii="宋体" w:hAnsi="宋体"/>
                <w:color w:val="auto"/>
                <w:szCs w:val="21"/>
                <w:highlight w:val="none"/>
              </w:rPr>
              <w:t>履约保证金不予退还的情形</w:t>
            </w:r>
          </w:p>
        </w:tc>
        <w:tc>
          <w:tcPr>
            <w:tcW w:w="5170" w:type="dxa"/>
            <w:noWrap w:val="0"/>
            <w:vAlign w:val="center"/>
          </w:tcPr>
          <w:p w14:paraId="2BB43FE7">
            <w:pPr>
              <w:adjustRightInd w:val="0"/>
              <w:snapToGrid w:val="0"/>
              <w:jc w:val="left"/>
              <w:rPr>
                <w:rFonts w:ascii="宋体" w:hAnsi="宋体"/>
                <w:color w:val="auto"/>
                <w:szCs w:val="21"/>
                <w:highlight w:val="none"/>
              </w:rPr>
            </w:pPr>
          </w:p>
        </w:tc>
      </w:tr>
      <w:tr w14:paraId="0B557C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16FEFEA8">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62B31B2C">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第13.3款</w:t>
            </w:r>
          </w:p>
        </w:tc>
        <w:tc>
          <w:tcPr>
            <w:tcW w:w="1742" w:type="dxa"/>
            <w:noWrap w:val="0"/>
            <w:vAlign w:val="center"/>
          </w:tcPr>
          <w:p w14:paraId="238C6E5C">
            <w:pPr>
              <w:adjustRightInd w:val="0"/>
              <w:snapToGrid w:val="0"/>
              <w:jc w:val="left"/>
              <w:rPr>
                <w:rFonts w:ascii="宋体" w:hAnsi="宋体"/>
                <w:color w:val="auto"/>
                <w:szCs w:val="21"/>
                <w:highlight w:val="none"/>
              </w:rPr>
            </w:pPr>
            <w:r>
              <w:rPr>
                <w:rFonts w:hint="eastAsia" w:ascii="宋体" w:hAnsi="宋体"/>
                <w:color w:val="auto"/>
                <w:szCs w:val="21"/>
                <w:highlight w:val="none"/>
              </w:rPr>
              <w:t>履约保证金退还时间及逾期退还的违约金</w:t>
            </w:r>
          </w:p>
        </w:tc>
        <w:tc>
          <w:tcPr>
            <w:tcW w:w="5170" w:type="dxa"/>
            <w:noWrap w:val="0"/>
            <w:vAlign w:val="center"/>
          </w:tcPr>
          <w:p w14:paraId="14EBDC17">
            <w:pPr>
              <w:adjustRightInd w:val="0"/>
              <w:snapToGrid w:val="0"/>
              <w:jc w:val="left"/>
              <w:rPr>
                <w:rFonts w:ascii="宋体" w:hAnsi="宋体"/>
                <w:color w:val="auto"/>
                <w:szCs w:val="21"/>
                <w:highlight w:val="none"/>
              </w:rPr>
            </w:pPr>
          </w:p>
        </w:tc>
      </w:tr>
      <w:tr w14:paraId="5C1BC9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14:paraId="2CFB79A7">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2C504D2">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第14.1（3）项</w:t>
            </w:r>
          </w:p>
        </w:tc>
        <w:tc>
          <w:tcPr>
            <w:tcW w:w="1742" w:type="dxa"/>
            <w:noWrap w:val="0"/>
            <w:vAlign w:val="center"/>
          </w:tcPr>
          <w:p w14:paraId="2ADC5CDF">
            <w:pPr>
              <w:adjustRightInd w:val="0"/>
              <w:snapToGrid w:val="0"/>
              <w:jc w:val="left"/>
              <w:rPr>
                <w:rFonts w:hint="eastAsia" w:ascii="宋体" w:hAnsi="宋体"/>
                <w:color w:val="auto"/>
                <w:szCs w:val="21"/>
                <w:highlight w:val="none"/>
              </w:rPr>
            </w:pPr>
            <w:r>
              <w:rPr>
                <w:rFonts w:hint="eastAsia" w:ascii="宋体" w:hAnsi="宋体"/>
                <w:color w:val="auto"/>
                <w:szCs w:val="21"/>
                <w:highlight w:val="none"/>
              </w:rPr>
              <w:t>运行监督、维修期限</w:t>
            </w:r>
          </w:p>
        </w:tc>
        <w:tc>
          <w:tcPr>
            <w:tcW w:w="5170" w:type="dxa"/>
            <w:noWrap w:val="0"/>
            <w:vAlign w:val="center"/>
          </w:tcPr>
          <w:p w14:paraId="301F29CF">
            <w:pPr>
              <w:adjustRightInd w:val="0"/>
              <w:snapToGrid w:val="0"/>
              <w:jc w:val="left"/>
              <w:rPr>
                <w:rFonts w:ascii="宋体" w:hAnsi="宋体"/>
                <w:color w:val="auto"/>
                <w:szCs w:val="21"/>
                <w:highlight w:val="none"/>
              </w:rPr>
            </w:pPr>
          </w:p>
        </w:tc>
      </w:tr>
      <w:tr w14:paraId="5AA379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14:paraId="497F8443">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493B34F">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第14.1（5）项</w:t>
            </w:r>
          </w:p>
        </w:tc>
        <w:tc>
          <w:tcPr>
            <w:tcW w:w="1742" w:type="dxa"/>
            <w:noWrap w:val="0"/>
            <w:vAlign w:val="center"/>
          </w:tcPr>
          <w:p w14:paraId="50E724B3">
            <w:pPr>
              <w:adjustRightInd w:val="0"/>
              <w:snapToGrid w:val="0"/>
              <w:jc w:val="left"/>
              <w:rPr>
                <w:rFonts w:ascii="宋体" w:hAnsi="宋体"/>
                <w:color w:val="auto"/>
                <w:szCs w:val="21"/>
                <w:highlight w:val="none"/>
              </w:rPr>
            </w:pPr>
            <w:r>
              <w:rPr>
                <w:rFonts w:hint="eastAsia" w:ascii="宋体" w:hAnsi="宋体"/>
                <w:color w:val="auto"/>
                <w:szCs w:val="21"/>
                <w:highlight w:val="none"/>
              </w:rPr>
              <w:t>货物回收的约定</w:t>
            </w:r>
          </w:p>
        </w:tc>
        <w:tc>
          <w:tcPr>
            <w:tcW w:w="5170" w:type="dxa"/>
            <w:noWrap w:val="0"/>
            <w:vAlign w:val="center"/>
          </w:tcPr>
          <w:p w14:paraId="4B1EC812">
            <w:pPr>
              <w:adjustRightInd w:val="0"/>
              <w:snapToGrid w:val="0"/>
              <w:jc w:val="left"/>
              <w:rPr>
                <w:rFonts w:ascii="宋体" w:hAnsi="宋体"/>
                <w:color w:val="auto"/>
                <w:szCs w:val="21"/>
                <w:highlight w:val="none"/>
              </w:rPr>
            </w:pPr>
          </w:p>
        </w:tc>
      </w:tr>
      <w:tr w14:paraId="1926F0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01696C13">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7F91FAC">
            <w:pPr>
              <w:adjustRightInd w:val="0"/>
              <w:snapToGrid w:val="0"/>
              <w:jc w:val="center"/>
              <w:rPr>
                <w:rFonts w:ascii="宋体" w:hAnsi="宋体"/>
                <w:color w:val="auto"/>
                <w:szCs w:val="21"/>
                <w:highlight w:val="none"/>
              </w:rPr>
            </w:pPr>
            <w:r>
              <w:rPr>
                <w:rFonts w:hint="eastAsia" w:ascii="宋体" w:hAnsi="宋体"/>
                <w:color w:val="auto"/>
                <w:szCs w:val="21"/>
                <w:highlight w:val="none"/>
              </w:rPr>
              <w:t>第14.1（6）项</w:t>
            </w:r>
          </w:p>
        </w:tc>
        <w:tc>
          <w:tcPr>
            <w:tcW w:w="1742" w:type="dxa"/>
            <w:noWrap w:val="0"/>
            <w:vAlign w:val="center"/>
          </w:tcPr>
          <w:p w14:paraId="57C2A6CD">
            <w:pPr>
              <w:adjustRightInd w:val="0"/>
              <w:snapToGrid w:val="0"/>
              <w:jc w:val="left"/>
              <w:rPr>
                <w:rFonts w:ascii="宋体" w:hAnsi="宋体"/>
                <w:color w:val="auto"/>
                <w:szCs w:val="21"/>
                <w:highlight w:val="none"/>
              </w:rPr>
            </w:pPr>
            <w:r>
              <w:rPr>
                <w:rFonts w:hint="eastAsia" w:ascii="宋体" w:hAnsi="宋体"/>
                <w:color w:val="auto"/>
                <w:szCs w:val="21"/>
                <w:highlight w:val="none"/>
              </w:rPr>
              <w:t>乙方提供的其他服务</w:t>
            </w:r>
          </w:p>
        </w:tc>
        <w:tc>
          <w:tcPr>
            <w:tcW w:w="5170" w:type="dxa"/>
            <w:noWrap w:val="0"/>
            <w:vAlign w:val="center"/>
          </w:tcPr>
          <w:p w14:paraId="2C8FBE29">
            <w:pPr>
              <w:adjustRightInd w:val="0"/>
              <w:snapToGrid w:val="0"/>
              <w:jc w:val="left"/>
              <w:rPr>
                <w:rFonts w:ascii="宋体" w:hAnsi="宋体"/>
                <w:color w:val="auto"/>
                <w:szCs w:val="21"/>
                <w:highlight w:val="none"/>
              </w:rPr>
            </w:pPr>
          </w:p>
        </w:tc>
      </w:tr>
      <w:tr w14:paraId="5C5163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3646912E">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5DC96AE">
            <w:pPr>
              <w:adjustRightInd w:val="0"/>
              <w:snapToGrid w:val="0"/>
              <w:jc w:val="center"/>
              <w:rPr>
                <w:rFonts w:ascii="宋体" w:hAnsi="宋体"/>
                <w:color w:val="auto"/>
                <w:szCs w:val="21"/>
                <w:highlight w:val="none"/>
              </w:rPr>
            </w:pPr>
            <w:r>
              <w:rPr>
                <w:rFonts w:hint="eastAsia" w:ascii="宋体" w:hAnsi="宋体"/>
                <w:color w:val="auto"/>
                <w:szCs w:val="21"/>
                <w:highlight w:val="none"/>
              </w:rPr>
              <w:t>第15.1款</w:t>
            </w:r>
          </w:p>
        </w:tc>
        <w:tc>
          <w:tcPr>
            <w:tcW w:w="1742" w:type="dxa"/>
            <w:noWrap w:val="0"/>
            <w:vAlign w:val="center"/>
          </w:tcPr>
          <w:p w14:paraId="43EA9C64">
            <w:pPr>
              <w:adjustRightInd w:val="0"/>
              <w:snapToGrid w:val="0"/>
              <w:jc w:val="left"/>
              <w:rPr>
                <w:rFonts w:hint="eastAsia" w:ascii="宋体" w:hAnsi="宋体"/>
                <w:color w:val="auto"/>
                <w:szCs w:val="21"/>
                <w:highlight w:val="none"/>
              </w:rPr>
            </w:pPr>
            <w:r>
              <w:rPr>
                <w:rFonts w:hint="eastAsia" w:ascii="宋体" w:hAnsi="宋体"/>
                <w:color w:val="auto"/>
                <w:szCs w:val="21"/>
                <w:highlight w:val="none"/>
              </w:rPr>
              <w:t>修理、重作、更换相关具体规定</w:t>
            </w:r>
          </w:p>
        </w:tc>
        <w:tc>
          <w:tcPr>
            <w:tcW w:w="5170" w:type="dxa"/>
            <w:noWrap w:val="0"/>
            <w:vAlign w:val="center"/>
          </w:tcPr>
          <w:p w14:paraId="4C4875A8">
            <w:pPr>
              <w:adjustRightInd w:val="0"/>
              <w:snapToGrid w:val="0"/>
              <w:jc w:val="left"/>
              <w:rPr>
                <w:rFonts w:ascii="宋体" w:hAnsi="宋体"/>
                <w:color w:val="auto"/>
                <w:szCs w:val="21"/>
                <w:highlight w:val="none"/>
              </w:rPr>
            </w:pPr>
          </w:p>
        </w:tc>
      </w:tr>
      <w:tr w14:paraId="56A319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0E5444F9">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6EDD827">
            <w:pPr>
              <w:adjustRightInd w:val="0"/>
              <w:snapToGrid w:val="0"/>
              <w:jc w:val="center"/>
              <w:rPr>
                <w:rFonts w:ascii="宋体" w:hAnsi="宋体"/>
                <w:color w:val="auto"/>
                <w:szCs w:val="21"/>
                <w:highlight w:val="none"/>
              </w:rPr>
            </w:pPr>
            <w:r>
              <w:rPr>
                <w:rFonts w:hint="eastAsia" w:ascii="宋体" w:hAnsi="宋体"/>
                <w:color w:val="auto"/>
                <w:szCs w:val="21"/>
                <w:highlight w:val="none"/>
              </w:rPr>
              <w:t>第15.2（2）项</w:t>
            </w:r>
          </w:p>
        </w:tc>
        <w:tc>
          <w:tcPr>
            <w:tcW w:w="1742" w:type="dxa"/>
            <w:noWrap w:val="0"/>
            <w:vAlign w:val="center"/>
          </w:tcPr>
          <w:p w14:paraId="0DE6456B">
            <w:pPr>
              <w:adjustRightInd w:val="0"/>
              <w:snapToGrid w:val="0"/>
              <w:jc w:val="left"/>
              <w:rPr>
                <w:rFonts w:ascii="宋体" w:hAnsi="宋体"/>
                <w:color w:val="auto"/>
                <w:szCs w:val="21"/>
                <w:highlight w:val="none"/>
              </w:rPr>
            </w:pPr>
            <w:r>
              <w:rPr>
                <w:rFonts w:hint="eastAsia" w:ascii="宋体" w:hAnsi="宋体"/>
                <w:color w:val="auto"/>
                <w:szCs w:val="21"/>
                <w:highlight w:val="none"/>
              </w:rPr>
              <w:t>迟延交货赔偿费</w:t>
            </w:r>
          </w:p>
        </w:tc>
        <w:tc>
          <w:tcPr>
            <w:tcW w:w="5170" w:type="dxa"/>
            <w:noWrap w:val="0"/>
            <w:vAlign w:val="center"/>
          </w:tcPr>
          <w:p w14:paraId="57595650">
            <w:pPr>
              <w:adjustRightInd w:val="0"/>
              <w:snapToGrid w:val="0"/>
              <w:jc w:val="left"/>
              <w:rPr>
                <w:rFonts w:ascii="宋体" w:hAnsi="宋体"/>
                <w:color w:val="auto"/>
                <w:szCs w:val="21"/>
                <w:highlight w:val="none"/>
                <w:u w:val="single"/>
              </w:rPr>
            </w:pPr>
          </w:p>
        </w:tc>
      </w:tr>
      <w:tr w14:paraId="357707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16EE421F">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55EF066">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第15.3款</w:t>
            </w:r>
          </w:p>
        </w:tc>
        <w:tc>
          <w:tcPr>
            <w:tcW w:w="1742" w:type="dxa"/>
            <w:noWrap w:val="0"/>
            <w:vAlign w:val="center"/>
          </w:tcPr>
          <w:p w14:paraId="5DCE0862">
            <w:pPr>
              <w:adjustRightInd w:val="0"/>
              <w:snapToGrid w:val="0"/>
              <w:jc w:val="left"/>
              <w:rPr>
                <w:rFonts w:hint="eastAsia" w:ascii="宋体" w:hAnsi="宋体"/>
                <w:color w:val="auto"/>
                <w:szCs w:val="21"/>
                <w:highlight w:val="none"/>
              </w:rPr>
            </w:pPr>
            <w:r>
              <w:rPr>
                <w:rFonts w:hint="eastAsia" w:ascii="宋体" w:hAnsi="宋体"/>
                <w:color w:val="auto"/>
                <w:szCs w:val="21"/>
                <w:highlight w:val="none"/>
              </w:rPr>
              <w:t>逾期付款利息</w:t>
            </w:r>
          </w:p>
        </w:tc>
        <w:tc>
          <w:tcPr>
            <w:tcW w:w="5170" w:type="dxa"/>
            <w:noWrap w:val="0"/>
            <w:vAlign w:val="center"/>
          </w:tcPr>
          <w:p w14:paraId="189B9B3B">
            <w:pPr>
              <w:adjustRightInd w:val="0"/>
              <w:snapToGrid w:val="0"/>
              <w:jc w:val="left"/>
              <w:rPr>
                <w:rFonts w:ascii="宋体" w:hAnsi="宋体"/>
                <w:color w:val="auto"/>
                <w:szCs w:val="21"/>
                <w:highlight w:val="none"/>
                <w:u w:val="single"/>
              </w:rPr>
            </w:pPr>
          </w:p>
        </w:tc>
      </w:tr>
      <w:tr w14:paraId="4E6D44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noWrap w:val="0"/>
            <w:vAlign w:val="center"/>
          </w:tcPr>
          <w:p w14:paraId="5AC401CA">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0D79598">
            <w:pPr>
              <w:adjustRightInd w:val="0"/>
              <w:snapToGrid w:val="0"/>
              <w:jc w:val="center"/>
              <w:rPr>
                <w:rFonts w:ascii="宋体" w:hAnsi="宋体"/>
                <w:color w:val="auto"/>
                <w:szCs w:val="21"/>
                <w:highlight w:val="none"/>
              </w:rPr>
            </w:pPr>
            <w:r>
              <w:rPr>
                <w:rFonts w:hint="eastAsia" w:ascii="宋体" w:hAnsi="宋体"/>
                <w:color w:val="auto"/>
                <w:szCs w:val="21"/>
                <w:highlight w:val="none"/>
              </w:rPr>
              <w:t>第15.4款</w:t>
            </w:r>
          </w:p>
        </w:tc>
        <w:tc>
          <w:tcPr>
            <w:tcW w:w="1742" w:type="dxa"/>
            <w:tcBorders>
              <w:left w:val="single" w:color="auto" w:sz="2" w:space="0"/>
              <w:bottom w:val="single" w:color="auto" w:sz="2" w:space="0"/>
              <w:right w:val="single" w:color="auto" w:sz="2" w:space="0"/>
            </w:tcBorders>
            <w:noWrap w:val="0"/>
            <w:vAlign w:val="center"/>
          </w:tcPr>
          <w:p w14:paraId="185BCBDA">
            <w:pPr>
              <w:adjustRightInd w:val="0"/>
              <w:snapToGrid w:val="0"/>
              <w:jc w:val="left"/>
              <w:rPr>
                <w:rFonts w:ascii="宋体" w:hAnsi="宋体"/>
                <w:color w:val="auto"/>
                <w:szCs w:val="21"/>
                <w:highlight w:val="none"/>
              </w:rPr>
            </w:pPr>
            <w:r>
              <w:rPr>
                <w:rFonts w:hint="eastAsia" w:ascii="宋体" w:hAnsi="宋体"/>
                <w:color w:val="auto"/>
                <w:szCs w:val="21"/>
                <w:highlight w:val="none"/>
              </w:rPr>
              <w:t>其他违约责任</w:t>
            </w:r>
          </w:p>
        </w:tc>
        <w:tc>
          <w:tcPr>
            <w:tcW w:w="5170" w:type="dxa"/>
            <w:tcBorders>
              <w:left w:val="single" w:color="auto" w:sz="2" w:space="0"/>
              <w:bottom w:val="single" w:color="auto" w:sz="2" w:space="0"/>
            </w:tcBorders>
            <w:noWrap w:val="0"/>
            <w:vAlign w:val="center"/>
          </w:tcPr>
          <w:p w14:paraId="0B7C11B8">
            <w:pPr>
              <w:adjustRightInd w:val="0"/>
              <w:snapToGrid w:val="0"/>
              <w:jc w:val="left"/>
              <w:rPr>
                <w:rFonts w:ascii="宋体" w:hAnsi="宋体"/>
                <w:color w:val="auto"/>
                <w:szCs w:val="21"/>
                <w:highlight w:val="none"/>
                <w:u w:val="single"/>
              </w:rPr>
            </w:pPr>
          </w:p>
        </w:tc>
      </w:tr>
      <w:tr w14:paraId="08C728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noWrap w:val="0"/>
            <w:vAlign w:val="center"/>
          </w:tcPr>
          <w:p w14:paraId="52783AF0">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6ECB210">
            <w:pPr>
              <w:adjustRightInd w:val="0"/>
              <w:snapToGrid w:val="0"/>
              <w:jc w:val="center"/>
              <w:rPr>
                <w:rFonts w:ascii="宋体" w:hAnsi="宋体"/>
                <w:color w:val="auto"/>
                <w:szCs w:val="21"/>
                <w:highlight w:val="none"/>
              </w:rPr>
            </w:pPr>
            <w:r>
              <w:rPr>
                <w:rFonts w:hint="eastAsia" w:ascii="宋体" w:hAnsi="宋体"/>
                <w:color w:val="auto"/>
                <w:szCs w:val="21"/>
                <w:highlight w:val="none"/>
              </w:rPr>
              <w:t>第19.2款</w:t>
            </w:r>
          </w:p>
        </w:tc>
        <w:tc>
          <w:tcPr>
            <w:tcW w:w="1742" w:type="dxa"/>
            <w:tcBorders>
              <w:top w:val="single" w:color="auto" w:sz="2" w:space="0"/>
              <w:left w:val="single" w:color="auto" w:sz="2" w:space="0"/>
              <w:right w:val="single" w:color="auto" w:sz="2" w:space="0"/>
            </w:tcBorders>
            <w:noWrap w:val="0"/>
            <w:vAlign w:val="center"/>
          </w:tcPr>
          <w:p w14:paraId="18B23391">
            <w:pPr>
              <w:adjustRightInd w:val="0"/>
              <w:snapToGrid w:val="0"/>
              <w:jc w:val="left"/>
              <w:rPr>
                <w:rFonts w:ascii="宋体" w:hAnsi="宋体"/>
                <w:color w:val="auto"/>
                <w:szCs w:val="21"/>
                <w:highlight w:val="none"/>
              </w:rPr>
            </w:pPr>
            <w:r>
              <w:rPr>
                <w:rFonts w:hint="eastAsia" w:ascii="宋体" w:hAnsi="宋体"/>
                <w:color w:val="auto"/>
                <w:szCs w:val="21"/>
                <w:highlight w:val="none"/>
              </w:rPr>
              <w:t>解决争议的方法</w:t>
            </w:r>
          </w:p>
        </w:tc>
        <w:tc>
          <w:tcPr>
            <w:tcW w:w="5170" w:type="dxa"/>
            <w:tcBorders>
              <w:top w:val="single" w:color="auto" w:sz="2" w:space="0"/>
              <w:left w:val="single" w:color="auto" w:sz="2" w:space="0"/>
            </w:tcBorders>
            <w:noWrap w:val="0"/>
            <w:vAlign w:val="center"/>
          </w:tcPr>
          <w:p w14:paraId="4ADBDE77">
            <w:pPr>
              <w:autoSpaceDE w:val="0"/>
              <w:autoSpaceDN w:val="0"/>
              <w:adjustRightInd w:val="0"/>
              <w:snapToGrid w:val="0"/>
              <w:spacing w:line="400" w:lineRule="exact"/>
              <w:jc w:val="left"/>
              <w:rPr>
                <w:rFonts w:hint="eastAsia" w:ascii="宋体" w:hAnsi="宋体" w:cs="宋体"/>
                <w:iCs/>
                <w:color w:val="auto"/>
                <w:szCs w:val="21"/>
                <w:highlight w:val="none"/>
              </w:rPr>
            </w:pPr>
            <w:r>
              <w:rPr>
                <w:rFonts w:hint="eastAsia" w:ascii="宋体" w:hAnsi="宋体" w:cs="宋体"/>
                <w:iCs/>
                <w:color w:val="auto"/>
                <w:szCs w:val="21"/>
                <w:highlight w:val="none"/>
              </w:rPr>
              <w:t>因本合同及合同有关事项发生的争议，按下列第</w:t>
            </w:r>
            <w:r>
              <w:rPr>
                <w:rFonts w:hint="eastAsia" w:ascii="宋体" w:hAnsi="宋体" w:cs="宋体"/>
                <w:iCs/>
                <w:color w:val="auto"/>
                <w:szCs w:val="21"/>
                <w:highlight w:val="none"/>
                <w:u w:val="single"/>
              </w:rPr>
              <w:t xml:space="preserve">   </w:t>
            </w:r>
            <w:r>
              <w:rPr>
                <w:rFonts w:hint="eastAsia" w:ascii="宋体" w:hAnsi="宋体" w:cs="宋体"/>
                <w:iCs/>
                <w:color w:val="auto"/>
                <w:szCs w:val="21"/>
                <w:highlight w:val="none"/>
              </w:rPr>
              <w:t>种方式解决：</w:t>
            </w:r>
          </w:p>
          <w:p w14:paraId="175950A3">
            <w:pPr>
              <w:autoSpaceDE w:val="0"/>
              <w:autoSpaceDN w:val="0"/>
              <w:adjustRightInd w:val="0"/>
              <w:snapToGrid w:val="0"/>
              <w:spacing w:line="400" w:lineRule="exact"/>
              <w:jc w:val="left"/>
              <w:rPr>
                <w:rFonts w:hint="eastAsia" w:ascii="宋体" w:hAnsi="宋体" w:cs="宋体"/>
                <w:iCs/>
                <w:color w:val="auto"/>
                <w:szCs w:val="21"/>
                <w:highlight w:val="none"/>
              </w:rPr>
            </w:pPr>
            <w:r>
              <w:rPr>
                <w:rFonts w:hint="eastAsia" w:ascii="宋体" w:hAnsi="宋体" w:cs="宋体"/>
                <w:iCs/>
                <w:color w:val="auto"/>
                <w:szCs w:val="21"/>
                <w:highlight w:val="none"/>
              </w:rPr>
              <w:t>（1）向</w:t>
            </w:r>
            <w:r>
              <w:rPr>
                <w:rFonts w:hint="eastAsia" w:ascii="宋体" w:hAnsi="宋体" w:cs="宋体"/>
                <w:iCs/>
                <w:color w:val="auto"/>
                <w:szCs w:val="21"/>
                <w:highlight w:val="none"/>
                <w:u w:val="single"/>
              </w:rPr>
              <w:t xml:space="preserve">                    </w:t>
            </w:r>
            <w:r>
              <w:rPr>
                <w:rFonts w:hint="eastAsia" w:ascii="宋体" w:hAnsi="宋体" w:cs="宋体"/>
                <w:iCs/>
                <w:color w:val="auto"/>
                <w:szCs w:val="21"/>
                <w:highlight w:val="none"/>
              </w:rPr>
              <w:t>仲裁委员会申请仲裁，仲裁地点为</w:t>
            </w:r>
            <w:r>
              <w:rPr>
                <w:rFonts w:hint="eastAsia" w:ascii="宋体" w:hAnsi="宋体" w:cs="宋体"/>
                <w:iCs/>
                <w:color w:val="auto"/>
                <w:szCs w:val="21"/>
                <w:highlight w:val="none"/>
                <w:u w:val="single"/>
              </w:rPr>
              <w:t xml:space="preserve">           </w:t>
            </w:r>
            <w:r>
              <w:rPr>
                <w:rFonts w:hint="eastAsia" w:ascii="宋体" w:hAnsi="宋体" w:cs="宋体"/>
                <w:iCs/>
                <w:color w:val="auto"/>
                <w:szCs w:val="21"/>
                <w:highlight w:val="none"/>
              </w:rPr>
              <w:t>；</w:t>
            </w:r>
          </w:p>
          <w:p w14:paraId="69F26378">
            <w:pPr>
              <w:adjustRightInd w:val="0"/>
              <w:snapToGrid w:val="0"/>
              <w:jc w:val="left"/>
              <w:rPr>
                <w:rFonts w:ascii="宋体" w:hAnsi="宋体"/>
                <w:color w:val="auto"/>
                <w:szCs w:val="21"/>
                <w:highlight w:val="none"/>
                <w:u w:val="single"/>
              </w:rPr>
            </w:pPr>
            <w:r>
              <w:rPr>
                <w:rFonts w:hint="eastAsia" w:ascii="宋体" w:hAnsi="宋体" w:cs="宋体"/>
                <w:iCs/>
                <w:color w:val="auto"/>
                <w:szCs w:val="21"/>
                <w:highlight w:val="none"/>
              </w:rPr>
              <w:t>（2）向</w:t>
            </w:r>
            <w:r>
              <w:rPr>
                <w:rFonts w:hint="eastAsia" w:ascii="宋体" w:hAnsi="宋体" w:cs="宋体"/>
                <w:iCs/>
                <w:color w:val="auto"/>
                <w:szCs w:val="21"/>
                <w:highlight w:val="none"/>
                <w:u w:val="single"/>
              </w:rPr>
              <w:t xml:space="preserve">                    </w:t>
            </w:r>
            <w:r>
              <w:rPr>
                <w:rFonts w:hint="eastAsia" w:ascii="宋体" w:hAnsi="宋体" w:cs="宋体"/>
                <w:iCs/>
                <w:color w:val="auto"/>
                <w:szCs w:val="21"/>
                <w:highlight w:val="none"/>
              </w:rPr>
              <w:t>人民法院起诉。</w:t>
            </w:r>
          </w:p>
        </w:tc>
      </w:tr>
      <w:tr w14:paraId="2B08A6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noWrap w:val="0"/>
            <w:vAlign w:val="center"/>
          </w:tcPr>
          <w:p w14:paraId="74F0FB39">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E916F38">
            <w:pPr>
              <w:adjustRightInd w:val="0"/>
              <w:snapToGrid w:val="0"/>
              <w:jc w:val="center"/>
              <w:rPr>
                <w:rFonts w:ascii="宋体" w:hAnsi="宋体"/>
                <w:color w:val="auto"/>
                <w:szCs w:val="21"/>
                <w:highlight w:val="none"/>
              </w:rPr>
            </w:pPr>
            <w:r>
              <w:rPr>
                <w:rFonts w:hint="eastAsia" w:ascii="宋体" w:hAnsi="宋体"/>
                <w:color w:val="auto"/>
                <w:szCs w:val="21"/>
                <w:highlight w:val="none"/>
              </w:rPr>
              <w:t>第23.1款</w:t>
            </w:r>
          </w:p>
        </w:tc>
        <w:tc>
          <w:tcPr>
            <w:tcW w:w="1742" w:type="dxa"/>
            <w:noWrap w:val="0"/>
            <w:vAlign w:val="center"/>
          </w:tcPr>
          <w:p w14:paraId="13056CB6">
            <w:pPr>
              <w:adjustRightInd w:val="0"/>
              <w:snapToGrid w:val="0"/>
              <w:jc w:val="left"/>
              <w:rPr>
                <w:rFonts w:ascii="宋体" w:hAnsi="宋体"/>
                <w:color w:val="auto"/>
                <w:szCs w:val="21"/>
                <w:highlight w:val="none"/>
              </w:rPr>
            </w:pPr>
            <w:r>
              <w:rPr>
                <w:rFonts w:hint="eastAsia" w:ascii="宋体" w:hAnsi="宋体"/>
                <w:bCs/>
                <w:color w:val="auto"/>
                <w:szCs w:val="21"/>
                <w:highlight w:val="none"/>
              </w:rPr>
              <w:t>其他专用条款</w:t>
            </w:r>
          </w:p>
        </w:tc>
        <w:tc>
          <w:tcPr>
            <w:tcW w:w="5170" w:type="dxa"/>
            <w:noWrap w:val="0"/>
            <w:vAlign w:val="center"/>
          </w:tcPr>
          <w:p w14:paraId="34C14D28">
            <w:pPr>
              <w:adjustRightInd w:val="0"/>
              <w:snapToGrid w:val="0"/>
              <w:jc w:val="left"/>
              <w:rPr>
                <w:rFonts w:ascii="宋体" w:hAnsi="宋体"/>
                <w:color w:val="auto"/>
                <w:szCs w:val="21"/>
                <w:highlight w:val="none"/>
              </w:rPr>
            </w:pPr>
          </w:p>
        </w:tc>
      </w:tr>
    </w:tbl>
    <w:p w14:paraId="49E1ECCB">
      <w:pPr>
        <w:rPr>
          <w:color w:val="auto"/>
          <w:highlight w:val="none"/>
        </w:rPr>
      </w:pPr>
    </w:p>
    <w:p w14:paraId="36672413">
      <w:pPr>
        <w:rPr>
          <w:color w:val="auto"/>
          <w:highlight w:val="none"/>
        </w:rPr>
      </w:pPr>
    </w:p>
    <w:p w14:paraId="6D3A51B3">
      <w:pPr>
        <w:pStyle w:val="8"/>
        <w:rPr>
          <w:rFonts w:hint="eastAsia" w:ascii="宋体" w:hAnsi="宋体" w:cs="宋体"/>
          <w:color w:val="auto"/>
          <w:sz w:val="24"/>
          <w:szCs w:val="24"/>
          <w:highlight w:val="none"/>
          <w:lang w:val="zh-CN"/>
        </w:rPr>
      </w:pPr>
    </w:p>
    <w:p w14:paraId="5FCA6862">
      <w:pPr>
        <w:spacing w:line="360" w:lineRule="auto"/>
        <w:ind w:firstLine="482" w:firstLineChars="200"/>
        <w:jc w:val="center"/>
        <w:rPr>
          <w:rFonts w:ascii="宋体" w:hAnsi="宋体" w:cs="宋体"/>
          <w:b/>
          <w:bCs/>
          <w:color w:val="auto"/>
          <w:sz w:val="24"/>
          <w:highlight w:val="none"/>
        </w:rPr>
      </w:pPr>
      <w:r>
        <w:rPr>
          <w:rFonts w:hint="eastAsia" w:ascii="宋体" w:hAnsi="宋体" w:cs="宋体"/>
          <w:b/>
          <w:bCs/>
          <w:color w:val="auto"/>
          <w:sz w:val="24"/>
          <w:szCs w:val="24"/>
          <w:highlight w:val="none"/>
        </w:rPr>
        <w:t>合同以甲乙双方实际签订为准</w:t>
      </w:r>
    </w:p>
    <w:p w14:paraId="1016861F">
      <w:pPr>
        <w:pStyle w:val="8"/>
        <w:shd w:val="clear"/>
        <w:rPr>
          <w:rFonts w:asciiTheme="minorEastAsia" w:hAnsiTheme="minorEastAsia" w:eastAsiaTheme="minorEastAsia" w:cstheme="minorEastAsia"/>
          <w:color w:val="auto"/>
          <w:kern w:val="0"/>
          <w:sz w:val="24"/>
          <w:highlight w:val="none"/>
          <w:lang w:val="zh-CN"/>
        </w:rPr>
      </w:pPr>
    </w:p>
    <w:p w14:paraId="26090AA8">
      <w:pPr>
        <w:shd w:val="clear"/>
        <w:snapToGrid w:val="0"/>
        <w:spacing w:line="360" w:lineRule="auto"/>
        <w:jc w:val="center"/>
        <w:outlineLvl w:val="0"/>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kern w:val="0"/>
          <w:sz w:val="24"/>
          <w:highlight w:val="none"/>
          <w:lang w:val="zh-CN"/>
        </w:rPr>
        <w:br w:type="page"/>
      </w:r>
      <w:bookmarkStart w:id="85" w:name="_Toc9739"/>
      <w:bookmarkStart w:id="86" w:name="_Toc28365"/>
      <w:r>
        <w:rPr>
          <w:rFonts w:hint="eastAsia" w:asciiTheme="minorEastAsia" w:hAnsiTheme="minorEastAsia" w:eastAsiaTheme="minorEastAsia" w:cstheme="minorEastAsia"/>
          <w:b/>
          <w:color w:val="auto"/>
          <w:sz w:val="32"/>
          <w:szCs w:val="32"/>
          <w:highlight w:val="none"/>
        </w:rPr>
        <w:t>第四部分 采购需求</w:t>
      </w:r>
      <w:bookmarkEnd w:id="85"/>
      <w:bookmarkEnd w:id="86"/>
    </w:p>
    <w:tbl>
      <w:tblPr>
        <w:tblStyle w:val="28"/>
        <w:tblpPr w:leftFromText="180" w:rightFromText="180" w:vertAnchor="text" w:horzAnchor="page" w:tblpX="1785" w:tblpY="573"/>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962"/>
        <w:gridCol w:w="1439"/>
        <w:gridCol w:w="5706"/>
      </w:tblGrid>
      <w:tr w14:paraId="3BB85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7" w:hRule="atLeast"/>
        </w:trPr>
        <w:tc>
          <w:tcPr>
            <w:tcW w:w="415" w:type="dxa"/>
            <w:tcBorders>
              <w:top w:val="single" w:color="auto" w:sz="4" w:space="0"/>
              <w:left w:val="single" w:color="auto" w:sz="4" w:space="0"/>
              <w:bottom w:val="single" w:color="auto" w:sz="4" w:space="0"/>
              <w:right w:val="single" w:color="auto" w:sz="4" w:space="0"/>
            </w:tcBorders>
            <w:noWrap w:val="0"/>
            <w:vAlign w:val="center"/>
          </w:tcPr>
          <w:p w14:paraId="5A6DA103">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auto"/>
              <w:ind w:left="0" w:right="0"/>
              <w:jc w:val="center"/>
              <w:textAlignment w:val="auto"/>
              <w:rPr>
                <w:rFonts w:hint="eastAsia" w:asciiTheme="minorEastAsia" w:hAnsiTheme="minorEastAsia" w:eastAsiaTheme="minorEastAsia" w:cstheme="minorEastAsia"/>
                <w:b/>
                <w:bCs/>
                <w:sz w:val="24"/>
                <w:szCs w:val="24"/>
                <w:vertAlign w:val="baseline"/>
                <w:lang w:val="en-US" w:eastAsia="zh-CN"/>
              </w:rPr>
            </w:pPr>
            <w:bookmarkStart w:id="87" w:name="_Toc18940"/>
            <w:bookmarkStart w:id="88" w:name="_Toc20810"/>
            <w:r>
              <w:rPr>
                <w:rFonts w:hint="eastAsia" w:asciiTheme="minorEastAsia" w:hAnsiTheme="minorEastAsia" w:eastAsiaTheme="minorEastAsia" w:cstheme="minorEastAsia"/>
                <w:b/>
                <w:bCs/>
                <w:sz w:val="24"/>
                <w:szCs w:val="24"/>
                <w:vertAlign w:val="baseline"/>
                <w:lang w:val="en-US" w:eastAsia="zh-CN"/>
              </w:rPr>
              <w:t>序号</w:t>
            </w:r>
          </w:p>
        </w:tc>
        <w:tc>
          <w:tcPr>
            <w:tcW w:w="962" w:type="dxa"/>
            <w:tcBorders>
              <w:top w:val="single" w:color="auto" w:sz="4" w:space="0"/>
              <w:left w:val="single" w:color="auto" w:sz="4" w:space="0"/>
              <w:bottom w:val="single" w:color="auto" w:sz="4" w:space="0"/>
              <w:right w:val="single" w:color="auto" w:sz="4" w:space="0"/>
            </w:tcBorders>
            <w:noWrap w:val="0"/>
            <w:vAlign w:val="center"/>
          </w:tcPr>
          <w:p w14:paraId="7838A54A">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auto"/>
              <w:ind w:left="0" w:right="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应用软件名称</w:t>
            </w:r>
          </w:p>
        </w:tc>
        <w:tc>
          <w:tcPr>
            <w:tcW w:w="1439" w:type="dxa"/>
            <w:tcBorders>
              <w:top w:val="single" w:color="auto" w:sz="4" w:space="0"/>
              <w:left w:val="single" w:color="auto" w:sz="4" w:space="0"/>
              <w:bottom w:val="single" w:color="auto" w:sz="4" w:space="0"/>
              <w:right w:val="single" w:color="auto" w:sz="4" w:space="0"/>
            </w:tcBorders>
            <w:noWrap w:val="0"/>
            <w:vAlign w:val="center"/>
          </w:tcPr>
          <w:p w14:paraId="5E43C539">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auto"/>
              <w:ind w:left="0" w:right="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模块名称</w:t>
            </w:r>
          </w:p>
        </w:tc>
        <w:tc>
          <w:tcPr>
            <w:tcW w:w="5706" w:type="dxa"/>
            <w:tcBorders>
              <w:top w:val="single" w:color="auto" w:sz="4" w:space="0"/>
              <w:left w:val="single" w:color="auto" w:sz="4" w:space="0"/>
              <w:bottom w:val="single" w:color="auto" w:sz="4" w:space="0"/>
              <w:right w:val="single" w:color="auto" w:sz="4" w:space="0"/>
            </w:tcBorders>
            <w:noWrap w:val="0"/>
            <w:vAlign w:val="center"/>
          </w:tcPr>
          <w:p w14:paraId="1F6CBB22">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auto"/>
              <w:ind w:left="0" w:right="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功能描述</w:t>
            </w:r>
          </w:p>
        </w:tc>
      </w:tr>
      <w:tr w14:paraId="27C00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tcBorders>
              <w:top w:val="single" w:color="auto" w:sz="4" w:space="0"/>
              <w:left w:val="single" w:color="auto" w:sz="4" w:space="0"/>
              <w:bottom w:val="single" w:color="auto" w:sz="4" w:space="0"/>
              <w:right w:val="single" w:color="auto" w:sz="4" w:space="0"/>
              <w:tl2br w:val="nil"/>
              <w:tr2bl w:val="nil"/>
            </w:tcBorders>
            <w:noWrap w:val="0"/>
            <w:vAlign w:val="top"/>
          </w:tcPr>
          <w:p w14:paraId="45BBEA31">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p>
        </w:tc>
        <w:tc>
          <w:tcPr>
            <w:tcW w:w="962" w:type="dxa"/>
            <w:tcBorders>
              <w:top w:val="single" w:color="auto" w:sz="4" w:space="0"/>
              <w:left w:val="single" w:color="auto" w:sz="4" w:space="0"/>
              <w:bottom w:val="single" w:color="auto" w:sz="4" w:space="0"/>
              <w:right w:val="single" w:color="auto" w:sz="4" w:space="0"/>
              <w:tl2br w:val="nil"/>
              <w:tr2bl w:val="nil"/>
            </w:tcBorders>
            <w:noWrap w:val="0"/>
            <w:vAlign w:val="top"/>
          </w:tcPr>
          <w:p w14:paraId="5B6FE9FD">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kern w:val="0"/>
                <w:sz w:val="24"/>
                <w:szCs w:val="24"/>
              </w:rPr>
              <w:t>学校单位图谱门户</w:t>
            </w:r>
          </w:p>
        </w:tc>
        <w:tc>
          <w:tcPr>
            <w:tcW w:w="1439" w:type="dxa"/>
            <w:tcBorders>
              <w:top w:val="single" w:color="auto" w:sz="4" w:space="0"/>
              <w:left w:val="single" w:color="auto" w:sz="4" w:space="0"/>
              <w:bottom w:val="single" w:color="auto" w:sz="4" w:space="0"/>
              <w:right w:val="single" w:color="auto" w:sz="4" w:space="0"/>
              <w:tl2br w:val="nil"/>
              <w:tr2bl w:val="nil"/>
            </w:tcBorders>
            <w:noWrap w:val="0"/>
            <w:vAlign w:val="top"/>
          </w:tcPr>
          <w:p w14:paraId="2ACE0068">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kern w:val="0"/>
                <w:sz w:val="24"/>
                <w:szCs w:val="24"/>
              </w:rPr>
              <w:t>学校单位图谱门户</w:t>
            </w: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25C11067">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r>
              <w:rPr>
                <w:rFonts w:hint="eastAsia" w:asciiTheme="minorEastAsia" w:hAnsiTheme="minorEastAsia" w:eastAsiaTheme="minorEastAsia" w:cstheme="minorEastAsia"/>
                <w:color w:val="000000"/>
                <w:kern w:val="0"/>
                <w:sz w:val="24"/>
                <w:szCs w:val="24"/>
                <w:lang w:eastAsia="zh-CN"/>
              </w:rPr>
              <w:t>.</w:t>
            </w:r>
            <w:r>
              <w:rPr>
                <w:rFonts w:hint="eastAsia" w:asciiTheme="minorEastAsia" w:hAnsiTheme="minorEastAsia" w:eastAsiaTheme="minorEastAsia" w:cstheme="minorEastAsia"/>
                <w:color w:val="000000"/>
                <w:kern w:val="0"/>
                <w:sz w:val="24"/>
                <w:szCs w:val="24"/>
              </w:rPr>
              <w:t>支持为当前单位创建单位图谱，单位图谱下支持创建展示本专业下的专业图谱。</w:t>
            </w:r>
          </w:p>
          <w:p w14:paraId="7B2FB53A">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pPr>
            <w:r>
              <w:rPr>
                <w:rFonts w:hint="eastAsia" w:asciiTheme="minorEastAsia" w:hAnsiTheme="minorEastAsia" w:eastAsiaTheme="minorEastAsia" w:cstheme="minorEastAsia"/>
                <w:color w:val="000000"/>
                <w:kern w:val="0"/>
                <w:sz w:val="24"/>
                <w:szCs w:val="24"/>
              </w:rPr>
              <w:t>2</w:t>
            </w:r>
            <w:r>
              <w:rPr>
                <w:rFonts w:hint="eastAsia" w:asciiTheme="minorEastAsia" w:hAnsiTheme="minorEastAsia" w:eastAsiaTheme="minorEastAsia" w:cstheme="minorEastAsia"/>
                <w:color w:val="000000"/>
                <w:kern w:val="0"/>
                <w:sz w:val="24"/>
                <w:szCs w:val="24"/>
                <w:lang w:eastAsia="zh-CN"/>
              </w:rPr>
              <w:t>.</w:t>
            </w:r>
            <w:r>
              <w:rPr>
                <w:rFonts w:hint="eastAsia" w:asciiTheme="minorEastAsia" w:hAnsiTheme="minorEastAsia" w:eastAsiaTheme="minorEastAsia" w:cstheme="minorEastAsia"/>
                <w:color w:val="000000"/>
                <w:kern w:val="0"/>
                <w:sz w:val="24"/>
                <w:szCs w:val="24"/>
              </w:rPr>
              <w:t>每个专业图谱支持独立创建，独立管理生成专业图谱页面。</w:t>
            </w:r>
          </w:p>
        </w:tc>
      </w:tr>
      <w:tr w14:paraId="3CB36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tcBorders>
              <w:top w:val="single" w:color="auto" w:sz="4" w:space="0"/>
              <w:left w:val="single" w:color="auto" w:sz="4" w:space="0"/>
              <w:bottom w:val="single" w:color="auto" w:sz="4" w:space="0"/>
              <w:right w:val="single" w:color="auto" w:sz="4" w:space="0"/>
              <w:tl2br w:val="nil"/>
              <w:tr2bl w:val="nil"/>
            </w:tcBorders>
            <w:noWrap w:val="0"/>
            <w:vAlign w:val="top"/>
          </w:tcPr>
          <w:p w14:paraId="3D182CA3">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w:t>
            </w:r>
          </w:p>
        </w:tc>
        <w:tc>
          <w:tcPr>
            <w:tcW w:w="962" w:type="dxa"/>
            <w:tcBorders>
              <w:top w:val="single" w:color="auto" w:sz="4" w:space="0"/>
              <w:left w:val="single" w:color="auto" w:sz="4" w:space="0"/>
              <w:bottom w:val="single" w:color="auto" w:sz="4" w:space="0"/>
              <w:right w:val="single" w:color="auto" w:sz="4" w:space="0"/>
              <w:tl2br w:val="nil"/>
              <w:tr2bl w:val="nil"/>
            </w:tcBorders>
            <w:noWrap w:val="0"/>
            <w:vAlign w:val="top"/>
          </w:tcPr>
          <w:p w14:paraId="045B7D68">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kern w:val="0"/>
                <w:sz w:val="24"/>
                <w:szCs w:val="24"/>
              </w:rPr>
              <w:t>专业图谱门户</w:t>
            </w:r>
          </w:p>
        </w:tc>
        <w:tc>
          <w:tcPr>
            <w:tcW w:w="1439" w:type="dxa"/>
            <w:tcBorders>
              <w:top w:val="single" w:color="auto" w:sz="4" w:space="0"/>
              <w:left w:val="single" w:color="auto" w:sz="4" w:space="0"/>
              <w:bottom w:val="single" w:color="auto" w:sz="4" w:space="0"/>
              <w:right w:val="single" w:color="auto" w:sz="4" w:space="0"/>
              <w:tl2br w:val="nil"/>
              <w:tr2bl w:val="nil"/>
            </w:tcBorders>
            <w:noWrap w:val="0"/>
            <w:vAlign w:val="top"/>
          </w:tcPr>
          <w:p w14:paraId="543CB91F">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kern w:val="0"/>
                <w:sz w:val="24"/>
                <w:szCs w:val="24"/>
              </w:rPr>
              <w:t>专业图谱门户</w:t>
            </w: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1FF47413">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1.</w:t>
            </w:r>
            <w:r>
              <w:rPr>
                <w:rFonts w:hint="eastAsia" w:asciiTheme="minorEastAsia" w:hAnsiTheme="minorEastAsia" w:eastAsiaTheme="minorEastAsia" w:cstheme="minorEastAsia"/>
                <w:color w:val="000000"/>
                <w:kern w:val="0"/>
                <w:sz w:val="24"/>
                <w:szCs w:val="24"/>
              </w:rPr>
              <w:t>支持建设专业图谱门户网站，系统提供模板可供直接使用，页面支持可视化编辑，支持用户自定义模块布局，支持图表、表格、搜索列表、文本、图片、按钮、视频、搜索条、天气、日期、插件、IP、地图等模块，支持拖拽式调整同一模块内不同栏目内容的位置，支持用户自定义对页面背景、音乐、主题色及简体或繁体字的转换设置。每一个模块内的数据来源可以是外部数据接入，直接复用已有接口，也可以直接从数据中心抽调。</w:t>
            </w:r>
          </w:p>
          <w:p w14:paraId="1E771DDC">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2.</w:t>
            </w:r>
            <w:r>
              <w:rPr>
                <w:rFonts w:hint="eastAsia" w:asciiTheme="minorEastAsia" w:hAnsiTheme="minorEastAsia" w:eastAsiaTheme="minorEastAsia" w:cstheme="minorEastAsia"/>
                <w:color w:val="000000"/>
                <w:kern w:val="0"/>
                <w:sz w:val="24"/>
                <w:szCs w:val="24"/>
              </w:rPr>
              <w:t>门户首页支持展示学校相关信息，包含学校logo、专业名称、学校名称、专业介绍、专业类型、教师团队信息。</w:t>
            </w:r>
          </w:p>
          <w:p w14:paraId="7866A5D0">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3.</w:t>
            </w:r>
            <w:r>
              <w:rPr>
                <w:rFonts w:hint="eastAsia" w:asciiTheme="minorEastAsia" w:hAnsiTheme="minorEastAsia" w:eastAsiaTheme="minorEastAsia" w:cstheme="minorEastAsia"/>
                <w:color w:val="000000"/>
                <w:kern w:val="0"/>
                <w:sz w:val="24"/>
                <w:szCs w:val="24"/>
              </w:rPr>
              <w:t>导航栏包含的所有模块支持拖拽展示栏目顺序，支持栏目单独展示或隐藏操作。</w:t>
            </w:r>
          </w:p>
          <w:p w14:paraId="02EB917D">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4.</w:t>
            </w:r>
            <w:r>
              <w:rPr>
                <w:rFonts w:hint="eastAsia" w:asciiTheme="minorEastAsia" w:hAnsiTheme="minorEastAsia" w:eastAsiaTheme="minorEastAsia" w:cstheme="minorEastAsia"/>
                <w:color w:val="000000"/>
                <w:kern w:val="0"/>
                <w:sz w:val="24"/>
                <w:szCs w:val="24"/>
              </w:rPr>
              <w:t>专业门户首页展示专业下的知识点、教学资源、课程数量。</w:t>
            </w:r>
          </w:p>
          <w:p w14:paraId="0D161B03">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pPr>
            <w:r>
              <w:rPr>
                <w:rFonts w:hint="eastAsia" w:asciiTheme="minorEastAsia" w:hAnsiTheme="minorEastAsia" w:eastAsiaTheme="minorEastAsia" w:cstheme="minorEastAsia"/>
                <w:color w:val="000000"/>
                <w:kern w:val="0"/>
                <w:sz w:val="24"/>
                <w:szCs w:val="24"/>
                <w:lang w:val="en-US" w:eastAsia="zh-CN"/>
              </w:rPr>
              <w:t>5</w:t>
            </w:r>
            <w:r>
              <w:rPr>
                <w:rFonts w:hint="eastAsia" w:asciiTheme="minorEastAsia" w:hAnsiTheme="minorEastAsia" w:eastAsiaTheme="minorEastAsia" w:cstheme="minorEastAsia"/>
                <w:color w:val="000000"/>
                <w:kern w:val="0"/>
                <w:sz w:val="24"/>
                <w:szCs w:val="24"/>
              </w:rPr>
              <w:t>.▲供应商服务平台支持可检索相关岗位、竞赛、证书、目标技能，根据技能展示关联知识点数量、关联课程关系，生成对应学习路径。</w:t>
            </w:r>
          </w:p>
        </w:tc>
      </w:tr>
      <w:tr w14:paraId="2CDFC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tcBorders>
              <w:top w:val="single" w:color="auto" w:sz="4" w:space="0"/>
              <w:left w:val="single" w:color="auto" w:sz="4" w:space="0"/>
              <w:bottom w:val="single" w:color="auto" w:sz="4" w:space="0"/>
              <w:right w:val="single" w:color="auto" w:sz="4" w:space="0"/>
              <w:tl2br w:val="nil"/>
              <w:tr2bl w:val="nil"/>
            </w:tcBorders>
            <w:noWrap w:val="0"/>
            <w:vAlign w:val="top"/>
          </w:tcPr>
          <w:p w14:paraId="0E6CCC86">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w:t>
            </w:r>
          </w:p>
        </w:tc>
        <w:tc>
          <w:tcPr>
            <w:tcW w:w="962" w:type="dxa"/>
            <w:tcBorders>
              <w:top w:val="single" w:color="auto" w:sz="4" w:space="0"/>
              <w:left w:val="single" w:color="auto" w:sz="4" w:space="0"/>
              <w:bottom w:val="single" w:color="auto" w:sz="4" w:space="0"/>
              <w:right w:val="single" w:color="auto" w:sz="4" w:space="0"/>
              <w:tl2br w:val="nil"/>
              <w:tr2bl w:val="nil"/>
            </w:tcBorders>
            <w:noWrap w:val="0"/>
            <w:vAlign w:val="top"/>
          </w:tcPr>
          <w:p w14:paraId="6FFCA5C1">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kern w:val="0"/>
                <w:sz w:val="24"/>
                <w:szCs w:val="24"/>
              </w:rPr>
              <w:t>课程体系建设</w:t>
            </w:r>
          </w:p>
        </w:tc>
        <w:tc>
          <w:tcPr>
            <w:tcW w:w="1439" w:type="dxa"/>
            <w:tcBorders>
              <w:top w:val="single" w:color="auto" w:sz="4" w:space="0"/>
              <w:left w:val="single" w:color="auto" w:sz="4" w:space="0"/>
              <w:bottom w:val="single" w:color="auto" w:sz="4" w:space="0"/>
              <w:right w:val="single" w:color="auto" w:sz="4" w:space="0"/>
              <w:tl2br w:val="nil"/>
              <w:tr2bl w:val="nil"/>
            </w:tcBorders>
            <w:noWrap w:val="0"/>
            <w:vAlign w:val="top"/>
          </w:tcPr>
          <w:p w14:paraId="09DAAEE1">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kern w:val="0"/>
                <w:sz w:val="24"/>
                <w:szCs w:val="24"/>
              </w:rPr>
              <w:t>课程体系建设</w:t>
            </w: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38317952">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1.</w:t>
            </w:r>
            <w:r>
              <w:rPr>
                <w:rFonts w:hint="eastAsia" w:asciiTheme="minorEastAsia" w:hAnsiTheme="minorEastAsia" w:eastAsiaTheme="minorEastAsia" w:cstheme="minorEastAsia"/>
                <w:color w:val="000000"/>
                <w:kern w:val="0"/>
                <w:sz w:val="24"/>
                <w:szCs w:val="24"/>
              </w:rPr>
              <w:t>课程体系支持添加从学校课程库进行添加，检索支持按照课程名称、授课教师、课程信息。</w:t>
            </w:r>
          </w:p>
          <w:p w14:paraId="3B7F9791">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2.</w:t>
            </w:r>
            <w:r>
              <w:rPr>
                <w:rFonts w:hint="eastAsia" w:asciiTheme="minorEastAsia" w:hAnsiTheme="minorEastAsia" w:eastAsiaTheme="minorEastAsia" w:cstheme="minorEastAsia"/>
                <w:color w:val="000000"/>
                <w:kern w:val="0"/>
                <w:sz w:val="24"/>
                <w:szCs w:val="24"/>
              </w:rPr>
              <w:t>添加的课程支持进行标记信息，比如专业核心课程、专业基础课程，支持对课程进行增加删除及位置调整展示。</w:t>
            </w:r>
          </w:p>
          <w:p w14:paraId="3FC17B63">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3.</w:t>
            </w:r>
            <w:r>
              <w:rPr>
                <w:rFonts w:hint="eastAsia" w:asciiTheme="minorEastAsia" w:hAnsiTheme="minorEastAsia" w:eastAsiaTheme="minorEastAsia" w:cstheme="minorEastAsia"/>
                <w:color w:val="000000"/>
                <w:kern w:val="0"/>
                <w:sz w:val="24"/>
                <w:szCs w:val="24"/>
              </w:rPr>
              <w:t>添加至课程体系的课程，课程下的知识点和教学资源可以进入统计模块进行集合展示，点击课程体系相关课程即可进入课程门户页面进行课程查看及学习。</w:t>
            </w:r>
          </w:p>
          <w:p w14:paraId="62068631">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pPr>
            <w:r>
              <w:rPr>
                <w:rFonts w:hint="eastAsia" w:asciiTheme="minorEastAsia" w:hAnsiTheme="minorEastAsia" w:eastAsiaTheme="minorEastAsia" w:cstheme="minorEastAsia"/>
                <w:color w:val="000000"/>
                <w:kern w:val="0"/>
                <w:sz w:val="24"/>
                <w:szCs w:val="24"/>
                <w:lang w:val="en-US" w:eastAsia="zh-CN"/>
              </w:rPr>
              <w:t>4.</w:t>
            </w:r>
            <w:r>
              <w:rPr>
                <w:rFonts w:hint="eastAsia" w:asciiTheme="minorEastAsia" w:hAnsiTheme="minorEastAsia" w:eastAsiaTheme="minorEastAsia" w:cstheme="minorEastAsia"/>
                <w:color w:val="000000"/>
                <w:kern w:val="0"/>
                <w:sz w:val="24"/>
                <w:szCs w:val="24"/>
              </w:rPr>
              <w:t>支持本专业建设的图谱进行关联关系及学习跳转。</w:t>
            </w:r>
          </w:p>
        </w:tc>
      </w:tr>
      <w:tr w14:paraId="0931D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15EA209D">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4</w:t>
            </w:r>
          </w:p>
        </w:tc>
        <w:tc>
          <w:tcPr>
            <w:tcW w:w="962"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40A6BDD6">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kern w:val="0"/>
                <w:sz w:val="24"/>
                <w:szCs w:val="24"/>
                <w:lang w:val="en-US" w:eastAsia="zh-CN"/>
              </w:rPr>
              <w:t>专业图谱构建与管理</w:t>
            </w:r>
          </w:p>
        </w:tc>
        <w:tc>
          <w:tcPr>
            <w:tcW w:w="1439" w:type="dxa"/>
            <w:tcBorders>
              <w:top w:val="single" w:color="auto" w:sz="4" w:space="0"/>
              <w:left w:val="single" w:color="auto" w:sz="4" w:space="0"/>
              <w:bottom w:val="single" w:color="auto" w:sz="4" w:space="0"/>
              <w:right w:val="single" w:color="auto" w:sz="4" w:space="0"/>
              <w:tl2br w:val="nil"/>
              <w:tr2bl w:val="nil"/>
            </w:tcBorders>
            <w:noWrap w:val="0"/>
            <w:vAlign w:val="top"/>
          </w:tcPr>
          <w:p w14:paraId="6855779E">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kern w:val="0"/>
                <w:sz w:val="24"/>
                <w:szCs w:val="24"/>
                <w:lang w:val="en-US" w:eastAsia="zh-CN"/>
              </w:rPr>
              <w:t>岗位图谱</w:t>
            </w: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1DA432D7">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1.</w:t>
            </w:r>
            <w:r>
              <w:rPr>
                <w:rFonts w:hint="eastAsia" w:asciiTheme="minorEastAsia" w:hAnsiTheme="minorEastAsia" w:eastAsiaTheme="minorEastAsia" w:cstheme="minorEastAsia"/>
                <w:color w:val="000000"/>
                <w:kern w:val="0"/>
                <w:sz w:val="24"/>
                <w:szCs w:val="24"/>
              </w:rPr>
              <w:t>图谱支持展示3D结构，各个层级之间的关系由线条进行关联，点击单个层级的点即可展示整个线性关系。</w:t>
            </w:r>
          </w:p>
          <w:p w14:paraId="23F2676C">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2.</w:t>
            </w:r>
            <w:r>
              <w:rPr>
                <w:rFonts w:hint="eastAsia" w:asciiTheme="minorEastAsia" w:hAnsiTheme="minorEastAsia" w:eastAsiaTheme="minorEastAsia" w:cstheme="minorEastAsia"/>
                <w:color w:val="000000"/>
                <w:kern w:val="0"/>
                <w:sz w:val="24"/>
                <w:szCs w:val="24"/>
              </w:rPr>
              <w:t>▲图谱3D结构支持5级以内自定义层级，支持层级名称自定义。可检索相关岗位技能，根据岗位技能展示关联知识点数量、关联课程关系，支撑岗位情况。</w:t>
            </w:r>
          </w:p>
          <w:p w14:paraId="39E588B3">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3.</w:t>
            </w:r>
            <w:r>
              <w:rPr>
                <w:rFonts w:hint="eastAsia" w:asciiTheme="minorEastAsia" w:hAnsiTheme="minorEastAsia" w:eastAsiaTheme="minorEastAsia" w:cstheme="minorEastAsia"/>
                <w:color w:val="000000"/>
                <w:kern w:val="0"/>
                <w:sz w:val="24"/>
                <w:szCs w:val="24"/>
              </w:rPr>
              <w:t>可检索相关岗位，根据岗位展示关联岗位技能数量、关联知识点数量、关联课程关系。</w:t>
            </w:r>
          </w:p>
          <w:p w14:paraId="138CD86C">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4.</w:t>
            </w:r>
            <w:r>
              <w:rPr>
                <w:rFonts w:hint="eastAsia" w:asciiTheme="minorEastAsia" w:hAnsiTheme="minorEastAsia" w:eastAsiaTheme="minorEastAsia" w:cstheme="minorEastAsia"/>
                <w:color w:val="000000"/>
                <w:kern w:val="0"/>
                <w:sz w:val="24"/>
                <w:szCs w:val="24"/>
              </w:rPr>
              <w:t>可检索相关课程知识点，根据课程知识点关联课程情况、支撑岗位、岗位技能。</w:t>
            </w:r>
          </w:p>
          <w:p w14:paraId="6DEF9F82">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pPr>
            <w:r>
              <w:rPr>
                <w:rFonts w:hint="eastAsia" w:asciiTheme="minorEastAsia" w:hAnsiTheme="minorEastAsia" w:eastAsiaTheme="minorEastAsia" w:cstheme="minorEastAsia"/>
                <w:color w:val="000000"/>
                <w:kern w:val="0"/>
                <w:sz w:val="24"/>
                <w:szCs w:val="24"/>
                <w:lang w:val="en-US" w:eastAsia="zh-CN"/>
              </w:rPr>
              <w:t>5.</w:t>
            </w:r>
            <w:r>
              <w:rPr>
                <w:rFonts w:hint="eastAsia" w:asciiTheme="minorEastAsia" w:hAnsiTheme="minorEastAsia" w:eastAsiaTheme="minorEastAsia" w:cstheme="minorEastAsia"/>
                <w:color w:val="000000"/>
                <w:kern w:val="0"/>
                <w:sz w:val="24"/>
                <w:szCs w:val="24"/>
              </w:rPr>
              <w:t>可检索相关课程，根据课程展示支撑岗位数量、支撑岗位技能数量、支撑课程知识点数量。</w:t>
            </w:r>
          </w:p>
        </w:tc>
      </w:tr>
      <w:tr w14:paraId="68CAC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7EA027D">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A9E2604">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tcBorders>
              <w:top w:val="single" w:color="auto" w:sz="4" w:space="0"/>
              <w:left w:val="single" w:color="auto" w:sz="4" w:space="0"/>
              <w:bottom w:val="single" w:color="auto" w:sz="4" w:space="0"/>
              <w:right w:val="single" w:color="auto" w:sz="4" w:space="0"/>
              <w:tl2br w:val="nil"/>
              <w:tr2bl w:val="nil"/>
            </w:tcBorders>
            <w:noWrap w:val="0"/>
            <w:vAlign w:val="top"/>
          </w:tcPr>
          <w:p w14:paraId="0179C1B5">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kern w:val="0"/>
                <w:sz w:val="24"/>
                <w:szCs w:val="24"/>
              </w:rPr>
              <w:t>竞赛图谱</w:t>
            </w: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1AB7614A">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1.</w:t>
            </w:r>
            <w:r>
              <w:rPr>
                <w:rFonts w:hint="eastAsia" w:asciiTheme="minorEastAsia" w:hAnsiTheme="minorEastAsia" w:eastAsiaTheme="minorEastAsia" w:cstheme="minorEastAsia"/>
                <w:color w:val="000000"/>
                <w:kern w:val="0"/>
                <w:sz w:val="24"/>
                <w:szCs w:val="24"/>
              </w:rPr>
              <w:t>图谱支持展示3D结构，各个层级之间的关系由线条进行关联，点击单个层级的点即可展示整个线性关系。</w:t>
            </w:r>
          </w:p>
          <w:p w14:paraId="70DC48DA">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2.</w:t>
            </w:r>
            <w:r>
              <w:rPr>
                <w:rFonts w:hint="eastAsia" w:asciiTheme="minorEastAsia" w:hAnsiTheme="minorEastAsia" w:eastAsiaTheme="minorEastAsia" w:cstheme="minorEastAsia"/>
                <w:color w:val="000000"/>
                <w:kern w:val="0"/>
                <w:sz w:val="24"/>
                <w:szCs w:val="24"/>
              </w:rPr>
              <w:t>图谱3D结构支持4级以内自定义层级，支持层级名称自定义。</w:t>
            </w:r>
          </w:p>
          <w:p w14:paraId="3D8E1ABF">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3.</w:t>
            </w:r>
            <w:r>
              <w:rPr>
                <w:rFonts w:hint="eastAsia" w:asciiTheme="minorEastAsia" w:hAnsiTheme="minorEastAsia" w:eastAsiaTheme="minorEastAsia" w:cstheme="minorEastAsia"/>
                <w:color w:val="000000"/>
                <w:kern w:val="0"/>
                <w:sz w:val="24"/>
                <w:szCs w:val="24"/>
              </w:rPr>
              <w:t>可检索相关技能竞赛，根据岗位技能展示关联知识点数量、关联课程数量。</w:t>
            </w:r>
          </w:p>
          <w:p w14:paraId="4A205B77">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4.</w:t>
            </w:r>
            <w:r>
              <w:rPr>
                <w:rFonts w:hint="eastAsia" w:asciiTheme="minorEastAsia" w:hAnsiTheme="minorEastAsia" w:eastAsiaTheme="minorEastAsia" w:cstheme="minorEastAsia"/>
                <w:color w:val="000000"/>
                <w:kern w:val="0"/>
                <w:sz w:val="24"/>
                <w:szCs w:val="24"/>
              </w:rPr>
              <w:t>可检索相关课程知识点，根据课程知识点关联课程情况、支撑技能竞赛情况。</w:t>
            </w:r>
          </w:p>
          <w:p w14:paraId="451C33B0">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pPr>
            <w:r>
              <w:rPr>
                <w:rFonts w:hint="eastAsia" w:asciiTheme="minorEastAsia" w:hAnsiTheme="minorEastAsia" w:eastAsiaTheme="minorEastAsia" w:cstheme="minorEastAsia"/>
                <w:color w:val="000000"/>
                <w:kern w:val="0"/>
                <w:sz w:val="24"/>
                <w:szCs w:val="24"/>
                <w:lang w:val="en-US" w:eastAsia="zh-CN"/>
              </w:rPr>
              <w:t>5.</w:t>
            </w:r>
            <w:r>
              <w:rPr>
                <w:rFonts w:hint="eastAsia" w:asciiTheme="minorEastAsia" w:hAnsiTheme="minorEastAsia" w:eastAsiaTheme="minorEastAsia" w:cstheme="minorEastAsia"/>
                <w:color w:val="000000"/>
                <w:kern w:val="0"/>
                <w:sz w:val="24"/>
                <w:szCs w:val="24"/>
              </w:rPr>
              <w:t>可检索相关课程，根据课程展示支撑课程知识点数量、支撑技能竞赛数量。</w:t>
            </w:r>
          </w:p>
        </w:tc>
      </w:tr>
      <w:tr w14:paraId="33DFA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D4BF79B">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2E196E3">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tcBorders>
              <w:top w:val="single" w:color="auto" w:sz="4" w:space="0"/>
              <w:left w:val="single" w:color="auto" w:sz="4" w:space="0"/>
              <w:bottom w:val="single" w:color="auto" w:sz="4" w:space="0"/>
              <w:right w:val="single" w:color="auto" w:sz="4" w:space="0"/>
              <w:tl2br w:val="nil"/>
              <w:tr2bl w:val="nil"/>
            </w:tcBorders>
            <w:noWrap w:val="0"/>
            <w:vAlign w:val="top"/>
          </w:tcPr>
          <w:p w14:paraId="4C5D6620">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kern w:val="0"/>
                <w:sz w:val="24"/>
                <w:szCs w:val="24"/>
              </w:rPr>
              <w:t>证书图谱</w:t>
            </w: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3C580AB4">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1.</w:t>
            </w:r>
            <w:r>
              <w:rPr>
                <w:rFonts w:hint="eastAsia" w:asciiTheme="minorEastAsia" w:hAnsiTheme="minorEastAsia" w:eastAsiaTheme="minorEastAsia" w:cstheme="minorEastAsia"/>
                <w:color w:val="000000"/>
                <w:kern w:val="0"/>
                <w:sz w:val="24"/>
                <w:szCs w:val="24"/>
              </w:rPr>
              <w:t>图谱支持展示3D结构，各个层级之间的关系由线条进行关联，点击单个层级的点即可展示整个线性关系。</w:t>
            </w:r>
          </w:p>
          <w:p w14:paraId="43798081">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2.</w:t>
            </w:r>
            <w:r>
              <w:rPr>
                <w:rFonts w:hint="eastAsia" w:asciiTheme="minorEastAsia" w:hAnsiTheme="minorEastAsia" w:eastAsiaTheme="minorEastAsia" w:cstheme="minorEastAsia"/>
                <w:color w:val="000000"/>
                <w:kern w:val="0"/>
                <w:sz w:val="24"/>
                <w:szCs w:val="24"/>
              </w:rPr>
              <w:t>图谱3D结构支持4级以内自定义层级，支持层级名称自定义。</w:t>
            </w:r>
          </w:p>
          <w:p w14:paraId="7791A549">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3.</w:t>
            </w:r>
            <w:r>
              <w:rPr>
                <w:rFonts w:hint="eastAsia" w:asciiTheme="minorEastAsia" w:hAnsiTheme="minorEastAsia" w:eastAsiaTheme="minorEastAsia" w:cstheme="minorEastAsia"/>
                <w:color w:val="000000"/>
                <w:kern w:val="0"/>
                <w:sz w:val="24"/>
                <w:szCs w:val="24"/>
              </w:rPr>
              <w:t>可检索相关证书，根据证书展示关联知识点数量、关联课程数量。</w:t>
            </w:r>
          </w:p>
          <w:p w14:paraId="48075679">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4.</w:t>
            </w:r>
            <w:r>
              <w:rPr>
                <w:rFonts w:hint="eastAsia" w:asciiTheme="minorEastAsia" w:hAnsiTheme="minorEastAsia" w:eastAsiaTheme="minorEastAsia" w:cstheme="minorEastAsia"/>
                <w:color w:val="000000"/>
                <w:kern w:val="0"/>
                <w:sz w:val="24"/>
                <w:szCs w:val="24"/>
              </w:rPr>
              <w:t>可检索相关课程知识点，根据课程知识点关联课程情况、支撑证书情况。</w:t>
            </w:r>
          </w:p>
          <w:p w14:paraId="05C79A63">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pPr>
            <w:r>
              <w:rPr>
                <w:rFonts w:hint="eastAsia" w:asciiTheme="minorEastAsia" w:hAnsiTheme="minorEastAsia" w:eastAsiaTheme="minorEastAsia" w:cstheme="minorEastAsia"/>
                <w:color w:val="000000"/>
                <w:kern w:val="0"/>
                <w:sz w:val="24"/>
                <w:szCs w:val="24"/>
                <w:lang w:val="en-US" w:eastAsia="zh-CN"/>
              </w:rPr>
              <w:t>5.</w:t>
            </w:r>
            <w:r>
              <w:rPr>
                <w:rFonts w:hint="eastAsia" w:asciiTheme="minorEastAsia" w:hAnsiTheme="minorEastAsia" w:eastAsiaTheme="minorEastAsia" w:cstheme="minorEastAsia"/>
                <w:color w:val="000000"/>
                <w:kern w:val="0"/>
                <w:sz w:val="24"/>
                <w:szCs w:val="24"/>
              </w:rPr>
              <w:t>可检索相关课程，根据课程展示支撑课程知识点数量、支撑证书数量。</w:t>
            </w:r>
          </w:p>
        </w:tc>
      </w:tr>
      <w:tr w14:paraId="7F90B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DD9A19D">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F61FCF9">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tcBorders>
              <w:top w:val="single" w:color="auto" w:sz="4" w:space="0"/>
              <w:left w:val="single" w:color="auto" w:sz="4" w:space="0"/>
              <w:bottom w:val="single" w:color="auto" w:sz="4" w:space="0"/>
              <w:right w:val="single" w:color="auto" w:sz="4" w:space="0"/>
              <w:tl2br w:val="nil"/>
              <w:tr2bl w:val="nil"/>
            </w:tcBorders>
            <w:noWrap w:val="0"/>
            <w:vAlign w:val="top"/>
          </w:tcPr>
          <w:p w14:paraId="1BB3A69C">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kern w:val="0"/>
                <w:sz w:val="24"/>
                <w:szCs w:val="24"/>
                <w:lang w:val="en-US" w:eastAsia="zh-CN"/>
              </w:rPr>
              <w:t>目标图谱</w:t>
            </w: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7FC116B7">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1.</w:t>
            </w:r>
            <w:r>
              <w:rPr>
                <w:rFonts w:hint="eastAsia" w:asciiTheme="minorEastAsia" w:hAnsiTheme="minorEastAsia" w:eastAsiaTheme="minorEastAsia" w:cstheme="minorEastAsia"/>
                <w:color w:val="000000"/>
                <w:kern w:val="0"/>
                <w:sz w:val="24"/>
                <w:szCs w:val="24"/>
              </w:rPr>
              <w:t>图谱支持展示3D结构，各个层级之间的关系由线条进行关联，点击单个层级的点即可展示整个线性关系。</w:t>
            </w:r>
          </w:p>
          <w:p w14:paraId="72174271">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2.</w:t>
            </w:r>
            <w:r>
              <w:rPr>
                <w:rFonts w:hint="eastAsia" w:asciiTheme="minorEastAsia" w:hAnsiTheme="minorEastAsia" w:eastAsiaTheme="minorEastAsia" w:cstheme="minorEastAsia"/>
                <w:color w:val="000000"/>
                <w:kern w:val="0"/>
                <w:sz w:val="24"/>
                <w:szCs w:val="24"/>
              </w:rPr>
              <w:t>图谱3D结构支持5级以内自定义层级，支持层级名称自定义。</w:t>
            </w:r>
          </w:p>
          <w:p w14:paraId="5AD45D42">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3.</w:t>
            </w:r>
            <w:r>
              <w:rPr>
                <w:rFonts w:hint="eastAsia" w:asciiTheme="minorEastAsia" w:hAnsiTheme="minorEastAsia" w:eastAsiaTheme="minorEastAsia" w:cstheme="minorEastAsia"/>
                <w:color w:val="000000"/>
                <w:kern w:val="0"/>
                <w:sz w:val="24"/>
                <w:szCs w:val="24"/>
              </w:rPr>
              <w:t>可检索相关目标，根据目标展示关联知识点数量、关联课程数量。</w:t>
            </w:r>
          </w:p>
          <w:p w14:paraId="5E465099">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4.</w:t>
            </w:r>
            <w:r>
              <w:rPr>
                <w:rFonts w:hint="eastAsia" w:asciiTheme="minorEastAsia" w:hAnsiTheme="minorEastAsia" w:eastAsiaTheme="minorEastAsia" w:cstheme="minorEastAsia"/>
                <w:color w:val="000000"/>
                <w:kern w:val="0"/>
                <w:sz w:val="24"/>
                <w:szCs w:val="24"/>
              </w:rPr>
              <w:t>可检索相关课程知识点，根据课程知识点关联课程情况、支撑目标情况。</w:t>
            </w:r>
          </w:p>
          <w:p w14:paraId="0976CA89">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5.</w:t>
            </w:r>
            <w:r>
              <w:rPr>
                <w:rFonts w:hint="eastAsia" w:asciiTheme="minorEastAsia" w:hAnsiTheme="minorEastAsia" w:eastAsiaTheme="minorEastAsia" w:cstheme="minorEastAsia"/>
                <w:color w:val="000000"/>
                <w:kern w:val="0"/>
                <w:sz w:val="24"/>
                <w:szCs w:val="24"/>
              </w:rPr>
              <w:t>可检索相关课程，根据课程展示支撑课程知识点数量、支撑目标数量。</w:t>
            </w:r>
          </w:p>
          <w:p w14:paraId="3BB47D13">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pPr>
            <w:r>
              <w:rPr>
                <w:rFonts w:hint="eastAsia" w:asciiTheme="minorEastAsia" w:hAnsiTheme="minorEastAsia" w:eastAsiaTheme="minorEastAsia" w:cstheme="minorEastAsia"/>
                <w:color w:val="000000"/>
                <w:kern w:val="0"/>
                <w:sz w:val="24"/>
                <w:szCs w:val="24"/>
                <w:lang w:val="en-US" w:eastAsia="zh-CN"/>
              </w:rPr>
              <w:t>6.</w:t>
            </w:r>
            <w:r>
              <w:rPr>
                <w:rFonts w:hint="eastAsia" w:asciiTheme="minorEastAsia" w:hAnsiTheme="minorEastAsia" w:eastAsiaTheme="minorEastAsia" w:cstheme="minorEastAsia"/>
                <w:color w:val="000000"/>
                <w:kern w:val="0"/>
                <w:sz w:val="24"/>
                <w:szCs w:val="24"/>
              </w:rPr>
              <w:t>支持检索相关目标，生成目标学习路径，学生可进行报名学习，根据路径知识点顺序进行跳转学习。</w:t>
            </w:r>
          </w:p>
        </w:tc>
      </w:tr>
      <w:tr w14:paraId="290E7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084C23F">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AEB7376">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tcBorders>
              <w:top w:val="single" w:color="auto" w:sz="4" w:space="0"/>
              <w:left w:val="single" w:color="auto" w:sz="4" w:space="0"/>
              <w:bottom w:val="single" w:color="auto" w:sz="4" w:space="0"/>
              <w:right w:val="single" w:color="auto" w:sz="4" w:space="0"/>
              <w:tl2br w:val="nil"/>
              <w:tr2bl w:val="nil"/>
            </w:tcBorders>
            <w:noWrap w:val="0"/>
            <w:vAlign w:val="top"/>
          </w:tcPr>
          <w:p w14:paraId="4BDEDB4D">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kern w:val="0"/>
                <w:sz w:val="24"/>
                <w:szCs w:val="24"/>
              </w:rPr>
              <w:t>问题图谱</w:t>
            </w: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03E4DA08">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1.</w:t>
            </w:r>
            <w:r>
              <w:rPr>
                <w:rFonts w:hint="eastAsia" w:asciiTheme="minorEastAsia" w:hAnsiTheme="minorEastAsia" w:eastAsiaTheme="minorEastAsia" w:cstheme="minorEastAsia"/>
                <w:color w:val="000000"/>
                <w:kern w:val="0"/>
                <w:sz w:val="24"/>
                <w:szCs w:val="24"/>
              </w:rPr>
              <w:t>支持展示专业下的课程问题图谱</w:t>
            </w:r>
          </w:p>
          <w:p w14:paraId="6433CBC9">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2.</w:t>
            </w:r>
            <w:r>
              <w:rPr>
                <w:rFonts w:hint="eastAsia" w:asciiTheme="minorEastAsia" w:hAnsiTheme="minorEastAsia" w:eastAsiaTheme="minorEastAsia" w:cstheme="minorEastAsia"/>
                <w:color w:val="000000"/>
                <w:kern w:val="0"/>
                <w:sz w:val="24"/>
                <w:szCs w:val="24"/>
              </w:rPr>
              <w:t>支持教师进行问题图谱建设（支持自定义名称及描述），添加问题卡片。</w:t>
            </w:r>
          </w:p>
          <w:p w14:paraId="50CDED6C">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3.</w:t>
            </w:r>
            <w:r>
              <w:rPr>
                <w:rFonts w:hint="eastAsia" w:asciiTheme="minorEastAsia" w:hAnsiTheme="minorEastAsia" w:eastAsiaTheme="minorEastAsia" w:cstheme="minorEastAsia"/>
                <w:color w:val="000000"/>
                <w:kern w:val="0"/>
                <w:sz w:val="24"/>
                <w:szCs w:val="24"/>
              </w:rPr>
              <w:t>同一层级的卡片支持拖动移动，拖动连线串联及删除连接等快捷操作。</w:t>
            </w:r>
          </w:p>
          <w:p w14:paraId="3127BF5F">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4.</w:t>
            </w:r>
            <w:r>
              <w:rPr>
                <w:rFonts w:hint="eastAsia" w:asciiTheme="minorEastAsia" w:hAnsiTheme="minorEastAsia" w:eastAsiaTheme="minorEastAsia" w:cstheme="minorEastAsia"/>
                <w:color w:val="000000"/>
                <w:kern w:val="0"/>
                <w:sz w:val="24"/>
                <w:szCs w:val="24"/>
              </w:rPr>
              <w:t>问题图谱卡片可进行标签以及知识点的关联关系建立；</w:t>
            </w:r>
          </w:p>
          <w:p w14:paraId="1C1A09F3">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pPr>
            <w:r>
              <w:rPr>
                <w:rFonts w:hint="eastAsia" w:asciiTheme="minorEastAsia" w:hAnsiTheme="minorEastAsia" w:eastAsiaTheme="minorEastAsia" w:cstheme="minorEastAsia"/>
                <w:color w:val="000000"/>
                <w:kern w:val="0"/>
                <w:sz w:val="24"/>
                <w:szCs w:val="24"/>
                <w:lang w:val="en-US" w:eastAsia="zh-CN"/>
              </w:rPr>
              <w:t>5.</w:t>
            </w:r>
            <w:r>
              <w:rPr>
                <w:rFonts w:hint="eastAsia" w:asciiTheme="minorEastAsia" w:hAnsiTheme="minorEastAsia" w:eastAsiaTheme="minorEastAsia" w:cstheme="minorEastAsia"/>
                <w:color w:val="000000"/>
                <w:kern w:val="0"/>
                <w:sz w:val="24"/>
                <w:szCs w:val="24"/>
              </w:rPr>
              <w:t>▲支持查看此问题关联的知识点小图谱，基于问题支线进行知识串联，能更好地进行同一问题场景下的知识学习。符合OBE教学理念，支持学生通过问题层面进行知识点的学习。</w:t>
            </w:r>
          </w:p>
        </w:tc>
      </w:tr>
      <w:tr w14:paraId="1A350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51AA8E6">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59366F9">
            <w:pPr>
              <w:keepNext w:val="0"/>
              <w:keepLines w:val="0"/>
              <w:pageBreakBefore w:val="0"/>
              <w:suppressLineNumbers w:val="0"/>
              <w:kinsoku/>
              <w:wordWrap/>
              <w:overflowPunct/>
              <w:topLinePunct w:val="0"/>
              <w:autoSpaceDE/>
              <w:autoSpaceDN/>
              <w:bidi w:val="0"/>
              <w:adjustRightInd/>
              <w:snapToGrid/>
              <w:spacing w:beforeAutospacing="0" w:after="0" w:afterAutospacing="0"/>
              <w:ind w:left="0" w:leftChars="0" w:right="0" w:rightChars="0"/>
              <w:jc w:val="center"/>
              <w:rPr>
                <w:rFonts w:hint="eastAsia" w:asciiTheme="minorEastAsia" w:hAnsiTheme="minorEastAsia" w:eastAsiaTheme="minorEastAsia" w:cstheme="minorEastAsia"/>
                <w:kern w:val="2"/>
                <w:sz w:val="24"/>
                <w:szCs w:val="24"/>
                <w:vertAlign w:val="baseline"/>
                <w:lang w:val="en-US" w:eastAsia="zh-CN" w:bidi="ar-SA"/>
              </w:rPr>
            </w:pPr>
          </w:p>
        </w:tc>
        <w:tc>
          <w:tcPr>
            <w:tcW w:w="1439" w:type="dxa"/>
            <w:tcBorders>
              <w:top w:val="single" w:color="auto" w:sz="4" w:space="0"/>
              <w:left w:val="single" w:color="auto" w:sz="4" w:space="0"/>
              <w:bottom w:val="single" w:color="auto" w:sz="4" w:space="0"/>
              <w:right w:val="single" w:color="auto" w:sz="4" w:space="0"/>
              <w:tl2br w:val="nil"/>
              <w:tr2bl w:val="nil"/>
            </w:tcBorders>
            <w:noWrap w:val="0"/>
            <w:vAlign w:val="top"/>
          </w:tcPr>
          <w:p w14:paraId="6F7E0C0A">
            <w:pPr>
              <w:keepNext w:val="0"/>
              <w:keepLines w:val="0"/>
              <w:pageBreakBefore w:val="0"/>
              <w:suppressLineNumbers w:val="0"/>
              <w:kinsoku/>
              <w:wordWrap/>
              <w:overflowPunct/>
              <w:topLinePunct w:val="0"/>
              <w:autoSpaceDE/>
              <w:autoSpaceDN/>
              <w:bidi w:val="0"/>
              <w:adjustRightInd/>
              <w:snapToGrid/>
              <w:spacing w:beforeAutospacing="0" w:after="0" w:afterAutospacing="0"/>
              <w:ind w:left="0" w:leftChars="0" w:right="0" w:rightChars="0"/>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color w:val="000000"/>
                <w:kern w:val="0"/>
                <w:sz w:val="24"/>
                <w:szCs w:val="24"/>
                <w:lang w:val="en-US" w:eastAsia="zh-CN"/>
              </w:rPr>
              <w:t>问题图谱-教师端</w:t>
            </w: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523D78DB">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1.系统提供对疑难、组合及基本问题的定义能力，允许用户添加问题详情及其与知识点的关联。</w:t>
            </w:r>
          </w:p>
          <w:p w14:paraId="1F81C5C1">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2.用户可根据教学需求，自定义栏目标题和描述，以适应多样化的教学情境。</w:t>
            </w:r>
          </w:p>
          <w:p w14:paraId="1FE2722B">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3.支持通过图谱形式展现问题与知识点的关联，使用户能够直观理解知识间的联系。</w:t>
            </w:r>
          </w:p>
          <w:p w14:paraId="7F7F1497">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4.支持用户对栏目中节点的名称、描述、标签和知识点进行修改，保持内容的时效性和准确性。</w:t>
            </w:r>
          </w:p>
          <w:p w14:paraId="7670B71A">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5.提供两种子级问题关联方式，包括层级连线和板块关联功能，以展示问题间的层级结构。</w:t>
            </w:r>
          </w:p>
          <w:p w14:paraId="327FE582">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6.支持对问题板块的删除和批量删除，提升问题管理的效率。</w:t>
            </w:r>
          </w:p>
          <w:p w14:paraId="40FC74E4">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7.支持批量导入问题数据和一键导出问题图谱数据，简化教学资源的准备工作。</w:t>
            </w:r>
          </w:p>
          <w:p w14:paraId="1862DE1C">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8.提供一键展开或收起问题层级连线的功能，便于用户查看问题结构。</w:t>
            </w:r>
          </w:p>
          <w:p w14:paraId="0513EDF9">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9.支持开启探索模式，模拟学生学习路径，通过问题选择和知识点关联，促进学生的深入思考。</w:t>
            </w:r>
          </w:p>
          <w:p w14:paraId="5127D761">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10.</w:t>
            </w: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color w:val="000000"/>
                <w:kern w:val="0"/>
                <w:sz w:val="24"/>
                <w:szCs w:val="24"/>
                <w:lang w:val="en-US" w:eastAsia="zh-CN"/>
              </w:rPr>
              <w:t>探索模式鼓励用户通过选择问题组来深入思考相关问题集合的知识点，促进用户对问题结构和知识联系的理解。</w:t>
            </w:r>
          </w:p>
          <w:p w14:paraId="38FAA9A1">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11.在探索模式中，用户被引导将核心问题与子问题连接，形成知识网络，并通过提交与标准答案对比，实现自我评估。</w:t>
            </w:r>
          </w:p>
          <w:p w14:paraId="076A862E">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color w:val="000000"/>
                <w:kern w:val="0"/>
                <w:sz w:val="24"/>
                <w:szCs w:val="24"/>
                <w:lang w:val="en-US" w:eastAsia="zh-CN"/>
              </w:rPr>
              <w:t>12.系统支持用户在问题图谱讨论区发起新话题，激发学生参与讨论，通过交流深化理解，促进知识共享。</w:t>
            </w:r>
          </w:p>
        </w:tc>
      </w:tr>
      <w:tr w14:paraId="7B9F9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BFA2C56">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5EA86B6">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tcBorders>
              <w:top w:val="single" w:color="auto" w:sz="4" w:space="0"/>
              <w:left w:val="single" w:color="auto" w:sz="4" w:space="0"/>
              <w:bottom w:val="single" w:color="auto" w:sz="4" w:space="0"/>
              <w:right w:val="single" w:color="auto" w:sz="4" w:space="0"/>
              <w:tl2br w:val="nil"/>
              <w:tr2bl w:val="nil"/>
            </w:tcBorders>
            <w:noWrap w:val="0"/>
            <w:vAlign w:val="top"/>
          </w:tcPr>
          <w:p w14:paraId="3BA4D182">
            <w:pPr>
              <w:keepNext w:val="0"/>
              <w:keepLines w:val="0"/>
              <w:pageBreakBefore w:val="0"/>
              <w:suppressLineNumbers w:val="0"/>
              <w:kinsoku/>
              <w:wordWrap/>
              <w:overflowPunct/>
              <w:topLinePunct w:val="0"/>
              <w:autoSpaceDE/>
              <w:autoSpaceDN/>
              <w:bidi w:val="0"/>
              <w:adjustRightInd/>
              <w:snapToGrid/>
              <w:spacing w:beforeAutospacing="0" w:after="0" w:afterAutospacing="0"/>
              <w:ind w:left="0" w:leftChars="0" w:right="0" w:rightChars="0"/>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问题图谱-学生端</w:t>
            </w: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209EE775">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leftChars="0" w:right="0" w:rightChars="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kern w:val="2"/>
                <w:sz w:val="24"/>
                <w:szCs w:val="24"/>
                <w:vertAlign w:val="baseline"/>
                <w:lang w:val="en-US" w:eastAsia="zh-CN" w:bidi="ar-SA"/>
              </w:rPr>
              <w:t>1.</w:t>
            </w: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kern w:val="2"/>
                <w:sz w:val="24"/>
                <w:szCs w:val="24"/>
                <w:vertAlign w:val="baseline"/>
                <w:lang w:val="en-US" w:eastAsia="zh-CN" w:bidi="ar-SA"/>
              </w:rPr>
              <w:t>系统提供探索模式，使用户能够选择并深入分析多组问题，系统引导用户思考并整合相关联的知识点。</w:t>
            </w:r>
          </w:p>
          <w:p w14:paraId="1D30C18A">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leftChars="0" w:right="0" w:rightChars="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kern w:val="2"/>
                <w:sz w:val="24"/>
                <w:szCs w:val="24"/>
                <w:vertAlign w:val="baseline"/>
                <w:lang w:val="en-US" w:eastAsia="zh-CN" w:bidi="ar-SA"/>
              </w:rPr>
              <w:t>2.支持用户识别并连接主线问题与子级问题，构建问题之间的层级关系，加深对问题网络的理解。</w:t>
            </w:r>
          </w:p>
          <w:p w14:paraId="5A09D346">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leftChars="0" w:right="0" w:rightChars="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kern w:val="2"/>
                <w:sz w:val="24"/>
                <w:szCs w:val="24"/>
                <w:vertAlign w:val="baseline"/>
                <w:lang w:val="en-US" w:eastAsia="zh-CN" w:bidi="ar-SA"/>
              </w:rPr>
              <w:t>3.用户完成问题解答后，可以提交答案获得反馈，系统提供与标准答案的对比，辅助学生发现差异，掌握正确解题方法。</w:t>
            </w:r>
          </w:p>
          <w:p w14:paraId="1016B7FB">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leftChars="0" w:right="0" w:rightChars="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kern w:val="2"/>
                <w:sz w:val="24"/>
                <w:szCs w:val="24"/>
                <w:vertAlign w:val="baseline"/>
                <w:lang w:val="en-US" w:eastAsia="zh-CN" w:bidi="ar-SA"/>
              </w:rPr>
              <w:t>4.用户可在讨论区发起新话题，分享个人见解和疑问，促进知识的交流与共享。</w:t>
            </w:r>
          </w:p>
          <w:p w14:paraId="07939ECD">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leftChars="0" w:right="0" w:rightChars="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kern w:val="2"/>
                <w:sz w:val="24"/>
                <w:szCs w:val="24"/>
                <w:vertAlign w:val="baseline"/>
                <w:lang w:val="en-US" w:eastAsia="zh-CN" w:bidi="ar-SA"/>
              </w:rPr>
              <w:t>5.支持用户对讨论区中的话题进行点赞和回复，增强社区的参与感和互动性，建立积极的学习氛围。</w:t>
            </w:r>
          </w:p>
        </w:tc>
      </w:tr>
      <w:tr w14:paraId="7E0EF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E0489B4">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10CCFC8">
            <w:pPr>
              <w:keepNext w:val="0"/>
              <w:keepLines w:val="0"/>
              <w:pageBreakBefore w:val="0"/>
              <w:suppressLineNumbers w:val="0"/>
              <w:kinsoku/>
              <w:wordWrap/>
              <w:overflowPunct/>
              <w:topLinePunct w:val="0"/>
              <w:autoSpaceDE/>
              <w:autoSpaceDN/>
              <w:bidi w:val="0"/>
              <w:adjustRightInd/>
              <w:snapToGrid/>
              <w:spacing w:beforeAutospacing="0" w:after="0" w:afterAutospacing="0"/>
              <w:ind w:left="0" w:leftChars="0" w:right="0" w:rightChars="0"/>
              <w:jc w:val="center"/>
              <w:rPr>
                <w:rFonts w:hint="eastAsia" w:asciiTheme="minorEastAsia" w:hAnsiTheme="minorEastAsia" w:eastAsiaTheme="minorEastAsia" w:cstheme="minorEastAsia"/>
                <w:kern w:val="2"/>
                <w:sz w:val="24"/>
                <w:szCs w:val="24"/>
                <w:vertAlign w:val="baseline"/>
                <w:lang w:val="en-US" w:eastAsia="zh-CN" w:bidi="ar-SA"/>
              </w:rPr>
            </w:pPr>
          </w:p>
        </w:tc>
        <w:tc>
          <w:tcPr>
            <w:tcW w:w="1439" w:type="dxa"/>
            <w:tcBorders>
              <w:top w:val="single" w:color="auto" w:sz="4" w:space="0"/>
              <w:left w:val="single" w:color="auto" w:sz="4" w:space="0"/>
              <w:bottom w:val="single" w:color="auto" w:sz="4" w:space="0"/>
              <w:right w:val="single" w:color="auto" w:sz="4" w:space="0"/>
              <w:tl2br w:val="nil"/>
              <w:tr2bl w:val="nil"/>
            </w:tcBorders>
            <w:noWrap w:val="0"/>
            <w:vAlign w:val="top"/>
          </w:tcPr>
          <w:p w14:paraId="2FB219B7">
            <w:pPr>
              <w:keepNext w:val="0"/>
              <w:keepLines w:val="0"/>
              <w:pageBreakBefore w:val="0"/>
              <w:suppressLineNumbers w:val="0"/>
              <w:kinsoku/>
              <w:wordWrap/>
              <w:overflowPunct/>
              <w:topLinePunct w:val="0"/>
              <w:autoSpaceDE/>
              <w:autoSpaceDN/>
              <w:bidi w:val="0"/>
              <w:adjustRightInd/>
              <w:snapToGrid/>
              <w:spacing w:beforeAutospacing="0" w:after="0" w:afterAutospacing="0"/>
              <w:ind w:left="0" w:leftChars="0" w:right="0" w:rightChars="0"/>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目标图谱--教师端</w:t>
            </w: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5D899C99">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leftChars="0" w:right="0" w:rightChars="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1.系统允许根据不同班级特点定制课程目标，以满足特定教学需求。</w:t>
            </w:r>
          </w:p>
          <w:p w14:paraId="14E91E2F">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leftChars="0" w:right="0" w:rightChars="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2.课程目标标签系统支持为课程目标添加标签，包括自定义选项，便于目标的分类和识别。</w:t>
            </w:r>
          </w:p>
          <w:p w14:paraId="3EF733F6">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leftChars="0" w:right="0" w:rightChars="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3.支持对课程目标进行详细说明，以确保目标清晰明确。</w:t>
            </w:r>
          </w:p>
          <w:p w14:paraId="6B0EE73E">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leftChars="0" w:right="0" w:rightChars="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4.支持对课程目标名称、课程目标标签、描述进行修改，保持课程内容的准确性和时效性。</w:t>
            </w:r>
          </w:p>
          <w:p w14:paraId="1C87C973">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leftChars="0" w:right="0" w:rightChars="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5.支持检索课程目标标签以及课程目标名称，使用户能够快速找到特定目标。</w:t>
            </w:r>
          </w:p>
          <w:p w14:paraId="6BBCE08E">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leftChars="0" w:right="0" w:rightChars="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6.支持课程目标与知识点进行关联，以展示目标与教学内容的直接联系。</w:t>
            </w:r>
          </w:p>
          <w:p w14:paraId="1305D665">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leftChars="0" w:right="0" w:rightChars="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7.支持以柱状图展示课程目标关联知识点的个数，提供直观的统计信息。</w:t>
            </w:r>
          </w:p>
          <w:p w14:paraId="160A12A6">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leftChars="0" w:right="0" w:rightChars="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8.支持以列表形式展示课程目标总数、课程目标名称、课程目标说明、课程目标标签以及所关联的知识点个数，方便用户快速浏览和了解。</w:t>
            </w:r>
          </w:p>
          <w:p w14:paraId="7C0369BA">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leftChars="0" w:right="0" w:rightChars="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9.支持以图谱形式展示每个课程目标所关联的知识点情况，增强信息的可视化效果。</w:t>
            </w:r>
          </w:p>
          <w:p w14:paraId="1524F6B4">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leftChars="0" w:right="0" w:rightChars="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10.提供一键同步功能，允许快速复制特定班级的课程目标和知识点关联，提高教学管理的效率。</w:t>
            </w:r>
          </w:p>
        </w:tc>
      </w:tr>
      <w:tr w14:paraId="1CF14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70BE024">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1F4A1AA">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tcBorders>
              <w:top w:val="single" w:color="auto" w:sz="4" w:space="0"/>
              <w:left w:val="single" w:color="auto" w:sz="4" w:space="0"/>
              <w:bottom w:val="single" w:color="auto" w:sz="4" w:space="0"/>
              <w:right w:val="single" w:color="auto" w:sz="4" w:space="0"/>
              <w:tl2br w:val="nil"/>
              <w:tr2bl w:val="nil"/>
            </w:tcBorders>
            <w:noWrap w:val="0"/>
            <w:vAlign w:val="top"/>
          </w:tcPr>
          <w:p w14:paraId="355BA469">
            <w:pPr>
              <w:keepNext w:val="0"/>
              <w:keepLines w:val="0"/>
              <w:pageBreakBefore w:val="0"/>
              <w:suppressLineNumbers w:val="0"/>
              <w:kinsoku/>
              <w:wordWrap/>
              <w:overflowPunct/>
              <w:topLinePunct w:val="0"/>
              <w:autoSpaceDE/>
              <w:autoSpaceDN/>
              <w:bidi w:val="0"/>
              <w:adjustRightInd/>
              <w:snapToGrid/>
              <w:spacing w:beforeAutospacing="0" w:after="0" w:afterAutospacing="0"/>
              <w:ind w:left="0" w:leftChars="0" w:right="0" w:rightChars="0"/>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目标图谱-学生端</w:t>
            </w: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7B1E6C91">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leftChars="0" w:right="0" w:rightChars="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1.支持通过柱状图形式直观展示课程目标与知识点的关联数量，提供清晰的统计视角。</w:t>
            </w:r>
          </w:p>
          <w:p w14:paraId="3992D65E">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leftChars="0" w:right="0" w:rightChars="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2.支持以列表形式综合呈现课程目标的关键信息，包括总数、名称、说明、标签及知识点关联数，便于用户快速把握课程结构。</w:t>
            </w:r>
          </w:p>
          <w:p w14:paraId="7B7AE4A4">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leftChars="0" w:right="0" w:rightChars="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3.支持利用图谱形式展现课程目标与知识点之间的关联，增强信息的视觉呈现和认知深度。</w:t>
            </w:r>
          </w:p>
        </w:tc>
      </w:tr>
      <w:tr w14:paraId="10F0C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4EE18AB">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843E984">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tcBorders>
              <w:top w:val="single" w:color="auto" w:sz="4" w:space="0"/>
              <w:left w:val="single" w:color="auto" w:sz="4" w:space="0"/>
              <w:bottom w:val="single" w:color="auto" w:sz="4" w:space="0"/>
              <w:right w:val="single" w:color="auto" w:sz="4" w:space="0"/>
              <w:tl2br w:val="nil"/>
              <w:tr2bl w:val="nil"/>
            </w:tcBorders>
            <w:noWrap w:val="0"/>
            <w:vAlign w:val="top"/>
          </w:tcPr>
          <w:p w14:paraId="7188830C">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专业图谱分析</w:t>
            </w: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7995BC77">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pP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1.支持进行专业图谱分析，在知识点分析中进行重点分析、难点分析、考点分析、思政知识点分析、课程关联度分析、知识点重合度分析。</w:t>
            </w:r>
          </w:p>
          <w:p w14:paraId="49812F60">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pP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2.支持体现课程知识点总体重合度以及课程间重合度。</w:t>
            </w:r>
          </w:p>
        </w:tc>
      </w:tr>
      <w:tr w14:paraId="4607C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F09C5DA">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B82605F">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tcBorders>
              <w:top w:val="single" w:color="auto" w:sz="4" w:space="0"/>
              <w:left w:val="single" w:color="auto" w:sz="4" w:space="0"/>
              <w:bottom w:val="single" w:color="auto" w:sz="4" w:space="0"/>
              <w:right w:val="single" w:color="auto" w:sz="4" w:space="0"/>
              <w:tl2br w:val="nil"/>
              <w:tr2bl w:val="nil"/>
            </w:tcBorders>
            <w:noWrap w:val="0"/>
            <w:vAlign w:val="top"/>
          </w:tcPr>
          <w:p w14:paraId="336CBBD9">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专业图谱构建方式</w:t>
            </w: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5E8885E7">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pP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1.支持对接教务课程数据或由单位管理员手动添加课程数据。</w:t>
            </w:r>
          </w:p>
          <w:p w14:paraId="5414A66F">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pP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2.负责人可在个人空间管理负责课程目标。根据学校培养方案设定培养目标、专业毕业管理要求，支持按专业、年级管理毕业要求。</w:t>
            </w:r>
          </w:p>
          <w:p w14:paraId="08C101D8">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pP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3.提供丰富文本编辑器，方便添加学校培养方案。支持导入、导出、复制专业信息。</w:t>
            </w:r>
          </w:p>
          <w:p w14:paraId="70310777">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pP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4.专业课程管理用于维护专业与课程、目标与毕业要求的关联关系。支持添加、编辑、删除专业课程和目标。管理页面可关联课程目标和毕业要求指标点。</w:t>
            </w:r>
          </w:p>
          <w:p w14:paraId="3F9C5DE7">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pP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5.毕业要求关系表展示支持根据“课程与专业要求关系设置方式”展示不同的专业完整的达成度关系设置页面。</w:t>
            </w:r>
          </w:p>
          <w:p w14:paraId="47888D3F">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pP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6.支持查看专业图谱。在专业图谱页面可以清晰的展示出毕业要求、毕业要求指标点、课程、课程目标等之间的关联关系。</w:t>
            </w:r>
          </w:p>
        </w:tc>
      </w:tr>
      <w:tr w14:paraId="12B2D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208E101">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D79D446">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tcBorders>
              <w:top w:val="single" w:color="auto" w:sz="4" w:space="0"/>
              <w:left w:val="single" w:color="auto" w:sz="4" w:space="0"/>
              <w:bottom w:val="single" w:color="auto" w:sz="4" w:space="0"/>
              <w:right w:val="single" w:color="auto" w:sz="4" w:space="0"/>
              <w:tl2br w:val="nil"/>
              <w:tr2bl w:val="nil"/>
            </w:tcBorders>
            <w:noWrap w:val="0"/>
            <w:vAlign w:val="top"/>
          </w:tcPr>
          <w:p w14:paraId="237C5892">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bookmarkStart w:id="89" w:name="_Toc849187926"/>
            <w:bookmarkStart w:id="90" w:name="_Toc291548513"/>
            <w:r>
              <w:rPr>
                <w:rFonts w:hint="eastAsia" w:asciiTheme="minorEastAsia" w:hAnsiTheme="minorEastAsia" w:eastAsiaTheme="minorEastAsia" w:cstheme="minorEastAsia"/>
                <w:sz w:val="24"/>
                <w:szCs w:val="24"/>
                <w:vertAlign w:val="baseline"/>
                <w:lang w:val="en-US" w:eastAsia="zh-CN"/>
              </w:rPr>
              <w:t>专业达成度</w:t>
            </w:r>
            <w:bookmarkEnd w:id="89"/>
            <w:bookmarkEnd w:id="90"/>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6EA613F5">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pP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1.</w:t>
            </w: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专业达成度统计支持按照专业分析，可以查看到这个年级-专业的能力达成度目标、学生平均达成度目标、达标率、以及各专业能力点的统计表。</w:t>
            </w:r>
          </w:p>
          <w:p w14:paraId="0BFE88AD">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pP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2.展示专业下毕业要求及指标点、专业下考核学生数量、学生达标率、毕业要求达标率等。</w:t>
            </w:r>
          </w:p>
          <w:p w14:paraId="52D0CE6D">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pP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3.支持查看具体课程的达成度分析情况。</w:t>
            </w:r>
          </w:p>
          <w:p w14:paraId="57436124">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pP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4.展示专业下所有考核学生的达成度情况，包括各毕业要求或毕业要求指标点的达成度和学生毕业要求达成度。</w:t>
            </w:r>
          </w:p>
        </w:tc>
      </w:tr>
      <w:tr w14:paraId="720A3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4364156">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CD6C35C">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tcBorders>
              <w:top w:val="single" w:color="auto" w:sz="4" w:space="0"/>
              <w:left w:val="single" w:color="auto" w:sz="4" w:space="0"/>
              <w:bottom w:val="single" w:color="auto" w:sz="4" w:space="0"/>
              <w:right w:val="single" w:color="auto" w:sz="4" w:space="0"/>
              <w:tl2br w:val="nil"/>
              <w:tr2bl w:val="nil"/>
            </w:tcBorders>
            <w:noWrap w:val="0"/>
            <w:vAlign w:val="top"/>
          </w:tcPr>
          <w:p w14:paraId="3314FA3C">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专业情况分析</w:t>
            </w: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45DCAF61">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pP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1.完整度分析：涵盖未设置毕业要求指标点、支撑课程和课程目标的情况。</w:t>
            </w:r>
          </w:p>
          <w:p w14:paraId="7028894F">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pP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2.重复度分析：重复的毕业要求指标点和课程目标个数。</w:t>
            </w:r>
          </w:p>
          <w:p w14:paraId="52764581">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pP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3.专业对比分析：显示当前专业与其他专业的相同点，如毕业要求、指标点、课程目标等，为学校提供优化专业设置的参考。</w:t>
            </w:r>
          </w:p>
        </w:tc>
      </w:tr>
      <w:tr w14:paraId="2C0FE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4"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4767322">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84515AD">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tcBorders>
              <w:top w:val="single" w:color="auto" w:sz="4" w:space="0"/>
              <w:left w:val="single" w:color="auto" w:sz="4" w:space="0"/>
              <w:bottom w:val="single" w:color="auto" w:sz="4" w:space="0"/>
              <w:right w:val="single" w:color="auto" w:sz="4" w:space="0"/>
              <w:tl2br w:val="nil"/>
              <w:tr2bl w:val="nil"/>
            </w:tcBorders>
            <w:noWrap w:val="0"/>
            <w:vAlign w:val="top"/>
          </w:tcPr>
          <w:p w14:paraId="23F7FA3C">
            <w:pPr>
              <w:keepNext w:val="0"/>
              <w:keepLines w:val="0"/>
              <w:pageBreakBefore w:val="0"/>
              <w:suppressLineNumbers w:val="0"/>
              <w:kinsoku/>
              <w:wordWrap/>
              <w:overflowPunct/>
              <w:topLinePunct w:val="0"/>
              <w:autoSpaceDE/>
              <w:autoSpaceDN/>
              <w:bidi w:val="0"/>
              <w:adjustRightInd/>
              <w:snapToGrid/>
              <w:spacing w:beforeAutospacing="0" w:after="0" w:afterAutospacing="0"/>
              <w:ind w:left="0" w:leftChars="0" w:right="0" w:rightChars="0"/>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专业图谱的管理</w:t>
            </w: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56A3A7BF">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pP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1.支持在不同课程间建立知识点的相互关联，通过这种关联可以构建反映专业全貌的图谱</w:t>
            </w:r>
          </w:p>
          <w:p w14:paraId="37EBF47C">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pP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2.学生可以利用专业图谱进行跨课程的知识探索，系统会跟踪并记录他们的学习轨迹和数据</w:t>
            </w:r>
          </w:p>
          <w:p w14:paraId="0193800E">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pP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3.</w:t>
            </w: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系统与教务系统相结合，使教师能够根据教务课程的内容编辑知识图谱，实现教学资源的有效整合，并开展个性化的教学活动</w:t>
            </w:r>
          </w:p>
          <w:p w14:paraId="6FB1B8C3">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pP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4.允许教师在自建课程中进行跨课程的知识点关联，从而生成与专业相关的综合图谱</w:t>
            </w:r>
          </w:p>
          <w:p w14:paraId="76E54FD6">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pP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5.在构建图谱时，教师可以将其课程与其他院系的专业课程进行关联，实现院系内部课程知识的互联互通</w:t>
            </w:r>
          </w:p>
          <w:p w14:paraId="6486220D">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pP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6.系统提供对专业下所有课程的知识图谱进行综合展示的功能，揭示各知识点间的相互联系</w:t>
            </w:r>
          </w:p>
        </w:tc>
      </w:tr>
      <w:tr w14:paraId="4E298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06DAE58B">
            <w:pPr>
              <w:keepNext w:val="0"/>
              <w:keepLines w:val="0"/>
              <w:pageBreakBefore w:val="0"/>
              <w:suppressLineNumbers w:val="0"/>
              <w:kinsoku/>
              <w:wordWrap/>
              <w:overflowPunct/>
              <w:topLinePunct w:val="0"/>
              <w:autoSpaceDE/>
              <w:autoSpaceDN/>
              <w:bidi w:val="0"/>
              <w:adjustRightInd/>
              <w:snapToGrid/>
              <w:spacing w:beforeAutospacing="0" w:after="0" w:afterAutospacing="0"/>
              <w:ind w:left="0" w:leftChars="0" w:right="0" w:rightChars="0"/>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kern w:val="2"/>
                <w:sz w:val="24"/>
                <w:szCs w:val="24"/>
                <w:vertAlign w:val="baseline"/>
                <w:lang w:val="en-US" w:eastAsia="zh-CN" w:bidi="ar-SA"/>
              </w:rPr>
              <w:t>5</w:t>
            </w:r>
          </w:p>
        </w:tc>
        <w:tc>
          <w:tcPr>
            <w:tcW w:w="962"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276A6962">
            <w:pPr>
              <w:keepNext w:val="0"/>
              <w:keepLines w:val="0"/>
              <w:pageBreakBefore w:val="0"/>
              <w:suppressLineNumbers w:val="0"/>
              <w:kinsoku/>
              <w:wordWrap/>
              <w:overflowPunct/>
              <w:topLinePunct w:val="0"/>
              <w:autoSpaceDE/>
              <w:autoSpaceDN/>
              <w:bidi w:val="0"/>
              <w:adjustRightInd/>
              <w:snapToGrid/>
              <w:spacing w:beforeAutospacing="0" w:after="0" w:afterAutospacing="0"/>
              <w:ind w:left="0" w:leftChars="0" w:right="0" w:rightChars="0"/>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知识图谱构建和管理</w:t>
            </w:r>
          </w:p>
        </w:tc>
        <w:tc>
          <w:tcPr>
            <w:tcW w:w="1439" w:type="dxa"/>
            <w:tcBorders>
              <w:top w:val="single" w:color="auto" w:sz="4" w:space="0"/>
              <w:left w:val="single" w:color="auto" w:sz="4" w:space="0"/>
              <w:bottom w:val="single" w:color="auto" w:sz="4" w:space="0"/>
              <w:right w:val="single" w:color="auto" w:sz="4" w:space="0"/>
              <w:tl2br w:val="nil"/>
              <w:tr2bl w:val="nil"/>
            </w:tcBorders>
            <w:noWrap w:val="0"/>
            <w:vAlign w:val="top"/>
          </w:tcPr>
          <w:p w14:paraId="531CDD6F">
            <w:pPr>
              <w:keepNext w:val="0"/>
              <w:keepLines w:val="0"/>
              <w:pageBreakBefore w:val="0"/>
              <w:suppressLineNumbers w:val="0"/>
              <w:kinsoku/>
              <w:wordWrap/>
              <w:overflowPunct/>
              <w:topLinePunct w:val="0"/>
              <w:autoSpaceDE/>
              <w:autoSpaceDN/>
              <w:bidi w:val="0"/>
              <w:adjustRightInd/>
              <w:snapToGrid/>
              <w:spacing w:beforeAutospacing="0" w:after="0" w:afterAutospacing="0"/>
              <w:ind w:left="0" w:leftChars="0" w:right="0" w:rightChars="0"/>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color w:val="000000"/>
                <w:kern w:val="0"/>
                <w:sz w:val="24"/>
                <w:szCs w:val="24"/>
              </w:rPr>
              <w:t>知识图谱展示</w:t>
            </w: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0002B811">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1</w:t>
            </w:r>
            <w:r>
              <w:rPr>
                <w:rFonts w:hint="eastAsia" w:asciiTheme="minorEastAsia" w:hAnsiTheme="minorEastAsia" w:eastAsiaTheme="minorEastAsia" w:cstheme="minorEastAsia"/>
                <w:color w:val="000000"/>
                <w:kern w:val="0"/>
                <w:sz w:val="24"/>
                <w:szCs w:val="24"/>
              </w:rPr>
              <w:t>、支持展示本专业下课程知识图谱，导航模式支持展示每门课程图谱建设情况。</w:t>
            </w:r>
          </w:p>
          <w:p w14:paraId="4B23FDD7">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leftChars="0" w:right="0" w:rightChars="0"/>
              <w:jc w:val="left"/>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pPr>
            <w:r>
              <w:rPr>
                <w:rFonts w:hint="eastAsia" w:asciiTheme="minorEastAsia" w:hAnsiTheme="minorEastAsia" w:eastAsiaTheme="minorEastAsia" w:cstheme="minorEastAsia"/>
                <w:color w:val="000000"/>
                <w:kern w:val="0"/>
                <w:sz w:val="24"/>
                <w:szCs w:val="24"/>
                <w:lang w:val="en-US" w:eastAsia="zh-CN"/>
              </w:rPr>
              <w:t>2</w:t>
            </w:r>
            <w:r>
              <w:rPr>
                <w:rFonts w:hint="eastAsia" w:asciiTheme="minorEastAsia" w:hAnsiTheme="minorEastAsia" w:eastAsiaTheme="minorEastAsia" w:cstheme="minorEastAsia"/>
                <w:color w:val="000000"/>
                <w:kern w:val="0"/>
                <w:sz w:val="24"/>
                <w:szCs w:val="24"/>
              </w:rPr>
              <w:t>、基础模式展示本专业下图谱集合展示样式。</w:t>
            </w:r>
          </w:p>
        </w:tc>
      </w:tr>
      <w:tr w14:paraId="6F4F2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3370C00">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B40B3EB">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27DE2504">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知识图谱框架</w:t>
            </w: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3ED5142E">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1.支持搭建以课程结构为核心的知识体系，并通过集中化的管理界面实现信息的融合与维护</w:t>
            </w:r>
          </w:p>
        </w:tc>
      </w:tr>
      <w:tr w14:paraId="4D60A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314B0A0">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4B12139">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19F4A27">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460A1E52">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2.支持基于教学目的和核心知识点构建目标网络，确保对该网络结构进行全面的监管</w:t>
            </w:r>
          </w:p>
        </w:tc>
      </w:tr>
      <w:tr w14:paraId="4769C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E856D1D">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A67D8C6">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54D662A">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4E70E054">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3.支持构建以问题解决和知识点掌握为核心的问题解决框架，并对其进行详尽的架构管理</w:t>
            </w:r>
          </w:p>
        </w:tc>
      </w:tr>
      <w:tr w14:paraId="61C48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8FC19A7">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F227533">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E44EDB4">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0494CC1E">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4.支持基于课程思政的标签化知识点，自动生成具有象征意义的课程思政图谱</w:t>
            </w:r>
          </w:p>
        </w:tc>
      </w:tr>
      <w:tr w14:paraId="4911D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507DBFB">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693871B">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3BF2E97">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07A4573A">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5.系统默认采用知识点路径、图谱模式以及知识森林展示分类和知识点，支持用户根据不同的业务需求灵活选择展示模式</w:t>
            </w:r>
          </w:p>
        </w:tc>
      </w:tr>
      <w:tr w14:paraId="0704A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01E5337">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1C3283A">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F267F60">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50BD6487">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pP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6.支持搭建自定义图谱满足不同场景教学需求</w:t>
            </w:r>
          </w:p>
        </w:tc>
      </w:tr>
      <w:tr w14:paraId="64937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EB86051">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A12826B">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F682C22">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5109D20A">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7.支持对教学课程的基本属性、特性和负责人信息进行常规的数据库管理操作，包括增加、删除、修改和查询</w:t>
            </w:r>
          </w:p>
        </w:tc>
      </w:tr>
      <w:tr w14:paraId="778D4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09835AE">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8A6642F">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AAC6C6C">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19AB425E">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8.允许为在线课程和传统教学课程分别建立各自的知识图谱，以便于集中化管理</w:t>
            </w:r>
          </w:p>
        </w:tc>
      </w:tr>
      <w:tr w14:paraId="4BC57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8EFBC41">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BF62160">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5093BB1">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6E02A51B">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9.支持为在线和传统教学课程分别创建独立的教学目标图谱，以便于集中化管理</w:t>
            </w:r>
          </w:p>
        </w:tc>
      </w:tr>
      <w:tr w14:paraId="6B944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F09EF1A">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542159E">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09C32545">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课程知识图谱构建</w:t>
            </w: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3A140D3D">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1.引入分类/知识点概念，允许用户界定课程的分类和基本知识点，其中分类可以进一步划分为更细致的子分类和子知识点，这些知识点构成了知识体系的基础构件</w:t>
            </w:r>
          </w:p>
        </w:tc>
      </w:tr>
      <w:tr w14:paraId="4CB06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772F276">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11222B0">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7223A68">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5F7B301B">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允许用户能够在广泛的类别和概念间搭建起多层次的联系，形成一个互联的知识网络，系统自动在这些层级之间编织联系</w:t>
            </w:r>
          </w:p>
        </w:tc>
      </w:tr>
      <w:tr w14:paraId="215DC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81D1439">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3EC7B83">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A538B33">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31C515EC">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w:t>
            </w:r>
            <w:r>
              <w:rPr>
                <w:rFonts w:hint="eastAsia" w:asciiTheme="minorEastAsia" w:hAnsiTheme="minorEastAsia" w:eastAsiaTheme="minorEastAsia" w:cstheme="minorEastAsia"/>
                <w:b w:val="0"/>
                <w:bCs w:val="0"/>
                <w:sz w:val="24"/>
                <w:szCs w:val="24"/>
                <w:vertAlign w:val="baseline"/>
                <w:lang w:val="en-US" w:eastAsia="zh-CN"/>
              </w:rPr>
              <w:t>支持用户搭建节点间自定义关系，从而创建一个灵活、动态的教育活动网络，满足日常教学活动的需求，增强教学互动性，促进知识的深入理解和应用</w:t>
            </w:r>
          </w:p>
        </w:tc>
      </w:tr>
      <w:tr w14:paraId="50C6D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B915F34">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5240B6F">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E29139F">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31828B34">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4.</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采用前沿的可视化手段，动态地构建知识图谱，将概念间的层级关系以直观的方式展现出来，使知识结构一目了然</w:t>
            </w:r>
          </w:p>
        </w:tc>
      </w:tr>
      <w:tr w14:paraId="544BB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9E7B877">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95B5254">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56A22D8">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0B0085EC">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5.</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提供多样化的知识图谱构建工具，包括手工输入和大规模数据导入，允许用户深入编辑概念属性，以及调整它们在知识体系中的位置</w:t>
            </w:r>
          </w:p>
        </w:tc>
      </w:tr>
      <w:tr w14:paraId="67868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9BBB94A">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AD07DBC">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6122607">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39116F9A">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6.</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支持多种数据导入方式，从智能解析到模板化输入，再到特定格式的转换和跨课程数据同步，以及章节内容的直接集成</w:t>
            </w:r>
          </w:p>
        </w:tc>
      </w:tr>
      <w:tr w14:paraId="758C1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4E71CDA">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A337C3D">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4917B5C">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0ED3273B">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7.</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上传教学资料，系统智能分析并构建知识图谱，简化用户操作</w:t>
            </w:r>
          </w:p>
        </w:tc>
      </w:tr>
      <w:tr w14:paraId="70A88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F2D0C36">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CC6B299">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71FACBE">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7496DFFC">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8.</w:t>
            </w:r>
            <w:r>
              <w:rPr>
                <w:rFonts w:hint="eastAsia" w:asciiTheme="minorEastAsia" w:hAnsiTheme="minorEastAsia" w:eastAsiaTheme="minorEastAsia" w:cstheme="minorEastAsia"/>
                <w:i w:val="0"/>
                <w:iCs w:val="0"/>
                <w:caps w:val="0"/>
                <w:color w:val="auto"/>
                <w:spacing w:val="10"/>
                <w:kern w:val="0"/>
                <w:sz w:val="24"/>
                <w:szCs w:val="24"/>
                <w:shd w:val="clear" w:color="auto" w:fill="FFFFFF"/>
                <w:lang w:val="en-US" w:eastAsia="zh-CN" w:bidi="ar"/>
              </w:rPr>
              <w:t>支持将思维导图文件转化为知识图谱，同时保留导出原有格式的能力，增强了文件的互操作性</w:t>
            </w:r>
          </w:p>
        </w:tc>
      </w:tr>
      <w:tr w14:paraId="63E5B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DF8306B">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0CB9F98">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B91F247">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72F01DA2">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9.</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实现教学课程与网络课程间的知识图谱同步，便于资源共享和教学内容的一致性</w:t>
            </w:r>
          </w:p>
        </w:tc>
      </w:tr>
      <w:tr w14:paraId="477D3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37F4233">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1809083">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F41E6A9">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2DFFDEBB">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10.</w:t>
            </w: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sz w:val="24"/>
                <w:szCs w:val="24"/>
                <w:vertAlign w:val="baseline"/>
                <w:lang w:val="en-US" w:eastAsia="zh-CN"/>
              </w:rPr>
              <w:t>支持</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用户将课程章节迅速转化为知识图谱，并实现与教学资源的关联</w:t>
            </w:r>
          </w:p>
        </w:tc>
      </w:tr>
      <w:tr w14:paraId="674E7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4C56E4F">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DF472CB">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57D89B8">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624A8B3D">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11.允许用户将课程章节迅速转化为知识图谱，并实现与教学资源的关联</w:t>
            </w:r>
          </w:p>
        </w:tc>
      </w:tr>
      <w:tr w14:paraId="5B89F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134DFAD">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6285E6C">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7D35A28">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723E925F">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12.</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提供富文本编辑器，支持用户添加详尽的说明和多媒体材料，同时能够调整概念的命名和描述，以增强信息的丰富性</w:t>
            </w:r>
          </w:p>
        </w:tc>
      </w:tr>
      <w:tr w14:paraId="60BC5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01F3C9E">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E2E413D">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F2D3779">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026D3227">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13.支持</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根据课程内容的更新或需求变化，灵活修改分类名称，以及为分类添加具有指导性的描述</w:t>
            </w:r>
          </w:p>
        </w:tc>
      </w:tr>
      <w:tr w14:paraId="3A2BE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355BE1F">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ACB3AFC">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99EB618">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620EB595">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14.</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支持用户将单个或多个知识点在知识结构中上下移动，以优化教学结构</w:t>
            </w:r>
          </w:p>
        </w:tc>
      </w:tr>
      <w:tr w14:paraId="7F8E7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F8779EE">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1276BFC">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CA25F2E">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1335F36D">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15.</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提供批量操作功能，提高知识点或分类在层级管理中的效率</w:t>
            </w:r>
          </w:p>
        </w:tc>
      </w:tr>
      <w:tr w14:paraId="7D4E1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8A46023">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2664386">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2BDDA21">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2955312C">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16.</w:t>
            </w: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与教学平台紧密结合，允许通过现有课程章节快速创建章节图谱，简化教学资源的组织</w:t>
            </w:r>
          </w:p>
        </w:tc>
      </w:tr>
      <w:tr w14:paraId="6E487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A67B292">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3006FB2">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4D9535C">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4848D0DD">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17.</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提供门户系统，通过模板展示课程信息、知识图谱、关系网络等，实现教学资源的可视化和统计分析，增强教学平台的功能性</w:t>
            </w:r>
          </w:p>
        </w:tc>
      </w:tr>
      <w:tr w14:paraId="0A637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8710093">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152C2E8">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1C88D13B">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课程知识图谱管理</w:t>
            </w: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2138BC3F">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1.</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系统允许定义不同分类或知识点之间的先后次序和连接方式，以映射它们之间的逻辑关系</w:t>
            </w:r>
          </w:p>
        </w:tc>
      </w:tr>
      <w:tr w14:paraId="654D2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CEDF6FB">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DEC0A06">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4C05AB2">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11BB464F">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2.允许附加标签以增强知识点的分类和识别度，包括但不限于重点、难点以及考点等标签，同时支持用户自定义标签</w:t>
            </w:r>
          </w:p>
        </w:tc>
      </w:tr>
      <w:tr w14:paraId="1EBFA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8FCC8B1">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57FFA80">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7B7FB0C">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450958B4">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3.知识点被赋予多种分类属性，如事实性、概念性、程序性、元认知等，以支持更细致地管理和理解</w:t>
            </w:r>
          </w:p>
        </w:tc>
      </w:tr>
      <w:tr w14:paraId="3E566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D815866">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294DE92">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65967CD">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7AA87572">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5.系统支持对教务课程的知识图谱进行审核，确保引用的准确性，并通过记录引用次数来追踪使用情况</w:t>
            </w:r>
          </w:p>
        </w:tc>
      </w:tr>
      <w:tr w14:paraId="1F8A2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32F584D">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D0A303A">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507F7DD">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48F6F4E7">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6.支持设置知识点的关联关系，不仅限于本课程内部，还包括跨课程的连接，促进不同课程间的知识和资源的整合，实现跨学科学习</w:t>
            </w:r>
          </w:p>
        </w:tc>
      </w:tr>
      <w:tr w14:paraId="502DE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D155255">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AD35E6D">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D28F855">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47DD450F">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pP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7.</w:t>
            </w: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支持建立搭建节点间自定义关系，编织出一个灵活、动态的教育活动网络，这样的网络不仅能够适应各种教学场景，还能够根据学习者的需求和背景进行个性化调整</w:t>
            </w:r>
          </w:p>
        </w:tc>
      </w:tr>
      <w:tr w14:paraId="477B3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306BCF8">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F27A1BB">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77FFAAE">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63743B3E">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8.</w:t>
            </w: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支持用户通过点击跨课程知识点，直接跳转到相关微课，以快速获取和学习特定内容</w:t>
            </w:r>
          </w:p>
        </w:tc>
      </w:tr>
      <w:tr w14:paraId="574CC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6273E607">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6</w:t>
            </w:r>
          </w:p>
        </w:tc>
        <w:tc>
          <w:tcPr>
            <w:tcW w:w="962"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7DB074D5">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课程知识图谱展示</w:t>
            </w:r>
          </w:p>
        </w:tc>
        <w:tc>
          <w:tcPr>
            <w:tcW w:w="1439"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0CF90CA1">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知识图谱</w:t>
            </w: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725E838E">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pP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1.</w:t>
            </w:r>
            <w:r>
              <w:rPr>
                <w:rFonts w:hint="eastAsia" w:asciiTheme="minorEastAsia" w:hAnsiTheme="minorEastAsia" w:eastAsiaTheme="minorEastAsia" w:cstheme="minorEastAsia"/>
                <w:i w:val="0"/>
                <w:iCs w:val="0"/>
                <w:caps w:val="0"/>
                <w:color w:val="060607"/>
                <w:spacing w:val="5"/>
                <w:kern w:val="0"/>
                <w:sz w:val="24"/>
                <w:szCs w:val="24"/>
                <w:shd w:val="clear" w:color="auto" w:fill="FFFFFF"/>
                <w:lang w:val="en-US" w:eastAsia="zh-CN" w:bidi="ar"/>
              </w:rPr>
              <w:t>系统提供分类下知识点的学习路径展示，引导用户有序学习，清晰梳理学习逻辑</w:t>
            </w:r>
          </w:p>
        </w:tc>
      </w:tr>
      <w:tr w14:paraId="10B76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6FE1211">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C65D832">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7B6CCD0">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3DE407D7">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pP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2.</w:t>
            </w:r>
            <w:r>
              <w:rPr>
                <w:rFonts w:hint="eastAsia" w:asciiTheme="minorEastAsia" w:hAnsiTheme="minorEastAsia" w:eastAsiaTheme="minorEastAsia" w:cstheme="minorEastAsia"/>
                <w:i w:val="0"/>
                <w:iCs w:val="0"/>
                <w:caps w:val="0"/>
                <w:color w:val="060607"/>
                <w:spacing w:val="5"/>
                <w:kern w:val="0"/>
                <w:sz w:val="24"/>
                <w:szCs w:val="24"/>
                <w:shd w:val="clear" w:color="auto" w:fill="FFFFFF"/>
                <w:lang w:val="en-US" w:eastAsia="zh-CN" w:bidi="ar"/>
              </w:rPr>
              <w:t>展示每个分类下的知识点总数，辅助用户构建和理解整体知识框架</w:t>
            </w:r>
          </w:p>
        </w:tc>
      </w:tr>
      <w:tr w14:paraId="4D729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27E3DDF">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5FA62D9">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4DC5DF9">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1B59C73D">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pP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3.</w:t>
            </w:r>
            <w:r>
              <w:rPr>
                <w:rFonts w:hint="eastAsia" w:asciiTheme="minorEastAsia" w:hAnsiTheme="minorEastAsia" w:eastAsiaTheme="minorEastAsia" w:cstheme="minorEastAsia"/>
                <w:i w:val="0"/>
                <w:iCs w:val="0"/>
                <w:caps w:val="0"/>
                <w:color w:val="060607"/>
                <w:spacing w:val="5"/>
                <w:kern w:val="0"/>
                <w:sz w:val="24"/>
                <w:szCs w:val="24"/>
                <w:shd w:val="clear" w:color="auto" w:fill="FFFFFF"/>
                <w:lang w:val="en-US" w:eastAsia="zh-CN" w:bidi="ar"/>
              </w:rPr>
              <w:t>在知识体系中，对于层级较深的分类，系统支持展开全部子级，以便用户查看所有相关节点</w:t>
            </w:r>
          </w:p>
        </w:tc>
      </w:tr>
      <w:tr w14:paraId="46C0B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8D68A8A">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9208460">
            <w:pPr>
              <w:keepNext w:val="0"/>
              <w:keepLines w:val="0"/>
              <w:pageBreakBefore w:val="0"/>
              <w:suppressLineNumbers w:val="0"/>
              <w:kinsoku/>
              <w:wordWrap/>
              <w:overflowPunct/>
              <w:topLinePunct w:val="0"/>
              <w:autoSpaceDE/>
              <w:autoSpaceDN/>
              <w:bidi w:val="0"/>
              <w:adjustRightInd/>
              <w:snapToGrid/>
              <w:spacing w:beforeAutospacing="0" w:after="0" w:afterAutospacing="0"/>
              <w:ind w:left="0" w:leftChars="0" w:right="0" w:rightChars="0"/>
              <w:jc w:val="center"/>
              <w:rPr>
                <w:rFonts w:hint="eastAsia" w:asciiTheme="minorEastAsia" w:hAnsiTheme="minorEastAsia" w:eastAsiaTheme="minorEastAsia" w:cstheme="minorEastAsia"/>
                <w:kern w:val="2"/>
                <w:sz w:val="24"/>
                <w:szCs w:val="24"/>
                <w:vertAlign w:val="baseline"/>
                <w:lang w:val="en-US" w:eastAsia="zh-CN" w:bidi="ar-SA"/>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CCBD837">
            <w:pPr>
              <w:keepNext w:val="0"/>
              <w:keepLines w:val="0"/>
              <w:pageBreakBefore w:val="0"/>
              <w:suppressLineNumbers w:val="0"/>
              <w:kinsoku/>
              <w:wordWrap/>
              <w:overflowPunct/>
              <w:topLinePunct w:val="0"/>
              <w:autoSpaceDE/>
              <w:autoSpaceDN/>
              <w:bidi w:val="0"/>
              <w:adjustRightInd/>
              <w:snapToGrid/>
              <w:spacing w:beforeAutospacing="0" w:after="0" w:afterAutospacing="0"/>
              <w:ind w:left="0" w:leftChars="0" w:right="0" w:rightChars="0"/>
              <w:jc w:val="center"/>
              <w:rPr>
                <w:rFonts w:hint="eastAsia" w:asciiTheme="minorEastAsia" w:hAnsiTheme="minorEastAsia" w:eastAsiaTheme="minorEastAsia" w:cstheme="minorEastAsia"/>
                <w:kern w:val="2"/>
                <w:sz w:val="24"/>
                <w:szCs w:val="24"/>
                <w:vertAlign w:val="baseline"/>
                <w:lang w:val="en-US" w:eastAsia="zh-CN" w:bidi="ar-SA"/>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297E9B0F">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kern w:val="2"/>
                <w:sz w:val="24"/>
                <w:szCs w:val="24"/>
                <w:vertAlign w:val="baseline"/>
                <w:lang w:val="en-US" w:eastAsia="zh-CN" w:bidi="ar-SA"/>
              </w:rPr>
              <w:t>4.</w:t>
            </w:r>
            <w:r>
              <w:rPr>
                <w:rFonts w:hint="eastAsia" w:asciiTheme="minorEastAsia" w:hAnsiTheme="minorEastAsia" w:eastAsiaTheme="minorEastAsia" w:cstheme="minorEastAsia"/>
                <w:i w:val="0"/>
                <w:iCs w:val="0"/>
                <w:caps w:val="0"/>
                <w:color w:val="060607"/>
                <w:spacing w:val="5"/>
                <w:kern w:val="0"/>
                <w:sz w:val="24"/>
                <w:szCs w:val="24"/>
                <w:shd w:val="clear" w:color="auto" w:fill="FFFFFF"/>
                <w:lang w:val="en-US" w:eastAsia="zh-CN" w:bidi="ar"/>
              </w:rPr>
              <w:t>在搜索知识点时，系统展示包含该知识点的分类数量，使用户能够通过切换分类快速找到目标知识点</w:t>
            </w:r>
          </w:p>
        </w:tc>
      </w:tr>
      <w:tr w14:paraId="5A30E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D622C95">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C69F731">
            <w:pPr>
              <w:keepNext w:val="0"/>
              <w:keepLines w:val="0"/>
              <w:pageBreakBefore w:val="0"/>
              <w:suppressLineNumbers w:val="0"/>
              <w:kinsoku/>
              <w:wordWrap/>
              <w:overflowPunct/>
              <w:topLinePunct w:val="0"/>
              <w:autoSpaceDE/>
              <w:autoSpaceDN/>
              <w:bidi w:val="0"/>
              <w:adjustRightInd/>
              <w:snapToGrid/>
              <w:spacing w:beforeAutospacing="0" w:after="0" w:afterAutospacing="0"/>
              <w:ind w:left="0" w:leftChars="0" w:right="0" w:rightChars="0"/>
              <w:jc w:val="center"/>
              <w:rPr>
                <w:rFonts w:hint="eastAsia" w:asciiTheme="minorEastAsia" w:hAnsiTheme="minorEastAsia" w:eastAsiaTheme="minorEastAsia" w:cstheme="minorEastAsia"/>
                <w:kern w:val="2"/>
                <w:sz w:val="24"/>
                <w:szCs w:val="24"/>
                <w:vertAlign w:val="baseline"/>
                <w:lang w:val="en-US" w:eastAsia="zh-CN" w:bidi="ar-SA"/>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BA200CB">
            <w:pPr>
              <w:keepNext w:val="0"/>
              <w:keepLines w:val="0"/>
              <w:pageBreakBefore w:val="0"/>
              <w:suppressLineNumbers w:val="0"/>
              <w:kinsoku/>
              <w:wordWrap/>
              <w:overflowPunct/>
              <w:topLinePunct w:val="0"/>
              <w:autoSpaceDE/>
              <w:autoSpaceDN/>
              <w:bidi w:val="0"/>
              <w:adjustRightInd/>
              <w:snapToGrid/>
              <w:spacing w:beforeAutospacing="0" w:after="0" w:afterAutospacing="0"/>
              <w:ind w:left="0" w:leftChars="0" w:right="0" w:rightChars="0"/>
              <w:jc w:val="center"/>
              <w:rPr>
                <w:rFonts w:hint="eastAsia" w:asciiTheme="minorEastAsia" w:hAnsiTheme="minorEastAsia" w:eastAsiaTheme="minorEastAsia" w:cstheme="minorEastAsia"/>
                <w:kern w:val="2"/>
                <w:sz w:val="24"/>
                <w:szCs w:val="24"/>
                <w:vertAlign w:val="baseline"/>
                <w:lang w:val="en-US" w:eastAsia="zh-CN" w:bidi="ar-SA"/>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3322B43D">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kern w:val="2"/>
                <w:sz w:val="24"/>
                <w:szCs w:val="24"/>
                <w:vertAlign w:val="baseline"/>
                <w:lang w:val="en-US" w:eastAsia="zh-CN" w:bidi="ar-SA"/>
              </w:rPr>
              <w:t>5.</w:t>
            </w:r>
            <w:r>
              <w:rPr>
                <w:rFonts w:hint="eastAsia" w:asciiTheme="minorEastAsia" w:hAnsiTheme="minorEastAsia" w:eastAsiaTheme="minorEastAsia" w:cstheme="minorEastAsia"/>
                <w:i w:val="0"/>
                <w:iCs w:val="0"/>
                <w:caps w:val="0"/>
                <w:color w:val="060607"/>
                <w:spacing w:val="5"/>
                <w:kern w:val="0"/>
                <w:sz w:val="24"/>
                <w:szCs w:val="24"/>
                <w:shd w:val="clear" w:color="auto" w:fill="FFFFFF"/>
                <w:lang w:val="en-US" w:eastAsia="zh-CN" w:bidi="ar"/>
              </w:rPr>
              <w:t>当知识点名称包含搜索关键词时，系统突出显示关键词，并高亮相关分类，便于用户识别和查找</w:t>
            </w:r>
          </w:p>
        </w:tc>
      </w:tr>
      <w:tr w14:paraId="22D60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0F69A2A">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EEC49CD">
            <w:pPr>
              <w:keepNext w:val="0"/>
              <w:keepLines w:val="0"/>
              <w:pageBreakBefore w:val="0"/>
              <w:suppressLineNumbers w:val="0"/>
              <w:kinsoku/>
              <w:wordWrap/>
              <w:overflowPunct/>
              <w:topLinePunct w:val="0"/>
              <w:autoSpaceDE/>
              <w:autoSpaceDN/>
              <w:bidi w:val="0"/>
              <w:adjustRightInd/>
              <w:snapToGrid/>
              <w:spacing w:beforeAutospacing="0" w:after="0" w:afterAutospacing="0"/>
              <w:ind w:left="0" w:leftChars="0" w:right="0" w:rightChars="0"/>
              <w:jc w:val="center"/>
              <w:rPr>
                <w:rFonts w:hint="eastAsia" w:asciiTheme="minorEastAsia" w:hAnsiTheme="minorEastAsia" w:eastAsiaTheme="minorEastAsia" w:cstheme="minorEastAsia"/>
                <w:kern w:val="2"/>
                <w:sz w:val="24"/>
                <w:szCs w:val="24"/>
                <w:vertAlign w:val="baseline"/>
                <w:lang w:val="en-US" w:eastAsia="zh-CN" w:bidi="ar-SA"/>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9DCF7B9">
            <w:pPr>
              <w:keepNext w:val="0"/>
              <w:keepLines w:val="0"/>
              <w:pageBreakBefore w:val="0"/>
              <w:suppressLineNumbers w:val="0"/>
              <w:kinsoku/>
              <w:wordWrap/>
              <w:overflowPunct/>
              <w:topLinePunct w:val="0"/>
              <w:autoSpaceDE/>
              <w:autoSpaceDN/>
              <w:bidi w:val="0"/>
              <w:adjustRightInd/>
              <w:snapToGrid/>
              <w:spacing w:beforeAutospacing="0" w:after="0" w:afterAutospacing="0"/>
              <w:ind w:left="0" w:leftChars="0" w:right="0" w:rightChars="0"/>
              <w:jc w:val="center"/>
              <w:rPr>
                <w:rFonts w:hint="eastAsia" w:asciiTheme="minorEastAsia" w:hAnsiTheme="minorEastAsia" w:eastAsiaTheme="minorEastAsia" w:cstheme="minorEastAsia"/>
                <w:kern w:val="2"/>
                <w:sz w:val="24"/>
                <w:szCs w:val="24"/>
                <w:vertAlign w:val="baseline"/>
                <w:lang w:val="en-US" w:eastAsia="zh-CN" w:bidi="ar-SA"/>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3E33944B">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6.</w:t>
            </w:r>
            <w:r>
              <w:rPr>
                <w:rFonts w:hint="eastAsia" w:asciiTheme="minorEastAsia" w:hAnsiTheme="minorEastAsia" w:eastAsiaTheme="minorEastAsia" w:cstheme="minorEastAsia"/>
                <w:i w:val="0"/>
                <w:iCs w:val="0"/>
                <w:caps w:val="0"/>
                <w:color w:val="060607"/>
                <w:spacing w:val="5"/>
                <w:kern w:val="0"/>
                <w:sz w:val="24"/>
                <w:szCs w:val="24"/>
                <w:shd w:val="clear" w:color="auto" w:fill="FFFFFF"/>
                <w:lang w:val="en-US" w:eastAsia="zh-CN" w:bidi="ar"/>
              </w:rPr>
              <w:t>支持将知识图谱导出为图片、Excel文件或xmind格式，满足用户在不同场景下的分享和使用需求</w:t>
            </w:r>
          </w:p>
        </w:tc>
      </w:tr>
      <w:tr w14:paraId="505BD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05FFF6B">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045D879">
            <w:pPr>
              <w:keepNext w:val="0"/>
              <w:keepLines w:val="0"/>
              <w:pageBreakBefore w:val="0"/>
              <w:suppressLineNumbers w:val="0"/>
              <w:kinsoku/>
              <w:wordWrap/>
              <w:overflowPunct/>
              <w:topLinePunct w:val="0"/>
              <w:autoSpaceDE/>
              <w:autoSpaceDN/>
              <w:bidi w:val="0"/>
              <w:adjustRightInd/>
              <w:snapToGrid/>
              <w:spacing w:beforeAutospacing="0" w:after="0" w:afterAutospacing="0"/>
              <w:ind w:left="0" w:leftChars="0" w:right="0" w:rightChars="0"/>
              <w:jc w:val="center"/>
              <w:rPr>
                <w:rFonts w:hint="eastAsia" w:asciiTheme="minorEastAsia" w:hAnsiTheme="minorEastAsia" w:eastAsiaTheme="minorEastAsia" w:cstheme="minorEastAsia"/>
                <w:kern w:val="2"/>
                <w:sz w:val="24"/>
                <w:szCs w:val="24"/>
                <w:vertAlign w:val="baseline"/>
                <w:lang w:val="en-US" w:eastAsia="zh-CN" w:bidi="ar-SA"/>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C76F9B6">
            <w:pPr>
              <w:keepNext w:val="0"/>
              <w:keepLines w:val="0"/>
              <w:pageBreakBefore w:val="0"/>
              <w:suppressLineNumbers w:val="0"/>
              <w:kinsoku/>
              <w:wordWrap/>
              <w:overflowPunct/>
              <w:topLinePunct w:val="0"/>
              <w:autoSpaceDE/>
              <w:autoSpaceDN/>
              <w:bidi w:val="0"/>
              <w:adjustRightInd/>
              <w:snapToGrid/>
              <w:spacing w:beforeAutospacing="0" w:after="0" w:afterAutospacing="0"/>
              <w:ind w:left="0" w:leftChars="0" w:right="0" w:rightChars="0"/>
              <w:jc w:val="center"/>
              <w:rPr>
                <w:rFonts w:hint="eastAsia" w:asciiTheme="minorEastAsia" w:hAnsiTheme="minorEastAsia" w:eastAsiaTheme="minorEastAsia" w:cstheme="minorEastAsia"/>
                <w:kern w:val="2"/>
                <w:sz w:val="24"/>
                <w:szCs w:val="24"/>
                <w:vertAlign w:val="baseline"/>
                <w:lang w:val="en-US" w:eastAsia="zh-CN" w:bidi="ar-SA"/>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606F95CB">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pP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7.</w:t>
            </w:r>
            <w:r>
              <w:rPr>
                <w:rFonts w:hint="eastAsia" w:asciiTheme="minorEastAsia" w:hAnsiTheme="minorEastAsia" w:eastAsiaTheme="minorEastAsia" w:cstheme="minorEastAsia"/>
                <w:i w:val="0"/>
                <w:iCs w:val="0"/>
                <w:caps w:val="0"/>
                <w:color w:val="060607"/>
                <w:spacing w:val="5"/>
                <w:kern w:val="0"/>
                <w:sz w:val="24"/>
                <w:szCs w:val="24"/>
                <w:shd w:val="clear" w:color="auto" w:fill="FFFFFF"/>
                <w:lang w:val="en-US" w:eastAsia="zh-CN" w:bidi="ar"/>
              </w:rPr>
              <w:t>知识图谱支持切换至浅色样式，提升用户的视觉体验，优化教学互动</w:t>
            </w:r>
          </w:p>
        </w:tc>
      </w:tr>
      <w:tr w14:paraId="417E3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B52CDE8">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6B73EA9">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0073209F">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关系图谱</w:t>
            </w: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773C6A41">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1.提供两种图谱展示视角，一种是导航模式，另一种是全局模式，以适应不同用户对信息获取深度和广度的需求</w:t>
            </w:r>
          </w:p>
        </w:tc>
      </w:tr>
      <w:tr w14:paraId="31D27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6CAE193">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2AA719F">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9D50606">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2D68BE63">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2.导航模式下，图谱以一种集中的形态展示最高层级的分类或知识点，允许用户通过交互进一步探索其子级和它们之间的联系</w:t>
            </w:r>
          </w:p>
        </w:tc>
      </w:tr>
      <w:tr w14:paraId="18B15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52C833B">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4BE8116">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76B903D">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7D7E481C">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3.全局模式下，图谱展开展示所有层级的节点，提供一个宏观的视角，使用户能够一目了然地理解整个知识体系的结构</w:t>
            </w:r>
          </w:p>
        </w:tc>
      </w:tr>
      <w:tr w14:paraId="653E2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4842DA1">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D964F8F">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AFAC456">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64F1D566">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4.支持四种配色方案，包括标准配色、自定义配色、知识单元配色和层级配色，以增强视觉区分和层次感</w:t>
            </w:r>
          </w:p>
        </w:tc>
      </w:tr>
      <w:tr w14:paraId="07E93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7AAFDC0">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52CFC64">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C9CF32F">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633B66B8">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5.用户可以根据个人喜好定制节点的外观，包括形状、颜色和字体样式，提供个性化的视觉体验</w:t>
            </w:r>
          </w:p>
        </w:tc>
      </w:tr>
      <w:tr w14:paraId="7A7A4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DB8310A">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3401B96">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805E787">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0D86D626">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6.支持用户自由绘制图谱，并通过视觉高亮的方式突出重点区域，帮助快速聚焦关键学习内容</w:t>
            </w:r>
          </w:p>
        </w:tc>
      </w:tr>
      <w:tr w14:paraId="73B02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FE835F2">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E381A8F">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A7D7E40">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436F90E5">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7.支持用户设置展示图谱集合标识，</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通过直观的集合标识，帮助用户快速识别和定位一级节点集合，提升学习体验</w:t>
            </w:r>
          </w:p>
        </w:tc>
      </w:tr>
      <w:tr w14:paraId="22059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FD664FC">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32B5827">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7299594">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6220B935">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8.支持</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用户根据个人喜好或需求切换图谱的背景色，包括预设的星空蓝、极光白同时也支持用户自定义背景</w:t>
            </w:r>
          </w:p>
        </w:tc>
      </w:tr>
      <w:tr w14:paraId="13569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58B5E64">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2A8BA80">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121A9A0">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09358F4A">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9.</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提供四种知识点布局方式，包括放射性、树状层级、环形布局和自定义布局，以适应不同的展示需求</w:t>
            </w:r>
          </w:p>
        </w:tc>
      </w:tr>
      <w:tr w14:paraId="43CEE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CD6DBFF">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19D2DB7">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691AAAD">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358D251B">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10.支持</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清晰展示分类与知识点、分类与分类之间的关系，如父子级、前后置和关联关系以及自定义关系，帮助用户深入理解知识间的联系</w:t>
            </w:r>
          </w:p>
        </w:tc>
      </w:tr>
      <w:tr w14:paraId="74AD9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791A732">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1E116D9">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89BEAEE">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1ACADAED">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11.</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在图谱的导航区域以列表形式展示所有一级分类和知识点，并支持快速定位和展开子级节点</w:t>
            </w:r>
          </w:p>
        </w:tc>
      </w:tr>
      <w:tr w14:paraId="31196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F0E866F">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CBAB881">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03573CA">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4E973949">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color w:val="4F81BD"/>
                <w:kern w:val="2"/>
                <w:sz w:val="24"/>
                <w:szCs w:val="24"/>
                <w:vertAlign w:val="baseline"/>
                <w:lang w:val="en-US" w:eastAsia="zh-CN" w:bidi="ar-SA"/>
              </w:rPr>
            </w:pP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12.支持根据关键字搜索或模糊匹配进行检索，帮助用户快速定位特定知识点或分类，并展示与其相关的全面信息</w:t>
            </w:r>
          </w:p>
        </w:tc>
      </w:tr>
      <w:tr w14:paraId="68E95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B46CE06">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AE9322B">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A8358FD">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35D0367A">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color w:val="4F81BD"/>
                <w:kern w:val="2"/>
                <w:sz w:val="24"/>
                <w:szCs w:val="24"/>
                <w:vertAlign w:val="baseline"/>
                <w:lang w:val="en-US" w:eastAsia="zh-CN" w:bidi="ar-SA"/>
              </w:rPr>
            </w:pP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13.支持将图谱以图片、Excel文件或xmind格式导出，以满足不同场景下的分享和使用需求</w:t>
            </w:r>
          </w:p>
        </w:tc>
      </w:tr>
      <w:tr w14:paraId="078C0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79FEC69">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E5E6616">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A1A2079">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7AC11AEF">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color w:val="4F81BD"/>
                <w:kern w:val="2"/>
                <w:sz w:val="24"/>
                <w:szCs w:val="24"/>
                <w:vertAlign w:val="baseline"/>
                <w:lang w:val="en-US" w:eastAsia="zh-CN" w:bidi="ar-SA"/>
              </w:rPr>
            </w:pP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14.支持在视频内容中智能标记知识点，并以词云形式展示涉及的知识点</w:t>
            </w:r>
          </w:p>
        </w:tc>
      </w:tr>
      <w:tr w14:paraId="4A32C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75804E6">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FFAA08E">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22B513A">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36D1FA03">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color w:val="4F81BD"/>
                <w:kern w:val="2"/>
                <w:sz w:val="24"/>
                <w:szCs w:val="24"/>
                <w:vertAlign w:val="baseline"/>
                <w:lang w:val="en-US" w:eastAsia="zh-CN" w:bidi="ar-SA"/>
              </w:rPr>
            </w:pP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15.允许学生在视频播放时定位到特定知识点的讲解</w:t>
            </w:r>
          </w:p>
        </w:tc>
      </w:tr>
      <w:tr w14:paraId="6BD5B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5876A19">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E7BD7C5">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68FAA7F7">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知识森林</w:t>
            </w: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0B4FABFA">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r>
              <w:rPr>
                <w:rFonts w:hint="eastAsia" w:asciiTheme="minorEastAsia" w:hAnsiTheme="minorEastAsia" w:eastAsiaTheme="minorEastAsia" w:cstheme="minorEastAsia"/>
                <w:i w:val="0"/>
                <w:iCs w:val="0"/>
                <w:caps w:val="0"/>
                <w:color w:val="060607"/>
                <w:spacing w:val="5"/>
                <w:kern w:val="0"/>
                <w:sz w:val="24"/>
                <w:szCs w:val="24"/>
                <w:shd w:val="clear" w:color="auto" w:fill="FFFFFF"/>
                <w:lang w:val="en-US" w:eastAsia="zh-CN" w:bidi="ar"/>
              </w:rPr>
              <w:t>系统提供多种视角来展示和管理课程知识点，包括列表模式、卡片模式和知识森林模式，以适应不同用户在不同场景下的需求</w:t>
            </w:r>
          </w:p>
        </w:tc>
      </w:tr>
      <w:tr w14:paraId="5E9DA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AB55B54">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ED0007C">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1976976">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7BE6FA76">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w:t>
            </w:r>
            <w:r>
              <w:rPr>
                <w:rFonts w:hint="eastAsia" w:asciiTheme="minorEastAsia" w:hAnsiTheme="minorEastAsia" w:eastAsiaTheme="minorEastAsia" w:cstheme="minorEastAsia"/>
                <w:i w:val="0"/>
                <w:iCs w:val="0"/>
                <w:caps w:val="0"/>
                <w:color w:val="060607"/>
                <w:spacing w:val="5"/>
                <w:kern w:val="0"/>
                <w:sz w:val="24"/>
                <w:szCs w:val="24"/>
                <w:shd w:val="clear" w:color="auto" w:fill="FFFFFF"/>
                <w:lang w:val="en-US" w:eastAsia="zh-CN" w:bidi="ar"/>
              </w:rPr>
              <w:t>在列表模式下，系统展示知识点的名称、标签、完成率、掌握率、使用量、创建者和创建日期等关键信息</w:t>
            </w:r>
          </w:p>
        </w:tc>
      </w:tr>
      <w:tr w14:paraId="32DDA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87C1138">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2BD3AC4">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1431D40">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0CE31AAF">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w:t>
            </w:r>
            <w:r>
              <w:rPr>
                <w:rFonts w:hint="eastAsia" w:asciiTheme="minorEastAsia" w:hAnsiTheme="minorEastAsia" w:eastAsiaTheme="minorEastAsia" w:cstheme="minorEastAsia"/>
                <w:i w:val="0"/>
                <w:iCs w:val="0"/>
                <w:caps w:val="0"/>
                <w:color w:val="060607"/>
                <w:spacing w:val="5"/>
                <w:kern w:val="0"/>
                <w:sz w:val="24"/>
                <w:szCs w:val="24"/>
                <w:shd w:val="clear" w:color="auto" w:fill="FFFFFF"/>
                <w:lang w:val="en-US" w:eastAsia="zh-CN" w:bidi="ar"/>
              </w:rPr>
              <w:t>列表模式允许用户根据标签筛选知识点，使用户能够迅速定位到特定标签相关的知识点</w:t>
            </w:r>
          </w:p>
        </w:tc>
      </w:tr>
      <w:tr w14:paraId="37D8A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9F0345A">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E132D28">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07FC119">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2A3448C0">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4.</w:t>
            </w:r>
            <w:r>
              <w:rPr>
                <w:rFonts w:hint="eastAsia" w:asciiTheme="minorEastAsia" w:hAnsiTheme="minorEastAsia" w:eastAsiaTheme="minorEastAsia" w:cstheme="minorEastAsia"/>
                <w:i w:val="0"/>
                <w:iCs w:val="0"/>
                <w:caps w:val="0"/>
                <w:color w:val="060607"/>
                <w:spacing w:val="5"/>
                <w:kern w:val="0"/>
                <w:sz w:val="24"/>
                <w:szCs w:val="24"/>
                <w:shd w:val="clear" w:color="auto" w:fill="FFFFFF"/>
                <w:lang w:val="en-US" w:eastAsia="zh-CN" w:bidi="ar"/>
              </w:rPr>
              <w:t>用户可以根据班级筛选知识点的完成率和掌握率，快速了解不同班级的学习情况</w:t>
            </w:r>
            <w:r>
              <w:rPr>
                <w:rFonts w:hint="eastAsia" w:asciiTheme="minorEastAsia" w:hAnsiTheme="minorEastAsia" w:eastAsiaTheme="minorEastAsia" w:cstheme="minorEastAsia"/>
                <w:sz w:val="24"/>
                <w:szCs w:val="24"/>
                <w:vertAlign w:val="baseline"/>
                <w:lang w:val="en-US" w:eastAsia="zh-CN"/>
              </w:rPr>
              <w:t xml:space="preserve">                              </w:t>
            </w:r>
          </w:p>
        </w:tc>
      </w:tr>
      <w:tr w14:paraId="1BB65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EE0B2AA">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3169C43">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4654ACA">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4C28E8BF">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5.</w:t>
            </w:r>
            <w:r>
              <w:rPr>
                <w:rFonts w:hint="eastAsia" w:asciiTheme="minorEastAsia" w:hAnsiTheme="minorEastAsia" w:eastAsiaTheme="minorEastAsia" w:cstheme="minorEastAsia"/>
                <w:i w:val="0"/>
                <w:iCs w:val="0"/>
                <w:caps w:val="0"/>
                <w:color w:val="060607"/>
                <w:spacing w:val="5"/>
                <w:kern w:val="0"/>
                <w:sz w:val="24"/>
                <w:szCs w:val="24"/>
                <w:shd w:val="clear" w:color="auto" w:fill="FFFFFF"/>
                <w:lang w:val="en-US" w:eastAsia="zh-CN" w:bidi="ar"/>
              </w:rPr>
              <w:t>列表模式支持根据完成率、掌握率、使用量和创建日期等不同维度对知识点进行排序，帮助用户全面了解知识点详情</w:t>
            </w:r>
            <w:r>
              <w:rPr>
                <w:rFonts w:hint="eastAsia" w:asciiTheme="minorEastAsia" w:hAnsiTheme="minorEastAsia" w:eastAsiaTheme="minorEastAsia" w:cstheme="minorEastAsia"/>
                <w:sz w:val="24"/>
                <w:szCs w:val="24"/>
                <w:vertAlign w:val="baseline"/>
                <w:lang w:val="en-US" w:eastAsia="zh-CN"/>
              </w:rPr>
              <w:t xml:space="preserve">                                                                                                                                                                                                                                                                                                                                    </w:t>
            </w:r>
          </w:p>
        </w:tc>
      </w:tr>
      <w:tr w14:paraId="4CF46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6B71AA7">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0E2BF77">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C71DBD7">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08A1099E">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6.</w:t>
            </w:r>
            <w:r>
              <w:rPr>
                <w:rFonts w:hint="eastAsia" w:asciiTheme="minorEastAsia" w:hAnsiTheme="minorEastAsia" w:eastAsiaTheme="minorEastAsia" w:cstheme="minorEastAsia"/>
                <w:i w:val="0"/>
                <w:iCs w:val="0"/>
                <w:caps w:val="0"/>
                <w:color w:val="060607"/>
                <w:spacing w:val="5"/>
                <w:kern w:val="0"/>
                <w:sz w:val="24"/>
                <w:szCs w:val="24"/>
                <w:shd w:val="clear" w:color="auto" w:fill="FFFFFF"/>
                <w:lang w:val="en-US" w:eastAsia="zh-CN" w:bidi="ar"/>
              </w:rPr>
              <w:t>卡片模式以视觉友好的卡片形式展示知识点名称、标签和说明，提供直观的信息概览</w:t>
            </w:r>
          </w:p>
        </w:tc>
      </w:tr>
      <w:tr w14:paraId="3F0BF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7D62CD5">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BBF2B94">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343F72B">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0CCAF8FF">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kern w:val="2"/>
                <w:sz w:val="24"/>
                <w:szCs w:val="24"/>
                <w:vertAlign w:val="baseline"/>
                <w:lang w:val="en-US" w:eastAsia="zh-CN" w:bidi="ar-SA"/>
              </w:rPr>
              <w:t>7.</w:t>
            </w:r>
            <w:r>
              <w:rPr>
                <w:rFonts w:hint="eastAsia" w:asciiTheme="minorEastAsia" w:hAnsiTheme="minorEastAsia" w:eastAsiaTheme="minorEastAsia" w:cstheme="minorEastAsia"/>
                <w:i w:val="0"/>
                <w:iCs w:val="0"/>
                <w:caps w:val="0"/>
                <w:color w:val="060607"/>
                <w:spacing w:val="5"/>
                <w:kern w:val="0"/>
                <w:sz w:val="24"/>
                <w:szCs w:val="24"/>
                <w:shd w:val="clear" w:color="auto" w:fill="FFFFFF"/>
                <w:lang w:val="en-US" w:eastAsia="zh-CN" w:bidi="ar"/>
              </w:rPr>
              <w:t>知识森林模式通过分类将知识点划分为不同集合，使用户能够清晰感知每个集合中的知识点数量</w:t>
            </w:r>
          </w:p>
        </w:tc>
      </w:tr>
      <w:tr w14:paraId="2E3B1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0BA8320">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03B66B6">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5F03FE1">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7F5D0B1F">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kern w:val="2"/>
                <w:sz w:val="24"/>
                <w:szCs w:val="24"/>
                <w:vertAlign w:val="baseline"/>
                <w:lang w:val="en-US" w:eastAsia="zh-CN" w:bidi="ar-SA"/>
              </w:rPr>
              <w:t>8.</w:t>
            </w:r>
            <w:r>
              <w:rPr>
                <w:rFonts w:hint="eastAsia" w:asciiTheme="minorEastAsia" w:hAnsiTheme="minorEastAsia" w:eastAsiaTheme="minorEastAsia" w:cstheme="minorEastAsia"/>
                <w:i w:val="0"/>
                <w:iCs w:val="0"/>
                <w:caps w:val="0"/>
                <w:color w:val="060607"/>
                <w:spacing w:val="5"/>
                <w:kern w:val="0"/>
                <w:sz w:val="24"/>
                <w:szCs w:val="24"/>
                <w:shd w:val="clear" w:color="auto" w:fill="FFFFFF"/>
                <w:lang w:val="en-US" w:eastAsia="zh-CN" w:bidi="ar"/>
              </w:rPr>
              <w:t>在知识森林模式中，鼠标悬浮在知识点上时，系统展示发布时间、班级完成率和掌握率等详细信息</w:t>
            </w:r>
          </w:p>
        </w:tc>
      </w:tr>
      <w:tr w14:paraId="15625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B289802">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6935F22">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B74C34A">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34B6F513">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kern w:val="2"/>
                <w:sz w:val="24"/>
                <w:szCs w:val="24"/>
                <w:vertAlign w:val="baseline"/>
                <w:lang w:val="en-US" w:eastAsia="zh-CN" w:bidi="ar-SA"/>
              </w:rPr>
              <w:t>9.</w:t>
            </w:r>
            <w:r>
              <w:rPr>
                <w:rFonts w:hint="eastAsia" w:asciiTheme="minorEastAsia" w:hAnsiTheme="minorEastAsia" w:eastAsiaTheme="minorEastAsia" w:cstheme="minorEastAsia"/>
                <w:i w:val="0"/>
                <w:iCs w:val="0"/>
                <w:caps w:val="0"/>
                <w:color w:val="060607"/>
                <w:spacing w:val="5"/>
                <w:kern w:val="0"/>
                <w:sz w:val="24"/>
                <w:szCs w:val="24"/>
                <w:shd w:val="clear" w:color="auto" w:fill="FFFFFF"/>
                <w:lang w:val="en-US" w:eastAsia="zh-CN" w:bidi="ar"/>
              </w:rPr>
              <w:t>系统支持将图谱导出为图片、Excel文件或xmind格式，满足用户在不同场景下的分享和使用需求</w:t>
            </w:r>
          </w:p>
        </w:tc>
      </w:tr>
      <w:tr w14:paraId="0E269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7415AAE2">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7</w:t>
            </w:r>
          </w:p>
        </w:tc>
        <w:tc>
          <w:tcPr>
            <w:tcW w:w="962"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2E9F3C15">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自定义图谱展示</w:t>
            </w:r>
          </w:p>
        </w:tc>
        <w:tc>
          <w:tcPr>
            <w:tcW w:w="1439"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16BC09D0">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图谱模式</w:t>
            </w: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03D366C0">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1.</w:t>
            </w:r>
            <w:r>
              <w:rPr>
                <w:rFonts w:hint="eastAsia" w:asciiTheme="minorEastAsia" w:hAnsiTheme="minorEastAsia" w:eastAsiaTheme="minorEastAsia" w:cstheme="minorEastAsia"/>
                <w:i w:val="0"/>
                <w:iCs w:val="0"/>
                <w:caps w:val="0"/>
                <w:color w:val="060607"/>
                <w:spacing w:val="5"/>
                <w:kern w:val="0"/>
                <w:sz w:val="24"/>
                <w:szCs w:val="24"/>
                <w:shd w:val="clear" w:color="auto" w:fill="FFFFFF"/>
                <w:lang w:val="en-US" w:eastAsia="zh-CN" w:bidi="ar"/>
              </w:rPr>
              <w:t>系统提供导航和全局两种图谱展示模式，满足用户对信息深度和广度的不同需求</w:t>
            </w:r>
          </w:p>
        </w:tc>
      </w:tr>
      <w:tr w14:paraId="4B272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379CA8F">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FFB1CC3">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9237DC9">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3E29828A">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2.</w:t>
            </w:r>
            <w:r>
              <w:rPr>
                <w:rFonts w:hint="eastAsia" w:asciiTheme="minorEastAsia" w:hAnsiTheme="minorEastAsia" w:eastAsiaTheme="minorEastAsia" w:cstheme="minorEastAsia"/>
                <w:i w:val="0"/>
                <w:iCs w:val="0"/>
                <w:caps w:val="0"/>
                <w:color w:val="060607"/>
                <w:spacing w:val="5"/>
                <w:kern w:val="0"/>
                <w:sz w:val="24"/>
                <w:szCs w:val="24"/>
                <w:shd w:val="clear" w:color="auto" w:fill="FFFFFF"/>
                <w:lang w:val="en-US" w:eastAsia="zh-CN" w:bidi="ar"/>
              </w:rPr>
              <w:t>导航模式集中展示顶层分类或知识点，通过交互设计使用户能够深入探索更深层次的内容</w:t>
            </w:r>
          </w:p>
        </w:tc>
      </w:tr>
      <w:tr w14:paraId="63EDB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AD59A81">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F055B81">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B2F8395">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48E6BEA5">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3.</w:t>
            </w:r>
            <w:r>
              <w:rPr>
                <w:rFonts w:hint="eastAsia" w:asciiTheme="minorEastAsia" w:hAnsiTheme="minorEastAsia" w:eastAsiaTheme="minorEastAsia" w:cstheme="minorEastAsia"/>
                <w:i w:val="0"/>
                <w:iCs w:val="0"/>
                <w:caps w:val="0"/>
                <w:color w:val="060607"/>
                <w:spacing w:val="5"/>
                <w:kern w:val="0"/>
                <w:sz w:val="24"/>
                <w:szCs w:val="24"/>
                <w:shd w:val="clear" w:color="auto" w:fill="FFFFFF"/>
                <w:lang w:val="en-US" w:eastAsia="zh-CN" w:bidi="ar"/>
              </w:rPr>
              <w:t>局模式全面展示所有层级节点，提供全景视角，帮助用户全面理解知识体系结构</w:t>
            </w:r>
          </w:p>
        </w:tc>
      </w:tr>
      <w:tr w14:paraId="55CF5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D02CCDA">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7DC17B0">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4AD299E">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66FA1D7F">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4.</w:t>
            </w: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i w:val="0"/>
                <w:iCs w:val="0"/>
                <w:caps w:val="0"/>
                <w:color w:val="060607"/>
                <w:spacing w:val="5"/>
                <w:kern w:val="0"/>
                <w:sz w:val="24"/>
                <w:szCs w:val="24"/>
                <w:shd w:val="clear" w:color="auto" w:fill="FFFFFF"/>
                <w:lang w:val="en-US" w:eastAsia="zh-CN" w:bidi="ar"/>
              </w:rPr>
              <w:t>系统支持多种配色方案，包括标准、自定义、知识单元和层级配色，增强视觉区分和层次感</w:t>
            </w:r>
          </w:p>
        </w:tc>
      </w:tr>
      <w:tr w14:paraId="5DF39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FF68FEE">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EDA31E9">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6B2A3F2">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6E1E88AA">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leftChars="0" w:right="0" w:rightChars="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5.</w:t>
            </w: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用户可以根据个人喜好定制节点的外观，包括形状、颜色和字体样式，提供个性化的视觉体验</w:t>
            </w:r>
          </w:p>
        </w:tc>
      </w:tr>
      <w:tr w14:paraId="776BF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009E638">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7F64ED9">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2D8FE3B">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1F576DD3">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leftChars="0" w:right="0" w:rightChars="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6.</w:t>
            </w: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支持用户自由绘制图谱，并通过视觉高亮的方式突出重点区域，帮助快速聚焦关键学习内容</w:t>
            </w:r>
          </w:p>
        </w:tc>
      </w:tr>
      <w:tr w14:paraId="19397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778AC83">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F320438">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B45039B">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3924C03D">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7.</w:t>
            </w: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i w:val="0"/>
                <w:iCs w:val="0"/>
                <w:caps w:val="0"/>
                <w:color w:val="060607"/>
                <w:spacing w:val="5"/>
                <w:kern w:val="0"/>
                <w:sz w:val="24"/>
                <w:szCs w:val="24"/>
                <w:shd w:val="clear" w:color="auto" w:fill="FFFFFF"/>
                <w:lang w:val="en-US" w:eastAsia="zh-CN" w:bidi="ar"/>
              </w:rPr>
              <w:t>用户可设置图谱集合标识，通过直观标识快速识别和定位一级节点集合，提升学习体验</w:t>
            </w:r>
          </w:p>
        </w:tc>
      </w:tr>
      <w:tr w14:paraId="593CD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48980F8">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99B996A">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0BD374B">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508A5608">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8.</w:t>
            </w: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i w:val="0"/>
                <w:iCs w:val="0"/>
                <w:caps w:val="0"/>
                <w:color w:val="060607"/>
                <w:spacing w:val="5"/>
                <w:kern w:val="0"/>
                <w:sz w:val="24"/>
                <w:szCs w:val="24"/>
                <w:shd w:val="clear" w:color="auto" w:fill="FFFFFF"/>
                <w:lang w:val="en-US" w:eastAsia="zh-CN" w:bidi="ar"/>
              </w:rPr>
              <w:t>支持用户根据个人喜好或需求切换图谱背景色，包括预设和自定义选项</w:t>
            </w:r>
          </w:p>
        </w:tc>
      </w:tr>
      <w:tr w14:paraId="43D86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CC90AA7">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85D2110">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9CBFBB9">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5BDC11E7">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9.</w:t>
            </w:r>
            <w:r>
              <w:rPr>
                <w:rFonts w:hint="eastAsia" w:asciiTheme="minorEastAsia" w:hAnsiTheme="minorEastAsia" w:eastAsiaTheme="minorEastAsia" w:cstheme="minorEastAsia"/>
                <w:i w:val="0"/>
                <w:iCs w:val="0"/>
                <w:caps w:val="0"/>
                <w:color w:val="060607"/>
                <w:spacing w:val="5"/>
                <w:kern w:val="0"/>
                <w:sz w:val="24"/>
                <w:szCs w:val="24"/>
                <w:shd w:val="clear" w:color="auto" w:fill="FFFFFF"/>
                <w:lang w:val="en-US" w:eastAsia="zh-CN" w:bidi="ar"/>
              </w:rPr>
              <w:t>提供放射性、树状层级、环形布局和自定义布局等多种知识点布局方式，适应不同展示需求</w:t>
            </w:r>
          </w:p>
        </w:tc>
      </w:tr>
      <w:tr w14:paraId="2F77A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D5ACB9C">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4BFED29">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E33577A">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0AD4AA0C">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10.</w:t>
            </w:r>
            <w:r>
              <w:rPr>
                <w:rFonts w:hint="eastAsia" w:asciiTheme="minorEastAsia" w:hAnsiTheme="minorEastAsia" w:eastAsiaTheme="minorEastAsia" w:cstheme="minorEastAsia"/>
                <w:i w:val="0"/>
                <w:iCs w:val="0"/>
                <w:caps w:val="0"/>
                <w:color w:val="060607"/>
                <w:spacing w:val="5"/>
                <w:kern w:val="0"/>
                <w:sz w:val="24"/>
                <w:szCs w:val="24"/>
                <w:shd w:val="clear" w:color="auto" w:fill="FFFFFF"/>
                <w:lang w:val="en-US" w:eastAsia="zh-CN" w:bidi="ar"/>
              </w:rPr>
              <w:t>清晰展示分类与知识点、分类与分类之间的关系，包括父子级、前后置、关联关系以及自定义关系，帮助用户理解知识联系</w:t>
            </w:r>
          </w:p>
        </w:tc>
      </w:tr>
      <w:tr w14:paraId="41436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E047860">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765CDF8">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9A35755">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67CB02E2">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11.</w:t>
            </w:r>
            <w:r>
              <w:rPr>
                <w:rFonts w:hint="eastAsia" w:asciiTheme="minorEastAsia" w:hAnsiTheme="minorEastAsia" w:eastAsiaTheme="minorEastAsia" w:cstheme="minorEastAsia"/>
                <w:i w:val="0"/>
                <w:iCs w:val="0"/>
                <w:caps w:val="0"/>
                <w:color w:val="060607"/>
                <w:spacing w:val="5"/>
                <w:kern w:val="0"/>
                <w:sz w:val="24"/>
                <w:szCs w:val="24"/>
                <w:shd w:val="clear" w:color="auto" w:fill="FFFFFF"/>
                <w:lang w:val="en-US" w:eastAsia="zh-CN" w:bidi="ar"/>
              </w:rPr>
              <w:t>在图谱导航区域以列表形式展示一级分类和知识点，支持快速定位和子级展开</w:t>
            </w:r>
          </w:p>
        </w:tc>
      </w:tr>
      <w:tr w14:paraId="0BEAD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FB65E37">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95C7324">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48A0D8D">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2EE1BC89">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color w:val="4F81BD"/>
                <w:kern w:val="2"/>
                <w:sz w:val="24"/>
                <w:szCs w:val="24"/>
                <w:vertAlign w:val="baseline"/>
                <w:lang w:val="en-US" w:eastAsia="zh-CN" w:bidi="ar-SA"/>
              </w:rPr>
            </w:pP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12.</w:t>
            </w:r>
            <w:r>
              <w:rPr>
                <w:rFonts w:hint="eastAsia" w:asciiTheme="minorEastAsia" w:hAnsiTheme="minorEastAsia" w:eastAsiaTheme="minorEastAsia" w:cstheme="minorEastAsia"/>
                <w:i w:val="0"/>
                <w:iCs w:val="0"/>
                <w:caps w:val="0"/>
                <w:color w:val="060607"/>
                <w:spacing w:val="5"/>
                <w:kern w:val="0"/>
                <w:sz w:val="24"/>
                <w:szCs w:val="24"/>
                <w:shd w:val="clear" w:color="auto" w:fill="FFFFFF"/>
                <w:lang w:val="en-US" w:eastAsia="zh-CN" w:bidi="ar"/>
              </w:rPr>
              <w:t>支持关键词搜索和模糊匹配，帮助用户迅速找到特定知识点或分类，并展示相关信息</w:t>
            </w:r>
          </w:p>
        </w:tc>
      </w:tr>
      <w:tr w14:paraId="0D45D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6570608">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0D126E2">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A6698D5">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58A99E1A">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leftChars="0" w:right="0" w:rightChars="0"/>
              <w:jc w:val="left"/>
              <w:rPr>
                <w:rFonts w:hint="eastAsia" w:asciiTheme="minorEastAsia" w:hAnsiTheme="minorEastAsia" w:eastAsiaTheme="minorEastAsia" w:cstheme="minorEastAsia"/>
                <w:color w:val="4F81BD"/>
                <w:kern w:val="2"/>
                <w:sz w:val="24"/>
                <w:szCs w:val="24"/>
                <w:vertAlign w:val="baseline"/>
                <w:lang w:val="en-US" w:eastAsia="zh-CN" w:bidi="ar-SA"/>
              </w:rPr>
            </w:pP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13.支持将图谱以图片、Excel文件或xmind格式导出，以满足不同场景下的分享和使用需求</w:t>
            </w:r>
          </w:p>
        </w:tc>
      </w:tr>
      <w:tr w14:paraId="14A0B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C519521">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365115B">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3C17F9A">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01BCA9CD">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color w:val="4F81BD"/>
                <w:kern w:val="2"/>
                <w:sz w:val="24"/>
                <w:szCs w:val="24"/>
                <w:vertAlign w:val="baseline"/>
                <w:lang w:val="en-US" w:eastAsia="zh-CN" w:bidi="ar-SA"/>
              </w:rPr>
            </w:pP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14.</w:t>
            </w: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i w:val="0"/>
                <w:iCs w:val="0"/>
                <w:caps w:val="0"/>
                <w:color w:val="060607"/>
                <w:spacing w:val="5"/>
                <w:kern w:val="0"/>
                <w:sz w:val="24"/>
                <w:szCs w:val="24"/>
                <w:shd w:val="clear" w:color="auto" w:fill="FFFFFF"/>
                <w:lang w:val="en-US" w:eastAsia="zh-CN" w:bidi="ar"/>
              </w:rPr>
              <w:t>在视频内容中智能标记知识点，并以词云形式展示，增强知识点的可视化</w:t>
            </w:r>
          </w:p>
        </w:tc>
      </w:tr>
      <w:tr w14:paraId="688D2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71BE396">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40A7B38">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C7D11ED">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132F8669">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color w:val="4F81BD"/>
                <w:kern w:val="2"/>
                <w:sz w:val="24"/>
                <w:szCs w:val="24"/>
                <w:vertAlign w:val="baseline"/>
                <w:lang w:val="en-US" w:eastAsia="zh-CN" w:bidi="ar-SA"/>
              </w:rPr>
            </w:pP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15.</w:t>
            </w: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i w:val="0"/>
                <w:iCs w:val="0"/>
                <w:caps w:val="0"/>
                <w:color w:val="060607"/>
                <w:spacing w:val="5"/>
                <w:kern w:val="0"/>
                <w:sz w:val="24"/>
                <w:szCs w:val="24"/>
                <w:shd w:val="clear" w:color="auto" w:fill="FFFFFF"/>
                <w:lang w:val="en-US" w:eastAsia="zh-CN" w:bidi="ar"/>
              </w:rPr>
              <w:t>允许学生在视频播放时定位到特定知识点的讲解，提升学习针对性</w:t>
            </w:r>
          </w:p>
        </w:tc>
      </w:tr>
      <w:tr w14:paraId="2B126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8C0B13D">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84160F9">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563C46DC">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思维导图模式</w:t>
            </w: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2E9D8F37">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1.系统提供多种思维导图结构选项，使用户能够根据需求选择不同的视觉表示方法，具体包括组织结构图、目录组织图、时间轴、鱼骨图等</w:t>
            </w:r>
          </w:p>
        </w:tc>
      </w:tr>
      <w:tr w14:paraId="4EB5F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841BBAC">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4E18758">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F3CD704">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48599D48">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leftChars="0" w:right="0" w:rightChars="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2.</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支持创建包含多个层级的分类和知识点的大纲，并以思维导图的形式直观地展示它们之间的相互关系</w:t>
            </w:r>
          </w:p>
        </w:tc>
      </w:tr>
      <w:tr w14:paraId="69618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C5CE846">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EE01EB2">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6CFAA51">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0D367805">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leftChars="0" w:right="0" w:rightChars="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3.</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在预览模式下，提供一键整理布局的功能，帮助用户迅速恢复到初始的默认视图布局</w:t>
            </w:r>
          </w:p>
        </w:tc>
      </w:tr>
      <w:tr w14:paraId="3B1DF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E43F343">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C3D4F2E">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364801E">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038845CC">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leftChars="0" w:right="0" w:rightChars="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4.</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预览模式允许用户一键回到思维导图的中心或根节点，确保用户始终能够快速把握整体结构</w:t>
            </w:r>
          </w:p>
        </w:tc>
      </w:tr>
      <w:tr w14:paraId="79984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1C31DD4">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613AB08">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2212109">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62996F26">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leftChars="0" w:right="0" w:rightChars="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5.</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在预览模式下，用户可以方便地展开或收起任意节点的所有子级，以展示或隐藏更深层次的详细信息</w:t>
            </w:r>
          </w:p>
        </w:tc>
      </w:tr>
      <w:tr w14:paraId="7987D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17A790E">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E029D9C">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22C70C1">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038F6CCC">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leftChars="0" w:right="0" w:rightChars="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6.</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系统支持根据关键字进行搜索，允许用户快速查找并定位到特定的分类、知识点或标签，点击搜索结果可直达目标节点</w:t>
            </w:r>
          </w:p>
        </w:tc>
      </w:tr>
      <w:tr w14:paraId="437BC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4FB4F8B">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6EC86E3">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52971DA">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616A7EE0">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leftChars="0" w:right="0" w:rightChars="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7.支持将图谱以图片、Excel文件或xmind格式导出，以满足不同场景下的分享和使用需求</w:t>
            </w:r>
          </w:p>
        </w:tc>
      </w:tr>
      <w:tr w14:paraId="657F9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3E8B0E4">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29277C1">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57AB2CE6">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层级模式</w:t>
            </w: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3B99E5E3">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r>
              <w:rPr>
                <w:rFonts w:hint="eastAsia" w:asciiTheme="minorEastAsia" w:hAnsiTheme="minorEastAsia" w:eastAsiaTheme="minorEastAsia" w:cstheme="minorEastAsia"/>
                <w:i w:val="0"/>
                <w:iCs w:val="0"/>
                <w:caps w:val="0"/>
                <w:color w:val="060607"/>
                <w:spacing w:val="5"/>
                <w:kern w:val="0"/>
                <w:sz w:val="24"/>
                <w:szCs w:val="24"/>
                <w:shd w:val="clear" w:color="auto" w:fill="FFFFFF"/>
                <w:lang w:val="en-US" w:eastAsia="zh-CN" w:bidi="ar"/>
              </w:rPr>
              <w:t>系统通过层级模式揭示不同层级间分类与知识点的父子级联系，展现知识结构的层次性</w:t>
            </w:r>
          </w:p>
        </w:tc>
      </w:tr>
      <w:tr w14:paraId="64167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5F4100B">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DB2D431">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018DDF4">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74C2E2E7">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w:t>
            </w:r>
            <w:r>
              <w:rPr>
                <w:rFonts w:hint="eastAsia" w:asciiTheme="minorEastAsia" w:hAnsiTheme="minorEastAsia" w:eastAsiaTheme="minorEastAsia" w:cstheme="minorEastAsia"/>
                <w:i w:val="0"/>
                <w:iCs w:val="0"/>
                <w:caps w:val="0"/>
                <w:color w:val="060607"/>
                <w:spacing w:val="5"/>
                <w:kern w:val="0"/>
                <w:sz w:val="24"/>
                <w:szCs w:val="24"/>
                <w:shd w:val="clear" w:color="auto" w:fill="FFFFFF"/>
                <w:lang w:val="en-US" w:eastAsia="zh-CN" w:bidi="ar"/>
              </w:rPr>
              <w:t>用户选中特定层级时，系统展示该层级包含的全部分类与知识点列表，提供全面的内容概览</w:t>
            </w:r>
          </w:p>
        </w:tc>
      </w:tr>
      <w:tr w14:paraId="3AE0D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3165061">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EBB8077">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7231AEF">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78B42EA8">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w:t>
            </w:r>
            <w:r>
              <w:rPr>
                <w:rFonts w:hint="eastAsia" w:asciiTheme="minorEastAsia" w:hAnsiTheme="minorEastAsia" w:eastAsiaTheme="minorEastAsia" w:cstheme="minorEastAsia"/>
                <w:i w:val="0"/>
                <w:iCs w:val="0"/>
                <w:caps w:val="0"/>
                <w:color w:val="060607"/>
                <w:spacing w:val="5"/>
                <w:kern w:val="0"/>
                <w:sz w:val="24"/>
                <w:szCs w:val="24"/>
                <w:shd w:val="clear" w:color="auto" w:fill="FFFFFF"/>
                <w:lang w:val="en-US" w:eastAsia="zh-CN" w:bidi="ar"/>
              </w:rPr>
              <w:t>在层级弹窗中，系统支持模糊搜索功能，辅助用户迅速找到并定位目标节点</w:t>
            </w:r>
          </w:p>
        </w:tc>
      </w:tr>
      <w:tr w14:paraId="6E39B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025D053">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D889ED7">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EBA6E3D">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119C3AA9">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4.</w:t>
            </w:r>
            <w:r>
              <w:rPr>
                <w:rFonts w:hint="eastAsia" w:asciiTheme="minorEastAsia" w:hAnsiTheme="minorEastAsia" w:eastAsiaTheme="minorEastAsia" w:cstheme="minorEastAsia"/>
                <w:i w:val="0"/>
                <w:iCs w:val="0"/>
                <w:caps w:val="0"/>
                <w:color w:val="060607"/>
                <w:spacing w:val="5"/>
                <w:kern w:val="0"/>
                <w:sz w:val="24"/>
                <w:szCs w:val="24"/>
                <w:shd w:val="clear" w:color="auto" w:fill="FFFFFF"/>
                <w:lang w:val="en-US" w:eastAsia="zh-CN" w:bidi="ar"/>
              </w:rPr>
              <w:t>点击分类或知识点时，系统在弹窗中展示与其他层级相关联的分类或知识点，促进知识的横向联系理解</w:t>
            </w:r>
          </w:p>
        </w:tc>
      </w:tr>
      <w:tr w14:paraId="23BA1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C1A9603">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02502CB">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E036AE6">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7754A9D1">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5.点击分类/知识点支持展示节点属性：分类/知识点说明、分类/知识点关系、知识点标签，</w:t>
            </w:r>
            <w:r>
              <w:rPr>
                <w:rFonts w:hint="eastAsia" w:asciiTheme="minorEastAsia" w:hAnsiTheme="minorEastAsia" w:eastAsiaTheme="minorEastAsia" w:cstheme="minorEastAsia"/>
                <w:i w:val="0"/>
                <w:iCs w:val="0"/>
                <w:caps w:val="0"/>
                <w:color w:val="060607"/>
                <w:spacing w:val="5"/>
                <w:kern w:val="0"/>
                <w:sz w:val="24"/>
                <w:szCs w:val="24"/>
                <w:shd w:val="clear" w:color="auto" w:fill="FFFFFF"/>
                <w:lang w:val="en-US" w:eastAsia="zh-CN" w:bidi="ar"/>
              </w:rPr>
              <w:t>增强用户对知识点的深入理解</w:t>
            </w:r>
          </w:p>
        </w:tc>
      </w:tr>
      <w:tr w14:paraId="26D17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D54CD8A">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B8DF1BF">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A81E3C9">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068887D7">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6.</w:t>
            </w:r>
            <w:r>
              <w:rPr>
                <w:rFonts w:hint="eastAsia" w:asciiTheme="minorEastAsia" w:hAnsiTheme="minorEastAsia" w:eastAsiaTheme="minorEastAsia" w:cstheme="minorEastAsia"/>
                <w:i w:val="0"/>
                <w:iCs w:val="0"/>
                <w:caps w:val="0"/>
                <w:color w:val="060607"/>
                <w:spacing w:val="5"/>
                <w:kern w:val="0"/>
                <w:sz w:val="24"/>
                <w:szCs w:val="24"/>
                <w:shd w:val="clear" w:color="auto" w:fill="FFFFFF"/>
                <w:lang w:val="en-US" w:eastAsia="zh-CN" w:bidi="ar"/>
              </w:rPr>
              <w:t>系统支持2D视角展示，直观反映不同层级分类与知识点的数量，提供视觉化的数据展示</w:t>
            </w:r>
          </w:p>
        </w:tc>
      </w:tr>
      <w:tr w14:paraId="454BF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9C1F0BB">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2491DE7">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498ADD6">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78D3CA15">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7.</w:t>
            </w:r>
            <w:r>
              <w:rPr>
                <w:rFonts w:hint="eastAsia" w:asciiTheme="minorEastAsia" w:hAnsiTheme="minorEastAsia" w:eastAsiaTheme="minorEastAsia" w:cstheme="minorEastAsia"/>
                <w:i w:val="0"/>
                <w:iCs w:val="0"/>
                <w:caps w:val="0"/>
                <w:color w:val="060607"/>
                <w:spacing w:val="5"/>
                <w:kern w:val="0"/>
                <w:sz w:val="24"/>
                <w:szCs w:val="24"/>
                <w:shd w:val="clear" w:color="auto" w:fill="FFFFFF"/>
                <w:lang w:val="en-US" w:eastAsia="zh-CN" w:bidi="ar"/>
              </w:rPr>
              <w:t>在2D层级中，用户点击分类或知识点即可查看节点的详细信息，便于用户深入了解每个知识点</w:t>
            </w:r>
          </w:p>
        </w:tc>
      </w:tr>
      <w:tr w14:paraId="14F30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7CF0560">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0C123F8">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6E45145">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5F2C72B6">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leftChars="0" w:right="0" w:rightChars="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8.</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支持将图谱以图片、Excel文件或xmind格式导出，以满足不同场景下的分享和使用需求</w:t>
            </w:r>
          </w:p>
        </w:tc>
      </w:tr>
      <w:tr w14:paraId="4C6F5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3BD4865">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936F2C6">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6DFA28F">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6232B9E0">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9.</w:t>
            </w:r>
            <w:r>
              <w:rPr>
                <w:rFonts w:hint="eastAsia" w:asciiTheme="minorEastAsia" w:hAnsiTheme="minorEastAsia" w:eastAsiaTheme="minorEastAsia" w:cstheme="minorEastAsia"/>
                <w:i w:val="0"/>
                <w:iCs w:val="0"/>
                <w:caps w:val="0"/>
                <w:color w:val="060607"/>
                <w:spacing w:val="5"/>
                <w:kern w:val="0"/>
                <w:sz w:val="24"/>
                <w:szCs w:val="24"/>
                <w:shd w:val="clear" w:color="auto" w:fill="FFFFFF"/>
                <w:lang w:val="en-US" w:eastAsia="zh-CN" w:bidi="ar"/>
              </w:rPr>
              <w:t>层级模式支持浅色样式切换，提升视觉体验，优化用户界面感受</w:t>
            </w:r>
          </w:p>
        </w:tc>
      </w:tr>
      <w:tr w14:paraId="27EBC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E962101">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BB57350">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0DE59591">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框架模式</w:t>
            </w: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11FF9A30">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pP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1.</w:t>
            </w:r>
            <w:r>
              <w:rPr>
                <w:rFonts w:hint="eastAsia" w:asciiTheme="minorEastAsia" w:hAnsiTheme="minorEastAsia" w:eastAsiaTheme="minorEastAsia" w:cstheme="minorEastAsia"/>
                <w:i w:val="0"/>
                <w:iCs w:val="0"/>
                <w:caps w:val="0"/>
                <w:color w:val="060607"/>
                <w:spacing w:val="5"/>
                <w:kern w:val="0"/>
                <w:sz w:val="24"/>
                <w:szCs w:val="24"/>
                <w:shd w:val="clear" w:color="auto" w:fill="FFFFFF"/>
                <w:lang w:val="en-US" w:eastAsia="zh-CN" w:bidi="ar"/>
              </w:rPr>
              <w:t>系统展示每个分类下的知识点学习路径，引导用户有序学习，促进学习思路的清晰化</w:t>
            </w:r>
          </w:p>
        </w:tc>
      </w:tr>
      <w:tr w14:paraId="570EC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68F35B3">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5F87E61">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82F99D6">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70DB6A87">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pP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2.支持展示每个分类下知识点总数，</w:t>
            </w:r>
            <w:r>
              <w:rPr>
                <w:rFonts w:hint="eastAsia" w:asciiTheme="minorEastAsia" w:hAnsiTheme="minorEastAsia" w:eastAsiaTheme="minorEastAsia" w:cstheme="minorEastAsia"/>
                <w:i w:val="0"/>
                <w:iCs w:val="0"/>
                <w:caps w:val="0"/>
                <w:color w:val="060607"/>
                <w:spacing w:val="5"/>
                <w:kern w:val="0"/>
                <w:sz w:val="24"/>
                <w:szCs w:val="24"/>
                <w:shd w:val="clear" w:color="auto" w:fill="FFFFFF"/>
                <w:lang w:val="en-US" w:eastAsia="zh-CN" w:bidi="ar"/>
              </w:rPr>
              <w:t>辅助用户构建和理解整体知识框架</w:t>
            </w:r>
          </w:p>
        </w:tc>
      </w:tr>
      <w:tr w14:paraId="20F3A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D0647E2">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94E7BAB">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A8050CC">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189FC903">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pP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3.</w:t>
            </w:r>
            <w:r>
              <w:rPr>
                <w:rFonts w:hint="eastAsia" w:asciiTheme="minorEastAsia" w:hAnsiTheme="minorEastAsia" w:eastAsiaTheme="minorEastAsia" w:cstheme="minorEastAsia"/>
                <w:i w:val="0"/>
                <w:iCs w:val="0"/>
                <w:caps w:val="0"/>
                <w:color w:val="060607"/>
                <w:spacing w:val="5"/>
                <w:kern w:val="0"/>
                <w:sz w:val="24"/>
                <w:szCs w:val="24"/>
                <w:shd w:val="clear" w:color="auto" w:fill="FFFFFF"/>
                <w:lang w:val="en-US" w:eastAsia="zh-CN" w:bidi="ar"/>
              </w:rPr>
              <w:t>在知识体系中，对于超过四级的层级结构，系统支持展开全部子级，使用户能够全面查看所有相关节点</w:t>
            </w:r>
          </w:p>
        </w:tc>
      </w:tr>
      <w:tr w14:paraId="22446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727EC1B">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CC80F21">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4E3810E">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27C885DC">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kern w:val="2"/>
                <w:sz w:val="24"/>
                <w:szCs w:val="24"/>
                <w:vertAlign w:val="baseline"/>
                <w:lang w:val="en-US" w:eastAsia="zh-CN" w:bidi="ar-SA"/>
              </w:rPr>
              <w:t>4.</w:t>
            </w:r>
            <w:r>
              <w:rPr>
                <w:rFonts w:hint="eastAsia" w:asciiTheme="minorEastAsia" w:hAnsiTheme="minorEastAsia" w:eastAsiaTheme="minorEastAsia" w:cstheme="minorEastAsia"/>
                <w:i w:val="0"/>
                <w:iCs w:val="0"/>
                <w:caps w:val="0"/>
                <w:color w:val="060607"/>
                <w:spacing w:val="5"/>
                <w:kern w:val="0"/>
                <w:sz w:val="24"/>
                <w:szCs w:val="24"/>
                <w:shd w:val="clear" w:color="auto" w:fill="FFFFFF"/>
                <w:lang w:val="en-US" w:eastAsia="zh-CN" w:bidi="ar"/>
              </w:rPr>
              <w:t>在搜索知识点时，系统展示包含该知识点的分类数量，用户可以通过切换分类快速定位目标知识点</w:t>
            </w:r>
          </w:p>
        </w:tc>
      </w:tr>
      <w:tr w14:paraId="5AC1F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A163F0F">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3E0BDAA">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9FC9DF4">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0746801F">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kern w:val="2"/>
                <w:sz w:val="24"/>
                <w:szCs w:val="24"/>
                <w:vertAlign w:val="baseline"/>
                <w:lang w:val="en-US" w:eastAsia="zh-CN" w:bidi="ar-SA"/>
              </w:rPr>
              <w:t>5.</w:t>
            </w:r>
            <w:r>
              <w:rPr>
                <w:rFonts w:hint="eastAsia" w:asciiTheme="minorEastAsia" w:hAnsiTheme="minorEastAsia" w:eastAsiaTheme="minorEastAsia" w:cstheme="minorEastAsia"/>
                <w:i w:val="0"/>
                <w:iCs w:val="0"/>
                <w:caps w:val="0"/>
                <w:color w:val="060607"/>
                <w:spacing w:val="5"/>
                <w:kern w:val="0"/>
                <w:sz w:val="24"/>
                <w:szCs w:val="24"/>
                <w:shd w:val="clear" w:color="auto" w:fill="FFFFFF"/>
                <w:lang w:val="en-US" w:eastAsia="zh-CN" w:bidi="ar"/>
              </w:rPr>
              <w:t>当知识点名称中包含关键词，系统通过标红关键词和高亮显示相关分类，辅助用户迅速识别和查找</w:t>
            </w:r>
          </w:p>
        </w:tc>
      </w:tr>
      <w:tr w14:paraId="0B716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05372AB">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DDCFAD2">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73FC185">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76D9A57F">
            <w:pPr>
              <w:keepNext w:val="0"/>
              <w:keepLines w:val="0"/>
              <w:pageBreakBefore w:val="0"/>
              <w:suppressLineNumbers w:val="0"/>
              <w:kinsoku/>
              <w:wordWrap/>
              <w:overflowPunct/>
              <w:topLinePunct w:val="0"/>
              <w:autoSpaceDE/>
              <w:autoSpaceDN/>
              <w:bidi w:val="0"/>
              <w:adjustRightInd/>
              <w:snapToGrid/>
              <w:spacing w:beforeAutospacing="0" w:after="0" w:afterAutospacing="0"/>
              <w:ind w:left="0" w:leftChars="0" w:right="0" w:rightChars="0"/>
              <w:jc w:val="both"/>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6.支持将图谱以图片、Excel文件或xmind格式导出，以满足不同场景下的分享和使用需求</w:t>
            </w:r>
          </w:p>
        </w:tc>
      </w:tr>
      <w:tr w14:paraId="6D9EB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B3616B8">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FD6C763">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2466CD3">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71394BDE">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7.</w:t>
            </w:r>
            <w:r>
              <w:rPr>
                <w:rFonts w:hint="eastAsia" w:asciiTheme="minorEastAsia" w:hAnsiTheme="minorEastAsia" w:eastAsiaTheme="minorEastAsia" w:cstheme="minorEastAsia"/>
                <w:i w:val="0"/>
                <w:iCs w:val="0"/>
                <w:caps w:val="0"/>
                <w:color w:val="060607"/>
                <w:spacing w:val="5"/>
                <w:kern w:val="0"/>
                <w:sz w:val="24"/>
                <w:szCs w:val="24"/>
                <w:shd w:val="clear" w:color="auto" w:fill="FFFFFF"/>
                <w:lang w:val="en-US" w:eastAsia="zh-CN" w:bidi="ar"/>
              </w:rPr>
              <w:t>框架模式支持切换为浅色样式，丰富图谱的视觉色彩，提升用户体验</w:t>
            </w:r>
          </w:p>
        </w:tc>
      </w:tr>
      <w:tr w14:paraId="02770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8A072FD">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2FBB0E8">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46022900">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地图模式</w:t>
            </w: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45A28404">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r>
              <w:rPr>
                <w:rFonts w:hint="eastAsia" w:asciiTheme="minorEastAsia" w:hAnsiTheme="minorEastAsia" w:eastAsiaTheme="minorEastAsia" w:cstheme="minorEastAsia"/>
                <w:i w:val="0"/>
                <w:iCs w:val="0"/>
                <w:caps w:val="0"/>
                <w:color w:val="060607"/>
                <w:spacing w:val="5"/>
                <w:kern w:val="0"/>
                <w:sz w:val="24"/>
                <w:szCs w:val="24"/>
                <w:shd w:val="clear" w:color="auto" w:fill="FFFFFF"/>
                <w:lang w:val="en-US" w:eastAsia="zh-CN" w:bidi="ar"/>
              </w:rPr>
              <w:t>系统在地图视图中展示课程名称和一级分类/知识点，为用户提供清晰的图谱架构概览</w:t>
            </w:r>
          </w:p>
        </w:tc>
      </w:tr>
      <w:tr w14:paraId="75A29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BF5DB88">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CDC902F">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A7FBCEE">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7F06FBF4">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w:t>
            </w:r>
            <w:r>
              <w:rPr>
                <w:rFonts w:hint="eastAsia" w:asciiTheme="minorEastAsia" w:hAnsiTheme="minorEastAsia" w:eastAsiaTheme="minorEastAsia" w:cstheme="minorEastAsia"/>
                <w:i w:val="0"/>
                <w:iCs w:val="0"/>
                <w:caps w:val="0"/>
                <w:color w:val="060607"/>
                <w:spacing w:val="5"/>
                <w:kern w:val="0"/>
                <w:sz w:val="24"/>
                <w:szCs w:val="24"/>
                <w:shd w:val="clear" w:color="auto" w:fill="FFFFFF"/>
                <w:lang w:val="en-US" w:eastAsia="zh-CN" w:bidi="ar"/>
              </w:rPr>
              <w:t>用户点击分类时，系统展示其下一层级的子级，便于用户逐步探索更深层次的知识结构</w:t>
            </w:r>
          </w:p>
        </w:tc>
      </w:tr>
      <w:tr w14:paraId="48081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BE9BA0F">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538A525">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0BE16B3">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5CE8E320">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w:t>
            </w:r>
            <w:r>
              <w:rPr>
                <w:rFonts w:hint="eastAsia" w:asciiTheme="minorEastAsia" w:hAnsiTheme="minorEastAsia" w:eastAsiaTheme="minorEastAsia" w:cstheme="minorEastAsia"/>
                <w:i w:val="0"/>
                <w:iCs w:val="0"/>
                <w:caps w:val="0"/>
                <w:color w:val="060607"/>
                <w:spacing w:val="5"/>
                <w:kern w:val="0"/>
                <w:sz w:val="24"/>
                <w:szCs w:val="24"/>
                <w:shd w:val="clear" w:color="auto" w:fill="FFFFFF"/>
                <w:lang w:val="en-US" w:eastAsia="zh-CN" w:bidi="ar"/>
              </w:rPr>
              <w:t>通过不同颜色区分不同层级的分类和知识点，增强界面的视觉层次感和美观性</w:t>
            </w:r>
          </w:p>
        </w:tc>
      </w:tr>
      <w:tr w14:paraId="47236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BC9B03B">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50B2A9D">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6271C42">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66E1B844">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4.</w:t>
            </w:r>
            <w:r>
              <w:rPr>
                <w:rFonts w:hint="eastAsia" w:asciiTheme="minorEastAsia" w:hAnsiTheme="minorEastAsia" w:eastAsiaTheme="minorEastAsia" w:cstheme="minorEastAsia"/>
                <w:i w:val="0"/>
                <w:iCs w:val="0"/>
                <w:caps w:val="0"/>
                <w:color w:val="060607"/>
                <w:spacing w:val="5"/>
                <w:kern w:val="0"/>
                <w:sz w:val="24"/>
                <w:szCs w:val="24"/>
                <w:shd w:val="clear" w:color="auto" w:fill="FFFFFF"/>
                <w:lang w:val="en-US" w:eastAsia="zh-CN" w:bidi="ar"/>
              </w:rPr>
              <w:t>用户可以通过拖动图谱来调整地图模式的摆放位置，满足个性化的节点查看需求</w:t>
            </w:r>
          </w:p>
        </w:tc>
      </w:tr>
      <w:tr w14:paraId="75B89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F63CBEC">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0B4810A">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02EFC48">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3CA32BAD">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5.</w:t>
            </w:r>
            <w:r>
              <w:rPr>
                <w:rFonts w:hint="eastAsia" w:asciiTheme="minorEastAsia" w:hAnsiTheme="minorEastAsia" w:eastAsiaTheme="minorEastAsia" w:cstheme="minorEastAsia"/>
                <w:i w:val="0"/>
                <w:iCs w:val="0"/>
                <w:caps w:val="0"/>
                <w:color w:val="060607"/>
                <w:spacing w:val="5"/>
                <w:kern w:val="0"/>
                <w:sz w:val="24"/>
                <w:szCs w:val="24"/>
                <w:shd w:val="clear" w:color="auto" w:fill="FFFFFF"/>
                <w:lang w:val="en-US" w:eastAsia="zh-CN" w:bidi="ar"/>
              </w:rPr>
              <w:t>用户可以通过放大或缩小图谱来适配展示大小，优化视觉展示效果，提升用户体验</w:t>
            </w:r>
          </w:p>
        </w:tc>
      </w:tr>
      <w:tr w14:paraId="6E7A4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8B0B996">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3563BCC">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8E8266E">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36E8B475">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6.</w:t>
            </w:r>
            <w:r>
              <w:rPr>
                <w:rFonts w:hint="eastAsia" w:asciiTheme="minorEastAsia" w:hAnsiTheme="minorEastAsia" w:eastAsiaTheme="minorEastAsia" w:cstheme="minorEastAsia"/>
                <w:i w:val="0"/>
                <w:iCs w:val="0"/>
                <w:caps w:val="0"/>
                <w:color w:val="060607"/>
                <w:spacing w:val="5"/>
                <w:kern w:val="0"/>
                <w:sz w:val="24"/>
                <w:szCs w:val="24"/>
                <w:shd w:val="clear" w:color="auto" w:fill="FFFFFF"/>
                <w:lang w:val="en-US" w:eastAsia="zh-CN" w:bidi="ar"/>
              </w:rPr>
              <w:t>支持将图谱导出为多种格式，包括图片、Excel文件或xmind格式，以适应不同场景下的分享和使用需求</w:t>
            </w:r>
          </w:p>
        </w:tc>
      </w:tr>
      <w:tr w14:paraId="362B2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8B20419">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AB9D5CA">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4B65041">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059D806B">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7.</w:t>
            </w:r>
            <w:r>
              <w:rPr>
                <w:rFonts w:hint="eastAsia" w:asciiTheme="minorEastAsia" w:hAnsiTheme="minorEastAsia" w:eastAsiaTheme="minorEastAsia" w:cstheme="minorEastAsia"/>
                <w:i w:val="0"/>
                <w:iCs w:val="0"/>
                <w:caps w:val="0"/>
                <w:color w:val="060607"/>
                <w:spacing w:val="5"/>
                <w:kern w:val="0"/>
                <w:sz w:val="24"/>
                <w:szCs w:val="24"/>
                <w:shd w:val="clear" w:color="auto" w:fill="FFFFFF"/>
                <w:lang w:val="en-US" w:eastAsia="zh-CN" w:bidi="ar"/>
              </w:rPr>
              <w:t>地图模式支持切换为浅色样式，提供更丰富的色彩选择，增强图谱的视觉吸引力</w:t>
            </w:r>
          </w:p>
        </w:tc>
      </w:tr>
      <w:tr w14:paraId="5571D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1142FD3">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5A7D928">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701466E2">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问题模式</w:t>
            </w: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1DDF78EB">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r>
              <w:rPr>
                <w:rFonts w:hint="eastAsia" w:asciiTheme="minorEastAsia" w:hAnsiTheme="minorEastAsia" w:eastAsiaTheme="minorEastAsia" w:cstheme="minorEastAsia"/>
                <w:i w:val="0"/>
                <w:iCs w:val="0"/>
                <w:caps w:val="0"/>
                <w:color w:val="060607"/>
                <w:spacing w:val="5"/>
                <w:kern w:val="0"/>
                <w:sz w:val="24"/>
                <w:szCs w:val="24"/>
                <w:shd w:val="clear" w:color="auto" w:fill="FFFFFF"/>
                <w:lang w:val="en-US" w:eastAsia="zh-CN" w:bidi="ar"/>
              </w:rPr>
              <w:t>系统允许用户根据多样化的教学场景需求，自定义板块名称和内容，以建立丰富的教学设计</w:t>
            </w:r>
          </w:p>
        </w:tc>
      </w:tr>
      <w:tr w14:paraId="6DA28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C6BAD35">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225F957">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C88283E">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44A5F77E">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2.</w:t>
            </w:r>
            <w:r>
              <w:rPr>
                <w:rFonts w:hint="eastAsia" w:asciiTheme="minorEastAsia" w:hAnsiTheme="minorEastAsia" w:eastAsiaTheme="minorEastAsia" w:cstheme="minorEastAsia"/>
                <w:i w:val="0"/>
                <w:iCs w:val="0"/>
                <w:caps w:val="0"/>
                <w:color w:val="060607"/>
                <w:spacing w:val="5"/>
                <w:kern w:val="0"/>
                <w:sz w:val="24"/>
                <w:szCs w:val="24"/>
                <w:shd w:val="clear" w:color="auto" w:fill="FFFFFF"/>
                <w:lang w:val="en-US" w:eastAsia="zh-CN" w:bidi="ar"/>
              </w:rPr>
              <w:t>通过图谱形式展现用户自定义内容与知识点之间的关联，使用户能够直观地理解知识结构</w:t>
            </w:r>
          </w:p>
        </w:tc>
      </w:tr>
      <w:tr w14:paraId="15D5E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ED9C348">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4F00526">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F0B734C">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1EFC4572">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3.</w:t>
            </w:r>
            <w:r>
              <w:rPr>
                <w:rFonts w:hint="eastAsia" w:asciiTheme="minorEastAsia" w:hAnsiTheme="minorEastAsia" w:eastAsiaTheme="minorEastAsia" w:cstheme="minorEastAsia"/>
                <w:i w:val="0"/>
                <w:iCs w:val="0"/>
                <w:caps w:val="0"/>
                <w:color w:val="060607"/>
                <w:spacing w:val="5"/>
                <w:kern w:val="0"/>
                <w:sz w:val="24"/>
                <w:szCs w:val="24"/>
                <w:shd w:val="clear" w:color="auto" w:fill="FFFFFF"/>
                <w:lang w:val="en-US" w:eastAsia="zh-CN" w:bidi="ar"/>
              </w:rPr>
              <w:t>用户可以对栏目中的节点信息进行修改，包括名称、描述、标签和知识点，以保持内容的时效性和准确性</w:t>
            </w:r>
          </w:p>
        </w:tc>
      </w:tr>
      <w:tr w14:paraId="33602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834E746">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30A317B">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128EDF5">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74946226">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4.</w:t>
            </w:r>
            <w:r>
              <w:rPr>
                <w:rFonts w:hint="eastAsia" w:asciiTheme="minorEastAsia" w:hAnsiTheme="minorEastAsia" w:eastAsiaTheme="minorEastAsia" w:cstheme="minorEastAsia"/>
                <w:i w:val="0"/>
                <w:iCs w:val="0"/>
                <w:caps w:val="0"/>
                <w:color w:val="060607"/>
                <w:spacing w:val="5"/>
                <w:kern w:val="0"/>
                <w:sz w:val="24"/>
                <w:szCs w:val="24"/>
                <w:shd w:val="clear" w:color="auto" w:fill="FFFFFF"/>
                <w:lang w:val="en-US" w:eastAsia="zh-CN" w:bidi="ar"/>
              </w:rPr>
              <w:t>提供两种子级内容关联方式，包括层级连线和板块关联功能，展示自定义内容间的层级结构</w:t>
            </w:r>
          </w:p>
        </w:tc>
      </w:tr>
      <w:tr w14:paraId="05D58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0799D1D">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95CA85E">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1F82B61">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2F53D1D3">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5.</w:t>
            </w:r>
            <w:r>
              <w:rPr>
                <w:rFonts w:hint="eastAsia" w:asciiTheme="minorEastAsia" w:hAnsiTheme="minorEastAsia" w:eastAsiaTheme="minorEastAsia" w:cstheme="minorEastAsia"/>
                <w:i w:val="0"/>
                <w:iCs w:val="0"/>
                <w:caps w:val="0"/>
                <w:color w:val="060607"/>
                <w:spacing w:val="5"/>
                <w:kern w:val="0"/>
                <w:sz w:val="24"/>
                <w:szCs w:val="24"/>
                <w:shd w:val="clear" w:color="auto" w:fill="FFFFFF"/>
                <w:lang w:val="en-US" w:eastAsia="zh-CN" w:bidi="ar"/>
              </w:rPr>
              <w:t>支持对板块内容进行删除和批量删除，提升教学资源管理的效率</w:t>
            </w:r>
          </w:p>
        </w:tc>
      </w:tr>
      <w:tr w14:paraId="15FA7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F9C75D3">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3A47AD4">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A43B66B">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54CBE2EB">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6.</w:t>
            </w:r>
            <w:r>
              <w:rPr>
                <w:rFonts w:hint="eastAsia" w:asciiTheme="minorEastAsia" w:hAnsiTheme="minorEastAsia" w:eastAsiaTheme="minorEastAsia" w:cstheme="minorEastAsia"/>
                <w:i w:val="0"/>
                <w:iCs w:val="0"/>
                <w:caps w:val="0"/>
                <w:color w:val="060607"/>
                <w:spacing w:val="5"/>
                <w:kern w:val="0"/>
                <w:sz w:val="24"/>
                <w:szCs w:val="24"/>
                <w:shd w:val="clear" w:color="auto" w:fill="FFFFFF"/>
                <w:lang w:val="en-US" w:eastAsia="zh-CN" w:bidi="ar"/>
              </w:rPr>
              <w:t>支持批量导入自定义内容和一键图谱数据，简化教学资源的准备工作</w:t>
            </w:r>
          </w:p>
        </w:tc>
      </w:tr>
      <w:tr w14:paraId="3F12F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9EEF4DA">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3709579">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EEB1FEE">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44EA8FC0">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leftChars="0" w:right="0" w:rightChars="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7.提供一键展开或收起自定义内容间的层级连线的功能，便于用户查看图谱结构</w:t>
            </w:r>
          </w:p>
        </w:tc>
      </w:tr>
      <w:tr w14:paraId="77417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73401D3">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B13861E">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3FCCCB5">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6C7589A8">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8.支持</w:t>
            </w:r>
            <w:r>
              <w:rPr>
                <w:rFonts w:hint="eastAsia" w:asciiTheme="minorEastAsia" w:hAnsiTheme="minorEastAsia" w:eastAsiaTheme="minorEastAsia" w:cstheme="minorEastAsia"/>
                <w:i w:val="0"/>
                <w:iCs w:val="0"/>
                <w:caps w:val="0"/>
                <w:color w:val="060607"/>
                <w:spacing w:val="5"/>
                <w:kern w:val="0"/>
                <w:sz w:val="24"/>
                <w:szCs w:val="24"/>
                <w:shd w:val="clear" w:color="auto" w:fill="FFFFFF"/>
                <w:lang w:val="en-US" w:eastAsia="zh-CN" w:bidi="ar"/>
              </w:rPr>
              <w:t>开启探索模式，模拟学生学习路径，通过内容选择和知识点关联，促进学生的深入思考</w:t>
            </w:r>
          </w:p>
        </w:tc>
      </w:tr>
      <w:tr w14:paraId="4EA29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57DBC3F">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866EFD4">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36846DC">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0120C2BD">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9.</w:t>
            </w: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i w:val="0"/>
                <w:iCs w:val="0"/>
                <w:caps w:val="0"/>
                <w:color w:val="060607"/>
                <w:spacing w:val="5"/>
                <w:kern w:val="0"/>
                <w:sz w:val="24"/>
                <w:szCs w:val="24"/>
                <w:shd w:val="clear" w:color="auto" w:fill="FFFFFF"/>
                <w:lang w:val="en-US" w:eastAsia="zh-CN" w:bidi="ar"/>
              </w:rPr>
              <w:t>探索模式鼓励用户深入思考教学内容，通过选择自定义内容组加深对教学内容的理解</w:t>
            </w:r>
          </w:p>
        </w:tc>
      </w:tr>
      <w:tr w14:paraId="4ECBB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9B6025D">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C327CD8">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66671CB">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744F6592">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10.</w:t>
            </w:r>
            <w:r>
              <w:rPr>
                <w:rFonts w:hint="eastAsia" w:asciiTheme="minorEastAsia" w:hAnsiTheme="minorEastAsia" w:eastAsiaTheme="minorEastAsia" w:cstheme="minorEastAsia"/>
                <w:i w:val="0"/>
                <w:iCs w:val="0"/>
                <w:caps w:val="0"/>
                <w:color w:val="060607"/>
                <w:spacing w:val="5"/>
                <w:kern w:val="0"/>
                <w:sz w:val="24"/>
                <w:szCs w:val="24"/>
                <w:shd w:val="clear" w:color="auto" w:fill="FFFFFF"/>
                <w:lang w:val="en-US" w:eastAsia="zh-CN" w:bidi="ar"/>
              </w:rPr>
              <w:t>在探索模式中，用户构建核心内容与子级的知识网络，并通过与标准答案对比实现自我评估</w:t>
            </w:r>
          </w:p>
        </w:tc>
      </w:tr>
      <w:tr w14:paraId="47427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1B557B3">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7AD4BDB">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B2FAA44">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0343C924">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11.</w:t>
            </w:r>
            <w:r>
              <w:rPr>
                <w:rFonts w:hint="eastAsia" w:asciiTheme="minorEastAsia" w:hAnsiTheme="minorEastAsia" w:eastAsiaTheme="minorEastAsia" w:cstheme="minorEastAsia"/>
                <w:i w:val="0"/>
                <w:iCs w:val="0"/>
                <w:caps w:val="0"/>
                <w:color w:val="060607"/>
                <w:spacing w:val="5"/>
                <w:kern w:val="0"/>
                <w:sz w:val="24"/>
                <w:szCs w:val="24"/>
                <w:shd w:val="clear" w:color="auto" w:fill="FFFFFF"/>
                <w:lang w:val="en-US" w:eastAsia="zh-CN" w:bidi="ar"/>
              </w:rPr>
              <w:t>系统支持用户在图谱讨论区发起新话题，激发学生参与讨论，通过交流深化理解，促进知识共享</w:t>
            </w:r>
          </w:p>
        </w:tc>
      </w:tr>
      <w:tr w14:paraId="25CD5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4763C231">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8</w:t>
            </w:r>
          </w:p>
        </w:tc>
        <w:tc>
          <w:tcPr>
            <w:tcW w:w="962"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7E1F3D97">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图谱编辑</w:t>
            </w:r>
          </w:p>
        </w:tc>
        <w:tc>
          <w:tcPr>
            <w:tcW w:w="1439"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5DA5FB98">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知识图谱编辑</w:t>
            </w: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56859D0C">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leftChars="0" w:right="0" w:rightChars="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1.支持</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以清晰的列表形式呈现分类与知识点之间的层级架构，体现它们之间的逻辑和组织关系</w:t>
            </w:r>
          </w:p>
        </w:tc>
      </w:tr>
      <w:tr w14:paraId="61C45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5E76E9A">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8F430D6">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D0B0085">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6CDD5351">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leftChars="0" w:right="0" w:rightChars="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2.</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利用标签系统对知识点和分类进行属性区分和标记，增强用户识别和分类的能力</w:t>
            </w:r>
          </w:p>
        </w:tc>
      </w:tr>
      <w:tr w14:paraId="356A7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616F034">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743C111">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1A81B8B">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16DB988A">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leftChars="0" w:right="0" w:rightChars="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3.提供功能以Excel形式输出分类和知识点的层级结构，包括节点间的前后&amp;关联&amp;自定义关系、标签、分类属性、教学目标和节点说明，以便于记录和分析</w:t>
            </w:r>
          </w:p>
        </w:tc>
      </w:tr>
      <w:tr w14:paraId="024F8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1CBFD03">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E0A61D3">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1EFF570">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17394893">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leftChars="0" w:right="0" w:rightChars="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4.支持快速检索分类、知识点和标签，使用户能够迅速定位并访问所需信息</w:t>
            </w:r>
          </w:p>
        </w:tc>
      </w:tr>
      <w:tr w14:paraId="1D4C4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D41D8DB">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3E129AB">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83C53FE">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1EA5D7A7">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leftChars="0" w:right="0" w:rightChars="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5.展示分类和知识点的总数量，为用户提供对课程结构规模和复杂性的直观理解</w:t>
            </w:r>
          </w:p>
        </w:tc>
      </w:tr>
      <w:tr w14:paraId="34101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F0AF407">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F5610C6">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621F7D9">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0A977181">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leftChars="0" w:right="0" w:rightChars="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6.</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对每个分类或知识点提供详尽的视图，包括其附加标签、前后关系和关联关系以及自定义关系，以构建全面的课程内容理解</w:t>
            </w:r>
          </w:p>
        </w:tc>
      </w:tr>
      <w:tr w14:paraId="1313B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9019CE6">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3191C60">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01BA356">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6EA55A19">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leftChars="0" w:right="0" w:rightChars="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7.</w:t>
            </w: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支持用户在编辑图谱数据时引用知识图谱中的知识点，避免出现重复添加的问题，提高备课效率</w:t>
            </w:r>
          </w:p>
        </w:tc>
      </w:tr>
      <w:tr w14:paraId="71CCC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415"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06366487">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9</w:t>
            </w:r>
          </w:p>
        </w:tc>
        <w:tc>
          <w:tcPr>
            <w:tcW w:w="962"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0AF789B3">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知识图谱微课应用</w:t>
            </w:r>
          </w:p>
        </w:tc>
        <w:tc>
          <w:tcPr>
            <w:tcW w:w="1439"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5349C5FB">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资源管理</w:t>
            </w: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2EA21D95">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1.</w:t>
            </w: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微课学习内容可以通过多种方式与资源建立联系，包括直接手动录入、从现有章节中抽取，或与章节中的知识点实现同步</w:t>
            </w:r>
          </w:p>
        </w:tc>
      </w:tr>
      <w:tr w14:paraId="7FC3E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5749755">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1B4C3CA">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087978B">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73A534DB">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2.支持</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在学习内容中嵌入多种格式的资源，如多媒体文件、图像、文档、互动测验和讨论板块等，以丰富学习体验</w:t>
            </w:r>
          </w:p>
        </w:tc>
      </w:tr>
      <w:tr w14:paraId="2C002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A9CA43D">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4CE5A99">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7A1C39B">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3E78BB34">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3.</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提供文本编辑功能，允许用户根据需要调整字体样式、大小和其他视觉属性，以优化内容的呈现效果</w:t>
            </w:r>
          </w:p>
        </w:tc>
      </w:tr>
      <w:tr w14:paraId="40EFF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98DF67C">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9D7E9AC">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873E115">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1E848EFF">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4.</w:t>
            </w: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支持从章节自动导入学习内容，并实现与知识点的自动关联，简化了手动操作，提高了效率</w:t>
            </w:r>
          </w:p>
        </w:tc>
      </w:tr>
      <w:tr w14:paraId="74D78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1C70A34">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5D65818">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C922839">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37C36FD2">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5.</w:t>
            </w: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允许教师在章节和知识点之间建立联系后，快速同步至微课平台，减少重复性工作，提升备课的效率</w:t>
            </w:r>
          </w:p>
        </w:tc>
      </w:tr>
      <w:tr w14:paraId="24CBA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ABA5742">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31AB5C6">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686D3E47">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题库管理</w:t>
            </w: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3DAAC091">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1.</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系统提供功能以供用户查看与特定知识点相关联的题目集合</w:t>
            </w:r>
          </w:p>
        </w:tc>
      </w:tr>
      <w:tr w14:paraId="37F23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09E2442">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C9CA356">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5DE8B95">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14613EDE">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2.</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支持用户通过手动编写或从现有教学资源中抽取信息来创建题目</w:t>
            </w:r>
          </w:p>
        </w:tc>
      </w:tr>
      <w:tr w14:paraId="19E53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9EF01F2">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24C937C">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03C7970">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5E459534">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3.</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允许用户创建至少11种类型的题目，包括但不限于选择题、填空题、判断题等，并支持自定义题型</w:t>
            </w:r>
          </w:p>
        </w:tc>
      </w:tr>
      <w:tr w14:paraId="138E8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5FFBEAB">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89CEA53">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AF101C8">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31C20242">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4.</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在题目创建或编辑过程中，允许用户关联课程分类和知识点，标记知识点标签，设置难度等级和答案解析</w:t>
            </w:r>
          </w:p>
        </w:tc>
      </w:tr>
      <w:tr w14:paraId="64E2A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0FD12F2">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016F5C0">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1307F3E">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0C8C5C0A">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5.</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支持通过模板或智能识别技术批量导入题目，简化题目输入过程</w:t>
            </w:r>
          </w:p>
        </w:tc>
      </w:tr>
      <w:tr w14:paraId="1E6CC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FE4A2DC">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52A31CC">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06BD2AC">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0CF0C41B">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6.支持</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用户可以快速浏览题目及其选项的详细信息</w:t>
            </w:r>
          </w:p>
        </w:tc>
      </w:tr>
      <w:tr w14:paraId="1D7C6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804C7CC">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B54F7D6">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EBE6ED5">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01EBC746">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7.支持</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提供对题型的集中管理，包括创建、修改和删除题型名称</w:t>
            </w:r>
          </w:p>
        </w:tc>
      </w:tr>
      <w:tr w14:paraId="101B2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7E36FBA">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304BF68">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2285771">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6FB0A932">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8.</w:t>
            </w: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sz w:val="24"/>
                <w:szCs w:val="24"/>
                <w:vertAlign w:val="baseline"/>
                <w:lang w:val="en-US" w:eastAsia="zh-CN"/>
              </w:rPr>
              <w:t>支持AI智能出题：</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利用人工智能技术根据知识点自动生成题目，以提高出题效率</w:t>
            </w:r>
          </w:p>
        </w:tc>
      </w:tr>
      <w:tr w14:paraId="73292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F382D3B">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334E90A">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F8F1F26">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6AFA59E1">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9.支持以列表的形式展示文件夹/题目的名称、题目数量、题型、难易程度、使用量、正确率、创建者以及创建时间</w:t>
            </w:r>
          </w:p>
        </w:tc>
      </w:tr>
      <w:tr w14:paraId="45770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7CDB7BB">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083A1CB">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4295107">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6F7C55F3">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10.</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支持题目的批量导出、删除、复制、锁定和云存储，以增强题目管理的灵活性</w:t>
            </w:r>
          </w:p>
        </w:tc>
      </w:tr>
      <w:tr w14:paraId="2759D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FDB8898">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0CF37E0">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294EA75">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2612F8AC">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11.支持</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高效的检索机制，允许用户通过题型、标签和正确率等条件快速找到目标题目</w:t>
            </w:r>
          </w:p>
        </w:tc>
      </w:tr>
      <w:tr w14:paraId="7FDE8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0B67F99">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3D25194">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5499F72">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5FEC5D29">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12.</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在微课题库中创建题目时，系统支持自动将题目与相应知识点绑定，简化操作流程</w:t>
            </w:r>
          </w:p>
        </w:tc>
      </w:tr>
      <w:tr w14:paraId="08AC8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739933B">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164A3A9">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A6E1705">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6C72E4AE">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13.</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用户在微课题库中创建题目后，系统自动将新题目同步至课程题库列表，保持题库的一致性</w:t>
            </w:r>
          </w:p>
        </w:tc>
      </w:tr>
      <w:tr w14:paraId="0A3C0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B96FC54">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143EFD9">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994A38D">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6DFFDB50">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14.支持在课程题库中创建题目后绑定知识点直接同步至该知识点微课题库列表中，减少用户重复添加操作，提升工作效率</w:t>
            </w:r>
          </w:p>
        </w:tc>
      </w:tr>
      <w:tr w14:paraId="0EFB9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F032EB9">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8586A59">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7CCB195E">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资料管理</w:t>
            </w: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533FDD45">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1.</w:t>
            </w: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系统提供多种途径导入微课资料，包括本地上传、云盘同步、网络链接嵌入及在线资源关联等，以适应不同用户的需求</w:t>
            </w:r>
          </w:p>
        </w:tc>
      </w:tr>
      <w:tr w14:paraId="0B18C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C1FA206">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128C570">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01EC74B">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0647A0E0">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2.支持</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在微课资料库中添加资料后，系统将自动把资料与相应的知识点关联，简化资料管理流程</w:t>
            </w:r>
          </w:p>
        </w:tc>
      </w:tr>
      <w:tr w14:paraId="173D6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C8AA8D0">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2D676E8">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AA009E2">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25C7E98F">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3.</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微课资料库的更新会自动反映到课程资料列表中，确保资料的一致性和实时性</w:t>
            </w:r>
          </w:p>
        </w:tc>
      </w:tr>
      <w:tr w14:paraId="1BBF3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548EEC8">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2E2BDED">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B76C624">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1F0E1BCB">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4.</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在课程资料中创建题目并绑定知识点后，系统支持直接同步至相关微课资料，提高工作效率</w:t>
            </w:r>
          </w:p>
        </w:tc>
      </w:tr>
      <w:tr w14:paraId="22D36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8A3C5DE">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7092F61">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71DC975">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3740DF77">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5.</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用户可以对资料进行转发、重命名等操作，并设置下载权限，以保障资料的安全性和合规使用</w:t>
            </w:r>
          </w:p>
        </w:tc>
      </w:tr>
      <w:tr w14:paraId="25E43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0C805A7">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9FE8683">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14BB1F4">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6C762BD0">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6.支持根据班级设置资料访问权限，确保资料的专属性和授权访问</w:t>
            </w:r>
          </w:p>
        </w:tc>
      </w:tr>
      <w:tr w14:paraId="5D6EE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50787FF">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B5F9968">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E233698">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03967909">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pP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7.支持查看资料的使用统计，包括阅读和下载次数，以及文件的基本信息，如大小、创建者和创建日期</w:t>
            </w:r>
          </w:p>
        </w:tc>
      </w:tr>
      <w:tr w14:paraId="38B84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46B08D4">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F3B7A26">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2DA6195B">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讨论管理</w:t>
            </w: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04822146">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1.支持</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用户在微课中自主发起讨论，通过输入标题和内容，并可借助图片和链接等多媒体元素丰富讨论的表达和背景</w:t>
            </w:r>
          </w:p>
        </w:tc>
      </w:tr>
      <w:tr w14:paraId="543D1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27199E4">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A12C104">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8EC3E8C">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3B3F5CAA">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2.</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用户可以对他人发起的讨论进行回应，推动话题的深入交流和知识共享</w:t>
            </w:r>
          </w:p>
        </w:tc>
      </w:tr>
      <w:tr w14:paraId="0F48D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E6D6564">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E30A2C2">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9EF1105">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4350D653">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3.</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点赞功能让用户能够对有见地的讨论或回复进行认可，从而增强社区的互动性和讨论的积极性</w:t>
            </w:r>
          </w:p>
        </w:tc>
      </w:tr>
      <w:tr w14:paraId="25B0C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E1565AA">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94BB961">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D911132">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020EE4C0">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4.</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微课中的讨论能够实时同步到课程的讨论列表，确保所有参与者都能及时获取最新的讨论信息</w:t>
            </w:r>
          </w:p>
        </w:tc>
      </w:tr>
      <w:tr w14:paraId="57625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2436391">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0152A24">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87D11FA">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73E691B4">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5.</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系统提供搜索工具，使用户可以根据关键词快速定位相关讨论，并提供多种过滤条件，以便用户根据不同的标准（如时间、班级等）进行讨论的筛选和管理</w:t>
            </w:r>
          </w:p>
        </w:tc>
      </w:tr>
      <w:tr w14:paraId="4CACC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58372C5">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3AD1F63">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25FD726D">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学生端学习</w:t>
            </w: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6F2CD6C6">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1.微课平台通过新增多个子板块，如学习内容、自测、资料</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Hans" w:bidi="ar"/>
              </w:rPr>
              <w:t>、错题集、图书馆资源、讨论区</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等，极大丰富了学习体验和资源的多样性</w:t>
            </w:r>
          </w:p>
        </w:tc>
      </w:tr>
      <w:tr w14:paraId="64D55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6FA1002">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2346ECC">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76A41F0">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7E03B039">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2.用户可通过智能客服功能轻松提交问题，系统利用自然语言处理技术提供个性化的解答和建议</w:t>
            </w:r>
          </w:p>
        </w:tc>
      </w:tr>
      <w:tr w14:paraId="56732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C6801E3">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9BE08F2">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3D7C764">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2C3FD450">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3.支持在学习内容中查看并学习至少12种资源类型，包括但不限于从云盘资源、视频资源、图片资源、文档资源、测验以及讨论等</w:t>
            </w:r>
          </w:p>
        </w:tc>
      </w:tr>
      <w:tr w14:paraId="33DC7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9E7B6D0">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D893148">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98AD21E">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53EC45DD">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4.</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班级微课讨论区支持用户发起新话题、互动点赞和回复，增强学习趣味性和社区参与度</w:t>
            </w:r>
          </w:p>
        </w:tc>
      </w:tr>
      <w:tr w14:paraId="60CD7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66D576A">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8C5F8C8">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971AC2C">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7D61D432">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5.</w:t>
            </w: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用户可根据需求自定义自测模式、时间限制和题目来源，创建个性化的自测体验</w:t>
            </w:r>
          </w:p>
        </w:tc>
      </w:tr>
      <w:tr w14:paraId="077CD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45ACC31">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95BA4D0">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63EC64C">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0DC99F92">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6.题库中抽题支持三种模式抽题：随机抽题、从文件夹选题以及按题型选题，</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使用户能够根据自己的需求灵活选择题目</w:t>
            </w:r>
          </w:p>
        </w:tc>
      </w:tr>
      <w:tr w14:paraId="38CF6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70F2C91">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7877D6D">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9827DD6">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1795D93F">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7.创建自测时支持按题型抽取，包括但不限于单选题、多选题、填空题、判断题、简答题、名词解释、阅读理解等以及教师自定义题目</w:t>
            </w:r>
          </w:p>
        </w:tc>
      </w:tr>
      <w:tr w14:paraId="63DB7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5FB53A4">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1326455">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73C8F65">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17B4655F">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8.支持用户设置自测时只抽取未做过的题目，</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确保每次自测的新颖性和有效性</w:t>
            </w:r>
          </w:p>
        </w:tc>
      </w:tr>
      <w:tr w14:paraId="557E9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BC6AB09">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E386E95">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C35E94A">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2414586B">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9.</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用户作答后可立即查看参考答案，实现快速自检，及时掌握学习情况</w:t>
            </w:r>
          </w:p>
        </w:tc>
      </w:tr>
      <w:tr w14:paraId="425A9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65DB0B6">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F6EA870">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0C1E218">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1C0717A2">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10.</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支持错题集的查看、筛选和个性化管理，提供重新检验学习效果的机会</w:t>
            </w:r>
          </w:p>
        </w:tc>
      </w:tr>
      <w:tr w14:paraId="4ECF2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CFC0AD1">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2D4C425">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C2E131F">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20F7DA90">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11.支持查看知识点关联资料，</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每个资料项旁边明确标注其关联的知识点，以便用户根据学习需求快速定位</w:t>
            </w:r>
          </w:p>
        </w:tc>
      </w:tr>
      <w:tr w14:paraId="06639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FEA0027">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E8E59A0">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50C50BB">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626D4CD4">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12.</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资料库支持关键字检索和基本信息概览，使用户能够快速定位和了解学习资料</w:t>
            </w:r>
          </w:p>
        </w:tc>
      </w:tr>
      <w:tr w14:paraId="3A0BA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412470E">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2A8D8D6">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78DC93F">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27D5FBAE">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13.支持查看当前资料总个数，方便用户了解总体学习资料的情况</w:t>
            </w:r>
          </w:p>
        </w:tc>
      </w:tr>
      <w:tr w14:paraId="79147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B4EC6FA">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C040141">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05D7213">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333E5C98">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14.支持用户根据关键字快速检索资料，</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帮助用户节省查找资料的时间，提高检索效率</w:t>
            </w:r>
          </w:p>
        </w:tc>
      </w:tr>
      <w:tr w14:paraId="432C8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3D33F31">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B153A55">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C99EF40">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0B4721E0">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15.若教师开启资料下载功能，支持用户批量下载资料，实现资料本地化查看及长期留存</w:t>
            </w:r>
          </w:p>
        </w:tc>
      </w:tr>
      <w:tr w14:paraId="3B0D8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929602D">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4A9D474">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4332BF0">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75E900AC">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16.支持在资料库中直接预览资料内容，无需下载即可查看，方便用户快速了解学习资料</w:t>
            </w:r>
          </w:p>
        </w:tc>
      </w:tr>
      <w:tr w14:paraId="04C91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039159F">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5060E85">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CCB6AE1">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0147D182">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17.</w:t>
            </w: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sz w:val="24"/>
                <w:szCs w:val="24"/>
                <w:vertAlign w:val="baseline"/>
                <w:lang w:val="en-US" w:eastAsia="zh-CN"/>
              </w:rPr>
              <w:t>支持</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以列表形式呈现与知识点相关联的多种资源类型，涵盖知识词条、学术期刊、图书、学术论著等，为用户提供全面的知识视角</w:t>
            </w:r>
          </w:p>
        </w:tc>
      </w:tr>
      <w:tr w14:paraId="07BB6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8E4C8DA">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DF1390B">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1814A54">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515D83B1">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18.</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用户能够搜索与知识点相关的广泛资源，系统支持对知识点的深入探索，以拓宽用户的知识视野和学习深度</w:t>
            </w:r>
          </w:p>
        </w:tc>
      </w:tr>
      <w:tr w14:paraId="603C2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66F2EEF">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B93C146">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C975486">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726B5841">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19.</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通过可视化技术，系统展示知识点之间的关联图谱，利用距离和颜色深浅来表示知识点间的相关性和联系强度，从而直观地揭示知识结构和内在联系</w:t>
            </w:r>
          </w:p>
        </w:tc>
      </w:tr>
      <w:tr w14:paraId="50F47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30C02D7">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EC18AE5">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C46611E">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774ACC36">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20.</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支持以列表形式汇总相关知识点的所有错题，明确指出用户的原始选择与正确答案，使用户直观识别错误</w:t>
            </w:r>
          </w:p>
        </w:tc>
      </w:tr>
      <w:tr w14:paraId="1E052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69E16BC">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DAEF60E">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E23ECFC">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70990BBA">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21.</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题目中涉及的知识点被清晰罗列，助力用户快速把握学习重点，加深记忆与理解</w:t>
            </w:r>
          </w:p>
        </w:tc>
      </w:tr>
      <w:tr w14:paraId="3E80A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7899DD1">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699FBA3">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743F671">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275747B2">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22.支持用户筛选至少11种题型，包括单选题、多选题、填空题、判断题、简答题、名词解析、论述题等，</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以便用户针对特定题型进行集中训练</w:t>
            </w:r>
          </w:p>
        </w:tc>
      </w:tr>
      <w:tr w14:paraId="51A96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FDC5318">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F2FDF02">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84DDB15">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3EC4D101">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23.支持</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用户删除特定的错题集，展现出系统在错题管理上的灵活性，使用户能够根据自身需求调整学习材料</w:t>
            </w:r>
          </w:p>
        </w:tc>
      </w:tr>
      <w:tr w14:paraId="23345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26B7B4A">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ECB6801">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3C8FFD1">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14B4073B">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24.</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提供清空错题集的功能，进一步增强了用户对学习资源的灵活管理能力</w:t>
            </w:r>
          </w:p>
        </w:tc>
      </w:tr>
      <w:tr w14:paraId="65A1D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28534BB">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4CA1A1B">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6E4C377">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200BBB21">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25.支持用户</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重新对错题集进行自测，这一过程不仅有助于巩固记忆，而且能够加深对知识点的理解和应用</w:t>
            </w:r>
          </w:p>
        </w:tc>
      </w:tr>
      <w:tr w14:paraId="28715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C81D596">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B2C4175">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04704BFB">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Hans"/>
              </w:rPr>
            </w:pPr>
            <w:r>
              <w:rPr>
                <w:rFonts w:hint="eastAsia" w:asciiTheme="minorEastAsia" w:hAnsiTheme="minorEastAsia" w:eastAsiaTheme="minorEastAsia" w:cstheme="minorEastAsia"/>
                <w:sz w:val="24"/>
                <w:szCs w:val="24"/>
                <w:vertAlign w:val="baseline"/>
                <w:lang w:val="en-US" w:eastAsia="zh-Hans"/>
              </w:rPr>
              <w:t>学生移动端学习</w:t>
            </w: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65AB2CBA">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Hans"/>
              </w:rPr>
            </w:pPr>
            <w:r>
              <w:rPr>
                <w:rFonts w:hint="eastAsia" w:asciiTheme="minorEastAsia" w:hAnsiTheme="minorEastAsia" w:eastAsiaTheme="minorEastAsia" w:cstheme="minorEastAsia"/>
                <w:sz w:val="24"/>
                <w:szCs w:val="24"/>
                <w:vertAlign w:val="baseline"/>
                <w:lang w:eastAsia="zh-CN"/>
              </w:rPr>
              <w:t>1.</w:t>
            </w:r>
            <w:r>
              <w:rPr>
                <w:rFonts w:hint="eastAsia" w:asciiTheme="minorEastAsia" w:hAnsiTheme="minorEastAsia" w:eastAsiaTheme="minorEastAsia" w:cstheme="minorEastAsia"/>
                <w:i w:val="0"/>
                <w:iCs w:val="0"/>
                <w:caps w:val="0"/>
                <w:color w:val="060607"/>
                <w:spacing w:val="5"/>
                <w:kern w:val="0"/>
                <w:sz w:val="24"/>
                <w:szCs w:val="24"/>
                <w:shd w:val="clear" w:color="auto" w:fill="FFFFFF"/>
                <w:lang w:val="en-US" w:eastAsia="zh-CN" w:bidi="ar"/>
              </w:rPr>
              <w:t>支持用户通过移动端设备访问知识图谱，实现随时随地的个性化学习</w:t>
            </w:r>
          </w:p>
        </w:tc>
      </w:tr>
      <w:tr w14:paraId="03A3F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7009757">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4B27AC1">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A665AA3">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177AFF1C">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val="en-US" w:eastAsia="zh-CN"/>
              </w:rPr>
              <w:t>2</w:t>
            </w:r>
            <w:r>
              <w:rPr>
                <w:rFonts w:hint="eastAsia" w:asciiTheme="minorEastAsia" w:hAnsiTheme="minorEastAsia" w:eastAsiaTheme="minorEastAsia" w:cstheme="minorEastAsia"/>
                <w:sz w:val="24"/>
                <w:szCs w:val="24"/>
                <w:vertAlign w:val="baseline"/>
                <w:lang w:eastAsia="zh-CN"/>
              </w:rPr>
              <w:t>.</w:t>
            </w:r>
            <w:r>
              <w:rPr>
                <w:rFonts w:hint="eastAsia" w:asciiTheme="minorEastAsia" w:hAnsiTheme="minorEastAsia" w:eastAsiaTheme="minorEastAsia" w:cstheme="minorEastAsia"/>
                <w:sz w:val="24"/>
                <w:szCs w:val="24"/>
                <w:vertAlign w:val="baseline"/>
                <w:lang w:val="en-US" w:eastAsia="zh-Hans"/>
              </w:rPr>
              <w:t>移动端</w:t>
            </w:r>
            <w:r>
              <w:rPr>
                <w:rFonts w:hint="eastAsia" w:asciiTheme="minorEastAsia" w:hAnsiTheme="minorEastAsia" w:eastAsiaTheme="minorEastAsia" w:cstheme="minorEastAsia"/>
                <w:i w:val="0"/>
                <w:iCs w:val="0"/>
                <w:caps w:val="0"/>
                <w:color w:val="060607"/>
                <w:spacing w:val="5"/>
                <w:kern w:val="0"/>
                <w:sz w:val="24"/>
                <w:szCs w:val="24"/>
                <w:shd w:val="clear" w:color="auto" w:fill="FFFFFF"/>
                <w:lang w:val="en-US" w:eastAsia="zh-CN" w:bidi="ar"/>
              </w:rPr>
              <w:t>图谱模式下，用户可以选择导航模式或全局模式，分别深入探索或宏观把握知识结构</w:t>
            </w:r>
          </w:p>
        </w:tc>
      </w:tr>
      <w:tr w14:paraId="2D71F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7786068">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E7A6688">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4AE5C0C">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3E12EF1A">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val="en-US" w:eastAsia="zh-CN"/>
              </w:rPr>
              <w:t>3</w:t>
            </w:r>
            <w:r>
              <w:rPr>
                <w:rFonts w:hint="eastAsia" w:asciiTheme="minorEastAsia" w:hAnsiTheme="minorEastAsia" w:eastAsiaTheme="minorEastAsia" w:cstheme="minorEastAsia"/>
                <w:sz w:val="24"/>
                <w:szCs w:val="24"/>
                <w:vertAlign w:val="baseline"/>
                <w:lang w:eastAsia="zh-CN"/>
              </w:rPr>
              <w:t>.</w:t>
            </w:r>
            <w:r>
              <w:rPr>
                <w:rFonts w:hint="eastAsia" w:asciiTheme="minorEastAsia" w:hAnsiTheme="minorEastAsia" w:eastAsiaTheme="minorEastAsia" w:cstheme="minorEastAsia"/>
                <w:sz w:val="24"/>
                <w:szCs w:val="24"/>
                <w:vertAlign w:val="baseline"/>
                <w:lang w:val="en-US" w:eastAsia="zh-Hans"/>
              </w:rPr>
              <w:t>移动端图谱模式下左</w:t>
            </w:r>
            <w:r>
              <w:rPr>
                <w:rFonts w:hint="eastAsia" w:asciiTheme="minorEastAsia" w:hAnsiTheme="minorEastAsia" w:eastAsiaTheme="minorEastAsia" w:cstheme="minorEastAsia"/>
                <w:i w:val="0"/>
                <w:iCs w:val="0"/>
                <w:caps w:val="0"/>
                <w:color w:val="060607"/>
                <w:spacing w:val="5"/>
                <w:kern w:val="0"/>
                <w:sz w:val="24"/>
                <w:szCs w:val="24"/>
                <w:shd w:val="clear" w:color="auto" w:fill="FFFFFF"/>
                <w:lang w:val="en-US" w:eastAsia="zh-CN" w:bidi="ar"/>
              </w:rPr>
              <w:t>侧导航区域以列表形式展示分类和知识点，支持快速定位和子级展开</w:t>
            </w:r>
          </w:p>
        </w:tc>
      </w:tr>
      <w:tr w14:paraId="6171C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E6E08D5">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CB8D738">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F7DC2E4">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5A1D8548">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Hans"/>
              </w:rPr>
            </w:pPr>
            <w:r>
              <w:rPr>
                <w:rFonts w:hint="eastAsia" w:asciiTheme="minorEastAsia" w:hAnsiTheme="minorEastAsia" w:eastAsiaTheme="minorEastAsia" w:cstheme="minorEastAsia"/>
                <w:sz w:val="24"/>
                <w:szCs w:val="24"/>
                <w:vertAlign w:val="baseline"/>
                <w:lang w:val="en-US" w:eastAsia="zh-CN"/>
              </w:rPr>
              <w:t>4</w:t>
            </w:r>
            <w:r>
              <w:rPr>
                <w:rFonts w:hint="eastAsia" w:asciiTheme="minorEastAsia" w:hAnsiTheme="minorEastAsia" w:eastAsiaTheme="minorEastAsia" w:cstheme="minorEastAsia"/>
                <w:sz w:val="24"/>
                <w:szCs w:val="24"/>
                <w:vertAlign w:val="baseline"/>
                <w:lang w:eastAsia="zh-CN"/>
              </w:rPr>
              <w:t>.</w:t>
            </w:r>
            <w:r>
              <w:rPr>
                <w:rFonts w:hint="eastAsia" w:asciiTheme="minorEastAsia" w:hAnsiTheme="minorEastAsia" w:eastAsiaTheme="minorEastAsia" w:cstheme="minorEastAsia"/>
                <w:sz w:val="24"/>
                <w:szCs w:val="24"/>
                <w:vertAlign w:val="baseline"/>
                <w:lang w:val="en-US" w:eastAsia="zh-Hans"/>
              </w:rPr>
              <w:t>移动端支持</w:t>
            </w:r>
            <w:r>
              <w:rPr>
                <w:rFonts w:hint="eastAsia" w:asciiTheme="minorEastAsia" w:hAnsiTheme="minorEastAsia" w:eastAsiaTheme="minorEastAsia" w:cstheme="minorEastAsia"/>
                <w:i w:val="0"/>
                <w:iCs w:val="0"/>
                <w:caps w:val="0"/>
                <w:color w:val="060607"/>
                <w:spacing w:val="5"/>
                <w:kern w:val="0"/>
                <w:sz w:val="24"/>
                <w:szCs w:val="24"/>
                <w:shd w:val="clear" w:color="auto" w:fill="FFFFFF"/>
                <w:lang w:val="en-US" w:eastAsia="zh-CN" w:bidi="ar"/>
              </w:rPr>
              <w:t>基于关键字的搜索和模糊匹配，帮助用户迅速找到目标知识点及相关全面信息</w:t>
            </w:r>
          </w:p>
        </w:tc>
      </w:tr>
      <w:tr w14:paraId="0D831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A41DD3D">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E5799DB">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6825083">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063B389E">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val="en-US" w:eastAsia="zh-CN"/>
              </w:rPr>
              <w:t>5</w:t>
            </w:r>
            <w:r>
              <w:rPr>
                <w:rFonts w:hint="eastAsia" w:asciiTheme="minorEastAsia" w:hAnsiTheme="minorEastAsia" w:eastAsiaTheme="minorEastAsia" w:cstheme="minorEastAsia"/>
                <w:sz w:val="24"/>
                <w:szCs w:val="24"/>
                <w:vertAlign w:val="baseline"/>
                <w:lang w:eastAsia="zh-CN"/>
              </w:rPr>
              <w:t>.</w:t>
            </w:r>
            <w:r>
              <w:rPr>
                <w:rFonts w:hint="eastAsia" w:asciiTheme="minorEastAsia" w:hAnsiTheme="minorEastAsia" w:eastAsiaTheme="minorEastAsia" w:cstheme="minorEastAsia"/>
                <w:sz w:val="24"/>
                <w:szCs w:val="24"/>
                <w:vertAlign w:val="baseline"/>
                <w:lang w:val="en-US" w:eastAsia="zh-Hans"/>
              </w:rPr>
              <w:t>移动端</w:t>
            </w:r>
            <w:r>
              <w:rPr>
                <w:rFonts w:hint="eastAsia" w:asciiTheme="minorEastAsia" w:hAnsiTheme="minorEastAsia" w:eastAsiaTheme="minorEastAsia" w:cstheme="minorEastAsia"/>
                <w:sz w:val="24"/>
                <w:szCs w:val="24"/>
                <w:vertAlign w:val="baseline"/>
                <w:lang w:eastAsia="zh-CN"/>
              </w:rPr>
              <w:t>导航模式下，图谱以一种集中的形态展示最高层级的分类或知识点，允许用户通过交互进一步探索其子级和它们之间的联系</w:t>
            </w:r>
          </w:p>
        </w:tc>
      </w:tr>
      <w:tr w14:paraId="4B420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D238F10">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AC67611">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6CA9F7D">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0D149A10">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val="en-US" w:eastAsia="zh-CN"/>
              </w:rPr>
              <w:t>6</w:t>
            </w:r>
            <w:r>
              <w:rPr>
                <w:rFonts w:hint="eastAsia" w:asciiTheme="minorEastAsia" w:hAnsiTheme="minorEastAsia" w:eastAsiaTheme="minorEastAsia" w:cstheme="minorEastAsia"/>
                <w:sz w:val="24"/>
                <w:szCs w:val="24"/>
                <w:vertAlign w:val="baseline"/>
                <w:lang w:eastAsia="zh-CN"/>
              </w:rPr>
              <w:t>.</w:t>
            </w:r>
            <w:r>
              <w:rPr>
                <w:rFonts w:hint="eastAsia" w:asciiTheme="minorEastAsia" w:hAnsiTheme="minorEastAsia" w:eastAsiaTheme="minorEastAsia" w:cstheme="minorEastAsia"/>
                <w:sz w:val="24"/>
                <w:szCs w:val="24"/>
                <w:vertAlign w:val="baseline"/>
                <w:lang w:val="en-US" w:eastAsia="zh-Hans"/>
              </w:rPr>
              <w:t>移动端</w:t>
            </w:r>
            <w:r>
              <w:rPr>
                <w:rFonts w:hint="eastAsia" w:asciiTheme="minorEastAsia" w:hAnsiTheme="minorEastAsia" w:eastAsiaTheme="minorEastAsia" w:cstheme="minorEastAsia"/>
                <w:sz w:val="24"/>
                <w:szCs w:val="24"/>
                <w:vertAlign w:val="baseline"/>
                <w:lang w:eastAsia="zh-CN"/>
              </w:rPr>
              <w:t>全局模式下，</w:t>
            </w:r>
            <w:r>
              <w:rPr>
                <w:rFonts w:hint="eastAsia" w:asciiTheme="minorEastAsia" w:hAnsiTheme="minorEastAsia" w:eastAsiaTheme="minorEastAsia" w:cstheme="minorEastAsia"/>
                <w:i w:val="0"/>
                <w:iCs w:val="0"/>
                <w:caps w:val="0"/>
                <w:color w:val="060607"/>
                <w:spacing w:val="5"/>
                <w:kern w:val="0"/>
                <w:sz w:val="24"/>
                <w:szCs w:val="24"/>
                <w:shd w:val="clear" w:color="auto" w:fill="FFFFFF"/>
                <w:lang w:val="en-US" w:eastAsia="zh-CN" w:bidi="ar"/>
              </w:rPr>
              <w:t>图谱扩展展示包含所有层级的节点，为用户提供了一个全面的知识体系视角</w:t>
            </w:r>
          </w:p>
        </w:tc>
      </w:tr>
      <w:tr w14:paraId="53629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31E91FD">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FD354EA">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91709A5">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32FDA8E7">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Hans"/>
              </w:rPr>
            </w:pPr>
            <w:r>
              <w:rPr>
                <w:rFonts w:hint="eastAsia" w:asciiTheme="minorEastAsia" w:hAnsiTheme="minorEastAsia" w:eastAsiaTheme="minorEastAsia" w:cstheme="minorEastAsia"/>
                <w:sz w:val="24"/>
                <w:szCs w:val="24"/>
                <w:vertAlign w:val="baseline"/>
                <w:lang w:val="en-US" w:eastAsia="zh-CN"/>
              </w:rPr>
              <w:t>7</w:t>
            </w:r>
            <w:r>
              <w:rPr>
                <w:rFonts w:hint="eastAsia" w:asciiTheme="minorEastAsia" w:hAnsiTheme="minorEastAsia" w:eastAsiaTheme="minorEastAsia" w:cstheme="minorEastAsia"/>
                <w:sz w:val="24"/>
                <w:szCs w:val="24"/>
                <w:vertAlign w:val="baseline"/>
                <w:lang w:eastAsia="zh-CN"/>
              </w:rPr>
              <w:t>.</w:t>
            </w:r>
            <w:r>
              <w:rPr>
                <w:rFonts w:hint="eastAsia" w:asciiTheme="minorEastAsia" w:hAnsiTheme="minorEastAsia" w:eastAsiaTheme="minorEastAsia" w:cstheme="minorEastAsia"/>
                <w:i w:val="0"/>
                <w:iCs w:val="0"/>
                <w:caps w:val="0"/>
                <w:color w:val="060607"/>
                <w:spacing w:val="5"/>
                <w:kern w:val="0"/>
                <w:sz w:val="24"/>
                <w:szCs w:val="24"/>
                <w:shd w:val="clear" w:color="auto" w:fill="FFFFFF"/>
                <w:lang w:val="en-US" w:eastAsia="zh-CN" w:bidi="ar"/>
              </w:rPr>
              <w:t>移动端支持横屏展示图谱，优化用户查看节点的体验</w:t>
            </w:r>
          </w:p>
        </w:tc>
      </w:tr>
      <w:tr w14:paraId="0BE6E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0867FAC">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9213DE0">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B319D99">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262E6612">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Hans"/>
              </w:rPr>
            </w:pPr>
            <w:r>
              <w:rPr>
                <w:rFonts w:hint="eastAsia" w:asciiTheme="minorEastAsia" w:hAnsiTheme="minorEastAsia" w:eastAsiaTheme="minorEastAsia" w:cstheme="minorEastAsia"/>
                <w:sz w:val="24"/>
                <w:szCs w:val="24"/>
                <w:vertAlign w:val="baseline"/>
                <w:lang w:val="en-US" w:eastAsia="zh-CN"/>
              </w:rPr>
              <w:t>8</w:t>
            </w:r>
            <w:r>
              <w:rPr>
                <w:rFonts w:hint="eastAsia" w:asciiTheme="minorEastAsia" w:hAnsiTheme="minorEastAsia" w:eastAsiaTheme="minorEastAsia" w:cstheme="minorEastAsia"/>
                <w:sz w:val="24"/>
                <w:szCs w:val="24"/>
                <w:vertAlign w:val="baseline"/>
                <w:lang w:eastAsia="zh-CN"/>
              </w:rPr>
              <w:t>.</w:t>
            </w:r>
            <w:r>
              <w:rPr>
                <w:rFonts w:hint="eastAsia" w:asciiTheme="minorEastAsia" w:hAnsiTheme="minorEastAsia" w:eastAsiaTheme="minorEastAsia" w:cstheme="minorEastAsia"/>
                <w:sz w:val="24"/>
                <w:szCs w:val="24"/>
                <w:vertAlign w:val="baseline"/>
                <w:lang w:val="en-US" w:eastAsia="zh-Hans"/>
              </w:rPr>
              <w:t>移动端图谱模式将</w:t>
            </w:r>
            <w:r>
              <w:rPr>
                <w:rStyle w:val="31"/>
                <w:rFonts w:hint="eastAsia" w:asciiTheme="minorEastAsia" w:hAnsiTheme="minorEastAsia" w:eastAsiaTheme="minorEastAsia" w:cstheme="minorEastAsia"/>
                <w:b w:val="0"/>
                <w:bCs w:val="0"/>
                <w:i w:val="0"/>
                <w:iCs w:val="0"/>
                <w:caps w:val="0"/>
                <w:color w:val="060607"/>
                <w:spacing w:val="5"/>
                <w:kern w:val="0"/>
                <w:sz w:val="24"/>
                <w:szCs w:val="24"/>
                <w:shd w:val="clear" w:color="auto" w:fill="FFFFFF"/>
                <w:lang w:val="en-US" w:eastAsia="zh-CN" w:bidi="ar"/>
              </w:rPr>
              <w:t>图谱元素视觉区分</w:t>
            </w:r>
            <w:r>
              <w:rPr>
                <w:rStyle w:val="31"/>
                <w:rFonts w:hint="eastAsia" w:asciiTheme="minorEastAsia" w:hAnsiTheme="minorEastAsia" w:eastAsiaTheme="minorEastAsia" w:cstheme="minorEastAsia"/>
                <w:b/>
                <w:bCs/>
                <w:i w:val="0"/>
                <w:iCs w:val="0"/>
                <w:caps w:val="0"/>
                <w:color w:val="060607"/>
                <w:spacing w:val="5"/>
                <w:kern w:val="0"/>
                <w:sz w:val="24"/>
                <w:szCs w:val="24"/>
                <w:shd w:val="clear" w:color="auto" w:fill="FFFFFF"/>
                <w:lang w:val="en-US" w:eastAsia="zh-Hans" w:bidi="ar"/>
              </w:rPr>
              <w:t>，</w:t>
            </w:r>
            <w:r>
              <w:rPr>
                <w:rFonts w:hint="eastAsia" w:asciiTheme="minorEastAsia" w:hAnsiTheme="minorEastAsia" w:eastAsiaTheme="minorEastAsia" w:cstheme="minorEastAsia"/>
                <w:i w:val="0"/>
                <w:iCs w:val="0"/>
                <w:caps w:val="0"/>
                <w:color w:val="060607"/>
                <w:spacing w:val="5"/>
                <w:kern w:val="0"/>
                <w:sz w:val="24"/>
                <w:szCs w:val="24"/>
                <w:shd w:val="clear" w:color="auto" w:fill="FFFFFF"/>
                <w:lang w:val="en-US" w:eastAsia="zh-CN" w:bidi="ar"/>
              </w:rPr>
              <w:t>通过标签卡片和水位球等形式，增强分类和知识点的视觉区分</w:t>
            </w:r>
          </w:p>
        </w:tc>
      </w:tr>
      <w:tr w14:paraId="60DE6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E21AB16">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9672E3B">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40FB791">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02A18B84">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Hans"/>
              </w:rPr>
            </w:pPr>
            <w:r>
              <w:rPr>
                <w:rFonts w:hint="eastAsia" w:asciiTheme="minorEastAsia" w:hAnsiTheme="minorEastAsia" w:eastAsiaTheme="minorEastAsia" w:cstheme="minorEastAsia"/>
                <w:sz w:val="24"/>
                <w:szCs w:val="24"/>
                <w:vertAlign w:val="baseline"/>
                <w:lang w:val="en-US" w:eastAsia="zh-CN"/>
              </w:rPr>
              <w:t>9</w:t>
            </w:r>
            <w:r>
              <w:rPr>
                <w:rFonts w:hint="eastAsia" w:asciiTheme="minorEastAsia" w:hAnsiTheme="minorEastAsia" w:eastAsiaTheme="minorEastAsia" w:cstheme="minorEastAsia"/>
                <w:sz w:val="24"/>
                <w:szCs w:val="24"/>
                <w:vertAlign w:val="baseline"/>
                <w:lang w:eastAsia="zh-Hans"/>
              </w:rPr>
              <w:t>.</w:t>
            </w:r>
            <w:r>
              <w:rPr>
                <w:rFonts w:hint="eastAsia" w:asciiTheme="minorEastAsia" w:hAnsiTheme="minorEastAsia" w:eastAsiaTheme="minorEastAsia" w:cstheme="minorEastAsia"/>
                <w:i w:val="0"/>
                <w:iCs w:val="0"/>
                <w:caps w:val="0"/>
                <w:color w:val="060607"/>
                <w:spacing w:val="5"/>
                <w:kern w:val="0"/>
                <w:sz w:val="24"/>
                <w:szCs w:val="24"/>
                <w:shd w:val="clear" w:color="auto" w:fill="FFFFFF"/>
                <w:lang w:val="en-US" w:eastAsia="zh-CN" w:bidi="ar"/>
              </w:rPr>
              <w:t>移动端直观展示知识点掌握率和完成率，反映用户个人学习情况</w:t>
            </w:r>
          </w:p>
        </w:tc>
      </w:tr>
      <w:tr w14:paraId="5ABF3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84A5997">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165262D">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97A1973">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726589D0">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Hans"/>
              </w:rPr>
            </w:pPr>
            <w:r>
              <w:rPr>
                <w:rFonts w:hint="eastAsia" w:asciiTheme="minorEastAsia" w:hAnsiTheme="minorEastAsia" w:eastAsiaTheme="minorEastAsia" w:cstheme="minorEastAsia"/>
                <w:sz w:val="24"/>
                <w:szCs w:val="24"/>
                <w:vertAlign w:val="baseline"/>
                <w:lang w:eastAsia="zh-CN"/>
              </w:rPr>
              <w:t>1</w:t>
            </w:r>
            <w:r>
              <w:rPr>
                <w:rFonts w:hint="eastAsia" w:asciiTheme="minorEastAsia" w:hAnsiTheme="minorEastAsia" w:eastAsiaTheme="minorEastAsia" w:cstheme="minorEastAsia"/>
                <w:sz w:val="24"/>
                <w:szCs w:val="24"/>
                <w:vertAlign w:val="baseline"/>
                <w:lang w:val="en-US" w:eastAsia="zh-CN"/>
              </w:rPr>
              <w:t>0</w:t>
            </w:r>
            <w:r>
              <w:rPr>
                <w:rFonts w:hint="eastAsia" w:asciiTheme="minorEastAsia" w:hAnsiTheme="minorEastAsia" w:eastAsiaTheme="minorEastAsia" w:cstheme="minorEastAsia"/>
                <w:sz w:val="24"/>
                <w:szCs w:val="24"/>
                <w:vertAlign w:val="baseline"/>
                <w:lang w:eastAsia="zh-CN"/>
              </w:rPr>
              <w:t>.</w:t>
            </w:r>
            <w:r>
              <w:rPr>
                <w:rFonts w:hint="eastAsia" w:asciiTheme="minorEastAsia" w:hAnsiTheme="minorEastAsia" w:eastAsiaTheme="minorEastAsia" w:cstheme="minorEastAsia"/>
                <w:i w:val="0"/>
                <w:iCs w:val="0"/>
                <w:caps w:val="0"/>
                <w:color w:val="060607"/>
                <w:spacing w:val="5"/>
                <w:kern w:val="0"/>
                <w:sz w:val="24"/>
                <w:szCs w:val="24"/>
                <w:shd w:val="clear" w:color="auto" w:fill="FFFFFF"/>
                <w:lang w:val="en-US" w:eastAsia="zh-CN" w:bidi="ar"/>
              </w:rPr>
              <w:t>支持点击分类卡片展开查看全部子级</w:t>
            </w:r>
          </w:p>
        </w:tc>
      </w:tr>
      <w:tr w14:paraId="1D88B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F45055A">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30E8940">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BB9F612">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1BF4937B">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Hans"/>
              </w:rPr>
            </w:pPr>
            <w:r>
              <w:rPr>
                <w:rFonts w:hint="eastAsia" w:asciiTheme="minorEastAsia" w:hAnsiTheme="minorEastAsia" w:eastAsiaTheme="minorEastAsia" w:cstheme="minorEastAsia"/>
                <w:sz w:val="24"/>
                <w:szCs w:val="24"/>
                <w:vertAlign w:val="baseline"/>
                <w:lang w:eastAsia="zh-CN"/>
              </w:rPr>
              <w:t>1</w:t>
            </w:r>
            <w:r>
              <w:rPr>
                <w:rFonts w:hint="eastAsia" w:asciiTheme="minorEastAsia" w:hAnsiTheme="minorEastAsia" w:eastAsiaTheme="minorEastAsia" w:cstheme="minorEastAsia"/>
                <w:sz w:val="24"/>
                <w:szCs w:val="24"/>
                <w:vertAlign w:val="baseline"/>
                <w:lang w:val="en-US" w:eastAsia="zh-CN"/>
              </w:rPr>
              <w:t>1</w:t>
            </w:r>
            <w:r>
              <w:rPr>
                <w:rFonts w:hint="eastAsia" w:asciiTheme="minorEastAsia" w:hAnsiTheme="minorEastAsia" w:eastAsiaTheme="minorEastAsia" w:cstheme="minorEastAsia"/>
                <w:sz w:val="24"/>
                <w:szCs w:val="24"/>
                <w:vertAlign w:val="baseline"/>
                <w:lang w:eastAsia="zh-CN"/>
              </w:rPr>
              <w:t>.</w:t>
            </w:r>
            <w:r>
              <w:rPr>
                <w:rFonts w:hint="eastAsia" w:asciiTheme="minorEastAsia" w:hAnsiTheme="minorEastAsia" w:eastAsiaTheme="minorEastAsia" w:cstheme="minorEastAsia"/>
                <w:i w:val="0"/>
                <w:iCs w:val="0"/>
                <w:caps w:val="0"/>
                <w:color w:val="060607"/>
                <w:spacing w:val="5"/>
                <w:kern w:val="0"/>
                <w:sz w:val="24"/>
                <w:szCs w:val="24"/>
                <w:shd w:val="clear" w:color="auto" w:fill="FFFFFF"/>
                <w:lang w:val="en-US" w:eastAsia="zh-CN" w:bidi="ar"/>
              </w:rPr>
              <w:t>在分类子级展开页面，支持通过按钮切换查看同级分类详情</w:t>
            </w:r>
          </w:p>
        </w:tc>
      </w:tr>
      <w:tr w14:paraId="57CCD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25B96A4">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88E2483">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BC33231">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43181C4A">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Hans"/>
              </w:rPr>
            </w:pPr>
            <w:r>
              <w:rPr>
                <w:rFonts w:hint="eastAsia" w:asciiTheme="minorEastAsia" w:hAnsiTheme="minorEastAsia" w:eastAsiaTheme="minorEastAsia" w:cstheme="minorEastAsia"/>
                <w:sz w:val="24"/>
                <w:szCs w:val="24"/>
                <w:vertAlign w:val="baseline"/>
                <w:lang w:eastAsia="zh-CN"/>
              </w:rPr>
              <w:t>1</w:t>
            </w:r>
            <w:r>
              <w:rPr>
                <w:rFonts w:hint="eastAsia" w:asciiTheme="minorEastAsia" w:hAnsiTheme="minorEastAsia" w:eastAsiaTheme="minorEastAsia" w:cstheme="minorEastAsia"/>
                <w:sz w:val="24"/>
                <w:szCs w:val="24"/>
                <w:vertAlign w:val="baseline"/>
                <w:lang w:val="en-US" w:eastAsia="zh-CN"/>
              </w:rPr>
              <w:t>2</w:t>
            </w:r>
            <w:r>
              <w:rPr>
                <w:rFonts w:hint="eastAsia" w:asciiTheme="minorEastAsia" w:hAnsiTheme="minorEastAsia" w:eastAsiaTheme="minorEastAsia" w:cstheme="minorEastAsia"/>
                <w:sz w:val="24"/>
                <w:szCs w:val="24"/>
                <w:vertAlign w:val="baseline"/>
                <w:lang w:eastAsia="zh-CN"/>
              </w:rPr>
              <w:t>.</w:t>
            </w:r>
            <w:r>
              <w:rPr>
                <w:rFonts w:hint="eastAsia" w:asciiTheme="minorEastAsia" w:hAnsiTheme="minorEastAsia" w:eastAsiaTheme="minorEastAsia" w:cstheme="minorEastAsia"/>
                <w:sz w:val="24"/>
                <w:szCs w:val="24"/>
                <w:vertAlign w:val="baseline"/>
                <w:lang w:val="en-US" w:eastAsia="zh-Hans"/>
              </w:rPr>
              <w:t>支持点击</w:t>
            </w:r>
            <w:r>
              <w:rPr>
                <w:rFonts w:hint="eastAsia" w:asciiTheme="minorEastAsia" w:hAnsiTheme="minorEastAsia" w:eastAsiaTheme="minorEastAsia" w:cstheme="minorEastAsia"/>
                <w:i w:val="0"/>
                <w:iCs w:val="0"/>
                <w:caps w:val="0"/>
                <w:color w:val="060607"/>
                <w:spacing w:val="5"/>
                <w:kern w:val="0"/>
                <w:sz w:val="24"/>
                <w:szCs w:val="24"/>
                <w:shd w:val="clear" w:color="auto" w:fill="FFFFFF"/>
                <w:lang w:val="en-US" w:eastAsia="zh-CN" w:bidi="ar"/>
              </w:rPr>
              <w:t>分类标题可查看分类详情，包括标题、说明、知识点</w:t>
            </w:r>
            <w:r>
              <w:rPr>
                <w:rFonts w:hint="eastAsia" w:asciiTheme="minorEastAsia" w:hAnsiTheme="minorEastAsia" w:eastAsiaTheme="minorEastAsia" w:cstheme="minorEastAsia"/>
                <w:i w:val="0"/>
                <w:iCs w:val="0"/>
                <w:caps w:val="0"/>
                <w:color w:val="060607"/>
                <w:spacing w:val="5"/>
                <w:kern w:val="0"/>
                <w:sz w:val="24"/>
                <w:szCs w:val="24"/>
                <w:shd w:val="clear" w:color="auto" w:fill="FFFFFF"/>
                <w:lang w:val="en-US" w:eastAsia="zh-Hans" w:bidi="ar"/>
              </w:rPr>
              <w:t>、</w:t>
            </w:r>
            <w:r>
              <w:rPr>
                <w:rFonts w:hint="eastAsia" w:asciiTheme="minorEastAsia" w:hAnsiTheme="minorEastAsia" w:eastAsiaTheme="minorEastAsia" w:cstheme="minorEastAsia"/>
                <w:i w:val="0"/>
                <w:iCs w:val="0"/>
                <w:caps w:val="0"/>
                <w:color w:val="060607"/>
                <w:spacing w:val="5"/>
                <w:kern w:val="0"/>
                <w:sz w:val="24"/>
                <w:szCs w:val="24"/>
                <w:shd w:val="clear" w:color="auto" w:fill="FFFFFF"/>
                <w:lang w:val="en-US" w:eastAsia="zh-CN" w:bidi="ar"/>
              </w:rPr>
              <w:t>资源总数</w:t>
            </w:r>
            <w:r>
              <w:rPr>
                <w:rFonts w:hint="eastAsia" w:asciiTheme="minorEastAsia" w:hAnsiTheme="minorEastAsia" w:eastAsiaTheme="minorEastAsia" w:cstheme="minorEastAsia"/>
                <w:i w:val="0"/>
                <w:iCs w:val="0"/>
                <w:caps w:val="0"/>
                <w:color w:val="060607"/>
                <w:spacing w:val="5"/>
                <w:kern w:val="0"/>
                <w:sz w:val="24"/>
                <w:szCs w:val="24"/>
                <w:shd w:val="clear" w:color="auto" w:fill="FFFFFF"/>
                <w:lang w:val="en-US" w:eastAsia="zh-Hans" w:bidi="ar"/>
              </w:rPr>
              <w:t>以及资源列表</w:t>
            </w:r>
          </w:p>
        </w:tc>
      </w:tr>
      <w:tr w14:paraId="6AAA3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41EA217">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152F86B">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0BC1EB2">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205E138D">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Hans"/>
              </w:rPr>
            </w:pPr>
            <w:r>
              <w:rPr>
                <w:rFonts w:hint="eastAsia" w:asciiTheme="minorEastAsia" w:hAnsiTheme="minorEastAsia" w:eastAsiaTheme="minorEastAsia" w:cstheme="minorEastAsia"/>
                <w:sz w:val="24"/>
                <w:szCs w:val="24"/>
                <w:vertAlign w:val="baseline"/>
                <w:lang w:eastAsia="zh-CN"/>
              </w:rPr>
              <w:t>1</w:t>
            </w:r>
            <w:r>
              <w:rPr>
                <w:rFonts w:hint="eastAsia" w:asciiTheme="minorEastAsia" w:hAnsiTheme="minorEastAsia" w:eastAsiaTheme="minorEastAsia" w:cstheme="minorEastAsia"/>
                <w:sz w:val="24"/>
                <w:szCs w:val="24"/>
                <w:vertAlign w:val="baseline"/>
                <w:lang w:val="en-US" w:eastAsia="zh-CN"/>
              </w:rPr>
              <w:t>3</w:t>
            </w:r>
            <w:r>
              <w:rPr>
                <w:rFonts w:hint="eastAsia" w:asciiTheme="minorEastAsia" w:hAnsiTheme="minorEastAsia" w:eastAsiaTheme="minorEastAsia" w:cstheme="minorEastAsia"/>
                <w:sz w:val="24"/>
                <w:szCs w:val="24"/>
                <w:vertAlign w:val="baseline"/>
                <w:lang w:eastAsia="zh-CN"/>
              </w:rPr>
              <w:t>.</w:t>
            </w:r>
            <w:r>
              <w:rPr>
                <w:rFonts w:hint="eastAsia" w:asciiTheme="minorEastAsia" w:hAnsiTheme="minorEastAsia" w:eastAsiaTheme="minorEastAsia" w:cstheme="minorEastAsia"/>
                <w:sz w:val="24"/>
                <w:szCs w:val="24"/>
                <w:vertAlign w:val="baseline"/>
                <w:lang w:val="en-US" w:eastAsia="zh-Hans"/>
              </w:rPr>
              <w:t>支持点击知识点水位球查看该知识点的标签以及个人掌握率完成率情况</w:t>
            </w:r>
          </w:p>
        </w:tc>
      </w:tr>
      <w:tr w14:paraId="263B7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A295210">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2132E36">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78D08AF">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42FA819A">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Hans"/>
              </w:rPr>
            </w:pPr>
            <w:r>
              <w:rPr>
                <w:rFonts w:hint="eastAsia" w:asciiTheme="minorEastAsia" w:hAnsiTheme="minorEastAsia" w:eastAsiaTheme="minorEastAsia" w:cstheme="minorEastAsia"/>
                <w:sz w:val="24"/>
                <w:szCs w:val="24"/>
                <w:vertAlign w:val="baseline"/>
                <w:lang w:eastAsia="zh-CN"/>
              </w:rPr>
              <w:t>1</w:t>
            </w:r>
            <w:r>
              <w:rPr>
                <w:rFonts w:hint="eastAsia" w:asciiTheme="minorEastAsia" w:hAnsiTheme="minorEastAsia" w:eastAsiaTheme="minorEastAsia" w:cstheme="minorEastAsia"/>
                <w:sz w:val="24"/>
                <w:szCs w:val="24"/>
                <w:vertAlign w:val="baseline"/>
                <w:lang w:val="en-US" w:eastAsia="zh-CN"/>
              </w:rPr>
              <w:t>4</w:t>
            </w:r>
            <w:r>
              <w:rPr>
                <w:rFonts w:hint="eastAsia" w:asciiTheme="minorEastAsia" w:hAnsiTheme="minorEastAsia" w:eastAsiaTheme="minorEastAsia" w:cstheme="minorEastAsia"/>
                <w:sz w:val="24"/>
                <w:szCs w:val="24"/>
                <w:vertAlign w:val="baseline"/>
                <w:lang w:eastAsia="zh-CN"/>
              </w:rPr>
              <w:t>.</w:t>
            </w:r>
            <w:r>
              <w:rPr>
                <w:rFonts w:hint="eastAsia" w:asciiTheme="minorEastAsia" w:hAnsiTheme="minorEastAsia" w:eastAsiaTheme="minorEastAsia" w:cstheme="minorEastAsia"/>
                <w:i w:val="0"/>
                <w:iCs w:val="0"/>
                <w:caps w:val="0"/>
                <w:color w:val="060607"/>
                <w:spacing w:val="5"/>
                <w:kern w:val="0"/>
                <w:sz w:val="24"/>
                <w:szCs w:val="24"/>
                <w:shd w:val="clear" w:color="auto" w:fill="FFFFFF"/>
                <w:lang w:val="en-US" w:eastAsia="zh-CN" w:bidi="ar"/>
              </w:rPr>
              <w:t>支持点击知识点跳转至微课进行深入学习</w:t>
            </w:r>
          </w:p>
        </w:tc>
      </w:tr>
      <w:tr w14:paraId="35DB7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C7B51ED">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B7A3601">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6C9B99E">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029B69EA">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eastAsia="zh-CN"/>
              </w:rPr>
              <w:t>1</w:t>
            </w:r>
            <w:r>
              <w:rPr>
                <w:rFonts w:hint="eastAsia" w:asciiTheme="minorEastAsia" w:hAnsiTheme="minorEastAsia" w:eastAsiaTheme="minorEastAsia" w:cstheme="minorEastAsia"/>
                <w:sz w:val="24"/>
                <w:szCs w:val="24"/>
                <w:vertAlign w:val="baseline"/>
                <w:lang w:val="en-US" w:eastAsia="zh-CN"/>
              </w:rPr>
              <w:t>5</w:t>
            </w:r>
            <w:r>
              <w:rPr>
                <w:rFonts w:hint="eastAsia" w:asciiTheme="minorEastAsia" w:hAnsiTheme="minorEastAsia" w:eastAsiaTheme="minorEastAsia" w:cstheme="minorEastAsia"/>
                <w:sz w:val="24"/>
                <w:szCs w:val="24"/>
                <w:vertAlign w:val="baseline"/>
                <w:lang w:eastAsia="zh-CN"/>
              </w:rPr>
              <w:t>.</w:t>
            </w:r>
            <w:r>
              <w:rPr>
                <w:rFonts w:hint="eastAsia" w:asciiTheme="minorEastAsia" w:hAnsiTheme="minorEastAsia" w:eastAsiaTheme="minorEastAsia" w:cstheme="minorEastAsia"/>
                <w:i w:val="0"/>
                <w:iCs w:val="0"/>
                <w:caps w:val="0"/>
                <w:color w:val="060607"/>
                <w:spacing w:val="5"/>
                <w:kern w:val="0"/>
                <w:sz w:val="24"/>
                <w:szCs w:val="24"/>
                <w:shd w:val="clear" w:color="auto" w:fill="FFFFFF"/>
                <w:lang w:val="en-US" w:eastAsia="zh-CN" w:bidi="ar"/>
              </w:rPr>
              <w:t>移动端微课提供分析、学习内容、自测、资料、错题集、讨论等多功能模块</w:t>
            </w:r>
          </w:p>
        </w:tc>
      </w:tr>
      <w:tr w14:paraId="27C09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8BD4215">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3B95FCD">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DC9015D">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579E89E6">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Hans"/>
              </w:rPr>
            </w:pPr>
            <w:r>
              <w:rPr>
                <w:rFonts w:hint="eastAsia" w:asciiTheme="minorEastAsia" w:hAnsiTheme="minorEastAsia" w:eastAsiaTheme="minorEastAsia" w:cstheme="minorEastAsia"/>
                <w:sz w:val="24"/>
                <w:szCs w:val="24"/>
                <w:vertAlign w:val="baseline"/>
                <w:lang w:eastAsia="zh-CN"/>
              </w:rPr>
              <w:t>1</w:t>
            </w:r>
            <w:r>
              <w:rPr>
                <w:rFonts w:hint="eastAsia" w:asciiTheme="minorEastAsia" w:hAnsiTheme="minorEastAsia" w:eastAsiaTheme="minorEastAsia" w:cstheme="minorEastAsia"/>
                <w:sz w:val="24"/>
                <w:szCs w:val="24"/>
                <w:vertAlign w:val="baseline"/>
                <w:lang w:val="en-US" w:eastAsia="zh-CN"/>
              </w:rPr>
              <w:t>6</w:t>
            </w:r>
            <w:r>
              <w:rPr>
                <w:rFonts w:hint="eastAsia" w:asciiTheme="minorEastAsia" w:hAnsiTheme="minorEastAsia" w:eastAsiaTheme="minorEastAsia" w:cstheme="minorEastAsia"/>
                <w:sz w:val="24"/>
                <w:szCs w:val="24"/>
                <w:vertAlign w:val="baseline"/>
                <w:lang w:eastAsia="zh-CN"/>
              </w:rPr>
              <w:t>.</w:t>
            </w:r>
            <w:r>
              <w:rPr>
                <w:rFonts w:hint="eastAsia" w:asciiTheme="minorEastAsia" w:hAnsiTheme="minorEastAsia" w:eastAsiaTheme="minorEastAsia" w:cstheme="minorEastAsia"/>
                <w:i w:val="0"/>
                <w:iCs w:val="0"/>
                <w:caps w:val="0"/>
                <w:color w:val="060607"/>
                <w:spacing w:val="5"/>
                <w:kern w:val="0"/>
                <w:sz w:val="24"/>
                <w:szCs w:val="24"/>
                <w:shd w:val="clear" w:color="auto" w:fill="FFFFFF"/>
                <w:lang w:val="en-US" w:eastAsia="zh-CN" w:bidi="ar"/>
              </w:rPr>
              <w:t>微课分析板块展示知识点完成数据，支持宏观和微观角度分析</w:t>
            </w:r>
          </w:p>
        </w:tc>
      </w:tr>
      <w:tr w14:paraId="73848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D6AFEB7">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8D98894">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4F6369F">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1A52BC7D">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Hans"/>
              </w:rPr>
            </w:pPr>
            <w:r>
              <w:rPr>
                <w:rFonts w:hint="eastAsia" w:asciiTheme="minorEastAsia" w:hAnsiTheme="minorEastAsia" w:eastAsiaTheme="minorEastAsia" w:cstheme="minorEastAsia"/>
                <w:sz w:val="24"/>
                <w:szCs w:val="24"/>
                <w:vertAlign w:val="baseline"/>
                <w:lang w:eastAsia="zh-CN"/>
              </w:rPr>
              <w:t>1</w:t>
            </w:r>
            <w:r>
              <w:rPr>
                <w:rFonts w:hint="eastAsia" w:asciiTheme="minorEastAsia" w:hAnsiTheme="minorEastAsia" w:eastAsiaTheme="minorEastAsia" w:cstheme="minorEastAsia"/>
                <w:sz w:val="24"/>
                <w:szCs w:val="24"/>
                <w:vertAlign w:val="baseline"/>
                <w:lang w:val="en-US" w:eastAsia="zh-CN"/>
              </w:rPr>
              <w:t>7</w:t>
            </w:r>
            <w:r>
              <w:rPr>
                <w:rFonts w:hint="eastAsia" w:asciiTheme="minorEastAsia" w:hAnsiTheme="minorEastAsia" w:eastAsiaTheme="minorEastAsia" w:cstheme="minorEastAsia"/>
                <w:sz w:val="24"/>
                <w:szCs w:val="24"/>
                <w:vertAlign w:val="baseline"/>
                <w:lang w:eastAsia="zh-CN"/>
              </w:rPr>
              <w:t>.</w:t>
            </w:r>
            <w:r>
              <w:rPr>
                <w:rFonts w:hint="eastAsia" w:asciiTheme="minorEastAsia" w:hAnsiTheme="minorEastAsia" w:eastAsiaTheme="minorEastAsia" w:cstheme="minorEastAsia"/>
                <w:sz w:val="24"/>
                <w:szCs w:val="24"/>
                <w:vertAlign w:val="baseline"/>
                <w:lang w:val="en-US" w:eastAsia="zh-Hans"/>
              </w:rPr>
              <w:t>移动端微课</w:t>
            </w:r>
            <w:r>
              <w:rPr>
                <w:rFonts w:hint="eastAsia" w:asciiTheme="minorEastAsia" w:hAnsiTheme="minorEastAsia" w:eastAsiaTheme="minorEastAsia" w:cstheme="minorEastAsia"/>
                <w:i w:val="0"/>
                <w:iCs w:val="0"/>
                <w:caps w:val="0"/>
                <w:color w:val="060607"/>
                <w:spacing w:val="5"/>
                <w:kern w:val="0"/>
                <w:sz w:val="24"/>
                <w:szCs w:val="24"/>
                <w:shd w:val="clear" w:color="auto" w:fill="FFFFFF"/>
                <w:lang w:val="en-US" w:eastAsia="zh-CN" w:bidi="ar"/>
              </w:rPr>
              <w:t>提供全面的知识点细节，包括标题、描述、标签和分类，以增强用户对知识点的理解</w:t>
            </w:r>
          </w:p>
        </w:tc>
      </w:tr>
      <w:tr w14:paraId="5A18B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D9A6F75">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E5B9902">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8CE9646">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074DA616">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Hans"/>
              </w:rPr>
            </w:pPr>
            <w:r>
              <w:rPr>
                <w:rFonts w:hint="eastAsia" w:asciiTheme="minorEastAsia" w:hAnsiTheme="minorEastAsia" w:eastAsiaTheme="minorEastAsia" w:cstheme="minorEastAsia"/>
                <w:sz w:val="24"/>
                <w:szCs w:val="24"/>
                <w:vertAlign w:val="baseline"/>
                <w:lang w:eastAsia="zh-CN"/>
              </w:rPr>
              <w:t>1</w:t>
            </w:r>
            <w:r>
              <w:rPr>
                <w:rFonts w:hint="eastAsia" w:asciiTheme="minorEastAsia" w:hAnsiTheme="minorEastAsia" w:eastAsiaTheme="minorEastAsia" w:cstheme="minorEastAsia"/>
                <w:sz w:val="24"/>
                <w:szCs w:val="24"/>
                <w:vertAlign w:val="baseline"/>
                <w:lang w:val="en-US" w:eastAsia="zh-CN"/>
              </w:rPr>
              <w:t>8</w:t>
            </w:r>
            <w:r>
              <w:rPr>
                <w:rFonts w:hint="eastAsia" w:asciiTheme="minorEastAsia" w:hAnsiTheme="minorEastAsia" w:eastAsiaTheme="minorEastAsia" w:cstheme="minorEastAsia"/>
                <w:sz w:val="24"/>
                <w:szCs w:val="24"/>
                <w:vertAlign w:val="baseline"/>
                <w:lang w:eastAsia="zh-CN"/>
              </w:rPr>
              <w:t>.</w:t>
            </w:r>
            <w:r>
              <w:rPr>
                <w:rFonts w:hint="eastAsia" w:asciiTheme="minorEastAsia" w:hAnsiTheme="minorEastAsia" w:eastAsiaTheme="minorEastAsia" w:cstheme="minorEastAsia"/>
                <w:sz w:val="24"/>
                <w:szCs w:val="24"/>
                <w:vertAlign w:val="baseline"/>
                <w:lang w:val="en-US" w:eastAsia="zh-Hans"/>
              </w:rPr>
              <w:t>移动端微课支持</w:t>
            </w:r>
            <w:r>
              <w:rPr>
                <w:rFonts w:hint="eastAsia" w:asciiTheme="minorEastAsia" w:hAnsiTheme="minorEastAsia" w:eastAsiaTheme="minorEastAsia" w:cstheme="minorEastAsia"/>
                <w:i w:val="0"/>
                <w:iCs w:val="0"/>
                <w:caps w:val="0"/>
                <w:color w:val="060607"/>
                <w:spacing w:val="5"/>
                <w:kern w:val="0"/>
                <w:sz w:val="24"/>
                <w:szCs w:val="24"/>
                <w:shd w:val="clear" w:color="auto" w:fill="FFFFFF"/>
                <w:lang w:val="en-US" w:eastAsia="zh-CN" w:bidi="ar"/>
              </w:rPr>
              <w:t>从宏观和微观视角展示用户的知识点掌握情况，并允许与班级整体表现进行比较</w:t>
            </w:r>
          </w:p>
        </w:tc>
      </w:tr>
      <w:tr w14:paraId="1D010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3696745">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FDBBED0">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19140C2">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371BF815">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Hans"/>
              </w:rPr>
            </w:pPr>
            <w:r>
              <w:rPr>
                <w:rFonts w:hint="eastAsia" w:asciiTheme="minorEastAsia" w:hAnsiTheme="minorEastAsia" w:eastAsiaTheme="minorEastAsia" w:cstheme="minorEastAsia"/>
                <w:sz w:val="24"/>
                <w:szCs w:val="24"/>
                <w:vertAlign w:val="baseline"/>
                <w:lang w:val="en-US" w:eastAsia="zh-CN"/>
              </w:rPr>
              <w:t>19</w:t>
            </w:r>
            <w:r>
              <w:rPr>
                <w:rFonts w:hint="eastAsia" w:asciiTheme="minorEastAsia" w:hAnsiTheme="minorEastAsia" w:eastAsiaTheme="minorEastAsia" w:cstheme="minorEastAsia"/>
                <w:sz w:val="24"/>
                <w:szCs w:val="24"/>
                <w:vertAlign w:val="baseline"/>
                <w:lang w:eastAsia="zh-CN"/>
              </w:rPr>
              <w:t>.</w:t>
            </w:r>
            <w:r>
              <w:rPr>
                <w:rFonts w:hint="eastAsia" w:asciiTheme="minorEastAsia" w:hAnsiTheme="minorEastAsia" w:eastAsiaTheme="minorEastAsia" w:cstheme="minorEastAsia"/>
                <w:i w:val="0"/>
                <w:iCs w:val="0"/>
                <w:caps w:val="0"/>
                <w:color w:val="060607"/>
                <w:spacing w:val="5"/>
                <w:kern w:val="0"/>
                <w:sz w:val="24"/>
                <w:szCs w:val="24"/>
                <w:shd w:val="clear" w:color="auto" w:fill="FFFFFF"/>
                <w:lang w:val="en-US" w:eastAsia="zh-CN" w:bidi="ar"/>
              </w:rPr>
              <w:t>移动端允许用户查看微课资源的完成状态，并通过不同模块划分内容，实现快速跳转学习</w:t>
            </w:r>
          </w:p>
        </w:tc>
      </w:tr>
      <w:tr w14:paraId="5E13B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3DE9380">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C70058A">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31FC5D0">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23128829">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Hans"/>
              </w:rPr>
            </w:pPr>
            <w:r>
              <w:rPr>
                <w:rFonts w:hint="eastAsia" w:asciiTheme="minorEastAsia" w:hAnsiTheme="minorEastAsia" w:eastAsiaTheme="minorEastAsia" w:cstheme="minorEastAsia"/>
                <w:sz w:val="24"/>
                <w:szCs w:val="24"/>
                <w:vertAlign w:val="baseline"/>
                <w:lang w:eastAsia="zh-CN"/>
              </w:rPr>
              <w:t>2</w:t>
            </w:r>
            <w:r>
              <w:rPr>
                <w:rFonts w:hint="eastAsia" w:asciiTheme="minorEastAsia" w:hAnsiTheme="minorEastAsia" w:eastAsiaTheme="minorEastAsia" w:cstheme="minorEastAsia"/>
                <w:sz w:val="24"/>
                <w:szCs w:val="24"/>
                <w:vertAlign w:val="baseline"/>
                <w:lang w:val="en-US" w:eastAsia="zh-CN"/>
              </w:rPr>
              <w:t>0</w:t>
            </w:r>
            <w:r>
              <w:rPr>
                <w:rFonts w:hint="eastAsia" w:asciiTheme="minorEastAsia" w:hAnsiTheme="minorEastAsia" w:eastAsiaTheme="minorEastAsia" w:cstheme="minorEastAsia"/>
                <w:sz w:val="24"/>
                <w:szCs w:val="24"/>
                <w:vertAlign w:val="baseline"/>
                <w:lang w:eastAsia="zh-CN"/>
              </w:rPr>
              <w:t>.</w:t>
            </w:r>
            <w:r>
              <w:rPr>
                <w:rFonts w:hint="eastAsia" w:asciiTheme="minorEastAsia" w:hAnsiTheme="minorEastAsia" w:eastAsiaTheme="minorEastAsia" w:cstheme="minorEastAsia"/>
                <w:i w:val="0"/>
                <w:iCs w:val="0"/>
                <w:caps w:val="0"/>
                <w:color w:val="060607"/>
                <w:spacing w:val="5"/>
                <w:kern w:val="0"/>
                <w:sz w:val="24"/>
                <w:szCs w:val="24"/>
                <w:shd w:val="clear" w:color="auto" w:fill="FFFFFF"/>
                <w:lang w:val="en-US" w:eastAsia="zh-CN" w:bidi="ar"/>
              </w:rPr>
              <w:t>移动端</w:t>
            </w:r>
            <w:r>
              <w:rPr>
                <w:rFonts w:hint="eastAsia" w:asciiTheme="minorEastAsia" w:hAnsiTheme="minorEastAsia" w:eastAsiaTheme="minorEastAsia" w:cstheme="minorEastAsia"/>
                <w:i w:val="0"/>
                <w:iCs w:val="0"/>
                <w:caps w:val="0"/>
                <w:color w:val="060607"/>
                <w:spacing w:val="5"/>
                <w:kern w:val="0"/>
                <w:sz w:val="24"/>
                <w:szCs w:val="24"/>
                <w:shd w:val="clear" w:color="auto" w:fill="FFFFFF"/>
                <w:lang w:val="en-US" w:eastAsia="zh-Hans" w:bidi="ar"/>
              </w:rPr>
              <w:t>微课支持</w:t>
            </w:r>
            <w:r>
              <w:rPr>
                <w:rFonts w:hint="eastAsia" w:asciiTheme="minorEastAsia" w:hAnsiTheme="minorEastAsia" w:eastAsiaTheme="minorEastAsia" w:cstheme="minorEastAsia"/>
                <w:i w:val="0"/>
                <w:iCs w:val="0"/>
                <w:caps w:val="0"/>
                <w:color w:val="060607"/>
                <w:spacing w:val="5"/>
                <w:kern w:val="0"/>
                <w:sz w:val="24"/>
                <w:szCs w:val="24"/>
                <w:shd w:val="clear" w:color="auto" w:fill="FFFFFF"/>
                <w:lang w:val="en-US" w:eastAsia="zh-CN" w:bidi="ar"/>
              </w:rPr>
              <w:t>集中展示与知识点相关的所有学习材料，便于用户进行快速学习</w:t>
            </w:r>
          </w:p>
        </w:tc>
      </w:tr>
      <w:tr w14:paraId="21A50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AD08418">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D8E8709">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4FA74F9">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1BA7F495">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Hans"/>
              </w:rPr>
            </w:pPr>
            <w:r>
              <w:rPr>
                <w:rFonts w:hint="eastAsia" w:asciiTheme="minorEastAsia" w:hAnsiTheme="minorEastAsia" w:eastAsiaTheme="minorEastAsia" w:cstheme="minorEastAsia"/>
                <w:sz w:val="24"/>
                <w:szCs w:val="24"/>
                <w:vertAlign w:val="baseline"/>
                <w:lang w:eastAsia="zh-CN"/>
              </w:rPr>
              <w:t>2</w:t>
            </w:r>
            <w:r>
              <w:rPr>
                <w:rFonts w:hint="eastAsia" w:asciiTheme="minorEastAsia" w:hAnsiTheme="minorEastAsia" w:eastAsiaTheme="minorEastAsia" w:cstheme="minorEastAsia"/>
                <w:sz w:val="24"/>
                <w:szCs w:val="24"/>
                <w:vertAlign w:val="baseline"/>
                <w:lang w:val="en-US" w:eastAsia="zh-CN"/>
              </w:rPr>
              <w:t>1</w:t>
            </w:r>
            <w:r>
              <w:rPr>
                <w:rFonts w:hint="eastAsia" w:asciiTheme="minorEastAsia" w:hAnsiTheme="minorEastAsia" w:eastAsiaTheme="minorEastAsia" w:cstheme="minorEastAsia"/>
                <w:sz w:val="24"/>
                <w:szCs w:val="24"/>
                <w:vertAlign w:val="baseline"/>
                <w:lang w:eastAsia="zh-CN"/>
              </w:rPr>
              <w:t>.</w:t>
            </w:r>
            <w:r>
              <w:rPr>
                <w:rFonts w:hint="eastAsia" w:asciiTheme="minorEastAsia" w:hAnsiTheme="minorEastAsia" w:eastAsiaTheme="minorEastAsia" w:cstheme="minorEastAsia"/>
                <w:i w:val="0"/>
                <w:iCs w:val="0"/>
                <w:caps w:val="0"/>
                <w:color w:val="060607"/>
                <w:spacing w:val="5"/>
                <w:kern w:val="0"/>
                <w:sz w:val="24"/>
                <w:szCs w:val="24"/>
                <w:shd w:val="clear" w:color="auto" w:fill="FFFFFF"/>
                <w:lang w:val="en-US" w:eastAsia="zh-CN" w:bidi="ar"/>
              </w:rPr>
              <w:t>用户可以根据个人需求</w:t>
            </w:r>
            <w:r>
              <w:rPr>
                <w:rFonts w:hint="eastAsia" w:asciiTheme="minorEastAsia" w:hAnsiTheme="minorEastAsia" w:eastAsiaTheme="minorEastAsia" w:cstheme="minorEastAsia"/>
                <w:i w:val="0"/>
                <w:iCs w:val="0"/>
                <w:caps w:val="0"/>
                <w:color w:val="060607"/>
                <w:spacing w:val="5"/>
                <w:kern w:val="0"/>
                <w:sz w:val="24"/>
                <w:szCs w:val="24"/>
                <w:shd w:val="clear" w:color="auto" w:fill="FFFFFF"/>
                <w:lang w:val="en-US" w:eastAsia="zh-Hans" w:bidi="ar"/>
              </w:rPr>
              <w:t>在移动端微课选择自</w:t>
            </w:r>
            <w:r>
              <w:rPr>
                <w:rFonts w:hint="eastAsia" w:asciiTheme="minorEastAsia" w:hAnsiTheme="minorEastAsia" w:eastAsiaTheme="minorEastAsia" w:cstheme="minorEastAsia"/>
                <w:i w:val="0"/>
                <w:iCs w:val="0"/>
                <w:caps w:val="0"/>
                <w:color w:val="060607"/>
                <w:spacing w:val="5"/>
                <w:kern w:val="0"/>
                <w:sz w:val="24"/>
                <w:szCs w:val="24"/>
                <w:shd w:val="clear" w:color="auto" w:fill="FFFFFF"/>
                <w:lang w:val="en-US" w:eastAsia="zh-CN" w:bidi="ar"/>
              </w:rPr>
              <w:t>测模式，包括时间限制和题目选择，以创建专属的自测体验</w:t>
            </w:r>
          </w:p>
        </w:tc>
      </w:tr>
      <w:tr w14:paraId="6C502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CC3346E">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CBC9CD6">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7E18462">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78A6D524">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2</w:t>
            </w:r>
            <w:r>
              <w:rPr>
                <w:rFonts w:hint="eastAsia" w:asciiTheme="minorEastAsia" w:hAnsiTheme="minorEastAsia" w:eastAsiaTheme="minorEastAsia" w:cstheme="minorEastAsia"/>
                <w:sz w:val="24"/>
                <w:szCs w:val="24"/>
                <w:vertAlign w:val="baseline"/>
                <w:lang w:val="en-US" w:eastAsia="zh-CN"/>
              </w:rPr>
              <w:t>2</w:t>
            </w:r>
            <w:r>
              <w:rPr>
                <w:rFonts w:hint="eastAsia" w:asciiTheme="minorEastAsia" w:hAnsiTheme="minorEastAsia" w:eastAsiaTheme="minorEastAsia" w:cstheme="minorEastAsia"/>
                <w:sz w:val="24"/>
                <w:szCs w:val="24"/>
                <w:vertAlign w:val="baseline"/>
                <w:lang w:eastAsia="zh-CN"/>
              </w:rPr>
              <w:t>.</w:t>
            </w:r>
            <w:r>
              <w:rPr>
                <w:rFonts w:hint="eastAsia" w:asciiTheme="minorEastAsia" w:hAnsiTheme="minorEastAsia" w:eastAsiaTheme="minorEastAsia" w:cstheme="minorEastAsia"/>
                <w:i w:val="0"/>
                <w:iCs w:val="0"/>
                <w:caps w:val="0"/>
                <w:color w:val="060607"/>
                <w:spacing w:val="5"/>
                <w:kern w:val="0"/>
                <w:sz w:val="24"/>
                <w:szCs w:val="24"/>
                <w:shd w:val="clear" w:color="auto" w:fill="FFFFFF"/>
                <w:lang w:val="en-US" w:eastAsia="zh-CN" w:bidi="ar"/>
              </w:rPr>
              <w:t>自测功能支持仅从未尝试过的题目中抽取，确保每次自测的新鲜感和有效性</w:t>
            </w:r>
          </w:p>
        </w:tc>
      </w:tr>
      <w:tr w14:paraId="4A9FE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14FD933">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917D21D">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44F4805">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015FDDCF">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Hans"/>
              </w:rPr>
            </w:pPr>
            <w:r>
              <w:rPr>
                <w:rFonts w:hint="eastAsia" w:asciiTheme="minorEastAsia" w:hAnsiTheme="minorEastAsia" w:eastAsiaTheme="minorEastAsia" w:cstheme="minorEastAsia"/>
                <w:sz w:val="24"/>
                <w:szCs w:val="24"/>
                <w:vertAlign w:val="baseline"/>
                <w:lang w:eastAsia="zh-CN"/>
              </w:rPr>
              <w:t>2</w:t>
            </w:r>
            <w:r>
              <w:rPr>
                <w:rFonts w:hint="eastAsia" w:asciiTheme="minorEastAsia" w:hAnsiTheme="minorEastAsia" w:eastAsiaTheme="minorEastAsia" w:cstheme="minorEastAsia"/>
                <w:sz w:val="24"/>
                <w:szCs w:val="24"/>
                <w:vertAlign w:val="baseline"/>
                <w:lang w:val="en-US" w:eastAsia="zh-CN"/>
              </w:rPr>
              <w:t>3</w:t>
            </w:r>
            <w:r>
              <w:rPr>
                <w:rFonts w:hint="eastAsia" w:asciiTheme="minorEastAsia" w:hAnsiTheme="minorEastAsia" w:eastAsiaTheme="minorEastAsia" w:cstheme="minorEastAsia"/>
                <w:sz w:val="24"/>
                <w:szCs w:val="24"/>
                <w:vertAlign w:val="baseline"/>
                <w:lang w:eastAsia="zh-CN"/>
              </w:rPr>
              <w:t>.</w:t>
            </w:r>
            <w:r>
              <w:rPr>
                <w:rFonts w:hint="eastAsia" w:asciiTheme="minorEastAsia" w:hAnsiTheme="minorEastAsia" w:eastAsiaTheme="minorEastAsia" w:cstheme="minorEastAsia"/>
                <w:i w:val="0"/>
                <w:iCs w:val="0"/>
                <w:caps w:val="0"/>
                <w:color w:val="060607"/>
                <w:spacing w:val="5"/>
                <w:kern w:val="0"/>
                <w:sz w:val="24"/>
                <w:szCs w:val="24"/>
                <w:shd w:val="clear" w:color="auto" w:fill="FFFFFF"/>
                <w:lang w:val="en-US" w:eastAsia="zh-CN" w:bidi="ar"/>
              </w:rPr>
              <w:t>移动端提供与知识点相关的学习资料的集中访问，方便用户获取必要信息</w:t>
            </w:r>
          </w:p>
        </w:tc>
      </w:tr>
      <w:tr w14:paraId="50F7E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9768241">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53944B0">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2EB23B3">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580C612A">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24</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eastAsia="zh-CN" w:bidi="ar"/>
              </w:rPr>
              <w:t>.</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Hans" w:bidi="ar"/>
              </w:rPr>
              <w:t>移动端微课</w:t>
            </w:r>
            <w:r>
              <w:rPr>
                <w:rFonts w:hint="eastAsia" w:asciiTheme="minorEastAsia" w:hAnsiTheme="minorEastAsia" w:eastAsiaTheme="minorEastAsia" w:cstheme="minorEastAsia"/>
                <w:i w:val="0"/>
                <w:iCs w:val="0"/>
                <w:caps w:val="0"/>
                <w:color w:val="060607"/>
                <w:spacing w:val="5"/>
                <w:kern w:val="0"/>
                <w:sz w:val="24"/>
                <w:szCs w:val="24"/>
                <w:shd w:val="clear" w:color="auto" w:fill="FFFFFF"/>
                <w:lang w:val="en-US" w:eastAsia="zh-CN" w:bidi="ar"/>
              </w:rPr>
              <w:t>讨论区功能支持用户发起话题、互动反馈，提升学习的趣味性和社区的参与度</w:t>
            </w:r>
          </w:p>
        </w:tc>
      </w:tr>
      <w:tr w14:paraId="1528E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C09E5B3">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78EDBC5">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1A45EA7">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14B35501">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Hans"/>
              </w:rPr>
            </w:pPr>
            <w:r>
              <w:rPr>
                <w:rFonts w:hint="eastAsia" w:asciiTheme="minorEastAsia" w:hAnsiTheme="minorEastAsia" w:eastAsiaTheme="minorEastAsia" w:cstheme="minorEastAsia"/>
                <w:sz w:val="24"/>
                <w:szCs w:val="24"/>
                <w:vertAlign w:val="baseline"/>
                <w:lang w:eastAsia="zh-CN"/>
              </w:rPr>
              <w:t>2</w:t>
            </w:r>
            <w:r>
              <w:rPr>
                <w:rFonts w:hint="eastAsia" w:asciiTheme="minorEastAsia" w:hAnsiTheme="minorEastAsia" w:eastAsiaTheme="minorEastAsia" w:cstheme="minorEastAsia"/>
                <w:sz w:val="24"/>
                <w:szCs w:val="24"/>
                <w:vertAlign w:val="baseline"/>
                <w:lang w:val="en-US" w:eastAsia="zh-CN"/>
              </w:rPr>
              <w:t>5</w:t>
            </w:r>
            <w:r>
              <w:rPr>
                <w:rFonts w:hint="eastAsia" w:asciiTheme="minorEastAsia" w:hAnsiTheme="minorEastAsia" w:eastAsiaTheme="minorEastAsia" w:cstheme="minorEastAsia"/>
                <w:sz w:val="24"/>
                <w:szCs w:val="24"/>
                <w:vertAlign w:val="baseline"/>
                <w:lang w:eastAsia="zh-CN"/>
              </w:rPr>
              <w:t>.</w:t>
            </w:r>
            <w:r>
              <w:rPr>
                <w:rFonts w:hint="eastAsia" w:asciiTheme="minorEastAsia" w:hAnsiTheme="minorEastAsia" w:eastAsiaTheme="minorEastAsia" w:cstheme="minorEastAsia"/>
                <w:sz w:val="24"/>
                <w:szCs w:val="24"/>
                <w:vertAlign w:val="baseline"/>
                <w:lang w:val="en-US" w:eastAsia="zh-Hans"/>
              </w:rPr>
              <w:t>移动端支持查看和该知识点相关的错题集，帮助用户更有针对性</w:t>
            </w:r>
            <w:r>
              <w:rPr>
                <w:rFonts w:hint="eastAsia" w:asciiTheme="minorEastAsia" w:hAnsiTheme="minorEastAsia" w:eastAsiaTheme="minorEastAsia" w:cstheme="minorEastAsia"/>
                <w:sz w:val="24"/>
                <w:szCs w:val="24"/>
                <w:vertAlign w:val="baseline"/>
                <w:lang w:val="en-US" w:eastAsia="zh-CN"/>
              </w:rPr>
              <w:t>地</w:t>
            </w:r>
            <w:r>
              <w:rPr>
                <w:rFonts w:hint="eastAsia" w:asciiTheme="minorEastAsia" w:hAnsiTheme="minorEastAsia" w:eastAsiaTheme="minorEastAsia" w:cstheme="minorEastAsia"/>
                <w:sz w:val="24"/>
                <w:szCs w:val="24"/>
                <w:vertAlign w:val="baseline"/>
                <w:lang w:val="en-US" w:eastAsia="zh-Hans"/>
              </w:rPr>
              <w:t>进行复习</w:t>
            </w:r>
          </w:p>
        </w:tc>
      </w:tr>
      <w:tr w14:paraId="111E0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7B02FF9">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E7DFDE9">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ED84682">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77307CFC">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Hans"/>
              </w:rPr>
            </w:pPr>
            <w:r>
              <w:rPr>
                <w:rFonts w:hint="eastAsia" w:asciiTheme="minorEastAsia" w:hAnsiTheme="minorEastAsia" w:eastAsiaTheme="minorEastAsia" w:cstheme="minorEastAsia"/>
                <w:sz w:val="24"/>
                <w:szCs w:val="24"/>
                <w:vertAlign w:val="baseline"/>
                <w:lang w:eastAsia="zh-CN"/>
              </w:rPr>
              <w:t>2</w:t>
            </w:r>
            <w:r>
              <w:rPr>
                <w:rFonts w:hint="eastAsia" w:asciiTheme="minorEastAsia" w:hAnsiTheme="minorEastAsia" w:eastAsiaTheme="minorEastAsia" w:cstheme="minorEastAsia"/>
                <w:sz w:val="24"/>
                <w:szCs w:val="24"/>
                <w:vertAlign w:val="baseline"/>
                <w:lang w:val="en-US" w:eastAsia="zh-CN"/>
              </w:rPr>
              <w:t>6</w:t>
            </w:r>
            <w:r>
              <w:rPr>
                <w:rFonts w:hint="eastAsia" w:asciiTheme="minorEastAsia" w:hAnsiTheme="minorEastAsia" w:eastAsiaTheme="minorEastAsia" w:cstheme="minorEastAsia"/>
                <w:sz w:val="24"/>
                <w:szCs w:val="24"/>
                <w:vertAlign w:val="baseline"/>
                <w:lang w:eastAsia="zh-CN"/>
              </w:rPr>
              <w:t>.</w:t>
            </w:r>
            <w:r>
              <w:rPr>
                <w:rFonts w:hint="eastAsia" w:asciiTheme="minorEastAsia" w:hAnsiTheme="minorEastAsia" w:eastAsiaTheme="minorEastAsia" w:cstheme="minorEastAsia"/>
                <w:sz w:val="24"/>
                <w:szCs w:val="24"/>
                <w:vertAlign w:val="baseline"/>
                <w:lang w:val="en-US" w:eastAsia="zh-Hans"/>
              </w:rPr>
              <w:t>移动端支持</w:t>
            </w:r>
            <w:r>
              <w:rPr>
                <w:rStyle w:val="31"/>
                <w:rFonts w:hint="eastAsia" w:asciiTheme="minorEastAsia" w:hAnsiTheme="minorEastAsia" w:eastAsiaTheme="minorEastAsia" w:cstheme="minorEastAsia"/>
                <w:b w:val="0"/>
                <w:bCs w:val="0"/>
                <w:i w:val="0"/>
                <w:iCs w:val="0"/>
                <w:caps w:val="0"/>
                <w:color w:val="060607"/>
                <w:spacing w:val="5"/>
                <w:kern w:val="0"/>
                <w:sz w:val="24"/>
                <w:szCs w:val="24"/>
                <w:shd w:val="clear" w:color="auto" w:fill="FFFFFF"/>
                <w:lang w:val="en-US" w:eastAsia="zh-CN" w:bidi="ar"/>
              </w:rPr>
              <w:t>大纲模式层级浏览</w:t>
            </w:r>
            <w:r>
              <w:rPr>
                <w:rFonts w:hint="eastAsia" w:asciiTheme="minorEastAsia" w:hAnsiTheme="minorEastAsia" w:eastAsiaTheme="minorEastAsia" w:cstheme="minorEastAsia"/>
                <w:b w:val="0"/>
                <w:bCs w:val="0"/>
                <w:i w:val="0"/>
                <w:iCs w:val="0"/>
                <w:caps w:val="0"/>
                <w:color w:val="060607"/>
                <w:spacing w:val="5"/>
                <w:kern w:val="0"/>
                <w:sz w:val="24"/>
                <w:szCs w:val="24"/>
                <w:shd w:val="clear" w:color="auto" w:fill="FFFFFF"/>
                <w:lang w:val="en-US" w:eastAsia="zh-CN" w:bidi="ar"/>
              </w:rPr>
              <w:t>：</w:t>
            </w:r>
            <w:r>
              <w:rPr>
                <w:rFonts w:hint="eastAsia" w:asciiTheme="minorEastAsia" w:hAnsiTheme="minorEastAsia" w:eastAsiaTheme="minorEastAsia" w:cstheme="minorEastAsia"/>
                <w:i w:val="0"/>
                <w:iCs w:val="0"/>
                <w:caps w:val="0"/>
                <w:color w:val="060607"/>
                <w:spacing w:val="5"/>
                <w:kern w:val="0"/>
                <w:sz w:val="24"/>
                <w:szCs w:val="24"/>
                <w:shd w:val="clear" w:color="auto" w:fill="FFFFFF"/>
                <w:lang w:val="en-US" w:eastAsia="zh-CN" w:bidi="ar"/>
              </w:rPr>
              <w:t>以列表形式展示分类和知识点的层级结构，提供清晰的导航体验</w:t>
            </w:r>
          </w:p>
        </w:tc>
      </w:tr>
      <w:tr w14:paraId="5E893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3A37543">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1CC8428">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5F39693">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0BEDAB91">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Hans"/>
              </w:rPr>
            </w:pPr>
            <w:r>
              <w:rPr>
                <w:rFonts w:hint="eastAsia" w:asciiTheme="minorEastAsia" w:hAnsiTheme="minorEastAsia" w:eastAsiaTheme="minorEastAsia" w:cstheme="minorEastAsia"/>
                <w:sz w:val="24"/>
                <w:szCs w:val="24"/>
                <w:vertAlign w:val="baseline"/>
                <w:lang w:eastAsia="zh-CN"/>
              </w:rPr>
              <w:t>2</w:t>
            </w:r>
            <w:r>
              <w:rPr>
                <w:rFonts w:hint="eastAsia" w:asciiTheme="minorEastAsia" w:hAnsiTheme="minorEastAsia" w:eastAsiaTheme="minorEastAsia" w:cstheme="minorEastAsia"/>
                <w:sz w:val="24"/>
                <w:szCs w:val="24"/>
                <w:vertAlign w:val="baseline"/>
                <w:lang w:val="en-US" w:eastAsia="zh-CN"/>
              </w:rPr>
              <w:t>7</w:t>
            </w:r>
            <w:r>
              <w:rPr>
                <w:rFonts w:hint="eastAsia" w:asciiTheme="minorEastAsia" w:hAnsiTheme="minorEastAsia" w:eastAsiaTheme="minorEastAsia" w:cstheme="minorEastAsia"/>
                <w:sz w:val="24"/>
                <w:szCs w:val="24"/>
                <w:vertAlign w:val="baseline"/>
                <w:lang w:eastAsia="zh-CN"/>
              </w:rPr>
              <w:t>.</w:t>
            </w:r>
            <w:r>
              <w:rPr>
                <w:rFonts w:hint="eastAsia" w:asciiTheme="minorEastAsia" w:hAnsiTheme="minorEastAsia" w:eastAsiaTheme="minorEastAsia" w:cstheme="minorEastAsia"/>
                <w:sz w:val="24"/>
                <w:szCs w:val="24"/>
                <w:vertAlign w:val="baseline"/>
                <w:lang w:val="en-US" w:eastAsia="zh-Hans"/>
              </w:rPr>
              <w:t>大纲模式下分类卡片支持展示该分类标题以及同级该分类下全部的子级个数，点击下拉按钮支持其全部的子级</w:t>
            </w:r>
          </w:p>
        </w:tc>
      </w:tr>
      <w:tr w14:paraId="0A544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3FC8B98">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1092F39">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5A4FC98">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5E0BC754">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Hans"/>
              </w:rPr>
            </w:pPr>
            <w:r>
              <w:rPr>
                <w:rFonts w:hint="eastAsia" w:asciiTheme="minorEastAsia" w:hAnsiTheme="minorEastAsia" w:eastAsiaTheme="minorEastAsia" w:cstheme="minorEastAsia"/>
                <w:sz w:val="24"/>
                <w:szCs w:val="24"/>
                <w:vertAlign w:val="baseline"/>
                <w:lang w:eastAsia="zh-CN"/>
              </w:rPr>
              <w:t>2</w:t>
            </w:r>
            <w:r>
              <w:rPr>
                <w:rFonts w:hint="eastAsia" w:asciiTheme="minorEastAsia" w:hAnsiTheme="minorEastAsia" w:eastAsiaTheme="minorEastAsia" w:cstheme="minorEastAsia"/>
                <w:sz w:val="24"/>
                <w:szCs w:val="24"/>
                <w:vertAlign w:val="baseline"/>
                <w:lang w:val="en-US" w:eastAsia="zh-CN"/>
              </w:rPr>
              <w:t>8</w:t>
            </w:r>
            <w:r>
              <w:rPr>
                <w:rFonts w:hint="eastAsia" w:asciiTheme="minorEastAsia" w:hAnsiTheme="minorEastAsia" w:eastAsiaTheme="minorEastAsia" w:cstheme="minorEastAsia"/>
                <w:sz w:val="24"/>
                <w:szCs w:val="24"/>
                <w:vertAlign w:val="baseline"/>
                <w:lang w:eastAsia="zh-CN"/>
              </w:rPr>
              <w:t>.</w:t>
            </w:r>
            <w:r>
              <w:rPr>
                <w:rFonts w:hint="eastAsia" w:asciiTheme="minorEastAsia" w:hAnsiTheme="minorEastAsia" w:eastAsiaTheme="minorEastAsia" w:cstheme="minorEastAsia"/>
                <w:sz w:val="24"/>
                <w:szCs w:val="24"/>
                <w:vertAlign w:val="baseline"/>
                <w:lang w:val="en-US" w:eastAsia="zh-Hans"/>
              </w:rPr>
              <w:t>大纲模式下</w:t>
            </w:r>
            <w:r>
              <w:rPr>
                <w:rFonts w:hint="eastAsia" w:asciiTheme="minorEastAsia" w:hAnsiTheme="minorEastAsia" w:eastAsiaTheme="minorEastAsia" w:cstheme="minorEastAsia"/>
                <w:i w:val="0"/>
                <w:iCs w:val="0"/>
                <w:caps w:val="0"/>
                <w:color w:val="060607"/>
                <w:spacing w:val="5"/>
                <w:kern w:val="0"/>
                <w:sz w:val="24"/>
                <w:szCs w:val="24"/>
                <w:shd w:val="clear" w:color="auto" w:fill="FFFFFF"/>
                <w:lang w:val="en-US" w:eastAsia="zh-CN" w:bidi="ar"/>
              </w:rPr>
              <w:t>知识点卡片展示标签、完成率、掌握率等关键数据，反映学习进展和资源阅读情况</w:t>
            </w:r>
          </w:p>
        </w:tc>
      </w:tr>
      <w:tr w14:paraId="7FC1C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15"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2D9AE8E0">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10</w:t>
            </w:r>
          </w:p>
        </w:tc>
        <w:tc>
          <w:tcPr>
            <w:tcW w:w="962"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2233AC25">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知识图谱资源推荐</w:t>
            </w:r>
          </w:p>
        </w:tc>
        <w:tc>
          <w:tcPr>
            <w:tcW w:w="1439"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2AB70845">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微课资源推荐</w:t>
            </w: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69FD06D0">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1.</w:t>
            </w: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sz w:val="24"/>
                <w:szCs w:val="24"/>
                <w:vertAlign w:val="baseline"/>
                <w:lang w:val="en-US" w:eastAsia="zh-CN"/>
              </w:rPr>
              <w:t>支持</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以列表形式综合呈现与知识点相关的多种资源类型，不限于知识词条、学术文献、多媒体资料等，为用户提供全面的学习材料</w:t>
            </w:r>
          </w:p>
        </w:tc>
      </w:tr>
      <w:tr w14:paraId="07250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D112D5D">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B6F0C13">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5F74758">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052CE660">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2.</w:t>
            </w: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sz w:val="24"/>
                <w:szCs w:val="24"/>
                <w:vertAlign w:val="baseline"/>
                <w:lang w:val="en-US" w:eastAsia="zh-CN"/>
              </w:rPr>
              <w:t>支持</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用户搜索并接触与知识点相关的广泛资源，系统支持对知识点的深入挖掘，扩展用户的知识探索边界</w:t>
            </w:r>
          </w:p>
        </w:tc>
      </w:tr>
      <w:tr w14:paraId="619E3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3612AEA">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8BD8EFE">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949E391">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30B09E1D">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3.</w:t>
            </w: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通过图谱形式动态展示知识点间的关联，利用视觉元素如距离和颜色深浅来表现知识点间的紧密程度，增强用户对知识结构的理解</w:t>
            </w:r>
          </w:p>
        </w:tc>
      </w:tr>
      <w:tr w14:paraId="68AB4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F50177E">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ED9D397">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4C0268E">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73C5AE91">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4.</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用户可通过点击图谱中的知识点，进一步探索与之相关的其他知识点，提升图谱的互动性和灵活性，促进知识的深入学习</w:t>
            </w:r>
          </w:p>
        </w:tc>
      </w:tr>
      <w:tr w14:paraId="59538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5"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7DDBAFC5">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color w:val="C00000"/>
                <w:sz w:val="24"/>
                <w:szCs w:val="24"/>
                <w:highlight w:val="yellow"/>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11</w:t>
            </w:r>
          </w:p>
        </w:tc>
        <w:tc>
          <w:tcPr>
            <w:tcW w:w="962"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6C308EB3">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知识图谱统计与分析</w:t>
            </w:r>
          </w:p>
        </w:tc>
        <w:tc>
          <w:tcPr>
            <w:tcW w:w="1439"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3C6AE632">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学情统计&amp;图谱统计</w:t>
            </w: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1724EBAC">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color w:val="auto"/>
                <w:kern w:val="2"/>
                <w:sz w:val="24"/>
                <w:szCs w:val="24"/>
                <w:highlight w:val="none"/>
                <w:vertAlign w:val="baseline"/>
                <w:lang w:val="en-US" w:eastAsia="zh-CN" w:bidi="ar-SA"/>
              </w:rPr>
            </w:pPr>
            <w:r>
              <w:rPr>
                <w:rFonts w:hint="eastAsia" w:asciiTheme="minorEastAsia" w:hAnsiTheme="minorEastAsia" w:eastAsiaTheme="minorEastAsia" w:cstheme="minorEastAsia"/>
                <w:color w:val="auto"/>
                <w:sz w:val="24"/>
                <w:szCs w:val="24"/>
                <w:highlight w:val="none"/>
                <w:vertAlign w:val="baseline"/>
                <w:lang w:val="en-US" w:eastAsia="zh-CN"/>
              </w:rPr>
              <w:t>1.支持</w:t>
            </w:r>
            <w:r>
              <w:rPr>
                <w:rFonts w:hint="eastAsia" w:asciiTheme="minorEastAsia" w:hAnsiTheme="minorEastAsia" w:eastAsiaTheme="minorEastAsia" w:cstheme="minorEastAsia"/>
                <w:i w:val="0"/>
                <w:iCs w:val="0"/>
                <w:caps w:val="0"/>
                <w:color w:val="auto"/>
                <w:spacing w:val="10"/>
                <w:kern w:val="0"/>
                <w:sz w:val="24"/>
                <w:szCs w:val="24"/>
                <w:highlight w:val="none"/>
                <w:shd w:val="clear" w:color="auto" w:fill="FFFFFF"/>
                <w:lang w:val="en-US" w:eastAsia="zh-CN" w:bidi="ar"/>
              </w:rPr>
              <w:t>用户能深入分析学习情况和图谱数据，以优化教学和学习策略</w:t>
            </w:r>
          </w:p>
        </w:tc>
      </w:tr>
      <w:tr w14:paraId="3D457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FFF62E6">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ADA7307">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24FB968">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0A2FF32B">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2.支持</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探索每个知识点在班级中的平均表现，并在不同班级间轻松切换，以获得全面的视角</w:t>
            </w:r>
          </w:p>
        </w:tc>
      </w:tr>
      <w:tr w14:paraId="6FC19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5B4E32F">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DE9F883">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EB3A086">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18E4F564">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3.</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用户现在可以将学情统计的快照保存为图像，便于回顾和分享</w:t>
            </w:r>
          </w:p>
        </w:tc>
      </w:tr>
      <w:tr w14:paraId="6FC19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A2E2777">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8F99946">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4F19059">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4EE56F27">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4.支持在学情统计中检索节点，帮助用户快速定位特定节点的完成率/掌握率</w:t>
            </w:r>
          </w:p>
        </w:tc>
      </w:tr>
      <w:tr w14:paraId="25917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234988E">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587480C">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4720853">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7AE3137D">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5.</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图谱统计功能从多维角度对课程的宏观理解、对知识点的深入分析，以及用户自定义的探索路径</w:t>
            </w:r>
          </w:p>
        </w:tc>
      </w:tr>
      <w:tr w14:paraId="2AD98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E55E673">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2CD697F">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D617AC4">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32A18B11">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6.</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课程总览提供了一个多维度的课程视角，包括知识点、资源、任务点、资料和评估活动的统计</w:t>
            </w:r>
          </w:p>
        </w:tc>
      </w:tr>
      <w:tr w14:paraId="13B9C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DBD1F81">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4A16511">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0194A48">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4DEA1243">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7.</w:t>
            </w: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sz w:val="24"/>
                <w:szCs w:val="24"/>
                <w:vertAlign w:val="baseline"/>
                <w:lang w:val="en-US" w:eastAsia="zh-CN"/>
              </w:rPr>
              <w:t>课程总览支持</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创意的词云形式，展示了学习中的热门知识点，直观地反映了学习的重点和热点</w:t>
            </w:r>
          </w:p>
        </w:tc>
      </w:tr>
      <w:tr w14:paraId="532CA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425FE8C">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BDF749B">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8717B13">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447BEA40">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8.</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知识点学习情况分析通过图形化的方式，提供了班级学习的整体视图，包括完成率和掌握率</w:t>
            </w:r>
          </w:p>
        </w:tc>
      </w:tr>
      <w:tr w14:paraId="74DBB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401D268">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A83BADE">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4819F21">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11B2770C">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9.支持</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对知识点掌握情况深入分析，同时展示学生知识点掌握率和知识点完成率的前五名，以此突显学习成效的佼佼者</w:t>
            </w:r>
          </w:p>
        </w:tc>
      </w:tr>
      <w:tr w14:paraId="39546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4F79F62">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A88F2A0">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D63F653">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3AB714B7">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10.</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支持全面审视所有学生的数据，提供两种不同的视角来观察这些数据：从知识点出发或从学生个体出发</w:t>
            </w:r>
          </w:p>
        </w:tc>
      </w:tr>
      <w:tr w14:paraId="3AAEA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5D8B89E">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AD03589">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3FF93F1">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60C94D1C">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11.按知识点统计支持展示每个知识点关联学习资源、班级平均掌握率、班级平均完成率、关联资料数、课程资料人均阅读数，同时支持查看该知识点详情页面</w:t>
            </w:r>
          </w:p>
        </w:tc>
      </w:tr>
      <w:tr w14:paraId="1CC07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C40BD3C">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520D044">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12640C9">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19F8C0AE">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12.</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通过知识图谱的形式，用颜色区分来展示知识点的完成度和掌握度，让数据的呈现更加生动和直观</w:t>
            </w:r>
          </w:p>
        </w:tc>
      </w:tr>
      <w:tr w14:paraId="596FC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BBFB629">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71F2A1F">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9910C8A">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18811720">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13.</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从学生个体的视角，支持提供了包含基本信息和学习表现的综合视图</w:t>
            </w:r>
          </w:p>
        </w:tc>
      </w:tr>
      <w:tr w14:paraId="3C675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A27EDCC">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32BB65F">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A47EB22">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12B2EF2B">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14.支持按人统计点击学生详情，</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提供列表和知识图谱两种形式，展示每个知识点的完成情况，包括完成率和掌握率</w:t>
            </w:r>
          </w:p>
        </w:tc>
      </w:tr>
      <w:tr w14:paraId="46D4B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815CE48">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2B47FEF">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04BCB254">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知识点统计</w:t>
            </w:r>
          </w:p>
          <w:p w14:paraId="6627FD9A">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2B1DF07C">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1.</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分类卡片综合展示关键信息，如标题、描述、知识点及其资源和标签概览，提供非任务点与任务点的数量统计</w:t>
            </w:r>
          </w:p>
        </w:tc>
      </w:tr>
      <w:tr w14:paraId="21ADE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E7D00D9">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E196846">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DE3FF1F">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60104750">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2.</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用户可通过点击卡片进入详情页面，页面细分为六个核心部分，全面覆盖分类的各个方面</w:t>
            </w:r>
          </w:p>
        </w:tc>
      </w:tr>
      <w:tr w14:paraId="1C4FA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09807CD">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951A4AE">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6916ACB">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31D0F61C">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sz w:val="24"/>
                <w:szCs w:val="24"/>
                <w:vertAlign w:val="baseline"/>
                <w:lang w:val="en-US" w:eastAsia="zh-CN"/>
              </w:rPr>
              <w:t>3.</w:t>
            </w:r>
            <w:r>
              <w:rPr>
                <w:rStyle w:val="31"/>
                <w:rFonts w:hint="eastAsia" w:asciiTheme="minorEastAsia" w:hAnsiTheme="minorEastAsia" w:eastAsiaTheme="minorEastAsia" w:cstheme="minorEastAsia"/>
                <w:b w:val="0"/>
                <w:bCs w:val="0"/>
                <w:i w:val="0"/>
                <w:iCs w:val="0"/>
                <w:caps w:val="0"/>
                <w:color w:val="060607"/>
                <w:spacing w:val="10"/>
                <w:kern w:val="0"/>
                <w:sz w:val="24"/>
                <w:szCs w:val="24"/>
                <w:shd w:val="clear" w:color="auto" w:fill="FFFFFF"/>
                <w:lang w:val="en-US" w:eastAsia="zh-CN" w:bidi="ar"/>
              </w:rPr>
              <w:t>分类简介与导航</w:t>
            </w:r>
            <w:r>
              <w:rPr>
                <w:rFonts w:hint="eastAsia" w:asciiTheme="minorEastAsia" w:hAnsiTheme="minorEastAsia" w:eastAsiaTheme="minorEastAsia" w:cstheme="minorEastAsia"/>
                <w:b w:val="0"/>
                <w:bCs w:val="0"/>
                <w:i w:val="0"/>
                <w:iCs w:val="0"/>
                <w:caps w:val="0"/>
                <w:color w:val="060607"/>
                <w:spacing w:val="10"/>
                <w:kern w:val="0"/>
                <w:sz w:val="24"/>
                <w:szCs w:val="24"/>
                <w:shd w:val="clear" w:color="auto" w:fill="FFFFFF"/>
                <w:lang w:val="en-US" w:eastAsia="zh-CN" w:bidi="ar"/>
              </w:rPr>
              <w:t>提供分类的标题和说明，并允许用户在同层级分类间轻松切换，以促进不同分类间的比较和对照</w:t>
            </w:r>
          </w:p>
        </w:tc>
      </w:tr>
      <w:tr w14:paraId="61E9E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E4A519C">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8FDD135">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2DE69EC">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291EAFF1">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sz w:val="24"/>
                <w:szCs w:val="24"/>
                <w:vertAlign w:val="baseline"/>
                <w:lang w:val="en-US" w:eastAsia="zh-CN"/>
              </w:rPr>
              <w:t>4.</w:t>
            </w:r>
            <w:r>
              <w:rPr>
                <w:rStyle w:val="31"/>
                <w:rFonts w:hint="eastAsia" w:asciiTheme="minorEastAsia" w:hAnsiTheme="minorEastAsia" w:eastAsiaTheme="minorEastAsia" w:cstheme="minorEastAsia"/>
                <w:b w:val="0"/>
                <w:bCs w:val="0"/>
                <w:i w:val="0"/>
                <w:iCs w:val="0"/>
                <w:caps w:val="0"/>
                <w:color w:val="060607"/>
                <w:spacing w:val="10"/>
                <w:kern w:val="0"/>
                <w:sz w:val="24"/>
                <w:szCs w:val="24"/>
                <w:shd w:val="clear" w:color="auto" w:fill="FFFFFF"/>
                <w:lang w:val="en-US" w:eastAsia="zh-CN" w:bidi="ar"/>
              </w:rPr>
              <w:t>知识点与资源关联</w:t>
            </w:r>
            <w:r>
              <w:rPr>
                <w:rFonts w:hint="eastAsia" w:asciiTheme="minorEastAsia" w:hAnsiTheme="minorEastAsia" w:eastAsiaTheme="minorEastAsia" w:cstheme="minorEastAsia"/>
                <w:b w:val="0"/>
                <w:bCs w:val="0"/>
                <w:i w:val="0"/>
                <w:iCs w:val="0"/>
                <w:caps w:val="0"/>
                <w:color w:val="060607"/>
                <w:spacing w:val="10"/>
                <w:kern w:val="0"/>
                <w:sz w:val="24"/>
                <w:szCs w:val="24"/>
                <w:shd w:val="clear" w:color="auto" w:fill="FFFFFF"/>
                <w:lang w:val="en-US" w:eastAsia="zh-CN" w:bidi="ar"/>
              </w:rPr>
              <w:t>展示知识点数量及其关联的资源总数，揭示知识点的内容丰富度</w:t>
            </w:r>
          </w:p>
        </w:tc>
      </w:tr>
      <w:tr w14:paraId="19679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CA9F324">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717BFD3">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FEB6D5E">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501829D0">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5.知识点微课入口支持</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以列表形式展示知识点标签，并允许一键跳转至相关微课，增强学习的直接性和便捷性</w:t>
            </w:r>
          </w:p>
        </w:tc>
      </w:tr>
      <w:tr w14:paraId="7251D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5FB73CF">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3411E0A">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C111112">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7DF2DAC2">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6.知识点标签支持</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展示分类下所有知识点的标签数量，包括考点、重点和难点，以助于用户识别关键学习领域</w:t>
            </w:r>
          </w:p>
        </w:tc>
      </w:tr>
      <w:tr w14:paraId="7871F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2F51B18">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E425235">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A729FF6">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1172BCB2">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7.支持</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利用饼图展示子级知识点的不同属性分类，如事实性、概念性等，以视觉化手段辅助理解</w:t>
            </w:r>
          </w:p>
        </w:tc>
      </w:tr>
      <w:tr w14:paraId="35B15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63CF399">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F980312">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28606FD">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167C878F">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8.知识点建设情况支持</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通过水位图展示知识点资源的关联情况，反映知识点的建设进度</w:t>
            </w:r>
          </w:p>
        </w:tc>
      </w:tr>
      <w:tr w14:paraId="4D15B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BFEDF10">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7B055E2">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BBFB66C">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0C711186">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9.知识点建设情况支持</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以柱状图形式展示每个知识点的关联资源数量，提供资源分配的视觉比较</w:t>
            </w:r>
          </w:p>
        </w:tc>
      </w:tr>
      <w:tr w14:paraId="6CEA3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AD61F02">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2ADF8E7">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D143E15">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7DB9F6FE">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10.支持以班级为单位，展示不同班级之间的知识点平均掌握率和知识点平均完成率</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，反映学习成效和掌握程度</w:t>
            </w:r>
          </w:p>
        </w:tc>
      </w:tr>
      <w:tr w14:paraId="77492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A6A7A43">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73CCF0A">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89E3E20">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47B5CDDD">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11.</w:t>
            </w:r>
            <w:r>
              <w:rPr>
                <w:rFonts w:hint="eastAsia" w:asciiTheme="minorEastAsia" w:hAnsiTheme="minorEastAsia" w:eastAsiaTheme="minorEastAsia" w:cstheme="minorEastAsia"/>
                <w:b w:val="0"/>
                <w:bCs w:val="0"/>
                <w:sz w:val="24"/>
                <w:szCs w:val="24"/>
                <w:vertAlign w:val="baseline"/>
                <w:lang w:val="en-US" w:eastAsia="zh-CN"/>
              </w:rPr>
              <w:t>支持展示</w:t>
            </w:r>
            <w:r>
              <w:rPr>
                <w:rStyle w:val="31"/>
                <w:rFonts w:hint="eastAsia" w:asciiTheme="minorEastAsia" w:hAnsiTheme="minorEastAsia" w:eastAsiaTheme="minorEastAsia" w:cstheme="minorEastAsia"/>
                <w:b w:val="0"/>
                <w:bCs w:val="0"/>
                <w:i w:val="0"/>
                <w:iCs w:val="0"/>
                <w:caps w:val="0"/>
                <w:color w:val="060607"/>
                <w:spacing w:val="10"/>
                <w:kern w:val="0"/>
                <w:sz w:val="24"/>
                <w:szCs w:val="24"/>
                <w:shd w:val="clear" w:color="auto" w:fill="FFFFFF"/>
                <w:lang w:val="en-US" w:eastAsia="zh-CN" w:bidi="ar"/>
              </w:rPr>
              <w:t>分类资源归属并</w:t>
            </w:r>
            <w:r>
              <w:rPr>
                <w:rFonts w:hint="eastAsia" w:asciiTheme="minorEastAsia" w:hAnsiTheme="minorEastAsia" w:eastAsiaTheme="minorEastAsia" w:cstheme="minorEastAsia"/>
                <w:b w:val="0"/>
                <w:bCs w:val="0"/>
                <w:i w:val="0"/>
                <w:iCs w:val="0"/>
                <w:caps w:val="0"/>
                <w:color w:val="060607"/>
                <w:spacing w:val="10"/>
                <w:kern w:val="0"/>
                <w:sz w:val="24"/>
                <w:szCs w:val="24"/>
                <w:shd w:val="clear" w:color="auto" w:fill="FFFFFF"/>
                <w:lang w:val="en-US" w:eastAsia="zh-CN" w:bidi="ar"/>
              </w:rPr>
              <w:t>将关联分类的资源归纳至列表，同时按章节、作业/考试、课程资料等板块进行展示</w:t>
            </w:r>
          </w:p>
        </w:tc>
      </w:tr>
      <w:tr w14:paraId="25472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8C28ACE">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EDCD29B">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6A17260">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25360553">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12.</w:t>
            </w:r>
            <w:r>
              <w:rPr>
                <w:rFonts w:hint="eastAsia" w:asciiTheme="minorEastAsia" w:hAnsiTheme="minorEastAsia" w:eastAsiaTheme="minorEastAsia" w:cstheme="minorEastAsia"/>
                <w:b w:val="0"/>
                <w:bCs w:val="0"/>
                <w:i w:val="0"/>
                <w:iCs w:val="0"/>
                <w:caps w:val="0"/>
                <w:color w:val="060607"/>
                <w:spacing w:val="10"/>
                <w:kern w:val="0"/>
                <w:sz w:val="24"/>
                <w:szCs w:val="24"/>
                <w:shd w:val="clear" w:color="auto" w:fill="FFFFFF"/>
                <w:lang w:val="en-US" w:eastAsia="zh-CN" w:bidi="ar"/>
              </w:rPr>
              <w:t>支持展示</w:t>
            </w:r>
            <w:r>
              <w:rPr>
                <w:rStyle w:val="31"/>
                <w:rFonts w:hint="eastAsia" w:asciiTheme="minorEastAsia" w:hAnsiTheme="minorEastAsia" w:eastAsiaTheme="minorEastAsia" w:cstheme="minorEastAsia"/>
                <w:b w:val="0"/>
                <w:bCs w:val="0"/>
                <w:i w:val="0"/>
                <w:iCs w:val="0"/>
                <w:caps w:val="0"/>
                <w:color w:val="060607"/>
                <w:spacing w:val="10"/>
                <w:kern w:val="0"/>
                <w:sz w:val="24"/>
                <w:szCs w:val="24"/>
                <w:shd w:val="clear" w:color="auto" w:fill="FFFFFF"/>
                <w:lang w:val="en-US" w:eastAsia="zh-CN" w:bidi="ar"/>
              </w:rPr>
              <w:t>班级资源差异化视图，展示</w:t>
            </w:r>
            <w:r>
              <w:rPr>
                <w:rFonts w:hint="eastAsia" w:asciiTheme="minorEastAsia" w:hAnsiTheme="minorEastAsia" w:eastAsiaTheme="minorEastAsia" w:cstheme="minorEastAsia"/>
                <w:b w:val="0"/>
                <w:bCs w:val="0"/>
                <w:i w:val="0"/>
                <w:iCs w:val="0"/>
                <w:caps w:val="0"/>
                <w:color w:val="060607"/>
                <w:spacing w:val="10"/>
                <w:kern w:val="0"/>
                <w:sz w:val="24"/>
                <w:szCs w:val="24"/>
                <w:shd w:val="clear" w:color="auto" w:fill="FFFFFF"/>
                <w:lang w:val="en-US" w:eastAsia="zh-CN" w:bidi="ar"/>
              </w:rPr>
              <w:t>不同班级的专属资源，并允许用户根据班级切换视图，以适应不同教学需求</w:t>
            </w:r>
          </w:p>
        </w:tc>
      </w:tr>
      <w:tr w14:paraId="27ED5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ADB637B">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B8474DC">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54D733DD">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微课统计-教师端</w:t>
            </w: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03837B04">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both"/>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1.</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分类卡片以集成化方式展示关键分类信息，包括标题、描述、知识点列表及其资源和标签的概览</w:t>
            </w:r>
          </w:p>
        </w:tc>
      </w:tr>
      <w:tr w14:paraId="23FA7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E26CEAB">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B475F84">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402026D">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both"/>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25163FB1">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both"/>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sz w:val="24"/>
                <w:szCs w:val="24"/>
                <w:vertAlign w:val="baseline"/>
                <w:lang w:val="en-US" w:eastAsia="zh-CN"/>
              </w:rPr>
              <w:t>2.支持展示</w:t>
            </w:r>
            <w:r>
              <w:rPr>
                <w:rStyle w:val="31"/>
                <w:rFonts w:hint="eastAsia" w:asciiTheme="minorEastAsia" w:hAnsiTheme="minorEastAsia" w:eastAsiaTheme="minorEastAsia" w:cstheme="minorEastAsia"/>
                <w:b w:val="0"/>
                <w:bCs w:val="0"/>
                <w:i w:val="0"/>
                <w:iCs w:val="0"/>
                <w:caps w:val="0"/>
                <w:color w:val="060607"/>
                <w:spacing w:val="10"/>
                <w:kern w:val="0"/>
                <w:sz w:val="24"/>
                <w:szCs w:val="24"/>
                <w:shd w:val="clear" w:color="auto" w:fill="FFFFFF"/>
                <w:lang w:val="en-US" w:eastAsia="zh-CN" w:bidi="ar"/>
              </w:rPr>
              <w:t>分类详情多维视图，</w:t>
            </w:r>
            <w:r>
              <w:rPr>
                <w:rFonts w:hint="eastAsia" w:asciiTheme="minorEastAsia" w:hAnsiTheme="minorEastAsia" w:eastAsiaTheme="minorEastAsia" w:cstheme="minorEastAsia"/>
                <w:b w:val="0"/>
                <w:bCs w:val="0"/>
                <w:i w:val="0"/>
                <w:iCs w:val="0"/>
                <w:caps w:val="0"/>
                <w:color w:val="060607"/>
                <w:spacing w:val="10"/>
                <w:kern w:val="0"/>
                <w:sz w:val="24"/>
                <w:szCs w:val="24"/>
                <w:shd w:val="clear" w:color="auto" w:fill="FFFFFF"/>
                <w:lang w:val="en-US" w:eastAsia="zh-CN" w:bidi="ar"/>
              </w:rPr>
              <w:t>点击卡片进入的详情页面提供六个维度的深入信息，全面反映分类的教育内容和结构</w:t>
            </w:r>
          </w:p>
        </w:tc>
      </w:tr>
      <w:tr w14:paraId="35D08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1A4D565">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54D5298">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339D4CA">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both"/>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4A7D4139">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both"/>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sz w:val="24"/>
                <w:szCs w:val="24"/>
                <w:vertAlign w:val="baseline"/>
                <w:lang w:val="en-US" w:eastAsia="zh-CN"/>
              </w:rPr>
              <w:t>3.</w:t>
            </w:r>
            <w:r>
              <w:rPr>
                <w:rStyle w:val="31"/>
                <w:rFonts w:hint="eastAsia" w:asciiTheme="minorEastAsia" w:hAnsiTheme="minorEastAsia" w:eastAsiaTheme="minorEastAsia" w:cstheme="minorEastAsia"/>
                <w:b w:val="0"/>
                <w:bCs w:val="0"/>
                <w:i w:val="0"/>
                <w:iCs w:val="0"/>
                <w:caps w:val="0"/>
                <w:color w:val="060607"/>
                <w:spacing w:val="10"/>
                <w:kern w:val="0"/>
                <w:sz w:val="24"/>
                <w:szCs w:val="24"/>
                <w:shd w:val="clear" w:color="auto" w:fill="FFFFFF"/>
                <w:lang w:val="en-US" w:eastAsia="zh-CN" w:bidi="ar"/>
              </w:rPr>
              <w:t>灵活的分类导航支持为</w:t>
            </w:r>
            <w:r>
              <w:rPr>
                <w:rFonts w:hint="eastAsia" w:asciiTheme="minorEastAsia" w:hAnsiTheme="minorEastAsia" w:eastAsiaTheme="minorEastAsia" w:cstheme="minorEastAsia"/>
                <w:b w:val="0"/>
                <w:bCs w:val="0"/>
                <w:i w:val="0"/>
                <w:iCs w:val="0"/>
                <w:caps w:val="0"/>
                <w:color w:val="060607"/>
                <w:spacing w:val="10"/>
                <w:kern w:val="0"/>
                <w:sz w:val="24"/>
                <w:szCs w:val="24"/>
                <w:shd w:val="clear" w:color="auto" w:fill="FFFFFF"/>
                <w:lang w:val="en-US" w:eastAsia="zh-CN" w:bidi="ar"/>
              </w:rPr>
              <w:t>分类简介页面提供直观的标题和说明，支持用户在同级分类间灵活切换，以促进比较和探索</w:t>
            </w:r>
          </w:p>
        </w:tc>
      </w:tr>
      <w:tr w14:paraId="4CCB7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3AAF973">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A3ED181">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F15FF83">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both"/>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08F4EFC9">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both"/>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sz w:val="24"/>
                <w:szCs w:val="24"/>
                <w:vertAlign w:val="baseline"/>
                <w:lang w:val="en-US" w:eastAsia="zh-CN"/>
              </w:rPr>
              <w:t>4.</w:t>
            </w:r>
            <w:r>
              <w:rPr>
                <w:rStyle w:val="31"/>
                <w:rFonts w:hint="eastAsia" w:asciiTheme="minorEastAsia" w:hAnsiTheme="minorEastAsia" w:eastAsiaTheme="minorEastAsia" w:cstheme="minorEastAsia"/>
                <w:b w:val="0"/>
                <w:bCs w:val="0"/>
                <w:i w:val="0"/>
                <w:iCs w:val="0"/>
                <w:caps w:val="0"/>
                <w:color w:val="060607"/>
                <w:spacing w:val="10"/>
                <w:kern w:val="0"/>
                <w:sz w:val="24"/>
                <w:szCs w:val="24"/>
                <w:shd w:val="clear" w:color="auto" w:fill="FFFFFF"/>
                <w:lang w:val="en-US" w:eastAsia="zh-CN" w:bidi="ar"/>
              </w:rPr>
              <w:t>知识点与资源关联概览</w:t>
            </w:r>
            <w:r>
              <w:rPr>
                <w:rFonts w:hint="eastAsia" w:asciiTheme="minorEastAsia" w:hAnsiTheme="minorEastAsia" w:eastAsiaTheme="minorEastAsia" w:cstheme="minorEastAsia"/>
                <w:b w:val="0"/>
                <w:bCs w:val="0"/>
                <w:i w:val="0"/>
                <w:iCs w:val="0"/>
                <w:caps w:val="0"/>
                <w:color w:val="060607"/>
                <w:spacing w:val="10"/>
                <w:kern w:val="0"/>
                <w:sz w:val="24"/>
                <w:szCs w:val="24"/>
                <w:shd w:val="clear" w:color="auto" w:fill="FFFFFF"/>
                <w:lang w:val="en-US" w:eastAsia="zh-CN" w:bidi="ar"/>
              </w:rPr>
              <w:t>展示知识点数量及其关联资源的丰富性，提供对分类内容深度的快速理解</w:t>
            </w:r>
          </w:p>
        </w:tc>
      </w:tr>
      <w:tr w14:paraId="47170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23FF67F">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851F8C0">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9862458">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both"/>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0180FF92">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both"/>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sz w:val="24"/>
                <w:szCs w:val="24"/>
                <w:vertAlign w:val="baseline"/>
                <w:lang w:val="en-US" w:eastAsia="zh-CN"/>
              </w:rPr>
              <w:t>5.</w:t>
            </w:r>
            <w:r>
              <w:rPr>
                <w:rStyle w:val="31"/>
                <w:rFonts w:hint="eastAsia" w:asciiTheme="minorEastAsia" w:hAnsiTheme="minorEastAsia" w:eastAsiaTheme="minorEastAsia" w:cstheme="minorEastAsia"/>
                <w:b w:val="0"/>
                <w:bCs w:val="0"/>
                <w:i w:val="0"/>
                <w:iCs w:val="0"/>
                <w:caps w:val="0"/>
                <w:color w:val="060607"/>
                <w:spacing w:val="10"/>
                <w:kern w:val="0"/>
                <w:sz w:val="24"/>
                <w:szCs w:val="24"/>
                <w:shd w:val="clear" w:color="auto" w:fill="FFFFFF"/>
                <w:lang w:val="en-US" w:eastAsia="zh-CN" w:bidi="ar"/>
              </w:rPr>
              <w:t>微课接入与知识点标签导航支持</w:t>
            </w:r>
            <w:r>
              <w:rPr>
                <w:rFonts w:hint="eastAsia" w:asciiTheme="minorEastAsia" w:hAnsiTheme="minorEastAsia" w:eastAsiaTheme="minorEastAsia" w:cstheme="minorEastAsia"/>
                <w:b w:val="0"/>
                <w:bCs w:val="0"/>
                <w:i w:val="0"/>
                <w:iCs w:val="0"/>
                <w:caps w:val="0"/>
                <w:color w:val="060607"/>
                <w:spacing w:val="10"/>
                <w:kern w:val="0"/>
                <w:sz w:val="24"/>
                <w:szCs w:val="24"/>
                <w:shd w:val="clear" w:color="auto" w:fill="FFFFFF"/>
                <w:lang w:val="en-US" w:eastAsia="zh-CN" w:bidi="ar"/>
              </w:rPr>
              <w:t>以列表形式直观展示知识点标签，并提供直接访问微课的便捷途径</w:t>
            </w:r>
          </w:p>
        </w:tc>
      </w:tr>
      <w:tr w14:paraId="03D06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07C7619">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F998DE5">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328D37D">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both"/>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10221DF6">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both"/>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sz w:val="24"/>
                <w:szCs w:val="24"/>
                <w:vertAlign w:val="baseline"/>
                <w:lang w:val="en-US" w:eastAsia="zh-CN"/>
              </w:rPr>
              <w:t>6.</w:t>
            </w:r>
            <w:r>
              <w:rPr>
                <w:rStyle w:val="31"/>
                <w:rFonts w:hint="eastAsia" w:asciiTheme="minorEastAsia" w:hAnsiTheme="minorEastAsia" w:eastAsiaTheme="minorEastAsia" w:cstheme="minorEastAsia"/>
                <w:b w:val="0"/>
                <w:bCs w:val="0"/>
                <w:i w:val="0"/>
                <w:iCs w:val="0"/>
                <w:caps w:val="0"/>
                <w:color w:val="060607"/>
                <w:spacing w:val="10"/>
                <w:kern w:val="0"/>
                <w:sz w:val="24"/>
                <w:szCs w:val="24"/>
                <w:shd w:val="clear" w:color="auto" w:fill="FFFFFF"/>
                <w:lang w:val="en-US" w:eastAsia="zh-CN" w:bidi="ar"/>
              </w:rPr>
              <w:t>知识点标签统计支持</w:t>
            </w:r>
            <w:r>
              <w:rPr>
                <w:rFonts w:hint="eastAsia" w:asciiTheme="minorEastAsia" w:hAnsiTheme="minorEastAsia" w:eastAsiaTheme="minorEastAsia" w:cstheme="minorEastAsia"/>
                <w:b w:val="0"/>
                <w:bCs w:val="0"/>
                <w:i w:val="0"/>
                <w:iCs w:val="0"/>
                <w:caps w:val="0"/>
                <w:color w:val="060607"/>
                <w:spacing w:val="10"/>
                <w:kern w:val="0"/>
                <w:sz w:val="24"/>
                <w:szCs w:val="24"/>
                <w:shd w:val="clear" w:color="auto" w:fill="FFFFFF"/>
                <w:lang w:val="en-US" w:eastAsia="zh-CN" w:bidi="ar"/>
              </w:rPr>
              <w:t>全面展示分类下所有知识点的标签数量，突出考点、重点和难点，辅助学习聚焦</w:t>
            </w:r>
          </w:p>
        </w:tc>
      </w:tr>
      <w:tr w14:paraId="56CB2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1D1F293">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E891251">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F713FF6">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both"/>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385B241F">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both"/>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sz w:val="24"/>
                <w:szCs w:val="24"/>
                <w:vertAlign w:val="baseline"/>
                <w:lang w:val="en-US" w:eastAsia="zh-CN"/>
              </w:rPr>
              <w:t>7.</w:t>
            </w:r>
            <w:r>
              <w:rPr>
                <w:rStyle w:val="31"/>
                <w:rFonts w:hint="eastAsia" w:asciiTheme="minorEastAsia" w:hAnsiTheme="minorEastAsia" w:eastAsiaTheme="minorEastAsia" w:cstheme="minorEastAsia"/>
                <w:b w:val="0"/>
                <w:bCs w:val="0"/>
                <w:i w:val="0"/>
                <w:iCs w:val="0"/>
                <w:caps w:val="0"/>
                <w:color w:val="060607"/>
                <w:spacing w:val="10"/>
                <w:kern w:val="0"/>
                <w:sz w:val="24"/>
                <w:szCs w:val="24"/>
                <w:shd w:val="clear" w:color="auto" w:fill="FFFFFF"/>
                <w:lang w:val="en-US" w:eastAsia="zh-CN" w:bidi="ar"/>
              </w:rPr>
              <w:t>知识点属性支持</w:t>
            </w:r>
            <w:r>
              <w:rPr>
                <w:rFonts w:hint="eastAsia" w:asciiTheme="minorEastAsia" w:hAnsiTheme="minorEastAsia" w:eastAsiaTheme="minorEastAsia" w:cstheme="minorEastAsia"/>
                <w:b w:val="0"/>
                <w:bCs w:val="0"/>
                <w:i w:val="0"/>
                <w:iCs w:val="0"/>
                <w:caps w:val="0"/>
                <w:color w:val="060607"/>
                <w:spacing w:val="10"/>
                <w:kern w:val="0"/>
                <w:sz w:val="24"/>
                <w:szCs w:val="24"/>
                <w:shd w:val="clear" w:color="auto" w:fill="FFFFFF"/>
                <w:lang w:val="en-US" w:eastAsia="zh-CN" w:bidi="ar"/>
              </w:rPr>
              <w:t>利用饼图形式展示知识点的属性分类，如事实性、概念性等，增强属性识别</w:t>
            </w:r>
          </w:p>
        </w:tc>
      </w:tr>
      <w:tr w14:paraId="76E12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DE201D1">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00553E6">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790104F">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both"/>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287DC95F">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both"/>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8.知识点建设情况支持</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通过水位图展示知识点资源的关联情况，反映建设进度和完整性</w:t>
            </w:r>
          </w:p>
        </w:tc>
      </w:tr>
      <w:tr w14:paraId="5A041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B7BC698">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EA6EC0B">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5B79B61">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both"/>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43120D75">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both"/>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9.知识点建设情况支持以柱状图的形式展示每个知识点所关联资源数数量，</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提供资源分配的直观比较</w:t>
            </w:r>
          </w:p>
        </w:tc>
      </w:tr>
      <w:tr w14:paraId="745EA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4B86BA5">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19C508C">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370CB58">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both"/>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7133D193">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both"/>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10.知识点完成率掌握率支持展示</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班级在知识点上的完成率和掌握率，反映学习成效和掌握水平</w:t>
            </w:r>
          </w:p>
        </w:tc>
      </w:tr>
      <w:tr w14:paraId="12DA1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ED6BA7D">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B397FB3">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D6C5E8A">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both"/>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36D00747">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both"/>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11.支持</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将分类资源归属至列表，并按章节、作业/考试、课程资料等板块清晰展示</w:t>
            </w:r>
          </w:p>
        </w:tc>
      </w:tr>
      <w:tr w14:paraId="4E698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CC7D9E1">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36A5B00">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3B53FED">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2E93101F">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b w:val="0"/>
                <w:bCs w:val="0"/>
                <w:sz w:val="24"/>
                <w:szCs w:val="24"/>
                <w:vertAlign w:val="baseline"/>
                <w:lang w:val="en-US" w:eastAsia="zh-CN"/>
              </w:rPr>
              <w:t>12.</w:t>
            </w:r>
            <w:r>
              <w:rPr>
                <w:rFonts w:hint="eastAsia" w:asciiTheme="minorEastAsia" w:hAnsiTheme="minorEastAsia" w:eastAsiaTheme="minorEastAsia" w:cstheme="minorEastAsia"/>
                <w:b w:val="0"/>
                <w:bCs w:val="0"/>
                <w:i w:val="0"/>
                <w:iCs w:val="0"/>
                <w:caps w:val="0"/>
                <w:color w:val="060607"/>
                <w:spacing w:val="10"/>
                <w:kern w:val="0"/>
                <w:sz w:val="24"/>
                <w:szCs w:val="24"/>
                <w:shd w:val="clear" w:color="auto" w:fill="FFFFFF"/>
                <w:lang w:val="en-US" w:eastAsia="zh-CN" w:bidi="ar"/>
              </w:rPr>
              <w:t>支持展示</w:t>
            </w:r>
            <w:r>
              <w:rPr>
                <w:rStyle w:val="31"/>
                <w:rFonts w:hint="eastAsia" w:asciiTheme="minorEastAsia" w:hAnsiTheme="minorEastAsia" w:eastAsiaTheme="minorEastAsia" w:cstheme="minorEastAsia"/>
                <w:b w:val="0"/>
                <w:bCs w:val="0"/>
                <w:i w:val="0"/>
                <w:iCs w:val="0"/>
                <w:caps w:val="0"/>
                <w:color w:val="060607"/>
                <w:spacing w:val="10"/>
                <w:kern w:val="0"/>
                <w:sz w:val="24"/>
                <w:szCs w:val="24"/>
                <w:shd w:val="clear" w:color="auto" w:fill="FFFFFF"/>
                <w:lang w:val="en-US" w:eastAsia="zh-CN" w:bidi="ar"/>
              </w:rPr>
              <w:t>班级资源差异化视图，包括展示</w:t>
            </w:r>
            <w:r>
              <w:rPr>
                <w:rFonts w:hint="eastAsia" w:asciiTheme="minorEastAsia" w:hAnsiTheme="minorEastAsia" w:eastAsiaTheme="minorEastAsia" w:cstheme="minorEastAsia"/>
                <w:b w:val="0"/>
                <w:bCs w:val="0"/>
                <w:i w:val="0"/>
                <w:iCs w:val="0"/>
                <w:caps w:val="0"/>
                <w:color w:val="060607"/>
                <w:spacing w:val="10"/>
                <w:kern w:val="0"/>
                <w:sz w:val="24"/>
                <w:szCs w:val="24"/>
                <w:shd w:val="clear" w:color="auto" w:fill="FFFFFF"/>
                <w:lang w:val="en-US" w:eastAsia="zh-CN" w:bidi="ar"/>
              </w:rPr>
              <w:t>不同班级的专属资源详情，并提供班级视图切换，以适应不同教学和学习需求</w:t>
            </w:r>
          </w:p>
        </w:tc>
      </w:tr>
      <w:tr w14:paraId="2BCBA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273377F">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4D90DFC7">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16982309">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微课统计-学生端</w:t>
            </w: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5F1F44E0">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1.支持</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展示用户的知识点完成率与掌握率，并结合班级排名，让用户清晰了解自己的学习状态和在集体中的位置</w:t>
            </w:r>
          </w:p>
        </w:tc>
      </w:tr>
      <w:tr w14:paraId="7CFBF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F5BCEF7">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052E480">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2445F3E">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17B5B684">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2.</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利用环形图直观呈现班级内的最高、平均和最低完成率，快速把握班级整体的学习进度</w:t>
            </w:r>
          </w:p>
        </w:tc>
      </w:tr>
      <w:tr w14:paraId="274C8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01E772C">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5C4A8F8">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2360C74">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1CD85787">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3.支持</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通过环形图形式展现班级的最高、平均和最低知识点掌握率，让用户直观感知学习成效</w:t>
            </w:r>
          </w:p>
        </w:tc>
      </w:tr>
      <w:tr w14:paraId="500BA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DEE8CE8">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4B87D18">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C50186C">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3690329F">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4.支持以列表的形式展示该知识点下学习内容，同时展示学习内容名称、是否为任务点标记、资源类型、完成情况、掌握情况，</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构建清晰的学习路径</w:t>
            </w:r>
          </w:p>
        </w:tc>
      </w:tr>
      <w:tr w14:paraId="44837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0103832">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19AF64D">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00ECE9A">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125C4178">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5.</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根据微课来源提供章节或微课的直接跳转，为不同学习需求提供便捷的入口</w:t>
            </w:r>
          </w:p>
        </w:tc>
      </w:tr>
      <w:tr w14:paraId="51E49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66F7E4C">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2253658">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1F0E463">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1AB254E9">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6.</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支持系统跟踪用户学习进度，明确区分已完成与未完成内容，辅助用户规划和调整学习计划</w:t>
            </w:r>
          </w:p>
        </w:tc>
      </w:tr>
      <w:tr w14:paraId="5D3A6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15"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03DE0326">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12</w:t>
            </w:r>
          </w:p>
        </w:tc>
        <w:tc>
          <w:tcPr>
            <w:tcW w:w="962"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569F1DB6">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课程思政图谱</w:t>
            </w:r>
          </w:p>
        </w:tc>
        <w:tc>
          <w:tcPr>
            <w:tcW w:w="1439"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5682DDF2">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课程思政图谱</w:t>
            </w: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4E67C427">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1.</w:t>
            </w: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支持利用气泡、花苞和花朵等视觉元素，以创新的方式呈现课程的分类和知识点，提升信息的直观性和吸引力</w:t>
            </w:r>
          </w:p>
        </w:tc>
      </w:tr>
      <w:tr w14:paraId="0E662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1AA25E4">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6E9470D">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F334836">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3147EEF3">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2.支持展示</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知识点间的父子级、关联和前后置关系，帮助用户构建对知识结构的逻辑理解</w:t>
            </w:r>
          </w:p>
        </w:tc>
      </w:tr>
      <w:tr w14:paraId="5ABFE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8D67410">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61A9D0E">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E85F67B">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69FDB161">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3.支持重点</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将标签为“课程思政”的知识点以花苞形式呈现，以视觉突出其在课程中的核心地位</w:t>
            </w:r>
          </w:p>
        </w:tc>
      </w:tr>
      <w:tr w14:paraId="2215F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0DA8720">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6589167">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652CBDE">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1C6B4B95">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4.支持</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提供关键字精确搜索和模糊匹配两种模式，检索结果聚焦于与目标节点相关的逻辑联系，增强搜索的针对性</w:t>
            </w:r>
          </w:p>
        </w:tc>
      </w:tr>
      <w:tr w14:paraId="1B169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1A261BB">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EB8334B">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1436788">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0EFB3F4E">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5.支持搜索</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功能覆盖知识点、分类和标签，实现全面性，满足用户不同维度的搜索需求</w:t>
            </w:r>
          </w:p>
        </w:tc>
      </w:tr>
      <w:tr w14:paraId="14C41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72968B7">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179466F">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2BEE0E1">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142F354F">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6.支持</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通过点击操作，可深入分类卡片获取详细信息，或直接跳转至微课进行学习，实现知识获取的快速通道</w:t>
            </w:r>
          </w:p>
        </w:tc>
      </w:tr>
      <w:tr w14:paraId="33CAD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15"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6D80BC5A">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13</w:t>
            </w:r>
          </w:p>
        </w:tc>
        <w:tc>
          <w:tcPr>
            <w:tcW w:w="962"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0A47CDB4">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课程群管理</w:t>
            </w:r>
          </w:p>
        </w:tc>
        <w:tc>
          <w:tcPr>
            <w:tcW w:w="1439"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2C002EA5">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课程群管理</w:t>
            </w: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4E93EFAE">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kern w:val="0"/>
                <w:sz w:val="24"/>
                <w:szCs w:val="24"/>
                <w:lang w:val="en-US" w:eastAsia="zh-CN" w:bidi="ar"/>
              </w:rPr>
              <w:t>1.支持创立课程群图谱展示门户，可自定义课程群门户信息包括课程群名称、课程群类型、课程群介绍、教师团队等信息</w:t>
            </w:r>
          </w:p>
        </w:tc>
      </w:tr>
      <w:tr w14:paraId="0989C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C8C4469">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A3F129C">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AB68A3A">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5F2FFB8A">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2.根据课程群类型，系统提供三维模式的多维展示，汇总课程、课程目标和知识点</w:t>
            </w:r>
          </w:p>
        </w:tc>
      </w:tr>
      <w:tr w14:paraId="3C465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10FD9FA">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0B16A8D">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5876101">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4F1FC102">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kern w:val="0"/>
                <w:sz w:val="24"/>
                <w:szCs w:val="24"/>
                <w:lang w:val="en-US" w:eastAsia="zh-CN" w:bidi="ar"/>
              </w:rPr>
              <w:t>3.支持数据统计功能，展示课程群门户中的课程数、课程图谱数、知识点总数、教学资源数</w:t>
            </w:r>
          </w:p>
        </w:tc>
      </w:tr>
      <w:tr w14:paraId="07855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ACF1700">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BE288AF">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DA12E79">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1B591C29">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kern w:val="0"/>
                <w:sz w:val="24"/>
                <w:szCs w:val="24"/>
                <w:lang w:val="en-US" w:eastAsia="zh-CN" w:bidi="ar"/>
              </w:rPr>
              <w:t>4.</w:t>
            </w:r>
            <w:r>
              <w:rPr>
                <w:rFonts w:hint="eastAsia" w:asciiTheme="minorEastAsia" w:hAnsiTheme="minorEastAsia" w:eastAsiaTheme="minorEastAsia" w:cstheme="minorEastAsia"/>
                <w:color w:val="auto"/>
                <w:kern w:val="0"/>
                <w:sz w:val="24"/>
                <w:szCs w:val="24"/>
                <w:lang w:val="en-US" w:eastAsia="zh-CN" w:bidi="ar"/>
              </w:rPr>
              <w:t>支持</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在门户中展示课程图谱名称，并可通过知识点分布查看不同标签维度的课程数量</w:t>
            </w:r>
          </w:p>
        </w:tc>
      </w:tr>
      <w:tr w14:paraId="44C71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F760FC6">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53DD693">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A80B73D">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76BCB891">
            <w:pPr>
              <w:keepNext w:val="0"/>
              <w:keepLines w:val="0"/>
              <w:pageBreakBefore w:val="0"/>
              <w:suppressLineNumbers w:val="0"/>
              <w:tabs>
                <w:tab w:val="left" w:pos="1033"/>
              </w:tabs>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b/>
                <w:bCs/>
                <w:kern w:val="2"/>
                <w:sz w:val="24"/>
                <w:szCs w:val="24"/>
                <w:vertAlign w:val="baseline"/>
                <w:lang w:val="en-US" w:eastAsia="zh-CN" w:bidi="ar-SA"/>
              </w:rPr>
            </w:pPr>
            <w:r>
              <w:rPr>
                <w:rFonts w:hint="eastAsia" w:asciiTheme="minorEastAsia" w:hAnsiTheme="minorEastAsia" w:eastAsiaTheme="minorEastAsia" w:cstheme="minorEastAsia"/>
                <w:kern w:val="0"/>
                <w:sz w:val="24"/>
                <w:szCs w:val="24"/>
                <w:lang w:val="en-US" w:eastAsia="zh-CN" w:bidi="ar"/>
              </w:rPr>
              <w:t>5.具备资源分布统计功能，可以展示课程群所包含的每门课程的资源总数，包括任务点、作业、考试、课程资料等</w:t>
            </w:r>
          </w:p>
        </w:tc>
      </w:tr>
      <w:tr w14:paraId="59362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7EE4DF7">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80F30A0">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E7D9E18">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209FB844">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kern w:val="0"/>
                <w:sz w:val="24"/>
                <w:szCs w:val="24"/>
                <w:lang w:val="en-US" w:eastAsia="zh-CN" w:bidi="ar"/>
              </w:rPr>
              <w:t>6.</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在门户中展示课程图谱名称，并可通过知识点分布查看不同标签维度的课程数量</w:t>
            </w:r>
          </w:p>
        </w:tc>
      </w:tr>
      <w:tr w14:paraId="43C4C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618A0AF">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3E1313E">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A96AD1E">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4F177A00">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kern w:val="0"/>
                <w:sz w:val="24"/>
                <w:szCs w:val="24"/>
                <w:lang w:val="en-US" w:eastAsia="zh-CN" w:bidi="ar"/>
              </w:rPr>
              <w:t>7.</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课程群图谱支持多门课程的图谱汇总展示，并允许用户点击进入具体课程知识点</w:t>
            </w:r>
          </w:p>
        </w:tc>
      </w:tr>
      <w:tr w14:paraId="14B87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EB79F4A">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B7BD80D">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9B5250A">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319B1D8C">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kern w:val="0"/>
                <w:sz w:val="24"/>
                <w:szCs w:val="24"/>
                <w:lang w:val="en-US" w:eastAsia="zh-CN" w:bidi="ar"/>
              </w:rPr>
              <w:t>8.</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系统展示课程群的问题图谱，支持多维度问题展示，包括基础、组合和疑难问题</w:t>
            </w:r>
          </w:p>
        </w:tc>
      </w:tr>
      <w:tr w14:paraId="1B997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C0D0889">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ADE2605">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F87C0E7">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24DA25D1">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9.支持设置导航模块的展示/隐藏，同时支持拖拽的形式改变导航栏中模块的顺序</w:t>
            </w:r>
          </w:p>
        </w:tc>
      </w:tr>
      <w:tr w14:paraId="661FC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0F41938">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52C0DBC">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949F4AB">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6ED13356">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10.</w:t>
            </w: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kern w:val="0"/>
                <w:sz w:val="24"/>
                <w:szCs w:val="24"/>
                <w:lang w:val="en-US" w:eastAsia="zh-CN" w:bidi="ar"/>
              </w:rPr>
              <w:t>支持</w:t>
            </w:r>
            <w:r>
              <w:rPr>
                <w:rFonts w:hint="eastAsia" w:asciiTheme="minorEastAsia" w:hAnsiTheme="minorEastAsia" w:eastAsiaTheme="minorEastAsia" w:cstheme="minorEastAsia"/>
                <w:i w:val="0"/>
                <w:iCs w:val="0"/>
                <w:caps w:val="0"/>
                <w:color w:val="060607"/>
                <w:spacing w:val="10"/>
                <w:kern w:val="0"/>
                <w:sz w:val="24"/>
                <w:szCs w:val="24"/>
                <w:shd w:val="clear" w:color="auto" w:fill="FFFFFF"/>
                <w:lang w:val="en-US" w:eastAsia="zh-CN" w:bidi="ar"/>
              </w:rPr>
              <w:t>管理员设置图谱查看权限，包括限制在本单位、特定单位或全网范围内的访问</w:t>
            </w:r>
          </w:p>
        </w:tc>
      </w:tr>
      <w:tr w14:paraId="08DA1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6" w:hRule="atLeast"/>
        </w:trPr>
        <w:tc>
          <w:tcPr>
            <w:tcW w:w="415" w:type="dxa"/>
            <w:tcBorders>
              <w:top w:val="single" w:color="auto" w:sz="4" w:space="0"/>
              <w:left w:val="single" w:color="auto" w:sz="4" w:space="0"/>
              <w:bottom w:val="single" w:color="auto" w:sz="4" w:space="0"/>
              <w:right w:val="single" w:color="auto" w:sz="4" w:space="0"/>
              <w:tl2br w:val="nil"/>
              <w:tr2bl w:val="nil"/>
            </w:tcBorders>
            <w:noWrap w:val="0"/>
            <w:vAlign w:val="top"/>
          </w:tcPr>
          <w:p w14:paraId="157E7D0A">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14</w:t>
            </w:r>
          </w:p>
        </w:tc>
        <w:tc>
          <w:tcPr>
            <w:tcW w:w="962" w:type="dxa"/>
            <w:tcBorders>
              <w:top w:val="single" w:color="auto" w:sz="4" w:space="0"/>
              <w:left w:val="single" w:color="auto" w:sz="4" w:space="0"/>
              <w:bottom w:val="single" w:color="auto" w:sz="4" w:space="0"/>
              <w:right w:val="single" w:color="auto" w:sz="4" w:space="0"/>
              <w:tl2br w:val="nil"/>
              <w:tr2bl w:val="nil"/>
            </w:tcBorders>
            <w:noWrap w:val="0"/>
            <w:vAlign w:val="top"/>
          </w:tcPr>
          <w:p w14:paraId="14147A30">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AI工作台</w:t>
            </w:r>
          </w:p>
        </w:tc>
        <w:tc>
          <w:tcPr>
            <w:tcW w:w="1439" w:type="dxa"/>
            <w:tcBorders>
              <w:top w:val="single" w:color="auto" w:sz="4" w:space="0"/>
              <w:left w:val="single" w:color="auto" w:sz="4" w:space="0"/>
              <w:bottom w:val="single" w:color="auto" w:sz="4" w:space="0"/>
              <w:right w:val="single" w:color="auto" w:sz="4" w:space="0"/>
              <w:tl2br w:val="nil"/>
              <w:tr2bl w:val="nil"/>
            </w:tcBorders>
            <w:noWrap w:val="0"/>
            <w:vAlign w:val="top"/>
          </w:tcPr>
          <w:p w14:paraId="13CDDB56">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AI工作台</w:t>
            </w: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37D4C4D1">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b/>
                <w:bCs/>
                <w:kern w:val="0"/>
                <w:sz w:val="24"/>
                <w:szCs w:val="24"/>
                <w:lang w:val="en-US" w:eastAsia="zh-CN" w:bidi="ar"/>
              </w:rPr>
            </w:pPr>
            <w:r>
              <w:rPr>
                <w:rFonts w:hint="eastAsia" w:asciiTheme="minorEastAsia" w:hAnsiTheme="minorEastAsia" w:eastAsiaTheme="minorEastAsia" w:cstheme="minorEastAsia"/>
                <w:b/>
                <w:bCs/>
                <w:kern w:val="0"/>
                <w:sz w:val="24"/>
                <w:szCs w:val="24"/>
                <w:lang w:val="en-US" w:eastAsia="zh-CN" w:bidi="ar"/>
              </w:rPr>
              <w:t>相似度分析：</w:t>
            </w:r>
          </w:p>
          <w:p w14:paraId="747E9D30">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1.▲比对基础库中的数据包含图书、报纸、期刊、网络文档等多种文献类型；</w:t>
            </w:r>
          </w:p>
          <w:p w14:paraId="24DB5B42">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2.支持选择不同的比对库，包含全部全文比对库、图书全文比对库、非图书全文比对库、法律法规比对库、自建库选择进行检测；</w:t>
            </w:r>
          </w:p>
          <w:p w14:paraId="071A1491">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3.每万字的检测需在数秒内完成，并在10分钟内提供检测报告；</w:t>
            </w:r>
          </w:p>
          <w:p w14:paraId="1CADB2E2">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4.支持30M以上的TXT、DOC、PDF、DOCX、ZIP、RAR多种格式以及非加密文档的上传检测；支持ZIP、RAR压缩包形式上传（大小需在50M以内）；</w:t>
            </w:r>
          </w:p>
          <w:p w14:paraId="503BCB5A">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5.支持点击选择文件上传文档或者将50字以上、1万字以下的文本直接粘贴到文本框中进行检测；</w:t>
            </w:r>
          </w:p>
          <w:p w14:paraId="7D9E1CCA">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6.支持根据上传的检测文献生成检测报告，支持查看在线报告，也支持批量下载全部检测报告、批量下载PDF报告；</w:t>
            </w:r>
          </w:p>
          <w:p w14:paraId="23EEC176">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7.用户可下载PDF报告（简结报告、全文检测报告）和HTML报告（综合评估、相似片段、全文对比）进行查看和打印（PDF报告和HTML报告均提供相似度检测专用印章）；</w:t>
            </w:r>
          </w:p>
          <w:p w14:paraId="3578155C">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8.▲支持查看最密集相似段、密集相似段、非密集相似段；</w:t>
            </w:r>
          </w:p>
          <w:p w14:paraId="60B7B57A">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9.▲支持按文献类型查看典型相似图书列表、典型相似报纸列表、典型相似期刊列表、典型相似网络文档列表，支持在检测结果中，单独查看两两文献的比对结果。</w:t>
            </w:r>
          </w:p>
          <w:p w14:paraId="5FEE2147">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b/>
                <w:bCs/>
                <w:kern w:val="0"/>
                <w:sz w:val="24"/>
                <w:szCs w:val="24"/>
                <w:lang w:val="en-US" w:eastAsia="zh-CN" w:bidi="ar"/>
              </w:rPr>
            </w:pPr>
            <w:r>
              <w:rPr>
                <w:rFonts w:hint="eastAsia" w:asciiTheme="minorEastAsia" w:hAnsiTheme="minorEastAsia" w:eastAsiaTheme="minorEastAsia" w:cstheme="minorEastAsia"/>
                <w:b/>
                <w:bCs/>
                <w:kern w:val="0"/>
                <w:sz w:val="24"/>
                <w:szCs w:val="24"/>
                <w:lang w:val="en-US" w:eastAsia="zh-CN" w:bidi="ar"/>
              </w:rPr>
              <w:t>机器翻译：</w:t>
            </w:r>
          </w:p>
          <w:p w14:paraId="60DD982C">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1.▲支持用户自行上传文件进行双语翻译（文件至少为10MB内无加密PDF文件）；</w:t>
            </w:r>
          </w:p>
          <w:p w14:paraId="7BDEC5E5">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2.支持单语切换：一键切换阅读模式。在开启“同步滑动”的情况下，实现页面同步跳转，方便阅读；</w:t>
            </w:r>
          </w:p>
          <w:p w14:paraId="32454A62">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3.支持查词定位：原文、译文阅读界面均支持文章内容的精准查找定位，支持高亮显示和大小写区分，方便用户通过关键词快速检索文章内容；</w:t>
            </w:r>
          </w:p>
          <w:p w14:paraId="6E16D1FC">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4.支持页码定位：支持用户通过上下滑动进行定位，同时支持输入页码调试定位；</w:t>
            </w:r>
          </w:p>
          <w:p w14:paraId="5A0A9189">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5.支持调整阅读比例：支持自动缩放、实际大小、适合页宽以及100%、125%、150%的页面调整；</w:t>
            </w:r>
          </w:p>
          <w:p w14:paraId="60372E22">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6.▲支持开启划词翻译功能，选中原文、译文文本并翻译；</w:t>
            </w:r>
          </w:p>
          <w:p w14:paraId="46564CC6">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7.支持演示（全屏）模式。</w:t>
            </w:r>
          </w:p>
          <w:p w14:paraId="2D4305E9">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b/>
                <w:bCs/>
                <w:kern w:val="0"/>
                <w:sz w:val="24"/>
                <w:szCs w:val="24"/>
                <w:lang w:val="en-US" w:eastAsia="zh-CN" w:bidi="ar"/>
              </w:rPr>
            </w:pPr>
            <w:r>
              <w:rPr>
                <w:rFonts w:hint="eastAsia" w:asciiTheme="minorEastAsia" w:hAnsiTheme="minorEastAsia" w:eastAsiaTheme="minorEastAsia" w:cstheme="minorEastAsia"/>
                <w:b/>
                <w:bCs/>
                <w:kern w:val="0"/>
                <w:sz w:val="24"/>
                <w:szCs w:val="24"/>
                <w:lang w:val="en-US" w:eastAsia="zh-CN" w:bidi="ar"/>
              </w:rPr>
              <w:t>机器阅读：</w:t>
            </w:r>
          </w:p>
          <w:p w14:paraId="43F3691D">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1.根据原文内容支持随机生成并显示默认问题，可通过点击默认问题或自定义输入问题查看回复，平台通过匹配向量之间的相似性，支持文字、表格等多种输出格式；</w:t>
            </w:r>
          </w:p>
          <w:p w14:paraId="720A47DB">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2.▲支持点击词云查看人物、机构、地名在原文出现次数、页码以及原文信息，快速了解原文的重点和主题；</w:t>
            </w:r>
          </w:p>
          <w:p w14:paraId="3068D66B">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3.▲通过对于原文的分析，支持按照章节提取关键信息，生成摘要列表；</w:t>
            </w:r>
          </w:p>
          <w:p w14:paraId="589005E4">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4.▲通过对于原文的分析将复杂的概念和关系可视化，支持按照脑图或markdown格式切换查看，帮助知识整理和信息归纳；</w:t>
            </w:r>
          </w:p>
          <w:p w14:paraId="3CE7B32D">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5.▲通过对原文的分析，支持按照章节查看系统生成的相关试题，试题可以章节为维度进行筛选，生成的试题均为本章节相关内容试题；</w:t>
            </w:r>
          </w:p>
          <w:p w14:paraId="0FC43BDA">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6.支持原文在线预览，支持目录检索、全文检索。</w:t>
            </w:r>
          </w:p>
          <w:p w14:paraId="1278F29D">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b/>
                <w:bCs/>
                <w:kern w:val="0"/>
                <w:sz w:val="24"/>
                <w:szCs w:val="24"/>
                <w:lang w:val="en-US" w:eastAsia="zh-CN" w:bidi="ar"/>
              </w:rPr>
            </w:pPr>
            <w:r>
              <w:rPr>
                <w:rFonts w:hint="eastAsia" w:asciiTheme="minorEastAsia" w:hAnsiTheme="minorEastAsia" w:eastAsiaTheme="minorEastAsia" w:cstheme="minorEastAsia"/>
                <w:b/>
                <w:bCs/>
                <w:kern w:val="0"/>
                <w:sz w:val="24"/>
                <w:szCs w:val="24"/>
                <w:lang w:val="en-US" w:eastAsia="zh-CN" w:bidi="ar"/>
              </w:rPr>
              <w:t>视频理解：</w:t>
            </w:r>
          </w:p>
          <w:p w14:paraId="65CA343F">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1.支持自定义上传视频，AI智能分析生成“智能速览”，总结视频摘要、片段摘要；</w:t>
            </w:r>
          </w:p>
          <w:p w14:paraId="73B4C169">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2.智能分析视频中的发言人，按发言人统计发言百分比、发言段落，以时间轴形式展示；</w:t>
            </w:r>
          </w:p>
          <w:p w14:paraId="19970479">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3.根据视频随机生成问题，可通过点击默认问题或自定义输入问题开展机器问答，平台通过匹配向量之间的相似性；</w:t>
            </w:r>
          </w:p>
          <w:p w14:paraId="1F828628">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4.▲支持点击词云查看实体出现次数、时间段以及视频文本信息，快速了解视频的重点和主题；</w:t>
            </w:r>
          </w:p>
          <w:p w14:paraId="2572AD7B">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5.▲通过对于视频的片段分析将复杂的概念和关系可视化，支持按照脑图或markdown格式切换查看，帮助知识整理和信息归纳；</w:t>
            </w:r>
          </w:p>
          <w:p w14:paraId="27673052">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6.▲通过对视频片段的分析，支持按照片段查看系统生成的相关试题，生成的试题均为本视频相关内容试题；</w:t>
            </w:r>
          </w:p>
          <w:p w14:paraId="0200867B">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7.智能生成视频字幕，随视频播放自动轮播，支持对字幕内容二次编辑。</w:t>
            </w:r>
          </w:p>
          <w:p w14:paraId="0F8EA6AF">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b/>
                <w:bCs/>
                <w:kern w:val="0"/>
                <w:sz w:val="24"/>
                <w:szCs w:val="24"/>
                <w:lang w:val="en-US" w:eastAsia="zh-CN" w:bidi="ar"/>
              </w:rPr>
            </w:pPr>
            <w:r>
              <w:rPr>
                <w:rFonts w:hint="eastAsia" w:asciiTheme="minorEastAsia" w:hAnsiTheme="minorEastAsia" w:eastAsiaTheme="minorEastAsia" w:cstheme="minorEastAsia"/>
                <w:b/>
                <w:bCs/>
                <w:kern w:val="0"/>
                <w:sz w:val="24"/>
                <w:szCs w:val="24"/>
                <w:lang w:val="en-US" w:eastAsia="zh-CN" w:bidi="ar"/>
              </w:rPr>
              <w:t>AI出题：</w:t>
            </w:r>
          </w:p>
          <w:p w14:paraId="555E7A64">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1.根据知识点出题，支持手动输入知识点，或选择本课程知识点。</w:t>
            </w:r>
          </w:p>
          <w:p w14:paraId="03466108">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2.根据材料出题，按提供的材料识别知识内容，再明确出题指令。</w:t>
            </w:r>
          </w:p>
          <w:p w14:paraId="13559322">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3.支持设定题型及题目数量。</w:t>
            </w:r>
          </w:p>
          <w:p w14:paraId="64537226">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4.设置出题要求，维度包含：适用年级、难易度、题目偏向（概念理解、应用实践、分析综合、评价判断等）。</w:t>
            </w:r>
          </w:p>
          <w:p w14:paraId="1FE543B3">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5.AI生成题目预览，支持删除、一键添加至课程题库。</w:t>
            </w:r>
          </w:p>
          <w:p w14:paraId="116F40E2">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b/>
                <w:bCs/>
                <w:kern w:val="0"/>
                <w:sz w:val="24"/>
                <w:szCs w:val="24"/>
                <w:lang w:val="en-US" w:eastAsia="zh-CN" w:bidi="ar"/>
              </w:rPr>
            </w:pPr>
            <w:r>
              <w:rPr>
                <w:rFonts w:hint="eastAsia" w:asciiTheme="minorEastAsia" w:hAnsiTheme="minorEastAsia" w:eastAsiaTheme="minorEastAsia" w:cstheme="minorEastAsia"/>
                <w:b/>
                <w:bCs/>
                <w:kern w:val="0"/>
                <w:sz w:val="24"/>
                <w:szCs w:val="24"/>
                <w:lang w:val="en-US" w:eastAsia="zh-CN" w:bidi="ar"/>
              </w:rPr>
              <w:t>AI教案：</w:t>
            </w:r>
          </w:p>
          <w:p w14:paraId="28CFD5A7">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1.支持选择章节生成、根据文本生成。</w:t>
            </w:r>
          </w:p>
          <w:p w14:paraId="61185CE5">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2.支持设定角色和教学风格，输入或粘贴文本内容，支持最高2000字长文本输入。</w:t>
            </w:r>
          </w:p>
          <w:p w14:paraId="13500DEA">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3.提供教案模板，按模版生成。</w:t>
            </w:r>
          </w:p>
          <w:p w14:paraId="6EDB6971">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4.教案需支持学情分析、教学目标、课程重点、课程难点、教学准备、教学过程、作业与评价、教学反思、思政案例等，支持自定义选择或添加。</w:t>
            </w:r>
          </w:p>
          <w:p w14:paraId="51B27EA6">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5.支持对单个教案模块的调整，由AI重新生成，对比选用。</w:t>
            </w:r>
          </w:p>
          <w:p w14:paraId="18001904">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b/>
                <w:bCs/>
                <w:kern w:val="0"/>
                <w:sz w:val="24"/>
                <w:szCs w:val="24"/>
                <w:lang w:val="en-US" w:eastAsia="zh-CN" w:bidi="ar"/>
              </w:rPr>
            </w:pPr>
            <w:r>
              <w:rPr>
                <w:rFonts w:hint="eastAsia" w:asciiTheme="minorEastAsia" w:hAnsiTheme="minorEastAsia" w:eastAsiaTheme="minorEastAsia" w:cstheme="minorEastAsia"/>
                <w:b/>
                <w:bCs/>
                <w:kern w:val="0"/>
                <w:sz w:val="24"/>
                <w:szCs w:val="24"/>
                <w:lang w:val="en-US" w:eastAsia="zh-CN" w:bidi="ar"/>
              </w:rPr>
              <w:t>AI写作：</w:t>
            </w:r>
          </w:p>
          <w:p w14:paraId="6F88E882">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1.利用AI强大的文本生成能力，为网络课程提供写作工具。</w:t>
            </w:r>
          </w:p>
          <w:p w14:paraId="0587D040">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2.支持自定义指令，例如：角色设定、前置说明、生成内容及要求等。</w:t>
            </w:r>
          </w:p>
          <w:p w14:paraId="5621DAA1">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3.支持将AI写作内容一键添加至课程章节，并支持二次调整。</w:t>
            </w:r>
          </w:p>
          <w:p w14:paraId="641C1544">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4.支持对章节内容进行错误检测，检测范围包含：拼写检查、标点符号检查，明确错误内容及修改建议，支持一键替换。</w:t>
            </w:r>
          </w:p>
          <w:p w14:paraId="5B169D38">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b/>
                <w:bCs/>
                <w:kern w:val="0"/>
                <w:sz w:val="24"/>
                <w:szCs w:val="24"/>
                <w:lang w:val="en-US" w:eastAsia="zh-CN" w:bidi="ar"/>
              </w:rPr>
            </w:pPr>
            <w:r>
              <w:rPr>
                <w:rFonts w:hint="eastAsia" w:asciiTheme="minorEastAsia" w:hAnsiTheme="minorEastAsia" w:eastAsiaTheme="minorEastAsia" w:cstheme="minorEastAsia"/>
                <w:b/>
                <w:bCs/>
                <w:kern w:val="0"/>
                <w:sz w:val="24"/>
                <w:szCs w:val="24"/>
                <w:lang w:val="en-US" w:eastAsia="zh-CN" w:bidi="ar"/>
              </w:rPr>
              <w:t>指令中心：</w:t>
            </w:r>
          </w:p>
          <w:p w14:paraId="5202AEFE">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1.AI应用推荐/调用服务，分类指令：快捷指令、学情分析等。</w:t>
            </w:r>
          </w:p>
          <w:p w14:paraId="32B1BD1B">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2.快捷指令需至少包含：发签到、查重、监考、编辑知识点、教学预警等。</w:t>
            </w:r>
          </w:p>
          <w:p w14:paraId="3B80F1F9">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学情分析需至少包含：作业查询、作业批改、学生学习数据分析、学习预警、出勤分析等。</w:t>
            </w:r>
          </w:p>
        </w:tc>
      </w:tr>
      <w:tr w14:paraId="13CEB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5" w:type="dxa"/>
            <w:tcBorders>
              <w:top w:val="single" w:color="auto" w:sz="4" w:space="0"/>
              <w:left w:val="single" w:color="auto" w:sz="4" w:space="0"/>
              <w:bottom w:val="single" w:color="auto" w:sz="4" w:space="0"/>
              <w:right w:val="single" w:color="auto" w:sz="4" w:space="0"/>
              <w:tl2br w:val="nil"/>
              <w:tr2bl w:val="nil"/>
            </w:tcBorders>
            <w:noWrap w:val="0"/>
            <w:vAlign w:val="top"/>
          </w:tcPr>
          <w:p w14:paraId="2C830D91">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15</w:t>
            </w:r>
          </w:p>
        </w:tc>
        <w:tc>
          <w:tcPr>
            <w:tcW w:w="962" w:type="dxa"/>
            <w:tcBorders>
              <w:top w:val="single" w:color="auto" w:sz="4" w:space="0"/>
              <w:left w:val="single" w:color="auto" w:sz="4" w:space="0"/>
              <w:bottom w:val="single" w:color="auto" w:sz="4" w:space="0"/>
              <w:right w:val="single" w:color="auto" w:sz="4" w:space="0"/>
              <w:tl2br w:val="nil"/>
              <w:tr2bl w:val="nil"/>
            </w:tcBorders>
            <w:noWrap w:val="0"/>
            <w:vAlign w:val="top"/>
          </w:tcPr>
          <w:p w14:paraId="74D891DA">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AI助教</w:t>
            </w:r>
          </w:p>
        </w:tc>
        <w:tc>
          <w:tcPr>
            <w:tcW w:w="1439" w:type="dxa"/>
            <w:tcBorders>
              <w:top w:val="single" w:color="auto" w:sz="4" w:space="0"/>
              <w:left w:val="single" w:color="auto" w:sz="4" w:space="0"/>
              <w:bottom w:val="single" w:color="auto" w:sz="4" w:space="0"/>
              <w:right w:val="single" w:color="auto" w:sz="4" w:space="0"/>
              <w:tl2br w:val="nil"/>
              <w:tr2bl w:val="nil"/>
            </w:tcBorders>
            <w:noWrap w:val="0"/>
            <w:vAlign w:val="top"/>
          </w:tcPr>
          <w:p w14:paraId="570EB291">
            <w:pPr>
              <w:keepNext w:val="0"/>
              <w:keepLines w:val="0"/>
              <w:pageBreakBefore w:val="0"/>
              <w:suppressLineNumbers w:val="0"/>
              <w:kinsoku/>
              <w:wordWrap/>
              <w:overflowPunct/>
              <w:topLinePunct w:val="0"/>
              <w:autoSpaceDE/>
              <w:autoSpaceDN/>
              <w:bidi w:val="0"/>
              <w:adjustRightInd/>
              <w:snapToGrid/>
              <w:spacing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AI助教</w:t>
            </w:r>
          </w:p>
        </w:tc>
        <w:tc>
          <w:tcPr>
            <w:tcW w:w="5706" w:type="dxa"/>
            <w:tcBorders>
              <w:top w:val="single" w:color="auto" w:sz="4" w:space="0"/>
              <w:left w:val="single" w:color="auto" w:sz="4" w:space="0"/>
              <w:bottom w:val="single" w:color="auto" w:sz="4" w:space="0"/>
              <w:right w:val="single" w:color="auto" w:sz="4" w:space="0"/>
              <w:tl2br w:val="nil"/>
              <w:tr2bl w:val="nil"/>
            </w:tcBorders>
            <w:noWrap w:val="0"/>
            <w:vAlign w:val="top"/>
          </w:tcPr>
          <w:p w14:paraId="0E4066C9">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b/>
                <w:bCs/>
                <w:kern w:val="0"/>
                <w:sz w:val="24"/>
                <w:szCs w:val="24"/>
                <w:lang w:val="en-US" w:eastAsia="zh-CN" w:bidi="ar"/>
              </w:rPr>
            </w:pPr>
            <w:r>
              <w:rPr>
                <w:rFonts w:hint="eastAsia" w:asciiTheme="minorEastAsia" w:hAnsiTheme="minorEastAsia" w:eastAsiaTheme="minorEastAsia" w:cstheme="minorEastAsia"/>
                <w:b/>
                <w:bCs/>
                <w:kern w:val="0"/>
                <w:sz w:val="24"/>
                <w:szCs w:val="24"/>
                <w:lang w:val="en-US" w:eastAsia="zh-CN" w:bidi="ar"/>
              </w:rPr>
              <w:t>智能答疑：</w:t>
            </w:r>
          </w:p>
          <w:p w14:paraId="6CB353B3">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1.支持自定义添加、编辑、删除业务问答分类，分类数量无限制；</w:t>
            </w:r>
          </w:p>
          <w:p w14:paraId="6BC07ADC">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2.支持自定义添加、编辑、删除、批量导入、批量导出、批量删除业务问答规则，业务问答规则数量无限制；</w:t>
            </w:r>
          </w:p>
          <w:p w14:paraId="68ACE8AF">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3.支持手工启用、停用业务问答规则，可根据关键词搜索业务内容；</w:t>
            </w:r>
          </w:p>
          <w:p w14:paraId="33AD2AD7">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4.业务问答规则中，答案支持文本、图片、语音、视频、自定义级联菜单、图文混排、链接等多种内容；</w:t>
            </w:r>
          </w:p>
          <w:p w14:paraId="191FA152">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5.自定义添加、编辑业务问答中问题标签，并根据标签进行问答提示；</w:t>
            </w:r>
          </w:p>
          <w:p w14:paraId="5BD3DDB9">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6.▲支持用户手动上传文档至问答库，上传后系统可上传的文档进行解析，解析后可智能回答文档相关问题；</w:t>
            </w:r>
          </w:p>
          <w:p w14:paraId="2DA575A3">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7.▲支持对校本网络教学平台已建设的网络课程资料的进行智能解析，围绕课程内容进行人机问答；</w:t>
            </w:r>
          </w:p>
          <w:p w14:paraId="64F5954B">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8.▲问答时支持智能推荐问题关联的相关微应用；</w:t>
            </w:r>
          </w:p>
          <w:p w14:paraId="09B9EC43">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9.机器可自动对没有答案的问题描述进行关键词识别并统计聚类，按照关键词问答频率由高到低排序，同时可以批量导出未知问题；</w:t>
            </w:r>
          </w:p>
          <w:p w14:paraId="493C6BBA">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10.支持手工添加未知问题至业务问答规则，并支持自定义修改；</w:t>
            </w:r>
          </w:p>
          <w:p w14:paraId="01F24743">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11.支持自动忽略无意义的问法，比如无效数字字母的组合；</w:t>
            </w:r>
          </w:p>
          <w:p w14:paraId="4AC319D2">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12.支持根据用户输入问题进行匹配提示；</w:t>
            </w:r>
          </w:p>
          <w:p w14:paraId="09BD1B24">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13.支持问答无匹配时，提供语义相似度最高的热门问题；</w:t>
            </w:r>
          </w:p>
          <w:p w14:paraId="708EE7BD">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14.支持未知问题回复语自定义设置；</w:t>
            </w:r>
          </w:p>
          <w:p w14:paraId="1A5A4269">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15.支持欢迎语的自定义设置；</w:t>
            </w:r>
          </w:p>
          <w:p w14:paraId="73BD5165">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16.支持阈值自定义；</w:t>
            </w:r>
          </w:p>
          <w:p w14:paraId="6325AFB9">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17.支持自定义配置访客端的常见问题及通知公告；</w:t>
            </w:r>
          </w:p>
          <w:p w14:paraId="6ACC9AD3">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18.可根据用户行为自动记录待学习问题，超级管理员可一键学习或一键通过；</w:t>
            </w:r>
          </w:p>
          <w:p w14:paraId="79F3756F">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19.▲支持在不同的时间段自动推送智能学习提示语；</w:t>
            </w:r>
          </w:p>
          <w:p w14:paraId="1BBDFADE">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20.支持大模型托底回答，使用自研教育垂直领域大模型，以海量电子图书、期刊为训练数据，为师生提供智能可信的AI问答服务。</w:t>
            </w:r>
          </w:p>
          <w:p w14:paraId="5F530C9D">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b/>
                <w:bCs/>
                <w:kern w:val="0"/>
                <w:sz w:val="24"/>
                <w:szCs w:val="24"/>
                <w:lang w:val="en-US" w:eastAsia="zh-CN" w:bidi="ar"/>
              </w:rPr>
            </w:pPr>
            <w:r>
              <w:rPr>
                <w:rFonts w:hint="eastAsia" w:asciiTheme="minorEastAsia" w:hAnsiTheme="minorEastAsia" w:eastAsiaTheme="minorEastAsia" w:cstheme="minorEastAsia"/>
                <w:b/>
                <w:bCs/>
                <w:kern w:val="0"/>
                <w:sz w:val="24"/>
                <w:szCs w:val="24"/>
                <w:lang w:val="en-US" w:eastAsia="zh-CN" w:bidi="ar"/>
              </w:rPr>
              <w:t>资源推荐：</w:t>
            </w:r>
          </w:p>
          <w:p w14:paraId="22593829">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1.支持查询图书、期刊等文献，根据用户输入问题推荐相关文献，图书、期刊等。</w:t>
            </w:r>
          </w:p>
          <w:p w14:paraId="43EFBCAD">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2.▲支持针对用户网络课程学习进度和掌握情况，个性化推荐课程资源和拓展性学习资源。</w:t>
            </w:r>
          </w:p>
          <w:p w14:paraId="112EA03C">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3.▲可关联校本网络教学平台网络课程的知识图谱，基于知识点之间的关联关系与学生知识点的学习情况，推荐知识点相关学习资源。</w:t>
            </w:r>
          </w:p>
        </w:tc>
      </w:tr>
    </w:tbl>
    <w:p w14:paraId="3998D216">
      <w:pPr>
        <w:ind w:firstLine="560"/>
        <w:rPr>
          <w:rFonts w:hint="eastAsia" w:asciiTheme="minorEastAsia" w:hAnsiTheme="minorEastAsia" w:eastAsiaTheme="minorEastAsia" w:cstheme="minorEastAsia"/>
          <w:color w:val="auto"/>
          <w:sz w:val="24"/>
          <w:szCs w:val="24"/>
          <w:highlight w:val="none"/>
        </w:rPr>
      </w:pPr>
    </w:p>
    <w:p w14:paraId="133EC2E2">
      <w:pPr>
        <w:ind w:firstLine="560"/>
        <w:rPr>
          <w:rFonts w:hint="eastAsia" w:asciiTheme="minorEastAsia" w:hAnsiTheme="minorEastAsia" w:eastAsiaTheme="minorEastAsia" w:cstheme="minorEastAsia"/>
          <w:color w:val="auto"/>
          <w:sz w:val="24"/>
          <w:szCs w:val="24"/>
          <w:highlight w:val="none"/>
        </w:rPr>
      </w:pPr>
    </w:p>
    <w:p w14:paraId="122FE2DA">
      <w:pPr>
        <w:ind w:firstLine="560"/>
        <w:rPr>
          <w:rFonts w:hint="eastAsia" w:asciiTheme="minorEastAsia" w:hAnsiTheme="minorEastAsia" w:eastAsiaTheme="minorEastAsia" w:cstheme="minorEastAsia"/>
          <w:color w:val="auto"/>
          <w:sz w:val="24"/>
          <w:szCs w:val="24"/>
          <w:highlight w:val="none"/>
        </w:rPr>
      </w:pPr>
    </w:p>
    <w:p w14:paraId="2ED7625E">
      <w:pPr>
        <w:ind w:firstLine="560"/>
        <w:rPr>
          <w:rFonts w:hint="eastAsia" w:asciiTheme="minorEastAsia" w:hAnsiTheme="minorEastAsia" w:eastAsiaTheme="minorEastAsia" w:cstheme="minorEastAsia"/>
          <w:color w:val="auto"/>
          <w:sz w:val="24"/>
          <w:szCs w:val="24"/>
          <w:highlight w:val="none"/>
        </w:rPr>
      </w:pPr>
    </w:p>
    <w:p w14:paraId="30D2D0B4">
      <w:pPr>
        <w:ind w:firstLine="560"/>
        <w:rPr>
          <w:rFonts w:hint="eastAsia" w:asciiTheme="minorEastAsia" w:hAnsiTheme="minorEastAsia" w:eastAsiaTheme="minorEastAsia" w:cstheme="minorEastAsia"/>
          <w:color w:val="auto"/>
          <w:sz w:val="24"/>
          <w:szCs w:val="24"/>
          <w:highlight w:val="none"/>
        </w:rPr>
      </w:pPr>
    </w:p>
    <w:p w14:paraId="30036767">
      <w:pPr>
        <w:ind w:firstLine="560"/>
        <w:rPr>
          <w:rFonts w:hint="eastAsia" w:asciiTheme="minorEastAsia" w:hAnsiTheme="minorEastAsia" w:eastAsiaTheme="minorEastAsia" w:cstheme="minorEastAsia"/>
          <w:color w:val="auto"/>
          <w:sz w:val="24"/>
          <w:szCs w:val="24"/>
          <w:highlight w:val="none"/>
        </w:rPr>
      </w:pPr>
    </w:p>
    <w:p w14:paraId="6C2999E4">
      <w:pPr>
        <w:ind w:firstLine="560"/>
        <w:rPr>
          <w:rFonts w:hint="eastAsia" w:asciiTheme="minorEastAsia" w:hAnsiTheme="minorEastAsia" w:eastAsiaTheme="minorEastAsia" w:cstheme="minorEastAsia"/>
          <w:color w:val="auto"/>
          <w:sz w:val="24"/>
          <w:szCs w:val="24"/>
          <w:highlight w:val="none"/>
        </w:rPr>
      </w:pPr>
    </w:p>
    <w:p w14:paraId="3FF211D7">
      <w:pPr>
        <w:ind w:firstLine="560"/>
        <w:rPr>
          <w:rFonts w:hint="eastAsia" w:asciiTheme="minorEastAsia" w:hAnsiTheme="minorEastAsia" w:eastAsiaTheme="minorEastAsia" w:cstheme="minorEastAsia"/>
          <w:color w:val="auto"/>
          <w:sz w:val="24"/>
          <w:szCs w:val="24"/>
          <w:highlight w:val="none"/>
        </w:rPr>
      </w:pPr>
    </w:p>
    <w:p w14:paraId="16DC0DF4">
      <w:pPr>
        <w:ind w:firstLine="560"/>
        <w:rPr>
          <w:rFonts w:hint="eastAsia" w:asciiTheme="minorEastAsia" w:hAnsiTheme="minorEastAsia" w:eastAsiaTheme="minorEastAsia" w:cstheme="minorEastAsia"/>
          <w:color w:val="auto"/>
          <w:sz w:val="24"/>
          <w:szCs w:val="24"/>
          <w:highlight w:val="none"/>
        </w:rPr>
      </w:pPr>
    </w:p>
    <w:p w14:paraId="4571377E">
      <w:pPr>
        <w:ind w:firstLine="560"/>
        <w:rPr>
          <w:rFonts w:hint="eastAsia" w:asciiTheme="minorEastAsia" w:hAnsiTheme="minorEastAsia" w:eastAsiaTheme="minorEastAsia" w:cstheme="minorEastAsia"/>
          <w:color w:val="auto"/>
          <w:sz w:val="24"/>
          <w:szCs w:val="24"/>
          <w:highlight w:val="none"/>
        </w:rPr>
      </w:pPr>
    </w:p>
    <w:p w14:paraId="0B712BB7">
      <w:pPr>
        <w:ind w:firstLine="560"/>
        <w:rPr>
          <w:rFonts w:hint="eastAsia" w:asciiTheme="minorEastAsia" w:hAnsiTheme="minorEastAsia" w:eastAsiaTheme="minorEastAsia" w:cstheme="minorEastAsia"/>
          <w:color w:val="auto"/>
          <w:sz w:val="24"/>
          <w:szCs w:val="24"/>
          <w:highlight w:val="none"/>
        </w:rPr>
      </w:pPr>
    </w:p>
    <w:p w14:paraId="397E3D3D">
      <w:pPr>
        <w:ind w:firstLine="560"/>
        <w:rPr>
          <w:rFonts w:hint="eastAsia" w:asciiTheme="minorEastAsia" w:hAnsiTheme="minorEastAsia" w:eastAsiaTheme="minorEastAsia" w:cstheme="minorEastAsia"/>
          <w:color w:val="auto"/>
          <w:sz w:val="24"/>
          <w:szCs w:val="24"/>
          <w:highlight w:val="none"/>
        </w:rPr>
      </w:pPr>
    </w:p>
    <w:p w14:paraId="72F1B4A1">
      <w:pPr>
        <w:ind w:firstLine="560"/>
        <w:rPr>
          <w:rFonts w:hint="eastAsia" w:asciiTheme="minorEastAsia" w:hAnsiTheme="minorEastAsia" w:eastAsiaTheme="minorEastAsia" w:cstheme="minorEastAsia"/>
          <w:color w:val="auto"/>
          <w:sz w:val="24"/>
          <w:szCs w:val="24"/>
          <w:highlight w:val="none"/>
        </w:rPr>
      </w:pPr>
    </w:p>
    <w:p w14:paraId="26F2548B">
      <w:pPr>
        <w:ind w:firstLine="560"/>
        <w:rPr>
          <w:rFonts w:hint="eastAsia" w:asciiTheme="minorEastAsia" w:hAnsiTheme="minorEastAsia" w:eastAsiaTheme="minorEastAsia" w:cstheme="minorEastAsia"/>
          <w:color w:val="auto"/>
          <w:sz w:val="24"/>
          <w:szCs w:val="24"/>
          <w:highlight w:val="none"/>
        </w:rPr>
      </w:pPr>
    </w:p>
    <w:p w14:paraId="4A36389D">
      <w:pPr>
        <w:ind w:firstLine="560"/>
        <w:rPr>
          <w:rFonts w:hint="eastAsia" w:asciiTheme="minorEastAsia" w:hAnsiTheme="minorEastAsia" w:eastAsiaTheme="minorEastAsia" w:cstheme="minorEastAsia"/>
          <w:color w:val="auto"/>
          <w:sz w:val="24"/>
          <w:szCs w:val="24"/>
          <w:highlight w:val="none"/>
        </w:rPr>
      </w:pPr>
    </w:p>
    <w:p w14:paraId="3FEE3E05">
      <w:pPr>
        <w:rPr>
          <w:rFonts w:hint="eastAsia" w:asciiTheme="minorEastAsia" w:hAnsiTheme="minorEastAsia" w:eastAsiaTheme="minorEastAsia" w:cstheme="minorEastAsia"/>
          <w:color w:val="auto"/>
          <w:sz w:val="24"/>
          <w:szCs w:val="24"/>
          <w:highlight w:val="none"/>
        </w:rPr>
      </w:pPr>
    </w:p>
    <w:p w14:paraId="6DCB3E08">
      <w:pPr>
        <w:shd w:val="clear"/>
        <w:spacing w:line="440" w:lineRule="exact"/>
        <w:jc w:val="center"/>
        <w:outlineLvl w:val="0"/>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br w:type="page"/>
      </w:r>
      <w:r>
        <w:rPr>
          <w:rFonts w:hint="eastAsia" w:asciiTheme="minorEastAsia" w:hAnsiTheme="minorEastAsia" w:eastAsiaTheme="minorEastAsia" w:cstheme="minorEastAsia"/>
          <w:b/>
          <w:bCs/>
          <w:color w:val="auto"/>
          <w:sz w:val="32"/>
          <w:szCs w:val="32"/>
          <w:highlight w:val="none"/>
        </w:rPr>
        <w:t>第五部分  磋商响应文件格式</w:t>
      </w:r>
      <w:bookmarkEnd w:id="87"/>
      <w:bookmarkEnd w:id="88"/>
    </w:p>
    <w:p w14:paraId="1CAA53B8">
      <w:pPr>
        <w:shd w:val="clear" w:color="auto"/>
        <w:spacing w:line="500" w:lineRule="exact"/>
        <w:jc w:val="center"/>
        <w:rPr>
          <w:rFonts w:asciiTheme="minorEastAsia" w:hAnsiTheme="minorEastAsia" w:eastAsiaTheme="minorEastAsia" w:cstheme="minorEastAsia"/>
          <w:b/>
          <w:bCs/>
          <w:color w:val="auto"/>
          <w:sz w:val="24"/>
          <w:szCs w:val="24"/>
          <w:highlight w:val="none"/>
        </w:rPr>
      </w:pPr>
    </w:p>
    <w:p w14:paraId="7A75CFC2">
      <w:pPr>
        <w:widowControl/>
        <w:shd w:val="clear"/>
        <w:jc w:val="left"/>
        <w:rPr>
          <w:rFonts w:asciiTheme="minorEastAsia" w:hAnsiTheme="minorEastAsia" w:eastAsiaTheme="minorEastAsia" w:cstheme="minorEastAsia"/>
          <w:b/>
          <w:bCs/>
          <w:color w:val="auto"/>
          <w:sz w:val="18"/>
          <w:szCs w:val="18"/>
          <w:highlight w:val="none"/>
        </w:rPr>
      </w:pPr>
    </w:p>
    <w:p w14:paraId="69A18609">
      <w:pPr>
        <w:shd w:val="clear" w:color="auto"/>
        <w:spacing w:line="500" w:lineRule="exact"/>
        <w:ind w:right="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（封面示例）</w:t>
      </w:r>
    </w:p>
    <w:p w14:paraId="75492E97">
      <w:pPr>
        <w:shd w:val="clear" w:color="auto"/>
        <w:spacing w:line="360" w:lineRule="exact"/>
        <w:rPr>
          <w:rFonts w:asciiTheme="minorEastAsia" w:hAnsiTheme="minorEastAsia" w:eastAsiaTheme="minorEastAsia" w:cstheme="minorEastAsia"/>
          <w:color w:val="auto"/>
          <w:sz w:val="24"/>
          <w:szCs w:val="24"/>
          <w:highlight w:val="none"/>
          <w:u w:val="single"/>
        </w:rPr>
      </w:pPr>
    </w:p>
    <w:p w14:paraId="507854CA">
      <w:pPr>
        <w:shd w:val="clear" w:color="auto"/>
        <w:spacing w:line="360" w:lineRule="exact"/>
        <w:jc w:val="center"/>
        <w:rPr>
          <w:rFonts w:asciiTheme="minorEastAsia" w:hAnsiTheme="minorEastAsia" w:eastAsiaTheme="minorEastAsia" w:cstheme="minorEastAsia"/>
          <w:b/>
          <w:bCs/>
          <w:color w:val="auto"/>
          <w:sz w:val="24"/>
          <w:szCs w:val="24"/>
          <w:highlight w:val="none"/>
        </w:rPr>
      </w:pPr>
    </w:p>
    <w:p w14:paraId="74E22C9B">
      <w:pPr>
        <w:shd w:val="clear" w:color="auto"/>
        <w:spacing w:line="500" w:lineRule="exact"/>
        <w:jc w:val="center"/>
        <w:rPr>
          <w:rFonts w:asciiTheme="minorEastAsia" w:hAnsiTheme="minorEastAsia" w:eastAsiaTheme="minorEastAsia" w:cstheme="minorEastAsia"/>
          <w:b/>
          <w:bCs/>
          <w:color w:val="auto"/>
          <w:sz w:val="24"/>
          <w:szCs w:val="24"/>
          <w:highlight w:val="none"/>
        </w:rPr>
      </w:pPr>
    </w:p>
    <w:p w14:paraId="2F9201CF">
      <w:pPr>
        <w:shd w:val="clear" w:color="auto"/>
        <w:spacing w:line="500" w:lineRule="exact"/>
        <w:jc w:val="center"/>
        <w:outlineLvl w:val="0"/>
        <w:rPr>
          <w:rFonts w:asciiTheme="minorEastAsia" w:hAnsiTheme="minorEastAsia" w:eastAsiaTheme="minorEastAsia" w:cstheme="minorEastAsia"/>
          <w:b/>
          <w:bCs/>
          <w:color w:val="auto"/>
          <w:sz w:val="24"/>
          <w:szCs w:val="24"/>
          <w:highlight w:val="none"/>
        </w:rPr>
      </w:pPr>
      <w:bookmarkStart w:id="91" w:name="_Toc32311"/>
      <w:bookmarkStart w:id="92" w:name="_Toc29521"/>
      <w:r>
        <w:rPr>
          <w:rFonts w:hint="eastAsia" w:asciiTheme="minorEastAsia" w:hAnsiTheme="minorEastAsia" w:eastAsiaTheme="minorEastAsia" w:cstheme="minorEastAsia"/>
          <w:b/>
          <w:bCs/>
          <w:color w:val="auto"/>
          <w:sz w:val="24"/>
          <w:szCs w:val="24"/>
          <w:highlight w:val="none"/>
        </w:rPr>
        <w:t>磋商响应文件</w:t>
      </w:r>
      <w:bookmarkEnd w:id="91"/>
      <w:bookmarkEnd w:id="92"/>
    </w:p>
    <w:p w14:paraId="5EB7B896">
      <w:pPr>
        <w:shd w:val="clear" w:color="auto"/>
        <w:spacing w:line="500" w:lineRule="exact"/>
        <w:rPr>
          <w:rFonts w:asciiTheme="minorEastAsia" w:hAnsiTheme="minorEastAsia" w:eastAsiaTheme="minorEastAsia" w:cstheme="minorEastAsia"/>
          <w:color w:val="auto"/>
          <w:sz w:val="24"/>
          <w:szCs w:val="24"/>
          <w:highlight w:val="none"/>
        </w:rPr>
      </w:pPr>
    </w:p>
    <w:p w14:paraId="532C03C7">
      <w:pPr>
        <w:shd w:val="clear" w:color="auto"/>
        <w:spacing w:line="500" w:lineRule="exact"/>
        <w:rPr>
          <w:rFonts w:asciiTheme="minorEastAsia" w:hAnsiTheme="minorEastAsia" w:eastAsiaTheme="minorEastAsia" w:cstheme="minorEastAsia"/>
          <w:color w:val="auto"/>
          <w:sz w:val="24"/>
          <w:szCs w:val="24"/>
          <w:highlight w:val="none"/>
        </w:rPr>
      </w:pPr>
    </w:p>
    <w:p w14:paraId="5D229286">
      <w:pPr>
        <w:shd w:val="clear" w:color="auto"/>
        <w:spacing w:line="500" w:lineRule="exact"/>
        <w:rPr>
          <w:rFonts w:asciiTheme="minorEastAsia" w:hAnsiTheme="minorEastAsia" w:eastAsiaTheme="minorEastAsia" w:cstheme="minorEastAsia"/>
          <w:color w:val="auto"/>
          <w:sz w:val="24"/>
          <w:szCs w:val="24"/>
          <w:highlight w:val="none"/>
        </w:rPr>
      </w:pPr>
    </w:p>
    <w:p w14:paraId="322123A0">
      <w:pPr>
        <w:shd w:val="clear" w:color="auto"/>
        <w:spacing w:line="500" w:lineRule="exact"/>
        <w:rPr>
          <w:rFonts w:asciiTheme="minorEastAsia" w:hAnsiTheme="minorEastAsia" w:eastAsiaTheme="minorEastAsia" w:cstheme="minorEastAsia"/>
          <w:color w:val="auto"/>
          <w:sz w:val="24"/>
          <w:szCs w:val="24"/>
          <w:highlight w:val="none"/>
        </w:rPr>
      </w:pPr>
    </w:p>
    <w:p w14:paraId="68FE0E70">
      <w:pPr>
        <w:shd w:val="clear" w:color="auto"/>
        <w:spacing w:line="500" w:lineRule="exact"/>
        <w:rPr>
          <w:rFonts w:asciiTheme="minorEastAsia" w:hAnsiTheme="minorEastAsia" w:eastAsiaTheme="minorEastAsia" w:cstheme="minorEastAsia"/>
          <w:color w:val="auto"/>
          <w:sz w:val="24"/>
          <w:szCs w:val="24"/>
          <w:highlight w:val="none"/>
        </w:rPr>
      </w:pPr>
    </w:p>
    <w:p w14:paraId="2C7506CC">
      <w:pPr>
        <w:shd w:val="clear" w:color="auto"/>
        <w:spacing w:line="500" w:lineRule="exact"/>
        <w:rPr>
          <w:rFonts w:asciiTheme="minorEastAsia" w:hAnsiTheme="minorEastAsia" w:eastAsiaTheme="minorEastAsia" w:cstheme="minorEastAsia"/>
          <w:color w:val="auto"/>
          <w:sz w:val="24"/>
          <w:szCs w:val="24"/>
          <w:highlight w:val="none"/>
        </w:rPr>
      </w:pPr>
    </w:p>
    <w:p w14:paraId="5D055C0D">
      <w:pPr>
        <w:shd w:val="clear" w:color="auto"/>
        <w:spacing w:line="500" w:lineRule="exact"/>
        <w:ind w:firstLine="240" w:firstLineChars="1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w:t>
      </w:r>
    </w:p>
    <w:p w14:paraId="75F08AB9">
      <w:pPr>
        <w:shd w:val="clear" w:color="auto"/>
        <w:spacing w:line="500" w:lineRule="exact"/>
        <w:ind w:firstLine="240" w:firstLineChars="100"/>
        <w:rPr>
          <w:rFonts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项目名称：</w:t>
      </w:r>
    </w:p>
    <w:p w14:paraId="524E94B0">
      <w:pPr>
        <w:shd w:val="clear" w:color="auto"/>
        <w:spacing w:line="500" w:lineRule="exact"/>
        <w:ind w:firstLine="240" w:firstLineChars="100"/>
        <w:rPr>
          <w:rFonts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采购项目编号：</w:t>
      </w:r>
    </w:p>
    <w:p w14:paraId="25E3FAD6">
      <w:pPr>
        <w:shd w:val="clear" w:color="auto"/>
        <w:spacing w:line="500" w:lineRule="exact"/>
        <w:ind w:firstLine="240" w:firstLineChars="100"/>
        <w:rPr>
          <w:rFonts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供应商（盖公章）：</w:t>
      </w:r>
    </w:p>
    <w:p w14:paraId="509660B4">
      <w:pPr>
        <w:shd w:val="clear" w:color="auto"/>
        <w:spacing w:line="500" w:lineRule="exact"/>
        <w:ind w:firstLine="240" w:firstLineChars="100"/>
        <w:rPr>
          <w:rFonts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法定代表人（签字或盖章）:</w:t>
      </w:r>
    </w:p>
    <w:p w14:paraId="759C4676">
      <w:pPr>
        <w:shd w:val="clear" w:color="auto"/>
        <w:spacing w:line="500" w:lineRule="exact"/>
        <w:ind w:firstLine="240" w:firstLineChars="100"/>
        <w:rPr>
          <w:rFonts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被授权代理人（签字）:</w:t>
      </w:r>
    </w:p>
    <w:p w14:paraId="1561FBF1">
      <w:pPr>
        <w:shd w:val="clear" w:color="auto"/>
        <w:spacing w:line="500" w:lineRule="exact"/>
        <w:ind w:firstLine="240" w:firstLineChars="100"/>
        <w:rPr>
          <w:rFonts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地址：</w:t>
      </w:r>
    </w:p>
    <w:p w14:paraId="5F2355C2">
      <w:pPr>
        <w:shd w:val="clear" w:color="auto"/>
        <w:spacing w:line="500" w:lineRule="exact"/>
        <w:ind w:firstLine="240" w:firstLineChars="100"/>
        <w:rPr>
          <w:rFonts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联系人：</w:t>
      </w:r>
    </w:p>
    <w:p w14:paraId="319B3E2C">
      <w:pPr>
        <w:shd w:val="clear" w:color="auto"/>
        <w:spacing w:line="500" w:lineRule="exact"/>
        <w:ind w:firstLine="240" w:firstLineChars="100"/>
        <w:rPr>
          <w:rFonts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联系电话：</w:t>
      </w:r>
    </w:p>
    <w:p w14:paraId="0CDA7C70">
      <w:pPr>
        <w:shd w:val="clear" w:color="auto"/>
        <w:spacing w:line="500" w:lineRule="exact"/>
        <w:ind w:firstLine="240" w:firstLineChars="100"/>
        <w:jc w:val="center"/>
        <w:rPr>
          <w:rFonts w:asciiTheme="minorEastAsia" w:hAnsiTheme="minorEastAsia" w:eastAsiaTheme="minorEastAsia" w:cstheme="minorEastAsia"/>
          <w:color w:val="auto"/>
          <w:sz w:val="24"/>
          <w:highlight w:val="none"/>
          <w:lang w:val="zh-CN"/>
        </w:rPr>
      </w:pPr>
    </w:p>
    <w:p w14:paraId="2486DB2A">
      <w:pPr>
        <w:shd w:val="clear" w:color="auto"/>
        <w:spacing w:line="500" w:lineRule="exact"/>
        <w:ind w:firstLine="240" w:firstLineChars="100"/>
        <w:jc w:val="center"/>
        <w:outlineLvl w:val="0"/>
        <w:rPr>
          <w:rFonts w:asciiTheme="minorEastAsia" w:hAnsiTheme="minorEastAsia" w:eastAsiaTheme="minorEastAsia" w:cstheme="minorEastAsia"/>
          <w:b/>
          <w:color w:val="auto"/>
          <w:sz w:val="24"/>
          <w:szCs w:val="24"/>
          <w:highlight w:val="none"/>
        </w:rPr>
      </w:pPr>
      <w:bookmarkStart w:id="93" w:name="_Toc71"/>
      <w:bookmarkStart w:id="94" w:name="_Toc8292"/>
      <w:r>
        <w:rPr>
          <w:rFonts w:hint="eastAsia" w:asciiTheme="minorEastAsia" w:hAnsiTheme="minorEastAsia" w:eastAsiaTheme="minorEastAsia" w:cstheme="minorEastAsia"/>
          <w:color w:val="auto"/>
          <w:sz w:val="24"/>
          <w:szCs w:val="24"/>
          <w:highlight w:val="none"/>
        </w:rPr>
        <w:br w:type="page"/>
      </w:r>
      <w:r>
        <w:rPr>
          <w:rFonts w:hint="eastAsia" w:asciiTheme="minorEastAsia" w:hAnsiTheme="minorEastAsia" w:eastAsiaTheme="minorEastAsia" w:cstheme="minorEastAsia"/>
          <w:b/>
          <w:color w:val="auto"/>
          <w:sz w:val="24"/>
          <w:szCs w:val="24"/>
          <w:highlight w:val="none"/>
        </w:rPr>
        <w:t>目  录</w:t>
      </w:r>
      <w:bookmarkEnd w:id="93"/>
      <w:bookmarkEnd w:id="94"/>
    </w:p>
    <w:p w14:paraId="57B12DB2">
      <w:pPr>
        <w:shd w:val="clear" w:color="auto"/>
        <w:spacing w:line="500" w:lineRule="exact"/>
        <w:ind w:firstLine="482" w:firstLineChars="200"/>
        <w:rPr>
          <w:rFonts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主要包括</w:t>
      </w:r>
      <w:r>
        <w:rPr>
          <w:rFonts w:hint="eastAsia" w:asciiTheme="minorEastAsia" w:hAnsiTheme="minorEastAsia" w:eastAsiaTheme="minorEastAsia" w:cstheme="minorEastAsia"/>
          <w:b/>
          <w:color w:val="auto"/>
          <w:sz w:val="24"/>
          <w:szCs w:val="24"/>
          <w:highlight w:val="none"/>
        </w:rPr>
        <w:t>但不限于以下内容：</w:t>
      </w:r>
    </w:p>
    <w:p w14:paraId="0B297DF5">
      <w:pPr>
        <w:shd w:val="clear"/>
        <w:spacing w:line="500" w:lineRule="exact"/>
        <w:ind w:firstLine="480" w:firstLineChars="200"/>
        <w:outlineLvl w:val="0"/>
        <w:rPr>
          <w:rFonts w:asciiTheme="minorEastAsia" w:hAnsiTheme="minorEastAsia" w:eastAsiaTheme="minorEastAsia" w:cstheme="minorEastAsia"/>
          <w:bCs/>
          <w:color w:val="auto"/>
          <w:kern w:val="0"/>
          <w:sz w:val="24"/>
          <w:szCs w:val="24"/>
          <w:highlight w:val="none"/>
        </w:rPr>
      </w:pPr>
      <w:bookmarkStart w:id="95" w:name="_Toc27828"/>
      <w:bookmarkStart w:id="96" w:name="_Toc24618"/>
      <w:r>
        <w:rPr>
          <w:rFonts w:hint="eastAsia" w:asciiTheme="minorEastAsia" w:hAnsiTheme="minorEastAsia" w:eastAsiaTheme="minorEastAsia" w:cstheme="minorEastAsia"/>
          <w:bCs/>
          <w:color w:val="auto"/>
          <w:kern w:val="0"/>
          <w:sz w:val="24"/>
          <w:szCs w:val="24"/>
          <w:highlight w:val="none"/>
        </w:rPr>
        <w:t>1、磋商响应书</w:t>
      </w:r>
      <w:bookmarkEnd w:id="95"/>
      <w:bookmarkEnd w:id="96"/>
    </w:p>
    <w:p w14:paraId="449079CC">
      <w:pPr>
        <w:shd w:val="clear"/>
        <w:spacing w:line="500" w:lineRule="exact"/>
        <w:ind w:firstLine="480" w:firstLineChars="200"/>
        <w:outlineLvl w:val="0"/>
        <w:rPr>
          <w:rFonts w:asciiTheme="minorEastAsia" w:hAnsiTheme="minorEastAsia" w:eastAsiaTheme="minorEastAsia" w:cstheme="minorEastAsia"/>
          <w:bCs/>
          <w:color w:val="auto"/>
          <w:kern w:val="0"/>
          <w:sz w:val="24"/>
          <w:szCs w:val="24"/>
          <w:highlight w:val="none"/>
        </w:rPr>
      </w:pPr>
      <w:bookmarkStart w:id="97" w:name="_Toc2661"/>
      <w:bookmarkStart w:id="98" w:name="_Toc8945"/>
      <w:r>
        <w:rPr>
          <w:rFonts w:hint="eastAsia" w:asciiTheme="minorEastAsia" w:hAnsiTheme="minorEastAsia" w:eastAsiaTheme="minorEastAsia" w:cstheme="minorEastAsia"/>
          <w:bCs/>
          <w:color w:val="auto"/>
          <w:kern w:val="0"/>
          <w:sz w:val="24"/>
          <w:szCs w:val="24"/>
          <w:highlight w:val="none"/>
        </w:rPr>
        <w:t>2、开标一览表</w:t>
      </w:r>
      <w:bookmarkEnd w:id="97"/>
      <w:bookmarkEnd w:id="98"/>
    </w:p>
    <w:p w14:paraId="7DE75171">
      <w:pPr>
        <w:shd w:val="clear"/>
        <w:spacing w:line="500" w:lineRule="exact"/>
        <w:ind w:firstLine="480" w:firstLineChars="200"/>
        <w:outlineLvl w:val="0"/>
        <w:rPr>
          <w:rFonts w:asciiTheme="minorEastAsia" w:hAnsiTheme="minorEastAsia" w:eastAsiaTheme="minorEastAsia" w:cstheme="minorEastAsia"/>
          <w:color w:val="auto"/>
          <w:sz w:val="24"/>
          <w:szCs w:val="24"/>
          <w:highlight w:val="none"/>
        </w:rPr>
      </w:pPr>
      <w:bookmarkStart w:id="99" w:name="_Toc18773"/>
      <w:bookmarkStart w:id="100" w:name="_Toc18800"/>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、供应商基本情况表</w:t>
      </w:r>
      <w:bookmarkEnd w:id="99"/>
      <w:bookmarkEnd w:id="100"/>
    </w:p>
    <w:p w14:paraId="279D20C7">
      <w:pPr>
        <w:shd w:val="clear"/>
        <w:spacing w:line="500" w:lineRule="exact"/>
        <w:ind w:firstLine="480" w:firstLineChars="200"/>
        <w:outlineLvl w:val="0"/>
        <w:rPr>
          <w:rFonts w:asciiTheme="minorEastAsia" w:hAnsiTheme="minorEastAsia" w:eastAsiaTheme="minorEastAsia" w:cstheme="minorEastAsia"/>
          <w:color w:val="auto"/>
          <w:kern w:val="0"/>
          <w:sz w:val="24"/>
          <w:szCs w:val="24"/>
          <w:highlight w:val="none"/>
        </w:rPr>
      </w:pPr>
      <w:bookmarkStart w:id="101" w:name="_Toc13394"/>
      <w:bookmarkStart w:id="102" w:name="_Toc23190"/>
      <w:r>
        <w:rPr>
          <w:rFonts w:hint="eastAsia" w:asciiTheme="minorEastAsia" w:hAnsiTheme="minorEastAsia" w:eastAsiaTheme="minorEastAsia" w:cstheme="minorEastAsia"/>
          <w:bCs/>
          <w:color w:val="auto"/>
          <w:kern w:val="0"/>
          <w:sz w:val="24"/>
          <w:szCs w:val="24"/>
          <w:highlight w:val="none"/>
          <w:lang w:val="en-US" w:eastAsia="zh-CN"/>
        </w:rPr>
        <w:t>4</w:t>
      </w:r>
      <w:r>
        <w:rPr>
          <w:rFonts w:hint="eastAsia" w:asciiTheme="minorEastAsia" w:hAnsiTheme="minorEastAsia" w:eastAsiaTheme="minorEastAsia" w:cstheme="minorEastAsia"/>
          <w:bCs/>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rPr>
        <w:t>法定代表人身份证明书</w:t>
      </w:r>
      <w:bookmarkEnd w:id="101"/>
      <w:bookmarkEnd w:id="102"/>
    </w:p>
    <w:p w14:paraId="66E62D48">
      <w:pPr>
        <w:shd w:val="clear"/>
        <w:autoSpaceDE w:val="0"/>
        <w:autoSpaceDN w:val="0"/>
        <w:adjustRightInd w:val="0"/>
        <w:spacing w:line="500" w:lineRule="exact"/>
        <w:ind w:firstLine="480" w:firstLineChars="200"/>
        <w:jc w:val="left"/>
        <w:outlineLvl w:val="0"/>
        <w:rPr>
          <w:rFonts w:asciiTheme="minorEastAsia" w:hAnsiTheme="minorEastAsia" w:eastAsiaTheme="minorEastAsia" w:cstheme="minorEastAsia"/>
          <w:bCs/>
          <w:color w:val="auto"/>
          <w:sz w:val="24"/>
          <w:szCs w:val="24"/>
          <w:highlight w:val="none"/>
        </w:rPr>
      </w:pPr>
      <w:bookmarkStart w:id="103" w:name="_Toc2591"/>
      <w:bookmarkStart w:id="104" w:name="_Toc19693"/>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bCs/>
          <w:color w:val="auto"/>
          <w:sz w:val="24"/>
          <w:szCs w:val="24"/>
          <w:highlight w:val="none"/>
        </w:rPr>
        <w:t>法定代表人授权委托书</w:t>
      </w:r>
      <w:bookmarkEnd w:id="103"/>
      <w:bookmarkEnd w:id="104"/>
    </w:p>
    <w:p w14:paraId="50BCAE25">
      <w:pPr>
        <w:shd w:val="clear"/>
        <w:autoSpaceDE w:val="0"/>
        <w:autoSpaceDN w:val="0"/>
        <w:adjustRightInd w:val="0"/>
        <w:spacing w:line="500" w:lineRule="exact"/>
        <w:ind w:firstLine="480" w:firstLineChars="200"/>
        <w:jc w:val="left"/>
        <w:outlineLvl w:val="0"/>
        <w:rPr>
          <w:rFonts w:asciiTheme="minorEastAsia" w:hAnsiTheme="minorEastAsia" w:eastAsiaTheme="minorEastAsia" w:cstheme="minorEastAsia"/>
          <w:color w:val="auto"/>
          <w:sz w:val="24"/>
          <w:szCs w:val="24"/>
          <w:highlight w:val="none"/>
        </w:rPr>
      </w:pPr>
      <w:bookmarkStart w:id="105" w:name="_Toc12629"/>
      <w:bookmarkStart w:id="106" w:name="_Toc32389"/>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w:t>
      </w:r>
      <w:bookmarkEnd w:id="105"/>
      <w:bookmarkEnd w:id="106"/>
      <w:r>
        <w:rPr>
          <w:rFonts w:hint="eastAsia" w:asciiTheme="minorEastAsia" w:hAnsiTheme="minorEastAsia" w:eastAsiaTheme="minorEastAsia" w:cstheme="minorEastAsia"/>
          <w:color w:val="auto"/>
          <w:sz w:val="24"/>
          <w:szCs w:val="24"/>
          <w:highlight w:val="none"/>
        </w:rPr>
        <w:t>关于《中华人民共和国政府采购法》第二十二条的承诺书</w:t>
      </w:r>
    </w:p>
    <w:p w14:paraId="2CBA3158">
      <w:pPr>
        <w:shd w:val="clear"/>
        <w:autoSpaceDE w:val="0"/>
        <w:autoSpaceDN w:val="0"/>
        <w:adjustRightInd w:val="0"/>
        <w:spacing w:line="500" w:lineRule="exact"/>
        <w:ind w:firstLine="480" w:firstLineChars="200"/>
        <w:jc w:val="left"/>
        <w:outlineLvl w:val="0"/>
        <w:rPr>
          <w:rFonts w:asciiTheme="minorEastAsia" w:hAnsiTheme="minorEastAsia" w:eastAsiaTheme="minorEastAsia" w:cstheme="minorEastAsia"/>
          <w:bCs/>
          <w:color w:val="auto"/>
          <w:sz w:val="24"/>
          <w:szCs w:val="24"/>
          <w:highlight w:val="none"/>
        </w:rPr>
      </w:pPr>
      <w:bookmarkStart w:id="107" w:name="_Toc2207"/>
      <w:bookmarkStart w:id="108" w:name="_Toc21633"/>
      <w:r>
        <w:rPr>
          <w:rFonts w:hint="eastAsia" w:asciiTheme="minorEastAsia" w:hAnsiTheme="minorEastAsia" w:eastAsiaTheme="minorEastAsia" w:cstheme="minorEastAsia"/>
          <w:bCs/>
          <w:color w:val="auto"/>
          <w:sz w:val="24"/>
          <w:szCs w:val="24"/>
          <w:highlight w:val="none"/>
          <w:lang w:val="en-US" w:eastAsia="zh-CN"/>
        </w:rPr>
        <w:t>7</w:t>
      </w:r>
      <w:r>
        <w:rPr>
          <w:rFonts w:hint="eastAsia" w:asciiTheme="minorEastAsia" w:hAnsiTheme="minorEastAsia" w:eastAsiaTheme="minorEastAsia" w:cstheme="minorEastAsia"/>
          <w:bCs/>
          <w:color w:val="auto"/>
          <w:sz w:val="24"/>
          <w:szCs w:val="24"/>
          <w:highlight w:val="none"/>
        </w:rPr>
        <w:t>、廉洁投标承诺书</w:t>
      </w:r>
    </w:p>
    <w:p w14:paraId="1633026B">
      <w:pPr>
        <w:shd w:val="clear"/>
        <w:autoSpaceDE w:val="0"/>
        <w:autoSpaceDN w:val="0"/>
        <w:adjustRightInd w:val="0"/>
        <w:spacing w:line="500" w:lineRule="exact"/>
        <w:ind w:firstLine="480" w:firstLineChars="200"/>
        <w:jc w:val="left"/>
        <w:outlineLvl w:val="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en-US" w:eastAsia="zh-CN"/>
        </w:rPr>
        <w:t>8</w:t>
      </w:r>
      <w:r>
        <w:rPr>
          <w:rFonts w:hint="eastAsia" w:asciiTheme="minorEastAsia" w:hAnsiTheme="minorEastAsia" w:eastAsiaTheme="minorEastAsia" w:cstheme="minorEastAsia"/>
          <w:bCs/>
          <w:color w:val="auto"/>
          <w:sz w:val="24"/>
          <w:szCs w:val="24"/>
          <w:highlight w:val="none"/>
        </w:rPr>
        <w:t>、供应商的资格声明</w:t>
      </w:r>
      <w:bookmarkEnd w:id="107"/>
      <w:bookmarkEnd w:id="108"/>
    </w:p>
    <w:p w14:paraId="1D6740BD">
      <w:pPr>
        <w:shd w:val="clear"/>
        <w:autoSpaceDE w:val="0"/>
        <w:autoSpaceDN w:val="0"/>
        <w:adjustRightInd w:val="0"/>
        <w:spacing w:line="500" w:lineRule="exact"/>
        <w:ind w:firstLine="480" w:firstLineChars="200"/>
        <w:jc w:val="left"/>
        <w:outlineLvl w:val="0"/>
        <w:rPr>
          <w:rFonts w:hint="eastAsia" w:asciiTheme="minorEastAsia" w:hAnsiTheme="minorEastAsia" w:eastAsiaTheme="minorEastAsia" w:cstheme="minorEastAsia"/>
          <w:color w:val="auto"/>
          <w:sz w:val="24"/>
          <w:szCs w:val="24"/>
          <w:highlight w:val="none"/>
          <w:lang w:eastAsia="zh-CN"/>
        </w:rPr>
      </w:pPr>
      <w:bookmarkStart w:id="109" w:name="_Toc15488"/>
      <w:bookmarkStart w:id="110" w:name="_Toc1140"/>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w:t>
      </w:r>
      <w:bookmarkEnd w:id="109"/>
      <w:bookmarkEnd w:id="110"/>
      <w:r>
        <w:rPr>
          <w:rFonts w:hint="eastAsia" w:asciiTheme="minorEastAsia" w:hAnsiTheme="minorEastAsia" w:eastAsiaTheme="minorEastAsia" w:cstheme="minorEastAsia"/>
          <w:color w:val="auto"/>
          <w:sz w:val="24"/>
          <w:szCs w:val="24"/>
          <w:highlight w:val="none"/>
          <w:lang w:eastAsia="zh-CN"/>
        </w:rPr>
        <w:t>供应商需提供的资料</w:t>
      </w:r>
    </w:p>
    <w:p w14:paraId="35F3A545">
      <w:pPr>
        <w:shd w:val="clear"/>
        <w:autoSpaceDE w:val="0"/>
        <w:autoSpaceDN w:val="0"/>
        <w:adjustRightInd w:val="0"/>
        <w:spacing w:line="500" w:lineRule="exact"/>
        <w:ind w:firstLine="480" w:firstLineChars="200"/>
        <w:jc w:val="left"/>
        <w:outlineLvl w:val="0"/>
        <w:rPr>
          <w:rFonts w:asciiTheme="minorEastAsia" w:hAnsiTheme="minorEastAsia" w:eastAsiaTheme="minorEastAsia" w:cstheme="minorEastAsia"/>
          <w:color w:val="auto"/>
          <w:sz w:val="24"/>
          <w:szCs w:val="24"/>
          <w:highlight w:val="none"/>
        </w:rPr>
      </w:pPr>
      <w:bookmarkStart w:id="111" w:name="_Toc17981"/>
      <w:bookmarkStart w:id="112" w:name="_Toc25487"/>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w:t>
      </w:r>
      <w:bookmarkEnd w:id="111"/>
      <w:bookmarkEnd w:id="112"/>
      <w:r>
        <w:rPr>
          <w:rFonts w:hint="eastAsia" w:asciiTheme="minorEastAsia" w:hAnsiTheme="minorEastAsia" w:eastAsiaTheme="minorEastAsia" w:cstheme="minorEastAsia"/>
          <w:color w:val="auto"/>
          <w:sz w:val="24"/>
          <w:szCs w:val="24"/>
          <w:highlight w:val="none"/>
        </w:rPr>
        <w:t>采购需求响应偏离表</w:t>
      </w:r>
    </w:p>
    <w:p w14:paraId="088584A8">
      <w:pPr>
        <w:shd w:val="clear"/>
        <w:autoSpaceDE w:val="0"/>
        <w:autoSpaceDN w:val="0"/>
        <w:adjustRightInd w:val="0"/>
        <w:spacing w:line="500" w:lineRule="exact"/>
        <w:ind w:firstLine="480" w:firstLineChars="200"/>
        <w:jc w:val="left"/>
        <w:outlineLvl w:val="0"/>
        <w:rPr>
          <w:rFonts w:asciiTheme="minorEastAsia" w:hAnsiTheme="minorEastAsia" w:eastAsiaTheme="minorEastAsia" w:cstheme="minorEastAsia"/>
          <w:color w:val="auto"/>
          <w:sz w:val="24"/>
          <w:szCs w:val="24"/>
          <w:highlight w:val="none"/>
        </w:rPr>
      </w:pPr>
      <w:bookmarkStart w:id="113" w:name="_Toc19480"/>
      <w:bookmarkStart w:id="114" w:name="_Toc9913"/>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w:t>
      </w:r>
      <w:bookmarkEnd w:id="113"/>
      <w:bookmarkEnd w:id="114"/>
      <w:r>
        <w:rPr>
          <w:rFonts w:hint="eastAsia" w:asciiTheme="minorEastAsia" w:hAnsiTheme="minorEastAsia" w:eastAsiaTheme="minorEastAsia" w:cstheme="minorEastAsia"/>
          <w:color w:val="auto"/>
          <w:sz w:val="24"/>
          <w:szCs w:val="24"/>
          <w:highlight w:val="none"/>
        </w:rPr>
        <w:t>供应商类似项目业绩表</w:t>
      </w:r>
    </w:p>
    <w:p w14:paraId="4B72EC10">
      <w:pPr>
        <w:shd w:val="clear"/>
        <w:autoSpaceDE w:val="0"/>
        <w:autoSpaceDN w:val="0"/>
        <w:adjustRightInd w:val="0"/>
        <w:spacing w:line="500" w:lineRule="exact"/>
        <w:ind w:firstLine="480" w:firstLineChars="200"/>
        <w:jc w:val="left"/>
        <w:outlineLvl w:val="0"/>
        <w:rPr>
          <w:rFonts w:asciiTheme="minorEastAsia" w:hAnsiTheme="minorEastAsia" w:eastAsiaTheme="minorEastAsia" w:cstheme="minorEastAsia"/>
          <w:color w:val="auto"/>
          <w:sz w:val="24"/>
          <w:highlight w:val="none"/>
        </w:rPr>
      </w:pPr>
      <w:bookmarkStart w:id="115" w:name="_Toc23127"/>
      <w:bookmarkStart w:id="116" w:name="_Toc25608"/>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、中小微企业声明函</w:t>
      </w:r>
      <w:bookmarkEnd w:id="115"/>
      <w:bookmarkEnd w:id="116"/>
    </w:p>
    <w:p w14:paraId="055EC2D4">
      <w:pPr>
        <w:shd w:val="clear"/>
        <w:autoSpaceDE w:val="0"/>
        <w:autoSpaceDN w:val="0"/>
        <w:adjustRightInd w:val="0"/>
        <w:spacing w:line="500" w:lineRule="exact"/>
        <w:ind w:firstLine="480" w:firstLineChars="200"/>
        <w:jc w:val="left"/>
        <w:outlineLvl w:val="0"/>
        <w:rPr>
          <w:rFonts w:asciiTheme="minorEastAsia" w:hAnsiTheme="minorEastAsia" w:eastAsiaTheme="minorEastAsia" w:cstheme="minorEastAsia"/>
          <w:color w:val="auto"/>
          <w:sz w:val="24"/>
          <w:szCs w:val="24"/>
          <w:highlight w:val="none"/>
        </w:rPr>
      </w:pPr>
      <w:bookmarkStart w:id="117" w:name="_Toc28393"/>
      <w:bookmarkStart w:id="118" w:name="_Toc18263"/>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、评审中所需资料</w:t>
      </w:r>
      <w:bookmarkEnd w:id="117"/>
      <w:bookmarkEnd w:id="118"/>
    </w:p>
    <w:p w14:paraId="56A73E2E">
      <w:pPr>
        <w:shd w:val="clear"/>
        <w:autoSpaceDE w:val="0"/>
        <w:autoSpaceDN w:val="0"/>
        <w:adjustRightInd w:val="0"/>
        <w:spacing w:line="500" w:lineRule="exact"/>
        <w:ind w:firstLine="480" w:firstLineChars="200"/>
        <w:jc w:val="left"/>
        <w:outlineLvl w:val="0"/>
        <w:rPr>
          <w:rFonts w:asciiTheme="minorEastAsia" w:hAnsiTheme="minorEastAsia" w:eastAsiaTheme="minorEastAsia" w:cstheme="minorEastAsia"/>
          <w:color w:val="auto"/>
          <w:sz w:val="24"/>
          <w:szCs w:val="24"/>
          <w:highlight w:val="none"/>
        </w:rPr>
      </w:pPr>
      <w:bookmarkStart w:id="119" w:name="_Toc13562"/>
      <w:bookmarkStart w:id="120" w:name="_Toc9318"/>
      <w:r>
        <w:rPr>
          <w:rFonts w:hint="eastAsia" w:asciiTheme="minorEastAsia" w:hAnsiTheme="minorEastAsia" w:eastAsiaTheme="minorEastAsia" w:cstheme="minorEastAsia"/>
          <w:color w:val="auto"/>
          <w:sz w:val="24"/>
          <w:szCs w:val="24"/>
          <w:highlight w:val="none"/>
          <w:lang w:val="en-US" w:eastAsia="zh-CN"/>
        </w:rPr>
        <w:t>14</w:t>
      </w:r>
      <w:r>
        <w:rPr>
          <w:rFonts w:hint="eastAsia" w:asciiTheme="minorEastAsia" w:hAnsiTheme="minorEastAsia" w:eastAsiaTheme="minorEastAsia" w:cstheme="minorEastAsia"/>
          <w:color w:val="auto"/>
          <w:sz w:val="24"/>
          <w:szCs w:val="24"/>
          <w:highlight w:val="none"/>
        </w:rPr>
        <w:t>、供应商认为有必要提供的其他资料</w:t>
      </w:r>
      <w:bookmarkEnd w:id="119"/>
      <w:bookmarkEnd w:id="120"/>
    </w:p>
    <w:p w14:paraId="7DCE90D8">
      <w:pPr>
        <w:shd w:val="clear"/>
        <w:spacing w:line="500" w:lineRule="exact"/>
        <w:ind w:firstLine="472" w:firstLineChars="196"/>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color w:val="auto"/>
          <w:sz w:val="24"/>
          <w:szCs w:val="24"/>
          <w:highlight w:val="none"/>
        </w:rPr>
        <w:t>（注：供应商须按招标要求提供，磋商响应文件应当使用磋商文件所提供磋商响应文件格式（表格可按照同样格式扩展）。未提供格式的，需要时由供应商用文字或者表格、图片等其它形式提供。）</w:t>
      </w:r>
    </w:p>
    <w:p w14:paraId="4BCCA577">
      <w:pPr>
        <w:widowControl/>
        <w:shd w:val="clea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18"/>
          <w:szCs w:val="18"/>
          <w:highlight w:val="none"/>
        </w:rPr>
        <w:br w:type="page"/>
      </w:r>
    </w:p>
    <w:p w14:paraId="65E7A5A8">
      <w:pPr>
        <w:shd w:val="clear" w:color="auto"/>
        <w:spacing w:line="360" w:lineRule="exact"/>
        <w:outlineLvl w:val="0"/>
        <w:rPr>
          <w:rFonts w:asciiTheme="minorEastAsia" w:hAnsiTheme="minorEastAsia" w:eastAsiaTheme="minorEastAsia" w:cstheme="minorEastAsia"/>
          <w:b/>
          <w:color w:val="auto"/>
          <w:sz w:val="24"/>
          <w:szCs w:val="24"/>
          <w:highlight w:val="none"/>
        </w:rPr>
      </w:pPr>
      <w:bookmarkStart w:id="121" w:name="_Toc9753"/>
      <w:bookmarkStart w:id="122" w:name="_Toc31865"/>
      <w:r>
        <w:rPr>
          <w:rFonts w:hint="eastAsia" w:asciiTheme="minorEastAsia" w:hAnsiTheme="minorEastAsia" w:eastAsiaTheme="minorEastAsia" w:cstheme="minorEastAsia"/>
          <w:b/>
          <w:color w:val="auto"/>
          <w:sz w:val="24"/>
          <w:szCs w:val="24"/>
          <w:highlight w:val="none"/>
        </w:rPr>
        <w:t>附件1</w:t>
      </w:r>
      <w:bookmarkEnd w:id="121"/>
      <w:bookmarkEnd w:id="122"/>
    </w:p>
    <w:p w14:paraId="71D1E49E">
      <w:pPr>
        <w:shd w:val="clear" w:color="auto"/>
        <w:spacing w:line="500" w:lineRule="exact"/>
        <w:ind w:right="420"/>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磋商响应书</w:t>
      </w:r>
    </w:p>
    <w:p w14:paraId="0DECD2A0">
      <w:pPr>
        <w:shd w:val="clear" w:color="auto"/>
        <w:spacing w:line="440" w:lineRule="exact"/>
        <w:ind w:right="420"/>
        <w:jc w:val="left"/>
        <w:rPr>
          <w:rFonts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致（</w:t>
      </w:r>
      <w:r>
        <w:rPr>
          <w:rFonts w:hint="eastAsia" w:asciiTheme="minorEastAsia" w:hAnsiTheme="minorEastAsia" w:eastAsiaTheme="minorEastAsia" w:cstheme="minorEastAsia"/>
          <w:color w:val="auto"/>
          <w:sz w:val="24"/>
          <w:szCs w:val="24"/>
          <w:highlight w:val="none"/>
          <w:u w:val="single"/>
        </w:rPr>
        <w:t>采购人名称</w:t>
      </w:r>
      <w:r>
        <w:rPr>
          <w:rFonts w:hint="eastAsia" w:asciiTheme="minorEastAsia" w:hAnsiTheme="minorEastAsia" w:eastAsiaTheme="minorEastAsia" w:cstheme="minorEastAsia"/>
          <w:color w:val="auto"/>
          <w:sz w:val="24"/>
          <w:szCs w:val="24"/>
          <w:highlight w:val="none"/>
        </w:rPr>
        <w:t>）：</w:t>
      </w:r>
    </w:p>
    <w:p w14:paraId="0E43D78E">
      <w:pPr>
        <w:shd w:val="clear" w:color="auto"/>
        <w:spacing w:line="440" w:lineRule="exact"/>
        <w:ind w:left="1" w:firstLine="489" w:firstLineChars="204"/>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我方收到并研究了贵方</w:t>
      </w:r>
      <w:r>
        <w:rPr>
          <w:rFonts w:hint="eastAsia" w:asciiTheme="minorEastAsia" w:hAnsiTheme="minorEastAsia" w:eastAsiaTheme="minorEastAsia" w:cstheme="minorEastAsia"/>
          <w:color w:val="auto"/>
          <w:sz w:val="24"/>
          <w:szCs w:val="24"/>
          <w:highlight w:val="none"/>
          <w:u w:val="single"/>
        </w:rPr>
        <w:t xml:space="preserve">   （项目名称、采购项目编号）</w:t>
      </w:r>
      <w:r>
        <w:rPr>
          <w:rFonts w:hint="eastAsia" w:asciiTheme="minorEastAsia" w:hAnsiTheme="minorEastAsia" w:eastAsiaTheme="minorEastAsia" w:cstheme="minorEastAsia"/>
          <w:color w:val="auto"/>
          <w:sz w:val="24"/>
          <w:szCs w:val="24"/>
          <w:highlight w:val="none"/>
        </w:rPr>
        <w:t>项目的磋商文件，愿意按照磋商文件规定的内容承担该项目的投标任务，严格执行我方所承诺的责任和义务。为此，我方郑重声明以下诸点，并负法律责任。</w:t>
      </w:r>
    </w:p>
    <w:p w14:paraId="294E41DC">
      <w:pPr>
        <w:shd w:val="clear" w:color="auto"/>
        <w:spacing w:line="440" w:lineRule="exact"/>
        <w:ind w:left="1" w:firstLine="489" w:firstLineChars="204"/>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1、我方提交磋商响应文件，我方愿按《中华人民共和国政府采购法》及其他有关法律、法规的规定，自觉履行自己的全部责任。</w:t>
      </w:r>
    </w:p>
    <w:p w14:paraId="11FA2B3E">
      <w:pPr>
        <w:shd w:val="clear" w:color="auto"/>
        <w:spacing w:line="44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2、我方同意在磋商有效期内遵守本磋商响应文件，在此期限期满前的任何时间，本磋商响应文件一直对我们具有约束力；</w:t>
      </w:r>
    </w:p>
    <w:p w14:paraId="30A56761">
      <w:pPr>
        <w:shd w:val="clear" w:color="auto"/>
        <w:spacing w:line="440" w:lineRule="exact"/>
        <w:ind w:right="420"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3、如果我方磋商响应文件被接受，我方将按照磋商文件的规定，我方保证将按招标要求和磋商响应文件中的承诺按期、按质、按量交付使用方；</w:t>
      </w:r>
    </w:p>
    <w:p w14:paraId="0A5DBA83">
      <w:pPr>
        <w:shd w:val="clear" w:color="auto"/>
        <w:spacing w:line="440" w:lineRule="exact"/>
        <w:ind w:right="420"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4、如果我方中标，我方将在磋商文件规定的时间内签订委托合同并按招标要求提供履约担保。如果我方违约，除磋商保证金不予退还外，贵方有权终止我方中标并选择其它成交供应商。</w:t>
      </w:r>
    </w:p>
    <w:p w14:paraId="4071E460">
      <w:pPr>
        <w:shd w:val="clear" w:color="auto"/>
        <w:spacing w:line="440" w:lineRule="exact"/>
        <w:ind w:right="420"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如果我方中标，我方将在磋商文件规定的时间内签订合同。如果我方违约，借故拒签合同或拖延签订的，则采购人将废除授标，磋商保证金不予退还，给采购人造成的损失超过投保证金保数额的，还应当对超过部分予以赔偿，同时依法承担相应法律责任，采购人可另行选择成交供应商。</w:t>
      </w:r>
    </w:p>
    <w:p w14:paraId="43F1A935">
      <w:pPr>
        <w:shd w:val="clear" w:color="auto"/>
        <w:spacing w:line="440" w:lineRule="exact"/>
        <w:ind w:right="420"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6、一旦我方中标，我方愿意按招标要求承担政府采购代理服务费。</w:t>
      </w:r>
    </w:p>
    <w:p w14:paraId="2DBFF891">
      <w:pPr>
        <w:shd w:val="clear" w:color="auto"/>
        <w:spacing w:line="440" w:lineRule="exact"/>
        <w:ind w:right="420"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7、贵方的中标通知书和本磋商响应文件将构成约束双方的合同。</w:t>
      </w:r>
    </w:p>
    <w:p w14:paraId="1289E083">
      <w:pPr>
        <w:shd w:val="clear" w:color="auto"/>
        <w:spacing w:line="440" w:lineRule="exact"/>
        <w:ind w:right="420"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8、如果我方未中标，贵方没有必要对我方做出任何解释和说明，我方将充分尊重和理解贵方的选择。</w:t>
      </w:r>
    </w:p>
    <w:p w14:paraId="14F5C759">
      <w:pPr>
        <w:shd w:val="clear" w:color="auto"/>
        <w:spacing w:line="440" w:lineRule="exact"/>
        <w:ind w:right="420" w:firstLine="48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9、我方的磋商响应文件自提交磋商响应文件截止之日起有效期</w:t>
      </w:r>
      <w:r>
        <w:rPr>
          <w:rFonts w:hint="eastAsia" w:asciiTheme="minorEastAsia" w:hAnsiTheme="minorEastAsia" w:eastAsiaTheme="minorEastAsia" w:cstheme="minorEastAsia"/>
          <w:color w:val="auto"/>
          <w:sz w:val="24"/>
          <w:szCs w:val="24"/>
          <w:highlight w:val="none"/>
          <w:u w:val="single"/>
        </w:rPr>
        <w:t xml:space="preserve"> 90  </w:t>
      </w:r>
      <w:r>
        <w:rPr>
          <w:rFonts w:hint="eastAsia" w:asciiTheme="minorEastAsia" w:hAnsiTheme="minorEastAsia" w:eastAsiaTheme="minorEastAsia" w:cstheme="minorEastAsia"/>
          <w:color w:val="auto"/>
          <w:sz w:val="24"/>
          <w:szCs w:val="24"/>
          <w:highlight w:val="none"/>
        </w:rPr>
        <w:t>天。</w:t>
      </w:r>
    </w:p>
    <w:p w14:paraId="427FBFE2">
      <w:pPr>
        <w:shd w:val="clear" w:color="auto"/>
        <w:spacing w:line="440" w:lineRule="exact"/>
        <w:ind w:right="420" w:firstLine="480"/>
        <w:jc w:val="left"/>
        <w:rPr>
          <w:rFonts w:asciiTheme="minorEastAsia" w:hAnsiTheme="minorEastAsia" w:eastAsiaTheme="minorEastAsia" w:cstheme="minorEastAsia"/>
          <w:color w:val="auto"/>
          <w:sz w:val="24"/>
          <w:szCs w:val="24"/>
          <w:highlight w:val="none"/>
        </w:rPr>
      </w:pPr>
    </w:p>
    <w:p w14:paraId="381C4566">
      <w:pPr>
        <w:pStyle w:val="100"/>
        <w:shd w:val="clear" w:color="auto"/>
        <w:snapToGrid w:val="0"/>
        <w:spacing w:line="440" w:lineRule="exac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供应商（盖公章）：</w:t>
      </w:r>
    </w:p>
    <w:p w14:paraId="3DD6632A">
      <w:pPr>
        <w:shd w:val="clear" w:color="auto"/>
        <w:spacing w:line="440" w:lineRule="exac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法定代表人（签字或盖章）：</w:t>
      </w:r>
    </w:p>
    <w:p w14:paraId="23A67A1B">
      <w:pPr>
        <w:shd w:val="clear" w:color="auto"/>
        <w:adjustRightInd w:val="0"/>
        <w:snapToGrid w:val="0"/>
        <w:spacing w:line="440" w:lineRule="exact"/>
        <w:ind w:right="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日期：  年  月   日</w:t>
      </w:r>
    </w:p>
    <w:p w14:paraId="35C97E96">
      <w:pPr>
        <w:shd w:val="clear" w:color="auto"/>
        <w:spacing w:line="360" w:lineRule="exact"/>
        <w:ind w:right="420"/>
        <w:jc w:val="left"/>
        <w:outlineLvl w:val="0"/>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br w:type="page"/>
      </w:r>
      <w:bookmarkStart w:id="123" w:name="_Toc18033"/>
      <w:bookmarkStart w:id="124" w:name="_Toc10540"/>
      <w:r>
        <w:rPr>
          <w:rFonts w:hint="eastAsia" w:asciiTheme="minorEastAsia" w:hAnsiTheme="minorEastAsia" w:eastAsiaTheme="minorEastAsia" w:cstheme="minorEastAsia"/>
          <w:b/>
          <w:color w:val="auto"/>
          <w:sz w:val="24"/>
          <w:szCs w:val="24"/>
          <w:highlight w:val="none"/>
        </w:rPr>
        <w:t>附件</w:t>
      </w:r>
      <w:bookmarkEnd w:id="123"/>
      <w:bookmarkEnd w:id="124"/>
      <w:r>
        <w:rPr>
          <w:rFonts w:hint="eastAsia" w:asciiTheme="minorEastAsia" w:hAnsiTheme="minorEastAsia" w:eastAsiaTheme="minorEastAsia" w:cstheme="minorEastAsia"/>
          <w:b/>
          <w:color w:val="auto"/>
          <w:sz w:val="24"/>
          <w:szCs w:val="24"/>
          <w:highlight w:val="none"/>
        </w:rPr>
        <w:t>2-1</w:t>
      </w:r>
    </w:p>
    <w:p w14:paraId="0F9E4414">
      <w:pPr>
        <w:shd w:val="clear" w:color="auto"/>
        <w:spacing w:line="500" w:lineRule="exact"/>
        <w:ind w:right="420"/>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开标一览表</w:t>
      </w:r>
    </w:p>
    <w:tbl>
      <w:tblPr>
        <w:tblStyle w:val="28"/>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701"/>
        <w:gridCol w:w="2542"/>
        <w:gridCol w:w="1236"/>
        <w:gridCol w:w="1724"/>
      </w:tblGrid>
      <w:tr w14:paraId="27FDE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355" w:type="dxa"/>
            <w:vAlign w:val="center"/>
          </w:tcPr>
          <w:p w14:paraId="02F25AA6">
            <w:pPr>
              <w:shd w:val="clear"/>
              <w:spacing w:line="500" w:lineRule="exact"/>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1701" w:type="dxa"/>
            <w:vAlign w:val="center"/>
          </w:tcPr>
          <w:p w14:paraId="3B29300C">
            <w:pPr>
              <w:shd w:val="clear"/>
              <w:spacing w:line="500" w:lineRule="exact"/>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p>
        </w:tc>
        <w:tc>
          <w:tcPr>
            <w:tcW w:w="2542" w:type="dxa"/>
            <w:vAlign w:val="center"/>
          </w:tcPr>
          <w:p w14:paraId="0A1FBFA0">
            <w:pPr>
              <w:shd w:val="clear"/>
              <w:spacing w:line="500" w:lineRule="exact"/>
              <w:rPr>
                <w:rFonts w:asciiTheme="minorEastAsia" w:hAnsiTheme="minorEastAsia" w:eastAsiaTheme="minorEastAsia" w:cstheme="minorEastAsia"/>
                <w:color w:val="auto"/>
                <w:sz w:val="24"/>
                <w:szCs w:val="24"/>
                <w:highlight w:val="none"/>
              </w:rPr>
            </w:pPr>
          </w:p>
        </w:tc>
        <w:tc>
          <w:tcPr>
            <w:tcW w:w="1236" w:type="dxa"/>
            <w:vAlign w:val="center"/>
          </w:tcPr>
          <w:p w14:paraId="5D731842">
            <w:pPr>
              <w:shd w:val="clear"/>
              <w:spacing w:line="500" w:lineRule="exac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项目编号</w:t>
            </w:r>
          </w:p>
        </w:tc>
        <w:tc>
          <w:tcPr>
            <w:tcW w:w="1724" w:type="dxa"/>
            <w:vAlign w:val="center"/>
          </w:tcPr>
          <w:p w14:paraId="76A9FE13">
            <w:pPr>
              <w:shd w:val="clear"/>
              <w:spacing w:line="500" w:lineRule="exact"/>
              <w:rPr>
                <w:rFonts w:asciiTheme="minorEastAsia" w:hAnsiTheme="minorEastAsia" w:eastAsiaTheme="minorEastAsia" w:cstheme="minorEastAsia"/>
                <w:color w:val="auto"/>
                <w:sz w:val="24"/>
                <w:szCs w:val="24"/>
                <w:highlight w:val="none"/>
              </w:rPr>
            </w:pPr>
          </w:p>
        </w:tc>
      </w:tr>
      <w:tr w14:paraId="39508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355" w:type="dxa"/>
            <w:vAlign w:val="center"/>
          </w:tcPr>
          <w:p w14:paraId="6E5FE47B">
            <w:pPr>
              <w:shd w:val="clear"/>
              <w:spacing w:line="500" w:lineRule="exact"/>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701" w:type="dxa"/>
            <w:vAlign w:val="center"/>
          </w:tcPr>
          <w:p w14:paraId="1145F1D2">
            <w:pPr>
              <w:shd w:val="clear"/>
              <w:spacing w:line="500" w:lineRule="exact"/>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投标报价</w:t>
            </w:r>
          </w:p>
        </w:tc>
        <w:tc>
          <w:tcPr>
            <w:tcW w:w="5502" w:type="dxa"/>
            <w:gridSpan w:val="3"/>
            <w:vAlign w:val="center"/>
          </w:tcPr>
          <w:p w14:paraId="20F1B086">
            <w:pPr>
              <w:shd w:val="clear" w:color="auto"/>
              <w:spacing w:line="500" w:lineRule="exac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小写：</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（元）</w:t>
            </w:r>
          </w:p>
          <w:p w14:paraId="64D57985">
            <w:pPr>
              <w:shd w:val="clear"/>
              <w:spacing w:line="500" w:lineRule="exac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大写：</w:t>
            </w:r>
            <w:r>
              <w:rPr>
                <w:rFonts w:hint="eastAsia" w:asciiTheme="minorEastAsia" w:hAnsiTheme="minorEastAsia" w:eastAsiaTheme="minorEastAsia" w:cstheme="minorEastAsia"/>
                <w:color w:val="auto"/>
                <w:sz w:val="24"/>
                <w:szCs w:val="24"/>
                <w:highlight w:val="none"/>
                <w:u w:val="single"/>
              </w:rPr>
              <w:t xml:space="preserve">  </w:t>
            </w:r>
          </w:p>
        </w:tc>
      </w:tr>
      <w:tr w14:paraId="3D91A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355" w:type="dxa"/>
            <w:vAlign w:val="center"/>
          </w:tcPr>
          <w:p w14:paraId="7C9BAA81">
            <w:pPr>
              <w:shd w:val="clear"/>
              <w:spacing w:line="500" w:lineRule="exact"/>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701" w:type="dxa"/>
            <w:vAlign w:val="center"/>
          </w:tcPr>
          <w:p w14:paraId="1C95A3FF">
            <w:pPr>
              <w:shd w:val="clear"/>
              <w:spacing w:line="50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供货期</w:t>
            </w:r>
          </w:p>
        </w:tc>
        <w:tc>
          <w:tcPr>
            <w:tcW w:w="5502" w:type="dxa"/>
            <w:gridSpan w:val="3"/>
            <w:vAlign w:val="center"/>
          </w:tcPr>
          <w:p w14:paraId="2078DD91">
            <w:pPr>
              <w:shd w:val="clear"/>
              <w:spacing w:line="500" w:lineRule="exact"/>
              <w:jc w:val="left"/>
              <w:rPr>
                <w:rFonts w:asciiTheme="minorEastAsia" w:hAnsiTheme="minorEastAsia" w:eastAsiaTheme="minorEastAsia" w:cstheme="minorEastAsia"/>
                <w:color w:val="auto"/>
                <w:sz w:val="24"/>
                <w:szCs w:val="24"/>
                <w:highlight w:val="none"/>
              </w:rPr>
            </w:pPr>
          </w:p>
        </w:tc>
      </w:tr>
      <w:tr w14:paraId="72D27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355" w:type="dxa"/>
            <w:vAlign w:val="center"/>
          </w:tcPr>
          <w:p w14:paraId="3D0724E0">
            <w:pPr>
              <w:shd w:val="clear"/>
              <w:spacing w:line="500" w:lineRule="exact"/>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1701" w:type="dxa"/>
            <w:vAlign w:val="center"/>
          </w:tcPr>
          <w:p w14:paraId="36E539C9">
            <w:pPr>
              <w:shd w:val="clear"/>
              <w:spacing w:line="50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质保期</w:t>
            </w:r>
          </w:p>
        </w:tc>
        <w:tc>
          <w:tcPr>
            <w:tcW w:w="5502" w:type="dxa"/>
            <w:gridSpan w:val="3"/>
            <w:vAlign w:val="center"/>
          </w:tcPr>
          <w:p w14:paraId="22C86F29">
            <w:pPr>
              <w:shd w:val="clear"/>
              <w:spacing w:line="500" w:lineRule="exact"/>
              <w:jc w:val="left"/>
              <w:rPr>
                <w:rFonts w:asciiTheme="minorEastAsia" w:hAnsiTheme="minorEastAsia" w:eastAsiaTheme="minorEastAsia" w:cstheme="minorEastAsia"/>
                <w:color w:val="auto"/>
                <w:sz w:val="24"/>
                <w:szCs w:val="24"/>
                <w:highlight w:val="none"/>
              </w:rPr>
            </w:pPr>
          </w:p>
        </w:tc>
      </w:tr>
      <w:tr w14:paraId="7AF39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355" w:type="dxa"/>
            <w:shd w:val="clear" w:color="auto" w:fill="auto"/>
            <w:vAlign w:val="center"/>
          </w:tcPr>
          <w:p w14:paraId="722F97FA">
            <w:pPr>
              <w:shd w:val="clear"/>
              <w:spacing w:line="500" w:lineRule="exact"/>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4</w:t>
            </w:r>
          </w:p>
        </w:tc>
        <w:tc>
          <w:tcPr>
            <w:tcW w:w="1701" w:type="dxa"/>
            <w:vAlign w:val="center"/>
          </w:tcPr>
          <w:p w14:paraId="4DA220D6">
            <w:pPr>
              <w:shd w:val="clear"/>
              <w:spacing w:line="500" w:lineRule="exact"/>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供货地点</w:t>
            </w:r>
          </w:p>
        </w:tc>
        <w:tc>
          <w:tcPr>
            <w:tcW w:w="5502" w:type="dxa"/>
            <w:gridSpan w:val="3"/>
            <w:vAlign w:val="center"/>
          </w:tcPr>
          <w:p w14:paraId="6D941CC8">
            <w:pPr>
              <w:shd w:val="clear"/>
              <w:spacing w:line="500" w:lineRule="exact"/>
              <w:jc w:val="left"/>
              <w:rPr>
                <w:rFonts w:asciiTheme="minorEastAsia" w:hAnsiTheme="minorEastAsia" w:eastAsiaTheme="minorEastAsia" w:cstheme="minorEastAsia"/>
                <w:color w:val="auto"/>
                <w:sz w:val="24"/>
                <w:szCs w:val="24"/>
                <w:highlight w:val="none"/>
              </w:rPr>
            </w:pPr>
          </w:p>
        </w:tc>
      </w:tr>
      <w:tr w14:paraId="25DEC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355" w:type="dxa"/>
            <w:vAlign w:val="center"/>
          </w:tcPr>
          <w:p w14:paraId="111B6303">
            <w:pPr>
              <w:shd w:val="clear"/>
              <w:spacing w:line="5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1701" w:type="dxa"/>
            <w:vAlign w:val="center"/>
          </w:tcPr>
          <w:p w14:paraId="3F08540F">
            <w:pPr>
              <w:shd w:val="clear"/>
              <w:spacing w:line="500" w:lineRule="exact"/>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磋商有效期</w:t>
            </w:r>
          </w:p>
        </w:tc>
        <w:tc>
          <w:tcPr>
            <w:tcW w:w="5502" w:type="dxa"/>
            <w:gridSpan w:val="3"/>
            <w:vAlign w:val="center"/>
          </w:tcPr>
          <w:p w14:paraId="01F69618">
            <w:pPr>
              <w:shd w:val="clear"/>
              <w:spacing w:line="500" w:lineRule="exact"/>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磋商响应文件截止之日起90天</w:t>
            </w:r>
          </w:p>
        </w:tc>
      </w:tr>
      <w:tr w14:paraId="072C9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3056" w:type="dxa"/>
            <w:gridSpan w:val="2"/>
            <w:vAlign w:val="center"/>
          </w:tcPr>
          <w:p w14:paraId="2918D026">
            <w:pPr>
              <w:pStyle w:val="16"/>
              <w:shd w:val="clear"/>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w:t>
            </w:r>
          </w:p>
        </w:tc>
        <w:tc>
          <w:tcPr>
            <w:tcW w:w="5502" w:type="dxa"/>
            <w:gridSpan w:val="3"/>
            <w:vAlign w:val="center"/>
          </w:tcPr>
          <w:p w14:paraId="65A6CBFF">
            <w:pPr>
              <w:pStyle w:val="16"/>
              <w:shd w:val="clear"/>
              <w:spacing w:line="360" w:lineRule="auto"/>
              <w:jc w:val="center"/>
              <w:rPr>
                <w:rFonts w:asciiTheme="minorEastAsia" w:hAnsiTheme="minorEastAsia" w:eastAsiaTheme="minorEastAsia" w:cstheme="minorEastAsia"/>
                <w:color w:val="auto"/>
                <w:sz w:val="24"/>
                <w:szCs w:val="24"/>
                <w:highlight w:val="none"/>
              </w:rPr>
            </w:pPr>
          </w:p>
        </w:tc>
      </w:tr>
    </w:tbl>
    <w:p w14:paraId="080A0FE3">
      <w:pPr>
        <w:shd w:val="clear" w:color="auto"/>
        <w:tabs>
          <w:tab w:val="left" w:pos="3780"/>
        </w:tabs>
        <w:spacing w:line="500" w:lineRule="exact"/>
        <w:ind w:firstLine="480" w:firstLineChars="200"/>
        <w:rPr>
          <w:rFonts w:asciiTheme="minorEastAsia" w:hAnsiTheme="minorEastAsia" w:eastAsiaTheme="minorEastAsia" w:cstheme="minorEastAsia"/>
          <w:color w:val="auto"/>
          <w:sz w:val="24"/>
          <w:szCs w:val="24"/>
          <w:highlight w:val="none"/>
        </w:rPr>
      </w:pPr>
    </w:p>
    <w:p w14:paraId="290B7162">
      <w:pPr>
        <w:shd w:val="clear" w:color="auto"/>
        <w:tabs>
          <w:tab w:val="left" w:pos="3780"/>
        </w:tabs>
        <w:spacing w:line="5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供应商（盖公章）：</w:t>
      </w:r>
    </w:p>
    <w:p w14:paraId="219A3DC4">
      <w:pPr>
        <w:shd w:val="clear" w:color="auto"/>
        <w:tabs>
          <w:tab w:val="left" w:pos="3780"/>
        </w:tabs>
        <w:spacing w:line="5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法定代表人（签字或盖章）：</w:t>
      </w:r>
    </w:p>
    <w:p w14:paraId="3B392AF2">
      <w:pPr>
        <w:shd w:val="clear" w:color="auto"/>
        <w:tabs>
          <w:tab w:val="left" w:pos="3780"/>
        </w:tabs>
        <w:spacing w:line="50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日期： 年  月  日</w:t>
      </w:r>
    </w:p>
    <w:p w14:paraId="57FE0D19">
      <w:pPr>
        <w:shd w:val="clear" w:color="auto"/>
        <w:tabs>
          <w:tab w:val="left" w:pos="3780"/>
        </w:tabs>
        <w:spacing w:line="500" w:lineRule="exact"/>
        <w:ind w:firstLine="5400" w:firstLineChars="2250"/>
        <w:rPr>
          <w:rFonts w:asciiTheme="minorEastAsia" w:hAnsiTheme="minorEastAsia" w:eastAsiaTheme="minorEastAsia" w:cstheme="minorEastAsia"/>
          <w:color w:val="auto"/>
          <w:sz w:val="24"/>
          <w:szCs w:val="24"/>
          <w:highlight w:val="none"/>
        </w:rPr>
      </w:pPr>
    </w:p>
    <w:p w14:paraId="088ACF5B">
      <w:pPr>
        <w:shd w:val="clear" w:color="auto"/>
        <w:spacing w:line="500" w:lineRule="exact"/>
        <w:ind w:firstLine="489" w:firstLineChars="204"/>
        <w:outlineLvl w:val="0"/>
        <w:rPr>
          <w:rFonts w:asciiTheme="minorEastAsia" w:hAnsiTheme="minorEastAsia" w:eastAsiaTheme="minorEastAsia" w:cstheme="minorEastAsia"/>
          <w:color w:val="auto"/>
          <w:sz w:val="24"/>
          <w:szCs w:val="24"/>
          <w:highlight w:val="none"/>
        </w:rPr>
      </w:pPr>
      <w:bookmarkStart w:id="125" w:name="_Toc15420"/>
      <w:bookmarkStart w:id="126" w:name="_Toc4411"/>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供货期</w:t>
      </w:r>
      <w:r>
        <w:rPr>
          <w:rFonts w:hint="eastAsia" w:asciiTheme="minorEastAsia" w:hAnsiTheme="minorEastAsia" w:eastAsiaTheme="minorEastAsia" w:cstheme="minorEastAsia"/>
          <w:color w:val="auto"/>
          <w:sz w:val="24"/>
          <w:szCs w:val="24"/>
          <w:highlight w:val="none"/>
        </w:rPr>
        <w:t>”指合同生效之日起，多少天内完成合同规定的全部工作内容；</w:t>
      </w:r>
      <w:bookmarkEnd w:id="125"/>
      <w:bookmarkEnd w:id="126"/>
    </w:p>
    <w:p w14:paraId="55BF5D64">
      <w:pPr>
        <w:shd w:val="clear" w:color="auto"/>
        <w:spacing w:line="500" w:lineRule="exact"/>
        <w:ind w:firstLine="489" w:firstLineChars="204"/>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2、供应商如果需要对竞标报价或其它内容加以说明，可在备注中填写。</w:t>
      </w:r>
    </w:p>
    <w:p w14:paraId="0720C18C">
      <w:pPr>
        <w:shd w:val="clear" w:color="auto"/>
        <w:adjustRightInd w:val="0"/>
        <w:snapToGrid w:val="0"/>
        <w:spacing w:line="500" w:lineRule="exact"/>
        <w:ind w:right="480"/>
        <w:rPr>
          <w:rFonts w:asciiTheme="minorEastAsia" w:hAnsiTheme="minorEastAsia" w:eastAsiaTheme="minorEastAsia" w:cstheme="minorEastAsia"/>
          <w:color w:val="auto"/>
          <w:sz w:val="24"/>
          <w:szCs w:val="24"/>
          <w:highlight w:val="none"/>
        </w:rPr>
      </w:pPr>
    </w:p>
    <w:p w14:paraId="4A5B2239">
      <w:pPr>
        <w:pageBreakBefore/>
        <w:shd w:val="clear"/>
        <w:spacing w:line="440" w:lineRule="exact"/>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附件2-2</w:t>
      </w:r>
    </w:p>
    <w:p w14:paraId="570FA4C9">
      <w:pPr>
        <w:shd w:val="clear" w:color="auto"/>
        <w:spacing w:line="500" w:lineRule="exact"/>
        <w:ind w:right="420"/>
        <w:jc w:val="center"/>
        <w:rPr>
          <w:rFonts w:hint="default"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报价明细表</w:t>
      </w:r>
    </w:p>
    <w:p w14:paraId="5B536D01">
      <w:pPr>
        <w:shd w:val="clear"/>
        <w:tabs>
          <w:tab w:val="left" w:pos="5100"/>
        </w:tabs>
        <w:spacing w:line="440" w:lineRule="exact"/>
        <w:ind w:firstLine="352" w:firstLineChars="147"/>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sz w:val="24"/>
          <w:szCs w:val="24"/>
          <w:highlight w:val="none"/>
        </w:rPr>
        <w:t xml:space="preserve">项目名称：               </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bCs/>
          <w:color w:val="auto"/>
          <w:sz w:val="24"/>
          <w:szCs w:val="24"/>
          <w:highlight w:val="none"/>
        </w:rPr>
        <w:t xml:space="preserve"> 项目编号：</w:t>
      </w:r>
    </w:p>
    <w:tbl>
      <w:tblPr>
        <w:tblStyle w:val="28"/>
        <w:tblW w:w="9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2320"/>
        <w:gridCol w:w="2865"/>
        <w:gridCol w:w="840"/>
        <w:gridCol w:w="930"/>
        <w:gridCol w:w="1080"/>
        <w:gridCol w:w="1117"/>
      </w:tblGrid>
      <w:tr w14:paraId="3511C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14:paraId="11031250">
            <w:pPr>
              <w:shd w:val="clear"/>
              <w:spacing w:line="440" w:lineRule="exact"/>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2320" w:type="dxa"/>
            <w:vAlign w:val="center"/>
          </w:tcPr>
          <w:p w14:paraId="2F51B8B1">
            <w:pPr>
              <w:shd w:val="clear"/>
              <w:spacing w:line="44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设备名称</w:t>
            </w:r>
          </w:p>
          <w:p w14:paraId="25FCE257">
            <w:pPr>
              <w:shd w:val="clear"/>
              <w:spacing w:line="440" w:lineRule="exact"/>
              <w:jc w:val="center"/>
              <w:rPr>
                <w:rFonts w:hint="eastAsia" w:eastAsiaTheme="minorEastAsia"/>
                <w:color w:val="auto"/>
                <w:highlight w:val="none"/>
                <w:lang w:eastAsia="zh-CN"/>
              </w:rPr>
            </w:pPr>
            <w:r>
              <w:rPr>
                <w:rFonts w:hint="eastAsia" w:asciiTheme="minorEastAsia" w:hAnsiTheme="minorEastAsia" w:eastAsiaTheme="minorEastAsia" w:cstheme="minorEastAsia"/>
                <w:color w:val="auto"/>
                <w:sz w:val="24"/>
                <w:szCs w:val="24"/>
                <w:highlight w:val="none"/>
                <w:lang w:val="en-US" w:eastAsia="zh-CN"/>
              </w:rPr>
              <w:t>（软件平台名称）</w:t>
            </w:r>
          </w:p>
        </w:tc>
        <w:tc>
          <w:tcPr>
            <w:tcW w:w="2865" w:type="dxa"/>
            <w:vAlign w:val="center"/>
          </w:tcPr>
          <w:p w14:paraId="67ED9DB6">
            <w:pPr>
              <w:shd w:val="clea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厂家（规格/型号</w:t>
            </w:r>
          </w:p>
          <w:p w14:paraId="103872A2">
            <w:pPr>
              <w:shd w:val="clea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及技术参数）</w:t>
            </w:r>
          </w:p>
          <w:p w14:paraId="5C8AECE4">
            <w:pPr>
              <w:shd w:val="clear"/>
              <w:spacing w:line="44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（功能描述）</w:t>
            </w:r>
          </w:p>
        </w:tc>
        <w:tc>
          <w:tcPr>
            <w:tcW w:w="840" w:type="dxa"/>
            <w:vAlign w:val="center"/>
          </w:tcPr>
          <w:p w14:paraId="2BDA1AD2">
            <w:pPr>
              <w:shd w:val="clear"/>
              <w:spacing w:line="440" w:lineRule="exact"/>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单位</w:t>
            </w:r>
          </w:p>
        </w:tc>
        <w:tc>
          <w:tcPr>
            <w:tcW w:w="930" w:type="dxa"/>
            <w:vAlign w:val="center"/>
          </w:tcPr>
          <w:p w14:paraId="24B51603">
            <w:pPr>
              <w:shd w:val="clear"/>
              <w:spacing w:line="440" w:lineRule="exact"/>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数量</w:t>
            </w:r>
          </w:p>
        </w:tc>
        <w:tc>
          <w:tcPr>
            <w:tcW w:w="1080" w:type="dxa"/>
            <w:vAlign w:val="center"/>
          </w:tcPr>
          <w:p w14:paraId="3C192495">
            <w:pPr>
              <w:shd w:val="clear"/>
              <w:spacing w:line="440" w:lineRule="exact"/>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单价</w:t>
            </w:r>
          </w:p>
        </w:tc>
        <w:tc>
          <w:tcPr>
            <w:tcW w:w="1117" w:type="dxa"/>
            <w:vAlign w:val="center"/>
          </w:tcPr>
          <w:p w14:paraId="7C75FBB9">
            <w:pPr>
              <w:shd w:val="clear"/>
              <w:spacing w:line="440" w:lineRule="exact"/>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合</w:t>
            </w:r>
            <w:r>
              <w:rPr>
                <w:rFonts w:hint="eastAsia" w:asciiTheme="minorEastAsia" w:hAnsiTheme="minorEastAsia" w:eastAsiaTheme="minorEastAsia" w:cstheme="minorEastAsia"/>
                <w:color w:val="auto"/>
                <w:sz w:val="24"/>
                <w:szCs w:val="24"/>
                <w:highlight w:val="none"/>
              </w:rPr>
              <w:t>价</w:t>
            </w:r>
          </w:p>
        </w:tc>
      </w:tr>
      <w:tr w14:paraId="60334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14:paraId="272AAB54">
            <w:pPr>
              <w:shd w:val="clear"/>
              <w:spacing w:line="440" w:lineRule="exact"/>
              <w:jc w:val="center"/>
              <w:rPr>
                <w:rFonts w:hint="eastAsia" w:asciiTheme="minorEastAsia" w:hAnsiTheme="minorEastAsia" w:eastAsiaTheme="minorEastAsia" w:cstheme="minorEastAsia"/>
                <w:color w:val="auto"/>
                <w:sz w:val="24"/>
                <w:szCs w:val="24"/>
                <w:highlight w:val="none"/>
              </w:rPr>
            </w:pPr>
          </w:p>
        </w:tc>
        <w:tc>
          <w:tcPr>
            <w:tcW w:w="2320" w:type="dxa"/>
            <w:vAlign w:val="center"/>
          </w:tcPr>
          <w:p w14:paraId="6356CEB7">
            <w:pPr>
              <w:shd w:val="clear"/>
              <w:spacing w:line="440" w:lineRule="exact"/>
              <w:jc w:val="center"/>
              <w:rPr>
                <w:rFonts w:hint="eastAsia" w:asciiTheme="minorEastAsia" w:hAnsiTheme="minorEastAsia" w:eastAsiaTheme="minorEastAsia" w:cstheme="minorEastAsia"/>
                <w:color w:val="auto"/>
                <w:sz w:val="24"/>
                <w:szCs w:val="24"/>
                <w:highlight w:val="none"/>
                <w:lang w:val="en-US" w:eastAsia="zh-CN"/>
              </w:rPr>
            </w:pPr>
          </w:p>
        </w:tc>
        <w:tc>
          <w:tcPr>
            <w:tcW w:w="2865" w:type="dxa"/>
            <w:vAlign w:val="center"/>
          </w:tcPr>
          <w:p w14:paraId="5151222B">
            <w:pPr>
              <w:shd w:val="clear"/>
              <w:spacing w:line="440" w:lineRule="exact"/>
              <w:jc w:val="center"/>
              <w:rPr>
                <w:rFonts w:hint="eastAsia" w:asciiTheme="minorEastAsia" w:hAnsiTheme="minorEastAsia" w:eastAsiaTheme="minorEastAsia" w:cstheme="minorEastAsia"/>
                <w:color w:val="auto"/>
                <w:sz w:val="24"/>
                <w:szCs w:val="24"/>
                <w:highlight w:val="none"/>
              </w:rPr>
            </w:pPr>
          </w:p>
        </w:tc>
        <w:tc>
          <w:tcPr>
            <w:tcW w:w="840" w:type="dxa"/>
            <w:vAlign w:val="center"/>
          </w:tcPr>
          <w:p w14:paraId="70B4E626">
            <w:pPr>
              <w:shd w:val="clear"/>
              <w:spacing w:line="440" w:lineRule="exact"/>
              <w:jc w:val="center"/>
              <w:rPr>
                <w:rFonts w:hint="eastAsia" w:asciiTheme="minorEastAsia" w:hAnsiTheme="minorEastAsia" w:eastAsiaTheme="minorEastAsia" w:cstheme="minorEastAsia"/>
                <w:color w:val="auto"/>
                <w:sz w:val="24"/>
                <w:szCs w:val="24"/>
                <w:highlight w:val="none"/>
              </w:rPr>
            </w:pPr>
          </w:p>
        </w:tc>
        <w:tc>
          <w:tcPr>
            <w:tcW w:w="930" w:type="dxa"/>
            <w:vAlign w:val="center"/>
          </w:tcPr>
          <w:p w14:paraId="745AE22E">
            <w:pPr>
              <w:shd w:val="clear"/>
              <w:spacing w:line="440" w:lineRule="exact"/>
              <w:jc w:val="center"/>
              <w:rPr>
                <w:rFonts w:hint="eastAsia" w:asciiTheme="minorEastAsia" w:hAnsiTheme="minorEastAsia" w:eastAsiaTheme="minorEastAsia" w:cstheme="minorEastAsia"/>
                <w:color w:val="auto"/>
                <w:sz w:val="24"/>
                <w:szCs w:val="24"/>
                <w:highlight w:val="none"/>
              </w:rPr>
            </w:pPr>
          </w:p>
        </w:tc>
        <w:tc>
          <w:tcPr>
            <w:tcW w:w="1080" w:type="dxa"/>
            <w:vAlign w:val="center"/>
          </w:tcPr>
          <w:p w14:paraId="7E58F510">
            <w:pPr>
              <w:shd w:val="clear"/>
              <w:spacing w:line="440" w:lineRule="exact"/>
              <w:jc w:val="center"/>
              <w:rPr>
                <w:rFonts w:hint="eastAsia" w:asciiTheme="minorEastAsia" w:hAnsiTheme="minorEastAsia" w:eastAsiaTheme="minorEastAsia" w:cstheme="minorEastAsia"/>
                <w:color w:val="auto"/>
                <w:sz w:val="24"/>
                <w:szCs w:val="24"/>
                <w:highlight w:val="none"/>
              </w:rPr>
            </w:pPr>
          </w:p>
        </w:tc>
        <w:tc>
          <w:tcPr>
            <w:tcW w:w="1117" w:type="dxa"/>
            <w:vAlign w:val="center"/>
          </w:tcPr>
          <w:p w14:paraId="06E9BB05">
            <w:pPr>
              <w:shd w:val="clear"/>
              <w:spacing w:line="440" w:lineRule="exact"/>
              <w:jc w:val="center"/>
              <w:rPr>
                <w:rFonts w:hint="eastAsia" w:asciiTheme="minorEastAsia" w:hAnsiTheme="minorEastAsia" w:eastAsiaTheme="minorEastAsia" w:cstheme="minorEastAsia"/>
                <w:color w:val="auto"/>
                <w:sz w:val="24"/>
                <w:szCs w:val="24"/>
                <w:highlight w:val="none"/>
                <w:lang w:val="en-US" w:eastAsia="zh-CN"/>
              </w:rPr>
            </w:pPr>
          </w:p>
        </w:tc>
      </w:tr>
      <w:tr w14:paraId="4A6D0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14:paraId="6449F8F1">
            <w:pPr>
              <w:shd w:val="clear"/>
              <w:spacing w:line="440" w:lineRule="exact"/>
              <w:jc w:val="center"/>
              <w:rPr>
                <w:rFonts w:hint="eastAsia" w:asciiTheme="minorEastAsia" w:hAnsiTheme="minorEastAsia" w:eastAsiaTheme="minorEastAsia" w:cstheme="minorEastAsia"/>
                <w:color w:val="auto"/>
                <w:sz w:val="24"/>
                <w:szCs w:val="24"/>
                <w:highlight w:val="none"/>
              </w:rPr>
            </w:pPr>
          </w:p>
        </w:tc>
        <w:tc>
          <w:tcPr>
            <w:tcW w:w="2320" w:type="dxa"/>
            <w:vAlign w:val="center"/>
          </w:tcPr>
          <w:p w14:paraId="531C82EB">
            <w:pPr>
              <w:shd w:val="clear"/>
              <w:spacing w:line="440" w:lineRule="exact"/>
              <w:jc w:val="center"/>
              <w:rPr>
                <w:rFonts w:hint="eastAsia" w:asciiTheme="minorEastAsia" w:hAnsiTheme="minorEastAsia" w:eastAsiaTheme="minorEastAsia" w:cstheme="minorEastAsia"/>
                <w:color w:val="auto"/>
                <w:sz w:val="24"/>
                <w:szCs w:val="24"/>
                <w:highlight w:val="none"/>
                <w:lang w:val="en-US" w:eastAsia="zh-CN"/>
              </w:rPr>
            </w:pPr>
          </w:p>
        </w:tc>
        <w:tc>
          <w:tcPr>
            <w:tcW w:w="2865" w:type="dxa"/>
            <w:vAlign w:val="center"/>
          </w:tcPr>
          <w:p w14:paraId="6ADD7ABB">
            <w:pPr>
              <w:shd w:val="clear"/>
              <w:spacing w:line="440" w:lineRule="exact"/>
              <w:jc w:val="center"/>
              <w:rPr>
                <w:rFonts w:hint="eastAsia" w:asciiTheme="minorEastAsia" w:hAnsiTheme="minorEastAsia" w:eastAsiaTheme="minorEastAsia" w:cstheme="minorEastAsia"/>
                <w:color w:val="auto"/>
                <w:sz w:val="24"/>
                <w:szCs w:val="24"/>
                <w:highlight w:val="none"/>
              </w:rPr>
            </w:pPr>
          </w:p>
        </w:tc>
        <w:tc>
          <w:tcPr>
            <w:tcW w:w="840" w:type="dxa"/>
            <w:vAlign w:val="center"/>
          </w:tcPr>
          <w:p w14:paraId="794490A5">
            <w:pPr>
              <w:shd w:val="clear"/>
              <w:spacing w:line="440" w:lineRule="exact"/>
              <w:jc w:val="center"/>
              <w:rPr>
                <w:rFonts w:hint="eastAsia" w:asciiTheme="minorEastAsia" w:hAnsiTheme="minorEastAsia" w:eastAsiaTheme="minorEastAsia" w:cstheme="minorEastAsia"/>
                <w:color w:val="auto"/>
                <w:sz w:val="24"/>
                <w:szCs w:val="24"/>
                <w:highlight w:val="none"/>
              </w:rPr>
            </w:pPr>
          </w:p>
        </w:tc>
        <w:tc>
          <w:tcPr>
            <w:tcW w:w="930" w:type="dxa"/>
            <w:vAlign w:val="center"/>
          </w:tcPr>
          <w:p w14:paraId="1F07F964">
            <w:pPr>
              <w:shd w:val="clear"/>
              <w:spacing w:line="440" w:lineRule="exact"/>
              <w:jc w:val="center"/>
              <w:rPr>
                <w:rFonts w:hint="eastAsia" w:asciiTheme="minorEastAsia" w:hAnsiTheme="minorEastAsia" w:eastAsiaTheme="minorEastAsia" w:cstheme="minorEastAsia"/>
                <w:color w:val="auto"/>
                <w:sz w:val="24"/>
                <w:szCs w:val="24"/>
                <w:highlight w:val="none"/>
              </w:rPr>
            </w:pPr>
          </w:p>
        </w:tc>
        <w:tc>
          <w:tcPr>
            <w:tcW w:w="1080" w:type="dxa"/>
            <w:vAlign w:val="center"/>
          </w:tcPr>
          <w:p w14:paraId="461B8509">
            <w:pPr>
              <w:shd w:val="clear"/>
              <w:spacing w:line="440" w:lineRule="exact"/>
              <w:jc w:val="center"/>
              <w:rPr>
                <w:rFonts w:hint="eastAsia" w:asciiTheme="minorEastAsia" w:hAnsiTheme="minorEastAsia" w:eastAsiaTheme="minorEastAsia" w:cstheme="minorEastAsia"/>
                <w:color w:val="auto"/>
                <w:sz w:val="24"/>
                <w:szCs w:val="24"/>
                <w:highlight w:val="none"/>
              </w:rPr>
            </w:pPr>
          </w:p>
        </w:tc>
        <w:tc>
          <w:tcPr>
            <w:tcW w:w="1117" w:type="dxa"/>
            <w:vAlign w:val="center"/>
          </w:tcPr>
          <w:p w14:paraId="51D2144A">
            <w:pPr>
              <w:shd w:val="clear"/>
              <w:spacing w:line="440" w:lineRule="exact"/>
              <w:jc w:val="center"/>
              <w:rPr>
                <w:rFonts w:hint="eastAsia" w:asciiTheme="minorEastAsia" w:hAnsiTheme="minorEastAsia" w:eastAsiaTheme="minorEastAsia" w:cstheme="minorEastAsia"/>
                <w:color w:val="auto"/>
                <w:sz w:val="24"/>
                <w:szCs w:val="24"/>
                <w:highlight w:val="none"/>
                <w:lang w:val="en-US" w:eastAsia="zh-CN"/>
              </w:rPr>
            </w:pPr>
          </w:p>
        </w:tc>
      </w:tr>
      <w:tr w14:paraId="77E75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14:paraId="14F73394">
            <w:pPr>
              <w:shd w:val="clear"/>
              <w:spacing w:line="440" w:lineRule="exact"/>
              <w:jc w:val="center"/>
              <w:rPr>
                <w:rFonts w:hint="eastAsia" w:asciiTheme="minorEastAsia" w:hAnsiTheme="minorEastAsia" w:eastAsiaTheme="minorEastAsia" w:cstheme="minorEastAsia"/>
                <w:color w:val="auto"/>
                <w:sz w:val="24"/>
                <w:szCs w:val="24"/>
                <w:highlight w:val="none"/>
              </w:rPr>
            </w:pPr>
          </w:p>
        </w:tc>
        <w:tc>
          <w:tcPr>
            <w:tcW w:w="2320" w:type="dxa"/>
            <w:vAlign w:val="center"/>
          </w:tcPr>
          <w:p w14:paraId="3FDA1A23">
            <w:pPr>
              <w:shd w:val="clear"/>
              <w:spacing w:line="440" w:lineRule="exact"/>
              <w:jc w:val="center"/>
              <w:rPr>
                <w:rFonts w:hint="eastAsia" w:asciiTheme="minorEastAsia" w:hAnsiTheme="minorEastAsia" w:eastAsiaTheme="minorEastAsia" w:cstheme="minorEastAsia"/>
                <w:color w:val="auto"/>
                <w:sz w:val="24"/>
                <w:szCs w:val="24"/>
                <w:highlight w:val="none"/>
                <w:lang w:val="en-US" w:eastAsia="zh-CN"/>
              </w:rPr>
            </w:pPr>
          </w:p>
        </w:tc>
        <w:tc>
          <w:tcPr>
            <w:tcW w:w="2865" w:type="dxa"/>
            <w:vAlign w:val="center"/>
          </w:tcPr>
          <w:p w14:paraId="6FA63599">
            <w:pPr>
              <w:shd w:val="clear"/>
              <w:spacing w:line="440" w:lineRule="exact"/>
              <w:jc w:val="center"/>
              <w:rPr>
                <w:rFonts w:hint="eastAsia" w:asciiTheme="minorEastAsia" w:hAnsiTheme="minorEastAsia" w:eastAsiaTheme="minorEastAsia" w:cstheme="minorEastAsia"/>
                <w:color w:val="auto"/>
                <w:sz w:val="24"/>
                <w:szCs w:val="24"/>
                <w:highlight w:val="none"/>
              </w:rPr>
            </w:pPr>
          </w:p>
        </w:tc>
        <w:tc>
          <w:tcPr>
            <w:tcW w:w="840" w:type="dxa"/>
            <w:vAlign w:val="center"/>
          </w:tcPr>
          <w:p w14:paraId="20A6896C">
            <w:pPr>
              <w:shd w:val="clear"/>
              <w:spacing w:line="440" w:lineRule="exact"/>
              <w:jc w:val="center"/>
              <w:rPr>
                <w:rFonts w:hint="eastAsia" w:asciiTheme="minorEastAsia" w:hAnsiTheme="minorEastAsia" w:eastAsiaTheme="minorEastAsia" w:cstheme="minorEastAsia"/>
                <w:color w:val="auto"/>
                <w:sz w:val="24"/>
                <w:szCs w:val="24"/>
                <w:highlight w:val="none"/>
              </w:rPr>
            </w:pPr>
          </w:p>
        </w:tc>
        <w:tc>
          <w:tcPr>
            <w:tcW w:w="930" w:type="dxa"/>
            <w:vAlign w:val="center"/>
          </w:tcPr>
          <w:p w14:paraId="4738B73A">
            <w:pPr>
              <w:shd w:val="clear"/>
              <w:spacing w:line="440" w:lineRule="exact"/>
              <w:jc w:val="center"/>
              <w:rPr>
                <w:rFonts w:hint="eastAsia" w:asciiTheme="minorEastAsia" w:hAnsiTheme="minorEastAsia" w:eastAsiaTheme="minorEastAsia" w:cstheme="minorEastAsia"/>
                <w:color w:val="auto"/>
                <w:sz w:val="24"/>
                <w:szCs w:val="24"/>
                <w:highlight w:val="none"/>
              </w:rPr>
            </w:pPr>
          </w:p>
        </w:tc>
        <w:tc>
          <w:tcPr>
            <w:tcW w:w="1080" w:type="dxa"/>
            <w:vAlign w:val="center"/>
          </w:tcPr>
          <w:p w14:paraId="49C42730">
            <w:pPr>
              <w:shd w:val="clear"/>
              <w:spacing w:line="440" w:lineRule="exact"/>
              <w:jc w:val="center"/>
              <w:rPr>
                <w:rFonts w:hint="eastAsia" w:asciiTheme="minorEastAsia" w:hAnsiTheme="minorEastAsia" w:eastAsiaTheme="minorEastAsia" w:cstheme="minorEastAsia"/>
                <w:color w:val="auto"/>
                <w:sz w:val="24"/>
                <w:szCs w:val="24"/>
                <w:highlight w:val="none"/>
              </w:rPr>
            </w:pPr>
          </w:p>
        </w:tc>
        <w:tc>
          <w:tcPr>
            <w:tcW w:w="1117" w:type="dxa"/>
            <w:vAlign w:val="center"/>
          </w:tcPr>
          <w:p w14:paraId="31C22B1A">
            <w:pPr>
              <w:shd w:val="clear"/>
              <w:spacing w:line="440" w:lineRule="exact"/>
              <w:jc w:val="center"/>
              <w:rPr>
                <w:rFonts w:hint="eastAsia" w:asciiTheme="minorEastAsia" w:hAnsiTheme="minorEastAsia" w:eastAsiaTheme="minorEastAsia" w:cstheme="minorEastAsia"/>
                <w:color w:val="auto"/>
                <w:sz w:val="24"/>
                <w:szCs w:val="24"/>
                <w:highlight w:val="none"/>
                <w:lang w:val="en-US" w:eastAsia="zh-CN"/>
              </w:rPr>
            </w:pPr>
          </w:p>
        </w:tc>
      </w:tr>
      <w:tr w14:paraId="43F25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14:paraId="02B73649">
            <w:pPr>
              <w:shd w:val="clear"/>
              <w:spacing w:line="440" w:lineRule="exact"/>
              <w:jc w:val="center"/>
              <w:rPr>
                <w:rFonts w:hint="eastAsia" w:asciiTheme="minorEastAsia" w:hAnsiTheme="minorEastAsia" w:eastAsiaTheme="minorEastAsia" w:cstheme="minorEastAsia"/>
                <w:color w:val="auto"/>
                <w:sz w:val="24"/>
                <w:szCs w:val="24"/>
                <w:highlight w:val="none"/>
              </w:rPr>
            </w:pPr>
          </w:p>
        </w:tc>
        <w:tc>
          <w:tcPr>
            <w:tcW w:w="2320" w:type="dxa"/>
            <w:vAlign w:val="center"/>
          </w:tcPr>
          <w:p w14:paraId="7418C901">
            <w:pPr>
              <w:shd w:val="clear"/>
              <w:spacing w:line="440" w:lineRule="exact"/>
              <w:jc w:val="center"/>
              <w:rPr>
                <w:rFonts w:hint="eastAsia" w:asciiTheme="minorEastAsia" w:hAnsiTheme="minorEastAsia" w:eastAsiaTheme="minorEastAsia" w:cstheme="minorEastAsia"/>
                <w:color w:val="auto"/>
                <w:sz w:val="24"/>
                <w:szCs w:val="24"/>
                <w:highlight w:val="none"/>
                <w:lang w:val="en-US" w:eastAsia="zh-CN"/>
              </w:rPr>
            </w:pPr>
          </w:p>
        </w:tc>
        <w:tc>
          <w:tcPr>
            <w:tcW w:w="2865" w:type="dxa"/>
            <w:vAlign w:val="center"/>
          </w:tcPr>
          <w:p w14:paraId="26CA0802">
            <w:pPr>
              <w:shd w:val="clear"/>
              <w:spacing w:line="440" w:lineRule="exact"/>
              <w:jc w:val="center"/>
              <w:rPr>
                <w:rFonts w:hint="eastAsia" w:asciiTheme="minorEastAsia" w:hAnsiTheme="minorEastAsia" w:eastAsiaTheme="minorEastAsia" w:cstheme="minorEastAsia"/>
                <w:color w:val="auto"/>
                <w:sz w:val="24"/>
                <w:szCs w:val="24"/>
                <w:highlight w:val="none"/>
              </w:rPr>
            </w:pPr>
          </w:p>
        </w:tc>
        <w:tc>
          <w:tcPr>
            <w:tcW w:w="840" w:type="dxa"/>
            <w:vAlign w:val="center"/>
          </w:tcPr>
          <w:p w14:paraId="45635586">
            <w:pPr>
              <w:shd w:val="clear"/>
              <w:spacing w:line="440" w:lineRule="exact"/>
              <w:jc w:val="center"/>
              <w:rPr>
                <w:rFonts w:hint="eastAsia" w:asciiTheme="minorEastAsia" w:hAnsiTheme="minorEastAsia" w:eastAsiaTheme="minorEastAsia" w:cstheme="minorEastAsia"/>
                <w:color w:val="auto"/>
                <w:sz w:val="24"/>
                <w:szCs w:val="24"/>
                <w:highlight w:val="none"/>
              </w:rPr>
            </w:pPr>
          </w:p>
        </w:tc>
        <w:tc>
          <w:tcPr>
            <w:tcW w:w="930" w:type="dxa"/>
            <w:vAlign w:val="center"/>
          </w:tcPr>
          <w:p w14:paraId="7AD34EFB">
            <w:pPr>
              <w:shd w:val="clear"/>
              <w:spacing w:line="440" w:lineRule="exact"/>
              <w:jc w:val="center"/>
              <w:rPr>
                <w:rFonts w:hint="eastAsia" w:asciiTheme="minorEastAsia" w:hAnsiTheme="minorEastAsia" w:eastAsiaTheme="minorEastAsia" w:cstheme="minorEastAsia"/>
                <w:color w:val="auto"/>
                <w:sz w:val="24"/>
                <w:szCs w:val="24"/>
                <w:highlight w:val="none"/>
              </w:rPr>
            </w:pPr>
          </w:p>
        </w:tc>
        <w:tc>
          <w:tcPr>
            <w:tcW w:w="1080" w:type="dxa"/>
            <w:vAlign w:val="center"/>
          </w:tcPr>
          <w:p w14:paraId="1ECA321C">
            <w:pPr>
              <w:shd w:val="clear"/>
              <w:spacing w:line="440" w:lineRule="exact"/>
              <w:jc w:val="center"/>
              <w:rPr>
                <w:rFonts w:hint="eastAsia" w:asciiTheme="minorEastAsia" w:hAnsiTheme="minorEastAsia" w:eastAsiaTheme="minorEastAsia" w:cstheme="minorEastAsia"/>
                <w:color w:val="auto"/>
                <w:sz w:val="24"/>
                <w:szCs w:val="24"/>
                <w:highlight w:val="none"/>
              </w:rPr>
            </w:pPr>
          </w:p>
        </w:tc>
        <w:tc>
          <w:tcPr>
            <w:tcW w:w="1117" w:type="dxa"/>
            <w:vAlign w:val="center"/>
          </w:tcPr>
          <w:p w14:paraId="710721D7">
            <w:pPr>
              <w:shd w:val="clear"/>
              <w:spacing w:line="440" w:lineRule="exact"/>
              <w:jc w:val="center"/>
              <w:rPr>
                <w:rFonts w:hint="eastAsia" w:asciiTheme="minorEastAsia" w:hAnsiTheme="minorEastAsia" w:eastAsiaTheme="minorEastAsia" w:cstheme="minorEastAsia"/>
                <w:color w:val="auto"/>
                <w:sz w:val="24"/>
                <w:szCs w:val="24"/>
                <w:highlight w:val="none"/>
                <w:lang w:val="en-US" w:eastAsia="zh-CN"/>
              </w:rPr>
            </w:pPr>
          </w:p>
        </w:tc>
      </w:tr>
      <w:tr w14:paraId="43346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14:paraId="16D6670A">
            <w:pPr>
              <w:shd w:val="clear"/>
              <w:spacing w:line="440" w:lineRule="exact"/>
              <w:jc w:val="center"/>
              <w:rPr>
                <w:rFonts w:hint="eastAsia" w:asciiTheme="minorEastAsia" w:hAnsiTheme="minorEastAsia" w:eastAsiaTheme="minorEastAsia" w:cstheme="minorEastAsia"/>
                <w:color w:val="auto"/>
                <w:sz w:val="24"/>
                <w:szCs w:val="24"/>
                <w:highlight w:val="none"/>
              </w:rPr>
            </w:pPr>
          </w:p>
        </w:tc>
        <w:tc>
          <w:tcPr>
            <w:tcW w:w="2320" w:type="dxa"/>
            <w:vAlign w:val="center"/>
          </w:tcPr>
          <w:p w14:paraId="03AFE55F">
            <w:pPr>
              <w:shd w:val="clear"/>
              <w:spacing w:line="440" w:lineRule="exact"/>
              <w:jc w:val="center"/>
              <w:rPr>
                <w:rFonts w:hint="eastAsia" w:asciiTheme="minorEastAsia" w:hAnsiTheme="minorEastAsia" w:eastAsiaTheme="minorEastAsia" w:cstheme="minorEastAsia"/>
                <w:color w:val="auto"/>
                <w:sz w:val="24"/>
                <w:szCs w:val="24"/>
                <w:highlight w:val="none"/>
                <w:lang w:val="en-US" w:eastAsia="zh-CN"/>
              </w:rPr>
            </w:pPr>
          </w:p>
        </w:tc>
        <w:tc>
          <w:tcPr>
            <w:tcW w:w="2865" w:type="dxa"/>
            <w:vAlign w:val="center"/>
          </w:tcPr>
          <w:p w14:paraId="4ABD45FD">
            <w:pPr>
              <w:shd w:val="clear"/>
              <w:spacing w:line="440" w:lineRule="exact"/>
              <w:jc w:val="center"/>
              <w:rPr>
                <w:rFonts w:hint="eastAsia" w:asciiTheme="minorEastAsia" w:hAnsiTheme="minorEastAsia" w:eastAsiaTheme="minorEastAsia" w:cstheme="minorEastAsia"/>
                <w:color w:val="auto"/>
                <w:sz w:val="24"/>
                <w:szCs w:val="24"/>
                <w:highlight w:val="none"/>
              </w:rPr>
            </w:pPr>
          </w:p>
        </w:tc>
        <w:tc>
          <w:tcPr>
            <w:tcW w:w="840" w:type="dxa"/>
            <w:vAlign w:val="center"/>
          </w:tcPr>
          <w:p w14:paraId="6686C63E">
            <w:pPr>
              <w:shd w:val="clear"/>
              <w:spacing w:line="440" w:lineRule="exact"/>
              <w:jc w:val="center"/>
              <w:rPr>
                <w:rFonts w:hint="eastAsia" w:asciiTheme="minorEastAsia" w:hAnsiTheme="minorEastAsia" w:eastAsiaTheme="minorEastAsia" w:cstheme="minorEastAsia"/>
                <w:color w:val="auto"/>
                <w:sz w:val="24"/>
                <w:szCs w:val="24"/>
                <w:highlight w:val="none"/>
              </w:rPr>
            </w:pPr>
          </w:p>
        </w:tc>
        <w:tc>
          <w:tcPr>
            <w:tcW w:w="930" w:type="dxa"/>
            <w:vAlign w:val="center"/>
          </w:tcPr>
          <w:p w14:paraId="5A1AF567">
            <w:pPr>
              <w:shd w:val="clear"/>
              <w:spacing w:line="440" w:lineRule="exact"/>
              <w:jc w:val="center"/>
              <w:rPr>
                <w:rFonts w:hint="eastAsia" w:asciiTheme="minorEastAsia" w:hAnsiTheme="minorEastAsia" w:eastAsiaTheme="minorEastAsia" w:cstheme="minorEastAsia"/>
                <w:color w:val="auto"/>
                <w:sz w:val="24"/>
                <w:szCs w:val="24"/>
                <w:highlight w:val="none"/>
              </w:rPr>
            </w:pPr>
          </w:p>
        </w:tc>
        <w:tc>
          <w:tcPr>
            <w:tcW w:w="1080" w:type="dxa"/>
            <w:vAlign w:val="center"/>
          </w:tcPr>
          <w:p w14:paraId="2ED9AC9E">
            <w:pPr>
              <w:shd w:val="clear"/>
              <w:spacing w:line="440" w:lineRule="exact"/>
              <w:jc w:val="center"/>
              <w:rPr>
                <w:rFonts w:hint="eastAsia" w:asciiTheme="minorEastAsia" w:hAnsiTheme="minorEastAsia" w:eastAsiaTheme="minorEastAsia" w:cstheme="minorEastAsia"/>
                <w:color w:val="auto"/>
                <w:sz w:val="24"/>
                <w:szCs w:val="24"/>
                <w:highlight w:val="none"/>
              </w:rPr>
            </w:pPr>
          </w:p>
        </w:tc>
        <w:tc>
          <w:tcPr>
            <w:tcW w:w="1117" w:type="dxa"/>
            <w:vAlign w:val="center"/>
          </w:tcPr>
          <w:p w14:paraId="62D5809A">
            <w:pPr>
              <w:shd w:val="clear"/>
              <w:spacing w:line="440" w:lineRule="exact"/>
              <w:jc w:val="center"/>
              <w:rPr>
                <w:rFonts w:hint="eastAsia" w:asciiTheme="minorEastAsia" w:hAnsiTheme="minorEastAsia" w:eastAsiaTheme="minorEastAsia" w:cstheme="minorEastAsia"/>
                <w:color w:val="auto"/>
                <w:sz w:val="24"/>
                <w:szCs w:val="24"/>
                <w:highlight w:val="none"/>
                <w:lang w:val="en-US" w:eastAsia="zh-CN"/>
              </w:rPr>
            </w:pPr>
          </w:p>
        </w:tc>
      </w:tr>
      <w:tr w14:paraId="0F106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14:paraId="43FA8647">
            <w:pPr>
              <w:shd w:val="clear"/>
              <w:spacing w:line="440" w:lineRule="exact"/>
              <w:jc w:val="center"/>
              <w:rPr>
                <w:rFonts w:hint="eastAsia" w:asciiTheme="minorEastAsia" w:hAnsiTheme="minorEastAsia" w:eastAsiaTheme="minorEastAsia" w:cstheme="minorEastAsia"/>
                <w:color w:val="auto"/>
                <w:sz w:val="24"/>
                <w:szCs w:val="24"/>
                <w:highlight w:val="none"/>
              </w:rPr>
            </w:pPr>
          </w:p>
        </w:tc>
        <w:tc>
          <w:tcPr>
            <w:tcW w:w="2320" w:type="dxa"/>
            <w:vAlign w:val="center"/>
          </w:tcPr>
          <w:p w14:paraId="6F4A13D1">
            <w:pPr>
              <w:shd w:val="clear"/>
              <w:spacing w:line="440" w:lineRule="exact"/>
              <w:jc w:val="center"/>
              <w:rPr>
                <w:rFonts w:hint="eastAsia" w:asciiTheme="minorEastAsia" w:hAnsiTheme="minorEastAsia" w:eastAsiaTheme="minorEastAsia" w:cstheme="minorEastAsia"/>
                <w:color w:val="auto"/>
                <w:sz w:val="24"/>
                <w:szCs w:val="24"/>
                <w:highlight w:val="none"/>
                <w:lang w:val="en-US" w:eastAsia="zh-CN"/>
              </w:rPr>
            </w:pPr>
          </w:p>
        </w:tc>
        <w:tc>
          <w:tcPr>
            <w:tcW w:w="2865" w:type="dxa"/>
            <w:vAlign w:val="center"/>
          </w:tcPr>
          <w:p w14:paraId="7CF63552">
            <w:pPr>
              <w:shd w:val="clear"/>
              <w:spacing w:line="440" w:lineRule="exact"/>
              <w:jc w:val="center"/>
              <w:rPr>
                <w:rFonts w:hint="eastAsia" w:asciiTheme="minorEastAsia" w:hAnsiTheme="minorEastAsia" w:eastAsiaTheme="minorEastAsia" w:cstheme="minorEastAsia"/>
                <w:color w:val="auto"/>
                <w:sz w:val="24"/>
                <w:szCs w:val="24"/>
                <w:highlight w:val="none"/>
              </w:rPr>
            </w:pPr>
          </w:p>
        </w:tc>
        <w:tc>
          <w:tcPr>
            <w:tcW w:w="840" w:type="dxa"/>
            <w:vAlign w:val="center"/>
          </w:tcPr>
          <w:p w14:paraId="2C1BD469">
            <w:pPr>
              <w:shd w:val="clear"/>
              <w:spacing w:line="440" w:lineRule="exact"/>
              <w:jc w:val="center"/>
              <w:rPr>
                <w:rFonts w:hint="eastAsia" w:asciiTheme="minorEastAsia" w:hAnsiTheme="minorEastAsia" w:eastAsiaTheme="minorEastAsia" w:cstheme="minorEastAsia"/>
                <w:color w:val="auto"/>
                <w:sz w:val="24"/>
                <w:szCs w:val="24"/>
                <w:highlight w:val="none"/>
              </w:rPr>
            </w:pPr>
          </w:p>
        </w:tc>
        <w:tc>
          <w:tcPr>
            <w:tcW w:w="930" w:type="dxa"/>
            <w:vAlign w:val="center"/>
          </w:tcPr>
          <w:p w14:paraId="14D3842B">
            <w:pPr>
              <w:shd w:val="clear"/>
              <w:spacing w:line="440" w:lineRule="exact"/>
              <w:jc w:val="center"/>
              <w:rPr>
                <w:rFonts w:hint="eastAsia" w:asciiTheme="minorEastAsia" w:hAnsiTheme="minorEastAsia" w:eastAsiaTheme="minorEastAsia" w:cstheme="minorEastAsia"/>
                <w:color w:val="auto"/>
                <w:sz w:val="24"/>
                <w:szCs w:val="24"/>
                <w:highlight w:val="none"/>
              </w:rPr>
            </w:pPr>
          </w:p>
        </w:tc>
        <w:tc>
          <w:tcPr>
            <w:tcW w:w="1080" w:type="dxa"/>
            <w:vAlign w:val="center"/>
          </w:tcPr>
          <w:p w14:paraId="09FBA9B7">
            <w:pPr>
              <w:shd w:val="clear"/>
              <w:spacing w:line="440" w:lineRule="exact"/>
              <w:jc w:val="center"/>
              <w:rPr>
                <w:rFonts w:hint="eastAsia" w:asciiTheme="minorEastAsia" w:hAnsiTheme="minorEastAsia" w:eastAsiaTheme="minorEastAsia" w:cstheme="minorEastAsia"/>
                <w:color w:val="auto"/>
                <w:sz w:val="24"/>
                <w:szCs w:val="24"/>
                <w:highlight w:val="none"/>
              </w:rPr>
            </w:pPr>
          </w:p>
        </w:tc>
        <w:tc>
          <w:tcPr>
            <w:tcW w:w="1117" w:type="dxa"/>
            <w:vAlign w:val="center"/>
          </w:tcPr>
          <w:p w14:paraId="5A482299">
            <w:pPr>
              <w:shd w:val="clear"/>
              <w:spacing w:line="440" w:lineRule="exact"/>
              <w:jc w:val="center"/>
              <w:rPr>
                <w:rFonts w:hint="eastAsia" w:asciiTheme="minorEastAsia" w:hAnsiTheme="minorEastAsia" w:eastAsiaTheme="minorEastAsia" w:cstheme="minorEastAsia"/>
                <w:color w:val="auto"/>
                <w:sz w:val="24"/>
                <w:szCs w:val="24"/>
                <w:highlight w:val="none"/>
                <w:lang w:val="en-US" w:eastAsia="zh-CN"/>
              </w:rPr>
            </w:pPr>
          </w:p>
        </w:tc>
      </w:tr>
      <w:tr w14:paraId="2974A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14:paraId="594466D0">
            <w:pPr>
              <w:shd w:val="clear"/>
              <w:spacing w:line="440" w:lineRule="exact"/>
              <w:jc w:val="center"/>
              <w:rPr>
                <w:rFonts w:hint="eastAsia" w:asciiTheme="minorEastAsia" w:hAnsiTheme="minorEastAsia" w:eastAsiaTheme="minorEastAsia" w:cstheme="minorEastAsia"/>
                <w:color w:val="auto"/>
                <w:sz w:val="24"/>
                <w:szCs w:val="24"/>
                <w:highlight w:val="none"/>
              </w:rPr>
            </w:pPr>
          </w:p>
        </w:tc>
        <w:tc>
          <w:tcPr>
            <w:tcW w:w="2320" w:type="dxa"/>
            <w:vAlign w:val="center"/>
          </w:tcPr>
          <w:p w14:paraId="6A17485B">
            <w:pPr>
              <w:shd w:val="clear"/>
              <w:spacing w:line="440" w:lineRule="exact"/>
              <w:jc w:val="center"/>
              <w:rPr>
                <w:rFonts w:hint="eastAsia" w:asciiTheme="minorEastAsia" w:hAnsiTheme="minorEastAsia" w:eastAsiaTheme="minorEastAsia" w:cstheme="minorEastAsia"/>
                <w:color w:val="auto"/>
                <w:sz w:val="24"/>
                <w:szCs w:val="24"/>
                <w:highlight w:val="none"/>
                <w:lang w:val="en-US" w:eastAsia="zh-CN"/>
              </w:rPr>
            </w:pPr>
          </w:p>
        </w:tc>
        <w:tc>
          <w:tcPr>
            <w:tcW w:w="2865" w:type="dxa"/>
            <w:vAlign w:val="center"/>
          </w:tcPr>
          <w:p w14:paraId="4FCB055E">
            <w:pPr>
              <w:shd w:val="clear"/>
              <w:spacing w:line="440" w:lineRule="exact"/>
              <w:jc w:val="center"/>
              <w:rPr>
                <w:rFonts w:hint="eastAsia" w:asciiTheme="minorEastAsia" w:hAnsiTheme="minorEastAsia" w:eastAsiaTheme="minorEastAsia" w:cstheme="minorEastAsia"/>
                <w:color w:val="auto"/>
                <w:sz w:val="24"/>
                <w:szCs w:val="24"/>
                <w:highlight w:val="none"/>
              </w:rPr>
            </w:pPr>
          </w:p>
        </w:tc>
        <w:tc>
          <w:tcPr>
            <w:tcW w:w="840" w:type="dxa"/>
            <w:vAlign w:val="center"/>
          </w:tcPr>
          <w:p w14:paraId="07DE854D">
            <w:pPr>
              <w:shd w:val="clear"/>
              <w:spacing w:line="440" w:lineRule="exact"/>
              <w:jc w:val="center"/>
              <w:rPr>
                <w:rFonts w:hint="eastAsia" w:asciiTheme="minorEastAsia" w:hAnsiTheme="minorEastAsia" w:eastAsiaTheme="minorEastAsia" w:cstheme="minorEastAsia"/>
                <w:color w:val="auto"/>
                <w:sz w:val="24"/>
                <w:szCs w:val="24"/>
                <w:highlight w:val="none"/>
              </w:rPr>
            </w:pPr>
          </w:p>
        </w:tc>
        <w:tc>
          <w:tcPr>
            <w:tcW w:w="930" w:type="dxa"/>
            <w:vAlign w:val="center"/>
          </w:tcPr>
          <w:p w14:paraId="07C468D3">
            <w:pPr>
              <w:shd w:val="clear"/>
              <w:spacing w:line="440" w:lineRule="exact"/>
              <w:jc w:val="center"/>
              <w:rPr>
                <w:rFonts w:hint="eastAsia" w:asciiTheme="minorEastAsia" w:hAnsiTheme="minorEastAsia" w:eastAsiaTheme="minorEastAsia" w:cstheme="minorEastAsia"/>
                <w:color w:val="auto"/>
                <w:sz w:val="24"/>
                <w:szCs w:val="24"/>
                <w:highlight w:val="none"/>
              </w:rPr>
            </w:pPr>
          </w:p>
        </w:tc>
        <w:tc>
          <w:tcPr>
            <w:tcW w:w="1080" w:type="dxa"/>
            <w:vAlign w:val="center"/>
          </w:tcPr>
          <w:p w14:paraId="112C745D">
            <w:pPr>
              <w:shd w:val="clear"/>
              <w:spacing w:line="440" w:lineRule="exact"/>
              <w:jc w:val="center"/>
              <w:rPr>
                <w:rFonts w:hint="eastAsia" w:asciiTheme="minorEastAsia" w:hAnsiTheme="minorEastAsia" w:eastAsiaTheme="minorEastAsia" w:cstheme="minorEastAsia"/>
                <w:color w:val="auto"/>
                <w:sz w:val="24"/>
                <w:szCs w:val="24"/>
                <w:highlight w:val="none"/>
              </w:rPr>
            </w:pPr>
          </w:p>
        </w:tc>
        <w:tc>
          <w:tcPr>
            <w:tcW w:w="1117" w:type="dxa"/>
            <w:vAlign w:val="center"/>
          </w:tcPr>
          <w:p w14:paraId="0655DA9B">
            <w:pPr>
              <w:shd w:val="clear"/>
              <w:spacing w:line="440" w:lineRule="exact"/>
              <w:jc w:val="center"/>
              <w:rPr>
                <w:rFonts w:hint="eastAsia" w:asciiTheme="minorEastAsia" w:hAnsiTheme="minorEastAsia" w:eastAsiaTheme="minorEastAsia" w:cstheme="minorEastAsia"/>
                <w:color w:val="auto"/>
                <w:sz w:val="24"/>
                <w:szCs w:val="24"/>
                <w:highlight w:val="none"/>
                <w:lang w:val="en-US" w:eastAsia="zh-CN"/>
              </w:rPr>
            </w:pPr>
          </w:p>
        </w:tc>
      </w:tr>
      <w:tr w14:paraId="3E370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14:paraId="120A70CE">
            <w:pPr>
              <w:shd w:val="clear"/>
              <w:spacing w:line="440" w:lineRule="exact"/>
              <w:jc w:val="center"/>
              <w:rPr>
                <w:rFonts w:hint="eastAsia" w:asciiTheme="minorEastAsia" w:hAnsiTheme="minorEastAsia" w:eastAsiaTheme="minorEastAsia" w:cstheme="minorEastAsia"/>
                <w:color w:val="auto"/>
                <w:sz w:val="24"/>
                <w:szCs w:val="24"/>
                <w:highlight w:val="none"/>
              </w:rPr>
            </w:pPr>
          </w:p>
        </w:tc>
        <w:tc>
          <w:tcPr>
            <w:tcW w:w="2320" w:type="dxa"/>
            <w:vAlign w:val="center"/>
          </w:tcPr>
          <w:p w14:paraId="42A01D26">
            <w:pPr>
              <w:shd w:val="clear"/>
              <w:spacing w:line="440" w:lineRule="exact"/>
              <w:jc w:val="center"/>
              <w:rPr>
                <w:rFonts w:hint="eastAsia" w:asciiTheme="minorEastAsia" w:hAnsiTheme="minorEastAsia" w:eastAsiaTheme="minorEastAsia" w:cstheme="minorEastAsia"/>
                <w:color w:val="auto"/>
                <w:sz w:val="24"/>
                <w:szCs w:val="24"/>
                <w:highlight w:val="none"/>
                <w:lang w:val="en-US" w:eastAsia="zh-CN"/>
              </w:rPr>
            </w:pPr>
          </w:p>
        </w:tc>
        <w:tc>
          <w:tcPr>
            <w:tcW w:w="2865" w:type="dxa"/>
            <w:vAlign w:val="center"/>
          </w:tcPr>
          <w:p w14:paraId="37E72070">
            <w:pPr>
              <w:shd w:val="clear"/>
              <w:spacing w:line="440" w:lineRule="exact"/>
              <w:jc w:val="center"/>
              <w:rPr>
                <w:rFonts w:hint="eastAsia" w:asciiTheme="minorEastAsia" w:hAnsiTheme="minorEastAsia" w:eastAsiaTheme="minorEastAsia" w:cstheme="minorEastAsia"/>
                <w:color w:val="auto"/>
                <w:sz w:val="24"/>
                <w:szCs w:val="24"/>
                <w:highlight w:val="none"/>
              </w:rPr>
            </w:pPr>
          </w:p>
        </w:tc>
        <w:tc>
          <w:tcPr>
            <w:tcW w:w="840" w:type="dxa"/>
            <w:vAlign w:val="center"/>
          </w:tcPr>
          <w:p w14:paraId="7C4C8D4B">
            <w:pPr>
              <w:shd w:val="clear"/>
              <w:spacing w:line="440" w:lineRule="exact"/>
              <w:jc w:val="center"/>
              <w:rPr>
                <w:rFonts w:hint="eastAsia" w:asciiTheme="minorEastAsia" w:hAnsiTheme="minorEastAsia" w:eastAsiaTheme="minorEastAsia" w:cstheme="minorEastAsia"/>
                <w:color w:val="auto"/>
                <w:sz w:val="24"/>
                <w:szCs w:val="24"/>
                <w:highlight w:val="none"/>
              </w:rPr>
            </w:pPr>
          </w:p>
        </w:tc>
        <w:tc>
          <w:tcPr>
            <w:tcW w:w="930" w:type="dxa"/>
            <w:vAlign w:val="center"/>
          </w:tcPr>
          <w:p w14:paraId="037CA633">
            <w:pPr>
              <w:shd w:val="clear"/>
              <w:spacing w:line="440" w:lineRule="exact"/>
              <w:jc w:val="center"/>
              <w:rPr>
                <w:rFonts w:hint="eastAsia" w:asciiTheme="minorEastAsia" w:hAnsiTheme="minorEastAsia" w:eastAsiaTheme="minorEastAsia" w:cstheme="minorEastAsia"/>
                <w:color w:val="auto"/>
                <w:sz w:val="24"/>
                <w:szCs w:val="24"/>
                <w:highlight w:val="none"/>
              </w:rPr>
            </w:pPr>
          </w:p>
        </w:tc>
        <w:tc>
          <w:tcPr>
            <w:tcW w:w="1080" w:type="dxa"/>
            <w:vAlign w:val="center"/>
          </w:tcPr>
          <w:p w14:paraId="0A9B557C">
            <w:pPr>
              <w:shd w:val="clear"/>
              <w:spacing w:line="440" w:lineRule="exact"/>
              <w:jc w:val="center"/>
              <w:rPr>
                <w:rFonts w:hint="eastAsia" w:asciiTheme="minorEastAsia" w:hAnsiTheme="minorEastAsia" w:eastAsiaTheme="minorEastAsia" w:cstheme="minorEastAsia"/>
                <w:color w:val="auto"/>
                <w:sz w:val="24"/>
                <w:szCs w:val="24"/>
                <w:highlight w:val="none"/>
              </w:rPr>
            </w:pPr>
          </w:p>
        </w:tc>
        <w:tc>
          <w:tcPr>
            <w:tcW w:w="1117" w:type="dxa"/>
            <w:vAlign w:val="center"/>
          </w:tcPr>
          <w:p w14:paraId="4184CA16">
            <w:pPr>
              <w:shd w:val="clear"/>
              <w:spacing w:line="440" w:lineRule="exact"/>
              <w:jc w:val="center"/>
              <w:rPr>
                <w:rFonts w:hint="eastAsia" w:asciiTheme="minorEastAsia" w:hAnsiTheme="minorEastAsia" w:eastAsiaTheme="minorEastAsia" w:cstheme="minorEastAsia"/>
                <w:color w:val="auto"/>
                <w:sz w:val="24"/>
                <w:szCs w:val="24"/>
                <w:highlight w:val="none"/>
                <w:lang w:val="en-US" w:eastAsia="zh-CN"/>
              </w:rPr>
            </w:pPr>
          </w:p>
        </w:tc>
      </w:tr>
      <w:tr w14:paraId="6416E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14:paraId="22D35E41">
            <w:pPr>
              <w:shd w:val="clear"/>
              <w:spacing w:line="440" w:lineRule="exact"/>
              <w:jc w:val="center"/>
              <w:rPr>
                <w:rFonts w:hint="eastAsia" w:asciiTheme="minorEastAsia" w:hAnsiTheme="minorEastAsia" w:eastAsiaTheme="minorEastAsia" w:cstheme="minorEastAsia"/>
                <w:color w:val="auto"/>
                <w:sz w:val="24"/>
                <w:szCs w:val="24"/>
                <w:highlight w:val="none"/>
              </w:rPr>
            </w:pPr>
          </w:p>
        </w:tc>
        <w:tc>
          <w:tcPr>
            <w:tcW w:w="2320" w:type="dxa"/>
            <w:vAlign w:val="center"/>
          </w:tcPr>
          <w:p w14:paraId="4BF4286D">
            <w:pPr>
              <w:shd w:val="clear"/>
              <w:spacing w:line="440" w:lineRule="exact"/>
              <w:jc w:val="center"/>
              <w:rPr>
                <w:rFonts w:hint="eastAsia" w:asciiTheme="minorEastAsia" w:hAnsiTheme="minorEastAsia" w:eastAsiaTheme="minorEastAsia" w:cstheme="minorEastAsia"/>
                <w:color w:val="auto"/>
                <w:sz w:val="24"/>
                <w:szCs w:val="24"/>
                <w:highlight w:val="none"/>
                <w:lang w:val="en-US" w:eastAsia="zh-CN"/>
              </w:rPr>
            </w:pPr>
          </w:p>
        </w:tc>
        <w:tc>
          <w:tcPr>
            <w:tcW w:w="2865" w:type="dxa"/>
            <w:vAlign w:val="center"/>
          </w:tcPr>
          <w:p w14:paraId="26701BD5">
            <w:pPr>
              <w:shd w:val="clear"/>
              <w:spacing w:line="440" w:lineRule="exact"/>
              <w:jc w:val="center"/>
              <w:rPr>
                <w:rFonts w:hint="eastAsia" w:asciiTheme="minorEastAsia" w:hAnsiTheme="minorEastAsia" w:eastAsiaTheme="minorEastAsia" w:cstheme="minorEastAsia"/>
                <w:color w:val="auto"/>
                <w:sz w:val="24"/>
                <w:szCs w:val="24"/>
                <w:highlight w:val="none"/>
              </w:rPr>
            </w:pPr>
          </w:p>
        </w:tc>
        <w:tc>
          <w:tcPr>
            <w:tcW w:w="840" w:type="dxa"/>
            <w:vAlign w:val="center"/>
          </w:tcPr>
          <w:p w14:paraId="6BFCB92A">
            <w:pPr>
              <w:shd w:val="clear"/>
              <w:spacing w:line="440" w:lineRule="exact"/>
              <w:jc w:val="center"/>
              <w:rPr>
                <w:rFonts w:hint="eastAsia" w:asciiTheme="minorEastAsia" w:hAnsiTheme="minorEastAsia" w:eastAsiaTheme="minorEastAsia" w:cstheme="minorEastAsia"/>
                <w:color w:val="auto"/>
                <w:sz w:val="24"/>
                <w:szCs w:val="24"/>
                <w:highlight w:val="none"/>
              </w:rPr>
            </w:pPr>
          </w:p>
        </w:tc>
        <w:tc>
          <w:tcPr>
            <w:tcW w:w="930" w:type="dxa"/>
            <w:vAlign w:val="center"/>
          </w:tcPr>
          <w:p w14:paraId="5B8DAC02">
            <w:pPr>
              <w:shd w:val="clear"/>
              <w:spacing w:line="440" w:lineRule="exact"/>
              <w:jc w:val="center"/>
              <w:rPr>
                <w:rFonts w:hint="eastAsia" w:asciiTheme="minorEastAsia" w:hAnsiTheme="minorEastAsia" w:eastAsiaTheme="minorEastAsia" w:cstheme="minorEastAsia"/>
                <w:color w:val="auto"/>
                <w:sz w:val="24"/>
                <w:szCs w:val="24"/>
                <w:highlight w:val="none"/>
              </w:rPr>
            </w:pPr>
          </w:p>
        </w:tc>
        <w:tc>
          <w:tcPr>
            <w:tcW w:w="1080" w:type="dxa"/>
            <w:vAlign w:val="center"/>
          </w:tcPr>
          <w:p w14:paraId="4B53A72D">
            <w:pPr>
              <w:shd w:val="clear"/>
              <w:spacing w:line="440" w:lineRule="exact"/>
              <w:jc w:val="center"/>
              <w:rPr>
                <w:rFonts w:hint="eastAsia" w:asciiTheme="minorEastAsia" w:hAnsiTheme="minorEastAsia" w:eastAsiaTheme="minorEastAsia" w:cstheme="minorEastAsia"/>
                <w:color w:val="auto"/>
                <w:sz w:val="24"/>
                <w:szCs w:val="24"/>
                <w:highlight w:val="none"/>
              </w:rPr>
            </w:pPr>
          </w:p>
        </w:tc>
        <w:tc>
          <w:tcPr>
            <w:tcW w:w="1117" w:type="dxa"/>
            <w:vAlign w:val="center"/>
          </w:tcPr>
          <w:p w14:paraId="45BA8CB3">
            <w:pPr>
              <w:shd w:val="clear"/>
              <w:spacing w:line="440" w:lineRule="exact"/>
              <w:jc w:val="center"/>
              <w:rPr>
                <w:rFonts w:hint="eastAsia" w:asciiTheme="minorEastAsia" w:hAnsiTheme="minorEastAsia" w:eastAsiaTheme="minorEastAsia" w:cstheme="minorEastAsia"/>
                <w:color w:val="auto"/>
                <w:sz w:val="24"/>
                <w:szCs w:val="24"/>
                <w:highlight w:val="none"/>
                <w:lang w:val="en-US" w:eastAsia="zh-CN"/>
              </w:rPr>
            </w:pPr>
          </w:p>
        </w:tc>
      </w:tr>
      <w:tr w14:paraId="1F7A6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8" w:type="dxa"/>
            <w:gridSpan w:val="2"/>
            <w:vMerge w:val="restart"/>
            <w:vAlign w:val="center"/>
          </w:tcPr>
          <w:p w14:paraId="00FD59F6">
            <w:pPr>
              <w:shd w:val="clear"/>
              <w:spacing w:line="44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投标总报价</w:t>
            </w:r>
          </w:p>
        </w:tc>
        <w:tc>
          <w:tcPr>
            <w:tcW w:w="6832" w:type="dxa"/>
            <w:gridSpan w:val="5"/>
            <w:vAlign w:val="center"/>
          </w:tcPr>
          <w:p w14:paraId="66DFD187">
            <w:pPr>
              <w:shd w:val="clear"/>
              <w:spacing w:line="440" w:lineRule="exac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合计金额（小写）</w:t>
            </w:r>
            <w:r>
              <w:rPr>
                <w:rFonts w:hint="eastAsia" w:asciiTheme="minorEastAsia" w:hAnsiTheme="minorEastAsia" w:eastAsiaTheme="minorEastAsia" w:cstheme="minorEastAsia"/>
                <w:color w:val="auto"/>
                <w:sz w:val="24"/>
                <w:szCs w:val="24"/>
                <w:highlight w:val="none"/>
                <w:lang w:eastAsia="zh-CN"/>
              </w:rPr>
              <w:t>：</w:t>
            </w:r>
          </w:p>
        </w:tc>
      </w:tr>
      <w:tr w14:paraId="69893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8" w:type="dxa"/>
            <w:gridSpan w:val="2"/>
            <w:vMerge w:val="continue"/>
            <w:vAlign w:val="center"/>
          </w:tcPr>
          <w:p w14:paraId="7C6466C4">
            <w:pPr>
              <w:shd w:val="clear"/>
              <w:spacing w:line="440" w:lineRule="exact"/>
              <w:rPr>
                <w:rFonts w:asciiTheme="minorEastAsia" w:hAnsiTheme="minorEastAsia" w:eastAsiaTheme="minorEastAsia" w:cstheme="minorEastAsia"/>
                <w:color w:val="auto"/>
                <w:sz w:val="24"/>
                <w:szCs w:val="24"/>
                <w:highlight w:val="none"/>
              </w:rPr>
            </w:pPr>
          </w:p>
        </w:tc>
        <w:tc>
          <w:tcPr>
            <w:tcW w:w="6832" w:type="dxa"/>
            <w:gridSpan w:val="5"/>
            <w:vAlign w:val="center"/>
          </w:tcPr>
          <w:p w14:paraId="3BB2156B">
            <w:pPr>
              <w:shd w:val="clear"/>
              <w:spacing w:line="440" w:lineRule="exac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合计金额（大写）：</w:t>
            </w:r>
          </w:p>
        </w:tc>
      </w:tr>
    </w:tbl>
    <w:p w14:paraId="12575CE4">
      <w:pPr>
        <w:shd w:val="clear"/>
        <w:spacing w:line="460" w:lineRule="atLeast"/>
        <w:rPr>
          <w:rFonts w:asciiTheme="minorEastAsia" w:hAnsiTheme="minorEastAsia" w:eastAsiaTheme="minorEastAsia" w:cstheme="minorEastAsia"/>
          <w:b/>
          <w:color w:val="auto"/>
          <w:sz w:val="24"/>
          <w:szCs w:val="24"/>
          <w:highlight w:val="none"/>
        </w:rPr>
      </w:pPr>
    </w:p>
    <w:p w14:paraId="6A912229">
      <w:pPr>
        <w:shd w:val="clear"/>
        <w:spacing w:line="440" w:lineRule="exact"/>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供应商（盖公章）：</w:t>
      </w:r>
    </w:p>
    <w:p w14:paraId="160AA7BE">
      <w:pPr>
        <w:shd w:val="clear"/>
        <w:spacing w:line="440" w:lineRule="exact"/>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法定代表人（签字或盖章）：</w:t>
      </w:r>
    </w:p>
    <w:p w14:paraId="3B2172E0">
      <w:pPr>
        <w:shd w:val="clear"/>
        <w:spacing w:line="440" w:lineRule="exact"/>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日期： 年  月  日</w:t>
      </w:r>
    </w:p>
    <w:p w14:paraId="1C3D3ECD">
      <w:pPr>
        <w:shd w:val="clear"/>
        <w:spacing w:line="440" w:lineRule="exact"/>
        <w:rPr>
          <w:rFonts w:asciiTheme="minorEastAsia" w:hAnsiTheme="minorEastAsia" w:eastAsiaTheme="minorEastAsia" w:cstheme="minorEastAsia"/>
          <w:b/>
          <w:color w:val="auto"/>
          <w:sz w:val="24"/>
          <w:szCs w:val="24"/>
          <w:highlight w:val="none"/>
        </w:rPr>
      </w:pPr>
    </w:p>
    <w:p w14:paraId="70EE7363">
      <w:pPr>
        <w:shd w:val="clear" w:color="auto"/>
        <w:spacing w:line="360" w:lineRule="exact"/>
        <w:ind w:right="420"/>
        <w:jc w:val="left"/>
        <w:outlineLvl w:val="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注：投标人应根据设备清单和软件清单进行分项填报，表中表格行数可自行添</w:t>
      </w:r>
    </w:p>
    <w:p w14:paraId="2F0CCC22">
      <w:pPr>
        <w:shd w:val="clear" w:color="auto"/>
        <w:spacing w:line="360" w:lineRule="exact"/>
        <w:ind w:right="420"/>
        <w:jc w:val="left"/>
        <w:outlineLvl w:val="0"/>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rPr>
        <w:t>加。招标文件中未列出的相关辅助材料和在实施过程中涉及到的其它一切费用应在报价时一并考虑，项目实施过程中不再单独结算。表中投标报价总计应与对应报价一览表中投标总价一致。</w:t>
      </w:r>
      <w:r>
        <w:rPr>
          <w:rFonts w:hint="eastAsia" w:asciiTheme="minorEastAsia" w:hAnsiTheme="minorEastAsia" w:eastAsiaTheme="minorEastAsia" w:cstheme="minorEastAsia"/>
          <w:color w:val="auto"/>
          <w:sz w:val="24"/>
          <w:szCs w:val="24"/>
          <w:highlight w:val="none"/>
        </w:rPr>
        <w:br w:type="page"/>
      </w:r>
      <w:bookmarkStart w:id="127" w:name="_Toc9578"/>
      <w:bookmarkStart w:id="128" w:name="_Toc18469"/>
      <w:r>
        <w:rPr>
          <w:rFonts w:hint="eastAsia" w:asciiTheme="minorEastAsia" w:hAnsiTheme="minorEastAsia" w:eastAsiaTheme="minorEastAsia" w:cstheme="minorEastAsia"/>
          <w:b/>
          <w:color w:val="auto"/>
          <w:sz w:val="24"/>
          <w:szCs w:val="24"/>
          <w:highlight w:val="none"/>
        </w:rPr>
        <w:t>附件</w:t>
      </w:r>
      <w:bookmarkEnd w:id="127"/>
      <w:bookmarkEnd w:id="128"/>
      <w:r>
        <w:rPr>
          <w:rFonts w:hint="eastAsia" w:asciiTheme="minorEastAsia" w:hAnsiTheme="minorEastAsia" w:eastAsiaTheme="minorEastAsia" w:cstheme="minorEastAsia"/>
          <w:b/>
          <w:color w:val="auto"/>
          <w:sz w:val="24"/>
          <w:szCs w:val="24"/>
          <w:highlight w:val="none"/>
          <w:lang w:val="en-US" w:eastAsia="zh-CN"/>
        </w:rPr>
        <w:t>3</w:t>
      </w:r>
    </w:p>
    <w:p w14:paraId="1A820BEC">
      <w:pPr>
        <w:shd w:val="clear" w:color="auto"/>
        <w:spacing w:line="500" w:lineRule="exact"/>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 w:val="24"/>
          <w:szCs w:val="24"/>
          <w:highlight w:val="none"/>
        </w:rPr>
        <w:t>供应商基本情况表</w:t>
      </w:r>
    </w:p>
    <w:tbl>
      <w:tblPr>
        <w:tblStyle w:val="28"/>
        <w:tblpPr w:leftFromText="180" w:rightFromText="180" w:vertAnchor="text" w:horzAnchor="page" w:tblpX="1572" w:tblpY="310"/>
        <w:tblOverlap w:val="never"/>
        <w:tblW w:w="8623" w:type="dxa"/>
        <w:tblInd w:w="0" w:type="dxa"/>
        <w:tblLayout w:type="fixed"/>
        <w:tblCellMar>
          <w:top w:w="0" w:type="dxa"/>
          <w:left w:w="0" w:type="dxa"/>
          <w:bottom w:w="0" w:type="dxa"/>
          <w:right w:w="0" w:type="dxa"/>
        </w:tblCellMar>
      </w:tblPr>
      <w:tblGrid>
        <w:gridCol w:w="1091"/>
        <w:gridCol w:w="967"/>
        <w:gridCol w:w="756"/>
        <w:gridCol w:w="738"/>
        <w:gridCol w:w="707"/>
        <w:gridCol w:w="263"/>
        <w:gridCol w:w="525"/>
        <w:gridCol w:w="788"/>
        <w:gridCol w:w="919"/>
        <w:gridCol w:w="81"/>
        <w:gridCol w:w="1788"/>
      </w:tblGrid>
      <w:tr w14:paraId="25BF1746">
        <w:tblPrEx>
          <w:tblCellMar>
            <w:top w:w="0" w:type="dxa"/>
            <w:left w:w="0" w:type="dxa"/>
            <w:bottom w:w="0" w:type="dxa"/>
            <w:right w:w="0" w:type="dxa"/>
          </w:tblCellMar>
        </w:tblPrEx>
        <w:trPr>
          <w:trHeight w:val="431" w:hRule="atLeast"/>
        </w:trPr>
        <w:tc>
          <w:tcPr>
            <w:tcW w:w="109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32E08ED">
            <w:pPr>
              <w:shd w:val="clear"/>
              <w:snapToGrid w:val="0"/>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单位名称</w:t>
            </w:r>
          </w:p>
        </w:tc>
        <w:tc>
          <w:tcPr>
            <w:tcW w:w="7532" w:type="dxa"/>
            <w:gridSpan w:val="10"/>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4257E8E">
            <w:pPr>
              <w:shd w:val="clear"/>
              <w:snapToGrid w:val="0"/>
              <w:spacing w:line="400" w:lineRule="exact"/>
              <w:rPr>
                <w:rFonts w:asciiTheme="minorEastAsia" w:hAnsiTheme="minorEastAsia" w:eastAsiaTheme="minorEastAsia" w:cstheme="minorEastAsia"/>
                <w:color w:val="auto"/>
                <w:sz w:val="24"/>
                <w:highlight w:val="none"/>
              </w:rPr>
            </w:pPr>
          </w:p>
        </w:tc>
      </w:tr>
      <w:tr w14:paraId="1D426F84">
        <w:tblPrEx>
          <w:tblCellMar>
            <w:top w:w="0" w:type="dxa"/>
            <w:left w:w="0" w:type="dxa"/>
            <w:bottom w:w="0" w:type="dxa"/>
            <w:right w:w="0" w:type="dxa"/>
          </w:tblCellMar>
        </w:tblPrEx>
        <w:trPr>
          <w:trHeight w:val="431" w:hRule="atLeast"/>
        </w:trPr>
        <w:tc>
          <w:tcPr>
            <w:tcW w:w="109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CF730C0">
            <w:pPr>
              <w:shd w:val="clear"/>
              <w:snapToGrid w:val="0"/>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详细地址</w:t>
            </w:r>
          </w:p>
        </w:tc>
        <w:tc>
          <w:tcPr>
            <w:tcW w:w="7532" w:type="dxa"/>
            <w:gridSpan w:val="10"/>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B239666">
            <w:pPr>
              <w:shd w:val="clear"/>
              <w:snapToGrid w:val="0"/>
              <w:spacing w:line="400" w:lineRule="exact"/>
              <w:rPr>
                <w:rFonts w:asciiTheme="minorEastAsia" w:hAnsiTheme="minorEastAsia" w:eastAsiaTheme="minorEastAsia" w:cstheme="minorEastAsia"/>
                <w:color w:val="auto"/>
                <w:sz w:val="24"/>
                <w:highlight w:val="none"/>
              </w:rPr>
            </w:pPr>
          </w:p>
        </w:tc>
      </w:tr>
      <w:tr w14:paraId="35E45860">
        <w:tblPrEx>
          <w:tblCellMar>
            <w:top w:w="0" w:type="dxa"/>
            <w:left w:w="0" w:type="dxa"/>
            <w:bottom w:w="0" w:type="dxa"/>
            <w:right w:w="0" w:type="dxa"/>
          </w:tblCellMar>
        </w:tblPrEx>
        <w:trPr>
          <w:trHeight w:val="431" w:hRule="atLeast"/>
        </w:trPr>
        <w:tc>
          <w:tcPr>
            <w:tcW w:w="109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0F94430">
            <w:pPr>
              <w:shd w:val="clear"/>
              <w:snapToGrid w:val="0"/>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主管部门</w:t>
            </w:r>
          </w:p>
        </w:tc>
        <w:tc>
          <w:tcPr>
            <w:tcW w:w="1723" w:type="dxa"/>
            <w:gridSpan w:val="2"/>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7AA9077">
            <w:pPr>
              <w:shd w:val="clear"/>
              <w:snapToGrid w:val="0"/>
              <w:spacing w:line="400" w:lineRule="exact"/>
              <w:rPr>
                <w:rFonts w:asciiTheme="minorEastAsia" w:hAnsiTheme="minorEastAsia" w:eastAsiaTheme="minorEastAsia" w:cstheme="minorEastAsia"/>
                <w:color w:val="auto"/>
                <w:sz w:val="24"/>
                <w:highlight w:val="none"/>
              </w:rPr>
            </w:pPr>
          </w:p>
        </w:tc>
        <w:tc>
          <w:tcPr>
            <w:tcW w:w="1445" w:type="dxa"/>
            <w:gridSpan w:val="2"/>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A3AF495">
            <w:pPr>
              <w:shd w:val="clear"/>
              <w:snapToGrid w:val="0"/>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法人代表</w:t>
            </w:r>
          </w:p>
        </w:tc>
        <w:tc>
          <w:tcPr>
            <w:tcW w:w="1576" w:type="dxa"/>
            <w:gridSpan w:val="3"/>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9165A31">
            <w:pPr>
              <w:shd w:val="clear"/>
              <w:snapToGrid w:val="0"/>
              <w:spacing w:line="400" w:lineRule="exact"/>
              <w:rPr>
                <w:rFonts w:asciiTheme="minorEastAsia" w:hAnsiTheme="minorEastAsia" w:eastAsiaTheme="minorEastAsia" w:cstheme="minorEastAsia"/>
                <w:color w:val="auto"/>
                <w:sz w:val="24"/>
                <w:highlight w:val="none"/>
              </w:rPr>
            </w:pPr>
          </w:p>
        </w:tc>
        <w:tc>
          <w:tcPr>
            <w:tcW w:w="919"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4DCBF27">
            <w:pPr>
              <w:shd w:val="clear"/>
              <w:snapToGrid w:val="0"/>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职务</w:t>
            </w:r>
          </w:p>
        </w:tc>
        <w:tc>
          <w:tcPr>
            <w:tcW w:w="1869" w:type="dxa"/>
            <w:gridSpan w:val="2"/>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244257A">
            <w:pPr>
              <w:shd w:val="clear"/>
              <w:snapToGrid w:val="0"/>
              <w:spacing w:line="400" w:lineRule="exact"/>
              <w:rPr>
                <w:rFonts w:asciiTheme="minorEastAsia" w:hAnsiTheme="minorEastAsia" w:eastAsiaTheme="minorEastAsia" w:cstheme="minorEastAsia"/>
                <w:color w:val="auto"/>
                <w:sz w:val="24"/>
                <w:highlight w:val="none"/>
              </w:rPr>
            </w:pPr>
          </w:p>
        </w:tc>
      </w:tr>
      <w:tr w14:paraId="2EA5DFA4">
        <w:tblPrEx>
          <w:tblCellMar>
            <w:top w:w="0" w:type="dxa"/>
            <w:left w:w="0" w:type="dxa"/>
            <w:bottom w:w="0" w:type="dxa"/>
            <w:right w:w="0" w:type="dxa"/>
          </w:tblCellMar>
        </w:tblPrEx>
        <w:trPr>
          <w:trHeight w:val="431" w:hRule="atLeast"/>
        </w:trPr>
        <w:tc>
          <w:tcPr>
            <w:tcW w:w="109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7CA8D49">
            <w:pPr>
              <w:shd w:val="clear"/>
              <w:snapToGrid w:val="0"/>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经济类型</w:t>
            </w:r>
          </w:p>
        </w:tc>
        <w:tc>
          <w:tcPr>
            <w:tcW w:w="1723" w:type="dxa"/>
            <w:gridSpan w:val="2"/>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9CD8072">
            <w:pPr>
              <w:shd w:val="clear"/>
              <w:snapToGrid w:val="0"/>
              <w:spacing w:line="400" w:lineRule="exact"/>
              <w:rPr>
                <w:rFonts w:asciiTheme="minorEastAsia" w:hAnsiTheme="minorEastAsia" w:eastAsiaTheme="minorEastAsia" w:cstheme="minorEastAsia"/>
                <w:color w:val="auto"/>
                <w:sz w:val="24"/>
                <w:highlight w:val="none"/>
              </w:rPr>
            </w:pPr>
          </w:p>
        </w:tc>
        <w:tc>
          <w:tcPr>
            <w:tcW w:w="1445" w:type="dxa"/>
            <w:gridSpan w:val="2"/>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5052543">
            <w:pPr>
              <w:shd w:val="clear"/>
              <w:snapToGrid w:val="0"/>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授权代表</w:t>
            </w:r>
          </w:p>
        </w:tc>
        <w:tc>
          <w:tcPr>
            <w:tcW w:w="1576" w:type="dxa"/>
            <w:gridSpan w:val="3"/>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9C29A6C">
            <w:pPr>
              <w:shd w:val="clear"/>
              <w:snapToGrid w:val="0"/>
              <w:spacing w:line="400" w:lineRule="exact"/>
              <w:rPr>
                <w:rFonts w:asciiTheme="minorEastAsia" w:hAnsiTheme="minorEastAsia" w:eastAsiaTheme="minorEastAsia" w:cstheme="minorEastAsia"/>
                <w:color w:val="auto"/>
                <w:sz w:val="24"/>
                <w:highlight w:val="none"/>
              </w:rPr>
            </w:pPr>
          </w:p>
        </w:tc>
        <w:tc>
          <w:tcPr>
            <w:tcW w:w="919"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AEF66D1">
            <w:pPr>
              <w:shd w:val="clear"/>
              <w:snapToGrid w:val="0"/>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职务</w:t>
            </w:r>
          </w:p>
        </w:tc>
        <w:tc>
          <w:tcPr>
            <w:tcW w:w="1869" w:type="dxa"/>
            <w:gridSpan w:val="2"/>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2676357">
            <w:pPr>
              <w:shd w:val="clear"/>
              <w:snapToGrid w:val="0"/>
              <w:spacing w:line="400" w:lineRule="exact"/>
              <w:rPr>
                <w:rFonts w:asciiTheme="minorEastAsia" w:hAnsiTheme="minorEastAsia" w:eastAsiaTheme="minorEastAsia" w:cstheme="minorEastAsia"/>
                <w:color w:val="auto"/>
                <w:sz w:val="24"/>
                <w:highlight w:val="none"/>
              </w:rPr>
            </w:pPr>
          </w:p>
        </w:tc>
      </w:tr>
      <w:tr w14:paraId="4D9EE04C">
        <w:tblPrEx>
          <w:tblCellMar>
            <w:top w:w="0" w:type="dxa"/>
            <w:left w:w="0" w:type="dxa"/>
            <w:bottom w:w="0" w:type="dxa"/>
            <w:right w:w="0" w:type="dxa"/>
          </w:tblCellMar>
        </w:tblPrEx>
        <w:trPr>
          <w:trHeight w:val="431" w:hRule="atLeast"/>
        </w:trPr>
        <w:tc>
          <w:tcPr>
            <w:tcW w:w="109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2F35E61">
            <w:pPr>
              <w:shd w:val="clear"/>
              <w:snapToGrid w:val="0"/>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邮政编码</w:t>
            </w:r>
          </w:p>
        </w:tc>
        <w:tc>
          <w:tcPr>
            <w:tcW w:w="1723" w:type="dxa"/>
            <w:gridSpan w:val="2"/>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1956334">
            <w:pPr>
              <w:shd w:val="clear"/>
              <w:snapToGrid w:val="0"/>
              <w:spacing w:line="400" w:lineRule="exact"/>
              <w:rPr>
                <w:rFonts w:asciiTheme="minorEastAsia" w:hAnsiTheme="minorEastAsia" w:eastAsiaTheme="minorEastAsia" w:cstheme="minorEastAsia"/>
                <w:color w:val="auto"/>
                <w:sz w:val="24"/>
                <w:highlight w:val="none"/>
              </w:rPr>
            </w:pPr>
          </w:p>
        </w:tc>
        <w:tc>
          <w:tcPr>
            <w:tcW w:w="1445" w:type="dxa"/>
            <w:gridSpan w:val="2"/>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6859612">
            <w:pPr>
              <w:shd w:val="clear"/>
              <w:snapToGrid w:val="0"/>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电    话</w:t>
            </w:r>
          </w:p>
        </w:tc>
        <w:tc>
          <w:tcPr>
            <w:tcW w:w="1576" w:type="dxa"/>
            <w:gridSpan w:val="3"/>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6874B11">
            <w:pPr>
              <w:shd w:val="clear"/>
              <w:snapToGrid w:val="0"/>
              <w:spacing w:line="400" w:lineRule="exact"/>
              <w:rPr>
                <w:rFonts w:asciiTheme="minorEastAsia" w:hAnsiTheme="minorEastAsia" w:eastAsiaTheme="minorEastAsia" w:cstheme="minorEastAsia"/>
                <w:color w:val="auto"/>
                <w:sz w:val="24"/>
                <w:highlight w:val="none"/>
              </w:rPr>
            </w:pPr>
          </w:p>
        </w:tc>
        <w:tc>
          <w:tcPr>
            <w:tcW w:w="919"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17191EC">
            <w:pPr>
              <w:shd w:val="clear"/>
              <w:snapToGrid w:val="0"/>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传真</w:t>
            </w:r>
          </w:p>
        </w:tc>
        <w:tc>
          <w:tcPr>
            <w:tcW w:w="1869" w:type="dxa"/>
            <w:gridSpan w:val="2"/>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3B724A2">
            <w:pPr>
              <w:shd w:val="clear"/>
              <w:snapToGrid w:val="0"/>
              <w:spacing w:line="400" w:lineRule="exact"/>
              <w:rPr>
                <w:rFonts w:asciiTheme="minorEastAsia" w:hAnsiTheme="minorEastAsia" w:eastAsiaTheme="minorEastAsia" w:cstheme="minorEastAsia"/>
                <w:color w:val="auto"/>
                <w:sz w:val="24"/>
                <w:highlight w:val="none"/>
              </w:rPr>
            </w:pPr>
          </w:p>
        </w:tc>
      </w:tr>
      <w:tr w14:paraId="486304B2">
        <w:tblPrEx>
          <w:tblCellMar>
            <w:top w:w="0" w:type="dxa"/>
            <w:left w:w="0" w:type="dxa"/>
            <w:bottom w:w="0" w:type="dxa"/>
            <w:right w:w="0" w:type="dxa"/>
          </w:tblCellMar>
        </w:tblPrEx>
        <w:trPr>
          <w:trHeight w:val="1402" w:hRule="atLeast"/>
        </w:trPr>
        <w:tc>
          <w:tcPr>
            <w:tcW w:w="109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37B08C0">
            <w:pPr>
              <w:shd w:val="clear"/>
              <w:snapToGrid w:val="0"/>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单位</w:t>
            </w:r>
          </w:p>
          <w:p w14:paraId="037395B6">
            <w:pPr>
              <w:shd w:val="clear"/>
              <w:snapToGrid w:val="0"/>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简历</w:t>
            </w:r>
          </w:p>
          <w:p w14:paraId="1A858823">
            <w:pPr>
              <w:shd w:val="clear"/>
              <w:snapToGrid w:val="0"/>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及机构</w:t>
            </w:r>
          </w:p>
        </w:tc>
        <w:tc>
          <w:tcPr>
            <w:tcW w:w="7532" w:type="dxa"/>
            <w:gridSpan w:val="10"/>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F0649A1">
            <w:pPr>
              <w:shd w:val="clear"/>
              <w:snapToGrid w:val="0"/>
              <w:spacing w:line="400" w:lineRule="exact"/>
              <w:rPr>
                <w:rFonts w:asciiTheme="minorEastAsia" w:hAnsiTheme="minorEastAsia" w:eastAsiaTheme="minorEastAsia" w:cstheme="minorEastAsia"/>
                <w:color w:val="auto"/>
                <w:sz w:val="24"/>
                <w:highlight w:val="none"/>
              </w:rPr>
            </w:pPr>
          </w:p>
        </w:tc>
      </w:tr>
      <w:tr w14:paraId="362FC049">
        <w:tblPrEx>
          <w:tblCellMar>
            <w:top w:w="0" w:type="dxa"/>
            <w:left w:w="0" w:type="dxa"/>
            <w:bottom w:w="0" w:type="dxa"/>
            <w:right w:w="0" w:type="dxa"/>
          </w:tblCellMar>
        </w:tblPrEx>
        <w:trPr>
          <w:trHeight w:val="1161" w:hRule="atLeast"/>
        </w:trPr>
        <w:tc>
          <w:tcPr>
            <w:tcW w:w="109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9C379EF">
            <w:pPr>
              <w:shd w:val="clear"/>
              <w:snapToGrid w:val="0"/>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单位</w:t>
            </w:r>
          </w:p>
          <w:p w14:paraId="23FA7A0D">
            <w:pPr>
              <w:shd w:val="clear"/>
              <w:snapToGrid w:val="0"/>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优势</w:t>
            </w:r>
          </w:p>
          <w:p w14:paraId="0B7F8E16">
            <w:pPr>
              <w:shd w:val="clear"/>
              <w:snapToGrid w:val="0"/>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及特长</w:t>
            </w:r>
          </w:p>
        </w:tc>
        <w:tc>
          <w:tcPr>
            <w:tcW w:w="7532" w:type="dxa"/>
            <w:gridSpan w:val="10"/>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FA354DE">
            <w:pPr>
              <w:shd w:val="clear"/>
              <w:snapToGrid w:val="0"/>
              <w:spacing w:line="400" w:lineRule="exact"/>
              <w:rPr>
                <w:rFonts w:asciiTheme="minorEastAsia" w:hAnsiTheme="minorEastAsia" w:eastAsiaTheme="minorEastAsia" w:cstheme="minorEastAsia"/>
                <w:color w:val="auto"/>
                <w:sz w:val="24"/>
                <w:highlight w:val="none"/>
              </w:rPr>
            </w:pPr>
          </w:p>
        </w:tc>
      </w:tr>
      <w:tr w14:paraId="7EEBF0E7">
        <w:tblPrEx>
          <w:tblCellMar>
            <w:top w:w="0" w:type="dxa"/>
            <w:left w:w="0" w:type="dxa"/>
            <w:bottom w:w="0" w:type="dxa"/>
            <w:right w:w="0" w:type="dxa"/>
          </w:tblCellMar>
        </w:tblPrEx>
        <w:trPr>
          <w:trHeight w:val="431" w:hRule="atLeast"/>
        </w:trPr>
        <w:tc>
          <w:tcPr>
            <w:tcW w:w="1091" w:type="dxa"/>
            <w:vMerge w:val="restart"/>
            <w:tcBorders>
              <w:top w:val="single" w:color="000000" w:sz="6" w:space="0"/>
              <w:left w:val="single" w:color="000000" w:sz="6" w:space="0"/>
              <w:bottom w:val="single" w:color="000000" w:sz="4" w:space="0"/>
              <w:right w:val="single" w:color="000000" w:sz="6" w:space="0"/>
            </w:tcBorders>
            <w:noWrap/>
            <w:tcMar>
              <w:top w:w="0" w:type="dxa"/>
              <w:left w:w="28" w:type="dxa"/>
              <w:bottom w:w="0" w:type="dxa"/>
              <w:right w:w="28" w:type="dxa"/>
            </w:tcMar>
            <w:vAlign w:val="center"/>
          </w:tcPr>
          <w:p w14:paraId="7E727EEA">
            <w:pPr>
              <w:shd w:val="clear"/>
              <w:snapToGrid w:val="0"/>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单</w:t>
            </w:r>
          </w:p>
          <w:p w14:paraId="7C921A61">
            <w:pPr>
              <w:shd w:val="clear"/>
              <w:snapToGrid w:val="0"/>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位</w:t>
            </w:r>
          </w:p>
          <w:p w14:paraId="6E401759">
            <w:pPr>
              <w:shd w:val="clear"/>
              <w:snapToGrid w:val="0"/>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概</w:t>
            </w:r>
          </w:p>
          <w:p w14:paraId="7B696982">
            <w:pPr>
              <w:shd w:val="clear"/>
              <w:snapToGrid w:val="0"/>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况</w:t>
            </w:r>
          </w:p>
        </w:tc>
        <w:tc>
          <w:tcPr>
            <w:tcW w:w="967" w:type="dxa"/>
            <w:vMerge w:val="restart"/>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15853F6">
            <w:pPr>
              <w:shd w:val="clear"/>
              <w:snapToGrid w:val="0"/>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职工</w:t>
            </w:r>
          </w:p>
          <w:p w14:paraId="0A47583E">
            <w:pPr>
              <w:shd w:val="clear"/>
              <w:snapToGrid w:val="0"/>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总数</w:t>
            </w:r>
          </w:p>
        </w:tc>
        <w:tc>
          <w:tcPr>
            <w:tcW w:w="2464" w:type="dxa"/>
            <w:gridSpan w:val="4"/>
            <w:vMerge w:val="restart"/>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3914A6E">
            <w:pPr>
              <w:shd w:val="clear"/>
              <w:snapToGrid w:val="0"/>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人</w:t>
            </w:r>
          </w:p>
        </w:tc>
        <w:tc>
          <w:tcPr>
            <w:tcW w:w="4101" w:type="dxa"/>
            <w:gridSpan w:val="5"/>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D386712">
            <w:pPr>
              <w:shd w:val="clear"/>
              <w:snapToGrid w:val="0"/>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生产工人人</w:t>
            </w:r>
          </w:p>
        </w:tc>
      </w:tr>
      <w:tr w14:paraId="16625B9C">
        <w:tblPrEx>
          <w:tblCellMar>
            <w:top w:w="0" w:type="dxa"/>
            <w:left w:w="0" w:type="dxa"/>
            <w:bottom w:w="0" w:type="dxa"/>
            <w:right w:w="0" w:type="dxa"/>
          </w:tblCellMar>
        </w:tblPrEx>
        <w:trPr>
          <w:trHeight w:val="431" w:hRule="atLeast"/>
        </w:trPr>
        <w:tc>
          <w:tcPr>
            <w:tcW w:w="1091" w:type="dxa"/>
            <w:vMerge w:val="continue"/>
            <w:tcBorders>
              <w:top w:val="single" w:color="000000" w:sz="6" w:space="0"/>
              <w:left w:val="single" w:color="000000" w:sz="6" w:space="0"/>
              <w:bottom w:val="single" w:color="000000" w:sz="4" w:space="0"/>
              <w:right w:val="single" w:color="000000" w:sz="6" w:space="0"/>
            </w:tcBorders>
            <w:noWrap/>
            <w:tcMar>
              <w:top w:w="0" w:type="dxa"/>
              <w:left w:w="28" w:type="dxa"/>
              <w:bottom w:w="0" w:type="dxa"/>
              <w:right w:w="28" w:type="dxa"/>
            </w:tcMar>
            <w:vAlign w:val="center"/>
          </w:tcPr>
          <w:p w14:paraId="4E518807">
            <w:pPr>
              <w:shd w:val="clear"/>
              <w:snapToGrid w:val="0"/>
              <w:spacing w:line="400" w:lineRule="exact"/>
              <w:jc w:val="center"/>
              <w:rPr>
                <w:rFonts w:asciiTheme="minorEastAsia" w:hAnsiTheme="minorEastAsia" w:eastAsiaTheme="minorEastAsia" w:cstheme="minorEastAsia"/>
                <w:color w:val="auto"/>
                <w:sz w:val="24"/>
                <w:highlight w:val="none"/>
              </w:rPr>
            </w:pPr>
          </w:p>
        </w:tc>
        <w:tc>
          <w:tcPr>
            <w:tcW w:w="967" w:type="dxa"/>
            <w:vMerge w:val="continue"/>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9136F27">
            <w:pPr>
              <w:shd w:val="clear"/>
              <w:snapToGrid w:val="0"/>
              <w:spacing w:line="400" w:lineRule="exact"/>
              <w:jc w:val="center"/>
              <w:rPr>
                <w:rFonts w:asciiTheme="minorEastAsia" w:hAnsiTheme="minorEastAsia" w:eastAsiaTheme="minorEastAsia" w:cstheme="minorEastAsia"/>
                <w:color w:val="auto"/>
                <w:sz w:val="24"/>
                <w:highlight w:val="none"/>
              </w:rPr>
            </w:pPr>
          </w:p>
        </w:tc>
        <w:tc>
          <w:tcPr>
            <w:tcW w:w="2464" w:type="dxa"/>
            <w:gridSpan w:val="4"/>
            <w:vMerge w:val="continue"/>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BA712DD">
            <w:pPr>
              <w:shd w:val="clear"/>
              <w:snapToGrid w:val="0"/>
              <w:spacing w:line="400" w:lineRule="exact"/>
              <w:jc w:val="center"/>
              <w:rPr>
                <w:rFonts w:asciiTheme="minorEastAsia" w:hAnsiTheme="minorEastAsia" w:eastAsiaTheme="minorEastAsia" w:cstheme="minorEastAsia"/>
                <w:color w:val="auto"/>
                <w:sz w:val="24"/>
                <w:highlight w:val="none"/>
              </w:rPr>
            </w:pPr>
          </w:p>
        </w:tc>
        <w:tc>
          <w:tcPr>
            <w:tcW w:w="4101" w:type="dxa"/>
            <w:gridSpan w:val="5"/>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F9ADB0A">
            <w:pPr>
              <w:shd w:val="clear"/>
              <w:snapToGrid w:val="0"/>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工程技术人员人</w:t>
            </w:r>
          </w:p>
        </w:tc>
      </w:tr>
      <w:tr w14:paraId="4BED4407">
        <w:tblPrEx>
          <w:tblCellMar>
            <w:top w:w="0" w:type="dxa"/>
            <w:left w:w="0" w:type="dxa"/>
            <w:bottom w:w="0" w:type="dxa"/>
            <w:right w:w="0" w:type="dxa"/>
          </w:tblCellMar>
        </w:tblPrEx>
        <w:trPr>
          <w:trHeight w:val="431" w:hRule="atLeast"/>
        </w:trPr>
        <w:tc>
          <w:tcPr>
            <w:tcW w:w="1091" w:type="dxa"/>
            <w:vMerge w:val="continue"/>
            <w:tcBorders>
              <w:top w:val="single" w:color="000000" w:sz="6" w:space="0"/>
              <w:left w:val="single" w:color="000000" w:sz="6" w:space="0"/>
              <w:bottom w:val="single" w:color="000000" w:sz="4" w:space="0"/>
              <w:right w:val="single" w:color="000000" w:sz="6" w:space="0"/>
            </w:tcBorders>
            <w:noWrap/>
            <w:tcMar>
              <w:top w:w="0" w:type="dxa"/>
              <w:left w:w="28" w:type="dxa"/>
              <w:bottom w:w="0" w:type="dxa"/>
              <w:right w:w="28" w:type="dxa"/>
            </w:tcMar>
            <w:vAlign w:val="center"/>
          </w:tcPr>
          <w:p w14:paraId="0C78579B">
            <w:pPr>
              <w:shd w:val="clear"/>
              <w:snapToGrid w:val="0"/>
              <w:spacing w:line="400" w:lineRule="exact"/>
              <w:jc w:val="center"/>
              <w:rPr>
                <w:rFonts w:asciiTheme="minorEastAsia" w:hAnsiTheme="minorEastAsia" w:eastAsiaTheme="minorEastAsia" w:cstheme="minorEastAsia"/>
                <w:color w:val="auto"/>
                <w:sz w:val="24"/>
                <w:highlight w:val="none"/>
              </w:rPr>
            </w:pPr>
          </w:p>
        </w:tc>
        <w:tc>
          <w:tcPr>
            <w:tcW w:w="967" w:type="dxa"/>
            <w:vMerge w:val="restart"/>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4E9965E">
            <w:pPr>
              <w:shd w:val="clear"/>
              <w:snapToGrid w:val="0"/>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流动</w:t>
            </w:r>
          </w:p>
          <w:p w14:paraId="020C3C23">
            <w:pPr>
              <w:shd w:val="clear"/>
              <w:snapToGrid w:val="0"/>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资金</w:t>
            </w:r>
          </w:p>
        </w:tc>
        <w:tc>
          <w:tcPr>
            <w:tcW w:w="2464" w:type="dxa"/>
            <w:gridSpan w:val="4"/>
            <w:vMerge w:val="restart"/>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D5F19CF">
            <w:pPr>
              <w:shd w:val="clear"/>
              <w:snapToGrid w:val="0"/>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万元</w:t>
            </w:r>
          </w:p>
        </w:tc>
        <w:tc>
          <w:tcPr>
            <w:tcW w:w="525" w:type="dxa"/>
            <w:vMerge w:val="restart"/>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16B0F80">
            <w:pPr>
              <w:shd w:val="clear"/>
              <w:snapToGrid w:val="0"/>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资</w:t>
            </w:r>
          </w:p>
          <w:p w14:paraId="1D3DE589">
            <w:pPr>
              <w:shd w:val="clear"/>
              <w:snapToGrid w:val="0"/>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金</w:t>
            </w:r>
          </w:p>
          <w:p w14:paraId="5EB97E4F">
            <w:pPr>
              <w:shd w:val="clear"/>
              <w:snapToGrid w:val="0"/>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来</w:t>
            </w:r>
          </w:p>
          <w:p w14:paraId="517EE6F8">
            <w:pPr>
              <w:shd w:val="clear"/>
              <w:snapToGrid w:val="0"/>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源</w:t>
            </w:r>
          </w:p>
        </w:tc>
        <w:tc>
          <w:tcPr>
            <w:tcW w:w="1788" w:type="dxa"/>
            <w:gridSpan w:val="3"/>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ABF10E7">
            <w:pPr>
              <w:shd w:val="clear"/>
              <w:snapToGrid w:val="0"/>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自有资金</w:t>
            </w:r>
          </w:p>
        </w:tc>
        <w:tc>
          <w:tcPr>
            <w:tcW w:w="178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90671FB">
            <w:pPr>
              <w:shd w:val="clear"/>
              <w:snapToGrid w:val="0"/>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万元</w:t>
            </w:r>
          </w:p>
        </w:tc>
      </w:tr>
      <w:tr w14:paraId="453BE2D0">
        <w:tblPrEx>
          <w:tblCellMar>
            <w:top w:w="0" w:type="dxa"/>
            <w:left w:w="0" w:type="dxa"/>
            <w:bottom w:w="0" w:type="dxa"/>
            <w:right w:w="0" w:type="dxa"/>
          </w:tblCellMar>
        </w:tblPrEx>
        <w:trPr>
          <w:trHeight w:val="431" w:hRule="atLeast"/>
        </w:trPr>
        <w:tc>
          <w:tcPr>
            <w:tcW w:w="1091" w:type="dxa"/>
            <w:vMerge w:val="continue"/>
            <w:tcBorders>
              <w:top w:val="single" w:color="000000" w:sz="6" w:space="0"/>
              <w:left w:val="single" w:color="000000" w:sz="6" w:space="0"/>
              <w:bottom w:val="single" w:color="000000" w:sz="4" w:space="0"/>
              <w:right w:val="single" w:color="000000" w:sz="6" w:space="0"/>
            </w:tcBorders>
            <w:noWrap/>
            <w:tcMar>
              <w:top w:w="0" w:type="dxa"/>
              <w:left w:w="28" w:type="dxa"/>
              <w:bottom w:w="0" w:type="dxa"/>
              <w:right w:w="28" w:type="dxa"/>
            </w:tcMar>
            <w:vAlign w:val="center"/>
          </w:tcPr>
          <w:p w14:paraId="02997022">
            <w:pPr>
              <w:shd w:val="clear"/>
              <w:snapToGrid w:val="0"/>
              <w:spacing w:line="400" w:lineRule="exact"/>
              <w:jc w:val="center"/>
              <w:rPr>
                <w:rFonts w:asciiTheme="minorEastAsia" w:hAnsiTheme="minorEastAsia" w:eastAsiaTheme="minorEastAsia" w:cstheme="minorEastAsia"/>
                <w:color w:val="auto"/>
                <w:sz w:val="24"/>
                <w:highlight w:val="none"/>
              </w:rPr>
            </w:pPr>
          </w:p>
        </w:tc>
        <w:tc>
          <w:tcPr>
            <w:tcW w:w="967" w:type="dxa"/>
            <w:vMerge w:val="continue"/>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9D780FF">
            <w:pPr>
              <w:shd w:val="clear"/>
              <w:snapToGrid w:val="0"/>
              <w:spacing w:line="400" w:lineRule="exact"/>
              <w:jc w:val="center"/>
              <w:rPr>
                <w:rFonts w:asciiTheme="minorEastAsia" w:hAnsiTheme="minorEastAsia" w:eastAsiaTheme="minorEastAsia" w:cstheme="minorEastAsia"/>
                <w:color w:val="auto"/>
                <w:sz w:val="24"/>
                <w:highlight w:val="none"/>
              </w:rPr>
            </w:pPr>
          </w:p>
        </w:tc>
        <w:tc>
          <w:tcPr>
            <w:tcW w:w="2464" w:type="dxa"/>
            <w:gridSpan w:val="4"/>
            <w:vMerge w:val="continue"/>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3E2C0ED">
            <w:pPr>
              <w:shd w:val="clear"/>
              <w:snapToGrid w:val="0"/>
              <w:spacing w:line="400" w:lineRule="exact"/>
              <w:jc w:val="center"/>
              <w:rPr>
                <w:rFonts w:asciiTheme="minorEastAsia" w:hAnsiTheme="minorEastAsia" w:eastAsiaTheme="minorEastAsia" w:cstheme="minorEastAsia"/>
                <w:color w:val="auto"/>
                <w:sz w:val="24"/>
                <w:highlight w:val="none"/>
              </w:rPr>
            </w:pPr>
          </w:p>
        </w:tc>
        <w:tc>
          <w:tcPr>
            <w:tcW w:w="525" w:type="dxa"/>
            <w:vMerge w:val="continue"/>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5EABF37">
            <w:pPr>
              <w:shd w:val="clear"/>
              <w:snapToGrid w:val="0"/>
              <w:spacing w:line="400" w:lineRule="exact"/>
              <w:jc w:val="center"/>
              <w:rPr>
                <w:rFonts w:asciiTheme="minorEastAsia" w:hAnsiTheme="minorEastAsia" w:eastAsiaTheme="minorEastAsia" w:cstheme="minorEastAsia"/>
                <w:color w:val="auto"/>
                <w:sz w:val="24"/>
                <w:highlight w:val="none"/>
              </w:rPr>
            </w:pPr>
          </w:p>
        </w:tc>
        <w:tc>
          <w:tcPr>
            <w:tcW w:w="1788" w:type="dxa"/>
            <w:gridSpan w:val="3"/>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3BBD8F1">
            <w:pPr>
              <w:shd w:val="clear"/>
              <w:snapToGrid w:val="0"/>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银行贷款</w:t>
            </w:r>
          </w:p>
        </w:tc>
        <w:tc>
          <w:tcPr>
            <w:tcW w:w="178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1001B98">
            <w:pPr>
              <w:shd w:val="clear"/>
              <w:snapToGrid w:val="0"/>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万元</w:t>
            </w:r>
          </w:p>
        </w:tc>
      </w:tr>
      <w:tr w14:paraId="74920EB1">
        <w:tblPrEx>
          <w:tblCellMar>
            <w:top w:w="0" w:type="dxa"/>
            <w:left w:w="0" w:type="dxa"/>
            <w:bottom w:w="0" w:type="dxa"/>
            <w:right w:w="0" w:type="dxa"/>
          </w:tblCellMar>
        </w:tblPrEx>
        <w:trPr>
          <w:trHeight w:val="751" w:hRule="atLeast"/>
        </w:trPr>
        <w:tc>
          <w:tcPr>
            <w:tcW w:w="1091" w:type="dxa"/>
            <w:vMerge w:val="continue"/>
            <w:tcBorders>
              <w:top w:val="single" w:color="000000" w:sz="6" w:space="0"/>
              <w:left w:val="single" w:color="000000" w:sz="6" w:space="0"/>
              <w:bottom w:val="single" w:color="000000" w:sz="4" w:space="0"/>
              <w:right w:val="single" w:color="000000" w:sz="6" w:space="0"/>
            </w:tcBorders>
            <w:noWrap/>
            <w:tcMar>
              <w:top w:w="0" w:type="dxa"/>
              <w:left w:w="28" w:type="dxa"/>
              <w:bottom w:w="0" w:type="dxa"/>
              <w:right w:w="28" w:type="dxa"/>
            </w:tcMar>
            <w:vAlign w:val="center"/>
          </w:tcPr>
          <w:p w14:paraId="04C39F55">
            <w:pPr>
              <w:shd w:val="clear"/>
              <w:snapToGrid w:val="0"/>
              <w:spacing w:line="400" w:lineRule="exact"/>
              <w:jc w:val="center"/>
              <w:rPr>
                <w:rFonts w:asciiTheme="minorEastAsia" w:hAnsiTheme="minorEastAsia" w:eastAsiaTheme="minorEastAsia" w:cstheme="minorEastAsia"/>
                <w:color w:val="auto"/>
                <w:sz w:val="24"/>
                <w:highlight w:val="none"/>
              </w:rPr>
            </w:pPr>
          </w:p>
        </w:tc>
        <w:tc>
          <w:tcPr>
            <w:tcW w:w="967" w:type="dxa"/>
            <w:vMerge w:val="restart"/>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84C800E">
            <w:pPr>
              <w:shd w:val="clear"/>
              <w:snapToGrid w:val="0"/>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固定</w:t>
            </w:r>
          </w:p>
          <w:p w14:paraId="4A86FF2A">
            <w:pPr>
              <w:shd w:val="clear"/>
              <w:snapToGrid w:val="0"/>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资产</w:t>
            </w:r>
          </w:p>
        </w:tc>
        <w:tc>
          <w:tcPr>
            <w:tcW w:w="2464" w:type="dxa"/>
            <w:gridSpan w:val="4"/>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6E0B737">
            <w:pPr>
              <w:shd w:val="clear"/>
              <w:snapToGrid w:val="0"/>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原值万元</w:t>
            </w:r>
          </w:p>
        </w:tc>
        <w:tc>
          <w:tcPr>
            <w:tcW w:w="525" w:type="dxa"/>
            <w:vMerge w:val="restart"/>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A7A712E">
            <w:pPr>
              <w:shd w:val="clear"/>
              <w:snapToGrid w:val="0"/>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资</w:t>
            </w:r>
          </w:p>
          <w:p w14:paraId="7BA9D5DA">
            <w:pPr>
              <w:shd w:val="clear"/>
              <w:snapToGrid w:val="0"/>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金</w:t>
            </w:r>
          </w:p>
          <w:p w14:paraId="381AB5E7">
            <w:pPr>
              <w:shd w:val="clear"/>
              <w:snapToGrid w:val="0"/>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性</w:t>
            </w:r>
          </w:p>
          <w:p w14:paraId="591509C2">
            <w:pPr>
              <w:shd w:val="clear"/>
              <w:snapToGrid w:val="0"/>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w:t>
            </w:r>
          </w:p>
        </w:tc>
        <w:tc>
          <w:tcPr>
            <w:tcW w:w="1788" w:type="dxa"/>
            <w:gridSpan w:val="3"/>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B83D7BC">
            <w:pPr>
              <w:shd w:val="clear"/>
              <w:snapToGrid w:val="0"/>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生产性</w:t>
            </w:r>
          </w:p>
        </w:tc>
        <w:tc>
          <w:tcPr>
            <w:tcW w:w="178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98E88CB">
            <w:pPr>
              <w:shd w:val="clear"/>
              <w:snapToGrid w:val="0"/>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万元</w:t>
            </w:r>
          </w:p>
        </w:tc>
      </w:tr>
      <w:tr w14:paraId="016D0DE9">
        <w:tblPrEx>
          <w:tblCellMar>
            <w:top w:w="0" w:type="dxa"/>
            <w:left w:w="0" w:type="dxa"/>
            <w:bottom w:w="0" w:type="dxa"/>
            <w:right w:w="0" w:type="dxa"/>
          </w:tblCellMar>
        </w:tblPrEx>
        <w:trPr>
          <w:trHeight w:val="945" w:hRule="atLeast"/>
        </w:trPr>
        <w:tc>
          <w:tcPr>
            <w:tcW w:w="1091" w:type="dxa"/>
            <w:vMerge w:val="continue"/>
            <w:tcBorders>
              <w:top w:val="single" w:color="000000" w:sz="6" w:space="0"/>
              <w:left w:val="single" w:color="000000" w:sz="6" w:space="0"/>
              <w:bottom w:val="single" w:color="000000" w:sz="4" w:space="0"/>
              <w:right w:val="single" w:color="000000" w:sz="6" w:space="0"/>
            </w:tcBorders>
            <w:noWrap/>
            <w:tcMar>
              <w:top w:w="0" w:type="dxa"/>
              <w:left w:w="28" w:type="dxa"/>
              <w:bottom w:w="0" w:type="dxa"/>
              <w:right w:w="28" w:type="dxa"/>
            </w:tcMar>
            <w:vAlign w:val="center"/>
          </w:tcPr>
          <w:p w14:paraId="15A1143A">
            <w:pPr>
              <w:shd w:val="clear"/>
              <w:snapToGrid w:val="0"/>
              <w:spacing w:line="400" w:lineRule="exact"/>
              <w:jc w:val="center"/>
              <w:rPr>
                <w:rFonts w:asciiTheme="minorEastAsia" w:hAnsiTheme="minorEastAsia" w:eastAsiaTheme="minorEastAsia" w:cstheme="minorEastAsia"/>
                <w:color w:val="auto"/>
                <w:sz w:val="24"/>
                <w:highlight w:val="none"/>
              </w:rPr>
            </w:pPr>
          </w:p>
        </w:tc>
        <w:tc>
          <w:tcPr>
            <w:tcW w:w="967" w:type="dxa"/>
            <w:vMerge w:val="continue"/>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1684F84">
            <w:pPr>
              <w:shd w:val="clear"/>
              <w:snapToGrid w:val="0"/>
              <w:spacing w:line="400" w:lineRule="exact"/>
              <w:jc w:val="center"/>
              <w:rPr>
                <w:rFonts w:asciiTheme="minorEastAsia" w:hAnsiTheme="minorEastAsia" w:eastAsiaTheme="minorEastAsia" w:cstheme="minorEastAsia"/>
                <w:color w:val="auto"/>
                <w:sz w:val="24"/>
                <w:highlight w:val="none"/>
              </w:rPr>
            </w:pPr>
          </w:p>
        </w:tc>
        <w:tc>
          <w:tcPr>
            <w:tcW w:w="2464" w:type="dxa"/>
            <w:gridSpan w:val="4"/>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BE3FFB6">
            <w:pPr>
              <w:shd w:val="clear"/>
              <w:snapToGrid w:val="0"/>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净值万元</w:t>
            </w:r>
          </w:p>
        </w:tc>
        <w:tc>
          <w:tcPr>
            <w:tcW w:w="525" w:type="dxa"/>
            <w:vMerge w:val="continue"/>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ACA7EAA">
            <w:pPr>
              <w:shd w:val="clear"/>
              <w:snapToGrid w:val="0"/>
              <w:spacing w:line="400" w:lineRule="exact"/>
              <w:jc w:val="center"/>
              <w:rPr>
                <w:rFonts w:asciiTheme="minorEastAsia" w:hAnsiTheme="minorEastAsia" w:eastAsiaTheme="minorEastAsia" w:cstheme="minorEastAsia"/>
                <w:color w:val="auto"/>
                <w:sz w:val="24"/>
                <w:highlight w:val="none"/>
              </w:rPr>
            </w:pPr>
          </w:p>
        </w:tc>
        <w:tc>
          <w:tcPr>
            <w:tcW w:w="1788" w:type="dxa"/>
            <w:gridSpan w:val="3"/>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3D92626">
            <w:pPr>
              <w:shd w:val="clear"/>
              <w:snapToGrid w:val="0"/>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非生产性</w:t>
            </w:r>
          </w:p>
        </w:tc>
        <w:tc>
          <w:tcPr>
            <w:tcW w:w="178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F81EBC1">
            <w:pPr>
              <w:shd w:val="clear"/>
              <w:snapToGrid w:val="0"/>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万元</w:t>
            </w:r>
          </w:p>
        </w:tc>
      </w:tr>
      <w:tr w14:paraId="4A451014">
        <w:tblPrEx>
          <w:tblCellMar>
            <w:top w:w="0" w:type="dxa"/>
            <w:left w:w="0" w:type="dxa"/>
            <w:bottom w:w="0" w:type="dxa"/>
            <w:right w:w="0" w:type="dxa"/>
          </w:tblCellMar>
        </w:tblPrEx>
        <w:trPr>
          <w:trHeight w:val="431" w:hRule="atLeast"/>
        </w:trPr>
        <w:tc>
          <w:tcPr>
            <w:tcW w:w="1091" w:type="dxa"/>
            <w:vMerge w:val="restart"/>
            <w:tcBorders>
              <w:top w:val="single" w:color="000000" w:sz="4"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052AF3B">
            <w:pPr>
              <w:shd w:val="clear"/>
              <w:snapToGrid w:val="0"/>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企业</w:t>
            </w:r>
          </w:p>
          <w:p w14:paraId="2AE58141">
            <w:pPr>
              <w:shd w:val="clear"/>
              <w:snapToGrid w:val="0"/>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财务</w:t>
            </w:r>
          </w:p>
          <w:p w14:paraId="6F9EB77C">
            <w:pPr>
              <w:shd w:val="clear"/>
              <w:snapToGrid w:val="0"/>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状况</w:t>
            </w:r>
          </w:p>
          <w:p w14:paraId="1FD8BB9A">
            <w:pPr>
              <w:shd w:val="clear"/>
              <w:snapToGrid w:val="0"/>
              <w:spacing w:line="400" w:lineRule="exact"/>
              <w:jc w:val="center"/>
              <w:rPr>
                <w:rFonts w:asciiTheme="minorEastAsia" w:hAnsiTheme="minorEastAsia" w:eastAsiaTheme="minorEastAsia" w:cstheme="minorEastAsia"/>
                <w:color w:val="auto"/>
                <w:sz w:val="24"/>
                <w:highlight w:val="none"/>
              </w:rPr>
            </w:pPr>
          </w:p>
        </w:tc>
        <w:tc>
          <w:tcPr>
            <w:tcW w:w="967"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577EFF0">
            <w:pPr>
              <w:shd w:val="clear"/>
              <w:snapToGrid w:val="0"/>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年度</w:t>
            </w:r>
          </w:p>
        </w:tc>
        <w:tc>
          <w:tcPr>
            <w:tcW w:w="1494" w:type="dxa"/>
            <w:gridSpan w:val="2"/>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F9B8A72">
            <w:pPr>
              <w:shd w:val="clear"/>
              <w:snapToGrid w:val="0"/>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收入总额</w:t>
            </w:r>
          </w:p>
        </w:tc>
        <w:tc>
          <w:tcPr>
            <w:tcW w:w="1495" w:type="dxa"/>
            <w:gridSpan w:val="3"/>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DA467C2">
            <w:pPr>
              <w:shd w:val="clear"/>
              <w:snapToGrid w:val="0"/>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利润总额</w:t>
            </w:r>
          </w:p>
        </w:tc>
        <w:tc>
          <w:tcPr>
            <w:tcW w:w="1788" w:type="dxa"/>
            <w:gridSpan w:val="3"/>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14CC2BB">
            <w:pPr>
              <w:shd w:val="clear"/>
              <w:snapToGrid w:val="0"/>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税后利润</w:t>
            </w:r>
          </w:p>
        </w:tc>
        <w:tc>
          <w:tcPr>
            <w:tcW w:w="178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C98FFC8">
            <w:pPr>
              <w:shd w:val="clear"/>
              <w:snapToGrid w:val="0"/>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负债总额</w:t>
            </w:r>
          </w:p>
        </w:tc>
      </w:tr>
      <w:tr w14:paraId="47B8B28E">
        <w:tblPrEx>
          <w:tblCellMar>
            <w:top w:w="0" w:type="dxa"/>
            <w:left w:w="0" w:type="dxa"/>
            <w:bottom w:w="0" w:type="dxa"/>
            <w:right w:w="0" w:type="dxa"/>
          </w:tblCellMar>
        </w:tblPrEx>
        <w:trPr>
          <w:trHeight w:val="431" w:hRule="atLeast"/>
        </w:trPr>
        <w:tc>
          <w:tcPr>
            <w:tcW w:w="1091" w:type="dxa"/>
            <w:vMerge w:val="continue"/>
            <w:tcBorders>
              <w:top w:val="single" w:color="000000" w:sz="4"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C9E7547">
            <w:pPr>
              <w:shd w:val="clear"/>
              <w:snapToGrid w:val="0"/>
              <w:spacing w:line="400" w:lineRule="exact"/>
              <w:jc w:val="center"/>
              <w:rPr>
                <w:rFonts w:asciiTheme="minorEastAsia" w:hAnsiTheme="minorEastAsia" w:eastAsiaTheme="minorEastAsia" w:cstheme="minorEastAsia"/>
                <w:color w:val="auto"/>
                <w:sz w:val="24"/>
                <w:highlight w:val="none"/>
              </w:rPr>
            </w:pPr>
          </w:p>
        </w:tc>
        <w:tc>
          <w:tcPr>
            <w:tcW w:w="967"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18BD8DC">
            <w:pPr>
              <w:shd w:val="clear"/>
              <w:snapToGrid w:val="0"/>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202</w:t>
            </w: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年</w:t>
            </w:r>
          </w:p>
        </w:tc>
        <w:tc>
          <w:tcPr>
            <w:tcW w:w="1494" w:type="dxa"/>
            <w:gridSpan w:val="2"/>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387F473">
            <w:pPr>
              <w:shd w:val="clear"/>
              <w:snapToGrid w:val="0"/>
              <w:spacing w:line="400" w:lineRule="exact"/>
              <w:rPr>
                <w:rFonts w:asciiTheme="minorEastAsia" w:hAnsiTheme="minorEastAsia" w:eastAsiaTheme="minorEastAsia" w:cstheme="minorEastAsia"/>
                <w:color w:val="auto"/>
                <w:sz w:val="24"/>
                <w:highlight w:val="none"/>
              </w:rPr>
            </w:pPr>
          </w:p>
        </w:tc>
        <w:tc>
          <w:tcPr>
            <w:tcW w:w="1495" w:type="dxa"/>
            <w:gridSpan w:val="3"/>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B8F6A35">
            <w:pPr>
              <w:shd w:val="clear"/>
              <w:snapToGrid w:val="0"/>
              <w:spacing w:line="400" w:lineRule="exact"/>
              <w:rPr>
                <w:rFonts w:asciiTheme="minorEastAsia" w:hAnsiTheme="minorEastAsia" w:eastAsiaTheme="minorEastAsia" w:cstheme="minorEastAsia"/>
                <w:color w:val="auto"/>
                <w:sz w:val="24"/>
                <w:highlight w:val="none"/>
              </w:rPr>
            </w:pPr>
          </w:p>
        </w:tc>
        <w:tc>
          <w:tcPr>
            <w:tcW w:w="1788" w:type="dxa"/>
            <w:gridSpan w:val="3"/>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FFA8B4C">
            <w:pPr>
              <w:shd w:val="clear"/>
              <w:snapToGrid w:val="0"/>
              <w:spacing w:line="400" w:lineRule="exact"/>
              <w:rPr>
                <w:rFonts w:asciiTheme="minorEastAsia" w:hAnsiTheme="minorEastAsia" w:eastAsiaTheme="minorEastAsia" w:cstheme="minorEastAsia"/>
                <w:color w:val="auto"/>
                <w:sz w:val="24"/>
                <w:highlight w:val="none"/>
              </w:rPr>
            </w:pPr>
          </w:p>
        </w:tc>
        <w:tc>
          <w:tcPr>
            <w:tcW w:w="178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D415E29">
            <w:pPr>
              <w:shd w:val="clear"/>
              <w:snapToGrid w:val="0"/>
              <w:spacing w:line="400" w:lineRule="exact"/>
              <w:rPr>
                <w:rFonts w:asciiTheme="minorEastAsia" w:hAnsiTheme="minorEastAsia" w:eastAsiaTheme="minorEastAsia" w:cstheme="minorEastAsia"/>
                <w:color w:val="auto"/>
                <w:sz w:val="24"/>
                <w:highlight w:val="none"/>
              </w:rPr>
            </w:pPr>
          </w:p>
        </w:tc>
      </w:tr>
      <w:tr w14:paraId="13FB6221">
        <w:tblPrEx>
          <w:tblCellMar>
            <w:top w:w="0" w:type="dxa"/>
            <w:left w:w="0" w:type="dxa"/>
            <w:bottom w:w="0" w:type="dxa"/>
            <w:right w:w="0" w:type="dxa"/>
          </w:tblCellMar>
        </w:tblPrEx>
        <w:trPr>
          <w:trHeight w:val="431" w:hRule="atLeast"/>
        </w:trPr>
        <w:tc>
          <w:tcPr>
            <w:tcW w:w="1091" w:type="dxa"/>
            <w:vMerge w:val="continue"/>
            <w:tcBorders>
              <w:top w:val="single" w:color="000000" w:sz="4"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4271370">
            <w:pPr>
              <w:shd w:val="clear"/>
              <w:snapToGrid w:val="0"/>
              <w:spacing w:line="400" w:lineRule="exact"/>
              <w:jc w:val="center"/>
              <w:rPr>
                <w:rFonts w:asciiTheme="minorEastAsia" w:hAnsiTheme="minorEastAsia" w:eastAsiaTheme="minorEastAsia" w:cstheme="minorEastAsia"/>
                <w:color w:val="auto"/>
                <w:sz w:val="24"/>
                <w:highlight w:val="none"/>
              </w:rPr>
            </w:pPr>
          </w:p>
        </w:tc>
        <w:tc>
          <w:tcPr>
            <w:tcW w:w="967"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F18CB8D">
            <w:pPr>
              <w:shd w:val="clear"/>
              <w:snapToGrid w:val="0"/>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202</w:t>
            </w: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年</w:t>
            </w:r>
          </w:p>
        </w:tc>
        <w:tc>
          <w:tcPr>
            <w:tcW w:w="1494" w:type="dxa"/>
            <w:gridSpan w:val="2"/>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3DA361E">
            <w:pPr>
              <w:shd w:val="clear"/>
              <w:snapToGrid w:val="0"/>
              <w:spacing w:line="400" w:lineRule="exact"/>
              <w:rPr>
                <w:rFonts w:asciiTheme="minorEastAsia" w:hAnsiTheme="minorEastAsia" w:eastAsiaTheme="minorEastAsia" w:cstheme="minorEastAsia"/>
                <w:color w:val="auto"/>
                <w:sz w:val="24"/>
                <w:highlight w:val="none"/>
              </w:rPr>
            </w:pPr>
          </w:p>
        </w:tc>
        <w:tc>
          <w:tcPr>
            <w:tcW w:w="1495" w:type="dxa"/>
            <w:gridSpan w:val="3"/>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264F9CE">
            <w:pPr>
              <w:shd w:val="clear"/>
              <w:snapToGrid w:val="0"/>
              <w:spacing w:line="400" w:lineRule="exact"/>
              <w:rPr>
                <w:rFonts w:asciiTheme="minorEastAsia" w:hAnsiTheme="minorEastAsia" w:eastAsiaTheme="minorEastAsia" w:cstheme="minorEastAsia"/>
                <w:color w:val="auto"/>
                <w:sz w:val="24"/>
                <w:highlight w:val="none"/>
              </w:rPr>
            </w:pPr>
          </w:p>
        </w:tc>
        <w:tc>
          <w:tcPr>
            <w:tcW w:w="1788" w:type="dxa"/>
            <w:gridSpan w:val="3"/>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CB767F3">
            <w:pPr>
              <w:shd w:val="clear"/>
              <w:snapToGrid w:val="0"/>
              <w:spacing w:line="400" w:lineRule="exact"/>
              <w:rPr>
                <w:rFonts w:asciiTheme="minorEastAsia" w:hAnsiTheme="minorEastAsia" w:eastAsiaTheme="minorEastAsia" w:cstheme="minorEastAsia"/>
                <w:color w:val="auto"/>
                <w:sz w:val="24"/>
                <w:highlight w:val="none"/>
              </w:rPr>
            </w:pPr>
          </w:p>
        </w:tc>
        <w:tc>
          <w:tcPr>
            <w:tcW w:w="178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21314ED">
            <w:pPr>
              <w:shd w:val="clear"/>
              <w:snapToGrid w:val="0"/>
              <w:spacing w:line="400" w:lineRule="exact"/>
              <w:rPr>
                <w:rFonts w:asciiTheme="minorEastAsia" w:hAnsiTheme="minorEastAsia" w:eastAsiaTheme="minorEastAsia" w:cstheme="minorEastAsia"/>
                <w:color w:val="auto"/>
                <w:sz w:val="24"/>
                <w:highlight w:val="none"/>
              </w:rPr>
            </w:pPr>
          </w:p>
        </w:tc>
      </w:tr>
      <w:tr w14:paraId="7DBA0B96">
        <w:tblPrEx>
          <w:tblCellMar>
            <w:top w:w="0" w:type="dxa"/>
            <w:left w:w="0" w:type="dxa"/>
            <w:bottom w:w="0" w:type="dxa"/>
            <w:right w:w="0" w:type="dxa"/>
          </w:tblCellMar>
        </w:tblPrEx>
        <w:trPr>
          <w:trHeight w:val="431" w:hRule="atLeast"/>
        </w:trPr>
        <w:tc>
          <w:tcPr>
            <w:tcW w:w="1091" w:type="dxa"/>
            <w:vMerge w:val="continue"/>
            <w:tcBorders>
              <w:top w:val="single" w:color="000000" w:sz="4"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54A52EC">
            <w:pPr>
              <w:shd w:val="clear"/>
              <w:snapToGrid w:val="0"/>
              <w:spacing w:line="400" w:lineRule="exact"/>
              <w:jc w:val="center"/>
              <w:rPr>
                <w:rFonts w:asciiTheme="minorEastAsia" w:hAnsiTheme="minorEastAsia" w:eastAsiaTheme="minorEastAsia" w:cstheme="minorEastAsia"/>
                <w:color w:val="auto"/>
                <w:sz w:val="24"/>
                <w:highlight w:val="none"/>
              </w:rPr>
            </w:pPr>
          </w:p>
        </w:tc>
        <w:tc>
          <w:tcPr>
            <w:tcW w:w="967"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7BD0D7C">
            <w:pPr>
              <w:shd w:val="clear"/>
              <w:snapToGrid w:val="0"/>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202</w:t>
            </w: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年</w:t>
            </w:r>
          </w:p>
        </w:tc>
        <w:tc>
          <w:tcPr>
            <w:tcW w:w="1494" w:type="dxa"/>
            <w:gridSpan w:val="2"/>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BDECD16">
            <w:pPr>
              <w:shd w:val="clear"/>
              <w:snapToGrid w:val="0"/>
              <w:spacing w:line="400" w:lineRule="exact"/>
              <w:rPr>
                <w:rFonts w:asciiTheme="minorEastAsia" w:hAnsiTheme="minorEastAsia" w:eastAsiaTheme="minorEastAsia" w:cstheme="minorEastAsia"/>
                <w:color w:val="auto"/>
                <w:sz w:val="24"/>
                <w:highlight w:val="none"/>
              </w:rPr>
            </w:pPr>
          </w:p>
        </w:tc>
        <w:tc>
          <w:tcPr>
            <w:tcW w:w="1495" w:type="dxa"/>
            <w:gridSpan w:val="3"/>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488F662">
            <w:pPr>
              <w:shd w:val="clear"/>
              <w:snapToGrid w:val="0"/>
              <w:spacing w:line="400" w:lineRule="exact"/>
              <w:rPr>
                <w:rFonts w:asciiTheme="minorEastAsia" w:hAnsiTheme="minorEastAsia" w:eastAsiaTheme="minorEastAsia" w:cstheme="minorEastAsia"/>
                <w:color w:val="auto"/>
                <w:sz w:val="24"/>
                <w:highlight w:val="none"/>
              </w:rPr>
            </w:pPr>
          </w:p>
        </w:tc>
        <w:tc>
          <w:tcPr>
            <w:tcW w:w="1788" w:type="dxa"/>
            <w:gridSpan w:val="3"/>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CBDB5B1">
            <w:pPr>
              <w:shd w:val="clear"/>
              <w:snapToGrid w:val="0"/>
              <w:spacing w:line="400" w:lineRule="exact"/>
              <w:rPr>
                <w:rFonts w:asciiTheme="minorEastAsia" w:hAnsiTheme="minorEastAsia" w:eastAsiaTheme="minorEastAsia" w:cstheme="minorEastAsia"/>
                <w:color w:val="auto"/>
                <w:sz w:val="24"/>
                <w:highlight w:val="none"/>
              </w:rPr>
            </w:pPr>
          </w:p>
        </w:tc>
        <w:tc>
          <w:tcPr>
            <w:tcW w:w="178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226382B">
            <w:pPr>
              <w:shd w:val="clear"/>
              <w:snapToGrid w:val="0"/>
              <w:spacing w:line="400" w:lineRule="exact"/>
              <w:rPr>
                <w:rFonts w:asciiTheme="minorEastAsia" w:hAnsiTheme="minorEastAsia" w:eastAsiaTheme="minorEastAsia" w:cstheme="minorEastAsia"/>
                <w:color w:val="auto"/>
                <w:sz w:val="24"/>
                <w:highlight w:val="none"/>
              </w:rPr>
            </w:pPr>
          </w:p>
        </w:tc>
      </w:tr>
    </w:tbl>
    <w:p w14:paraId="0665ED4C">
      <w:pPr>
        <w:shd w:val="clear" w:color="auto"/>
        <w:spacing w:line="500" w:lineRule="exact"/>
        <w:ind w:firstLine="960" w:firstLineChars="400"/>
        <w:outlineLvl w:val="0"/>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highlight w:val="none"/>
        </w:rPr>
        <w:t>供应商:(公章)                                  日期:</w:t>
      </w:r>
    </w:p>
    <w:p w14:paraId="06FEA80B">
      <w:pPr>
        <w:shd w:val="clear" w:color="auto"/>
        <w:spacing w:line="500" w:lineRule="exact"/>
        <w:outlineLvl w:val="0"/>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rPr>
        <w:br w:type="page"/>
      </w:r>
      <w:bookmarkStart w:id="129" w:name="_Toc9379"/>
      <w:bookmarkStart w:id="130" w:name="_Toc14127"/>
      <w:r>
        <w:rPr>
          <w:rFonts w:hint="eastAsia" w:asciiTheme="minorEastAsia" w:hAnsiTheme="minorEastAsia" w:eastAsiaTheme="minorEastAsia" w:cstheme="minorEastAsia"/>
          <w:b/>
          <w:bCs/>
          <w:color w:val="auto"/>
          <w:sz w:val="24"/>
          <w:szCs w:val="24"/>
          <w:highlight w:val="none"/>
        </w:rPr>
        <w:t>附件</w:t>
      </w:r>
      <w:bookmarkEnd w:id="129"/>
      <w:bookmarkEnd w:id="130"/>
      <w:r>
        <w:rPr>
          <w:rFonts w:hint="eastAsia" w:asciiTheme="minorEastAsia" w:hAnsiTheme="minorEastAsia" w:eastAsiaTheme="minorEastAsia" w:cstheme="minorEastAsia"/>
          <w:b/>
          <w:bCs/>
          <w:color w:val="auto"/>
          <w:sz w:val="24"/>
          <w:szCs w:val="24"/>
          <w:highlight w:val="none"/>
          <w:lang w:val="en-US" w:eastAsia="zh-CN"/>
        </w:rPr>
        <w:t>4</w:t>
      </w:r>
    </w:p>
    <w:p w14:paraId="01894CE2">
      <w:pPr>
        <w:shd w:val="clear" w:color="auto"/>
        <w:spacing w:line="500" w:lineRule="exact"/>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法定代表人身份证明书</w:t>
      </w:r>
    </w:p>
    <w:p w14:paraId="5635C6D3">
      <w:pPr>
        <w:shd w:val="clear" w:color="auto"/>
        <w:spacing w:line="500" w:lineRule="exact"/>
        <w:rPr>
          <w:rFonts w:asciiTheme="minorEastAsia" w:hAnsiTheme="minorEastAsia" w:eastAsiaTheme="minorEastAsia" w:cstheme="minorEastAsia"/>
          <w:color w:val="auto"/>
          <w:sz w:val="24"/>
          <w:szCs w:val="24"/>
          <w:highlight w:val="none"/>
        </w:rPr>
      </w:pPr>
    </w:p>
    <w:p w14:paraId="4E91EBFB">
      <w:pPr>
        <w:shd w:val="clear" w:color="auto"/>
        <w:spacing w:line="500" w:lineRule="exact"/>
        <w:rPr>
          <w:rFonts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单位名称：</w:t>
      </w:r>
    </w:p>
    <w:p w14:paraId="19ECD34E">
      <w:pPr>
        <w:shd w:val="clear" w:color="auto"/>
        <w:spacing w:line="500" w:lineRule="exact"/>
        <w:rPr>
          <w:rFonts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所属行业：</w:t>
      </w:r>
    </w:p>
    <w:p w14:paraId="4935A9C6">
      <w:pPr>
        <w:shd w:val="clear" w:color="auto"/>
        <w:spacing w:line="500" w:lineRule="exac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w:t>
      </w:r>
    </w:p>
    <w:p w14:paraId="1F23FD0E">
      <w:pPr>
        <w:shd w:val="clear" w:color="auto"/>
        <w:spacing w:line="500" w:lineRule="exact"/>
        <w:rPr>
          <w:rFonts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营业期限：</w:t>
      </w:r>
    </w:p>
    <w:p w14:paraId="615B6B72">
      <w:pPr>
        <w:shd w:val="clear" w:color="auto"/>
        <w:spacing w:line="500" w:lineRule="exact"/>
        <w:rPr>
          <w:rFonts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成立时间：</w:t>
      </w:r>
    </w:p>
    <w:p w14:paraId="6558A89F">
      <w:pPr>
        <w:shd w:val="clear" w:color="auto"/>
        <w:spacing w:line="500" w:lineRule="exact"/>
        <w:rPr>
          <w:rFonts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经营范围：</w:t>
      </w:r>
    </w:p>
    <w:p w14:paraId="6B44177A">
      <w:pPr>
        <w:shd w:val="clear" w:color="auto"/>
        <w:spacing w:line="500" w:lineRule="exact"/>
        <w:rPr>
          <w:rFonts w:asciiTheme="minorEastAsia" w:hAnsiTheme="minorEastAsia" w:eastAsiaTheme="minorEastAsia" w:cstheme="minorEastAsia"/>
          <w:color w:val="auto"/>
          <w:sz w:val="24"/>
          <w:szCs w:val="24"/>
          <w:highlight w:val="none"/>
        </w:rPr>
      </w:pPr>
    </w:p>
    <w:p w14:paraId="7B0D3523">
      <w:pPr>
        <w:shd w:val="clear" w:color="auto"/>
        <w:spacing w:line="500" w:lineRule="exac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姓名：    性别：   年龄：     职务：</w:t>
      </w:r>
    </w:p>
    <w:p w14:paraId="594582D7">
      <w:pPr>
        <w:shd w:val="clear" w:color="auto"/>
        <w:spacing w:line="500" w:lineRule="exac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系</w:t>
      </w:r>
      <w:r>
        <w:rPr>
          <w:rFonts w:hint="eastAsia" w:asciiTheme="minorEastAsia" w:hAnsiTheme="minorEastAsia" w:eastAsiaTheme="minorEastAsia" w:cstheme="minorEastAsia"/>
          <w:color w:val="auto"/>
          <w:sz w:val="24"/>
          <w:szCs w:val="24"/>
          <w:highlight w:val="none"/>
          <w:u w:val="single"/>
        </w:rPr>
        <w:t xml:space="preserve">                     （供应商）</w:t>
      </w:r>
      <w:r>
        <w:rPr>
          <w:rFonts w:hint="eastAsia" w:asciiTheme="minorEastAsia" w:hAnsiTheme="minorEastAsia" w:eastAsiaTheme="minorEastAsia" w:cstheme="minorEastAsia"/>
          <w:color w:val="auto"/>
          <w:sz w:val="24"/>
          <w:szCs w:val="24"/>
          <w:highlight w:val="none"/>
        </w:rPr>
        <w:t>的法定代表人。</w:t>
      </w:r>
    </w:p>
    <w:p w14:paraId="7C984055">
      <w:pPr>
        <w:shd w:val="clear" w:color="auto"/>
        <w:spacing w:line="500" w:lineRule="exact"/>
        <w:rPr>
          <w:rFonts w:asciiTheme="minorEastAsia" w:hAnsiTheme="minorEastAsia" w:eastAsiaTheme="minorEastAsia" w:cstheme="minorEastAsia"/>
          <w:color w:val="auto"/>
          <w:sz w:val="24"/>
          <w:szCs w:val="24"/>
          <w:highlight w:val="none"/>
        </w:rPr>
      </w:pPr>
    </w:p>
    <w:p w14:paraId="0192A92F">
      <w:pPr>
        <w:shd w:val="clear" w:color="auto"/>
        <w:spacing w:line="360" w:lineRule="exac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162560</wp:posOffset>
                </wp:positionV>
                <wp:extent cx="2971800" cy="1895475"/>
                <wp:effectExtent l="4445" t="4445" r="14605" b="508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0AE5D1C8"/>
                          <w:p w14:paraId="0D922630"/>
                          <w:p w14:paraId="23A86B45"/>
                          <w:p w14:paraId="0377E48C"/>
                          <w:p w14:paraId="6D6E9234">
                            <w:pPr>
                              <w:jc w:val="center"/>
                              <w:rPr>
                                <w:rFonts w:ascii="仿宋" w:hAnsi="仿宋" w:eastAsia="仿宋"/>
                                <w:sz w:val="36"/>
                                <w:szCs w:val="36"/>
                              </w:rPr>
                            </w:pPr>
                            <w:r>
                              <w:rPr>
                                <w:rFonts w:hint="eastAsia" w:ascii="仿宋" w:hAnsi="仿宋" w:eastAsia="仿宋"/>
                                <w:sz w:val="36"/>
                                <w:szCs w:val="36"/>
                              </w:rPr>
                              <w:t>法定代表人身份证复印件</w:t>
                            </w:r>
                          </w:p>
                          <w:p w14:paraId="652380F8">
                            <w:pPr>
                              <w:jc w:val="center"/>
                              <w:rPr>
                                <w:rFonts w:ascii="仿宋" w:hAnsi="仿宋" w:eastAsia="仿宋"/>
                                <w:sz w:val="36"/>
                                <w:szCs w:val="36"/>
                              </w:rPr>
                            </w:pPr>
                            <w:r>
                              <w:rPr>
                                <w:rFonts w:hint="eastAsia" w:ascii="仿宋" w:hAnsi="仿宋" w:eastAsia="仿宋"/>
                                <w:sz w:val="36"/>
                                <w:szCs w:val="36"/>
                              </w:rPr>
                              <w:t>（正面）</w:t>
                            </w:r>
                          </w:p>
                          <w:p w14:paraId="0E1D3315"/>
                          <w:p w14:paraId="53BAD4A6"/>
                          <w:p w14:paraId="025C8ED6"/>
                          <w:p w14:paraId="2FDBC9CE"/>
                          <w:p w14:paraId="6701BB26"/>
                          <w:p w14:paraId="7AC7C4A0"/>
                          <w:p w14:paraId="7812EA3F">
                            <w:pPr>
                              <w:rPr>
                                <w:sz w:val="32"/>
                                <w:szCs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5pt;margin-top:12.8pt;height:149.25pt;width:234pt;z-index:251661312;mso-width-relative:page;mso-height-relative:page;" fillcolor="#FFFFFF" filled="t" stroked="t" coordsize="21600,21600" o:gfxdata="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EW26XaAAAACQEAAA8AAAAAAAAA&#10;AQAgAAAAIgAAAGRycy9kb3ducmV2LnhtbFBLAQIUABQAAAAIAIdO4kA5Vx4/SAIAAJYEAAAOAAAA&#10;AAAAAAEAIAAAACkBAABkcnMvZTJvRG9jLnhtbFBLBQYAAAAABgAGAFkBAADjBQAAAAA=&#10;">
                <v:fill on="t" focussize="0,0"/>
                <v:stroke color="#000000" miterlimit="2" joinstyle="miter"/>
                <v:imagedata o:title=""/>
                <o:lock v:ext="edit" aspectratio="f"/>
                <v:textbox>
                  <w:txbxContent>
                    <w:p w14:paraId="0AE5D1C8"/>
                    <w:p w14:paraId="0D922630"/>
                    <w:p w14:paraId="23A86B45"/>
                    <w:p w14:paraId="0377E48C"/>
                    <w:p w14:paraId="6D6E9234">
                      <w:pPr>
                        <w:jc w:val="center"/>
                        <w:rPr>
                          <w:rFonts w:ascii="仿宋" w:hAnsi="仿宋" w:eastAsia="仿宋"/>
                          <w:sz w:val="36"/>
                          <w:szCs w:val="36"/>
                        </w:rPr>
                      </w:pPr>
                      <w:r>
                        <w:rPr>
                          <w:rFonts w:hint="eastAsia" w:ascii="仿宋" w:hAnsi="仿宋" w:eastAsia="仿宋"/>
                          <w:sz w:val="36"/>
                          <w:szCs w:val="36"/>
                        </w:rPr>
                        <w:t>法定代表人身份证复印件</w:t>
                      </w:r>
                    </w:p>
                    <w:p w14:paraId="652380F8">
                      <w:pPr>
                        <w:jc w:val="center"/>
                        <w:rPr>
                          <w:rFonts w:ascii="仿宋" w:hAnsi="仿宋" w:eastAsia="仿宋"/>
                          <w:sz w:val="36"/>
                          <w:szCs w:val="36"/>
                        </w:rPr>
                      </w:pPr>
                      <w:r>
                        <w:rPr>
                          <w:rFonts w:hint="eastAsia" w:ascii="仿宋" w:hAnsi="仿宋" w:eastAsia="仿宋"/>
                          <w:sz w:val="36"/>
                          <w:szCs w:val="36"/>
                        </w:rPr>
                        <w:t>（正面）</w:t>
                      </w:r>
                    </w:p>
                    <w:p w14:paraId="0E1D3315"/>
                    <w:p w14:paraId="53BAD4A6"/>
                    <w:p w14:paraId="025C8ED6"/>
                    <w:p w14:paraId="2FDBC9CE"/>
                    <w:p w14:paraId="6701BB26"/>
                    <w:p w14:paraId="7AC7C4A0"/>
                    <w:p w14:paraId="7812EA3F">
                      <w:pPr>
                        <w:rPr>
                          <w:sz w:val="32"/>
                          <w:szCs w:val="32"/>
                        </w:rPr>
                      </w:pPr>
                    </w:p>
                  </w:txbxContent>
                </v:textbox>
              </v:shape>
            </w:pict>
          </mc:Fallback>
        </mc:AlternateContent>
      </w:r>
      <w:r>
        <w:rPr>
          <w:rFonts w:hint="eastAsia" w:asciiTheme="minorEastAsia" w:hAnsiTheme="minorEastAsia" w:eastAsiaTheme="minorEastAsia" w:cstheme="minorEastAsia"/>
          <w:color w:val="auto"/>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3162300</wp:posOffset>
                </wp:positionH>
                <wp:positionV relativeFrom="paragraph">
                  <wp:posOffset>162560</wp:posOffset>
                </wp:positionV>
                <wp:extent cx="2971800" cy="1895475"/>
                <wp:effectExtent l="4445" t="4445" r="14605" b="508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3F03BF80"/>
                          <w:p w14:paraId="52DB5301"/>
                          <w:p w14:paraId="0E6ACBD0"/>
                          <w:p w14:paraId="49818E38"/>
                          <w:p w14:paraId="5D7D2E4E">
                            <w:pPr>
                              <w:jc w:val="center"/>
                              <w:rPr>
                                <w:rFonts w:ascii="仿宋" w:hAnsi="仿宋" w:eastAsia="仿宋"/>
                                <w:sz w:val="36"/>
                                <w:szCs w:val="36"/>
                              </w:rPr>
                            </w:pPr>
                            <w:r>
                              <w:rPr>
                                <w:rFonts w:hint="eastAsia" w:ascii="仿宋" w:hAnsi="仿宋" w:eastAsia="仿宋"/>
                                <w:sz w:val="36"/>
                                <w:szCs w:val="36"/>
                              </w:rPr>
                              <w:t>法定代表人身份证复印件</w:t>
                            </w:r>
                          </w:p>
                          <w:p w14:paraId="76D13DA5">
                            <w:pPr>
                              <w:jc w:val="center"/>
                              <w:rPr>
                                <w:rFonts w:ascii="仿宋" w:hAnsi="仿宋" w:eastAsia="仿宋"/>
                                <w:sz w:val="36"/>
                                <w:szCs w:val="36"/>
                              </w:rPr>
                            </w:pPr>
                            <w:r>
                              <w:rPr>
                                <w:rFonts w:hint="eastAsia" w:ascii="仿宋" w:hAnsi="仿宋" w:eastAsia="仿宋"/>
                                <w:sz w:val="36"/>
                                <w:szCs w:val="36"/>
                              </w:rPr>
                              <w:t>（背面）</w:t>
                            </w:r>
                          </w:p>
                          <w:p w14:paraId="53CCCA82"/>
                          <w:p w14:paraId="7D9AAFE7"/>
                          <w:p w14:paraId="65DCFBDC"/>
                          <w:p w14:paraId="3088A831"/>
                          <w:p w14:paraId="1C662168"/>
                          <w:p w14:paraId="6A151153"/>
                          <w:p w14:paraId="5FA1B88A">
                            <w:pPr>
                              <w:rPr>
                                <w:sz w:val="32"/>
                                <w:szCs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9pt;margin-top:12.8pt;height:149.25pt;width:234pt;z-index:251662336;mso-width-relative:page;mso-height-relative:page;" fillcolor="#FFFFFF" filled="t" stroked="t" coordsize="21600,21600" o:gfxdata="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Yk8BW2wAAAAoBAAAPAAAAAAAA&#10;AAEAIAAAACIAAABkcnMvZG93bnJldi54bWxQSwECFAAUAAAACACHTuJAZm60KkgCAACWBAAADgAA&#10;AAAAAAABACAAAAAqAQAAZHJzL2Uyb0RvYy54bWxQSwUGAAAAAAYABgBZAQAA5AUAAAAA&#10;">
                <v:fill on="t" focussize="0,0"/>
                <v:stroke color="#000000" miterlimit="2" joinstyle="miter"/>
                <v:imagedata o:title=""/>
                <o:lock v:ext="edit" aspectratio="f"/>
                <v:textbox>
                  <w:txbxContent>
                    <w:p w14:paraId="3F03BF80"/>
                    <w:p w14:paraId="52DB5301"/>
                    <w:p w14:paraId="0E6ACBD0"/>
                    <w:p w14:paraId="49818E38"/>
                    <w:p w14:paraId="5D7D2E4E">
                      <w:pPr>
                        <w:jc w:val="center"/>
                        <w:rPr>
                          <w:rFonts w:ascii="仿宋" w:hAnsi="仿宋" w:eastAsia="仿宋"/>
                          <w:sz w:val="36"/>
                          <w:szCs w:val="36"/>
                        </w:rPr>
                      </w:pPr>
                      <w:r>
                        <w:rPr>
                          <w:rFonts w:hint="eastAsia" w:ascii="仿宋" w:hAnsi="仿宋" w:eastAsia="仿宋"/>
                          <w:sz w:val="36"/>
                          <w:szCs w:val="36"/>
                        </w:rPr>
                        <w:t>法定代表人身份证复印件</w:t>
                      </w:r>
                    </w:p>
                    <w:p w14:paraId="76D13DA5">
                      <w:pPr>
                        <w:jc w:val="center"/>
                        <w:rPr>
                          <w:rFonts w:ascii="仿宋" w:hAnsi="仿宋" w:eastAsia="仿宋"/>
                          <w:sz w:val="36"/>
                          <w:szCs w:val="36"/>
                        </w:rPr>
                      </w:pPr>
                      <w:r>
                        <w:rPr>
                          <w:rFonts w:hint="eastAsia" w:ascii="仿宋" w:hAnsi="仿宋" w:eastAsia="仿宋"/>
                          <w:sz w:val="36"/>
                          <w:szCs w:val="36"/>
                        </w:rPr>
                        <w:t>（背面）</w:t>
                      </w:r>
                    </w:p>
                    <w:p w14:paraId="53CCCA82"/>
                    <w:p w14:paraId="7D9AAFE7"/>
                    <w:p w14:paraId="65DCFBDC"/>
                    <w:p w14:paraId="3088A831"/>
                    <w:p w14:paraId="1C662168"/>
                    <w:p w14:paraId="6A151153"/>
                    <w:p w14:paraId="5FA1B88A">
                      <w:pPr>
                        <w:rPr>
                          <w:sz w:val="32"/>
                          <w:szCs w:val="32"/>
                        </w:rPr>
                      </w:pPr>
                    </w:p>
                  </w:txbxContent>
                </v:textbox>
              </v:shape>
            </w:pict>
          </mc:Fallback>
        </mc:AlternateContent>
      </w:r>
    </w:p>
    <w:p w14:paraId="23190A31">
      <w:pPr>
        <w:shd w:val="clear" w:color="auto"/>
        <w:spacing w:line="360" w:lineRule="exact"/>
        <w:rPr>
          <w:rFonts w:asciiTheme="minorEastAsia" w:hAnsiTheme="minorEastAsia" w:eastAsiaTheme="minorEastAsia" w:cstheme="minorEastAsia"/>
          <w:color w:val="auto"/>
          <w:sz w:val="24"/>
          <w:szCs w:val="24"/>
          <w:highlight w:val="none"/>
        </w:rPr>
      </w:pPr>
    </w:p>
    <w:p w14:paraId="19C16BAD">
      <w:pPr>
        <w:shd w:val="clear" w:color="auto"/>
        <w:spacing w:line="360" w:lineRule="exact"/>
        <w:rPr>
          <w:rFonts w:asciiTheme="minorEastAsia" w:hAnsiTheme="minorEastAsia" w:eastAsiaTheme="minorEastAsia" w:cstheme="minorEastAsia"/>
          <w:color w:val="auto"/>
          <w:sz w:val="24"/>
          <w:szCs w:val="24"/>
          <w:highlight w:val="none"/>
        </w:rPr>
      </w:pPr>
    </w:p>
    <w:p w14:paraId="0D0FCE84">
      <w:pPr>
        <w:shd w:val="clear" w:color="auto"/>
        <w:spacing w:line="360" w:lineRule="exact"/>
        <w:rPr>
          <w:rFonts w:asciiTheme="minorEastAsia" w:hAnsiTheme="minorEastAsia" w:eastAsiaTheme="minorEastAsia" w:cstheme="minorEastAsia"/>
          <w:color w:val="auto"/>
          <w:sz w:val="24"/>
          <w:szCs w:val="24"/>
          <w:highlight w:val="none"/>
        </w:rPr>
      </w:pPr>
    </w:p>
    <w:p w14:paraId="37390A0A">
      <w:pPr>
        <w:shd w:val="clear" w:color="auto"/>
        <w:spacing w:line="360" w:lineRule="exact"/>
        <w:rPr>
          <w:rFonts w:asciiTheme="minorEastAsia" w:hAnsiTheme="minorEastAsia" w:eastAsiaTheme="minorEastAsia" w:cstheme="minorEastAsia"/>
          <w:color w:val="auto"/>
          <w:sz w:val="24"/>
          <w:szCs w:val="24"/>
          <w:highlight w:val="none"/>
        </w:rPr>
      </w:pPr>
    </w:p>
    <w:p w14:paraId="29A2867D">
      <w:pPr>
        <w:shd w:val="clear" w:color="auto"/>
        <w:spacing w:line="360" w:lineRule="exact"/>
        <w:rPr>
          <w:rFonts w:asciiTheme="minorEastAsia" w:hAnsiTheme="minorEastAsia" w:eastAsiaTheme="minorEastAsia" w:cstheme="minorEastAsia"/>
          <w:color w:val="auto"/>
          <w:sz w:val="24"/>
          <w:szCs w:val="24"/>
          <w:highlight w:val="none"/>
        </w:rPr>
      </w:pPr>
    </w:p>
    <w:p w14:paraId="2CE5AF24">
      <w:pPr>
        <w:shd w:val="clear" w:color="auto"/>
        <w:spacing w:line="360" w:lineRule="exact"/>
        <w:rPr>
          <w:rFonts w:asciiTheme="minorEastAsia" w:hAnsiTheme="minorEastAsia" w:eastAsiaTheme="minorEastAsia" w:cstheme="minorEastAsia"/>
          <w:color w:val="auto"/>
          <w:sz w:val="24"/>
          <w:szCs w:val="24"/>
          <w:highlight w:val="none"/>
        </w:rPr>
      </w:pPr>
    </w:p>
    <w:p w14:paraId="1AD2CB17">
      <w:pPr>
        <w:shd w:val="clear" w:color="auto"/>
        <w:spacing w:line="360" w:lineRule="exact"/>
        <w:rPr>
          <w:rFonts w:asciiTheme="minorEastAsia" w:hAnsiTheme="minorEastAsia" w:eastAsiaTheme="minorEastAsia" w:cstheme="minorEastAsia"/>
          <w:color w:val="auto"/>
          <w:sz w:val="24"/>
          <w:szCs w:val="24"/>
          <w:highlight w:val="none"/>
        </w:rPr>
      </w:pPr>
    </w:p>
    <w:p w14:paraId="2C1733D0">
      <w:pPr>
        <w:shd w:val="clear" w:color="auto"/>
        <w:spacing w:line="360" w:lineRule="exac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特此证明。</w:t>
      </w:r>
    </w:p>
    <w:p w14:paraId="6083969F">
      <w:pPr>
        <w:shd w:val="clear" w:color="auto"/>
        <w:spacing w:line="500" w:lineRule="exact"/>
        <w:rPr>
          <w:rFonts w:asciiTheme="minorEastAsia" w:hAnsiTheme="minorEastAsia" w:eastAsiaTheme="minorEastAsia" w:cstheme="minorEastAsia"/>
          <w:color w:val="auto"/>
          <w:sz w:val="24"/>
          <w:szCs w:val="24"/>
          <w:highlight w:val="none"/>
        </w:rPr>
      </w:pPr>
    </w:p>
    <w:p w14:paraId="119448ED">
      <w:pPr>
        <w:shd w:val="clear" w:color="auto"/>
        <w:spacing w:line="500" w:lineRule="exact"/>
        <w:rPr>
          <w:rFonts w:asciiTheme="minorEastAsia" w:hAnsiTheme="minorEastAsia" w:eastAsiaTheme="minorEastAsia" w:cstheme="minorEastAsia"/>
          <w:color w:val="auto"/>
          <w:sz w:val="24"/>
          <w:szCs w:val="24"/>
          <w:highlight w:val="none"/>
        </w:rPr>
      </w:pPr>
    </w:p>
    <w:p w14:paraId="00EBC4F2">
      <w:pPr>
        <w:shd w:val="clear" w:color="auto"/>
        <w:spacing w:line="500" w:lineRule="exac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供应商（盖公章）：</w:t>
      </w:r>
    </w:p>
    <w:p w14:paraId="16B9570B">
      <w:pPr>
        <w:shd w:val="clear" w:color="auto"/>
        <w:spacing w:line="500" w:lineRule="exact"/>
        <w:rPr>
          <w:rFonts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法定代表人（签字或盖章）：</w:t>
      </w:r>
    </w:p>
    <w:p w14:paraId="0652AEEC">
      <w:pPr>
        <w:shd w:val="clear" w:color="auto"/>
        <w:tabs>
          <w:tab w:val="left" w:pos="3780"/>
        </w:tabs>
        <w:spacing w:line="500" w:lineRule="exac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日期：   年   月   日</w:t>
      </w:r>
    </w:p>
    <w:p w14:paraId="5160C903">
      <w:pPr>
        <w:shd w:val="clear" w:color="auto"/>
        <w:spacing w:line="500" w:lineRule="exact"/>
        <w:rPr>
          <w:rFonts w:asciiTheme="minorEastAsia" w:hAnsiTheme="minorEastAsia" w:eastAsiaTheme="minorEastAsia" w:cstheme="minorEastAsia"/>
          <w:b/>
          <w:bCs/>
          <w:color w:val="auto"/>
          <w:sz w:val="24"/>
          <w:szCs w:val="24"/>
          <w:highlight w:val="none"/>
        </w:rPr>
      </w:pPr>
    </w:p>
    <w:p w14:paraId="5FABB0A6">
      <w:pPr>
        <w:shd w:val="clear" w:color="auto"/>
        <w:spacing w:line="500" w:lineRule="exact"/>
        <w:outlineLvl w:val="0"/>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rPr>
        <w:br w:type="page"/>
      </w:r>
      <w:bookmarkStart w:id="131" w:name="_Toc29145"/>
      <w:bookmarkStart w:id="132" w:name="_Toc15715"/>
      <w:r>
        <w:rPr>
          <w:rFonts w:hint="eastAsia" w:asciiTheme="minorEastAsia" w:hAnsiTheme="minorEastAsia" w:eastAsiaTheme="minorEastAsia" w:cstheme="minorEastAsia"/>
          <w:b/>
          <w:bCs/>
          <w:color w:val="auto"/>
          <w:sz w:val="24"/>
          <w:szCs w:val="24"/>
          <w:highlight w:val="none"/>
        </w:rPr>
        <w:t>附件</w:t>
      </w:r>
      <w:bookmarkEnd w:id="131"/>
      <w:bookmarkEnd w:id="132"/>
      <w:r>
        <w:rPr>
          <w:rFonts w:hint="eastAsia" w:asciiTheme="minorEastAsia" w:hAnsiTheme="minorEastAsia" w:eastAsiaTheme="minorEastAsia" w:cstheme="minorEastAsia"/>
          <w:b/>
          <w:bCs/>
          <w:color w:val="auto"/>
          <w:sz w:val="24"/>
          <w:szCs w:val="24"/>
          <w:highlight w:val="none"/>
          <w:lang w:val="en-US" w:eastAsia="zh-CN"/>
        </w:rPr>
        <w:t>5</w:t>
      </w:r>
    </w:p>
    <w:p w14:paraId="7D2CF772">
      <w:pPr>
        <w:shd w:val="clear" w:color="auto"/>
        <w:spacing w:line="500" w:lineRule="exact"/>
        <w:jc w:val="center"/>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法定代表人授权委托书</w:t>
      </w:r>
    </w:p>
    <w:p w14:paraId="0FEB11BE">
      <w:pPr>
        <w:shd w:val="clear" w:color="auto"/>
        <w:spacing w:line="500" w:lineRule="exact"/>
        <w:jc w:val="center"/>
        <w:rPr>
          <w:rFonts w:asciiTheme="minorEastAsia" w:hAnsiTheme="minorEastAsia" w:eastAsiaTheme="minorEastAsia" w:cstheme="minorEastAsia"/>
          <w:b/>
          <w:bCs/>
          <w:color w:val="auto"/>
          <w:sz w:val="24"/>
          <w:szCs w:val="24"/>
          <w:highlight w:val="none"/>
        </w:rPr>
      </w:pPr>
    </w:p>
    <w:p w14:paraId="0856287A">
      <w:pPr>
        <w:shd w:val="clear" w:color="auto"/>
        <w:spacing w:line="500" w:lineRule="exact"/>
        <w:ind w:firstLine="453" w:firstLineChars="189"/>
        <w:rPr>
          <w:rFonts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本授权委托书声明：我系</w:t>
      </w:r>
      <w:r>
        <w:rPr>
          <w:rFonts w:hint="eastAsia" w:asciiTheme="minorEastAsia" w:hAnsiTheme="minorEastAsia" w:eastAsiaTheme="minorEastAsia" w:cstheme="minorEastAsia"/>
          <w:bCs/>
          <w:color w:val="auto"/>
          <w:sz w:val="24"/>
          <w:szCs w:val="24"/>
          <w:highlight w:val="none"/>
          <w:u w:val="single"/>
        </w:rPr>
        <w:t xml:space="preserve">                             （供应商）</w:t>
      </w:r>
      <w:r>
        <w:rPr>
          <w:rFonts w:hint="eastAsia" w:asciiTheme="minorEastAsia" w:hAnsiTheme="minorEastAsia" w:eastAsiaTheme="minorEastAsia" w:cstheme="minorEastAsia"/>
          <w:bCs/>
          <w:color w:val="auto"/>
          <w:sz w:val="24"/>
          <w:szCs w:val="24"/>
          <w:highlight w:val="none"/>
        </w:rPr>
        <w:t>的法定代表人，现授权委托</w:t>
      </w:r>
      <w:r>
        <w:rPr>
          <w:rFonts w:hint="eastAsia" w:asciiTheme="minorEastAsia" w:hAnsiTheme="minorEastAsia" w:eastAsiaTheme="minorEastAsia" w:cstheme="minorEastAsia"/>
          <w:bCs/>
          <w:color w:val="auto"/>
          <w:sz w:val="24"/>
          <w:szCs w:val="24"/>
          <w:highlight w:val="none"/>
          <w:u w:val="single"/>
        </w:rPr>
        <w:t xml:space="preserve">           （供应商）</w:t>
      </w:r>
      <w:r>
        <w:rPr>
          <w:rFonts w:hint="eastAsia" w:asciiTheme="minorEastAsia" w:hAnsiTheme="minorEastAsia" w:eastAsiaTheme="minorEastAsia" w:cstheme="minorEastAsia"/>
          <w:bCs/>
          <w:color w:val="auto"/>
          <w:sz w:val="24"/>
          <w:szCs w:val="24"/>
          <w:highlight w:val="none"/>
        </w:rPr>
        <w:t>的</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为我的代理人，以</w:t>
      </w:r>
      <w:r>
        <w:rPr>
          <w:rFonts w:hint="eastAsia" w:asciiTheme="minorEastAsia" w:hAnsiTheme="minorEastAsia" w:eastAsiaTheme="minorEastAsia" w:cstheme="minorEastAsia"/>
          <w:bCs/>
          <w:color w:val="auto"/>
          <w:sz w:val="24"/>
          <w:szCs w:val="24"/>
          <w:highlight w:val="none"/>
          <w:u w:val="single"/>
        </w:rPr>
        <w:t>（供应商）</w:t>
      </w:r>
      <w:r>
        <w:rPr>
          <w:rFonts w:hint="eastAsia" w:asciiTheme="minorEastAsia" w:hAnsiTheme="minorEastAsia" w:eastAsiaTheme="minorEastAsia" w:cstheme="minorEastAsia"/>
          <w:bCs/>
          <w:color w:val="auto"/>
          <w:sz w:val="24"/>
          <w:szCs w:val="24"/>
          <w:highlight w:val="none"/>
        </w:rPr>
        <w:t>的名义参加</w:t>
      </w:r>
      <w:r>
        <w:rPr>
          <w:rFonts w:hint="eastAsia" w:asciiTheme="minorEastAsia" w:hAnsiTheme="minorEastAsia" w:eastAsiaTheme="minorEastAsia" w:cstheme="minorEastAsia"/>
          <w:bCs/>
          <w:color w:val="auto"/>
          <w:sz w:val="24"/>
          <w:szCs w:val="24"/>
          <w:highlight w:val="none"/>
          <w:u w:val="single"/>
        </w:rPr>
        <w:t>（项目名称和采购项目编号）</w:t>
      </w:r>
      <w:r>
        <w:rPr>
          <w:rFonts w:hint="eastAsia" w:asciiTheme="minorEastAsia" w:hAnsiTheme="minorEastAsia" w:eastAsiaTheme="minorEastAsia" w:cstheme="minorEastAsia"/>
          <w:bCs/>
          <w:color w:val="auto"/>
          <w:sz w:val="24"/>
          <w:szCs w:val="24"/>
          <w:highlight w:val="none"/>
        </w:rPr>
        <w:t>招标项目的投标活动。代理人在参加整个招标投标活动所签署的一切文件和处理与之相关的一切事物，我均予承认。</w:t>
      </w:r>
    </w:p>
    <w:p w14:paraId="7A7A7CCC">
      <w:pPr>
        <w:shd w:val="clear" w:color="auto"/>
        <w:spacing w:line="500" w:lineRule="exact"/>
        <w:ind w:firstLine="480" w:firstLineChars="200"/>
        <w:rPr>
          <w:rFonts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代理人：   性别：  年龄：</w:t>
      </w:r>
    </w:p>
    <w:p w14:paraId="54E7041A">
      <w:pPr>
        <w:shd w:val="clear" w:color="auto"/>
        <w:spacing w:line="500" w:lineRule="exact"/>
        <w:ind w:firstLine="453" w:firstLineChars="189"/>
        <w:rPr>
          <w:rFonts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部  门：  职务：</w:t>
      </w:r>
    </w:p>
    <w:p w14:paraId="153CB4E8">
      <w:pPr>
        <w:shd w:val="clear" w:color="auto"/>
        <w:spacing w:line="360" w:lineRule="exact"/>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-92710</wp:posOffset>
                </wp:positionH>
                <wp:positionV relativeFrom="paragraph">
                  <wp:posOffset>122555</wp:posOffset>
                </wp:positionV>
                <wp:extent cx="2971800" cy="1895475"/>
                <wp:effectExtent l="4445" t="4445" r="14605"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3B0B9F6E"/>
                          <w:p w14:paraId="6E6397B6"/>
                          <w:p w14:paraId="7CB503CE"/>
                          <w:p w14:paraId="6E43CBE3"/>
                          <w:p w14:paraId="7BFCFB53">
                            <w:pPr>
                              <w:jc w:val="center"/>
                              <w:rPr>
                                <w:rFonts w:ascii="仿宋" w:hAnsi="仿宋" w:eastAsia="仿宋"/>
                                <w:sz w:val="36"/>
                                <w:szCs w:val="36"/>
                              </w:rPr>
                            </w:pPr>
                            <w:r>
                              <w:rPr>
                                <w:rFonts w:hint="eastAsia" w:ascii="仿宋" w:hAnsi="仿宋" w:eastAsia="仿宋"/>
                                <w:sz w:val="36"/>
                                <w:szCs w:val="36"/>
                              </w:rPr>
                              <w:t>代理人身份证复印件</w:t>
                            </w:r>
                          </w:p>
                          <w:p w14:paraId="731C279B">
                            <w:pPr>
                              <w:jc w:val="center"/>
                              <w:rPr>
                                <w:rFonts w:ascii="仿宋" w:hAnsi="仿宋" w:eastAsia="仿宋"/>
                                <w:sz w:val="36"/>
                                <w:szCs w:val="36"/>
                              </w:rPr>
                            </w:pPr>
                            <w:r>
                              <w:rPr>
                                <w:rFonts w:hint="eastAsia" w:ascii="仿宋" w:hAnsi="仿宋" w:eastAsia="仿宋"/>
                                <w:sz w:val="36"/>
                                <w:szCs w:val="36"/>
                              </w:rPr>
                              <w:t>（正面）</w:t>
                            </w:r>
                          </w:p>
                          <w:p w14:paraId="12190B0B"/>
                          <w:p w14:paraId="5A3BBEFE"/>
                          <w:p w14:paraId="5C8B5F24"/>
                          <w:p w14:paraId="46211EA7"/>
                          <w:p w14:paraId="4D4B80E7"/>
                          <w:p w14:paraId="71E80F6F"/>
                          <w:p w14:paraId="46009083">
                            <w:pPr>
                              <w:rPr>
                                <w:sz w:val="32"/>
                                <w:szCs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3pt;margin-top:9.65pt;height:149.25pt;width:234pt;z-index:251659264;mso-width-relative:page;mso-height-relative:page;" fillcolor="#FFFFFF" filled="t" stroked="t" coordsize="21600,21600" o:gfxdata="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Go3Mx2wAAAAoBAAAPAAAAAAAA&#10;AAEAIAAAACIAAABkcnMvZG93bnJldi54bWxQSwECFAAUAAAACACHTuJA+WSsp0gCAACWBAAADgAA&#10;AAAAAAABACAAAAAqAQAAZHJzL2Uyb0RvYy54bWxQSwUGAAAAAAYABgBZAQAA5AUAAAAA&#10;">
                <v:fill on="t" focussize="0,0"/>
                <v:stroke color="#000000" miterlimit="2" joinstyle="miter"/>
                <v:imagedata o:title=""/>
                <o:lock v:ext="edit" aspectratio="f"/>
                <v:textbox>
                  <w:txbxContent>
                    <w:p w14:paraId="3B0B9F6E"/>
                    <w:p w14:paraId="6E6397B6"/>
                    <w:p w14:paraId="7CB503CE"/>
                    <w:p w14:paraId="6E43CBE3"/>
                    <w:p w14:paraId="7BFCFB53">
                      <w:pPr>
                        <w:jc w:val="center"/>
                        <w:rPr>
                          <w:rFonts w:ascii="仿宋" w:hAnsi="仿宋" w:eastAsia="仿宋"/>
                          <w:sz w:val="36"/>
                          <w:szCs w:val="36"/>
                        </w:rPr>
                      </w:pPr>
                      <w:r>
                        <w:rPr>
                          <w:rFonts w:hint="eastAsia" w:ascii="仿宋" w:hAnsi="仿宋" w:eastAsia="仿宋"/>
                          <w:sz w:val="36"/>
                          <w:szCs w:val="36"/>
                        </w:rPr>
                        <w:t>代理人身份证复印件</w:t>
                      </w:r>
                    </w:p>
                    <w:p w14:paraId="731C279B">
                      <w:pPr>
                        <w:jc w:val="center"/>
                        <w:rPr>
                          <w:rFonts w:ascii="仿宋" w:hAnsi="仿宋" w:eastAsia="仿宋"/>
                          <w:sz w:val="36"/>
                          <w:szCs w:val="36"/>
                        </w:rPr>
                      </w:pPr>
                      <w:r>
                        <w:rPr>
                          <w:rFonts w:hint="eastAsia" w:ascii="仿宋" w:hAnsi="仿宋" w:eastAsia="仿宋"/>
                          <w:sz w:val="36"/>
                          <w:szCs w:val="36"/>
                        </w:rPr>
                        <w:t>（正面）</w:t>
                      </w:r>
                    </w:p>
                    <w:p w14:paraId="12190B0B"/>
                    <w:p w14:paraId="5A3BBEFE"/>
                    <w:p w14:paraId="5C8B5F24"/>
                    <w:p w14:paraId="46211EA7"/>
                    <w:p w14:paraId="4D4B80E7"/>
                    <w:p w14:paraId="71E80F6F"/>
                    <w:p w14:paraId="46009083">
                      <w:pPr>
                        <w:rPr>
                          <w:sz w:val="32"/>
                          <w:szCs w:val="32"/>
                        </w:rPr>
                      </w:pPr>
                    </w:p>
                  </w:txbxContent>
                </v:textbox>
              </v:shape>
            </w:pict>
          </mc:Fallback>
        </mc:AlternateContent>
      </w:r>
      <w:r>
        <w:rPr>
          <w:rFonts w:hint="eastAsia" w:asciiTheme="minorEastAsia" w:hAnsiTheme="minorEastAsia" w:eastAsiaTheme="minorEastAsia" w:cstheme="minorEastAsia"/>
          <w:bCs/>
          <w:color w:val="auto"/>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3107690</wp:posOffset>
                </wp:positionH>
                <wp:positionV relativeFrom="paragraph">
                  <wp:posOffset>122555</wp:posOffset>
                </wp:positionV>
                <wp:extent cx="2971800" cy="1895475"/>
                <wp:effectExtent l="4445" t="4445" r="1460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0E71ADFA"/>
                          <w:p w14:paraId="65AEF1A3"/>
                          <w:p w14:paraId="542A39FB"/>
                          <w:p w14:paraId="096923EF"/>
                          <w:p w14:paraId="2A097968">
                            <w:pPr>
                              <w:jc w:val="center"/>
                              <w:rPr>
                                <w:rFonts w:ascii="仿宋" w:hAnsi="仿宋" w:eastAsia="仿宋"/>
                                <w:sz w:val="36"/>
                                <w:szCs w:val="36"/>
                              </w:rPr>
                            </w:pPr>
                            <w:r>
                              <w:rPr>
                                <w:rFonts w:hint="eastAsia" w:ascii="仿宋" w:hAnsi="仿宋" w:eastAsia="仿宋"/>
                                <w:sz w:val="36"/>
                                <w:szCs w:val="36"/>
                              </w:rPr>
                              <w:t>代理人身份证复印件</w:t>
                            </w:r>
                          </w:p>
                          <w:p w14:paraId="65EAE011">
                            <w:pPr>
                              <w:jc w:val="center"/>
                              <w:rPr>
                                <w:rFonts w:ascii="仿宋" w:hAnsi="仿宋" w:eastAsia="仿宋"/>
                                <w:sz w:val="36"/>
                                <w:szCs w:val="36"/>
                              </w:rPr>
                            </w:pPr>
                            <w:r>
                              <w:rPr>
                                <w:rFonts w:hint="eastAsia" w:ascii="仿宋" w:hAnsi="仿宋" w:eastAsia="仿宋"/>
                                <w:sz w:val="36"/>
                                <w:szCs w:val="36"/>
                              </w:rPr>
                              <w:t>（背面）</w:t>
                            </w:r>
                          </w:p>
                          <w:p w14:paraId="31D040DC"/>
                          <w:p w14:paraId="24296CF6"/>
                          <w:p w14:paraId="6BC18F89"/>
                          <w:p w14:paraId="17F8BB09"/>
                          <w:p w14:paraId="70E2FE2B"/>
                          <w:p w14:paraId="3953EECC"/>
                          <w:p w14:paraId="2C67AC54">
                            <w:pPr>
                              <w:rPr>
                                <w:sz w:val="32"/>
                                <w:szCs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4.7pt;margin-top:9.65pt;height:149.25pt;width:234pt;z-index:251660288;mso-width-relative:page;mso-height-relative:page;" fillcolor="#FFFFFF" filled="t" stroked="t" coordsize="21600,21600" o:gfxdata="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nqNdZ2wAAAAoBAAAPAAAAAAAA&#10;AAEAIAAAACIAAABkcnMvZG93bnJldi54bWxQSwECFAAUAAAACACHTuJAGX3160gCAACWBAAADgAA&#10;AAAAAAABACAAAAAqAQAAZHJzL2Uyb0RvYy54bWxQSwUGAAAAAAYABgBZAQAA5AUAAAAA&#10;">
                <v:fill on="t" focussize="0,0"/>
                <v:stroke color="#000000" miterlimit="2" joinstyle="miter"/>
                <v:imagedata o:title=""/>
                <o:lock v:ext="edit" aspectratio="f"/>
                <v:textbox>
                  <w:txbxContent>
                    <w:p w14:paraId="0E71ADFA"/>
                    <w:p w14:paraId="65AEF1A3"/>
                    <w:p w14:paraId="542A39FB"/>
                    <w:p w14:paraId="096923EF"/>
                    <w:p w14:paraId="2A097968">
                      <w:pPr>
                        <w:jc w:val="center"/>
                        <w:rPr>
                          <w:rFonts w:ascii="仿宋" w:hAnsi="仿宋" w:eastAsia="仿宋"/>
                          <w:sz w:val="36"/>
                          <w:szCs w:val="36"/>
                        </w:rPr>
                      </w:pPr>
                      <w:r>
                        <w:rPr>
                          <w:rFonts w:hint="eastAsia" w:ascii="仿宋" w:hAnsi="仿宋" w:eastAsia="仿宋"/>
                          <w:sz w:val="36"/>
                          <w:szCs w:val="36"/>
                        </w:rPr>
                        <w:t>代理人身份证复印件</w:t>
                      </w:r>
                    </w:p>
                    <w:p w14:paraId="65EAE011">
                      <w:pPr>
                        <w:jc w:val="center"/>
                        <w:rPr>
                          <w:rFonts w:ascii="仿宋" w:hAnsi="仿宋" w:eastAsia="仿宋"/>
                          <w:sz w:val="36"/>
                          <w:szCs w:val="36"/>
                        </w:rPr>
                      </w:pPr>
                      <w:r>
                        <w:rPr>
                          <w:rFonts w:hint="eastAsia" w:ascii="仿宋" w:hAnsi="仿宋" w:eastAsia="仿宋"/>
                          <w:sz w:val="36"/>
                          <w:szCs w:val="36"/>
                        </w:rPr>
                        <w:t>（背面）</w:t>
                      </w:r>
                    </w:p>
                    <w:p w14:paraId="31D040DC"/>
                    <w:p w14:paraId="24296CF6"/>
                    <w:p w14:paraId="6BC18F89"/>
                    <w:p w14:paraId="17F8BB09"/>
                    <w:p w14:paraId="70E2FE2B"/>
                    <w:p w14:paraId="3953EECC"/>
                    <w:p w14:paraId="2C67AC54">
                      <w:pPr>
                        <w:rPr>
                          <w:sz w:val="32"/>
                          <w:szCs w:val="32"/>
                        </w:rPr>
                      </w:pPr>
                    </w:p>
                  </w:txbxContent>
                </v:textbox>
              </v:shape>
            </w:pict>
          </mc:Fallback>
        </mc:AlternateContent>
      </w:r>
    </w:p>
    <w:p w14:paraId="2D7D8C28">
      <w:pPr>
        <w:shd w:val="clear" w:color="auto"/>
        <w:spacing w:line="360" w:lineRule="exact"/>
        <w:rPr>
          <w:rFonts w:asciiTheme="minorEastAsia" w:hAnsiTheme="minorEastAsia" w:eastAsiaTheme="minorEastAsia" w:cstheme="minorEastAsia"/>
          <w:bCs/>
          <w:color w:val="auto"/>
          <w:sz w:val="24"/>
          <w:szCs w:val="24"/>
          <w:highlight w:val="none"/>
        </w:rPr>
      </w:pPr>
    </w:p>
    <w:p w14:paraId="468D5C08">
      <w:pPr>
        <w:shd w:val="clear" w:color="auto"/>
        <w:spacing w:line="360" w:lineRule="exact"/>
        <w:rPr>
          <w:rFonts w:asciiTheme="minorEastAsia" w:hAnsiTheme="minorEastAsia" w:eastAsiaTheme="minorEastAsia" w:cstheme="minorEastAsia"/>
          <w:bCs/>
          <w:color w:val="auto"/>
          <w:sz w:val="24"/>
          <w:szCs w:val="24"/>
          <w:highlight w:val="none"/>
        </w:rPr>
      </w:pPr>
    </w:p>
    <w:p w14:paraId="705D00E8">
      <w:pPr>
        <w:shd w:val="clear" w:color="auto"/>
        <w:spacing w:line="360" w:lineRule="exact"/>
        <w:rPr>
          <w:rFonts w:asciiTheme="minorEastAsia" w:hAnsiTheme="minorEastAsia" w:eastAsiaTheme="minorEastAsia" w:cstheme="minorEastAsia"/>
          <w:bCs/>
          <w:color w:val="auto"/>
          <w:sz w:val="24"/>
          <w:szCs w:val="24"/>
          <w:highlight w:val="none"/>
        </w:rPr>
      </w:pPr>
    </w:p>
    <w:p w14:paraId="750DC449">
      <w:pPr>
        <w:shd w:val="clear" w:color="auto"/>
        <w:spacing w:line="360" w:lineRule="exact"/>
        <w:rPr>
          <w:rFonts w:asciiTheme="minorEastAsia" w:hAnsiTheme="minorEastAsia" w:eastAsiaTheme="minorEastAsia" w:cstheme="minorEastAsia"/>
          <w:bCs/>
          <w:color w:val="auto"/>
          <w:sz w:val="24"/>
          <w:szCs w:val="24"/>
          <w:highlight w:val="none"/>
        </w:rPr>
      </w:pPr>
    </w:p>
    <w:p w14:paraId="21A7668B">
      <w:pPr>
        <w:shd w:val="clear" w:color="auto"/>
        <w:spacing w:line="360" w:lineRule="exact"/>
        <w:rPr>
          <w:rFonts w:asciiTheme="minorEastAsia" w:hAnsiTheme="minorEastAsia" w:eastAsiaTheme="minorEastAsia" w:cstheme="minorEastAsia"/>
          <w:bCs/>
          <w:color w:val="auto"/>
          <w:sz w:val="24"/>
          <w:szCs w:val="24"/>
          <w:highlight w:val="none"/>
        </w:rPr>
      </w:pPr>
    </w:p>
    <w:p w14:paraId="74D94FBB">
      <w:pPr>
        <w:shd w:val="clear" w:color="auto"/>
        <w:spacing w:line="360" w:lineRule="exact"/>
        <w:rPr>
          <w:rFonts w:asciiTheme="minorEastAsia" w:hAnsiTheme="minorEastAsia" w:eastAsiaTheme="minorEastAsia" w:cstheme="minorEastAsia"/>
          <w:bCs/>
          <w:color w:val="auto"/>
          <w:sz w:val="24"/>
          <w:szCs w:val="24"/>
          <w:highlight w:val="none"/>
        </w:rPr>
      </w:pPr>
    </w:p>
    <w:p w14:paraId="0AB4AACD">
      <w:pPr>
        <w:pStyle w:val="100"/>
        <w:shd w:val="clear" w:color="auto"/>
        <w:snapToGrid w:val="0"/>
        <w:spacing w:line="360" w:lineRule="exact"/>
        <w:rPr>
          <w:rFonts w:asciiTheme="minorEastAsia" w:hAnsiTheme="minorEastAsia" w:eastAsiaTheme="minorEastAsia" w:cstheme="minorEastAsia"/>
          <w:color w:val="auto"/>
          <w:sz w:val="24"/>
          <w:highlight w:val="none"/>
        </w:rPr>
      </w:pPr>
    </w:p>
    <w:p w14:paraId="13266BF6">
      <w:pPr>
        <w:pStyle w:val="100"/>
        <w:shd w:val="clear" w:color="auto"/>
        <w:snapToGrid w:val="0"/>
        <w:spacing w:line="360" w:lineRule="exact"/>
        <w:rPr>
          <w:rFonts w:asciiTheme="minorEastAsia" w:hAnsiTheme="minorEastAsia" w:eastAsiaTheme="minorEastAsia" w:cstheme="minorEastAsia"/>
          <w:color w:val="auto"/>
          <w:sz w:val="24"/>
          <w:highlight w:val="none"/>
        </w:rPr>
      </w:pPr>
    </w:p>
    <w:p w14:paraId="423967F2">
      <w:pPr>
        <w:pStyle w:val="100"/>
        <w:shd w:val="clear" w:color="auto"/>
        <w:snapToGrid w:val="0"/>
        <w:spacing w:line="500" w:lineRule="exact"/>
        <w:rPr>
          <w:rFonts w:asciiTheme="minorEastAsia" w:hAnsiTheme="minorEastAsia" w:eastAsiaTheme="minorEastAsia" w:cstheme="minorEastAsia"/>
          <w:color w:val="auto"/>
          <w:sz w:val="24"/>
          <w:highlight w:val="none"/>
        </w:rPr>
      </w:pPr>
    </w:p>
    <w:p w14:paraId="59C0AAC6">
      <w:pPr>
        <w:pStyle w:val="100"/>
        <w:shd w:val="clear" w:color="auto"/>
        <w:snapToGrid w:val="0"/>
        <w:spacing w:line="500" w:lineRule="exac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供应商（盖公章）：</w:t>
      </w:r>
    </w:p>
    <w:p w14:paraId="0E48F513">
      <w:pPr>
        <w:shd w:val="clear" w:color="auto"/>
        <w:spacing w:line="500" w:lineRule="exac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法定代表人（签字或盖章）：</w:t>
      </w:r>
    </w:p>
    <w:p w14:paraId="08EBE4B2">
      <w:pPr>
        <w:shd w:val="clear" w:color="auto"/>
        <w:spacing w:line="500" w:lineRule="exac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被授权代理人（签字或盖章）：</w:t>
      </w:r>
    </w:p>
    <w:p w14:paraId="584042B5">
      <w:pPr>
        <w:shd w:val="clear" w:color="auto"/>
        <w:adjustRightInd w:val="0"/>
        <w:snapToGrid w:val="0"/>
        <w:spacing w:line="500" w:lineRule="exac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日期：  年  月  日</w:t>
      </w:r>
    </w:p>
    <w:p w14:paraId="72BB324C">
      <w:pPr>
        <w:widowControl/>
        <w:shd w:val="clear"/>
        <w:jc w:val="left"/>
        <w:rPr>
          <w:rFonts w:asciiTheme="minorEastAsia" w:hAnsiTheme="minorEastAsia" w:eastAsiaTheme="minorEastAsia" w:cstheme="minorEastAsia"/>
          <w:color w:val="auto"/>
          <w:sz w:val="24"/>
          <w:szCs w:val="24"/>
          <w:highlight w:val="none"/>
        </w:rPr>
      </w:pPr>
    </w:p>
    <w:p w14:paraId="3506CF6F">
      <w:pPr>
        <w:widowControl/>
        <w:shd w:val="clear"/>
        <w:jc w:val="left"/>
        <w:outlineLvl w:val="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br w:type="page"/>
      </w:r>
      <w:bookmarkStart w:id="133" w:name="_Toc14769"/>
      <w:bookmarkStart w:id="134" w:name="_Toc11414"/>
      <w:r>
        <w:rPr>
          <w:rFonts w:hint="eastAsia" w:asciiTheme="minorEastAsia" w:hAnsiTheme="minorEastAsia" w:eastAsiaTheme="minorEastAsia" w:cstheme="minorEastAsia"/>
          <w:b/>
          <w:bCs/>
          <w:color w:val="auto"/>
          <w:sz w:val="24"/>
          <w:szCs w:val="24"/>
          <w:highlight w:val="none"/>
        </w:rPr>
        <w:t>附件</w:t>
      </w:r>
      <w:bookmarkEnd w:id="133"/>
      <w:bookmarkEnd w:id="134"/>
      <w:r>
        <w:rPr>
          <w:rFonts w:hint="eastAsia" w:asciiTheme="minorEastAsia" w:hAnsiTheme="minorEastAsia" w:eastAsiaTheme="minorEastAsia" w:cstheme="minorEastAsia"/>
          <w:b/>
          <w:bCs/>
          <w:color w:val="auto"/>
          <w:sz w:val="24"/>
          <w:szCs w:val="24"/>
          <w:highlight w:val="none"/>
          <w:lang w:val="en-US" w:eastAsia="zh-CN"/>
        </w:rPr>
        <w:t>6</w:t>
      </w:r>
    </w:p>
    <w:p w14:paraId="571CDC69">
      <w:pPr>
        <w:shd w:val="clear" w:color="auto"/>
        <w:spacing w:line="500" w:lineRule="exact"/>
        <w:jc w:val="center"/>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关于《中华人民共和国政府采购法》第二十二条的承诺书</w:t>
      </w:r>
    </w:p>
    <w:p w14:paraId="5C3DB781">
      <w:pPr>
        <w:shd w:val="clear" w:color="auto"/>
        <w:spacing w:line="500" w:lineRule="exact"/>
        <w:ind w:firstLine="453" w:firstLineChars="189"/>
        <w:rPr>
          <w:rFonts w:asciiTheme="minorEastAsia" w:hAnsiTheme="minorEastAsia" w:eastAsiaTheme="minorEastAsia" w:cstheme="minorEastAsia"/>
          <w:bCs/>
          <w:color w:val="auto"/>
          <w:sz w:val="24"/>
          <w:szCs w:val="24"/>
          <w:highlight w:val="none"/>
        </w:rPr>
      </w:pPr>
    </w:p>
    <w:p w14:paraId="5065309F">
      <w:pPr>
        <w:shd w:val="clear" w:color="auto"/>
        <w:spacing w:line="500" w:lineRule="exact"/>
        <w:ind w:firstLine="453" w:firstLineChars="189"/>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致：</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（采购人）</w:t>
      </w:r>
    </w:p>
    <w:p w14:paraId="7426340F">
      <w:pPr>
        <w:shd w:val="clear" w:color="auto"/>
        <w:spacing w:line="500" w:lineRule="exact"/>
        <w:ind w:firstLine="453" w:firstLineChars="189"/>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我公司</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参加贵方组织的</w:t>
      </w:r>
      <w:r>
        <w:rPr>
          <w:rFonts w:hint="eastAsia" w:asciiTheme="minorEastAsia" w:hAnsiTheme="minorEastAsia" w:eastAsiaTheme="minorEastAsia" w:cstheme="minorEastAsia"/>
          <w:bCs/>
          <w:color w:val="auto"/>
          <w:sz w:val="24"/>
          <w:szCs w:val="24"/>
          <w:highlight w:val="none"/>
          <w:u w:val="single"/>
        </w:rPr>
        <w:t>项目名称：      （项目编号：       ）</w:t>
      </w:r>
      <w:r>
        <w:rPr>
          <w:rFonts w:hint="eastAsia" w:asciiTheme="minorEastAsia" w:hAnsiTheme="minorEastAsia" w:eastAsiaTheme="minorEastAsia" w:cstheme="minorEastAsia"/>
          <w:bCs/>
          <w:color w:val="auto"/>
          <w:sz w:val="24"/>
          <w:szCs w:val="24"/>
          <w:highlight w:val="none"/>
        </w:rPr>
        <w:t>的投标活动，为便于贵方公正、择优的确定中标人，我方就本次投标有关事项声明如下：</w:t>
      </w:r>
    </w:p>
    <w:p w14:paraId="534AF1EB">
      <w:pPr>
        <w:shd w:val="clear" w:color="auto"/>
        <w:spacing w:line="500" w:lineRule="exact"/>
        <w:ind w:firstLine="453" w:firstLineChars="189"/>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（1）具有独立承担民事责任的能力；</w:t>
      </w:r>
    </w:p>
    <w:p w14:paraId="402A7C5D">
      <w:pPr>
        <w:shd w:val="clear" w:color="auto"/>
        <w:spacing w:line="500" w:lineRule="exact"/>
        <w:ind w:firstLine="453" w:firstLineChars="189"/>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（2）具有良好的商业信誉和健全的财务会计制度；</w:t>
      </w:r>
    </w:p>
    <w:p w14:paraId="74256059">
      <w:pPr>
        <w:shd w:val="clear" w:color="auto"/>
        <w:spacing w:line="500" w:lineRule="exact"/>
        <w:ind w:firstLine="453" w:firstLineChars="189"/>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（3）具有履行合同所必需的设备和专业技术能力；</w:t>
      </w:r>
    </w:p>
    <w:p w14:paraId="1834ADEF">
      <w:pPr>
        <w:shd w:val="clear" w:color="auto"/>
        <w:spacing w:line="500" w:lineRule="exact"/>
        <w:ind w:firstLine="453" w:firstLineChars="189"/>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（4）有依法缴纳税收和社会保障资金的良好记录；</w:t>
      </w:r>
    </w:p>
    <w:p w14:paraId="100FEC52">
      <w:pPr>
        <w:shd w:val="clear" w:color="auto"/>
        <w:spacing w:line="500" w:lineRule="exact"/>
        <w:ind w:firstLine="453" w:firstLineChars="189"/>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（5）参加政府采购活动前三年内，在经营活动中没有重大违法记录；</w:t>
      </w:r>
    </w:p>
    <w:p w14:paraId="06AC9CF6">
      <w:pPr>
        <w:shd w:val="clear" w:color="auto"/>
        <w:spacing w:line="500" w:lineRule="exact"/>
        <w:ind w:firstLine="453" w:firstLineChars="189"/>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（6）法律、行政法规规定的其他条件。</w:t>
      </w:r>
    </w:p>
    <w:p w14:paraId="656D06E1">
      <w:pPr>
        <w:shd w:val="clear" w:color="auto"/>
        <w:spacing w:line="500" w:lineRule="exact"/>
        <w:ind w:firstLine="453" w:firstLineChars="189"/>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我公司已完全了解本磋商文件中规定的技术要求和商务条款。如违反以上承诺，本公司愿承担一切法律责任。</w:t>
      </w:r>
    </w:p>
    <w:p w14:paraId="7CD47407">
      <w:pPr>
        <w:shd w:val="clear" w:color="auto"/>
        <w:spacing w:line="500" w:lineRule="exact"/>
        <w:ind w:firstLine="453" w:firstLineChars="189"/>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特此承诺。</w:t>
      </w:r>
    </w:p>
    <w:p w14:paraId="1282D163">
      <w:pPr>
        <w:shd w:val="clear" w:color="auto"/>
        <w:spacing w:line="500" w:lineRule="exact"/>
        <w:ind w:firstLine="3120" w:firstLineChars="1300"/>
        <w:jc w:val="left"/>
        <w:rPr>
          <w:rFonts w:asciiTheme="minorEastAsia" w:hAnsiTheme="minorEastAsia" w:eastAsiaTheme="minorEastAsia" w:cstheme="minorEastAsia"/>
          <w:color w:val="auto"/>
          <w:sz w:val="24"/>
          <w:szCs w:val="24"/>
          <w:highlight w:val="none"/>
        </w:rPr>
      </w:pPr>
    </w:p>
    <w:p w14:paraId="4F58B246">
      <w:pPr>
        <w:shd w:val="clear" w:color="auto"/>
        <w:spacing w:line="480" w:lineRule="auto"/>
        <w:jc w:val="left"/>
        <w:rPr>
          <w:rFonts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承诺人（公章）：</w:t>
      </w:r>
      <w:r>
        <w:rPr>
          <w:rFonts w:hint="eastAsia" w:asciiTheme="minorEastAsia" w:hAnsiTheme="minorEastAsia" w:eastAsiaTheme="minorEastAsia" w:cstheme="minorEastAsia"/>
          <w:color w:val="auto"/>
          <w:sz w:val="24"/>
          <w:szCs w:val="24"/>
          <w:highlight w:val="none"/>
          <w:u w:val="single"/>
        </w:rPr>
        <w:t xml:space="preserve">     （供应商全称）  </w:t>
      </w:r>
    </w:p>
    <w:p w14:paraId="48AC71BD">
      <w:pPr>
        <w:shd w:val="clear" w:color="auto"/>
        <w:spacing w:line="48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日期： 年 月 日</w:t>
      </w:r>
    </w:p>
    <w:p w14:paraId="016CC870">
      <w:pPr>
        <w:shd w:val="clear" w:color="auto"/>
        <w:spacing w:line="480" w:lineRule="auto"/>
        <w:jc w:val="left"/>
        <w:rPr>
          <w:rFonts w:hint="eastAsia" w:ascii="宋体" w:hAnsi="宋体" w:eastAsiaTheme="minorEastAsia"/>
          <w:bCs/>
          <w:color w:val="auto"/>
          <w:sz w:val="24"/>
          <w:highlight w:val="none"/>
          <w:lang w:eastAsia="zh-CN"/>
        </w:rPr>
      </w:pPr>
      <w:r>
        <w:rPr>
          <w:rFonts w:hint="eastAsia" w:asciiTheme="minorEastAsia" w:hAnsiTheme="minorEastAsia" w:eastAsiaTheme="minorEastAsia" w:cstheme="minorEastAsia"/>
          <w:color w:val="auto"/>
          <w:sz w:val="24"/>
          <w:highlight w:val="none"/>
        </w:rPr>
        <w:br w:type="page"/>
      </w:r>
      <w:bookmarkStart w:id="135" w:name="_Toc5047"/>
      <w:bookmarkStart w:id="136" w:name="_Toc30189"/>
      <w:r>
        <w:rPr>
          <w:rFonts w:hint="eastAsia" w:asciiTheme="minorEastAsia" w:hAnsiTheme="minorEastAsia" w:eastAsiaTheme="minorEastAsia" w:cstheme="minorEastAsia"/>
          <w:bCs/>
          <w:color w:val="auto"/>
          <w:sz w:val="24"/>
          <w:highlight w:val="none"/>
        </w:rPr>
        <w:t>附件</w:t>
      </w:r>
      <w:bookmarkEnd w:id="135"/>
      <w:bookmarkEnd w:id="136"/>
      <w:r>
        <w:rPr>
          <w:rFonts w:hint="eastAsia" w:asciiTheme="minorEastAsia" w:hAnsiTheme="minorEastAsia" w:eastAsiaTheme="minorEastAsia" w:cstheme="minorEastAsia"/>
          <w:bCs/>
          <w:color w:val="auto"/>
          <w:sz w:val="24"/>
          <w:highlight w:val="none"/>
          <w:lang w:val="en-US" w:eastAsia="zh-CN"/>
        </w:rPr>
        <w:t>7</w:t>
      </w:r>
    </w:p>
    <w:p w14:paraId="74094840">
      <w:pPr>
        <w:pStyle w:val="109"/>
        <w:widowControl w:val="0"/>
        <w:shd w:val="clear"/>
        <w:jc w:val="center"/>
        <w:outlineLvl w:val="2"/>
        <w:rPr>
          <w:rFonts w:ascii="宋体" w:hAnsi="宋体" w:eastAsia="宋体" w:cs="宋体"/>
          <w:color w:val="auto"/>
          <w:kern w:val="2"/>
          <w:highlight w:val="none"/>
        </w:rPr>
      </w:pPr>
      <w:r>
        <w:rPr>
          <w:rFonts w:hint="eastAsia" w:ascii="宋体" w:hAnsi="宋体" w:eastAsia="宋体"/>
          <w:bCs/>
          <w:color w:val="auto"/>
          <w:kern w:val="2"/>
          <w:sz w:val="24"/>
          <w:highlight w:val="none"/>
        </w:rPr>
        <w:t>廉洁投标承诺书</w:t>
      </w:r>
    </w:p>
    <w:p w14:paraId="30FA2950">
      <w:pPr>
        <w:shd w:val="clea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致新疆科技学院：</w:t>
      </w:r>
    </w:p>
    <w:p w14:paraId="718B9136">
      <w:pPr>
        <w:shd w:val="clea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根据《新疆科技学院关于对招投标实行廉洁承诺及合同备案管理制度的规定》，我单位在贵校</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项目投标过程中，郑重申明并承诺：</w:t>
      </w:r>
    </w:p>
    <w:p w14:paraId="121A5F2C">
      <w:pPr>
        <w:shd w:val="clea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严格遵守《中华人民共和国招投标法》及配套法规规章和《关于严格执行招标投标法规制度进一步规范招标投标主体行为的若干意见》等国家关于市场准入、招标投标、工程建设、施工安装、物资采购和市场活动等有关法律、法规和相关政策，以及廉政建设的各项规定，坚持公平公正、诚实守信原则进行投标。</w:t>
      </w:r>
    </w:p>
    <w:p w14:paraId="7C04DB1F">
      <w:pPr>
        <w:shd w:val="clea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 严格遵守有关法律法规和行业标准规范，依法诚信参加投标，自觉维护公平竞争秩序。</w:t>
      </w:r>
    </w:p>
    <w:p w14:paraId="263DA4DD">
      <w:pPr>
        <w:shd w:val="clea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 不得通过受让、租借或者挂靠资质投标；不得伪造、变造资质、资格证书或者其他许可证件，提供虚假业绩、奖项、项目负责人等材料，或者以其他方式弄虚作假投标；不得与招标人、招标代理机构或其他投标人串通投标；不得与评标委员会成员私下接触，或向招标人、招标代理机构、交易平台运行服务机构、评标委员会成员、行政监督部门人员等行贿谋取中标；不得恶意提出异议、投诉或者举报，干扰正常招标投标活动。</w:t>
      </w:r>
    </w:p>
    <w:p w14:paraId="0342DD1A">
      <w:pPr>
        <w:shd w:val="clea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 中标人不得无正当理由不与招标人订立合同，在签订合同时向招标人提出附加条件，不按照招标文件要求提交履约保证金或履约保函，或者将中标项目转包、违法分包。</w:t>
      </w:r>
    </w:p>
    <w:p w14:paraId="59832F2D">
      <w:pPr>
        <w:shd w:val="clea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 对学校招标人发生违规违纪违法行为的，及时向学校纪检监察机构反映，同时积极配合支持有关部门履行职责（受理单位：中共新疆科技学院纪律检查委员会，举报电话：0996—8612388）。</w:t>
      </w:r>
    </w:p>
    <w:p w14:paraId="1D8A851F">
      <w:pPr>
        <w:shd w:val="clea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 违反以上承诺，学校有权取消我单位投标资格或终止合同，由此引起的一切后果由我方承担。</w:t>
      </w:r>
    </w:p>
    <w:p w14:paraId="1A1928A4">
      <w:pPr>
        <w:shd w:val="clear"/>
        <w:spacing w:line="560" w:lineRule="exact"/>
        <w:ind w:firstLine="480" w:firstLineChars="200"/>
        <w:rPr>
          <w:rFonts w:ascii="宋体" w:hAnsi="宋体" w:cs="宋体"/>
          <w:color w:val="auto"/>
          <w:sz w:val="24"/>
          <w:szCs w:val="24"/>
          <w:highlight w:val="none"/>
        </w:rPr>
      </w:pPr>
    </w:p>
    <w:p w14:paraId="7333197D">
      <w:pPr>
        <w:shd w:val="clear"/>
        <w:spacing w:line="560" w:lineRule="exact"/>
        <w:ind w:firstLine="3600" w:firstLineChars="1500"/>
        <w:rPr>
          <w:rFonts w:ascii="宋体" w:hAnsi="宋体" w:cs="宋体"/>
          <w:color w:val="auto"/>
          <w:sz w:val="24"/>
          <w:szCs w:val="24"/>
          <w:highlight w:val="none"/>
        </w:rPr>
      </w:pPr>
      <w:r>
        <w:rPr>
          <w:rFonts w:hint="eastAsia" w:ascii="宋体" w:hAnsi="宋体" w:cs="宋体"/>
          <w:color w:val="auto"/>
          <w:sz w:val="24"/>
          <w:szCs w:val="24"/>
          <w:highlight w:val="none"/>
        </w:rPr>
        <w:t>投标单位（盖单位公章）：</w:t>
      </w:r>
      <w:r>
        <w:rPr>
          <w:rFonts w:hint="eastAsia" w:ascii="宋体" w:hAnsi="宋体" w:cs="宋体"/>
          <w:color w:val="auto"/>
          <w:sz w:val="24"/>
          <w:szCs w:val="24"/>
          <w:highlight w:val="none"/>
          <w:u w:val="single"/>
        </w:rPr>
        <w:t xml:space="preserve">                 </w:t>
      </w:r>
    </w:p>
    <w:p w14:paraId="4C975D86">
      <w:pPr>
        <w:shd w:val="clear"/>
        <w:spacing w:line="560" w:lineRule="exact"/>
        <w:ind w:firstLine="3600" w:firstLineChars="1500"/>
        <w:rPr>
          <w:rFonts w:ascii="宋体" w:hAnsi="宋体" w:cs="宋体"/>
          <w:color w:val="auto"/>
          <w:sz w:val="24"/>
          <w:szCs w:val="24"/>
          <w:highlight w:val="none"/>
        </w:rPr>
      </w:pPr>
      <w:r>
        <w:rPr>
          <w:rFonts w:hint="eastAsia" w:ascii="宋体" w:hAnsi="宋体" w:cs="宋体"/>
          <w:color w:val="auto"/>
          <w:sz w:val="24"/>
          <w:szCs w:val="24"/>
          <w:highlight w:val="none"/>
        </w:rPr>
        <w:t>法定代表人或授权代理人</w:t>
      </w:r>
    </w:p>
    <w:p w14:paraId="047610C2">
      <w:pPr>
        <w:shd w:val="clear"/>
        <w:spacing w:line="56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 xml:space="preserve">                         （签  字  或  印  章）：</w:t>
      </w:r>
      <w:r>
        <w:rPr>
          <w:rFonts w:hint="eastAsia" w:ascii="宋体" w:hAnsi="宋体" w:cs="宋体"/>
          <w:color w:val="auto"/>
          <w:sz w:val="24"/>
          <w:szCs w:val="24"/>
          <w:highlight w:val="none"/>
          <w:u w:val="single"/>
        </w:rPr>
        <w:t xml:space="preserve">                 </w:t>
      </w:r>
    </w:p>
    <w:p w14:paraId="453DA9E9">
      <w:pPr>
        <w:widowControl/>
        <w:shd w:val="clear"/>
        <w:jc w:val="left"/>
        <w:outlineLvl w:val="0"/>
        <w:rPr>
          <w:rFonts w:asciiTheme="minorEastAsia" w:hAnsiTheme="minorEastAsia" w:eastAsiaTheme="minorEastAsia" w:cstheme="minorEastAsia"/>
          <w:color w:val="auto"/>
          <w:sz w:val="24"/>
          <w:szCs w:val="24"/>
          <w:highlight w:val="none"/>
        </w:rPr>
      </w:pPr>
      <w:r>
        <w:rPr>
          <w:rFonts w:hint="eastAsia" w:ascii="宋体" w:hAnsi="宋体" w:cs="宋体"/>
          <w:color w:val="auto"/>
          <w:sz w:val="24"/>
          <w:szCs w:val="24"/>
          <w:highlight w:val="none"/>
        </w:rPr>
        <w:t xml:space="preserve">                                    时  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638A9C5B">
      <w:pPr>
        <w:pStyle w:val="109"/>
        <w:pageBreakBefore/>
        <w:widowControl w:val="0"/>
        <w:shd w:val="clear"/>
        <w:outlineLvl w:val="2"/>
        <w:rPr>
          <w:rFonts w:hint="eastAsia" w:ascii="宋体" w:hAnsi="宋体" w:eastAsia="黑体"/>
          <w:bCs/>
          <w:color w:val="auto"/>
          <w:sz w:val="24"/>
          <w:highlight w:val="none"/>
          <w:lang w:eastAsia="zh-CN"/>
        </w:rPr>
      </w:pPr>
      <w:r>
        <w:rPr>
          <w:rFonts w:hint="eastAsia" w:ascii="宋体" w:hAnsi="宋体"/>
          <w:bCs/>
          <w:color w:val="auto"/>
          <w:sz w:val="24"/>
          <w:highlight w:val="none"/>
        </w:rPr>
        <w:t>附件</w:t>
      </w:r>
      <w:r>
        <w:rPr>
          <w:rFonts w:hint="eastAsia" w:ascii="宋体" w:hAnsi="宋体"/>
          <w:bCs/>
          <w:color w:val="auto"/>
          <w:sz w:val="24"/>
          <w:highlight w:val="none"/>
          <w:lang w:val="en-US" w:eastAsia="zh-CN"/>
        </w:rPr>
        <w:t>8</w:t>
      </w:r>
    </w:p>
    <w:p w14:paraId="0CF12754">
      <w:pPr>
        <w:shd w:val="clear" w:color="auto"/>
        <w:spacing w:line="500" w:lineRule="exact"/>
        <w:jc w:val="center"/>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供应商的资格声明</w:t>
      </w:r>
    </w:p>
    <w:p w14:paraId="777B3F25">
      <w:pPr>
        <w:shd w:val="clear" w:color="auto"/>
        <w:spacing w:line="500" w:lineRule="exac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（采购人）</w:t>
      </w:r>
      <w:r>
        <w:rPr>
          <w:rFonts w:hint="eastAsia" w:asciiTheme="minorEastAsia" w:hAnsiTheme="minorEastAsia" w:eastAsiaTheme="minorEastAsia" w:cstheme="minorEastAsia"/>
          <w:color w:val="auto"/>
          <w:sz w:val="24"/>
          <w:szCs w:val="24"/>
          <w:highlight w:val="none"/>
        </w:rPr>
        <w:t>：</w:t>
      </w:r>
    </w:p>
    <w:p w14:paraId="5D196DF7">
      <w:pPr>
        <w:shd w:val="clear" w:color="auto"/>
        <w:spacing w:line="500" w:lineRule="exac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关于贵方发出的采购文件，本供应商愿意参加投标，并证明资格文件中和所要求的说明是真实和准确无误的。</w:t>
      </w:r>
    </w:p>
    <w:p w14:paraId="2E4591E7">
      <w:pPr>
        <w:shd w:val="clear" w:color="auto"/>
        <w:spacing w:line="5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本供应商对可能要求的进一步的资格资料表示理解和同意，并同意按贵方的要求提供任何有关资料。</w:t>
      </w:r>
    </w:p>
    <w:p w14:paraId="60215BC2">
      <w:pPr>
        <w:shd w:val="clear" w:color="auto"/>
        <w:spacing w:line="500" w:lineRule="exact"/>
        <w:rPr>
          <w:rFonts w:asciiTheme="minorEastAsia" w:hAnsiTheme="minorEastAsia" w:eastAsiaTheme="minorEastAsia" w:cstheme="minorEastAsia"/>
          <w:color w:val="auto"/>
          <w:sz w:val="24"/>
          <w:szCs w:val="24"/>
          <w:highlight w:val="none"/>
        </w:rPr>
      </w:pPr>
    </w:p>
    <w:p w14:paraId="05FF2864">
      <w:pPr>
        <w:shd w:val="clear" w:color="auto"/>
        <w:spacing w:line="500" w:lineRule="exact"/>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供应商（盖公章）：</w:t>
      </w:r>
    </w:p>
    <w:p w14:paraId="4BB1E42B">
      <w:pPr>
        <w:shd w:val="clear" w:color="auto"/>
        <w:spacing w:line="500" w:lineRule="exact"/>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法定代表人（签字或盖章）：</w:t>
      </w:r>
    </w:p>
    <w:p w14:paraId="31797D63">
      <w:pPr>
        <w:shd w:val="clear" w:color="auto"/>
        <w:spacing w:line="500" w:lineRule="exact"/>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日期： 年  月  日</w:t>
      </w:r>
    </w:p>
    <w:p w14:paraId="1EA9675F">
      <w:pPr>
        <w:shd w:val="clear" w:color="auto"/>
        <w:tabs>
          <w:tab w:val="left" w:pos="996"/>
        </w:tabs>
        <w:spacing w:line="500" w:lineRule="exac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b/>
      </w:r>
    </w:p>
    <w:p w14:paraId="326A418F">
      <w:pPr>
        <w:shd w:val="clear"/>
        <w:spacing w:line="500" w:lineRule="exact"/>
        <w:outlineLvl w:val="0"/>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rPr>
        <w:br w:type="page"/>
      </w:r>
      <w:bookmarkStart w:id="137" w:name="_Toc10322"/>
      <w:bookmarkStart w:id="138" w:name="_Toc7637"/>
      <w:r>
        <w:rPr>
          <w:rFonts w:hint="eastAsia" w:asciiTheme="minorEastAsia" w:hAnsiTheme="minorEastAsia" w:eastAsiaTheme="minorEastAsia" w:cstheme="minorEastAsia"/>
          <w:b/>
          <w:bCs/>
          <w:color w:val="auto"/>
          <w:sz w:val="24"/>
          <w:szCs w:val="24"/>
          <w:highlight w:val="none"/>
        </w:rPr>
        <w:t>附件</w:t>
      </w:r>
      <w:bookmarkEnd w:id="137"/>
      <w:bookmarkEnd w:id="138"/>
      <w:r>
        <w:rPr>
          <w:rFonts w:hint="eastAsia" w:asciiTheme="minorEastAsia" w:hAnsiTheme="minorEastAsia" w:eastAsiaTheme="minorEastAsia" w:cstheme="minorEastAsia"/>
          <w:b/>
          <w:bCs/>
          <w:color w:val="auto"/>
          <w:sz w:val="24"/>
          <w:szCs w:val="24"/>
          <w:highlight w:val="none"/>
          <w:lang w:val="en-US" w:eastAsia="zh-CN"/>
        </w:rPr>
        <w:t>9</w:t>
      </w:r>
    </w:p>
    <w:p w14:paraId="07E533B7">
      <w:pPr>
        <w:shd w:val="clear" w:color="auto"/>
        <w:tabs>
          <w:tab w:val="left" w:pos="996"/>
        </w:tabs>
        <w:spacing w:line="500" w:lineRule="exact"/>
        <w:jc w:val="center"/>
        <w:rPr>
          <w:rFonts w:hint="eastAsia" w:asciiTheme="minorEastAsia" w:hAnsiTheme="minorEastAsia" w:eastAsiaTheme="minorEastAsia" w:cstheme="minorEastAsia"/>
          <w:b/>
          <w:color w:val="auto"/>
          <w:sz w:val="24"/>
          <w:szCs w:val="24"/>
          <w:highlight w:val="none"/>
          <w:lang w:eastAsia="zh-CN"/>
        </w:rPr>
      </w:pPr>
      <w:bookmarkStart w:id="139" w:name="_Hlk7871365"/>
      <w:r>
        <w:rPr>
          <w:rFonts w:hint="eastAsia" w:asciiTheme="minorEastAsia" w:hAnsiTheme="minorEastAsia" w:eastAsiaTheme="minorEastAsia" w:cstheme="minorEastAsia"/>
          <w:b/>
          <w:color w:val="auto"/>
          <w:sz w:val="24"/>
          <w:szCs w:val="24"/>
          <w:highlight w:val="none"/>
          <w:lang w:eastAsia="zh-CN"/>
        </w:rPr>
        <w:t>供应商需提供的资料</w:t>
      </w:r>
    </w:p>
    <w:bookmarkEnd w:id="139"/>
    <w:p w14:paraId="30366663">
      <w:pPr>
        <w:shd w:val="clear" w:color="auto"/>
        <w:tabs>
          <w:tab w:val="left" w:pos="996"/>
        </w:tabs>
        <w:spacing w:line="500" w:lineRule="exact"/>
        <w:jc w:val="center"/>
        <w:rPr>
          <w:rFonts w:asciiTheme="minorEastAsia" w:hAnsiTheme="minorEastAsia" w:eastAsiaTheme="minorEastAsia" w:cstheme="minorEastAsia"/>
          <w:b/>
          <w:color w:val="auto"/>
          <w:sz w:val="24"/>
          <w:szCs w:val="24"/>
          <w:highlight w:val="none"/>
        </w:rPr>
      </w:pPr>
    </w:p>
    <w:p w14:paraId="65B018FF">
      <w:pPr>
        <w:widowControl/>
        <w:shd w:val="clear"/>
        <w:spacing w:line="360" w:lineRule="auto"/>
        <w:jc w:val="left"/>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提供以下证明资料（但不限于）：</w:t>
      </w:r>
    </w:p>
    <w:p w14:paraId="2D650D12">
      <w:pPr>
        <w:pStyle w:val="91"/>
        <w:widowControl/>
        <w:numPr>
          <w:ilvl w:val="0"/>
          <w:numId w:val="12"/>
        </w:numPr>
        <w:shd w:val="clear"/>
        <w:spacing w:line="480" w:lineRule="auto"/>
        <w:ind w:firstLineChars="0"/>
        <w:rPr>
          <w:rFonts w:asciiTheme="minorEastAsia" w:hAnsiTheme="minorEastAsia" w:eastAsiaTheme="minorEastAsia" w:cstheme="minorEastAsia"/>
          <w:color w:val="auto"/>
          <w:highlight w:val="none"/>
          <w:u w:val="none"/>
        </w:rPr>
      </w:pPr>
      <w:r>
        <w:rPr>
          <w:rFonts w:hint="eastAsia" w:asciiTheme="minorEastAsia" w:hAnsiTheme="minorEastAsia" w:eastAsiaTheme="minorEastAsia" w:cstheme="minorEastAsia"/>
          <w:color w:val="auto"/>
          <w:highlight w:val="none"/>
          <w:u w:val="none"/>
        </w:rPr>
        <w:t>营业执照；</w:t>
      </w:r>
    </w:p>
    <w:p w14:paraId="7C45C076">
      <w:pPr>
        <w:pStyle w:val="91"/>
        <w:widowControl/>
        <w:numPr>
          <w:ilvl w:val="0"/>
          <w:numId w:val="12"/>
        </w:numPr>
        <w:shd w:val="clear"/>
        <w:spacing w:line="480" w:lineRule="auto"/>
        <w:ind w:firstLineChars="0"/>
        <w:rPr>
          <w:rFonts w:asciiTheme="minorEastAsia" w:hAnsiTheme="minorEastAsia" w:eastAsiaTheme="minorEastAsia" w:cstheme="minorEastAsia"/>
          <w:color w:val="auto"/>
          <w:highlight w:val="none"/>
          <w:u w:val="none"/>
        </w:rPr>
      </w:pPr>
      <w:r>
        <w:rPr>
          <w:rFonts w:hint="eastAsia" w:asciiTheme="minorEastAsia" w:hAnsiTheme="minorEastAsia" w:eastAsiaTheme="minorEastAsia" w:cstheme="minorEastAsia"/>
          <w:color w:val="auto"/>
          <w:highlight w:val="none"/>
          <w:u w:val="none"/>
        </w:rPr>
        <w:t>信用信息查询截图；</w:t>
      </w:r>
    </w:p>
    <w:p w14:paraId="77AB372B">
      <w:pPr>
        <w:pStyle w:val="91"/>
        <w:widowControl/>
        <w:numPr>
          <w:ilvl w:val="0"/>
          <w:numId w:val="12"/>
        </w:numPr>
        <w:shd w:val="clear"/>
        <w:spacing w:line="480" w:lineRule="auto"/>
        <w:ind w:firstLineChars="0"/>
        <w:rPr>
          <w:rFonts w:asciiTheme="minorEastAsia" w:hAnsiTheme="minorEastAsia" w:eastAsiaTheme="minorEastAsia" w:cstheme="minorEastAsia"/>
          <w:color w:val="auto"/>
          <w:highlight w:val="none"/>
          <w:u w:val="none"/>
        </w:rPr>
      </w:pPr>
      <w:r>
        <w:rPr>
          <w:rFonts w:hint="eastAsia" w:asciiTheme="minorEastAsia" w:hAnsiTheme="minorEastAsia" w:eastAsiaTheme="minorEastAsia" w:cstheme="minorEastAsia"/>
          <w:color w:val="auto"/>
          <w:highlight w:val="none"/>
          <w:u w:val="none"/>
        </w:rPr>
        <w:t>保证金缴纳凭证</w:t>
      </w:r>
      <w:r>
        <w:rPr>
          <w:rFonts w:hint="eastAsia" w:asciiTheme="minorEastAsia" w:hAnsiTheme="minorEastAsia" w:eastAsiaTheme="minorEastAsia" w:cstheme="minorEastAsia"/>
          <w:color w:val="auto"/>
          <w:highlight w:val="none"/>
          <w:u w:val="none"/>
          <w:lang w:eastAsia="zh-CN"/>
        </w:rPr>
        <w:t>；</w:t>
      </w:r>
    </w:p>
    <w:p w14:paraId="507C4532">
      <w:pPr>
        <w:pStyle w:val="91"/>
        <w:widowControl/>
        <w:numPr>
          <w:ilvl w:val="0"/>
          <w:numId w:val="12"/>
        </w:numPr>
        <w:shd w:val="clear"/>
        <w:spacing w:line="480" w:lineRule="auto"/>
        <w:ind w:firstLineChars="0"/>
        <w:rPr>
          <w:rFonts w:asciiTheme="minorEastAsia" w:hAnsiTheme="minorEastAsia" w:eastAsiaTheme="minorEastAsia" w:cstheme="minorEastAsia"/>
          <w:color w:val="auto"/>
          <w:highlight w:val="none"/>
          <w:u w:val="none"/>
        </w:rPr>
      </w:pPr>
      <w:r>
        <w:rPr>
          <w:rFonts w:hint="eastAsia" w:asciiTheme="minorEastAsia" w:hAnsiTheme="minorEastAsia" w:eastAsiaTheme="minorEastAsia" w:cstheme="minorEastAsia"/>
          <w:color w:val="auto"/>
          <w:highlight w:val="none"/>
          <w:u w:val="none"/>
          <w:lang w:val="en-US" w:eastAsia="zh-CN"/>
        </w:rPr>
        <w:t>开户许可证或基本存款账户信息。</w:t>
      </w:r>
    </w:p>
    <w:p w14:paraId="50D9E267">
      <w:pPr>
        <w:widowControl/>
        <w:shd w:val="clear"/>
        <w:jc w:val="left"/>
        <w:outlineLvl w:val="0"/>
        <w:rPr>
          <w:rFonts w:hint="eastAsia" w:asciiTheme="minorEastAsia" w:hAnsiTheme="minorEastAsia" w:eastAsiaTheme="minorEastAsia" w:cstheme="minorEastAsia"/>
          <w:b/>
          <w:bCs/>
          <w:color w:val="auto"/>
          <w:sz w:val="24"/>
          <w:highlight w:val="none"/>
          <w:lang w:eastAsia="zh-CN"/>
        </w:rPr>
      </w:pPr>
      <w:r>
        <w:rPr>
          <w:rFonts w:hint="eastAsia" w:asciiTheme="minorEastAsia" w:hAnsiTheme="minorEastAsia" w:eastAsiaTheme="minorEastAsia" w:cstheme="minorEastAsia"/>
          <w:bCs/>
          <w:color w:val="auto"/>
          <w:sz w:val="24"/>
          <w:szCs w:val="24"/>
          <w:highlight w:val="none"/>
        </w:rPr>
        <w:br w:type="page"/>
      </w:r>
      <w:bookmarkStart w:id="140" w:name="_Toc27361"/>
      <w:bookmarkStart w:id="141" w:name="_Toc15389"/>
      <w:bookmarkStart w:id="142" w:name="_Toc520282777"/>
      <w:r>
        <w:rPr>
          <w:rFonts w:hint="eastAsia" w:asciiTheme="minorEastAsia" w:hAnsiTheme="minorEastAsia" w:eastAsiaTheme="minorEastAsia" w:cstheme="minorEastAsia"/>
          <w:b/>
          <w:bCs/>
          <w:color w:val="auto"/>
          <w:sz w:val="24"/>
          <w:highlight w:val="none"/>
        </w:rPr>
        <w:t>附件1</w:t>
      </w:r>
      <w:bookmarkEnd w:id="140"/>
      <w:bookmarkEnd w:id="141"/>
      <w:r>
        <w:rPr>
          <w:rFonts w:hint="eastAsia" w:asciiTheme="minorEastAsia" w:hAnsiTheme="minorEastAsia" w:eastAsiaTheme="minorEastAsia" w:cstheme="minorEastAsia"/>
          <w:b/>
          <w:bCs/>
          <w:color w:val="auto"/>
          <w:sz w:val="24"/>
          <w:highlight w:val="none"/>
          <w:lang w:val="en-US" w:eastAsia="zh-CN"/>
        </w:rPr>
        <w:t>0</w:t>
      </w:r>
    </w:p>
    <w:bookmarkEnd w:id="142"/>
    <w:p w14:paraId="34BA4BC7">
      <w:pPr>
        <w:widowControl/>
        <w:shd w:val="clear"/>
        <w:jc w:val="center"/>
        <w:rPr>
          <w:rFonts w:asciiTheme="minorEastAsia" w:hAnsiTheme="minorEastAsia" w:eastAsiaTheme="minorEastAsia" w:cstheme="minorEastAsia"/>
          <w:b/>
          <w:bCs/>
          <w:color w:val="auto"/>
          <w:sz w:val="24"/>
          <w:highlight w:val="none"/>
          <w:lang w:val="zh-CN"/>
        </w:rPr>
      </w:pPr>
      <w:r>
        <w:rPr>
          <w:rFonts w:hint="eastAsia" w:asciiTheme="minorEastAsia" w:hAnsiTheme="minorEastAsia" w:eastAsiaTheme="minorEastAsia" w:cstheme="minorEastAsia"/>
          <w:b/>
          <w:bCs/>
          <w:color w:val="auto"/>
          <w:sz w:val="24"/>
          <w:highlight w:val="none"/>
          <w:lang w:val="zh-CN"/>
        </w:rPr>
        <w:t>采购需求响应偏离表</w:t>
      </w:r>
    </w:p>
    <w:p w14:paraId="39F0E60F">
      <w:pPr>
        <w:shd w:val="clear"/>
        <w:tabs>
          <w:tab w:val="left" w:pos="3226"/>
        </w:tabs>
        <w:autoSpaceDE w:val="0"/>
        <w:autoSpaceDN w:val="0"/>
        <w:adjustRightInd w:val="0"/>
        <w:spacing w:before="43"/>
        <w:ind w:right="420"/>
        <w:jc w:val="center"/>
        <w:rPr>
          <w:rFonts w:asciiTheme="minorEastAsia" w:hAnsiTheme="minorEastAsia" w:eastAsiaTheme="minorEastAsia" w:cstheme="minorEastAsia"/>
          <w:b/>
          <w:bCs/>
          <w:color w:val="auto"/>
          <w:kern w:val="0"/>
          <w:szCs w:val="21"/>
          <w:highlight w:val="none"/>
          <w:lang w:val="zh-CN"/>
        </w:rPr>
      </w:pPr>
    </w:p>
    <w:p w14:paraId="2741B9EC">
      <w:pPr>
        <w:shd w:val="clear" w:color="auto"/>
        <w:spacing w:line="50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项目名称：                             项目编号：</w:t>
      </w:r>
    </w:p>
    <w:tbl>
      <w:tblPr>
        <w:tblStyle w:val="28"/>
        <w:tblW w:w="8413" w:type="dxa"/>
        <w:tblInd w:w="264" w:type="dxa"/>
        <w:tblLayout w:type="fixed"/>
        <w:tblCellMar>
          <w:top w:w="0" w:type="dxa"/>
          <w:left w:w="0" w:type="dxa"/>
          <w:bottom w:w="0" w:type="dxa"/>
          <w:right w:w="0" w:type="dxa"/>
        </w:tblCellMar>
      </w:tblPr>
      <w:tblGrid>
        <w:gridCol w:w="828"/>
        <w:gridCol w:w="1479"/>
        <w:gridCol w:w="2025"/>
        <w:gridCol w:w="1681"/>
        <w:gridCol w:w="1455"/>
        <w:gridCol w:w="945"/>
      </w:tblGrid>
      <w:tr w14:paraId="7DF18FE7">
        <w:tblPrEx>
          <w:tblCellMar>
            <w:top w:w="0" w:type="dxa"/>
            <w:left w:w="0" w:type="dxa"/>
            <w:bottom w:w="0" w:type="dxa"/>
            <w:right w:w="0" w:type="dxa"/>
          </w:tblCellMar>
        </w:tblPrEx>
        <w:trPr>
          <w:trHeight w:val="520"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174969D5">
            <w:pPr>
              <w:shd w:val="clear"/>
              <w:autoSpaceDE w:val="0"/>
              <w:autoSpaceDN w:val="0"/>
              <w:adjustRightInd w:val="0"/>
              <w:spacing w:before="28"/>
              <w:ind w:left="172"/>
              <w:jc w:val="center"/>
              <w:outlineLvl w:val="0"/>
              <w:rPr>
                <w:rFonts w:asciiTheme="minorEastAsia" w:hAnsiTheme="minorEastAsia" w:eastAsiaTheme="minorEastAsia" w:cstheme="minorEastAsia"/>
                <w:color w:val="auto"/>
                <w:kern w:val="0"/>
                <w:sz w:val="24"/>
                <w:highlight w:val="none"/>
                <w:lang w:val="zh-CN"/>
              </w:rPr>
            </w:pPr>
            <w:bookmarkStart w:id="143" w:name="_Toc10090"/>
            <w:bookmarkStart w:id="144" w:name="_Toc13868"/>
            <w:bookmarkStart w:id="145" w:name="_Toc520282779"/>
            <w:r>
              <w:rPr>
                <w:rFonts w:hint="eastAsia" w:asciiTheme="minorEastAsia" w:hAnsiTheme="minorEastAsia" w:eastAsiaTheme="minorEastAsia" w:cstheme="minorEastAsia"/>
                <w:color w:val="auto"/>
                <w:kern w:val="0"/>
                <w:sz w:val="24"/>
                <w:highlight w:val="none"/>
                <w:lang w:val="zh-CN"/>
              </w:rPr>
              <w:t>序号</w:t>
            </w:r>
            <w:bookmarkEnd w:id="143"/>
            <w:bookmarkEnd w:id="144"/>
            <w:bookmarkEnd w:id="145"/>
          </w:p>
        </w:tc>
        <w:tc>
          <w:tcPr>
            <w:tcW w:w="1479" w:type="dxa"/>
            <w:tcBorders>
              <w:top w:val="single" w:color="000000" w:sz="2" w:space="0"/>
              <w:left w:val="single" w:color="000000" w:sz="2" w:space="0"/>
              <w:bottom w:val="single" w:color="000000" w:sz="2" w:space="0"/>
              <w:right w:val="single" w:color="000000" w:sz="2" w:space="0"/>
            </w:tcBorders>
            <w:shd w:val="clear" w:color="000000" w:fill="FFFFFF"/>
          </w:tcPr>
          <w:p w14:paraId="3E6B0753">
            <w:pPr>
              <w:shd w:val="clear"/>
              <w:autoSpaceDE w:val="0"/>
              <w:autoSpaceDN w:val="0"/>
              <w:adjustRightInd w:val="0"/>
              <w:spacing w:before="28"/>
              <w:ind w:left="148"/>
              <w:jc w:val="center"/>
              <w:outlineLvl w:val="0"/>
              <w:rPr>
                <w:rFonts w:asciiTheme="minorEastAsia" w:hAnsiTheme="minorEastAsia" w:eastAsiaTheme="minorEastAsia" w:cstheme="minorEastAsia"/>
                <w:color w:val="auto"/>
                <w:kern w:val="0"/>
                <w:sz w:val="24"/>
                <w:highlight w:val="none"/>
                <w:lang w:val="zh-CN"/>
              </w:rPr>
            </w:pPr>
            <w:bookmarkStart w:id="146" w:name="_Toc15647"/>
            <w:bookmarkStart w:id="147" w:name="_Toc16947"/>
            <w:r>
              <w:rPr>
                <w:rFonts w:hint="eastAsia" w:asciiTheme="minorEastAsia" w:hAnsiTheme="minorEastAsia" w:eastAsiaTheme="minorEastAsia" w:cstheme="minorEastAsia"/>
                <w:color w:val="auto"/>
                <w:kern w:val="0"/>
                <w:sz w:val="24"/>
                <w:highlight w:val="none"/>
                <w:lang w:val="zh-CN"/>
              </w:rPr>
              <w:t>采购内容</w:t>
            </w:r>
            <w:bookmarkEnd w:id="146"/>
            <w:bookmarkEnd w:id="147"/>
          </w:p>
        </w:tc>
        <w:tc>
          <w:tcPr>
            <w:tcW w:w="2025" w:type="dxa"/>
            <w:tcBorders>
              <w:top w:val="single" w:color="000000" w:sz="2" w:space="0"/>
              <w:left w:val="single" w:color="000000" w:sz="2" w:space="0"/>
              <w:bottom w:val="single" w:color="000000" w:sz="2" w:space="0"/>
              <w:right w:val="single" w:color="000000" w:sz="2" w:space="0"/>
            </w:tcBorders>
            <w:shd w:val="clear" w:color="000000" w:fill="FFFFFF"/>
          </w:tcPr>
          <w:p w14:paraId="2647B52F">
            <w:pPr>
              <w:shd w:val="clear"/>
              <w:autoSpaceDE w:val="0"/>
              <w:autoSpaceDN w:val="0"/>
              <w:adjustRightInd w:val="0"/>
              <w:spacing w:before="28"/>
              <w:jc w:val="center"/>
              <w:outlineLvl w:val="0"/>
              <w:rPr>
                <w:rFonts w:asciiTheme="minorEastAsia" w:hAnsiTheme="minorEastAsia" w:eastAsiaTheme="minorEastAsia" w:cstheme="minorEastAsia"/>
                <w:color w:val="auto"/>
                <w:kern w:val="0"/>
                <w:sz w:val="24"/>
                <w:highlight w:val="none"/>
                <w:lang w:val="zh-CN"/>
              </w:rPr>
            </w:pPr>
            <w:bookmarkStart w:id="148" w:name="_Toc21056"/>
            <w:bookmarkStart w:id="149" w:name="_Toc1205"/>
            <w:r>
              <w:rPr>
                <w:rFonts w:hint="eastAsia" w:asciiTheme="minorEastAsia" w:hAnsiTheme="minorEastAsia" w:eastAsiaTheme="minorEastAsia" w:cstheme="minorEastAsia"/>
                <w:color w:val="auto"/>
                <w:kern w:val="0"/>
                <w:sz w:val="24"/>
                <w:highlight w:val="none"/>
                <w:lang w:val="zh-CN"/>
              </w:rPr>
              <w:t>采购需求要求</w:t>
            </w:r>
            <w:bookmarkEnd w:id="148"/>
            <w:bookmarkEnd w:id="149"/>
          </w:p>
        </w:tc>
        <w:tc>
          <w:tcPr>
            <w:tcW w:w="1681" w:type="dxa"/>
            <w:tcBorders>
              <w:top w:val="single" w:color="000000" w:sz="2" w:space="0"/>
              <w:left w:val="single" w:color="000000" w:sz="2" w:space="0"/>
              <w:bottom w:val="single" w:color="000000" w:sz="2" w:space="0"/>
              <w:right w:val="single" w:color="000000" w:sz="2" w:space="0"/>
            </w:tcBorders>
            <w:shd w:val="clear" w:color="000000" w:fill="FFFFFF"/>
          </w:tcPr>
          <w:p w14:paraId="14165C60">
            <w:pPr>
              <w:shd w:val="clear"/>
              <w:autoSpaceDE w:val="0"/>
              <w:autoSpaceDN w:val="0"/>
              <w:adjustRightInd w:val="0"/>
              <w:spacing w:before="28"/>
              <w:ind w:left="148"/>
              <w:jc w:val="center"/>
              <w:outlineLvl w:val="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采购需求响应</w:t>
            </w:r>
          </w:p>
        </w:tc>
        <w:tc>
          <w:tcPr>
            <w:tcW w:w="1455" w:type="dxa"/>
            <w:tcBorders>
              <w:top w:val="single" w:color="000000" w:sz="2" w:space="0"/>
              <w:left w:val="single" w:color="000000" w:sz="2" w:space="0"/>
              <w:bottom w:val="single" w:color="000000" w:sz="2" w:space="0"/>
              <w:right w:val="single" w:color="000000" w:sz="2" w:space="0"/>
            </w:tcBorders>
            <w:shd w:val="clear" w:color="000000" w:fill="FFFFFF"/>
          </w:tcPr>
          <w:p w14:paraId="325E7115">
            <w:pPr>
              <w:shd w:val="clear"/>
              <w:autoSpaceDE w:val="0"/>
              <w:autoSpaceDN w:val="0"/>
              <w:adjustRightInd w:val="0"/>
              <w:spacing w:before="28"/>
              <w:ind w:left="208"/>
              <w:jc w:val="center"/>
              <w:outlineLvl w:val="0"/>
              <w:rPr>
                <w:rFonts w:asciiTheme="minorEastAsia" w:hAnsiTheme="minorEastAsia" w:eastAsiaTheme="minorEastAsia" w:cstheme="minorEastAsia"/>
                <w:color w:val="auto"/>
                <w:kern w:val="0"/>
                <w:sz w:val="24"/>
                <w:highlight w:val="none"/>
              </w:rPr>
            </w:pPr>
            <w:bookmarkStart w:id="150" w:name="_Toc520282784"/>
            <w:bookmarkStart w:id="151" w:name="_Toc25396"/>
            <w:bookmarkStart w:id="152" w:name="_Toc21247"/>
            <w:r>
              <w:rPr>
                <w:rFonts w:hint="eastAsia" w:asciiTheme="minorEastAsia" w:hAnsiTheme="minorEastAsia" w:eastAsiaTheme="minorEastAsia" w:cstheme="minorEastAsia"/>
                <w:color w:val="auto"/>
                <w:kern w:val="0"/>
                <w:sz w:val="24"/>
                <w:highlight w:val="none"/>
                <w:lang w:val="zh-CN"/>
              </w:rPr>
              <w:t>偏离</w:t>
            </w:r>
            <w:bookmarkEnd w:id="150"/>
            <w:r>
              <w:rPr>
                <w:rFonts w:hint="eastAsia" w:asciiTheme="minorEastAsia" w:hAnsiTheme="minorEastAsia" w:eastAsiaTheme="minorEastAsia" w:cstheme="minorEastAsia"/>
                <w:color w:val="auto"/>
                <w:kern w:val="0"/>
                <w:sz w:val="24"/>
                <w:highlight w:val="none"/>
              </w:rPr>
              <w:t>/响应</w:t>
            </w:r>
            <w:bookmarkEnd w:id="151"/>
            <w:bookmarkEnd w:id="152"/>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2FAA18DE">
            <w:pPr>
              <w:shd w:val="clear"/>
              <w:autoSpaceDE w:val="0"/>
              <w:autoSpaceDN w:val="0"/>
              <w:adjustRightInd w:val="0"/>
              <w:spacing w:before="28"/>
              <w:ind w:left="208"/>
              <w:jc w:val="center"/>
              <w:outlineLvl w:val="0"/>
              <w:rPr>
                <w:rFonts w:asciiTheme="minorEastAsia" w:hAnsiTheme="minorEastAsia" w:eastAsiaTheme="minorEastAsia" w:cstheme="minorEastAsia"/>
                <w:color w:val="auto"/>
                <w:kern w:val="0"/>
                <w:sz w:val="24"/>
                <w:highlight w:val="none"/>
                <w:lang w:val="zh-CN"/>
              </w:rPr>
            </w:pPr>
            <w:bookmarkStart w:id="153" w:name="_Toc20595"/>
            <w:bookmarkStart w:id="154" w:name="_Toc29103"/>
            <w:bookmarkStart w:id="155" w:name="_Toc520282785"/>
            <w:r>
              <w:rPr>
                <w:rFonts w:hint="eastAsia" w:asciiTheme="minorEastAsia" w:hAnsiTheme="minorEastAsia" w:eastAsiaTheme="minorEastAsia" w:cstheme="minorEastAsia"/>
                <w:color w:val="auto"/>
                <w:kern w:val="0"/>
                <w:sz w:val="24"/>
                <w:highlight w:val="none"/>
                <w:lang w:val="zh-CN"/>
              </w:rPr>
              <w:t>说明</w:t>
            </w:r>
            <w:bookmarkEnd w:id="153"/>
            <w:bookmarkEnd w:id="154"/>
            <w:bookmarkEnd w:id="155"/>
          </w:p>
        </w:tc>
      </w:tr>
      <w:tr w14:paraId="0419786A">
        <w:tblPrEx>
          <w:tblCellMar>
            <w:top w:w="0" w:type="dxa"/>
            <w:left w:w="0" w:type="dxa"/>
            <w:bottom w:w="0" w:type="dxa"/>
            <w:right w:w="0" w:type="dxa"/>
          </w:tblCellMar>
        </w:tblPrEx>
        <w:trPr>
          <w:trHeight w:val="521"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7462D8CB">
            <w:pPr>
              <w:shd w:val="clear"/>
              <w:autoSpaceDE w:val="0"/>
              <w:autoSpaceDN w:val="0"/>
              <w:adjustRightInd w:val="0"/>
              <w:jc w:val="left"/>
              <w:rPr>
                <w:rFonts w:asciiTheme="minorEastAsia" w:hAnsiTheme="minorEastAsia" w:eastAsiaTheme="minorEastAsia" w:cstheme="minorEastAsia"/>
                <w:color w:val="auto"/>
                <w:kern w:val="0"/>
                <w:sz w:val="24"/>
                <w:highlight w:val="none"/>
                <w:lang w:val="zh-CN"/>
              </w:rPr>
            </w:pPr>
          </w:p>
        </w:tc>
        <w:tc>
          <w:tcPr>
            <w:tcW w:w="1479" w:type="dxa"/>
            <w:tcBorders>
              <w:top w:val="single" w:color="000000" w:sz="2" w:space="0"/>
              <w:left w:val="single" w:color="000000" w:sz="2" w:space="0"/>
              <w:bottom w:val="single" w:color="000000" w:sz="2" w:space="0"/>
              <w:right w:val="single" w:color="000000" w:sz="2" w:space="0"/>
            </w:tcBorders>
            <w:shd w:val="clear" w:color="000000" w:fill="FFFFFF"/>
          </w:tcPr>
          <w:p w14:paraId="7C5EDA29">
            <w:pPr>
              <w:shd w:val="clear"/>
              <w:autoSpaceDE w:val="0"/>
              <w:autoSpaceDN w:val="0"/>
              <w:adjustRightInd w:val="0"/>
              <w:jc w:val="left"/>
              <w:rPr>
                <w:rFonts w:asciiTheme="minorEastAsia" w:hAnsiTheme="minorEastAsia" w:eastAsiaTheme="minorEastAsia" w:cstheme="minorEastAsia"/>
                <w:color w:val="auto"/>
                <w:kern w:val="0"/>
                <w:sz w:val="24"/>
                <w:highlight w:val="none"/>
                <w:lang w:val="zh-CN"/>
              </w:rPr>
            </w:pPr>
          </w:p>
        </w:tc>
        <w:tc>
          <w:tcPr>
            <w:tcW w:w="2025" w:type="dxa"/>
            <w:tcBorders>
              <w:top w:val="single" w:color="000000" w:sz="2" w:space="0"/>
              <w:left w:val="single" w:color="000000" w:sz="2" w:space="0"/>
              <w:bottom w:val="single" w:color="000000" w:sz="2" w:space="0"/>
              <w:right w:val="single" w:color="000000" w:sz="2" w:space="0"/>
            </w:tcBorders>
            <w:shd w:val="clear" w:color="000000" w:fill="FFFFFF"/>
          </w:tcPr>
          <w:p w14:paraId="742AF6B8">
            <w:pPr>
              <w:shd w:val="clear"/>
              <w:autoSpaceDE w:val="0"/>
              <w:autoSpaceDN w:val="0"/>
              <w:adjustRightInd w:val="0"/>
              <w:jc w:val="left"/>
              <w:rPr>
                <w:rFonts w:asciiTheme="minorEastAsia" w:hAnsiTheme="minorEastAsia" w:eastAsiaTheme="minorEastAsia" w:cstheme="minorEastAsia"/>
                <w:color w:val="auto"/>
                <w:kern w:val="0"/>
                <w:sz w:val="24"/>
                <w:highlight w:val="none"/>
                <w:lang w:val="zh-CN"/>
              </w:rPr>
            </w:pPr>
          </w:p>
        </w:tc>
        <w:tc>
          <w:tcPr>
            <w:tcW w:w="1681" w:type="dxa"/>
            <w:tcBorders>
              <w:top w:val="single" w:color="000000" w:sz="2" w:space="0"/>
              <w:left w:val="single" w:color="000000" w:sz="2" w:space="0"/>
              <w:bottom w:val="single" w:color="000000" w:sz="2" w:space="0"/>
              <w:right w:val="single" w:color="000000" w:sz="2" w:space="0"/>
            </w:tcBorders>
            <w:shd w:val="clear" w:color="000000" w:fill="FFFFFF"/>
          </w:tcPr>
          <w:p w14:paraId="4CA58DAE">
            <w:pPr>
              <w:shd w:val="clear"/>
              <w:autoSpaceDE w:val="0"/>
              <w:autoSpaceDN w:val="0"/>
              <w:adjustRightInd w:val="0"/>
              <w:jc w:val="left"/>
              <w:rPr>
                <w:rFonts w:asciiTheme="minorEastAsia" w:hAnsiTheme="minorEastAsia" w:eastAsiaTheme="minorEastAsia" w:cstheme="minorEastAsia"/>
                <w:color w:val="auto"/>
                <w:kern w:val="0"/>
                <w:sz w:val="24"/>
                <w:highlight w:val="none"/>
                <w:lang w:val="zh-CN"/>
              </w:rPr>
            </w:pPr>
          </w:p>
        </w:tc>
        <w:tc>
          <w:tcPr>
            <w:tcW w:w="1455" w:type="dxa"/>
            <w:tcBorders>
              <w:top w:val="single" w:color="000000" w:sz="2" w:space="0"/>
              <w:left w:val="single" w:color="000000" w:sz="2" w:space="0"/>
              <w:bottom w:val="single" w:color="000000" w:sz="2" w:space="0"/>
              <w:right w:val="single" w:color="000000" w:sz="2" w:space="0"/>
            </w:tcBorders>
            <w:shd w:val="clear" w:color="000000" w:fill="FFFFFF"/>
          </w:tcPr>
          <w:p w14:paraId="7A6C7E9D">
            <w:pPr>
              <w:shd w:val="clear"/>
              <w:autoSpaceDE w:val="0"/>
              <w:autoSpaceDN w:val="0"/>
              <w:adjustRightInd w:val="0"/>
              <w:jc w:val="left"/>
              <w:rPr>
                <w:rFonts w:asciiTheme="minorEastAsia" w:hAnsiTheme="minorEastAsia" w:eastAsiaTheme="minorEastAsia" w:cstheme="minorEastAsia"/>
                <w:color w:val="auto"/>
                <w:kern w:val="0"/>
                <w:sz w:val="24"/>
                <w:highlight w:val="none"/>
                <w:lang w:val="zh-CN"/>
              </w:rPr>
            </w:pPr>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17E5F86B">
            <w:pPr>
              <w:shd w:val="clear"/>
              <w:autoSpaceDE w:val="0"/>
              <w:autoSpaceDN w:val="0"/>
              <w:adjustRightInd w:val="0"/>
              <w:jc w:val="left"/>
              <w:rPr>
                <w:rFonts w:asciiTheme="minorEastAsia" w:hAnsiTheme="minorEastAsia" w:eastAsiaTheme="minorEastAsia" w:cstheme="minorEastAsia"/>
                <w:color w:val="auto"/>
                <w:kern w:val="0"/>
                <w:sz w:val="24"/>
                <w:highlight w:val="none"/>
                <w:lang w:val="zh-CN"/>
              </w:rPr>
            </w:pPr>
          </w:p>
        </w:tc>
      </w:tr>
      <w:tr w14:paraId="3FDC4DFD">
        <w:tblPrEx>
          <w:tblCellMar>
            <w:top w:w="0" w:type="dxa"/>
            <w:left w:w="0" w:type="dxa"/>
            <w:bottom w:w="0" w:type="dxa"/>
            <w:right w:w="0" w:type="dxa"/>
          </w:tblCellMar>
        </w:tblPrEx>
        <w:trPr>
          <w:trHeight w:val="520"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4128B240">
            <w:pPr>
              <w:shd w:val="clear"/>
              <w:autoSpaceDE w:val="0"/>
              <w:autoSpaceDN w:val="0"/>
              <w:adjustRightInd w:val="0"/>
              <w:jc w:val="left"/>
              <w:rPr>
                <w:rFonts w:asciiTheme="minorEastAsia" w:hAnsiTheme="minorEastAsia" w:eastAsiaTheme="minorEastAsia" w:cstheme="minorEastAsia"/>
                <w:color w:val="auto"/>
                <w:kern w:val="0"/>
                <w:sz w:val="24"/>
                <w:highlight w:val="none"/>
                <w:lang w:val="zh-CN"/>
              </w:rPr>
            </w:pPr>
          </w:p>
        </w:tc>
        <w:tc>
          <w:tcPr>
            <w:tcW w:w="1479" w:type="dxa"/>
            <w:tcBorders>
              <w:top w:val="single" w:color="000000" w:sz="2" w:space="0"/>
              <w:left w:val="single" w:color="000000" w:sz="2" w:space="0"/>
              <w:bottom w:val="single" w:color="000000" w:sz="2" w:space="0"/>
              <w:right w:val="single" w:color="000000" w:sz="2" w:space="0"/>
            </w:tcBorders>
            <w:shd w:val="clear" w:color="000000" w:fill="FFFFFF"/>
          </w:tcPr>
          <w:p w14:paraId="2EA3255C">
            <w:pPr>
              <w:shd w:val="clear"/>
              <w:autoSpaceDE w:val="0"/>
              <w:autoSpaceDN w:val="0"/>
              <w:adjustRightInd w:val="0"/>
              <w:jc w:val="left"/>
              <w:rPr>
                <w:rFonts w:asciiTheme="minorEastAsia" w:hAnsiTheme="minorEastAsia" w:eastAsiaTheme="minorEastAsia" w:cstheme="minorEastAsia"/>
                <w:color w:val="auto"/>
                <w:kern w:val="0"/>
                <w:sz w:val="24"/>
                <w:highlight w:val="none"/>
                <w:lang w:val="zh-CN"/>
              </w:rPr>
            </w:pPr>
          </w:p>
        </w:tc>
        <w:tc>
          <w:tcPr>
            <w:tcW w:w="2025" w:type="dxa"/>
            <w:tcBorders>
              <w:top w:val="single" w:color="000000" w:sz="2" w:space="0"/>
              <w:left w:val="single" w:color="000000" w:sz="2" w:space="0"/>
              <w:bottom w:val="single" w:color="000000" w:sz="2" w:space="0"/>
              <w:right w:val="single" w:color="000000" w:sz="2" w:space="0"/>
            </w:tcBorders>
            <w:shd w:val="clear" w:color="000000" w:fill="FFFFFF"/>
          </w:tcPr>
          <w:p w14:paraId="6CF82DF9">
            <w:pPr>
              <w:shd w:val="clear"/>
              <w:autoSpaceDE w:val="0"/>
              <w:autoSpaceDN w:val="0"/>
              <w:adjustRightInd w:val="0"/>
              <w:jc w:val="left"/>
              <w:rPr>
                <w:rFonts w:asciiTheme="minorEastAsia" w:hAnsiTheme="minorEastAsia" w:eastAsiaTheme="minorEastAsia" w:cstheme="minorEastAsia"/>
                <w:color w:val="auto"/>
                <w:kern w:val="0"/>
                <w:sz w:val="24"/>
                <w:highlight w:val="none"/>
                <w:lang w:val="zh-CN"/>
              </w:rPr>
            </w:pPr>
          </w:p>
        </w:tc>
        <w:tc>
          <w:tcPr>
            <w:tcW w:w="1681" w:type="dxa"/>
            <w:tcBorders>
              <w:top w:val="single" w:color="000000" w:sz="2" w:space="0"/>
              <w:left w:val="single" w:color="000000" w:sz="2" w:space="0"/>
              <w:bottom w:val="single" w:color="000000" w:sz="2" w:space="0"/>
              <w:right w:val="single" w:color="000000" w:sz="2" w:space="0"/>
            </w:tcBorders>
            <w:shd w:val="clear" w:color="000000" w:fill="FFFFFF"/>
          </w:tcPr>
          <w:p w14:paraId="338F11E3">
            <w:pPr>
              <w:shd w:val="clear"/>
              <w:autoSpaceDE w:val="0"/>
              <w:autoSpaceDN w:val="0"/>
              <w:adjustRightInd w:val="0"/>
              <w:jc w:val="left"/>
              <w:rPr>
                <w:rFonts w:asciiTheme="minorEastAsia" w:hAnsiTheme="minorEastAsia" w:eastAsiaTheme="minorEastAsia" w:cstheme="minorEastAsia"/>
                <w:color w:val="auto"/>
                <w:kern w:val="0"/>
                <w:sz w:val="24"/>
                <w:highlight w:val="none"/>
                <w:lang w:val="zh-CN"/>
              </w:rPr>
            </w:pPr>
          </w:p>
        </w:tc>
        <w:tc>
          <w:tcPr>
            <w:tcW w:w="1455" w:type="dxa"/>
            <w:tcBorders>
              <w:top w:val="single" w:color="000000" w:sz="2" w:space="0"/>
              <w:left w:val="single" w:color="000000" w:sz="2" w:space="0"/>
              <w:bottom w:val="single" w:color="000000" w:sz="2" w:space="0"/>
              <w:right w:val="single" w:color="000000" w:sz="2" w:space="0"/>
            </w:tcBorders>
            <w:shd w:val="clear" w:color="000000" w:fill="FFFFFF"/>
          </w:tcPr>
          <w:p w14:paraId="5BC86EBF">
            <w:pPr>
              <w:shd w:val="clear"/>
              <w:autoSpaceDE w:val="0"/>
              <w:autoSpaceDN w:val="0"/>
              <w:adjustRightInd w:val="0"/>
              <w:jc w:val="left"/>
              <w:rPr>
                <w:rFonts w:asciiTheme="minorEastAsia" w:hAnsiTheme="minorEastAsia" w:eastAsiaTheme="minorEastAsia" w:cstheme="minorEastAsia"/>
                <w:color w:val="auto"/>
                <w:kern w:val="0"/>
                <w:sz w:val="24"/>
                <w:highlight w:val="none"/>
                <w:lang w:val="zh-CN"/>
              </w:rPr>
            </w:pPr>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228A71BD">
            <w:pPr>
              <w:shd w:val="clear"/>
              <w:autoSpaceDE w:val="0"/>
              <w:autoSpaceDN w:val="0"/>
              <w:adjustRightInd w:val="0"/>
              <w:jc w:val="left"/>
              <w:rPr>
                <w:rFonts w:asciiTheme="minorEastAsia" w:hAnsiTheme="minorEastAsia" w:eastAsiaTheme="minorEastAsia" w:cstheme="minorEastAsia"/>
                <w:color w:val="auto"/>
                <w:kern w:val="0"/>
                <w:sz w:val="24"/>
                <w:highlight w:val="none"/>
                <w:lang w:val="zh-CN"/>
              </w:rPr>
            </w:pPr>
          </w:p>
        </w:tc>
      </w:tr>
      <w:tr w14:paraId="2D3DB695">
        <w:tblPrEx>
          <w:tblCellMar>
            <w:top w:w="0" w:type="dxa"/>
            <w:left w:w="0" w:type="dxa"/>
            <w:bottom w:w="0" w:type="dxa"/>
            <w:right w:w="0" w:type="dxa"/>
          </w:tblCellMar>
        </w:tblPrEx>
        <w:trPr>
          <w:trHeight w:val="521"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6A98C009">
            <w:pPr>
              <w:shd w:val="clear"/>
              <w:autoSpaceDE w:val="0"/>
              <w:autoSpaceDN w:val="0"/>
              <w:adjustRightInd w:val="0"/>
              <w:jc w:val="left"/>
              <w:rPr>
                <w:rFonts w:asciiTheme="minorEastAsia" w:hAnsiTheme="minorEastAsia" w:eastAsiaTheme="minorEastAsia" w:cstheme="minorEastAsia"/>
                <w:color w:val="auto"/>
                <w:kern w:val="0"/>
                <w:sz w:val="24"/>
                <w:highlight w:val="none"/>
                <w:lang w:val="zh-CN"/>
              </w:rPr>
            </w:pPr>
          </w:p>
        </w:tc>
        <w:tc>
          <w:tcPr>
            <w:tcW w:w="1479" w:type="dxa"/>
            <w:tcBorders>
              <w:top w:val="single" w:color="000000" w:sz="2" w:space="0"/>
              <w:left w:val="single" w:color="000000" w:sz="2" w:space="0"/>
              <w:bottom w:val="single" w:color="000000" w:sz="2" w:space="0"/>
              <w:right w:val="single" w:color="000000" w:sz="2" w:space="0"/>
            </w:tcBorders>
            <w:shd w:val="clear" w:color="000000" w:fill="FFFFFF"/>
          </w:tcPr>
          <w:p w14:paraId="5A6B5BEC">
            <w:pPr>
              <w:shd w:val="clear"/>
              <w:autoSpaceDE w:val="0"/>
              <w:autoSpaceDN w:val="0"/>
              <w:adjustRightInd w:val="0"/>
              <w:jc w:val="left"/>
              <w:rPr>
                <w:rFonts w:asciiTheme="minorEastAsia" w:hAnsiTheme="minorEastAsia" w:eastAsiaTheme="minorEastAsia" w:cstheme="minorEastAsia"/>
                <w:color w:val="auto"/>
                <w:kern w:val="0"/>
                <w:sz w:val="24"/>
                <w:highlight w:val="none"/>
                <w:lang w:val="zh-CN"/>
              </w:rPr>
            </w:pPr>
          </w:p>
        </w:tc>
        <w:tc>
          <w:tcPr>
            <w:tcW w:w="2025" w:type="dxa"/>
            <w:tcBorders>
              <w:top w:val="single" w:color="000000" w:sz="2" w:space="0"/>
              <w:left w:val="single" w:color="000000" w:sz="2" w:space="0"/>
              <w:bottom w:val="single" w:color="000000" w:sz="2" w:space="0"/>
              <w:right w:val="single" w:color="000000" w:sz="2" w:space="0"/>
            </w:tcBorders>
            <w:shd w:val="clear" w:color="000000" w:fill="FFFFFF"/>
          </w:tcPr>
          <w:p w14:paraId="17CCCAF6">
            <w:pPr>
              <w:shd w:val="clear"/>
              <w:autoSpaceDE w:val="0"/>
              <w:autoSpaceDN w:val="0"/>
              <w:adjustRightInd w:val="0"/>
              <w:jc w:val="left"/>
              <w:rPr>
                <w:rFonts w:asciiTheme="minorEastAsia" w:hAnsiTheme="minorEastAsia" w:eastAsiaTheme="minorEastAsia" w:cstheme="minorEastAsia"/>
                <w:color w:val="auto"/>
                <w:kern w:val="0"/>
                <w:sz w:val="24"/>
                <w:highlight w:val="none"/>
                <w:lang w:val="zh-CN"/>
              </w:rPr>
            </w:pPr>
          </w:p>
        </w:tc>
        <w:tc>
          <w:tcPr>
            <w:tcW w:w="1681" w:type="dxa"/>
            <w:tcBorders>
              <w:top w:val="single" w:color="000000" w:sz="2" w:space="0"/>
              <w:left w:val="single" w:color="000000" w:sz="2" w:space="0"/>
              <w:bottom w:val="single" w:color="000000" w:sz="2" w:space="0"/>
              <w:right w:val="single" w:color="000000" w:sz="2" w:space="0"/>
            </w:tcBorders>
            <w:shd w:val="clear" w:color="000000" w:fill="FFFFFF"/>
          </w:tcPr>
          <w:p w14:paraId="1875DD9D">
            <w:pPr>
              <w:shd w:val="clear"/>
              <w:autoSpaceDE w:val="0"/>
              <w:autoSpaceDN w:val="0"/>
              <w:adjustRightInd w:val="0"/>
              <w:jc w:val="left"/>
              <w:rPr>
                <w:rFonts w:asciiTheme="minorEastAsia" w:hAnsiTheme="minorEastAsia" w:eastAsiaTheme="minorEastAsia" w:cstheme="minorEastAsia"/>
                <w:color w:val="auto"/>
                <w:kern w:val="0"/>
                <w:sz w:val="24"/>
                <w:highlight w:val="none"/>
                <w:lang w:val="zh-CN"/>
              </w:rPr>
            </w:pPr>
          </w:p>
        </w:tc>
        <w:tc>
          <w:tcPr>
            <w:tcW w:w="1455" w:type="dxa"/>
            <w:tcBorders>
              <w:top w:val="single" w:color="000000" w:sz="2" w:space="0"/>
              <w:left w:val="single" w:color="000000" w:sz="2" w:space="0"/>
              <w:bottom w:val="single" w:color="000000" w:sz="2" w:space="0"/>
              <w:right w:val="single" w:color="000000" w:sz="2" w:space="0"/>
            </w:tcBorders>
            <w:shd w:val="clear" w:color="000000" w:fill="FFFFFF"/>
          </w:tcPr>
          <w:p w14:paraId="4C777C36">
            <w:pPr>
              <w:shd w:val="clear"/>
              <w:autoSpaceDE w:val="0"/>
              <w:autoSpaceDN w:val="0"/>
              <w:adjustRightInd w:val="0"/>
              <w:jc w:val="left"/>
              <w:rPr>
                <w:rFonts w:asciiTheme="minorEastAsia" w:hAnsiTheme="minorEastAsia" w:eastAsiaTheme="minorEastAsia" w:cstheme="minorEastAsia"/>
                <w:color w:val="auto"/>
                <w:kern w:val="0"/>
                <w:sz w:val="24"/>
                <w:highlight w:val="none"/>
                <w:lang w:val="zh-CN"/>
              </w:rPr>
            </w:pPr>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360A54A0">
            <w:pPr>
              <w:shd w:val="clear"/>
              <w:autoSpaceDE w:val="0"/>
              <w:autoSpaceDN w:val="0"/>
              <w:adjustRightInd w:val="0"/>
              <w:jc w:val="left"/>
              <w:rPr>
                <w:rFonts w:asciiTheme="minorEastAsia" w:hAnsiTheme="minorEastAsia" w:eastAsiaTheme="minorEastAsia" w:cstheme="minorEastAsia"/>
                <w:color w:val="auto"/>
                <w:kern w:val="0"/>
                <w:sz w:val="24"/>
                <w:highlight w:val="none"/>
                <w:lang w:val="zh-CN"/>
              </w:rPr>
            </w:pPr>
          </w:p>
        </w:tc>
      </w:tr>
      <w:tr w14:paraId="180A57D9">
        <w:tblPrEx>
          <w:tblCellMar>
            <w:top w:w="0" w:type="dxa"/>
            <w:left w:w="0" w:type="dxa"/>
            <w:bottom w:w="0" w:type="dxa"/>
            <w:right w:w="0" w:type="dxa"/>
          </w:tblCellMar>
        </w:tblPrEx>
        <w:trPr>
          <w:trHeight w:val="520"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16E16BCE">
            <w:pPr>
              <w:shd w:val="clear"/>
              <w:autoSpaceDE w:val="0"/>
              <w:autoSpaceDN w:val="0"/>
              <w:adjustRightInd w:val="0"/>
              <w:jc w:val="left"/>
              <w:rPr>
                <w:rFonts w:asciiTheme="minorEastAsia" w:hAnsiTheme="minorEastAsia" w:eastAsiaTheme="minorEastAsia" w:cstheme="minorEastAsia"/>
                <w:color w:val="auto"/>
                <w:kern w:val="0"/>
                <w:sz w:val="24"/>
                <w:highlight w:val="none"/>
                <w:lang w:val="zh-CN"/>
              </w:rPr>
            </w:pPr>
          </w:p>
        </w:tc>
        <w:tc>
          <w:tcPr>
            <w:tcW w:w="1479" w:type="dxa"/>
            <w:tcBorders>
              <w:top w:val="single" w:color="000000" w:sz="2" w:space="0"/>
              <w:left w:val="single" w:color="000000" w:sz="2" w:space="0"/>
              <w:bottom w:val="single" w:color="000000" w:sz="2" w:space="0"/>
              <w:right w:val="single" w:color="000000" w:sz="2" w:space="0"/>
            </w:tcBorders>
            <w:shd w:val="clear" w:color="000000" w:fill="FFFFFF"/>
          </w:tcPr>
          <w:p w14:paraId="3B19DF3E">
            <w:pPr>
              <w:shd w:val="clear"/>
              <w:autoSpaceDE w:val="0"/>
              <w:autoSpaceDN w:val="0"/>
              <w:adjustRightInd w:val="0"/>
              <w:jc w:val="left"/>
              <w:rPr>
                <w:rFonts w:asciiTheme="minorEastAsia" w:hAnsiTheme="minorEastAsia" w:eastAsiaTheme="minorEastAsia" w:cstheme="minorEastAsia"/>
                <w:color w:val="auto"/>
                <w:kern w:val="0"/>
                <w:sz w:val="24"/>
                <w:highlight w:val="none"/>
                <w:lang w:val="zh-CN"/>
              </w:rPr>
            </w:pPr>
          </w:p>
        </w:tc>
        <w:tc>
          <w:tcPr>
            <w:tcW w:w="2025" w:type="dxa"/>
            <w:tcBorders>
              <w:top w:val="single" w:color="000000" w:sz="2" w:space="0"/>
              <w:left w:val="single" w:color="000000" w:sz="2" w:space="0"/>
              <w:bottom w:val="single" w:color="000000" w:sz="2" w:space="0"/>
              <w:right w:val="single" w:color="000000" w:sz="2" w:space="0"/>
            </w:tcBorders>
            <w:shd w:val="clear" w:color="000000" w:fill="FFFFFF"/>
          </w:tcPr>
          <w:p w14:paraId="08C98BBD">
            <w:pPr>
              <w:shd w:val="clear"/>
              <w:autoSpaceDE w:val="0"/>
              <w:autoSpaceDN w:val="0"/>
              <w:adjustRightInd w:val="0"/>
              <w:jc w:val="left"/>
              <w:rPr>
                <w:rFonts w:asciiTheme="minorEastAsia" w:hAnsiTheme="minorEastAsia" w:eastAsiaTheme="minorEastAsia" w:cstheme="minorEastAsia"/>
                <w:color w:val="auto"/>
                <w:kern w:val="0"/>
                <w:sz w:val="24"/>
                <w:highlight w:val="none"/>
                <w:lang w:val="zh-CN"/>
              </w:rPr>
            </w:pPr>
          </w:p>
        </w:tc>
        <w:tc>
          <w:tcPr>
            <w:tcW w:w="1681" w:type="dxa"/>
            <w:tcBorders>
              <w:top w:val="single" w:color="000000" w:sz="2" w:space="0"/>
              <w:left w:val="single" w:color="000000" w:sz="2" w:space="0"/>
              <w:bottom w:val="single" w:color="000000" w:sz="2" w:space="0"/>
              <w:right w:val="single" w:color="000000" w:sz="2" w:space="0"/>
            </w:tcBorders>
            <w:shd w:val="clear" w:color="000000" w:fill="FFFFFF"/>
          </w:tcPr>
          <w:p w14:paraId="325F3B97">
            <w:pPr>
              <w:shd w:val="clear"/>
              <w:autoSpaceDE w:val="0"/>
              <w:autoSpaceDN w:val="0"/>
              <w:adjustRightInd w:val="0"/>
              <w:jc w:val="left"/>
              <w:rPr>
                <w:rFonts w:asciiTheme="minorEastAsia" w:hAnsiTheme="minorEastAsia" w:eastAsiaTheme="minorEastAsia" w:cstheme="minorEastAsia"/>
                <w:color w:val="auto"/>
                <w:kern w:val="0"/>
                <w:sz w:val="24"/>
                <w:highlight w:val="none"/>
                <w:lang w:val="zh-CN"/>
              </w:rPr>
            </w:pPr>
          </w:p>
        </w:tc>
        <w:tc>
          <w:tcPr>
            <w:tcW w:w="1455" w:type="dxa"/>
            <w:tcBorders>
              <w:top w:val="single" w:color="000000" w:sz="2" w:space="0"/>
              <w:left w:val="single" w:color="000000" w:sz="2" w:space="0"/>
              <w:bottom w:val="single" w:color="000000" w:sz="2" w:space="0"/>
              <w:right w:val="single" w:color="000000" w:sz="2" w:space="0"/>
            </w:tcBorders>
            <w:shd w:val="clear" w:color="000000" w:fill="FFFFFF"/>
          </w:tcPr>
          <w:p w14:paraId="730C8FBA">
            <w:pPr>
              <w:shd w:val="clear"/>
              <w:autoSpaceDE w:val="0"/>
              <w:autoSpaceDN w:val="0"/>
              <w:adjustRightInd w:val="0"/>
              <w:jc w:val="left"/>
              <w:rPr>
                <w:rFonts w:asciiTheme="minorEastAsia" w:hAnsiTheme="minorEastAsia" w:eastAsiaTheme="minorEastAsia" w:cstheme="minorEastAsia"/>
                <w:color w:val="auto"/>
                <w:kern w:val="0"/>
                <w:sz w:val="24"/>
                <w:highlight w:val="none"/>
                <w:lang w:val="zh-CN"/>
              </w:rPr>
            </w:pPr>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4995CCF7">
            <w:pPr>
              <w:shd w:val="clear"/>
              <w:autoSpaceDE w:val="0"/>
              <w:autoSpaceDN w:val="0"/>
              <w:adjustRightInd w:val="0"/>
              <w:jc w:val="left"/>
              <w:rPr>
                <w:rFonts w:asciiTheme="minorEastAsia" w:hAnsiTheme="minorEastAsia" w:eastAsiaTheme="minorEastAsia" w:cstheme="minorEastAsia"/>
                <w:color w:val="auto"/>
                <w:kern w:val="0"/>
                <w:sz w:val="24"/>
                <w:highlight w:val="none"/>
                <w:lang w:val="zh-CN"/>
              </w:rPr>
            </w:pPr>
          </w:p>
        </w:tc>
      </w:tr>
      <w:tr w14:paraId="5CDF0190">
        <w:tblPrEx>
          <w:tblCellMar>
            <w:top w:w="0" w:type="dxa"/>
            <w:left w:w="0" w:type="dxa"/>
            <w:bottom w:w="0" w:type="dxa"/>
            <w:right w:w="0" w:type="dxa"/>
          </w:tblCellMar>
        </w:tblPrEx>
        <w:trPr>
          <w:trHeight w:val="520"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56390CF6">
            <w:pPr>
              <w:shd w:val="clear"/>
              <w:autoSpaceDE w:val="0"/>
              <w:autoSpaceDN w:val="0"/>
              <w:adjustRightInd w:val="0"/>
              <w:jc w:val="left"/>
              <w:rPr>
                <w:rFonts w:asciiTheme="minorEastAsia" w:hAnsiTheme="minorEastAsia" w:eastAsiaTheme="minorEastAsia" w:cstheme="minorEastAsia"/>
                <w:color w:val="auto"/>
                <w:kern w:val="0"/>
                <w:sz w:val="24"/>
                <w:highlight w:val="none"/>
                <w:lang w:val="zh-CN"/>
              </w:rPr>
            </w:pPr>
          </w:p>
        </w:tc>
        <w:tc>
          <w:tcPr>
            <w:tcW w:w="1479" w:type="dxa"/>
            <w:tcBorders>
              <w:top w:val="single" w:color="000000" w:sz="2" w:space="0"/>
              <w:left w:val="single" w:color="000000" w:sz="2" w:space="0"/>
              <w:bottom w:val="single" w:color="000000" w:sz="2" w:space="0"/>
              <w:right w:val="single" w:color="000000" w:sz="2" w:space="0"/>
            </w:tcBorders>
            <w:shd w:val="clear" w:color="000000" w:fill="FFFFFF"/>
          </w:tcPr>
          <w:p w14:paraId="4FD44354">
            <w:pPr>
              <w:shd w:val="clear"/>
              <w:autoSpaceDE w:val="0"/>
              <w:autoSpaceDN w:val="0"/>
              <w:adjustRightInd w:val="0"/>
              <w:jc w:val="left"/>
              <w:rPr>
                <w:rFonts w:asciiTheme="minorEastAsia" w:hAnsiTheme="minorEastAsia" w:eastAsiaTheme="minorEastAsia" w:cstheme="minorEastAsia"/>
                <w:color w:val="auto"/>
                <w:kern w:val="0"/>
                <w:sz w:val="24"/>
                <w:highlight w:val="none"/>
                <w:lang w:val="zh-CN"/>
              </w:rPr>
            </w:pPr>
          </w:p>
        </w:tc>
        <w:tc>
          <w:tcPr>
            <w:tcW w:w="2025" w:type="dxa"/>
            <w:tcBorders>
              <w:top w:val="single" w:color="000000" w:sz="2" w:space="0"/>
              <w:left w:val="single" w:color="000000" w:sz="2" w:space="0"/>
              <w:bottom w:val="single" w:color="000000" w:sz="2" w:space="0"/>
              <w:right w:val="single" w:color="000000" w:sz="2" w:space="0"/>
            </w:tcBorders>
            <w:shd w:val="clear" w:color="000000" w:fill="FFFFFF"/>
          </w:tcPr>
          <w:p w14:paraId="6868577D">
            <w:pPr>
              <w:shd w:val="clear"/>
              <w:autoSpaceDE w:val="0"/>
              <w:autoSpaceDN w:val="0"/>
              <w:adjustRightInd w:val="0"/>
              <w:jc w:val="left"/>
              <w:rPr>
                <w:rFonts w:asciiTheme="minorEastAsia" w:hAnsiTheme="minorEastAsia" w:eastAsiaTheme="minorEastAsia" w:cstheme="minorEastAsia"/>
                <w:color w:val="auto"/>
                <w:kern w:val="0"/>
                <w:sz w:val="24"/>
                <w:highlight w:val="none"/>
                <w:lang w:val="zh-CN"/>
              </w:rPr>
            </w:pPr>
          </w:p>
        </w:tc>
        <w:tc>
          <w:tcPr>
            <w:tcW w:w="1681" w:type="dxa"/>
            <w:tcBorders>
              <w:top w:val="single" w:color="000000" w:sz="2" w:space="0"/>
              <w:left w:val="single" w:color="000000" w:sz="2" w:space="0"/>
              <w:bottom w:val="single" w:color="000000" w:sz="2" w:space="0"/>
              <w:right w:val="single" w:color="000000" w:sz="2" w:space="0"/>
            </w:tcBorders>
            <w:shd w:val="clear" w:color="000000" w:fill="FFFFFF"/>
          </w:tcPr>
          <w:p w14:paraId="350DBCF7">
            <w:pPr>
              <w:shd w:val="clear"/>
              <w:autoSpaceDE w:val="0"/>
              <w:autoSpaceDN w:val="0"/>
              <w:adjustRightInd w:val="0"/>
              <w:jc w:val="left"/>
              <w:rPr>
                <w:rFonts w:asciiTheme="minorEastAsia" w:hAnsiTheme="minorEastAsia" w:eastAsiaTheme="minorEastAsia" w:cstheme="minorEastAsia"/>
                <w:color w:val="auto"/>
                <w:kern w:val="0"/>
                <w:sz w:val="24"/>
                <w:highlight w:val="none"/>
                <w:lang w:val="zh-CN"/>
              </w:rPr>
            </w:pPr>
          </w:p>
        </w:tc>
        <w:tc>
          <w:tcPr>
            <w:tcW w:w="1455" w:type="dxa"/>
            <w:tcBorders>
              <w:top w:val="single" w:color="000000" w:sz="2" w:space="0"/>
              <w:left w:val="single" w:color="000000" w:sz="2" w:space="0"/>
              <w:bottom w:val="single" w:color="000000" w:sz="2" w:space="0"/>
              <w:right w:val="single" w:color="000000" w:sz="2" w:space="0"/>
            </w:tcBorders>
            <w:shd w:val="clear" w:color="000000" w:fill="FFFFFF"/>
          </w:tcPr>
          <w:p w14:paraId="2E65B8EE">
            <w:pPr>
              <w:shd w:val="clear"/>
              <w:autoSpaceDE w:val="0"/>
              <w:autoSpaceDN w:val="0"/>
              <w:adjustRightInd w:val="0"/>
              <w:jc w:val="left"/>
              <w:rPr>
                <w:rFonts w:asciiTheme="minorEastAsia" w:hAnsiTheme="minorEastAsia" w:eastAsiaTheme="minorEastAsia" w:cstheme="minorEastAsia"/>
                <w:color w:val="auto"/>
                <w:kern w:val="0"/>
                <w:sz w:val="24"/>
                <w:highlight w:val="none"/>
                <w:lang w:val="zh-CN"/>
              </w:rPr>
            </w:pPr>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70D2CB0B">
            <w:pPr>
              <w:shd w:val="clear"/>
              <w:autoSpaceDE w:val="0"/>
              <w:autoSpaceDN w:val="0"/>
              <w:adjustRightInd w:val="0"/>
              <w:jc w:val="left"/>
              <w:rPr>
                <w:rFonts w:asciiTheme="minorEastAsia" w:hAnsiTheme="minorEastAsia" w:eastAsiaTheme="minorEastAsia" w:cstheme="minorEastAsia"/>
                <w:color w:val="auto"/>
                <w:kern w:val="0"/>
                <w:sz w:val="24"/>
                <w:highlight w:val="none"/>
                <w:lang w:val="zh-CN"/>
              </w:rPr>
            </w:pPr>
          </w:p>
        </w:tc>
      </w:tr>
      <w:tr w14:paraId="6B504EDD">
        <w:tblPrEx>
          <w:tblCellMar>
            <w:top w:w="0" w:type="dxa"/>
            <w:left w:w="0" w:type="dxa"/>
            <w:bottom w:w="0" w:type="dxa"/>
            <w:right w:w="0" w:type="dxa"/>
          </w:tblCellMar>
        </w:tblPrEx>
        <w:trPr>
          <w:trHeight w:val="521"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76304F10">
            <w:pPr>
              <w:shd w:val="clear"/>
              <w:autoSpaceDE w:val="0"/>
              <w:autoSpaceDN w:val="0"/>
              <w:adjustRightInd w:val="0"/>
              <w:jc w:val="left"/>
              <w:rPr>
                <w:rFonts w:asciiTheme="minorEastAsia" w:hAnsiTheme="minorEastAsia" w:eastAsiaTheme="minorEastAsia" w:cstheme="minorEastAsia"/>
                <w:color w:val="auto"/>
                <w:kern w:val="0"/>
                <w:sz w:val="24"/>
                <w:highlight w:val="none"/>
                <w:lang w:val="zh-CN"/>
              </w:rPr>
            </w:pPr>
          </w:p>
        </w:tc>
        <w:tc>
          <w:tcPr>
            <w:tcW w:w="1479" w:type="dxa"/>
            <w:tcBorders>
              <w:top w:val="single" w:color="000000" w:sz="2" w:space="0"/>
              <w:left w:val="single" w:color="000000" w:sz="2" w:space="0"/>
              <w:bottom w:val="single" w:color="000000" w:sz="2" w:space="0"/>
              <w:right w:val="single" w:color="000000" w:sz="2" w:space="0"/>
            </w:tcBorders>
            <w:shd w:val="clear" w:color="000000" w:fill="FFFFFF"/>
          </w:tcPr>
          <w:p w14:paraId="169CDB2D">
            <w:pPr>
              <w:shd w:val="clear"/>
              <w:autoSpaceDE w:val="0"/>
              <w:autoSpaceDN w:val="0"/>
              <w:adjustRightInd w:val="0"/>
              <w:jc w:val="left"/>
              <w:rPr>
                <w:rFonts w:asciiTheme="minorEastAsia" w:hAnsiTheme="minorEastAsia" w:eastAsiaTheme="minorEastAsia" w:cstheme="minorEastAsia"/>
                <w:color w:val="auto"/>
                <w:kern w:val="0"/>
                <w:sz w:val="24"/>
                <w:highlight w:val="none"/>
                <w:lang w:val="zh-CN"/>
              </w:rPr>
            </w:pPr>
          </w:p>
        </w:tc>
        <w:tc>
          <w:tcPr>
            <w:tcW w:w="2025" w:type="dxa"/>
            <w:tcBorders>
              <w:top w:val="single" w:color="000000" w:sz="2" w:space="0"/>
              <w:left w:val="single" w:color="000000" w:sz="2" w:space="0"/>
              <w:bottom w:val="single" w:color="000000" w:sz="2" w:space="0"/>
              <w:right w:val="single" w:color="000000" w:sz="2" w:space="0"/>
            </w:tcBorders>
            <w:shd w:val="clear" w:color="000000" w:fill="FFFFFF"/>
          </w:tcPr>
          <w:p w14:paraId="3094BF91">
            <w:pPr>
              <w:shd w:val="clear"/>
              <w:autoSpaceDE w:val="0"/>
              <w:autoSpaceDN w:val="0"/>
              <w:adjustRightInd w:val="0"/>
              <w:jc w:val="left"/>
              <w:rPr>
                <w:rFonts w:asciiTheme="minorEastAsia" w:hAnsiTheme="minorEastAsia" w:eastAsiaTheme="minorEastAsia" w:cstheme="minorEastAsia"/>
                <w:color w:val="auto"/>
                <w:kern w:val="0"/>
                <w:sz w:val="24"/>
                <w:highlight w:val="none"/>
                <w:lang w:val="zh-CN"/>
              </w:rPr>
            </w:pPr>
          </w:p>
        </w:tc>
        <w:tc>
          <w:tcPr>
            <w:tcW w:w="1681" w:type="dxa"/>
            <w:tcBorders>
              <w:top w:val="single" w:color="000000" w:sz="2" w:space="0"/>
              <w:left w:val="single" w:color="000000" w:sz="2" w:space="0"/>
              <w:bottom w:val="single" w:color="000000" w:sz="2" w:space="0"/>
              <w:right w:val="single" w:color="000000" w:sz="2" w:space="0"/>
            </w:tcBorders>
            <w:shd w:val="clear" w:color="000000" w:fill="FFFFFF"/>
          </w:tcPr>
          <w:p w14:paraId="34E3DC7D">
            <w:pPr>
              <w:shd w:val="clear"/>
              <w:autoSpaceDE w:val="0"/>
              <w:autoSpaceDN w:val="0"/>
              <w:adjustRightInd w:val="0"/>
              <w:jc w:val="left"/>
              <w:rPr>
                <w:rFonts w:asciiTheme="minorEastAsia" w:hAnsiTheme="minorEastAsia" w:eastAsiaTheme="minorEastAsia" w:cstheme="minorEastAsia"/>
                <w:color w:val="auto"/>
                <w:kern w:val="0"/>
                <w:sz w:val="24"/>
                <w:highlight w:val="none"/>
                <w:lang w:val="zh-CN"/>
              </w:rPr>
            </w:pPr>
          </w:p>
        </w:tc>
        <w:tc>
          <w:tcPr>
            <w:tcW w:w="1455" w:type="dxa"/>
            <w:tcBorders>
              <w:top w:val="single" w:color="000000" w:sz="2" w:space="0"/>
              <w:left w:val="single" w:color="000000" w:sz="2" w:space="0"/>
              <w:bottom w:val="single" w:color="000000" w:sz="2" w:space="0"/>
              <w:right w:val="single" w:color="000000" w:sz="2" w:space="0"/>
            </w:tcBorders>
            <w:shd w:val="clear" w:color="000000" w:fill="FFFFFF"/>
          </w:tcPr>
          <w:p w14:paraId="102647D9">
            <w:pPr>
              <w:shd w:val="clear"/>
              <w:autoSpaceDE w:val="0"/>
              <w:autoSpaceDN w:val="0"/>
              <w:adjustRightInd w:val="0"/>
              <w:jc w:val="left"/>
              <w:rPr>
                <w:rFonts w:asciiTheme="minorEastAsia" w:hAnsiTheme="minorEastAsia" w:eastAsiaTheme="minorEastAsia" w:cstheme="minorEastAsia"/>
                <w:color w:val="auto"/>
                <w:kern w:val="0"/>
                <w:sz w:val="24"/>
                <w:highlight w:val="none"/>
                <w:lang w:val="zh-CN"/>
              </w:rPr>
            </w:pPr>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79FB73A3">
            <w:pPr>
              <w:shd w:val="clear"/>
              <w:autoSpaceDE w:val="0"/>
              <w:autoSpaceDN w:val="0"/>
              <w:adjustRightInd w:val="0"/>
              <w:jc w:val="left"/>
              <w:rPr>
                <w:rFonts w:asciiTheme="minorEastAsia" w:hAnsiTheme="minorEastAsia" w:eastAsiaTheme="minorEastAsia" w:cstheme="minorEastAsia"/>
                <w:color w:val="auto"/>
                <w:kern w:val="0"/>
                <w:sz w:val="24"/>
                <w:highlight w:val="none"/>
                <w:lang w:val="zh-CN"/>
              </w:rPr>
            </w:pPr>
          </w:p>
        </w:tc>
      </w:tr>
      <w:tr w14:paraId="1628A672">
        <w:tblPrEx>
          <w:tblCellMar>
            <w:top w:w="0" w:type="dxa"/>
            <w:left w:w="0" w:type="dxa"/>
            <w:bottom w:w="0" w:type="dxa"/>
            <w:right w:w="0" w:type="dxa"/>
          </w:tblCellMar>
        </w:tblPrEx>
        <w:trPr>
          <w:trHeight w:val="521"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2B210786">
            <w:pPr>
              <w:shd w:val="clear"/>
              <w:autoSpaceDE w:val="0"/>
              <w:autoSpaceDN w:val="0"/>
              <w:adjustRightInd w:val="0"/>
              <w:jc w:val="left"/>
              <w:rPr>
                <w:rFonts w:asciiTheme="minorEastAsia" w:hAnsiTheme="minorEastAsia" w:eastAsiaTheme="minorEastAsia" w:cstheme="minorEastAsia"/>
                <w:color w:val="auto"/>
                <w:kern w:val="0"/>
                <w:sz w:val="24"/>
                <w:highlight w:val="none"/>
                <w:lang w:val="zh-CN"/>
              </w:rPr>
            </w:pPr>
          </w:p>
        </w:tc>
        <w:tc>
          <w:tcPr>
            <w:tcW w:w="1479" w:type="dxa"/>
            <w:tcBorders>
              <w:top w:val="single" w:color="000000" w:sz="2" w:space="0"/>
              <w:left w:val="single" w:color="000000" w:sz="2" w:space="0"/>
              <w:bottom w:val="single" w:color="000000" w:sz="2" w:space="0"/>
              <w:right w:val="single" w:color="000000" w:sz="2" w:space="0"/>
            </w:tcBorders>
            <w:shd w:val="clear" w:color="000000" w:fill="FFFFFF"/>
          </w:tcPr>
          <w:p w14:paraId="06F1BB45">
            <w:pPr>
              <w:shd w:val="clear"/>
              <w:autoSpaceDE w:val="0"/>
              <w:autoSpaceDN w:val="0"/>
              <w:adjustRightInd w:val="0"/>
              <w:jc w:val="left"/>
              <w:rPr>
                <w:rFonts w:asciiTheme="minorEastAsia" w:hAnsiTheme="minorEastAsia" w:eastAsiaTheme="minorEastAsia" w:cstheme="minorEastAsia"/>
                <w:color w:val="auto"/>
                <w:kern w:val="0"/>
                <w:sz w:val="24"/>
                <w:highlight w:val="none"/>
                <w:lang w:val="zh-CN"/>
              </w:rPr>
            </w:pPr>
          </w:p>
        </w:tc>
        <w:tc>
          <w:tcPr>
            <w:tcW w:w="2025" w:type="dxa"/>
            <w:tcBorders>
              <w:top w:val="single" w:color="000000" w:sz="2" w:space="0"/>
              <w:left w:val="single" w:color="000000" w:sz="2" w:space="0"/>
              <w:bottom w:val="single" w:color="000000" w:sz="2" w:space="0"/>
              <w:right w:val="single" w:color="000000" w:sz="2" w:space="0"/>
            </w:tcBorders>
            <w:shd w:val="clear" w:color="000000" w:fill="FFFFFF"/>
          </w:tcPr>
          <w:p w14:paraId="71698DF7">
            <w:pPr>
              <w:shd w:val="clear"/>
              <w:autoSpaceDE w:val="0"/>
              <w:autoSpaceDN w:val="0"/>
              <w:adjustRightInd w:val="0"/>
              <w:jc w:val="left"/>
              <w:rPr>
                <w:rFonts w:asciiTheme="minorEastAsia" w:hAnsiTheme="minorEastAsia" w:eastAsiaTheme="minorEastAsia" w:cstheme="minorEastAsia"/>
                <w:color w:val="auto"/>
                <w:kern w:val="0"/>
                <w:sz w:val="24"/>
                <w:highlight w:val="none"/>
                <w:lang w:val="zh-CN"/>
              </w:rPr>
            </w:pPr>
          </w:p>
        </w:tc>
        <w:tc>
          <w:tcPr>
            <w:tcW w:w="1681" w:type="dxa"/>
            <w:tcBorders>
              <w:top w:val="single" w:color="000000" w:sz="2" w:space="0"/>
              <w:left w:val="single" w:color="000000" w:sz="2" w:space="0"/>
              <w:bottom w:val="single" w:color="000000" w:sz="2" w:space="0"/>
              <w:right w:val="single" w:color="000000" w:sz="2" w:space="0"/>
            </w:tcBorders>
            <w:shd w:val="clear" w:color="000000" w:fill="FFFFFF"/>
          </w:tcPr>
          <w:p w14:paraId="65D8DDD1">
            <w:pPr>
              <w:shd w:val="clear"/>
              <w:autoSpaceDE w:val="0"/>
              <w:autoSpaceDN w:val="0"/>
              <w:adjustRightInd w:val="0"/>
              <w:jc w:val="left"/>
              <w:rPr>
                <w:rFonts w:asciiTheme="minorEastAsia" w:hAnsiTheme="minorEastAsia" w:eastAsiaTheme="minorEastAsia" w:cstheme="minorEastAsia"/>
                <w:color w:val="auto"/>
                <w:kern w:val="0"/>
                <w:sz w:val="24"/>
                <w:highlight w:val="none"/>
                <w:lang w:val="zh-CN"/>
              </w:rPr>
            </w:pPr>
          </w:p>
        </w:tc>
        <w:tc>
          <w:tcPr>
            <w:tcW w:w="1455" w:type="dxa"/>
            <w:tcBorders>
              <w:top w:val="single" w:color="000000" w:sz="2" w:space="0"/>
              <w:left w:val="single" w:color="000000" w:sz="2" w:space="0"/>
              <w:bottom w:val="single" w:color="000000" w:sz="2" w:space="0"/>
              <w:right w:val="single" w:color="000000" w:sz="2" w:space="0"/>
            </w:tcBorders>
            <w:shd w:val="clear" w:color="000000" w:fill="FFFFFF"/>
          </w:tcPr>
          <w:p w14:paraId="6B2A4DB2">
            <w:pPr>
              <w:shd w:val="clear"/>
              <w:autoSpaceDE w:val="0"/>
              <w:autoSpaceDN w:val="0"/>
              <w:adjustRightInd w:val="0"/>
              <w:jc w:val="left"/>
              <w:rPr>
                <w:rFonts w:asciiTheme="minorEastAsia" w:hAnsiTheme="minorEastAsia" w:eastAsiaTheme="minorEastAsia" w:cstheme="minorEastAsia"/>
                <w:color w:val="auto"/>
                <w:kern w:val="0"/>
                <w:sz w:val="24"/>
                <w:highlight w:val="none"/>
                <w:lang w:val="zh-CN"/>
              </w:rPr>
            </w:pPr>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0E9A63E3">
            <w:pPr>
              <w:shd w:val="clear"/>
              <w:autoSpaceDE w:val="0"/>
              <w:autoSpaceDN w:val="0"/>
              <w:adjustRightInd w:val="0"/>
              <w:jc w:val="left"/>
              <w:rPr>
                <w:rFonts w:asciiTheme="minorEastAsia" w:hAnsiTheme="minorEastAsia" w:eastAsiaTheme="minorEastAsia" w:cstheme="minorEastAsia"/>
                <w:color w:val="auto"/>
                <w:kern w:val="0"/>
                <w:sz w:val="24"/>
                <w:highlight w:val="none"/>
                <w:lang w:val="zh-CN"/>
              </w:rPr>
            </w:pPr>
          </w:p>
        </w:tc>
      </w:tr>
      <w:tr w14:paraId="10469FB3">
        <w:tblPrEx>
          <w:tblCellMar>
            <w:top w:w="0" w:type="dxa"/>
            <w:left w:w="0" w:type="dxa"/>
            <w:bottom w:w="0" w:type="dxa"/>
            <w:right w:w="0" w:type="dxa"/>
          </w:tblCellMar>
        </w:tblPrEx>
        <w:trPr>
          <w:trHeight w:val="520"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5B5E9073">
            <w:pPr>
              <w:shd w:val="clear"/>
              <w:autoSpaceDE w:val="0"/>
              <w:autoSpaceDN w:val="0"/>
              <w:adjustRightInd w:val="0"/>
              <w:jc w:val="left"/>
              <w:rPr>
                <w:rFonts w:asciiTheme="minorEastAsia" w:hAnsiTheme="minorEastAsia" w:eastAsiaTheme="minorEastAsia" w:cstheme="minorEastAsia"/>
                <w:color w:val="auto"/>
                <w:kern w:val="0"/>
                <w:sz w:val="24"/>
                <w:highlight w:val="none"/>
                <w:lang w:val="zh-CN"/>
              </w:rPr>
            </w:pPr>
          </w:p>
        </w:tc>
        <w:tc>
          <w:tcPr>
            <w:tcW w:w="1479" w:type="dxa"/>
            <w:tcBorders>
              <w:top w:val="single" w:color="000000" w:sz="2" w:space="0"/>
              <w:left w:val="single" w:color="000000" w:sz="2" w:space="0"/>
              <w:bottom w:val="single" w:color="000000" w:sz="2" w:space="0"/>
              <w:right w:val="single" w:color="000000" w:sz="2" w:space="0"/>
            </w:tcBorders>
            <w:shd w:val="clear" w:color="000000" w:fill="FFFFFF"/>
          </w:tcPr>
          <w:p w14:paraId="2FFEEA2B">
            <w:pPr>
              <w:shd w:val="clear"/>
              <w:autoSpaceDE w:val="0"/>
              <w:autoSpaceDN w:val="0"/>
              <w:adjustRightInd w:val="0"/>
              <w:jc w:val="left"/>
              <w:rPr>
                <w:rFonts w:asciiTheme="minorEastAsia" w:hAnsiTheme="minorEastAsia" w:eastAsiaTheme="minorEastAsia" w:cstheme="minorEastAsia"/>
                <w:color w:val="auto"/>
                <w:kern w:val="0"/>
                <w:sz w:val="24"/>
                <w:highlight w:val="none"/>
                <w:lang w:val="zh-CN"/>
              </w:rPr>
            </w:pPr>
          </w:p>
        </w:tc>
        <w:tc>
          <w:tcPr>
            <w:tcW w:w="2025" w:type="dxa"/>
            <w:tcBorders>
              <w:top w:val="single" w:color="000000" w:sz="2" w:space="0"/>
              <w:left w:val="single" w:color="000000" w:sz="2" w:space="0"/>
              <w:bottom w:val="single" w:color="000000" w:sz="2" w:space="0"/>
              <w:right w:val="single" w:color="000000" w:sz="2" w:space="0"/>
            </w:tcBorders>
            <w:shd w:val="clear" w:color="000000" w:fill="FFFFFF"/>
          </w:tcPr>
          <w:p w14:paraId="32E61215">
            <w:pPr>
              <w:shd w:val="clear"/>
              <w:autoSpaceDE w:val="0"/>
              <w:autoSpaceDN w:val="0"/>
              <w:adjustRightInd w:val="0"/>
              <w:jc w:val="left"/>
              <w:rPr>
                <w:rFonts w:asciiTheme="minorEastAsia" w:hAnsiTheme="minorEastAsia" w:eastAsiaTheme="minorEastAsia" w:cstheme="minorEastAsia"/>
                <w:color w:val="auto"/>
                <w:kern w:val="0"/>
                <w:sz w:val="24"/>
                <w:highlight w:val="none"/>
                <w:lang w:val="zh-CN"/>
              </w:rPr>
            </w:pPr>
          </w:p>
        </w:tc>
        <w:tc>
          <w:tcPr>
            <w:tcW w:w="1681" w:type="dxa"/>
            <w:tcBorders>
              <w:top w:val="single" w:color="000000" w:sz="2" w:space="0"/>
              <w:left w:val="single" w:color="000000" w:sz="2" w:space="0"/>
              <w:bottom w:val="single" w:color="000000" w:sz="2" w:space="0"/>
              <w:right w:val="single" w:color="000000" w:sz="2" w:space="0"/>
            </w:tcBorders>
            <w:shd w:val="clear" w:color="000000" w:fill="FFFFFF"/>
          </w:tcPr>
          <w:p w14:paraId="1F2E8590">
            <w:pPr>
              <w:shd w:val="clear"/>
              <w:autoSpaceDE w:val="0"/>
              <w:autoSpaceDN w:val="0"/>
              <w:adjustRightInd w:val="0"/>
              <w:jc w:val="left"/>
              <w:rPr>
                <w:rFonts w:asciiTheme="minorEastAsia" w:hAnsiTheme="minorEastAsia" w:eastAsiaTheme="minorEastAsia" w:cstheme="minorEastAsia"/>
                <w:color w:val="auto"/>
                <w:kern w:val="0"/>
                <w:sz w:val="24"/>
                <w:highlight w:val="none"/>
                <w:lang w:val="zh-CN"/>
              </w:rPr>
            </w:pPr>
          </w:p>
        </w:tc>
        <w:tc>
          <w:tcPr>
            <w:tcW w:w="1455" w:type="dxa"/>
            <w:tcBorders>
              <w:top w:val="single" w:color="000000" w:sz="2" w:space="0"/>
              <w:left w:val="single" w:color="000000" w:sz="2" w:space="0"/>
              <w:bottom w:val="single" w:color="000000" w:sz="2" w:space="0"/>
              <w:right w:val="single" w:color="000000" w:sz="2" w:space="0"/>
            </w:tcBorders>
            <w:shd w:val="clear" w:color="000000" w:fill="FFFFFF"/>
          </w:tcPr>
          <w:p w14:paraId="5E86F681">
            <w:pPr>
              <w:shd w:val="clear"/>
              <w:autoSpaceDE w:val="0"/>
              <w:autoSpaceDN w:val="0"/>
              <w:adjustRightInd w:val="0"/>
              <w:jc w:val="left"/>
              <w:rPr>
                <w:rFonts w:asciiTheme="minorEastAsia" w:hAnsiTheme="minorEastAsia" w:eastAsiaTheme="minorEastAsia" w:cstheme="minorEastAsia"/>
                <w:color w:val="auto"/>
                <w:kern w:val="0"/>
                <w:sz w:val="24"/>
                <w:highlight w:val="none"/>
                <w:lang w:val="zh-CN"/>
              </w:rPr>
            </w:pPr>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233AAA1F">
            <w:pPr>
              <w:shd w:val="clear"/>
              <w:autoSpaceDE w:val="0"/>
              <w:autoSpaceDN w:val="0"/>
              <w:adjustRightInd w:val="0"/>
              <w:jc w:val="left"/>
              <w:rPr>
                <w:rFonts w:asciiTheme="minorEastAsia" w:hAnsiTheme="minorEastAsia" w:eastAsiaTheme="minorEastAsia" w:cstheme="minorEastAsia"/>
                <w:color w:val="auto"/>
                <w:kern w:val="0"/>
                <w:sz w:val="24"/>
                <w:highlight w:val="none"/>
                <w:lang w:val="zh-CN"/>
              </w:rPr>
            </w:pPr>
          </w:p>
        </w:tc>
      </w:tr>
      <w:tr w14:paraId="5F753DF8">
        <w:tblPrEx>
          <w:tblCellMar>
            <w:top w:w="0" w:type="dxa"/>
            <w:left w:w="0" w:type="dxa"/>
            <w:bottom w:w="0" w:type="dxa"/>
            <w:right w:w="0" w:type="dxa"/>
          </w:tblCellMar>
        </w:tblPrEx>
        <w:trPr>
          <w:trHeight w:val="522"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69759138">
            <w:pPr>
              <w:shd w:val="clear"/>
              <w:autoSpaceDE w:val="0"/>
              <w:autoSpaceDN w:val="0"/>
              <w:adjustRightInd w:val="0"/>
              <w:jc w:val="left"/>
              <w:rPr>
                <w:rFonts w:asciiTheme="minorEastAsia" w:hAnsiTheme="minorEastAsia" w:eastAsiaTheme="minorEastAsia" w:cstheme="minorEastAsia"/>
                <w:color w:val="auto"/>
                <w:kern w:val="0"/>
                <w:sz w:val="24"/>
                <w:highlight w:val="none"/>
                <w:lang w:val="zh-CN"/>
              </w:rPr>
            </w:pPr>
          </w:p>
        </w:tc>
        <w:tc>
          <w:tcPr>
            <w:tcW w:w="1479" w:type="dxa"/>
            <w:tcBorders>
              <w:top w:val="single" w:color="000000" w:sz="2" w:space="0"/>
              <w:left w:val="single" w:color="000000" w:sz="2" w:space="0"/>
              <w:bottom w:val="single" w:color="000000" w:sz="2" w:space="0"/>
              <w:right w:val="single" w:color="000000" w:sz="2" w:space="0"/>
            </w:tcBorders>
            <w:shd w:val="clear" w:color="000000" w:fill="FFFFFF"/>
          </w:tcPr>
          <w:p w14:paraId="2B84220D">
            <w:pPr>
              <w:shd w:val="clear"/>
              <w:autoSpaceDE w:val="0"/>
              <w:autoSpaceDN w:val="0"/>
              <w:adjustRightInd w:val="0"/>
              <w:jc w:val="left"/>
              <w:rPr>
                <w:rFonts w:asciiTheme="minorEastAsia" w:hAnsiTheme="minorEastAsia" w:eastAsiaTheme="minorEastAsia" w:cstheme="minorEastAsia"/>
                <w:color w:val="auto"/>
                <w:kern w:val="0"/>
                <w:sz w:val="24"/>
                <w:highlight w:val="none"/>
                <w:lang w:val="zh-CN"/>
              </w:rPr>
            </w:pPr>
          </w:p>
        </w:tc>
        <w:tc>
          <w:tcPr>
            <w:tcW w:w="2025" w:type="dxa"/>
            <w:tcBorders>
              <w:top w:val="single" w:color="000000" w:sz="2" w:space="0"/>
              <w:left w:val="single" w:color="000000" w:sz="2" w:space="0"/>
              <w:bottom w:val="single" w:color="000000" w:sz="2" w:space="0"/>
              <w:right w:val="single" w:color="000000" w:sz="2" w:space="0"/>
            </w:tcBorders>
            <w:shd w:val="clear" w:color="000000" w:fill="FFFFFF"/>
          </w:tcPr>
          <w:p w14:paraId="6CAC6E68">
            <w:pPr>
              <w:shd w:val="clear"/>
              <w:autoSpaceDE w:val="0"/>
              <w:autoSpaceDN w:val="0"/>
              <w:adjustRightInd w:val="0"/>
              <w:jc w:val="left"/>
              <w:rPr>
                <w:rFonts w:asciiTheme="minorEastAsia" w:hAnsiTheme="minorEastAsia" w:eastAsiaTheme="minorEastAsia" w:cstheme="minorEastAsia"/>
                <w:color w:val="auto"/>
                <w:kern w:val="0"/>
                <w:sz w:val="24"/>
                <w:highlight w:val="none"/>
                <w:lang w:val="zh-CN"/>
              </w:rPr>
            </w:pPr>
          </w:p>
        </w:tc>
        <w:tc>
          <w:tcPr>
            <w:tcW w:w="1681" w:type="dxa"/>
            <w:tcBorders>
              <w:top w:val="single" w:color="000000" w:sz="2" w:space="0"/>
              <w:left w:val="single" w:color="000000" w:sz="2" w:space="0"/>
              <w:bottom w:val="single" w:color="000000" w:sz="2" w:space="0"/>
              <w:right w:val="single" w:color="000000" w:sz="2" w:space="0"/>
            </w:tcBorders>
            <w:shd w:val="clear" w:color="000000" w:fill="FFFFFF"/>
          </w:tcPr>
          <w:p w14:paraId="0220DFF9">
            <w:pPr>
              <w:shd w:val="clear"/>
              <w:autoSpaceDE w:val="0"/>
              <w:autoSpaceDN w:val="0"/>
              <w:adjustRightInd w:val="0"/>
              <w:jc w:val="left"/>
              <w:rPr>
                <w:rFonts w:asciiTheme="minorEastAsia" w:hAnsiTheme="minorEastAsia" w:eastAsiaTheme="minorEastAsia" w:cstheme="minorEastAsia"/>
                <w:color w:val="auto"/>
                <w:kern w:val="0"/>
                <w:sz w:val="24"/>
                <w:highlight w:val="none"/>
                <w:lang w:val="zh-CN"/>
              </w:rPr>
            </w:pPr>
          </w:p>
        </w:tc>
        <w:tc>
          <w:tcPr>
            <w:tcW w:w="1455" w:type="dxa"/>
            <w:tcBorders>
              <w:top w:val="single" w:color="000000" w:sz="2" w:space="0"/>
              <w:left w:val="single" w:color="000000" w:sz="2" w:space="0"/>
              <w:bottom w:val="single" w:color="000000" w:sz="2" w:space="0"/>
              <w:right w:val="single" w:color="000000" w:sz="2" w:space="0"/>
            </w:tcBorders>
            <w:shd w:val="clear" w:color="000000" w:fill="FFFFFF"/>
          </w:tcPr>
          <w:p w14:paraId="4BA92AF4">
            <w:pPr>
              <w:shd w:val="clear"/>
              <w:autoSpaceDE w:val="0"/>
              <w:autoSpaceDN w:val="0"/>
              <w:adjustRightInd w:val="0"/>
              <w:jc w:val="left"/>
              <w:rPr>
                <w:rFonts w:asciiTheme="minorEastAsia" w:hAnsiTheme="minorEastAsia" w:eastAsiaTheme="minorEastAsia" w:cstheme="minorEastAsia"/>
                <w:color w:val="auto"/>
                <w:kern w:val="0"/>
                <w:sz w:val="24"/>
                <w:highlight w:val="none"/>
                <w:lang w:val="zh-CN"/>
              </w:rPr>
            </w:pPr>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1385595D">
            <w:pPr>
              <w:shd w:val="clear"/>
              <w:autoSpaceDE w:val="0"/>
              <w:autoSpaceDN w:val="0"/>
              <w:adjustRightInd w:val="0"/>
              <w:jc w:val="left"/>
              <w:rPr>
                <w:rFonts w:asciiTheme="minorEastAsia" w:hAnsiTheme="minorEastAsia" w:eastAsiaTheme="minorEastAsia" w:cstheme="minorEastAsia"/>
                <w:color w:val="auto"/>
                <w:kern w:val="0"/>
                <w:sz w:val="24"/>
                <w:highlight w:val="none"/>
                <w:lang w:val="zh-CN"/>
              </w:rPr>
            </w:pPr>
          </w:p>
        </w:tc>
      </w:tr>
      <w:tr w14:paraId="610D66CE">
        <w:tblPrEx>
          <w:tblCellMar>
            <w:top w:w="0" w:type="dxa"/>
            <w:left w:w="0" w:type="dxa"/>
            <w:bottom w:w="0" w:type="dxa"/>
            <w:right w:w="0" w:type="dxa"/>
          </w:tblCellMar>
        </w:tblPrEx>
        <w:trPr>
          <w:trHeight w:val="521"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47EF1FC4">
            <w:pPr>
              <w:shd w:val="clear"/>
              <w:autoSpaceDE w:val="0"/>
              <w:autoSpaceDN w:val="0"/>
              <w:adjustRightInd w:val="0"/>
              <w:jc w:val="left"/>
              <w:rPr>
                <w:rFonts w:asciiTheme="minorEastAsia" w:hAnsiTheme="minorEastAsia" w:eastAsiaTheme="minorEastAsia" w:cstheme="minorEastAsia"/>
                <w:color w:val="auto"/>
                <w:kern w:val="0"/>
                <w:sz w:val="24"/>
                <w:highlight w:val="none"/>
                <w:lang w:val="zh-CN"/>
              </w:rPr>
            </w:pPr>
          </w:p>
        </w:tc>
        <w:tc>
          <w:tcPr>
            <w:tcW w:w="1479" w:type="dxa"/>
            <w:tcBorders>
              <w:top w:val="single" w:color="000000" w:sz="2" w:space="0"/>
              <w:left w:val="single" w:color="000000" w:sz="2" w:space="0"/>
              <w:bottom w:val="single" w:color="000000" w:sz="2" w:space="0"/>
              <w:right w:val="single" w:color="000000" w:sz="2" w:space="0"/>
            </w:tcBorders>
            <w:shd w:val="clear" w:color="000000" w:fill="FFFFFF"/>
          </w:tcPr>
          <w:p w14:paraId="0D81645E">
            <w:pPr>
              <w:shd w:val="clear"/>
              <w:autoSpaceDE w:val="0"/>
              <w:autoSpaceDN w:val="0"/>
              <w:adjustRightInd w:val="0"/>
              <w:jc w:val="left"/>
              <w:rPr>
                <w:rFonts w:asciiTheme="minorEastAsia" w:hAnsiTheme="minorEastAsia" w:eastAsiaTheme="minorEastAsia" w:cstheme="minorEastAsia"/>
                <w:color w:val="auto"/>
                <w:kern w:val="0"/>
                <w:sz w:val="24"/>
                <w:highlight w:val="none"/>
                <w:lang w:val="zh-CN"/>
              </w:rPr>
            </w:pPr>
          </w:p>
        </w:tc>
        <w:tc>
          <w:tcPr>
            <w:tcW w:w="2025" w:type="dxa"/>
            <w:tcBorders>
              <w:top w:val="single" w:color="000000" w:sz="2" w:space="0"/>
              <w:left w:val="single" w:color="000000" w:sz="2" w:space="0"/>
              <w:bottom w:val="single" w:color="000000" w:sz="2" w:space="0"/>
              <w:right w:val="single" w:color="000000" w:sz="2" w:space="0"/>
            </w:tcBorders>
            <w:shd w:val="clear" w:color="000000" w:fill="FFFFFF"/>
          </w:tcPr>
          <w:p w14:paraId="0A9A14BF">
            <w:pPr>
              <w:shd w:val="clear"/>
              <w:autoSpaceDE w:val="0"/>
              <w:autoSpaceDN w:val="0"/>
              <w:adjustRightInd w:val="0"/>
              <w:jc w:val="left"/>
              <w:rPr>
                <w:rFonts w:asciiTheme="minorEastAsia" w:hAnsiTheme="minorEastAsia" w:eastAsiaTheme="minorEastAsia" w:cstheme="minorEastAsia"/>
                <w:color w:val="auto"/>
                <w:kern w:val="0"/>
                <w:sz w:val="24"/>
                <w:highlight w:val="none"/>
                <w:lang w:val="zh-CN"/>
              </w:rPr>
            </w:pPr>
          </w:p>
        </w:tc>
        <w:tc>
          <w:tcPr>
            <w:tcW w:w="1681" w:type="dxa"/>
            <w:tcBorders>
              <w:top w:val="single" w:color="000000" w:sz="2" w:space="0"/>
              <w:left w:val="single" w:color="000000" w:sz="2" w:space="0"/>
              <w:bottom w:val="single" w:color="000000" w:sz="2" w:space="0"/>
              <w:right w:val="single" w:color="000000" w:sz="2" w:space="0"/>
            </w:tcBorders>
            <w:shd w:val="clear" w:color="000000" w:fill="FFFFFF"/>
          </w:tcPr>
          <w:p w14:paraId="615EB315">
            <w:pPr>
              <w:shd w:val="clear"/>
              <w:autoSpaceDE w:val="0"/>
              <w:autoSpaceDN w:val="0"/>
              <w:adjustRightInd w:val="0"/>
              <w:jc w:val="left"/>
              <w:rPr>
                <w:rFonts w:asciiTheme="minorEastAsia" w:hAnsiTheme="minorEastAsia" w:eastAsiaTheme="minorEastAsia" w:cstheme="minorEastAsia"/>
                <w:color w:val="auto"/>
                <w:kern w:val="0"/>
                <w:sz w:val="24"/>
                <w:highlight w:val="none"/>
                <w:lang w:val="zh-CN"/>
              </w:rPr>
            </w:pPr>
          </w:p>
        </w:tc>
        <w:tc>
          <w:tcPr>
            <w:tcW w:w="1455" w:type="dxa"/>
            <w:tcBorders>
              <w:top w:val="single" w:color="000000" w:sz="2" w:space="0"/>
              <w:left w:val="single" w:color="000000" w:sz="2" w:space="0"/>
              <w:bottom w:val="single" w:color="000000" w:sz="2" w:space="0"/>
              <w:right w:val="single" w:color="000000" w:sz="2" w:space="0"/>
            </w:tcBorders>
            <w:shd w:val="clear" w:color="000000" w:fill="FFFFFF"/>
          </w:tcPr>
          <w:p w14:paraId="14D2EA3C">
            <w:pPr>
              <w:shd w:val="clear"/>
              <w:autoSpaceDE w:val="0"/>
              <w:autoSpaceDN w:val="0"/>
              <w:adjustRightInd w:val="0"/>
              <w:jc w:val="left"/>
              <w:rPr>
                <w:rFonts w:asciiTheme="minorEastAsia" w:hAnsiTheme="minorEastAsia" w:eastAsiaTheme="minorEastAsia" w:cstheme="minorEastAsia"/>
                <w:color w:val="auto"/>
                <w:kern w:val="0"/>
                <w:sz w:val="24"/>
                <w:highlight w:val="none"/>
                <w:lang w:val="zh-CN"/>
              </w:rPr>
            </w:pPr>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7BB16E92">
            <w:pPr>
              <w:shd w:val="clear"/>
              <w:autoSpaceDE w:val="0"/>
              <w:autoSpaceDN w:val="0"/>
              <w:adjustRightInd w:val="0"/>
              <w:jc w:val="left"/>
              <w:rPr>
                <w:rFonts w:asciiTheme="minorEastAsia" w:hAnsiTheme="minorEastAsia" w:eastAsiaTheme="minorEastAsia" w:cstheme="minorEastAsia"/>
                <w:color w:val="auto"/>
                <w:kern w:val="0"/>
                <w:sz w:val="24"/>
                <w:highlight w:val="none"/>
                <w:lang w:val="zh-CN"/>
              </w:rPr>
            </w:pPr>
          </w:p>
        </w:tc>
      </w:tr>
    </w:tbl>
    <w:p w14:paraId="6D93A209">
      <w:pPr>
        <w:shd w:val="clear" w:color="auto"/>
        <w:tabs>
          <w:tab w:val="left" w:pos="996"/>
        </w:tabs>
        <w:spacing w:line="480" w:lineRule="auto"/>
        <w:ind w:firstLine="480" w:firstLineChars="200"/>
        <w:rPr>
          <w:rFonts w:asciiTheme="minorEastAsia" w:hAnsiTheme="minorEastAsia" w:eastAsiaTheme="minorEastAsia" w:cstheme="minorEastAsia"/>
          <w:color w:val="auto"/>
          <w:sz w:val="24"/>
          <w:highlight w:val="none"/>
        </w:rPr>
      </w:pPr>
    </w:p>
    <w:p w14:paraId="19FA8602">
      <w:pPr>
        <w:shd w:val="clear" w:color="auto"/>
        <w:tabs>
          <w:tab w:val="left" w:pos="996"/>
        </w:tabs>
        <w:spacing w:line="48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供应商（盖公章）：</w:t>
      </w:r>
    </w:p>
    <w:p w14:paraId="4E46B3C7">
      <w:pPr>
        <w:shd w:val="clear" w:color="auto"/>
        <w:tabs>
          <w:tab w:val="left" w:pos="996"/>
        </w:tabs>
        <w:spacing w:line="48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法定代表人（签字或盖章）：</w:t>
      </w:r>
    </w:p>
    <w:p w14:paraId="44093F39">
      <w:pPr>
        <w:shd w:val="clear"/>
        <w:spacing w:line="360" w:lineRule="auto"/>
        <w:ind w:firstLine="480" w:firstLineChars="200"/>
        <w:jc w:val="left"/>
        <w:rPr>
          <w:rFonts w:asciiTheme="minorEastAsia" w:hAnsiTheme="minorEastAsia" w:eastAsiaTheme="minorEastAsia" w:cstheme="minorEastAsia"/>
          <w:color w:val="auto"/>
          <w:sz w:val="24"/>
          <w:szCs w:val="24"/>
          <w:highlight w:val="none"/>
        </w:rPr>
      </w:pPr>
    </w:p>
    <w:p w14:paraId="421FC99B">
      <w:pPr>
        <w:shd w:val="clear"/>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备注：供应商采购需求响应有差异的，则在此表中列明实际响应的内容提要并加以说明，以便查对。无差异说明表示完全响应。</w:t>
      </w:r>
    </w:p>
    <w:p w14:paraId="620A56B4">
      <w:pPr>
        <w:shd w:val="clear"/>
        <w:rPr>
          <w:rFonts w:asciiTheme="minorEastAsia" w:hAnsiTheme="minorEastAsia" w:eastAsiaTheme="minorEastAsia" w:cstheme="minorEastAsia"/>
          <w:color w:val="auto"/>
          <w:highlight w:val="none"/>
        </w:rPr>
      </w:pPr>
    </w:p>
    <w:p w14:paraId="7BB11778">
      <w:pPr>
        <w:shd w:val="clear"/>
        <w:outlineLvl w:val="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b/>
          <w:bCs/>
          <w:color w:val="auto"/>
          <w:sz w:val="24"/>
          <w:highlight w:val="none"/>
        </w:rPr>
        <w:br w:type="page"/>
      </w:r>
      <w:bookmarkStart w:id="156" w:name="_Toc23457"/>
      <w:bookmarkStart w:id="157" w:name="_Toc28526"/>
      <w:r>
        <w:rPr>
          <w:rFonts w:hint="eastAsia" w:asciiTheme="minorEastAsia" w:hAnsiTheme="minorEastAsia" w:eastAsiaTheme="minorEastAsia" w:cstheme="minorEastAsia"/>
          <w:b/>
          <w:bCs/>
          <w:color w:val="auto"/>
          <w:sz w:val="24"/>
          <w:highlight w:val="none"/>
        </w:rPr>
        <w:t>附件1</w:t>
      </w:r>
      <w:bookmarkEnd w:id="156"/>
      <w:bookmarkEnd w:id="157"/>
      <w:r>
        <w:rPr>
          <w:rFonts w:hint="eastAsia" w:asciiTheme="minorEastAsia" w:hAnsiTheme="minorEastAsia" w:eastAsiaTheme="minorEastAsia" w:cstheme="minorEastAsia"/>
          <w:b/>
          <w:bCs/>
          <w:color w:val="auto"/>
          <w:sz w:val="24"/>
          <w:highlight w:val="none"/>
          <w:lang w:val="en-US" w:eastAsia="zh-CN"/>
        </w:rPr>
        <w:t>1</w:t>
      </w:r>
    </w:p>
    <w:p w14:paraId="161C031C">
      <w:pPr>
        <w:shd w:val="clear" w:color="auto"/>
        <w:spacing w:line="500" w:lineRule="exact"/>
        <w:jc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color w:val="auto"/>
          <w:sz w:val="24"/>
          <w:highlight w:val="none"/>
        </w:rPr>
        <w:t>供应商类似项目业绩表</w:t>
      </w:r>
    </w:p>
    <w:tbl>
      <w:tblPr>
        <w:tblStyle w:val="28"/>
        <w:tblW w:w="8453" w:type="dxa"/>
        <w:tblInd w:w="103" w:type="dxa"/>
        <w:tblLayout w:type="fixed"/>
        <w:tblCellMar>
          <w:top w:w="0" w:type="dxa"/>
          <w:left w:w="108" w:type="dxa"/>
          <w:bottom w:w="0" w:type="dxa"/>
          <w:right w:w="108" w:type="dxa"/>
        </w:tblCellMar>
      </w:tblPr>
      <w:tblGrid>
        <w:gridCol w:w="570"/>
        <w:gridCol w:w="1613"/>
        <w:gridCol w:w="2265"/>
        <w:gridCol w:w="1395"/>
        <w:gridCol w:w="1230"/>
        <w:gridCol w:w="1380"/>
      </w:tblGrid>
      <w:tr w14:paraId="5A767C43">
        <w:tblPrEx>
          <w:tblCellMar>
            <w:top w:w="0" w:type="dxa"/>
            <w:left w:w="108" w:type="dxa"/>
            <w:bottom w:w="0" w:type="dxa"/>
            <w:right w:w="108" w:type="dxa"/>
          </w:tblCellMar>
        </w:tblPrEx>
        <w:trPr>
          <w:trHeight w:val="1355" w:hRule="atLeast"/>
        </w:trPr>
        <w:tc>
          <w:tcPr>
            <w:tcW w:w="57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62F5E84">
            <w:pPr>
              <w:shd w:val="clear"/>
              <w:autoSpaceDE w:val="0"/>
              <w:autoSpaceDN w:val="0"/>
              <w:adjustRightInd w:val="0"/>
              <w:jc w:val="center"/>
              <w:outlineLvl w:val="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序号</w:t>
            </w:r>
          </w:p>
        </w:tc>
        <w:tc>
          <w:tcPr>
            <w:tcW w:w="161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C30631B">
            <w:pPr>
              <w:shd w:val="clear"/>
              <w:autoSpaceDE w:val="0"/>
              <w:autoSpaceDN w:val="0"/>
              <w:adjustRightInd w:val="0"/>
              <w:jc w:val="center"/>
              <w:outlineLvl w:val="0"/>
              <w:rPr>
                <w:rFonts w:asciiTheme="minorEastAsia" w:hAnsiTheme="minorEastAsia" w:eastAsiaTheme="minorEastAsia" w:cstheme="minorEastAsia"/>
                <w:color w:val="auto"/>
                <w:kern w:val="0"/>
                <w:sz w:val="24"/>
                <w:highlight w:val="none"/>
                <w:lang w:val="zh-CN"/>
              </w:rPr>
            </w:pPr>
            <w:bookmarkStart w:id="158" w:name="_Toc18631"/>
            <w:bookmarkStart w:id="159" w:name="_Toc12085"/>
            <w:r>
              <w:rPr>
                <w:rFonts w:hint="eastAsia" w:asciiTheme="minorEastAsia" w:hAnsiTheme="minorEastAsia" w:eastAsiaTheme="minorEastAsia" w:cstheme="minorEastAsia"/>
                <w:color w:val="auto"/>
                <w:kern w:val="0"/>
                <w:sz w:val="24"/>
                <w:highlight w:val="none"/>
                <w:lang w:val="zh-CN"/>
              </w:rPr>
              <w:t>采购单位</w:t>
            </w:r>
            <w:bookmarkEnd w:id="158"/>
            <w:bookmarkEnd w:id="159"/>
          </w:p>
        </w:tc>
        <w:tc>
          <w:tcPr>
            <w:tcW w:w="226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C21CF81">
            <w:pPr>
              <w:shd w:val="clear"/>
              <w:autoSpaceDE w:val="0"/>
              <w:autoSpaceDN w:val="0"/>
              <w:adjustRightInd w:val="0"/>
              <w:jc w:val="center"/>
              <w:outlineLvl w:val="0"/>
              <w:rPr>
                <w:rFonts w:asciiTheme="minorEastAsia" w:hAnsiTheme="minorEastAsia" w:eastAsiaTheme="minorEastAsia" w:cstheme="minorEastAsia"/>
                <w:color w:val="auto"/>
                <w:kern w:val="0"/>
                <w:sz w:val="24"/>
                <w:highlight w:val="none"/>
                <w:lang w:val="zh-CN"/>
              </w:rPr>
            </w:pPr>
            <w:bookmarkStart w:id="160" w:name="_Toc520282834"/>
            <w:bookmarkStart w:id="161" w:name="_Toc5614"/>
            <w:bookmarkStart w:id="162" w:name="_Toc6801"/>
            <w:r>
              <w:rPr>
                <w:rFonts w:hint="eastAsia" w:asciiTheme="minorEastAsia" w:hAnsiTheme="minorEastAsia" w:eastAsiaTheme="minorEastAsia" w:cstheme="minorEastAsia"/>
                <w:color w:val="auto"/>
                <w:kern w:val="0"/>
                <w:sz w:val="24"/>
                <w:highlight w:val="none"/>
                <w:lang w:val="zh-CN"/>
              </w:rPr>
              <w:t>项目名称服务地点</w:t>
            </w:r>
            <w:bookmarkEnd w:id="160"/>
            <w:bookmarkEnd w:id="161"/>
            <w:bookmarkEnd w:id="162"/>
          </w:p>
        </w:tc>
        <w:tc>
          <w:tcPr>
            <w:tcW w:w="139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B1A7B3E">
            <w:pPr>
              <w:shd w:val="clear"/>
              <w:autoSpaceDE w:val="0"/>
              <w:autoSpaceDN w:val="0"/>
              <w:adjustRightInd w:val="0"/>
              <w:jc w:val="center"/>
              <w:outlineLvl w:val="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合同签订时间</w:t>
            </w:r>
          </w:p>
        </w:tc>
        <w:tc>
          <w:tcPr>
            <w:tcW w:w="123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2965D0E">
            <w:pPr>
              <w:shd w:val="clear"/>
              <w:autoSpaceDE w:val="0"/>
              <w:autoSpaceDN w:val="0"/>
              <w:adjustRightInd w:val="0"/>
              <w:jc w:val="center"/>
              <w:outlineLvl w:val="0"/>
              <w:rPr>
                <w:rFonts w:asciiTheme="minorEastAsia" w:hAnsiTheme="minorEastAsia" w:eastAsiaTheme="minorEastAsia" w:cstheme="minorEastAsia"/>
                <w:color w:val="auto"/>
                <w:kern w:val="0"/>
                <w:sz w:val="24"/>
                <w:highlight w:val="none"/>
                <w:lang w:val="zh-CN"/>
              </w:rPr>
            </w:pPr>
            <w:bookmarkStart w:id="163" w:name="_Toc520282837"/>
            <w:bookmarkStart w:id="164" w:name="_Toc31871"/>
            <w:bookmarkStart w:id="165" w:name="_Toc21856"/>
            <w:r>
              <w:rPr>
                <w:rFonts w:hint="eastAsia" w:asciiTheme="minorEastAsia" w:hAnsiTheme="minorEastAsia" w:eastAsiaTheme="minorEastAsia" w:cstheme="minorEastAsia"/>
                <w:color w:val="auto"/>
                <w:kern w:val="0"/>
                <w:sz w:val="24"/>
                <w:highlight w:val="none"/>
                <w:lang w:val="zh-CN"/>
              </w:rPr>
              <w:t>合同</w:t>
            </w:r>
            <w:bookmarkEnd w:id="163"/>
            <w:bookmarkEnd w:id="164"/>
            <w:bookmarkEnd w:id="165"/>
            <w:r>
              <w:rPr>
                <w:rFonts w:hint="eastAsia" w:asciiTheme="minorEastAsia" w:hAnsiTheme="minorEastAsia" w:eastAsiaTheme="minorEastAsia" w:cstheme="minorEastAsia"/>
                <w:color w:val="auto"/>
                <w:kern w:val="0"/>
                <w:sz w:val="24"/>
                <w:highlight w:val="none"/>
                <w:lang w:val="zh-CN"/>
              </w:rPr>
              <w:t>金额</w:t>
            </w:r>
          </w:p>
        </w:tc>
        <w:tc>
          <w:tcPr>
            <w:tcW w:w="138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E6E6E54">
            <w:pPr>
              <w:shd w:val="clear"/>
              <w:autoSpaceDE w:val="0"/>
              <w:autoSpaceDN w:val="0"/>
              <w:adjustRightInd w:val="0"/>
              <w:jc w:val="center"/>
              <w:outlineLvl w:val="0"/>
              <w:rPr>
                <w:rFonts w:asciiTheme="minorEastAsia" w:hAnsiTheme="minorEastAsia" w:eastAsiaTheme="minorEastAsia" w:cstheme="minorEastAsia"/>
                <w:color w:val="auto"/>
                <w:kern w:val="0"/>
                <w:sz w:val="24"/>
                <w:highlight w:val="none"/>
                <w:lang w:val="zh-CN"/>
              </w:rPr>
            </w:pPr>
            <w:bookmarkStart w:id="166" w:name="_Toc26176"/>
            <w:bookmarkStart w:id="167" w:name="_Toc520282840"/>
            <w:bookmarkStart w:id="168" w:name="_Toc3357"/>
            <w:r>
              <w:rPr>
                <w:rFonts w:hint="eastAsia" w:asciiTheme="minorEastAsia" w:hAnsiTheme="minorEastAsia" w:eastAsiaTheme="minorEastAsia" w:cstheme="minorEastAsia"/>
                <w:color w:val="auto"/>
                <w:kern w:val="0"/>
                <w:sz w:val="24"/>
                <w:highlight w:val="none"/>
                <w:lang w:val="zh-CN"/>
              </w:rPr>
              <w:t>履约情况</w:t>
            </w:r>
            <w:bookmarkEnd w:id="166"/>
            <w:bookmarkEnd w:id="167"/>
            <w:bookmarkEnd w:id="168"/>
          </w:p>
        </w:tc>
      </w:tr>
      <w:tr w14:paraId="4FFE13FE">
        <w:tblPrEx>
          <w:tblCellMar>
            <w:top w:w="0" w:type="dxa"/>
            <w:left w:w="108" w:type="dxa"/>
            <w:bottom w:w="0" w:type="dxa"/>
            <w:right w:w="108" w:type="dxa"/>
          </w:tblCellMar>
        </w:tblPrEx>
        <w:trPr>
          <w:trHeight w:val="862" w:hRule="atLeast"/>
        </w:trPr>
        <w:tc>
          <w:tcPr>
            <w:tcW w:w="570" w:type="dxa"/>
            <w:tcBorders>
              <w:top w:val="single" w:color="000000" w:sz="4" w:space="0"/>
              <w:left w:val="single" w:color="000000" w:sz="4" w:space="0"/>
              <w:bottom w:val="single" w:color="000000" w:sz="4" w:space="0"/>
              <w:right w:val="single" w:color="000000" w:sz="4" w:space="0"/>
            </w:tcBorders>
            <w:shd w:val="clear" w:color="000000" w:fill="FFFFFF"/>
          </w:tcPr>
          <w:p w14:paraId="30596042">
            <w:pPr>
              <w:shd w:val="clear"/>
              <w:autoSpaceDE w:val="0"/>
              <w:autoSpaceDN w:val="0"/>
              <w:adjustRightInd w:val="0"/>
              <w:jc w:val="left"/>
              <w:rPr>
                <w:rFonts w:asciiTheme="minorEastAsia" w:hAnsiTheme="minorEastAsia" w:eastAsiaTheme="minorEastAsia" w:cstheme="minorEastAsia"/>
                <w:color w:val="auto"/>
                <w:kern w:val="0"/>
                <w:sz w:val="24"/>
                <w:highlight w:val="none"/>
                <w:lang w:val="zh-CN"/>
              </w:rPr>
            </w:pPr>
          </w:p>
        </w:tc>
        <w:tc>
          <w:tcPr>
            <w:tcW w:w="1613" w:type="dxa"/>
            <w:tcBorders>
              <w:top w:val="single" w:color="000000" w:sz="4" w:space="0"/>
              <w:left w:val="single" w:color="000000" w:sz="4" w:space="0"/>
              <w:bottom w:val="single" w:color="000000" w:sz="4" w:space="0"/>
              <w:right w:val="single" w:color="000000" w:sz="4" w:space="0"/>
            </w:tcBorders>
            <w:shd w:val="clear" w:color="000000" w:fill="FFFFFF"/>
          </w:tcPr>
          <w:p w14:paraId="53717589">
            <w:pPr>
              <w:shd w:val="clear"/>
              <w:autoSpaceDE w:val="0"/>
              <w:autoSpaceDN w:val="0"/>
              <w:adjustRightInd w:val="0"/>
              <w:jc w:val="left"/>
              <w:rPr>
                <w:rFonts w:asciiTheme="minorEastAsia" w:hAnsiTheme="minorEastAsia" w:eastAsiaTheme="minorEastAsia" w:cstheme="minorEastAsia"/>
                <w:color w:val="auto"/>
                <w:kern w:val="0"/>
                <w:sz w:val="24"/>
                <w:highlight w:val="none"/>
                <w:lang w:val="zh-CN"/>
              </w:rPr>
            </w:pPr>
          </w:p>
        </w:tc>
        <w:tc>
          <w:tcPr>
            <w:tcW w:w="2265" w:type="dxa"/>
            <w:tcBorders>
              <w:top w:val="single" w:color="000000" w:sz="4" w:space="0"/>
              <w:left w:val="single" w:color="000000" w:sz="4" w:space="0"/>
              <w:bottom w:val="single" w:color="000000" w:sz="4" w:space="0"/>
              <w:right w:val="single" w:color="000000" w:sz="4" w:space="0"/>
            </w:tcBorders>
            <w:shd w:val="clear" w:color="000000" w:fill="FFFFFF"/>
          </w:tcPr>
          <w:p w14:paraId="169E4570">
            <w:pPr>
              <w:shd w:val="clear"/>
              <w:autoSpaceDE w:val="0"/>
              <w:autoSpaceDN w:val="0"/>
              <w:adjustRightInd w:val="0"/>
              <w:jc w:val="left"/>
              <w:rPr>
                <w:rFonts w:asciiTheme="minorEastAsia" w:hAnsiTheme="minorEastAsia" w:eastAsiaTheme="minorEastAsia" w:cstheme="minorEastAsia"/>
                <w:color w:val="auto"/>
                <w:kern w:val="0"/>
                <w:sz w:val="24"/>
                <w:highlight w:val="none"/>
                <w:lang w:val="zh-CN"/>
              </w:rPr>
            </w:pPr>
          </w:p>
        </w:tc>
        <w:tc>
          <w:tcPr>
            <w:tcW w:w="1395" w:type="dxa"/>
            <w:tcBorders>
              <w:top w:val="single" w:color="000000" w:sz="4" w:space="0"/>
              <w:left w:val="single" w:color="000000" w:sz="4" w:space="0"/>
              <w:bottom w:val="single" w:color="000000" w:sz="4" w:space="0"/>
              <w:right w:val="single" w:color="000000" w:sz="4" w:space="0"/>
            </w:tcBorders>
            <w:shd w:val="clear" w:color="000000" w:fill="FFFFFF"/>
          </w:tcPr>
          <w:p w14:paraId="2CBA8B97">
            <w:pPr>
              <w:shd w:val="clear"/>
              <w:autoSpaceDE w:val="0"/>
              <w:autoSpaceDN w:val="0"/>
              <w:adjustRightInd w:val="0"/>
              <w:jc w:val="left"/>
              <w:rPr>
                <w:rFonts w:asciiTheme="minorEastAsia" w:hAnsiTheme="minorEastAsia" w:eastAsiaTheme="minorEastAsia" w:cstheme="minorEastAsia"/>
                <w:color w:val="auto"/>
                <w:kern w:val="0"/>
                <w:sz w:val="24"/>
                <w:highlight w:val="none"/>
                <w:lang w:val="zh-CN"/>
              </w:rPr>
            </w:pPr>
          </w:p>
        </w:tc>
        <w:tc>
          <w:tcPr>
            <w:tcW w:w="1230" w:type="dxa"/>
            <w:tcBorders>
              <w:top w:val="single" w:color="000000" w:sz="4" w:space="0"/>
              <w:left w:val="single" w:color="000000" w:sz="4" w:space="0"/>
              <w:bottom w:val="single" w:color="000000" w:sz="4" w:space="0"/>
              <w:right w:val="single" w:color="000000" w:sz="4" w:space="0"/>
            </w:tcBorders>
            <w:shd w:val="clear" w:color="000000" w:fill="FFFFFF"/>
          </w:tcPr>
          <w:p w14:paraId="459EAE83">
            <w:pPr>
              <w:shd w:val="clear"/>
              <w:autoSpaceDE w:val="0"/>
              <w:autoSpaceDN w:val="0"/>
              <w:adjustRightInd w:val="0"/>
              <w:jc w:val="left"/>
              <w:rPr>
                <w:rFonts w:asciiTheme="minorEastAsia" w:hAnsiTheme="minorEastAsia" w:eastAsiaTheme="minorEastAsia" w:cstheme="minorEastAsia"/>
                <w:color w:val="auto"/>
                <w:kern w:val="0"/>
                <w:sz w:val="24"/>
                <w:highlight w:val="none"/>
                <w:lang w:val="zh-CN"/>
              </w:rPr>
            </w:pPr>
          </w:p>
        </w:tc>
        <w:tc>
          <w:tcPr>
            <w:tcW w:w="1380" w:type="dxa"/>
            <w:tcBorders>
              <w:top w:val="single" w:color="000000" w:sz="4" w:space="0"/>
              <w:left w:val="single" w:color="000000" w:sz="4" w:space="0"/>
              <w:bottom w:val="single" w:color="000000" w:sz="4" w:space="0"/>
              <w:right w:val="single" w:color="000000" w:sz="4" w:space="0"/>
            </w:tcBorders>
            <w:shd w:val="clear" w:color="000000" w:fill="FFFFFF"/>
          </w:tcPr>
          <w:p w14:paraId="6CF51626">
            <w:pPr>
              <w:shd w:val="clear"/>
              <w:autoSpaceDE w:val="0"/>
              <w:autoSpaceDN w:val="0"/>
              <w:adjustRightInd w:val="0"/>
              <w:jc w:val="left"/>
              <w:rPr>
                <w:rFonts w:asciiTheme="minorEastAsia" w:hAnsiTheme="minorEastAsia" w:eastAsiaTheme="minorEastAsia" w:cstheme="minorEastAsia"/>
                <w:color w:val="auto"/>
                <w:kern w:val="0"/>
                <w:sz w:val="24"/>
                <w:highlight w:val="none"/>
                <w:lang w:val="zh-CN"/>
              </w:rPr>
            </w:pPr>
          </w:p>
        </w:tc>
      </w:tr>
      <w:tr w14:paraId="1EB95CCA">
        <w:tblPrEx>
          <w:tblCellMar>
            <w:top w:w="0" w:type="dxa"/>
            <w:left w:w="108" w:type="dxa"/>
            <w:bottom w:w="0" w:type="dxa"/>
            <w:right w:w="108" w:type="dxa"/>
          </w:tblCellMar>
        </w:tblPrEx>
        <w:trPr>
          <w:trHeight w:val="864" w:hRule="atLeast"/>
        </w:trPr>
        <w:tc>
          <w:tcPr>
            <w:tcW w:w="570" w:type="dxa"/>
            <w:tcBorders>
              <w:top w:val="single" w:color="000000" w:sz="4" w:space="0"/>
              <w:left w:val="single" w:color="000000" w:sz="4" w:space="0"/>
              <w:bottom w:val="single" w:color="000000" w:sz="4" w:space="0"/>
              <w:right w:val="single" w:color="000000" w:sz="4" w:space="0"/>
            </w:tcBorders>
            <w:shd w:val="clear" w:color="000000" w:fill="FFFFFF"/>
          </w:tcPr>
          <w:p w14:paraId="6D3FC4FE">
            <w:pPr>
              <w:shd w:val="clear"/>
              <w:autoSpaceDE w:val="0"/>
              <w:autoSpaceDN w:val="0"/>
              <w:adjustRightInd w:val="0"/>
              <w:jc w:val="left"/>
              <w:rPr>
                <w:rFonts w:asciiTheme="minorEastAsia" w:hAnsiTheme="minorEastAsia" w:eastAsiaTheme="minorEastAsia" w:cstheme="minorEastAsia"/>
                <w:color w:val="auto"/>
                <w:kern w:val="0"/>
                <w:sz w:val="24"/>
                <w:highlight w:val="none"/>
                <w:lang w:val="zh-CN"/>
              </w:rPr>
            </w:pPr>
          </w:p>
        </w:tc>
        <w:tc>
          <w:tcPr>
            <w:tcW w:w="1613" w:type="dxa"/>
            <w:tcBorders>
              <w:top w:val="single" w:color="000000" w:sz="4" w:space="0"/>
              <w:left w:val="single" w:color="000000" w:sz="4" w:space="0"/>
              <w:bottom w:val="single" w:color="000000" w:sz="4" w:space="0"/>
              <w:right w:val="single" w:color="000000" w:sz="4" w:space="0"/>
            </w:tcBorders>
            <w:shd w:val="clear" w:color="000000" w:fill="FFFFFF"/>
          </w:tcPr>
          <w:p w14:paraId="7E42BF50">
            <w:pPr>
              <w:shd w:val="clear"/>
              <w:autoSpaceDE w:val="0"/>
              <w:autoSpaceDN w:val="0"/>
              <w:adjustRightInd w:val="0"/>
              <w:jc w:val="left"/>
              <w:rPr>
                <w:rFonts w:asciiTheme="minorEastAsia" w:hAnsiTheme="minorEastAsia" w:eastAsiaTheme="minorEastAsia" w:cstheme="minorEastAsia"/>
                <w:color w:val="auto"/>
                <w:kern w:val="0"/>
                <w:sz w:val="24"/>
                <w:highlight w:val="none"/>
                <w:lang w:val="zh-CN"/>
              </w:rPr>
            </w:pPr>
          </w:p>
        </w:tc>
        <w:tc>
          <w:tcPr>
            <w:tcW w:w="2265" w:type="dxa"/>
            <w:tcBorders>
              <w:top w:val="single" w:color="000000" w:sz="4" w:space="0"/>
              <w:left w:val="single" w:color="000000" w:sz="4" w:space="0"/>
              <w:bottom w:val="single" w:color="000000" w:sz="4" w:space="0"/>
              <w:right w:val="single" w:color="000000" w:sz="4" w:space="0"/>
            </w:tcBorders>
            <w:shd w:val="clear" w:color="000000" w:fill="FFFFFF"/>
          </w:tcPr>
          <w:p w14:paraId="36CFB648">
            <w:pPr>
              <w:shd w:val="clear"/>
              <w:autoSpaceDE w:val="0"/>
              <w:autoSpaceDN w:val="0"/>
              <w:adjustRightInd w:val="0"/>
              <w:jc w:val="left"/>
              <w:rPr>
                <w:rFonts w:asciiTheme="minorEastAsia" w:hAnsiTheme="minorEastAsia" w:eastAsiaTheme="minorEastAsia" w:cstheme="minorEastAsia"/>
                <w:color w:val="auto"/>
                <w:kern w:val="0"/>
                <w:sz w:val="24"/>
                <w:highlight w:val="none"/>
                <w:lang w:val="zh-CN"/>
              </w:rPr>
            </w:pPr>
          </w:p>
        </w:tc>
        <w:tc>
          <w:tcPr>
            <w:tcW w:w="1395" w:type="dxa"/>
            <w:tcBorders>
              <w:top w:val="single" w:color="000000" w:sz="4" w:space="0"/>
              <w:left w:val="single" w:color="000000" w:sz="4" w:space="0"/>
              <w:bottom w:val="single" w:color="000000" w:sz="4" w:space="0"/>
              <w:right w:val="single" w:color="000000" w:sz="4" w:space="0"/>
            </w:tcBorders>
            <w:shd w:val="clear" w:color="000000" w:fill="FFFFFF"/>
          </w:tcPr>
          <w:p w14:paraId="13D74CD5">
            <w:pPr>
              <w:shd w:val="clear"/>
              <w:autoSpaceDE w:val="0"/>
              <w:autoSpaceDN w:val="0"/>
              <w:adjustRightInd w:val="0"/>
              <w:jc w:val="left"/>
              <w:rPr>
                <w:rFonts w:asciiTheme="minorEastAsia" w:hAnsiTheme="minorEastAsia" w:eastAsiaTheme="minorEastAsia" w:cstheme="minorEastAsia"/>
                <w:color w:val="auto"/>
                <w:kern w:val="0"/>
                <w:sz w:val="24"/>
                <w:highlight w:val="none"/>
                <w:lang w:val="zh-CN"/>
              </w:rPr>
            </w:pPr>
          </w:p>
        </w:tc>
        <w:tc>
          <w:tcPr>
            <w:tcW w:w="1230" w:type="dxa"/>
            <w:tcBorders>
              <w:top w:val="single" w:color="000000" w:sz="4" w:space="0"/>
              <w:left w:val="single" w:color="000000" w:sz="4" w:space="0"/>
              <w:bottom w:val="single" w:color="000000" w:sz="4" w:space="0"/>
              <w:right w:val="single" w:color="000000" w:sz="4" w:space="0"/>
            </w:tcBorders>
            <w:shd w:val="clear" w:color="000000" w:fill="FFFFFF"/>
          </w:tcPr>
          <w:p w14:paraId="344C00B1">
            <w:pPr>
              <w:shd w:val="clear"/>
              <w:autoSpaceDE w:val="0"/>
              <w:autoSpaceDN w:val="0"/>
              <w:adjustRightInd w:val="0"/>
              <w:jc w:val="left"/>
              <w:rPr>
                <w:rFonts w:asciiTheme="minorEastAsia" w:hAnsiTheme="minorEastAsia" w:eastAsiaTheme="minorEastAsia" w:cstheme="minorEastAsia"/>
                <w:color w:val="auto"/>
                <w:kern w:val="0"/>
                <w:sz w:val="24"/>
                <w:highlight w:val="none"/>
                <w:lang w:val="zh-CN"/>
              </w:rPr>
            </w:pPr>
          </w:p>
        </w:tc>
        <w:tc>
          <w:tcPr>
            <w:tcW w:w="1380" w:type="dxa"/>
            <w:tcBorders>
              <w:top w:val="single" w:color="000000" w:sz="4" w:space="0"/>
              <w:left w:val="single" w:color="000000" w:sz="4" w:space="0"/>
              <w:bottom w:val="single" w:color="000000" w:sz="4" w:space="0"/>
              <w:right w:val="single" w:color="000000" w:sz="4" w:space="0"/>
            </w:tcBorders>
            <w:shd w:val="clear" w:color="000000" w:fill="FFFFFF"/>
          </w:tcPr>
          <w:p w14:paraId="7C462409">
            <w:pPr>
              <w:shd w:val="clear"/>
              <w:autoSpaceDE w:val="0"/>
              <w:autoSpaceDN w:val="0"/>
              <w:adjustRightInd w:val="0"/>
              <w:jc w:val="left"/>
              <w:rPr>
                <w:rFonts w:asciiTheme="minorEastAsia" w:hAnsiTheme="minorEastAsia" w:eastAsiaTheme="minorEastAsia" w:cstheme="minorEastAsia"/>
                <w:color w:val="auto"/>
                <w:kern w:val="0"/>
                <w:sz w:val="24"/>
                <w:highlight w:val="none"/>
                <w:lang w:val="zh-CN"/>
              </w:rPr>
            </w:pPr>
          </w:p>
        </w:tc>
      </w:tr>
      <w:tr w14:paraId="600BBFDE">
        <w:tblPrEx>
          <w:tblCellMar>
            <w:top w:w="0" w:type="dxa"/>
            <w:left w:w="108" w:type="dxa"/>
            <w:bottom w:w="0" w:type="dxa"/>
            <w:right w:w="108" w:type="dxa"/>
          </w:tblCellMar>
        </w:tblPrEx>
        <w:trPr>
          <w:trHeight w:val="862" w:hRule="atLeast"/>
        </w:trPr>
        <w:tc>
          <w:tcPr>
            <w:tcW w:w="570" w:type="dxa"/>
            <w:tcBorders>
              <w:top w:val="single" w:color="000000" w:sz="4" w:space="0"/>
              <w:left w:val="single" w:color="000000" w:sz="4" w:space="0"/>
              <w:bottom w:val="single" w:color="000000" w:sz="4" w:space="0"/>
              <w:right w:val="single" w:color="000000" w:sz="4" w:space="0"/>
            </w:tcBorders>
            <w:shd w:val="clear" w:color="000000" w:fill="FFFFFF"/>
          </w:tcPr>
          <w:p w14:paraId="1087989F">
            <w:pPr>
              <w:shd w:val="clear"/>
              <w:autoSpaceDE w:val="0"/>
              <w:autoSpaceDN w:val="0"/>
              <w:adjustRightInd w:val="0"/>
              <w:jc w:val="left"/>
              <w:rPr>
                <w:rFonts w:asciiTheme="minorEastAsia" w:hAnsiTheme="minorEastAsia" w:eastAsiaTheme="minorEastAsia" w:cstheme="minorEastAsia"/>
                <w:color w:val="auto"/>
                <w:kern w:val="0"/>
                <w:sz w:val="24"/>
                <w:highlight w:val="none"/>
                <w:lang w:val="zh-CN"/>
              </w:rPr>
            </w:pPr>
          </w:p>
        </w:tc>
        <w:tc>
          <w:tcPr>
            <w:tcW w:w="1613" w:type="dxa"/>
            <w:tcBorders>
              <w:top w:val="single" w:color="000000" w:sz="4" w:space="0"/>
              <w:left w:val="single" w:color="000000" w:sz="4" w:space="0"/>
              <w:bottom w:val="single" w:color="000000" w:sz="4" w:space="0"/>
              <w:right w:val="single" w:color="000000" w:sz="4" w:space="0"/>
            </w:tcBorders>
            <w:shd w:val="clear" w:color="000000" w:fill="FFFFFF"/>
          </w:tcPr>
          <w:p w14:paraId="68A3FBC2">
            <w:pPr>
              <w:shd w:val="clear"/>
              <w:autoSpaceDE w:val="0"/>
              <w:autoSpaceDN w:val="0"/>
              <w:adjustRightInd w:val="0"/>
              <w:jc w:val="left"/>
              <w:rPr>
                <w:rFonts w:asciiTheme="minorEastAsia" w:hAnsiTheme="minorEastAsia" w:eastAsiaTheme="minorEastAsia" w:cstheme="minorEastAsia"/>
                <w:color w:val="auto"/>
                <w:kern w:val="0"/>
                <w:sz w:val="24"/>
                <w:highlight w:val="none"/>
                <w:lang w:val="zh-CN"/>
              </w:rPr>
            </w:pPr>
          </w:p>
        </w:tc>
        <w:tc>
          <w:tcPr>
            <w:tcW w:w="2265" w:type="dxa"/>
            <w:tcBorders>
              <w:top w:val="single" w:color="000000" w:sz="4" w:space="0"/>
              <w:left w:val="single" w:color="000000" w:sz="4" w:space="0"/>
              <w:bottom w:val="single" w:color="000000" w:sz="4" w:space="0"/>
              <w:right w:val="single" w:color="000000" w:sz="4" w:space="0"/>
            </w:tcBorders>
            <w:shd w:val="clear" w:color="000000" w:fill="FFFFFF"/>
          </w:tcPr>
          <w:p w14:paraId="302489F9">
            <w:pPr>
              <w:shd w:val="clear"/>
              <w:autoSpaceDE w:val="0"/>
              <w:autoSpaceDN w:val="0"/>
              <w:adjustRightInd w:val="0"/>
              <w:jc w:val="left"/>
              <w:rPr>
                <w:rFonts w:asciiTheme="minorEastAsia" w:hAnsiTheme="minorEastAsia" w:eastAsiaTheme="minorEastAsia" w:cstheme="minorEastAsia"/>
                <w:color w:val="auto"/>
                <w:kern w:val="0"/>
                <w:sz w:val="24"/>
                <w:highlight w:val="none"/>
                <w:lang w:val="zh-CN"/>
              </w:rPr>
            </w:pPr>
          </w:p>
        </w:tc>
        <w:tc>
          <w:tcPr>
            <w:tcW w:w="1395" w:type="dxa"/>
            <w:tcBorders>
              <w:top w:val="single" w:color="000000" w:sz="4" w:space="0"/>
              <w:left w:val="single" w:color="000000" w:sz="4" w:space="0"/>
              <w:bottom w:val="single" w:color="000000" w:sz="4" w:space="0"/>
              <w:right w:val="single" w:color="000000" w:sz="4" w:space="0"/>
            </w:tcBorders>
            <w:shd w:val="clear" w:color="000000" w:fill="FFFFFF"/>
          </w:tcPr>
          <w:p w14:paraId="7ADFFF43">
            <w:pPr>
              <w:shd w:val="clear"/>
              <w:autoSpaceDE w:val="0"/>
              <w:autoSpaceDN w:val="0"/>
              <w:adjustRightInd w:val="0"/>
              <w:jc w:val="left"/>
              <w:rPr>
                <w:rFonts w:asciiTheme="minorEastAsia" w:hAnsiTheme="minorEastAsia" w:eastAsiaTheme="minorEastAsia" w:cstheme="minorEastAsia"/>
                <w:color w:val="auto"/>
                <w:kern w:val="0"/>
                <w:sz w:val="24"/>
                <w:highlight w:val="none"/>
                <w:lang w:val="zh-CN"/>
              </w:rPr>
            </w:pPr>
          </w:p>
        </w:tc>
        <w:tc>
          <w:tcPr>
            <w:tcW w:w="1230" w:type="dxa"/>
            <w:tcBorders>
              <w:top w:val="single" w:color="000000" w:sz="4" w:space="0"/>
              <w:left w:val="single" w:color="000000" w:sz="4" w:space="0"/>
              <w:bottom w:val="single" w:color="000000" w:sz="4" w:space="0"/>
              <w:right w:val="single" w:color="000000" w:sz="4" w:space="0"/>
            </w:tcBorders>
            <w:shd w:val="clear" w:color="000000" w:fill="FFFFFF"/>
          </w:tcPr>
          <w:p w14:paraId="712E43AC">
            <w:pPr>
              <w:shd w:val="clear"/>
              <w:autoSpaceDE w:val="0"/>
              <w:autoSpaceDN w:val="0"/>
              <w:adjustRightInd w:val="0"/>
              <w:jc w:val="left"/>
              <w:rPr>
                <w:rFonts w:asciiTheme="minorEastAsia" w:hAnsiTheme="minorEastAsia" w:eastAsiaTheme="minorEastAsia" w:cstheme="minorEastAsia"/>
                <w:color w:val="auto"/>
                <w:kern w:val="0"/>
                <w:sz w:val="24"/>
                <w:highlight w:val="none"/>
                <w:lang w:val="zh-CN"/>
              </w:rPr>
            </w:pPr>
          </w:p>
        </w:tc>
        <w:tc>
          <w:tcPr>
            <w:tcW w:w="1380" w:type="dxa"/>
            <w:tcBorders>
              <w:top w:val="single" w:color="000000" w:sz="4" w:space="0"/>
              <w:left w:val="single" w:color="000000" w:sz="4" w:space="0"/>
              <w:bottom w:val="single" w:color="000000" w:sz="4" w:space="0"/>
              <w:right w:val="single" w:color="000000" w:sz="4" w:space="0"/>
            </w:tcBorders>
            <w:shd w:val="clear" w:color="000000" w:fill="FFFFFF"/>
          </w:tcPr>
          <w:p w14:paraId="6613DE56">
            <w:pPr>
              <w:shd w:val="clear"/>
              <w:autoSpaceDE w:val="0"/>
              <w:autoSpaceDN w:val="0"/>
              <w:adjustRightInd w:val="0"/>
              <w:jc w:val="left"/>
              <w:rPr>
                <w:rFonts w:asciiTheme="minorEastAsia" w:hAnsiTheme="minorEastAsia" w:eastAsiaTheme="minorEastAsia" w:cstheme="minorEastAsia"/>
                <w:color w:val="auto"/>
                <w:kern w:val="0"/>
                <w:sz w:val="24"/>
                <w:highlight w:val="none"/>
                <w:lang w:val="zh-CN"/>
              </w:rPr>
            </w:pPr>
          </w:p>
        </w:tc>
      </w:tr>
      <w:tr w14:paraId="625263F8">
        <w:tblPrEx>
          <w:tblCellMar>
            <w:top w:w="0" w:type="dxa"/>
            <w:left w:w="108" w:type="dxa"/>
            <w:bottom w:w="0" w:type="dxa"/>
            <w:right w:w="108" w:type="dxa"/>
          </w:tblCellMar>
        </w:tblPrEx>
        <w:trPr>
          <w:trHeight w:val="862" w:hRule="atLeast"/>
        </w:trPr>
        <w:tc>
          <w:tcPr>
            <w:tcW w:w="570" w:type="dxa"/>
            <w:tcBorders>
              <w:top w:val="single" w:color="000000" w:sz="4" w:space="0"/>
              <w:left w:val="single" w:color="000000" w:sz="4" w:space="0"/>
              <w:bottom w:val="single" w:color="000000" w:sz="4" w:space="0"/>
              <w:right w:val="single" w:color="000000" w:sz="4" w:space="0"/>
            </w:tcBorders>
            <w:shd w:val="clear" w:color="000000" w:fill="FFFFFF"/>
          </w:tcPr>
          <w:p w14:paraId="183847A6">
            <w:pPr>
              <w:shd w:val="clear"/>
              <w:autoSpaceDE w:val="0"/>
              <w:autoSpaceDN w:val="0"/>
              <w:adjustRightInd w:val="0"/>
              <w:jc w:val="left"/>
              <w:rPr>
                <w:rFonts w:asciiTheme="minorEastAsia" w:hAnsiTheme="minorEastAsia" w:eastAsiaTheme="minorEastAsia" w:cstheme="minorEastAsia"/>
                <w:color w:val="auto"/>
                <w:kern w:val="0"/>
                <w:sz w:val="24"/>
                <w:highlight w:val="none"/>
                <w:lang w:val="zh-CN"/>
              </w:rPr>
            </w:pPr>
          </w:p>
        </w:tc>
        <w:tc>
          <w:tcPr>
            <w:tcW w:w="1613" w:type="dxa"/>
            <w:tcBorders>
              <w:top w:val="single" w:color="000000" w:sz="4" w:space="0"/>
              <w:left w:val="single" w:color="000000" w:sz="4" w:space="0"/>
              <w:bottom w:val="single" w:color="000000" w:sz="4" w:space="0"/>
              <w:right w:val="single" w:color="000000" w:sz="4" w:space="0"/>
            </w:tcBorders>
            <w:shd w:val="clear" w:color="000000" w:fill="FFFFFF"/>
          </w:tcPr>
          <w:p w14:paraId="191051C1">
            <w:pPr>
              <w:shd w:val="clear"/>
              <w:autoSpaceDE w:val="0"/>
              <w:autoSpaceDN w:val="0"/>
              <w:adjustRightInd w:val="0"/>
              <w:jc w:val="left"/>
              <w:rPr>
                <w:rFonts w:asciiTheme="minorEastAsia" w:hAnsiTheme="minorEastAsia" w:eastAsiaTheme="minorEastAsia" w:cstheme="minorEastAsia"/>
                <w:color w:val="auto"/>
                <w:kern w:val="0"/>
                <w:sz w:val="24"/>
                <w:highlight w:val="none"/>
                <w:lang w:val="zh-CN"/>
              </w:rPr>
            </w:pPr>
          </w:p>
        </w:tc>
        <w:tc>
          <w:tcPr>
            <w:tcW w:w="2265" w:type="dxa"/>
            <w:tcBorders>
              <w:top w:val="single" w:color="000000" w:sz="4" w:space="0"/>
              <w:left w:val="single" w:color="000000" w:sz="4" w:space="0"/>
              <w:bottom w:val="single" w:color="000000" w:sz="4" w:space="0"/>
              <w:right w:val="single" w:color="000000" w:sz="4" w:space="0"/>
            </w:tcBorders>
            <w:shd w:val="clear" w:color="000000" w:fill="FFFFFF"/>
          </w:tcPr>
          <w:p w14:paraId="51E257E6">
            <w:pPr>
              <w:shd w:val="clear"/>
              <w:autoSpaceDE w:val="0"/>
              <w:autoSpaceDN w:val="0"/>
              <w:adjustRightInd w:val="0"/>
              <w:jc w:val="left"/>
              <w:rPr>
                <w:rFonts w:asciiTheme="minorEastAsia" w:hAnsiTheme="minorEastAsia" w:eastAsiaTheme="minorEastAsia" w:cstheme="minorEastAsia"/>
                <w:color w:val="auto"/>
                <w:kern w:val="0"/>
                <w:sz w:val="24"/>
                <w:highlight w:val="none"/>
                <w:lang w:val="zh-CN"/>
              </w:rPr>
            </w:pPr>
          </w:p>
        </w:tc>
        <w:tc>
          <w:tcPr>
            <w:tcW w:w="1395" w:type="dxa"/>
            <w:tcBorders>
              <w:top w:val="single" w:color="000000" w:sz="4" w:space="0"/>
              <w:left w:val="single" w:color="000000" w:sz="4" w:space="0"/>
              <w:bottom w:val="single" w:color="000000" w:sz="4" w:space="0"/>
              <w:right w:val="single" w:color="000000" w:sz="4" w:space="0"/>
            </w:tcBorders>
            <w:shd w:val="clear" w:color="000000" w:fill="FFFFFF"/>
          </w:tcPr>
          <w:p w14:paraId="5CBC670A">
            <w:pPr>
              <w:shd w:val="clear"/>
              <w:autoSpaceDE w:val="0"/>
              <w:autoSpaceDN w:val="0"/>
              <w:adjustRightInd w:val="0"/>
              <w:jc w:val="left"/>
              <w:rPr>
                <w:rFonts w:asciiTheme="minorEastAsia" w:hAnsiTheme="minorEastAsia" w:eastAsiaTheme="minorEastAsia" w:cstheme="minorEastAsia"/>
                <w:color w:val="auto"/>
                <w:kern w:val="0"/>
                <w:sz w:val="24"/>
                <w:highlight w:val="none"/>
                <w:lang w:val="zh-CN"/>
              </w:rPr>
            </w:pPr>
          </w:p>
        </w:tc>
        <w:tc>
          <w:tcPr>
            <w:tcW w:w="1230" w:type="dxa"/>
            <w:tcBorders>
              <w:top w:val="single" w:color="000000" w:sz="4" w:space="0"/>
              <w:left w:val="single" w:color="000000" w:sz="4" w:space="0"/>
              <w:bottom w:val="single" w:color="000000" w:sz="4" w:space="0"/>
              <w:right w:val="single" w:color="000000" w:sz="4" w:space="0"/>
            </w:tcBorders>
            <w:shd w:val="clear" w:color="000000" w:fill="FFFFFF"/>
          </w:tcPr>
          <w:p w14:paraId="1DF31B69">
            <w:pPr>
              <w:shd w:val="clear"/>
              <w:autoSpaceDE w:val="0"/>
              <w:autoSpaceDN w:val="0"/>
              <w:adjustRightInd w:val="0"/>
              <w:jc w:val="left"/>
              <w:rPr>
                <w:rFonts w:asciiTheme="minorEastAsia" w:hAnsiTheme="minorEastAsia" w:eastAsiaTheme="minorEastAsia" w:cstheme="minorEastAsia"/>
                <w:color w:val="auto"/>
                <w:kern w:val="0"/>
                <w:sz w:val="24"/>
                <w:highlight w:val="none"/>
                <w:lang w:val="zh-CN"/>
              </w:rPr>
            </w:pPr>
          </w:p>
        </w:tc>
        <w:tc>
          <w:tcPr>
            <w:tcW w:w="1380" w:type="dxa"/>
            <w:tcBorders>
              <w:top w:val="single" w:color="000000" w:sz="4" w:space="0"/>
              <w:left w:val="single" w:color="000000" w:sz="4" w:space="0"/>
              <w:bottom w:val="single" w:color="000000" w:sz="4" w:space="0"/>
              <w:right w:val="single" w:color="000000" w:sz="4" w:space="0"/>
            </w:tcBorders>
            <w:shd w:val="clear" w:color="000000" w:fill="FFFFFF"/>
          </w:tcPr>
          <w:p w14:paraId="0EEE4757">
            <w:pPr>
              <w:shd w:val="clear"/>
              <w:autoSpaceDE w:val="0"/>
              <w:autoSpaceDN w:val="0"/>
              <w:adjustRightInd w:val="0"/>
              <w:jc w:val="left"/>
              <w:rPr>
                <w:rFonts w:asciiTheme="minorEastAsia" w:hAnsiTheme="minorEastAsia" w:eastAsiaTheme="minorEastAsia" w:cstheme="minorEastAsia"/>
                <w:color w:val="auto"/>
                <w:kern w:val="0"/>
                <w:sz w:val="24"/>
                <w:highlight w:val="none"/>
                <w:lang w:val="zh-CN"/>
              </w:rPr>
            </w:pPr>
          </w:p>
        </w:tc>
      </w:tr>
      <w:tr w14:paraId="110155AD">
        <w:tblPrEx>
          <w:tblCellMar>
            <w:top w:w="0" w:type="dxa"/>
            <w:left w:w="108" w:type="dxa"/>
            <w:bottom w:w="0" w:type="dxa"/>
            <w:right w:w="108" w:type="dxa"/>
          </w:tblCellMar>
        </w:tblPrEx>
        <w:trPr>
          <w:trHeight w:val="862" w:hRule="atLeast"/>
        </w:trPr>
        <w:tc>
          <w:tcPr>
            <w:tcW w:w="570" w:type="dxa"/>
            <w:tcBorders>
              <w:top w:val="single" w:color="000000" w:sz="4" w:space="0"/>
              <w:left w:val="single" w:color="000000" w:sz="4" w:space="0"/>
              <w:bottom w:val="single" w:color="000000" w:sz="4" w:space="0"/>
              <w:right w:val="single" w:color="000000" w:sz="4" w:space="0"/>
            </w:tcBorders>
            <w:shd w:val="clear" w:color="000000" w:fill="FFFFFF"/>
          </w:tcPr>
          <w:p w14:paraId="10711276">
            <w:pPr>
              <w:shd w:val="clear"/>
              <w:autoSpaceDE w:val="0"/>
              <w:autoSpaceDN w:val="0"/>
              <w:adjustRightInd w:val="0"/>
              <w:jc w:val="left"/>
              <w:rPr>
                <w:rFonts w:asciiTheme="minorEastAsia" w:hAnsiTheme="minorEastAsia" w:eastAsiaTheme="minorEastAsia" w:cstheme="minorEastAsia"/>
                <w:color w:val="auto"/>
                <w:kern w:val="0"/>
                <w:sz w:val="24"/>
                <w:highlight w:val="none"/>
                <w:lang w:val="zh-CN"/>
              </w:rPr>
            </w:pPr>
          </w:p>
        </w:tc>
        <w:tc>
          <w:tcPr>
            <w:tcW w:w="1613" w:type="dxa"/>
            <w:tcBorders>
              <w:top w:val="single" w:color="000000" w:sz="4" w:space="0"/>
              <w:left w:val="single" w:color="000000" w:sz="4" w:space="0"/>
              <w:bottom w:val="single" w:color="000000" w:sz="4" w:space="0"/>
              <w:right w:val="single" w:color="000000" w:sz="4" w:space="0"/>
            </w:tcBorders>
            <w:shd w:val="clear" w:color="000000" w:fill="FFFFFF"/>
          </w:tcPr>
          <w:p w14:paraId="3038E720">
            <w:pPr>
              <w:shd w:val="clear"/>
              <w:autoSpaceDE w:val="0"/>
              <w:autoSpaceDN w:val="0"/>
              <w:adjustRightInd w:val="0"/>
              <w:jc w:val="left"/>
              <w:rPr>
                <w:rFonts w:asciiTheme="minorEastAsia" w:hAnsiTheme="minorEastAsia" w:eastAsiaTheme="minorEastAsia" w:cstheme="minorEastAsia"/>
                <w:color w:val="auto"/>
                <w:kern w:val="0"/>
                <w:sz w:val="24"/>
                <w:highlight w:val="none"/>
                <w:lang w:val="zh-CN"/>
              </w:rPr>
            </w:pPr>
          </w:p>
        </w:tc>
        <w:tc>
          <w:tcPr>
            <w:tcW w:w="2265" w:type="dxa"/>
            <w:tcBorders>
              <w:top w:val="single" w:color="000000" w:sz="4" w:space="0"/>
              <w:left w:val="single" w:color="000000" w:sz="4" w:space="0"/>
              <w:bottom w:val="single" w:color="000000" w:sz="4" w:space="0"/>
              <w:right w:val="single" w:color="000000" w:sz="4" w:space="0"/>
            </w:tcBorders>
            <w:shd w:val="clear" w:color="000000" w:fill="FFFFFF"/>
          </w:tcPr>
          <w:p w14:paraId="48C4ABE6">
            <w:pPr>
              <w:shd w:val="clear"/>
              <w:autoSpaceDE w:val="0"/>
              <w:autoSpaceDN w:val="0"/>
              <w:adjustRightInd w:val="0"/>
              <w:jc w:val="left"/>
              <w:rPr>
                <w:rFonts w:asciiTheme="minorEastAsia" w:hAnsiTheme="minorEastAsia" w:eastAsiaTheme="minorEastAsia" w:cstheme="minorEastAsia"/>
                <w:color w:val="auto"/>
                <w:kern w:val="0"/>
                <w:sz w:val="24"/>
                <w:highlight w:val="none"/>
                <w:lang w:val="zh-CN"/>
              </w:rPr>
            </w:pPr>
          </w:p>
        </w:tc>
        <w:tc>
          <w:tcPr>
            <w:tcW w:w="1395" w:type="dxa"/>
            <w:tcBorders>
              <w:top w:val="single" w:color="000000" w:sz="4" w:space="0"/>
              <w:left w:val="single" w:color="000000" w:sz="4" w:space="0"/>
              <w:bottom w:val="single" w:color="000000" w:sz="4" w:space="0"/>
              <w:right w:val="single" w:color="000000" w:sz="4" w:space="0"/>
            </w:tcBorders>
            <w:shd w:val="clear" w:color="000000" w:fill="FFFFFF"/>
          </w:tcPr>
          <w:p w14:paraId="35DF735F">
            <w:pPr>
              <w:shd w:val="clear"/>
              <w:autoSpaceDE w:val="0"/>
              <w:autoSpaceDN w:val="0"/>
              <w:adjustRightInd w:val="0"/>
              <w:jc w:val="left"/>
              <w:rPr>
                <w:rFonts w:asciiTheme="minorEastAsia" w:hAnsiTheme="minorEastAsia" w:eastAsiaTheme="minorEastAsia" w:cstheme="minorEastAsia"/>
                <w:color w:val="auto"/>
                <w:kern w:val="0"/>
                <w:sz w:val="24"/>
                <w:highlight w:val="none"/>
                <w:lang w:val="zh-CN"/>
              </w:rPr>
            </w:pPr>
          </w:p>
        </w:tc>
        <w:tc>
          <w:tcPr>
            <w:tcW w:w="1230" w:type="dxa"/>
            <w:tcBorders>
              <w:top w:val="single" w:color="000000" w:sz="4" w:space="0"/>
              <w:left w:val="single" w:color="000000" w:sz="4" w:space="0"/>
              <w:bottom w:val="single" w:color="000000" w:sz="4" w:space="0"/>
              <w:right w:val="single" w:color="000000" w:sz="4" w:space="0"/>
            </w:tcBorders>
            <w:shd w:val="clear" w:color="000000" w:fill="FFFFFF"/>
          </w:tcPr>
          <w:p w14:paraId="6CD0BCB8">
            <w:pPr>
              <w:shd w:val="clear"/>
              <w:autoSpaceDE w:val="0"/>
              <w:autoSpaceDN w:val="0"/>
              <w:adjustRightInd w:val="0"/>
              <w:jc w:val="left"/>
              <w:rPr>
                <w:rFonts w:asciiTheme="minorEastAsia" w:hAnsiTheme="minorEastAsia" w:eastAsiaTheme="minorEastAsia" w:cstheme="minorEastAsia"/>
                <w:color w:val="auto"/>
                <w:kern w:val="0"/>
                <w:sz w:val="24"/>
                <w:highlight w:val="none"/>
                <w:lang w:val="zh-CN"/>
              </w:rPr>
            </w:pPr>
          </w:p>
        </w:tc>
        <w:tc>
          <w:tcPr>
            <w:tcW w:w="1380" w:type="dxa"/>
            <w:tcBorders>
              <w:top w:val="single" w:color="000000" w:sz="4" w:space="0"/>
              <w:left w:val="single" w:color="000000" w:sz="4" w:space="0"/>
              <w:bottom w:val="single" w:color="000000" w:sz="4" w:space="0"/>
              <w:right w:val="single" w:color="000000" w:sz="4" w:space="0"/>
            </w:tcBorders>
            <w:shd w:val="clear" w:color="000000" w:fill="FFFFFF"/>
          </w:tcPr>
          <w:p w14:paraId="3D9A6A81">
            <w:pPr>
              <w:shd w:val="clear"/>
              <w:autoSpaceDE w:val="0"/>
              <w:autoSpaceDN w:val="0"/>
              <w:adjustRightInd w:val="0"/>
              <w:jc w:val="left"/>
              <w:rPr>
                <w:rFonts w:asciiTheme="minorEastAsia" w:hAnsiTheme="minorEastAsia" w:eastAsiaTheme="minorEastAsia" w:cstheme="minorEastAsia"/>
                <w:color w:val="auto"/>
                <w:kern w:val="0"/>
                <w:sz w:val="24"/>
                <w:highlight w:val="none"/>
                <w:lang w:val="zh-CN"/>
              </w:rPr>
            </w:pPr>
          </w:p>
        </w:tc>
      </w:tr>
      <w:tr w14:paraId="5F152DF7">
        <w:tblPrEx>
          <w:tblCellMar>
            <w:top w:w="0" w:type="dxa"/>
            <w:left w:w="108" w:type="dxa"/>
            <w:bottom w:w="0" w:type="dxa"/>
            <w:right w:w="108" w:type="dxa"/>
          </w:tblCellMar>
        </w:tblPrEx>
        <w:trPr>
          <w:trHeight w:val="862" w:hRule="atLeast"/>
        </w:trPr>
        <w:tc>
          <w:tcPr>
            <w:tcW w:w="570" w:type="dxa"/>
            <w:tcBorders>
              <w:top w:val="single" w:color="000000" w:sz="4" w:space="0"/>
              <w:left w:val="single" w:color="000000" w:sz="4" w:space="0"/>
              <w:bottom w:val="single" w:color="000000" w:sz="4" w:space="0"/>
              <w:right w:val="single" w:color="000000" w:sz="4" w:space="0"/>
            </w:tcBorders>
            <w:shd w:val="clear" w:color="000000" w:fill="FFFFFF"/>
          </w:tcPr>
          <w:p w14:paraId="3AB32AFA">
            <w:pPr>
              <w:shd w:val="clear"/>
              <w:autoSpaceDE w:val="0"/>
              <w:autoSpaceDN w:val="0"/>
              <w:adjustRightInd w:val="0"/>
              <w:jc w:val="left"/>
              <w:rPr>
                <w:rFonts w:asciiTheme="minorEastAsia" w:hAnsiTheme="minorEastAsia" w:eastAsiaTheme="minorEastAsia" w:cstheme="minorEastAsia"/>
                <w:color w:val="auto"/>
                <w:kern w:val="0"/>
                <w:sz w:val="24"/>
                <w:highlight w:val="none"/>
                <w:lang w:val="zh-CN"/>
              </w:rPr>
            </w:pPr>
          </w:p>
        </w:tc>
        <w:tc>
          <w:tcPr>
            <w:tcW w:w="1613" w:type="dxa"/>
            <w:tcBorders>
              <w:top w:val="single" w:color="000000" w:sz="4" w:space="0"/>
              <w:left w:val="single" w:color="000000" w:sz="4" w:space="0"/>
              <w:bottom w:val="single" w:color="000000" w:sz="4" w:space="0"/>
              <w:right w:val="single" w:color="000000" w:sz="4" w:space="0"/>
            </w:tcBorders>
            <w:shd w:val="clear" w:color="000000" w:fill="FFFFFF"/>
          </w:tcPr>
          <w:p w14:paraId="3CF7089C">
            <w:pPr>
              <w:shd w:val="clear"/>
              <w:autoSpaceDE w:val="0"/>
              <w:autoSpaceDN w:val="0"/>
              <w:adjustRightInd w:val="0"/>
              <w:jc w:val="left"/>
              <w:rPr>
                <w:rFonts w:asciiTheme="minorEastAsia" w:hAnsiTheme="minorEastAsia" w:eastAsiaTheme="minorEastAsia" w:cstheme="minorEastAsia"/>
                <w:color w:val="auto"/>
                <w:kern w:val="0"/>
                <w:sz w:val="24"/>
                <w:highlight w:val="none"/>
                <w:lang w:val="zh-CN"/>
              </w:rPr>
            </w:pPr>
          </w:p>
        </w:tc>
        <w:tc>
          <w:tcPr>
            <w:tcW w:w="2265" w:type="dxa"/>
            <w:tcBorders>
              <w:top w:val="single" w:color="000000" w:sz="4" w:space="0"/>
              <w:left w:val="single" w:color="000000" w:sz="4" w:space="0"/>
              <w:bottom w:val="single" w:color="000000" w:sz="4" w:space="0"/>
              <w:right w:val="single" w:color="000000" w:sz="4" w:space="0"/>
            </w:tcBorders>
            <w:shd w:val="clear" w:color="000000" w:fill="FFFFFF"/>
          </w:tcPr>
          <w:p w14:paraId="11281E48">
            <w:pPr>
              <w:shd w:val="clear"/>
              <w:autoSpaceDE w:val="0"/>
              <w:autoSpaceDN w:val="0"/>
              <w:adjustRightInd w:val="0"/>
              <w:jc w:val="left"/>
              <w:rPr>
                <w:rFonts w:asciiTheme="minorEastAsia" w:hAnsiTheme="minorEastAsia" w:eastAsiaTheme="minorEastAsia" w:cstheme="minorEastAsia"/>
                <w:color w:val="auto"/>
                <w:kern w:val="0"/>
                <w:sz w:val="24"/>
                <w:highlight w:val="none"/>
                <w:lang w:val="zh-CN"/>
              </w:rPr>
            </w:pPr>
          </w:p>
        </w:tc>
        <w:tc>
          <w:tcPr>
            <w:tcW w:w="1395" w:type="dxa"/>
            <w:tcBorders>
              <w:top w:val="single" w:color="000000" w:sz="4" w:space="0"/>
              <w:left w:val="single" w:color="000000" w:sz="4" w:space="0"/>
              <w:bottom w:val="single" w:color="000000" w:sz="4" w:space="0"/>
              <w:right w:val="single" w:color="000000" w:sz="4" w:space="0"/>
            </w:tcBorders>
            <w:shd w:val="clear" w:color="000000" w:fill="FFFFFF"/>
          </w:tcPr>
          <w:p w14:paraId="789D72D9">
            <w:pPr>
              <w:shd w:val="clear"/>
              <w:autoSpaceDE w:val="0"/>
              <w:autoSpaceDN w:val="0"/>
              <w:adjustRightInd w:val="0"/>
              <w:jc w:val="left"/>
              <w:rPr>
                <w:rFonts w:asciiTheme="minorEastAsia" w:hAnsiTheme="minorEastAsia" w:eastAsiaTheme="minorEastAsia" w:cstheme="minorEastAsia"/>
                <w:color w:val="auto"/>
                <w:kern w:val="0"/>
                <w:sz w:val="24"/>
                <w:highlight w:val="none"/>
                <w:lang w:val="zh-CN"/>
              </w:rPr>
            </w:pPr>
          </w:p>
        </w:tc>
        <w:tc>
          <w:tcPr>
            <w:tcW w:w="1230" w:type="dxa"/>
            <w:tcBorders>
              <w:top w:val="single" w:color="000000" w:sz="4" w:space="0"/>
              <w:left w:val="single" w:color="000000" w:sz="4" w:space="0"/>
              <w:bottom w:val="single" w:color="000000" w:sz="4" w:space="0"/>
              <w:right w:val="single" w:color="000000" w:sz="4" w:space="0"/>
            </w:tcBorders>
            <w:shd w:val="clear" w:color="000000" w:fill="FFFFFF"/>
          </w:tcPr>
          <w:p w14:paraId="15C0CDD4">
            <w:pPr>
              <w:shd w:val="clear"/>
              <w:autoSpaceDE w:val="0"/>
              <w:autoSpaceDN w:val="0"/>
              <w:adjustRightInd w:val="0"/>
              <w:jc w:val="left"/>
              <w:rPr>
                <w:rFonts w:asciiTheme="minorEastAsia" w:hAnsiTheme="minorEastAsia" w:eastAsiaTheme="minorEastAsia" w:cstheme="minorEastAsia"/>
                <w:color w:val="auto"/>
                <w:kern w:val="0"/>
                <w:sz w:val="24"/>
                <w:highlight w:val="none"/>
                <w:lang w:val="zh-CN"/>
              </w:rPr>
            </w:pPr>
          </w:p>
        </w:tc>
        <w:tc>
          <w:tcPr>
            <w:tcW w:w="1380" w:type="dxa"/>
            <w:tcBorders>
              <w:top w:val="single" w:color="000000" w:sz="4" w:space="0"/>
              <w:left w:val="single" w:color="000000" w:sz="4" w:space="0"/>
              <w:bottom w:val="single" w:color="000000" w:sz="4" w:space="0"/>
              <w:right w:val="single" w:color="000000" w:sz="4" w:space="0"/>
            </w:tcBorders>
            <w:shd w:val="clear" w:color="000000" w:fill="FFFFFF"/>
          </w:tcPr>
          <w:p w14:paraId="762D8F36">
            <w:pPr>
              <w:shd w:val="clear"/>
              <w:autoSpaceDE w:val="0"/>
              <w:autoSpaceDN w:val="0"/>
              <w:adjustRightInd w:val="0"/>
              <w:jc w:val="left"/>
              <w:rPr>
                <w:rFonts w:asciiTheme="minorEastAsia" w:hAnsiTheme="minorEastAsia" w:eastAsiaTheme="minorEastAsia" w:cstheme="minorEastAsia"/>
                <w:color w:val="auto"/>
                <w:kern w:val="0"/>
                <w:sz w:val="24"/>
                <w:highlight w:val="none"/>
                <w:lang w:val="zh-CN"/>
              </w:rPr>
            </w:pPr>
          </w:p>
        </w:tc>
      </w:tr>
      <w:tr w14:paraId="431B4C44">
        <w:tblPrEx>
          <w:tblCellMar>
            <w:top w:w="0" w:type="dxa"/>
            <w:left w:w="108" w:type="dxa"/>
            <w:bottom w:w="0" w:type="dxa"/>
            <w:right w:w="108" w:type="dxa"/>
          </w:tblCellMar>
        </w:tblPrEx>
        <w:trPr>
          <w:trHeight w:val="862" w:hRule="atLeast"/>
        </w:trPr>
        <w:tc>
          <w:tcPr>
            <w:tcW w:w="570" w:type="dxa"/>
            <w:tcBorders>
              <w:top w:val="single" w:color="000000" w:sz="4" w:space="0"/>
              <w:left w:val="single" w:color="000000" w:sz="4" w:space="0"/>
              <w:bottom w:val="single" w:color="000000" w:sz="4" w:space="0"/>
              <w:right w:val="single" w:color="000000" w:sz="4" w:space="0"/>
            </w:tcBorders>
            <w:shd w:val="clear" w:color="000000" w:fill="FFFFFF"/>
          </w:tcPr>
          <w:p w14:paraId="56FD9B50">
            <w:pPr>
              <w:shd w:val="clear"/>
              <w:autoSpaceDE w:val="0"/>
              <w:autoSpaceDN w:val="0"/>
              <w:adjustRightInd w:val="0"/>
              <w:jc w:val="left"/>
              <w:rPr>
                <w:rFonts w:asciiTheme="minorEastAsia" w:hAnsiTheme="minorEastAsia" w:eastAsiaTheme="minorEastAsia" w:cstheme="minorEastAsia"/>
                <w:color w:val="auto"/>
                <w:kern w:val="0"/>
                <w:sz w:val="24"/>
                <w:highlight w:val="none"/>
                <w:lang w:val="zh-CN"/>
              </w:rPr>
            </w:pPr>
          </w:p>
        </w:tc>
        <w:tc>
          <w:tcPr>
            <w:tcW w:w="1613" w:type="dxa"/>
            <w:tcBorders>
              <w:top w:val="single" w:color="000000" w:sz="4" w:space="0"/>
              <w:left w:val="single" w:color="000000" w:sz="4" w:space="0"/>
              <w:bottom w:val="single" w:color="000000" w:sz="4" w:space="0"/>
              <w:right w:val="single" w:color="000000" w:sz="4" w:space="0"/>
            </w:tcBorders>
            <w:shd w:val="clear" w:color="000000" w:fill="FFFFFF"/>
          </w:tcPr>
          <w:p w14:paraId="245880F0">
            <w:pPr>
              <w:shd w:val="clear"/>
              <w:autoSpaceDE w:val="0"/>
              <w:autoSpaceDN w:val="0"/>
              <w:adjustRightInd w:val="0"/>
              <w:jc w:val="left"/>
              <w:rPr>
                <w:rFonts w:asciiTheme="minorEastAsia" w:hAnsiTheme="minorEastAsia" w:eastAsiaTheme="minorEastAsia" w:cstheme="minorEastAsia"/>
                <w:color w:val="auto"/>
                <w:kern w:val="0"/>
                <w:sz w:val="24"/>
                <w:highlight w:val="none"/>
                <w:lang w:val="zh-CN"/>
              </w:rPr>
            </w:pPr>
          </w:p>
        </w:tc>
        <w:tc>
          <w:tcPr>
            <w:tcW w:w="2265" w:type="dxa"/>
            <w:tcBorders>
              <w:top w:val="single" w:color="000000" w:sz="4" w:space="0"/>
              <w:left w:val="single" w:color="000000" w:sz="4" w:space="0"/>
              <w:bottom w:val="single" w:color="000000" w:sz="4" w:space="0"/>
              <w:right w:val="single" w:color="000000" w:sz="4" w:space="0"/>
            </w:tcBorders>
            <w:shd w:val="clear" w:color="000000" w:fill="FFFFFF"/>
          </w:tcPr>
          <w:p w14:paraId="03B08311">
            <w:pPr>
              <w:shd w:val="clear"/>
              <w:autoSpaceDE w:val="0"/>
              <w:autoSpaceDN w:val="0"/>
              <w:adjustRightInd w:val="0"/>
              <w:jc w:val="left"/>
              <w:rPr>
                <w:rFonts w:asciiTheme="minorEastAsia" w:hAnsiTheme="minorEastAsia" w:eastAsiaTheme="minorEastAsia" w:cstheme="minorEastAsia"/>
                <w:color w:val="auto"/>
                <w:kern w:val="0"/>
                <w:sz w:val="24"/>
                <w:highlight w:val="none"/>
                <w:lang w:val="zh-CN"/>
              </w:rPr>
            </w:pPr>
          </w:p>
        </w:tc>
        <w:tc>
          <w:tcPr>
            <w:tcW w:w="1395" w:type="dxa"/>
            <w:tcBorders>
              <w:top w:val="single" w:color="000000" w:sz="4" w:space="0"/>
              <w:left w:val="single" w:color="000000" w:sz="4" w:space="0"/>
              <w:bottom w:val="single" w:color="000000" w:sz="4" w:space="0"/>
              <w:right w:val="single" w:color="000000" w:sz="4" w:space="0"/>
            </w:tcBorders>
            <w:shd w:val="clear" w:color="000000" w:fill="FFFFFF"/>
          </w:tcPr>
          <w:p w14:paraId="2BF23205">
            <w:pPr>
              <w:shd w:val="clear"/>
              <w:autoSpaceDE w:val="0"/>
              <w:autoSpaceDN w:val="0"/>
              <w:adjustRightInd w:val="0"/>
              <w:jc w:val="left"/>
              <w:rPr>
                <w:rFonts w:asciiTheme="minorEastAsia" w:hAnsiTheme="minorEastAsia" w:eastAsiaTheme="minorEastAsia" w:cstheme="minorEastAsia"/>
                <w:color w:val="auto"/>
                <w:kern w:val="0"/>
                <w:sz w:val="24"/>
                <w:highlight w:val="none"/>
                <w:lang w:val="zh-CN"/>
              </w:rPr>
            </w:pPr>
          </w:p>
        </w:tc>
        <w:tc>
          <w:tcPr>
            <w:tcW w:w="1230" w:type="dxa"/>
            <w:tcBorders>
              <w:top w:val="single" w:color="000000" w:sz="4" w:space="0"/>
              <w:left w:val="single" w:color="000000" w:sz="4" w:space="0"/>
              <w:bottom w:val="single" w:color="000000" w:sz="4" w:space="0"/>
              <w:right w:val="single" w:color="000000" w:sz="4" w:space="0"/>
            </w:tcBorders>
            <w:shd w:val="clear" w:color="000000" w:fill="FFFFFF"/>
          </w:tcPr>
          <w:p w14:paraId="6F923059">
            <w:pPr>
              <w:shd w:val="clear"/>
              <w:autoSpaceDE w:val="0"/>
              <w:autoSpaceDN w:val="0"/>
              <w:adjustRightInd w:val="0"/>
              <w:jc w:val="left"/>
              <w:rPr>
                <w:rFonts w:asciiTheme="minorEastAsia" w:hAnsiTheme="minorEastAsia" w:eastAsiaTheme="minorEastAsia" w:cstheme="minorEastAsia"/>
                <w:color w:val="auto"/>
                <w:kern w:val="0"/>
                <w:sz w:val="24"/>
                <w:highlight w:val="none"/>
                <w:lang w:val="zh-CN"/>
              </w:rPr>
            </w:pPr>
          </w:p>
        </w:tc>
        <w:tc>
          <w:tcPr>
            <w:tcW w:w="1380" w:type="dxa"/>
            <w:tcBorders>
              <w:top w:val="single" w:color="000000" w:sz="4" w:space="0"/>
              <w:left w:val="single" w:color="000000" w:sz="4" w:space="0"/>
              <w:bottom w:val="single" w:color="000000" w:sz="4" w:space="0"/>
              <w:right w:val="single" w:color="000000" w:sz="4" w:space="0"/>
            </w:tcBorders>
            <w:shd w:val="clear" w:color="000000" w:fill="FFFFFF"/>
          </w:tcPr>
          <w:p w14:paraId="0FDE4466">
            <w:pPr>
              <w:shd w:val="clear"/>
              <w:autoSpaceDE w:val="0"/>
              <w:autoSpaceDN w:val="0"/>
              <w:adjustRightInd w:val="0"/>
              <w:jc w:val="left"/>
              <w:rPr>
                <w:rFonts w:asciiTheme="minorEastAsia" w:hAnsiTheme="minorEastAsia" w:eastAsiaTheme="minorEastAsia" w:cstheme="minorEastAsia"/>
                <w:color w:val="auto"/>
                <w:kern w:val="0"/>
                <w:sz w:val="24"/>
                <w:highlight w:val="none"/>
                <w:lang w:val="zh-CN"/>
              </w:rPr>
            </w:pPr>
          </w:p>
        </w:tc>
      </w:tr>
    </w:tbl>
    <w:p w14:paraId="4E4BDC50">
      <w:pPr>
        <w:pStyle w:val="100"/>
        <w:shd w:val="clear" w:color="auto"/>
        <w:snapToGrid w:val="0"/>
        <w:spacing w:line="500" w:lineRule="exact"/>
        <w:ind w:firstLine="480" w:firstLineChars="200"/>
        <w:rPr>
          <w:rFonts w:asciiTheme="minorEastAsia" w:hAnsiTheme="minorEastAsia" w:eastAsiaTheme="minorEastAsia" w:cstheme="minorEastAsia"/>
          <w:color w:val="auto"/>
          <w:sz w:val="24"/>
          <w:highlight w:val="none"/>
        </w:rPr>
      </w:pPr>
    </w:p>
    <w:p w14:paraId="727F0F59">
      <w:pPr>
        <w:pStyle w:val="100"/>
        <w:shd w:val="clear" w:color="auto"/>
        <w:snapToGrid w:val="0"/>
        <w:spacing w:line="500" w:lineRule="exact"/>
        <w:ind w:firstLine="480" w:firstLineChars="200"/>
        <w:rPr>
          <w:rFonts w:asciiTheme="minorEastAsia" w:hAnsiTheme="minorEastAsia" w:eastAsiaTheme="minorEastAsia" w:cstheme="minorEastAsia"/>
          <w:color w:val="auto"/>
          <w:sz w:val="24"/>
          <w:highlight w:val="none"/>
        </w:rPr>
      </w:pPr>
    </w:p>
    <w:p w14:paraId="4AB67ABF">
      <w:pPr>
        <w:pStyle w:val="100"/>
        <w:shd w:val="clear" w:color="auto"/>
        <w:snapToGrid w:val="0"/>
        <w:spacing w:line="50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供应商（盖公章）：</w:t>
      </w:r>
    </w:p>
    <w:p w14:paraId="662C9E00">
      <w:pPr>
        <w:shd w:val="clear" w:color="auto"/>
        <w:spacing w:line="50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法定代表人（签字或盖章）：</w:t>
      </w:r>
    </w:p>
    <w:p w14:paraId="1C2D9CD7">
      <w:pPr>
        <w:shd w:val="clear" w:color="auto"/>
        <w:spacing w:line="50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日期：  年  月  日</w:t>
      </w:r>
    </w:p>
    <w:p w14:paraId="4B913A75">
      <w:pPr>
        <w:widowControl/>
        <w:shd w:val="clear"/>
        <w:spacing w:line="360" w:lineRule="auto"/>
        <w:jc w:val="left"/>
        <w:outlineLvl w:val="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Cs/>
          <w:color w:val="auto"/>
          <w:sz w:val="24"/>
          <w:highlight w:val="none"/>
        </w:rPr>
        <w:br w:type="page"/>
      </w:r>
      <w:bookmarkStart w:id="169" w:name="_Toc23479"/>
      <w:bookmarkStart w:id="170" w:name="_Toc19"/>
      <w:r>
        <w:rPr>
          <w:rFonts w:hint="eastAsia" w:asciiTheme="minorEastAsia" w:hAnsiTheme="minorEastAsia" w:eastAsiaTheme="minorEastAsia" w:cstheme="minorEastAsia"/>
          <w:b/>
          <w:bCs/>
          <w:color w:val="auto"/>
          <w:sz w:val="24"/>
          <w:highlight w:val="none"/>
        </w:rPr>
        <w:t>附件</w:t>
      </w:r>
      <w:bookmarkEnd w:id="169"/>
      <w:bookmarkEnd w:id="170"/>
      <w:r>
        <w:rPr>
          <w:rFonts w:hint="eastAsia" w:asciiTheme="minorEastAsia" w:hAnsiTheme="minorEastAsia" w:eastAsiaTheme="minorEastAsia" w:cstheme="minorEastAsia"/>
          <w:b/>
          <w:bCs/>
          <w:color w:val="auto"/>
          <w:sz w:val="24"/>
          <w:highlight w:val="none"/>
        </w:rPr>
        <w:t>1</w:t>
      </w:r>
      <w:r>
        <w:rPr>
          <w:rFonts w:hint="eastAsia" w:asciiTheme="minorEastAsia" w:hAnsiTheme="minorEastAsia" w:eastAsiaTheme="minorEastAsia" w:cstheme="minorEastAsia"/>
          <w:b/>
          <w:bCs/>
          <w:color w:val="auto"/>
          <w:sz w:val="24"/>
          <w:highlight w:val="none"/>
          <w:lang w:val="en-US" w:eastAsia="zh-CN"/>
        </w:rPr>
        <w:t>2</w:t>
      </w:r>
    </w:p>
    <w:p w14:paraId="5A388260">
      <w:pPr>
        <w:pStyle w:val="3"/>
        <w:shd w:val="clear"/>
        <w:jc w:val="center"/>
        <w:rPr>
          <w:rFonts w:asciiTheme="minorEastAsia" w:hAnsiTheme="minorEastAsia" w:eastAsiaTheme="minorEastAsia" w:cstheme="minorEastAsia"/>
          <w:color w:val="auto"/>
          <w:sz w:val="24"/>
          <w:szCs w:val="24"/>
          <w:highlight w:val="none"/>
        </w:rPr>
      </w:pPr>
      <w:bookmarkStart w:id="171" w:name="_Toc13047"/>
      <w:r>
        <w:rPr>
          <w:rFonts w:hint="eastAsia" w:asciiTheme="minorEastAsia" w:hAnsiTheme="minorEastAsia" w:eastAsiaTheme="minorEastAsia" w:cstheme="minorEastAsia"/>
          <w:color w:val="auto"/>
          <w:sz w:val="24"/>
          <w:szCs w:val="24"/>
          <w:highlight w:val="none"/>
        </w:rPr>
        <w:t>中小微企业声明函</w:t>
      </w:r>
      <w:bookmarkEnd w:id="171"/>
    </w:p>
    <w:p w14:paraId="71F10DBD">
      <w:pPr>
        <w:widowControl/>
        <w:shd w:val="clear"/>
        <w:spacing w:line="360" w:lineRule="auto"/>
        <w:ind w:firstLine="480" w:firstLineChars="200"/>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中小企业声明函（</w:t>
      </w:r>
      <w:r>
        <w:rPr>
          <w:rFonts w:hint="eastAsia" w:asciiTheme="minorEastAsia" w:hAnsiTheme="minorEastAsia" w:eastAsiaTheme="minorEastAsia" w:cstheme="minorEastAsia"/>
          <w:color w:val="auto"/>
          <w:kern w:val="0"/>
          <w:sz w:val="24"/>
          <w:szCs w:val="24"/>
          <w:highlight w:val="none"/>
          <w:lang w:val="en-US" w:eastAsia="zh-CN"/>
        </w:rPr>
        <w:t>服务</w:t>
      </w:r>
      <w:r>
        <w:rPr>
          <w:rFonts w:hint="eastAsia" w:asciiTheme="minorEastAsia" w:hAnsiTheme="minorEastAsia" w:eastAsiaTheme="minorEastAsia" w:cstheme="minorEastAsia"/>
          <w:color w:val="auto"/>
          <w:kern w:val="0"/>
          <w:sz w:val="24"/>
          <w:szCs w:val="24"/>
          <w:highlight w:val="none"/>
        </w:rPr>
        <w:t>）</w:t>
      </w:r>
    </w:p>
    <w:p w14:paraId="70191B2E">
      <w:pPr>
        <w:widowControl/>
        <w:shd w:val="clear"/>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74B65AD9">
      <w:pPr>
        <w:widowControl/>
        <w:shd w:val="clear"/>
        <w:spacing w:line="360" w:lineRule="auto"/>
        <w:ind w:firstLine="480" w:firstLineChars="200"/>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w:t>
      </w:r>
      <w:r>
        <w:rPr>
          <w:rFonts w:hint="eastAsia" w:asciiTheme="minorEastAsia" w:hAnsiTheme="minorEastAsia" w:eastAsiaTheme="minorEastAsia" w:cstheme="minorEastAsia"/>
          <w:color w:val="auto"/>
          <w:kern w:val="0"/>
          <w:sz w:val="24"/>
          <w:szCs w:val="24"/>
          <w:highlight w:val="none"/>
          <w:u w:val="single"/>
        </w:rPr>
        <w:t>（标的名称）</w:t>
      </w:r>
      <w:r>
        <w:rPr>
          <w:rFonts w:hint="eastAsia" w:asciiTheme="minorEastAsia" w:hAnsiTheme="minorEastAsia" w:eastAsiaTheme="minorEastAsia" w:cstheme="minorEastAsia"/>
          <w:color w:val="auto"/>
          <w:kern w:val="0"/>
          <w:sz w:val="24"/>
          <w:szCs w:val="24"/>
          <w:highlight w:val="none"/>
        </w:rPr>
        <w:t>，属于</w:t>
      </w:r>
      <w:r>
        <w:rPr>
          <w:rFonts w:hint="eastAsia" w:asciiTheme="minorEastAsia" w:hAnsiTheme="minorEastAsia" w:eastAsiaTheme="minorEastAsia" w:cstheme="minorEastAsia"/>
          <w:color w:val="auto"/>
          <w:kern w:val="0"/>
          <w:sz w:val="24"/>
          <w:szCs w:val="24"/>
          <w:highlight w:val="none"/>
          <w:u w:val="single"/>
        </w:rPr>
        <w:t xml:space="preserve"> 软件和信息技术服务业 </w:t>
      </w:r>
      <w:r>
        <w:rPr>
          <w:rFonts w:hint="eastAsia" w:asciiTheme="minorEastAsia" w:hAnsiTheme="minorEastAsia" w:eastAsiaTheme="minorEastAsia" w:cstheme="minorEastAsia"/>
          <w:color w:val="auto"/>
          <w:kern w:val="0"/>
          <w:sz w:val="24"/>
          <w:szCs w:val="24"/>
          <w:highlight w:val="none"/>
        </w:rPr>
        <w:t>；承建（承接）企业为</w:t>
      </w:r>
      <w:r>
        <w:rPr>
          <w:rFonts w:hint="eastAsia" w:asciiTheme="minorEastAsia" w:hAnsiTheme="minorEastAsia" w:eastAsiaTheme="minorEastAsia" w:cstheme="minorEastAsia"/>
          <w:color w:val="auto"/>
          <w:kern w:val="0"/>
          <w:sz w:val="24"/>
          <w:szCs w:val="24"/>
          <w:highlight w:val="none"/>
          <w:u w:val="single"/>
        </w:rPr>
        <w:t>（企业名称）</w:t>
      </w:r>
      <w:r>
        <w:rPr>
          <w:rFonts w:hint="eastAsia" w:asciiTheme="minorEastAsia" w:hAnsiTheme="minorEastAsia" w:eastAsiaTheme="minorEastAsia" w:cstheme="minorEastAsia"/>
          <w:color w:val="auto"/>
          <w:kern w:val="0"/>
          <w:sz w:val="24"/>
          <w:szCs w:val="24"/>
          <w:highlight w:val="none"/>
        </w:rPr>
        <w:t>，从业人员</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rPr>
        <w:t>人，营业收入为</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rPr>
        <w:t>万元，资产总额为</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rPr>
        <w:t>万元，属于</w:t>
      </w:r>
      <w:r>
        <w:rPr>
          <w:rFonts w:hint="eastAsia" w:asciiTheme="minorEastAsia" w:hAnsiTheme="minorEastAsia" w:eastAsiaTheme="minorEastAsia" w:cstheme="minorEastAsia"/>
          <w:color w:val="auto"/>
          <w:kern w:val="0"/>
          <w:sz w:val="24"/>
          <w:szCs w:val="24"/>
          <w:highlight w:val="none"/>
          <w:u w:val="single"/>
        </w:rPr>
        <w:t>（中型企业、小型企业、微型企业）</w:t>
      </w:r>
      <w:r>
        <w:rPr>
          <w:rFonts w:hint="eastAsia" w:asciiTheme="minorEastAsia" w:hAnsiTheme="minorEastAsia" w:eastAsiaTheme="minorEastAsia" w:cstheme="minorEastAsia"/>
          <w:color w:val="auto"/>
          <w:kern w:val="0"/>
          <w:sz w:val="24"/>
          <w:szCs w:val="24"/>
          <w:highlight w:val="none"/>
        </w:rPr>
        <w:t>；</w:t>
      </w:r>
    </w:p>
    <w:p w14:paraId="45EAB567">
      <w:pPr>
        <w:widowControl/>
        <w:shd w:val="clear"/>
        <w:spacing w:line="360" w:lineRule="auto"/>
        <w:ind w:firstLine="480" w:firstLineChars="200"/>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w:t>
      </w:r>
      <w:r>
        <w:rPr>
          <w:rFonts w:hint="eastAsia" w:asciiTheme="minorEastAsia" w:hAnsiTheme="minorEastAsia" w:eastAsiaTheme="minorEastAsia" w:cstheme="minorEastAsia"/>
          <w:color w:val="auto"/>
          <w:kern w:val="0"/>
          <w:sz w:val="24"/>
          <w:szCs w:val="24"/>
          <w:highlight w:val="none"/>
          <w:u w:val="single"/>
        </w:rPr>
        <w:t>（标的名称）</w:t>
      </w:r>
      <w:r>
        <w:rPr>
          <w:rFonts w:hint="eastAsia" w:asciiTheme="minorEastAsia" w:hAnsiTheme="minorEastAsia" w:eastAsiaTheme="minorEastAsia" w:cstheme="minorEastAsia"/>
          <w:color w:val="auto"/>
          <w:kern w:val="0"/>
          <w:sz w:val="24"/>
          <w:szCs w:val="24"/>
          <w:highlight w:val="none"/>
        </w:rPr>
        <w:t>，属于</w:t>
      </w:r>
      <w:r>
        <w:rPr>
          <w:rFonts w:hint="eastAsia" w:asciiTheme="minorEastAsia" w:hAnsiTheme="minorEastAsia" w:eastAsiaTheme="minorEastAsia" w:cstheme="minorEastAsia"/>
          <w:color w:val="auto"/>
          <w:kern w:val="0"/>
          <w:sz w:val="24"/>
          <w:szCs w:val="24"/>
          <w:highlight w:val="none"/>
          <w:u w:val="single"/>
        </w:rPr>
        <w:t xml:space="preserve"> 软件和信息技术服务业 </w:t>
      </w:r>
      <w:r>
        <w:rPr>
          <w:rFonts w:hint="eastAsia" w:asciiTheme="minorEastAsia" w:hAnsiTheme="minorEastAsia" w:eastAsiaTheme="minorEastAsia" w:cstheme="minorEastAsia"/>
          <w:color w:val="auto"/>
          <w:kern w:val="0"/>
          <w:sz w:val="24"/>
          <w:szCs w:val="24"/>
          <w:highlight w:val="none"/>
        </w:rPr>
        <w:t>；承建（承接）企业为</w:t>
      </w:r>
      <w:r>
        <w:rPr>
          <w:rFonts w:hint="eastAsia" w:asciiTheme="minorEastAsia" w:hAnsiTheme="minorEastAsia" w:eastAsiaTheme="minorEastAsia" w:cstheme="minorEastAsia"/>
          <w:color w:val="auto"/>
          <w:kern w:val="0"/>
          <w:sz w:val="24"/>
          <w:szCs w:val="24"/>
          <w:highlight w:val="none"/>
          <w:u w:val="single"/>
        </w:rPr>
        <w:t>（企业名称）</w:t>
      </w:r>
      <w:r>
        <w:rPr>
          <w:rFonts w:hint="eastAsia" w:asciiTheme="minorEastAsia" w:hAnsiTheme="minorEastAsia" w:eastAsiaTheme="minorEastAsia" w:cstheme="minorEastAsia"/>
          <w:color w:val="auto"/>
          <w:kern w:val="0"/>
          <w:sz w:val="24"/>
          <w:szCs w:val="24"/>
          <w:highlight w:val="none"/>
        </w:rPr>
        <w:t>，从业人员</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rPr>
        <w:t>人，营业收入为</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rPr>
        <w:t>万元，资产总额为</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rPr>
        <w:t>万元，属于</w:t>
      </w:r>
      <w:r>
        <w:rPr>
          <w:rFonts w:hint="eastAsia" w:asciiTheme="minorEastAsia" w:hAnsiTheme="minorEastAsia" w:eastAsiaTheme="minorEastAsia" w:cstheme="minorEastAsia"/>
          <w:color w:val="auto"/>
          <w:kern w:val="0"/>
          <w:sz w:val="24"/>
          <w:szCs w:val="24"/>
          <w:highlight w:val="none"/>
          <w:u w:val="single"/>
        </w:rPr>
        <w:t>（中型企业、小型企业、微型企业）</w:t>
      </w:r>
      <w:r>
        <w:rPr>
          <w:rFonts w:hint="eastAsia" w:asciiTheme="minorEastAsia" w:hAnsiTheme="minorEastAsia" w:eastAsiaTheme="minorEastAsia" w:cstheme="minorEastAsia"/>
          <w:color w:val="auto"/>
          <w:kern w:val="0"/>
          <w:sz w:val="24"/>
          <w:szCs w:val="24"/>
          <w:highlight w:val="none"/>
        </w:rPr>
        <w:t>；</w:t>
      </w:r>
    </w:p>
    <w:p w14:paraId="7726B24C">
      <w:pPr>
        <w:widowControl/>
        <w:shd w:val="clear"/>
        <w:spacing w:line="360" w:lineRule="auto"/>
        <w:ind w:firstLine="480" w:firstLineChars="200"/>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w:t>
      </w:r>
    </w:p>
    <w:p w14:paraId="3B1A987D">
      <w:pPr>
        <w:widowControl/>
        <w:shd w:val="clear"/>
        <w:spacing w:line="360" w:lineRule="auto"/>
        <w:ind w:firstLine="480" w:firstLineChars="200"/>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以上企业，不属于大企业的分支机构，不存在控股股东为大企业的情形，也不存在与大企业的负责人为同一人的情形。</w:t>
      </w:r>
    </w:p>
    <w:p w14:paraId="1BE36BCC">
      <w:pPr>
        <w:widowControl/>
        <w:shd w:val="clear"/>
        <w:spacing w:line="360" w:lineRule="auto"/>
        <w:ind w:firstLine="480" w:firstLineChars="200"/>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本企业对上述声明内容的真实性负责。如有虚假，将依法承担相应责任。</w:t>
      </w:r>
    </w:p>
    <w:p w14:paraId="621AC6CD">
      <w:pPr>
        <w:widowControl/>
        <w:shd w:val="clear"/>
        <w:wordWrap w:val="0"/>
        <w:spacing w:line="360" w:lineRule="auto"/>
        <w:ind w:firstLine="480" w:firstLineChars="200"/>
        <w:jc w:val="right"/>
        <w:rPr>
          <w:rFonts w:asciiTheme="minorEastAsia" w:hAnsiTheme="minorEastAsia" w:eastAsiaTheme="minorEastAsia" w:cstheme="minorEastAsia"/>
          <w:color w:val="auto"/>
          <w:kern w:val="0"/>
          <w:sz w:val="24"/>
          <w:szCs w:val="24"/>
          <w:highlight w:val="none"/>
        </w:rPr>
      </w:pPr>
    </w:p>
    <w:p w14:paraId="0549C750">
      <w:pPr>
        <w:widowControl/>
        <w:shd w:val="clear"/>
        <w:wordWrap w:val="0"/>
        <w:spacing w:line="360" w:lineRule="auto"/>
        <w:ind w:firstLine="480" w:firstLineChars="200"/>
        <w:jc w:val="righ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供应商（盖章）：        </w:t>
      </w:r>
    </w:p>
    <w:p w14:paraId="608A5C36">
      <w:pPr>
        <w:widowControl/>
        <w:shd w:val="clear"/>
        <w:wordWrap w:val="0"/>
        <w:spacing w:line="360" w:lineRule="auto"/>
        <w:ind w:right="480" w:firstLine="480" w:firstLineChars="200"/>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日 期：         </w:t>
      </w:r>
    </w:p>
    <w:p w14:paraId="288ADC9B">
      <w:pPr>
        <w:shd w:val="clear"/>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br w:type="page"/>
      </w:r>
    </w:p>
    <w:p w14:paraId="4BDC8D9F">
      <w:pPr>
        <w:widowControl/>
        <w:shd w:val="clear"/>
        <w:jc w:val="left"/>
        <w:outlineLvl w:val="0"/>
        <w:rPr>
          <w:rFonts w:hint="eastAsia" w:asciiTheme="minorEastAsia" w:hAnsiTheme="minorEastAsia" w:eastAsiaTheme="minorEastAsia" w:cstheme="minorEastAsia"/>
          <w:b/>
          <w:bCs/>
          <w:color w:val="auto"/>
          <w:sz w:val="24"/>
          <w:szCs w:val="24"/>
          <w:highlight w:val="none"/>
          <w:lang w:eastAsia="zh-CN"/>
        </w:rPr>
      </w:pPr>
      <w:bookmarkStart w:id="172" w:name="_Toc19534"/>
      <w:bookmarkStart w:id="173" w:name="_Toc1114"/>
      <w:r>
        <w:rPr>
          <w:rFonts w:hint="eastAsia" w:asciiTheme="minorEastAsia" w:hAnsiTheme="minorEastAsia" w:eastAsiaTheme="minorEastAsia" w:cstheme="minorEastAsia"/>
          <w:b/>
          <w:bCs/>
          <w:color w:val="auto"/>
          <w:sz w:val="24"/>
          <w:szCs w:val="24"/>
          <w:highlight w:val="none"/>
        </w:rPr>
        <w:t>附件</w:t>
      </w:r>
      <w:bookmarkEnd w:id="172"/>
      <w:bookmarkEnd w:id="173"/>
      <w:r>
        <w:rPr>
          <w:rFonts w:hint="eastAsia" w:asciiTheme="minorEastAsia" w:hAnsiTheme="minorEastAsia" w:eastAsiaTheme="minorEastAsia" w:cstheme="minorEastAsia"/>
          <w:b/>
          <w:bCs/>
          <w:color w:val="auto"/>
          <w:sz w:val="24"/>
          <w:szCs w:val="24"/>
          <w:highlight w:val="none"/>
        </w:rPr>
        <w:t>1</w:t>
      </w:r>
      <w:r>
        <w:rPr>
          <w:rFonts w:hint="eastAsia" w:asciiTheme="minorEastAsia" w:hAnsiTheme="minorEastAsia" w:eastAsiaTheme="minorEastAsia" w:cstheme="minorEastAsia"/>
          <w:b/>
          <w:bCs/>
          <w:color w:val="auto"/>
          <w:sz w:val="24"/>
          <w:szCs w:val="24"/>
          <w:highlight w:val="none"/>
          <w:lang w:val="en-US" w:eastAsia="zh-CN"/>
        </w:rPr>
        <w:t>3</w:t>
      </w:r>
    </w:p>
    <w:p w14:paraId="17453C87">
      <w:pPr>
        <w:shd w:val="clear" w:color="auto"/>
        <w:tabs>
          <w:tab w:val="left" w:pos="996"/>
        </w:tabs>
        <w:spacing w:line="500" w:lineRule="exact"/>
        <w:jc w:val="center"/>
        <w:rPr>
          <w:rFonts w:asciiTheme="minorEastAsia" w:hAnsiTheme="minorEastAsia" w:eastAsiaTheme="minorEastAsia" w:cstheme="minorEastAsia"/>
          <w:b/>
          <w:color w:val="auto"/>
          <w:sz w:val="24"/>
          <w:szCs w:val="24"/>
          <w:highlight w:val="none"/>
        </w:rPr>
      </w:pPr>
      <w:bookmarkStart w:id="174" w:name="_Hlk7871373"/>
      <w:r>
        <w:rPr>
          <w:rFonts w:hint="eastAsia" w:asciiTheme="minorEastAsia" w:hAnsiTheme="minorEastAsia" w:eastAsiaTheme="minorEastAsia" w:cstheme="minorEastAsia"/>
          <w:b/>
          <w:color w:val="auto"/>
          <w:sz w:val="24"/>
          <w:szCs w:val="24"/>
          <w:highlight w:val="none"/>
        </w:rPr>
        <w:t>评审中所需资料</w:t>
      </w:r>
    </w:p>
    <w:bookmarkEnd w:id="174"/>
    <w:p w14:paraId="0B633485">
      <w:pPr>
        <w:shd w:val="clear" w:color="auto"/>
        <w:tabs>
          <w:tab w:val="left" w:pos="996"/>
        </w:tabs>
        <w:spacing w:line="480" w:lineRule="auto"/>
        <w:jc w:val="center"/>
        <w:rPr>
          <w:rFonts w:asciiTheme="minorEastAsia" w:hAnsiTheme="minorEastAsia" w:eastAsiaTheme="minorEastAsia" w:cstheme="minorEastAsia"/>
          <w:b/>
          <w:bCs/>
          <w:color w:val="auto"/>
          <w:sz w:val="24"/>
          <w:szCs w:val="24"/>
          <w:highlight w:val="none"/>
        </w:rPr>
      </w:pPr>
    </w:p>
    <w:p w14:paraId="68BF0D73">
      <w:pPr>
        <w:shd w:val="clear" w:color="auto"/>
        <w:tabs>
          <w:tab w:val="left" w:pos="996"/>
        </w:tabs>
        <w:spacing w:line="480" w:lineRule="auto"/>
        <w:jc w:val="center"/>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由供应商自行编写，无具体格式。</w:t>
      </w:r>
    </w:p>
    <w:p w14:paraId="30D28190">
      <w:pPr>
        <w:shd w:val="clear" w:color="auto"/>
        <w:tabs>
          <w:tab w:val="left" w:pos="996"/>
        </w:tabs>
        <w:spacing w:line="500" w:lineRule="exact"/>
        <w:jc w:val="left"/>
        <w:outlineLvl w:val="0"/>
        <w:rPr>
          <w:rFonts w:hint="default"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br w:type="page"/>
      </w:r>
      <w:bookmarkStart w:id="175" w:name="_Toc1107"/>
      <w:bookmarkStart w:id="176" w:name="_Toc3583"/>
      <w:r>
        <w:rPr>
          <w:rFonts w:hint="eastAsia" w:asciiTheme="minorEastAsia" w:hAnsiTheme="minorEastAsia" w:eastAsiaTheme="minorEastAsia" w:cstheme="minorEastAsia"/>
          <w:b/>
          <w:bCs/>
          <w:color w:val="auto"/>
          <w:sz w:val="24"/>
          <w:szCs w:val="24"/>
          <w:highlight w:val="none"/>
        </w:rPr>
        <w:t>附件</w:t>
      </w:r>
      <w:bookmarkEnd w:id="175"/>
      <w:bookmarkEnd w:id="176"/>
      <w:r>
        <w:rPr>
          <w:rFonts w:hint="eastAsia" w:asciiTheme="minorEastAsia" w:hAnsiTheme="minorEastAsia" w:eastAsiaTheme="minorEastAsia" w:cstheme="minorEastAsia"/>
          <w:b/>
          <w:bCs/>
          <w:color w:val="auto"/>
          <w:sz w:val="24"/>
          <w:szCs w:val="24"/>
          <w:highlight w:val="none"/>
          <w:lang w:val="en-US" w:eastAsia="zh-CN"/>
        </w:rPr>
        <w:t>14</w:t>
      </w:r>
    </w:p>
    <w:p w14:paraId="265D8B76">
      <w:pPr>
        <w:widowControl/>
        <w:shd w:val="clear"/>
        <w:spacing w:line="360" w:lineRule="auto"/>
        <w:ind w:left="720"/>
        <w:jc w:val="center"/>
        <w:outlineLvl w:val="0"/>
        <w:rPr>
          <w:rFonts w:asciiTheme="minorEastAsia" w:hAnsiTheme="minorEastAsia" w:eastAsiaTheme="minorEastAsia" w:cstheme="minorEastAsia"/>
          <w:color w:val="auto"/>
          <w:highlight w:val="none"/>
        </w:rPr>
      </w:pPr>
      <w:bookmarkStart w:id="177" w:name="_Toc14687"/>
      <w:bookmarkStart w:id="178" w:name="_Toc32680"/>
      <w:r>
        <w:rPr>
          <w:rFonts w:hint="eastAsia" w:asciiTheme="minorEastAsia" w:hAnsiTheme="minorEastAsia" w:eastAsiaTheme="minorEastAsia" w:cstheme="minorEastAsia"/>
          <w:b/>
          <w:color w:val="auto"/>
          <w:sz w:val="24"/>
          <w:szCs w:val="24"/>
          <w:highlight w:val="none"/>
        </w:rPr>
        <w:t>供应商认为有必要提供的其他资料</w:t>
      </w:r>
      <w:bookmarkEnd w:id="177"/>
      <w:bookmarkEnd w:id="178"/>
    </w:p>
    <w:p w14:paraId="785411E5">
      <w:pPr>
        <w:widowControl/>
        <w:shd w:val="clear"/>
        <w:spacing w:line="360" w:lineRule="auto"/>
        <w:ind w:left="720"/>
        <w:jc w:val="center"/>
        <w:outlineLvl w:val="0"/>
        <w:rPr>
          <w:rFonts w:asciiTheme="minorEastAsia" w:hAnsiTheme="minorEastAsia" w:eastAsiaTheme="minorEastAsia" w:cstheme="minorEastAsia"/>
          <w:color w:val="auto"/>
          <w:highlight w:val="none"/>
        </w:rPr>
      </w:pPr>
    </w:p>
    <w:sectPr>
      <w:footerReference r:id="rId10" w:type="default"/>
      <w:pgSz w:w="11911" w:h="16838"/>
      <w:pgMar w:top="1440" w:right="1633" w:bottom="1440" w:left="1633" w:header="0" w:footer="879"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楷体">
    <w:altName w:val="宋体"/>
    <w:panose1 w:val="02010600040101010101"/>
    <w:charset w:val="86"/>
    <w:family w:val="auto"/>
    <w:pitch w:val="default"/>
    <w:sig w:usb0="00000000" w:usb1="00000000" w:usb2="00000000" w:usb3="00000000" w:csb0="0004009F" w:csb1="DFD70000"/>
  </w:font>
  <w:font w:name="Arial Unicode MS">
    <w:altName w:val="Arial"/>
    <w:panose1 w:val="020B0604020202020204"/>
    <w:charset w:val="80"/>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MicrosoftYaHei">
    <w:altName w:val="宋体"/>
    <w:panose1 w:val="00000000000000000000"/>
    <w:charset w:val="7A"/>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汉仪书宋二S">
    <w:altName w:val="宋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2E304">
    <w:pPr>
      <w:autoSpaceDE w:val="0"/>
      <w:autoSpaceDN w:val="0"/>
      <w:spacing w:line="14" w:lineRule="auto"/>
      <w:jc w:val="left"/>
      <w:rPr>
        <w:rFonts w:ascii="宋体" w:hAnsi="宋体" w:cs="宋体"/>
        <w:sz w:val="20"/>
        <w:szCs w:val="24"/>
        <w:lang w:val="zh-CN" w:bidi="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40883">
    <w:pPr>
      <w:pStyle w:val="20"/>
      <w:jc w:val="center"/>
    </w:pPr>
  </w:p>
  <w:p w14:paraId="5AD06BFD">
    <w:pPr>
      <w:pStyle w:val="20"/>
      <w:ind w:right="360"/>
      <w:rPr>
        <w:rFonts w:ascii="宋体"/>
        <w:kern w:val="0"/>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429A0">
    <w:pPr>
      <w:pStyle w:val="2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6B0B235">
                          <w:pPr>
                            <w:pStyle w:val="20"/>
                            <w:jc w:val="center"/>
                          </w:pPr>
                          <w:r>
                            <w:fldChar w:fldCharType="begin"/>
                          </w:r>
                          <w:r>
                            <w:instrText xml:space="preserve"> PAGE   \* MERGEFORMAT </w:instrText>
                          </w:r>
                          <w:r>
                            <w:fldChar w:fldCharType="separate"/>
                          </w:r>
                          <w:r>
                            <w:rPr>
                              <w:lang w:val="zh-CN"/>
                            </w:rPr>
                            <w:t>-</w:t>
                          </w:r>
                          <w:r>
                            <w:t xml:space="preserve"> 29 -</w:t>
                          </w:r>
                          <w:r>
                            <w:fldChar w:fldCharType="end"/>
                          </w:r>
                        </w:p>
                      </w:txbxContent>
                    </wps:txbx>
                    <wps:bodyPr wrap="none" lIns="0" tIns="0" rIns="0" bIns="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AUP3SJywEAAJcDAAAOAAAAAAAAAAEAIAAAACIBAABkcnMv&#10;ZTJvRG9jLnhtbFBLBQYAAAAABgAGAFkBAABfBQAAAAA=&#10;">
              <v:fill on="f" focussize="0,0"/>
              <v:stroke on="f" weight="1.25pt"/>
              <v:imagedata o:title=""/>
              <o:lock v:ext="edit" aspectratio="f"/>
              <v:textbox inset="0mm,0mm,0mm,0mm" style="mso-fit-shape-to-text:t;">
                <w:txbxContent>
                  <w:p w14:paraId="36B0B235">
                    <w:pPr>
                      <w:pStyle w:val="20"/>
                      <w:jc w:val="center"/>
                    </w:pPr>
                    <w:r>
                      <w:fldChar w:fldCharType="begin"/>
                    </w:r>
                    <w:r>
                      <w:instrText xml:space="preserve"> PAGE   \* MERGEFORMAT </w:instrText>
                    </w:r>
                    <w:r>
                      <w:fldChar w:fldCharType="separate"/>
                    </w:r>
                    <w:r>
                      <w:rPr>
                        <w:lang w:val="zh-CN"/>
                      </w:rPr>
                      <w:t>-</w:t>
                    </w:r>
                    <w:r>
                      <w:t xml:space="preserve"> 29 -</w:t>
                    </w:r>
                    <w:r>
                      <w:fldChar w:fldCharType="end"/>
                    </w:r>
                  </w:p>
                </w:txbxContent>
              </v:textbox>
            </v:shape>
          </w:pict>
        </mc:Fallback>
      </mc:AlternateContent>
    </w:r>
  </w:p>
  <w:p w14:paraId="0E030B6C">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E6631">
    <w:pPr>
      <w:pStyle w:val="2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84B5C3">
                          <w:pPr>
                            <w:pStyle w:val="2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684B5C3">
                    <w:pPr>
                      <w:pStyle w:val="2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AAA84">
    <w:pPr>
      <w:pStyle w:val="2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F3B4CB">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BF3B4CB">
                    <w:pPr>
                      <w:pStyle w:val="20"/>
                    </w:pPr>
                    <w:r>
                      <w:fldChar w:fldCharType="begin"/>
                    </w:r>
                    <w:r>
                      <w:instrText xml:space="preserve"> PAGE  \* MERGEFORMAT </w:instrText>
                    </w:r>
                    <w:r>
                      <w:fldChar w:fldCharType="separate"/>
                    </w:r>
                    <w:r>
                      <w:t>1</w:t>
                    </w:r>
                    <w:r>
                      <w:fldChar w:fldCharType="end"/>
                    </w:r>
                  </w:p>
                </w:txbxContent>
              </v:textbox>
            </v:shape>
          </w:pict>
        </mc:Fallback>
      </mc:AlternateContent>
    </w:r>
  </w:p>
  <w:p w14:paraId="0ED2A6D9">
    <w:pPr>
      <w:pStyle w:val="20"/>
      <w:ind w:right="360"/>
      <w:rPr>
        <w:rFonts w:ascii="宋体"/>
        <w:kern w:val="0"/>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BB8E0">
    <w:pPr>
      <w:pStyle w:val="21"/>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E65EF">
    <w:pPr>
      <w:pStyle w:val="21"/>
      <w:pBdr>
        <w:top w:val="none" w:color="auto" w:sz="0" w:space="1"/>
        <w:left w:val="none" w:color="auto" w:sz="0" w:space="4"/>
        <w:bottom w:val="none" w:color="auto" w:sz="0" w:space="1"/>
        <w:right w:val="none" w:color="auto" w:sz="0" w:space="4"/>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7DD29">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E77CBCA4"/>
    <w:multiLevelType w:val="singleLevel"/>
    <w:tmpl w:val="E77CBCA4"/>
    <w:lvl w:ilvl="0" w:tentative="0">
      <w:start w:val="1"/>
      <w:numFmt w:val="decimal"/>
      <w:suff w:val="nothing"/>
      <w:lvlText w:val="（%1）"/>
      <w:lvlJc w:val="left"/>
    </w:lvl>
  </w:abstractNum>
  <w:abstractNum w:abstractNumId="6">
    <w:nsid w:val="EA1D55C2"/>
    <w:multiLevelType w:val="singleLevel"/>
    <w:tmpl w:val="EA1D55C2"/>
    <w:lvl w:ilvl="0" w:tentative="0">
      <w:start w:val="3"/>
      <w:numFmt w:val="decimal"/>
      <w:lvlText w:val="%1."/>
      <w:lvlJc w:val="left"/>
      <w:pPr>
        <w:tabs>
          <w:tab w:val="left" w:pos="312"/>
        </w:tabs>
      </w:pPr>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3F2E7D64"/>
    <w:multiLevelType w:val="singleLevel"/>
    <w:tmpl w:val="3F2E7D64"/>
    <w:lvl w:ilvl="0" w:tentative="0">
      <w:start w:val="5"/>
      <w:numFmt w:val="chineseCounting"/>
      <w:suff w:val="nothing"/>
      <w:lvlText w:val="%1、"/>
      <w:lvlJc w:val="left"/>
      <w:rPr>
        <w:rFonts w:hint="eastAsia"/>
      </w:rPr>
    </w:lvl>
  </w:abstractNum>
  <w:abstractNum w:abstractNumId="9">
    <w:nsid w:val="721853E8"/>
    <w:multiLevelType w:val="multilevel"/>
    <w:tmpl w:val="721853E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7494AA2"/>
    <w:multiLevelType w:val="singleLevel"/>
    <w:tmpl w:val="77494AA2"/>
    <w:lvl w:ilvl="0" w:tentative="0">
      <w:start w:val="2"/>
      <w:numFmt w:val="chineseCounting"/>
      <w:suff w:val="nothing"/>
      <w:lvlText w:val="%1、"/>
      <w:lvlJc w:val="left"/>
      <w:rPr>
        <w:rFonts w:hint="eastAsia"/>
      </w:rPr>
    </w:lvl>
  </w:abstractNum>
  <w:abstractNum w:abstractNumId="11">
    <w:nsid w:val="7A0F6431"/>
    <w:multiLevelType w:val="singleLevel"/>
    <w:tmpl w:val="7A0F6431"/>
    <w:lvl w:ilvl="0" w:tentative="0">
      <w:start w:val="1"/>
      <w:numFmt w:val="decimal"/>
      <w:suff w:val="space"/>
      <w:lvlText w:val="%1."/>
      <w:lvlJc w:val="left"/>
    </w:lvl>
  </w:abstractNum>
  <w:num w:numId="1">
    <w:abstractNumId w:val="6"/>
  </w:num>
  <w:num w:numId="2">
    <w:abstractNumId w:val="8"/>
  </w:num>
  <w:num w:numId="3">
    <w:abstractNumId w:val="5"/>
  </w:num>
  <w:num w:numId="4">
    <w:abstractNumId w:val="10"/>
  </w:num>
  <w:num w:numId="5">
    <w:abstractNumId w:val="11"/>
  </w:num>
  <w:num w:numId="6">
    <w:abstractNumId w:val="1"/>
  </w:num>
  <w:num w:numId="7">
    <w:abstractNumId w:val="7"/>
  </w:num>
  <w:num w:numId="8">
    <w:abstractNumId w:val="3"/>
  </w:num>
  <w:num w:numId="9">
    <w:abstractNumId w:val="2"/>
  </w:num>
  <w:num w:numId="10">
    <w:abstractNumId w:val="0"/>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4NTE5ZTYzOTNlYTkxNmQzODRjY2YxYWZhMmY4MDgifQ=="/>
    <w:docVar w:name="KSO_WPS_MARK_KEY" w:val="fc030781-f9b1-4b1a-83ad-26491d6d2519"/>
  </w:docVars>
  <w:rsids>
    <w:rsidRoot w:val="0052434E"/>
    <w:rsid w:val="00003009"/>
    <w:rsid w:val="000035B7"/>
    <w:rsid w:val="00007C50"/>
    <w:rsid w:val="00007D80"/>
    <w:rsid w:val="00012482"/>
    <w:rsid w:val="0001627F"/>
    <w:rsid w:val="00016722"/>
    <w:rsid w:val="00016F5D"/>
    <w:rsid w:val="00017E90"/>
    <w:rsid w:val="00021971"/>
    <w:rsid w:val="000228F6"/>
    <w:rsid w:val="000231AE"/>
    <w:rsid w:val="00024546"/>
    <w:rsid w:val="00024EBC"/>
    <w:rsid w:val="000262B6"/>
    <w:rsid w:val="00027CF0"/>
    <w:rsid w:val="0003071A"/>
    <w:rsid w:val="00031579"/>
    <w:rsid w:val="000333DF"/>
    <w:rsid w:val="00033E52"/>
    <w:rsid w:val="00034063"/>
    <w:rsid w:val="000347F4"/>
    <w:rsid w:val="00036433"/>
    <w:rsid w:val="00041DB0"/>
    <w:rsid w:val="000433F2"/>
    <w:rsid w:val="00045EDD"/>
    <w:rsid w:val="00046AAD"/>
    <w:rsid w:val="00047338"/>
    <w:rsid w:val="0005137C"/>
    <w:rsid w:val="0005268E"/>
    <w:rsid w:val="00052742"/>
    <w:rsid w:val="00054917"/>
    <w:rsid w:val="000554DD"/>
    <w:rsid w:val="000565E6"/>
    <w:rsid w:val="000568ED"/>
    <w:rsid w:val="0006040F"/>
    <w:rsid w:val="00062214"/>
    <w:rsid w:val="00062604"/>
    <w:rsid w:val="00062713"/>
    <w:rsid w:val="00065494"/>
    <w:rsid w:val="00070428"/>
    <w:rsid w:val="0007052D"/>
    <w:rsid w:val="0007065C"/>
    <w:rsid w:val="00071080"/>
    <w:rsid w:val="00071821"/>
    <w:rsid w:val="00071EE4"/>
    <w:rsid w:val="00076439"/>
    <w:rsid w:val="00076C3D"/>
    <w:rsid w:val="00077A10"/>
    <w:rsid w:val="00083FB2"/>
    <w:rsid w:val="000846A9"/>
    <w:rsid w:val="00084FFF"/>
    <w:rsid w:val="000869B2"/>
    <w:rsid w:val="00087B48"/>
    <w:rsid w:val="00090AD9"/>
    <w:rsid w:val="00090D5A"/>
    <w:rsid w:val="0009138C"/>
    <w:rsid w:val="000941D7"/>
    <w:rsid w:val="00094601"/>
    <w:rsid w:val="000969EC"/>
    <w:rsid w:val="000971CC"/>
    <w:rsid w:val="000976F6"/>
    <w:rsid w:val="000A19F3"/>
    <w:rsid w:val="000A3BB1"/>
    <w:rsid w:val="000B3627"/>
    <w:rsid w:val="000B401E"/>
    <w:rsid w:val="000B4A0A"/>
    <w:rsid w:val="000B5C38"/>
    <w:rsid w:val="000B7910"/>
    <w:rsid w:val="000C0CD7"/>
    <w:rsid w:val="000C44EA"/>
    <w:rsid w:val="000C474B"/>
    <w:rsid w:val="000C5572"/>
    <w:rsid w:val="000C5A15"/>
    <w:rsid w:val="000D0937"/>
    <w:rsid w:val="000D0AF7"/>
    <w:rsid w:val="000D1CCB"/>
    <w:rsid w:val="000D1E24"/>
    <w:rsid w:val="000D267D"/>
    <w:rsid w:val="000D45E6"/>
    <w:rsid w:val="000D4D6F"/>
    <w:rsid w:val="000D5374"/>
    <w:rsid w:val="000D5712"/>
    <w:rsid w:val="000D6577"/>
    <w:rsid w:val="000D6A82"/>
    <w:rsid w:val="000D6B87"/>
    <w:rsid w:val="000D7149"/>
    <w:rsid w:val="000E086E"/>
    <w:rsid w:val="000E25D1"/>
    <w:rsid w:val="000E53E6"/>
    <w:rsid w:val="000E572B"/>
    <w:rsid w:val="000E57C9"/>
    <w:rsid w:val="000E5F6F"/>
    <w:rsid w:val="000E6145"/>
    <w:rsid w:val="000F0F1E"/>
    <w:rsid w:val="000F2B60"/>
    <w:rsid w:val="000F3437"/>
    <w:rsid w:val="000F3C76"/>
    <w:rsid w:val="000F44D8"/>
    <w:rsid w:val="001011F2"/>
    <w:rsid w:val="00101335"/>
    <w:rsid w:val="0010171A"/>
    <w:rsid w:val="00103B1C"/>
    <w:rsid w:val="00103DD4"/>
    <w:rsid w:val="00104572"/>
    <w:rsid w:val="0010504D"/>
    <w:rsid w:val="001075B7"/>
    <w:rsid w:val="00107A1D"/>
    <w:rsid w:val="00110651"/>
    <w:rsid w:val="0011274C"/>
    <w:rsid w:val="00112BBC"/>
    <w:rsid w:val="001144B8"/>
    <w:rsid w:val="00122106"/>
    <w:rsid w:val="00122974"/>
    <w:rsid w:val="0012799C"/>
    <w:rsid w:val="001307D2"/>
    <w:rsid w:val="00130C90"/>
    <w:rsid w:val="00131CF6"/>
    <w:rsid w:val="00131E73"/>
    <w:rsid w:val="00131E74"/>
    <w:rsid w:val="0013440A"/>
    <w:rsid w:val="00134EA7"/>
    <w:rsid w:val="0013658B"/>
    <w:rsid w:val="0014073D"/>
    <w:rsid w:val="00141187"/>
    <w:rsid w:val="0014178E"/>
    <w:rsid w:val="0014240E"/>
    <w:rsid w:val="00143328"/>
    <w:rsid w:val="00144678"/>
    <w:rsid w:val="0014497C"/>
    <w:rsid w:val="00150271"/>
    <w:rsid w:val="00152C72"/>
    <w:rsid w:val="0015555A"/>
    <w:rsid w:val="00156ABD"/>
    <w:rsid w:val="00162A14"/>
    <w:rsid w:val="001639CC"/>
    <w:rsid w:val="00163AFA"/>
    <w:rsid w:val="001643F6"/>
    <w:rsid w:val="00166A22"/>
    <w:rsid w:val="001705BC"/>
    <w:rsid w:val="00170AC7"/>
    <w:rsid w:val="00170BB2"/>
    <w:rsid w:val="0017251E"/>
    <w:rsid w:val="001779DC"/>
    <w:rsid w:val="00177C33"/>
    <w:rsid w:val="001813BF"/>
    <w:rsid w:val="00183CC2"/>
    <w:rsid w:val="001857AE"/>
    <w:rsid w:val="001861A8"/>
    <w:rsid w:val="00187C65"/>
    <w:rsid w:val="00190057"/>
    <w:rsid w:val="00190291"/>
    <w:rsid w:val="001906E5"/>
    <w:rsid w:val="001914B2"/>
    <w:rsid w:val="0019206A"/>
    <w:rsid w:val="001929B8"/>
    <w:rsid w:val="0019383A"/>
    <w:rsid w:val="001A1285"/>
    <w:rsid w:val="001A3F72"/>
    <w:rsid w:val="001A4043"/>
    <w:rsid w:val="001A472E"/>
    <w:rsid w:val="001A560E"/>
    <w:rsid w:val="001A5C22"/>
    <w:rsid w:val="001A60AD"/>
    <w:rsid w:val="001A7E0C"/>
    <w:rsid w:val="001B15FB"/>
    <w:rsid w:val="001B1800"/>
    <w:rsid w:val="001B25F2"/>
    <w:rsid w:val="001B4732"/>
    <w:rsid w:val="001B4820"/>
    <w:rsid w:val="001B55C4"/>
    <w:rsid w:val="001C0793"/>
    <w:rsid w:val="001C1596"/>
    <w:rsid w:val="001C2485"/>
    <w:rsid w:val="001C532F"/>
    <w:rsid w:val="001C5E4C"/>
    <w:rsid w:val="001C6C49"/>
    <w:rsid w:val="001D0419"/>
    <w:rsid w:val="001D1558"/>
    <w:rsid w:val="001D1978"/>
    <w:rsid w:val="001D19C2"/>
    <w:rsid w:val="001D2948"/>
    <w:rsid w:val="001D3934"/>
    <w:rsid w:val="001D6810"/>
    <w:rsid w:val="001E04B0"/>
    <w:rsid w:val="001E06C1"/>
    <w:rsid w:val="001E0E0E"/>
    <w:rsid w:val="001E0E75"/>
    <w:rsid w:val="001E1340"/>
    <w:rsid w:val="001E1416"/>
    <w:rsid w:val="001E2DBF"/>
    <w:rsid w:val="001F1BDD"/>
    <w:rsid w:val="001F1DC1"/>
    <w:rsid w:val="001F2D2D"/>
    <w:rsid w:val="001F5C1D"/>
    <w:rsid w:val="002049BC"/>
    <w:rsid w:val="002061A3"/>
    <w:rsid w:val="00206A3E"/>
    <w:rsid w:val="002077D2"/>
    <w:rsid w:val="00210D8E"/>
    <w:rsid w:val="00210FF4"/>
    <w:rsid w:val="002114E8"/>
    <w:rsid w:val="00213A51"/>
    <w:rsid w:val="00213A59"/>
    <w:rsid w:val="00216E1D"/>
    <w:rsid w:val="00217597"/>
    <w:rsid w:val="0022328A"/>
    <w:rsid w:val="00230042"/>
    <w:rsid w:val="002302AE"/>
    <w:rsid w:val="0023135B"/>
    <w:rsid w:val="00233690"/>
    <w:rsid w:val="00235631"/>
    <w:rsid w:val="002360C4"/>
    <w:rsid w:val="00241B80"/>
    <w:rsid w:val="00247591"/>
    <w:rsid w:val="0025060A"/>
    <w:rsid w:val="002525FA"/>
    <w:rsid w:val="00252A60"/>
    <w:rsid w:val="00255BD3"/>
    <w:rsid w:val="00262068"/>
    <w:rsid w:val="002623BE"/>
    <w:rsid w:val="00263077"/>
    <w:rsid w:val="00263502"/>
    <w:rsid w:val="00263E5B"/>
    <w:rsid w:val="00264538"/>
    <w:rsid w:val="00266F2A"/>
    <w:rsid w:val="002673D1"/>
    <w:rsid w:val="002708C0"/>
    <w:rsid w:val="00270A26"/>
    <w:rsid w:val="00273428"/>
    <w:rsid w:val="00274716"/>
    <w:rsid w:val="00276744"/>
    <w:rsid w:val="002840D1"/>
    <w:rsid w:val="0028739E"/>
    <w:rsid w:val="0028792E"/>
    <w:rsid w:val="00287EFA"/>
    <w:rsid w:val="0029101F"/>
    <w:rsid w:val="002916C7"/>
    <w:rsid w:val="002919A5"/>
    <w:rsid w:val="00292233"/>
    <w:rsid w:val="002934E2"/>
    <w:rsid w:val="0029415F"/>
    <w:rsid w:val="002954D3"/>
    <w:rsid w:val="00295736"/>
    <w:rsid w:val="00296216"/>
    <w:rsid w:val="002963F7"/>
    <w:rsid w:val="002A22CB"/>
    <w:rsid w:val="002A2AAF"/>
    <w:rsid w:val="002A4254"/>
    <w:rsid w:val="002A4877"/>
    <w:rsid w:val="002A55E5"/>
    <w:rsid w:val="002A790A"/>
    <w:rsid w:val="002A7B9E"/>
    <w:rsid w:val="002B110A"/>
    <w:rsid w:val="002B1167"/>
    <w:rsid w:val="002B2612"/>
    <w:rsid w:val="002B2BBB"/>
    <w:rsid w:val="002B3339"/>
    <w:rsid w:val="002B4825"/>
    <w:rsid w:val="002B4BE1"/>
    <w:rsid w:val="002B51AF"/>
    <w:rsid w:val="002B5EBA"/>
    <w:rsid w:val="002C05EA"/>
    <w:rsid w:val="002C28A3"/>
    <w:rsid w:val="002C4E4B"/>
    <w:rsid w:val="002D09D3"/>
    <w:rsid w:val="002E6248"/>
    <w:rsid w:val="002E65EC"/>
    <w:rsid w:val="002F05EF"/>
    <w:rsid w:val="002F0CB0"/>
    <w:rsid w:val="002F1B79"/>
    <w:rsid w:val="002F1F6C"/>
    <w:rsid w:val="002F1FC8"/>
    <w:rsid w:val="002F27E9"/>
    <w:rsid w:val="002F3922"/>
    <w:rsid w:val="002F3F67"/>
    <w:rsid w:val="002F5135"/>
    <w:rsid w:val="002F62ED"/>
    <w:rsid w:val="002F6354"/>
    <w:rsid w:val="002F6D34"/>
    <w:rsid w:val="002F73BE"/>
    <w:rsid w:val="00303010"/>
    <w:rsid w:val="003043FF"/>
    <w:rsid w:val="00305BB5"/>
    <w:rsid w:val="00305EEA"/>
    <w:rsid w:val="003060C9"/>
    <w:rsid w:val="003065F6"/>
    <w:rsid w:val="00306E89"/>
    <w:rsid w:val="0030772D"/>
    <w:rsid w:val="00314960"/>
    <w:rsid w:val="0031730B"/>
    <w:rsid w:val="003200CE"/>
    <w:rsid w:val="00320578"/>
    <w:rsid w:val="003248C3"/>
    <w:rsid w:val="003255FA"/>
    <w:rsid w:val="0032602F"/>
    <w:rsid w:val="00326E77"/>
    <w:rsid w:val="00327E23"/>
    <w:rsid w:val="00331C2B"/>
    <w:rsid w:val="00332C97"/>
    <w:rsid w:val="003351F7"/>
    <w:rsid w:val="00335710"/>
    <w:rsid w:val="0034194B"/>
    <w:rsid w:val="00341B23"/>
    <w:rsid w:val="00343DA6"/>
    <w:rsid w:val="003441F9"/>
    <w:rsid w:val="003538F9"/>
    <w:rsid w:val="00355ACC"/>
    <w:rsid w:val="003573E1"/>
    <w:rsid w:val="0035742B"/>
    <w:rsid w:val="003575D9"/>
    <w:rsid w:val="003661A5"/>
    <w:rsid w:val="00373087"/>
    <w:rsid w:val="0037311B"/>
    <w:rsid w:val="00374742"/>
    <w:rsid w:val="00374EBA"/>
    <w:rsid w:val="00375F76"/>
    <w:rsid w:val="00381527"/>
    <w:rsid w:val="003827E3"/>
    <w:rsid w:val="003842C1"/>
    <w:rsid w:val="003843D1"/>
    <w:rsid w:val="0038650B"/>
    <w:rsid w:val="003879E8"/>
    <w:rsid w:val="003912C0"/>
    <w:rsid w:val="003917B7"/>
    <w:rsid w:val="003924BA"/>
    <w:rsid w:val="003933C1"/>
    <w:rsid w:val="00393F65"/>
    <w:rsid w:val="003959A3"/>
    <w:rsid w:val="0039788F"/>
    <w:rsid w:val="003A0BAE"/>
    <w:rsid w:val="003A1F35"/>
    <w:rsid w:val="003A2E1B"/>
    <w:rsid w:val="003A3AE0"/>
    <w:rsid w:val="003A4DFE"/>
    <w:rsid w:val="003A65F7"/>
    <w:rsid w:val="003B36A2"/>
    <w:rsid w:val="003B4B15"/>
    <w:rsid w:val="003B4D13"/>
    <w:rsid w:val="003B583D"/>
    <w:rsid w:val="003B60E4"/>
    <w:rsid w:val="003B7017"/>
    <w:rsid w:val="003C056D"/>
    <w:rsid w:val="003C2A2E"/>
    <w:rsid w:val="003C2B81"/>
    <w:rsid w:val="003C371E"/>
    <w:rsid w:val="003C3950"/>
    <w:rsid w:val="003C715E"/>
    <w:rsid w:val="003D1E1C"/>
    <w:rsid w:val="003D3A56"/>
    <w:rsid w:val="003D3ADB"/>
    <w:rsid w:val="003D49BB"/>
    <w:rsid w:val="003D5A32"/>
    <w:rsid w:val="003D5CE7"/>
    <w:rsid w:val="003E14D2"/>
    <w:rsid w:val="003E23D5"/>
    <w:rsid w:val="003E2569"/>
    <w:rsid w:val="003E39D5"/>
    <w:rsid w:val="003E45FA"/>
    <w:rsid w:val="003E596B"/>
    <w:rsid w:val="003E6A83"/>
    <w:rsid w:val="003E6EA6"/>
    <w:rsid w:val="003F0F07"/>
    <w:rsid w:val="003F5C00"/>
    <w:rsid w:val="003F5EF5"/>
    <w:rsid w:val="003F64D1"/>
    <w:rsid w:val="003F6547"/>
    <w:rsid w:val="003F6D0D"/>
    <w:rsid w:val="003F7584"/>
    <w:rsid w:val="003F7A25"/>
    <w:rsid w:val="00400C7A"/>
    <w:rsid w:val="00401BBC"/>
    <w:rsid w:val="00402176"/>
    <w:rsid w:val="00404AB5"/>
    <w:rsid w:val="00410837"/>
    <w:rsid w:val="00410DC1"/>
    <w:rsid w:val="00412C12"/>
    <w:rsid w:val="004134C7"/>
    <w:rsid w:val="004136AC"/>
    <w:rsid w:val="00414176"/>
    <w:rsid w:val="00414AFB"/>
    <w:rsid w:val="004163E3"/>
    <w:rsid w:val="00416420"/>
    <w:rsid w:val="0041767A"/>
    <w:rsid w:val="00420AAF"/>
    <w:rsid w:val="004278A2"/>
    <w:rsid w:val="004279C4"/>
    <w:rsid w:val="00430D32"/>
    <w:rsid w:val="00431422"/>
    <w:rsid w:val="00431682"/>
    <w:rsid w:val="00432705"/>
    <w:rsid w:val="00433D63"/>
    <w:rsid w:val="004344AD"/>
    <w:rsid w:val="0043484F"/>
    <w:rsid w:val="0043605A"/>
    <w:rsid w:val="00436775"/>
    <w:rsid w:val="00437DD4"/>
    <w:rsid w:val="00441A92"/>
    <w:rsid w:val="00442E8D"/>
    <w:rsid w:val="00443AFA"/>
    <w:rsid w:val="00444923"/>
    <w:rsid w:val="00444CFC"/>
    <w:rsid w:val="00444F21"/>
    <w:rsid w:val="00446617"/>
    <w:rsid w:val="00447364"/>
    <w:rsid w:val="004536AD"/>
    <w:rsid w:val="00456AE0"/>
    <w:rsid w:val="0046225F"/>
    <w:rsid w:val="00464D61"/>
    <w:rsid w:val="00470AED"/>
    <w:rsid w:val="004735DD"/>
    <w:rsid w:val="004772C7"/>
    <w:rsid w:val="00477B31"/>
    <w:rsid w:val="00477D12"/>
    <w:rsid w:val="00480430"/>
    <w:rsid w:val="00484989"/>
    <w:rsid w:val="00486319"/>
    <w:rsid w:val="0048632C"/>
    <w:rsid w:val="00487431"/>
    <w:rsid w:val="00492B7A"/>
    <w:rsid w:val="00493270"/>
    <w:rsid w:val="00493F29"/>
    <w:rsid w:val="00497234"/>
    <w:rsid w:val="00497871"/>
    <w:rsid w:val="004A1B6E"/>
    <w:rsid w:val="004A1E0C"/>
    <w:rsid w:val="004A704C"/>
    <w:rsid w:val="004A7653"/>
    <w:rsid w:val="004A7BF9"/>
    <w:rsid w:val="004B0FFC"/>
    <w:rsid w:val="004B272F"/>
    <w:rsid w:val="004B5075"/>
    <w:rsid w:val="004B50B2"/>
    <w:rsid w:val="004B5597"/>
    <w:rsid w:val="004C0B3F"/>
    <w:rsid w:val="004C134A"/>
    <w:rsid w:val="004C3E8B"/>
    <w:rsid w:val="004C4FF6"/>
    <w:rsid w:val="004C6043"/>
    <w:rsid w:val="004C7C33"/>
    <w:rsid w:val="004D17DC"/>
    <w:rsid w:val="004D1E81"/>
    <w:rsid w:val="004D23F7"/>
    <w:rsid w:val="004D4D93"/>
    <w:rsid w:val="004D6173"/>
    <w:rsid w:val="004D62F2"/>
    <w:rsid w:val="004D66D2"/>
    <w:rsid w:val="004D6B5E"/>
    <w:rsid w:val="004D6EF6"/>
    <w:rsid w:val="004E1787"/>
    <w:rsid w:val="004E22AD"/>
    <w:rsid w:val="004E4CE5"/>
    <w:rsid w:val="004E57AE"/>
    <w:rsid w:val="004F01BB"/>
    <w:rsid w:val="004F04C2"/>
    <w:rsid w:val="004F17B9"/>
    <w:rsid w:val="004F24DC"/>
    <w:rsid w:val="004F5001"/>
    <w:rsid w:val="004F7154"/>
    <w:rsid w:val="0050209D"/>
    <w:rsid w:val="005072FD"/>
    <w:rsid w:val="005076E0"/>
    <w:rsid w:val="00507B91"/>
    <w:rsid w:val="0051041D"/>
    <w:rsid w:val="0051245D"/>
    <w:rsid w:val="0051497A"/>
    <w:rsid w:val="00515189"/>
    <w:rsid w:val="0051540B"/>
    <w:rsid w:val="00515E04"/>
    <w:rsid w:val="005211F6"/>
    <w:rsid w:val="0052153C"/>
    <w:rsid w:val="00522117"/>
    <w:rsid w:val="005222E4"/>
    <w:rsid w:val="00523C58"/>
    <w:rsid w:val="00524024"/>
    <w:rsid w:val="0052434E"/>
    <w:rsid w:val="00525567"/>
    <w:rsid w:val="00531388"/>
    <w:rsid w:val="00532E37"/>
    <w:rsid w:val="00533E80"/>
    <w:rsid w:val="00533EE8"/>
    <w:rsid w:val="005354AF"/>
    <w:rsid w:val="00536436"/>
    <w:rsid w:val="005367D1"/>
    <w:rsid w:val="00536936"/>
    <w:rsid w:val="00540774"/>
    <w:rsid w:val="00540BF6"/>
    <w:rsid w:val="0055055A"/>
    <w:rsid w:val="00550F41"/>
    <w:rsid w:val="00551871"/>
    <w:rsid w:val="00551C00"/>
    <w:rsid w:val="005538F9"/>
    <w:rsid w:val="00555B5F"/>
    <w:rsid w:val="00555C67"/>
    <w:rsid w:val="0056064F"/>
    <w:rsid w:val="005610B7"/>
    <w:rsid w:val="00561DDF"/>
    <w:rsid w:val="00561E6C"/>
    <w:rsid w:val="00565A53"/>
    <w:rsid w:val="00565C45"/>
    <w:rsid w:val="005662D1"/>
    <w:rsid w:val="00570DD3"/>
    <w:rsid w:val="00570E92"/>
    <w:rsid w:val="00571356"/>
    <w:rsid w:val="0057157D"/>
    <w:rsid w:val="005717E0"/>
    <w:rsid w:val="00572088"/>
    <w:rsid w:val="005743B2"/>
    <w:rsid w:val="0057598E"/>
    <w:rsid w:val="005759CD"/>
    <w:rsid w:val="00576727"/>
    <w:rsid w:val="005825D8"/>
    <w:rsid w:val="0058415F"/>
    <w:rsid w:val="005868AE"/>
    <w:rsid w:val="00590E51"/>
    <w:rsid w:val="005915F0"/>
    <w:rsid w:val="0059398C"/>
    <w:rsid w:val="0059471D"/>
    <w:rsid w:val="00594CCD"/>
    <w:rsid w:val="00595DDF"/>
    <w:rsid w:val="005A1139"/>
    <w:rsid w:val="005A140C"/>
    <w:rsid w:val="005A1762"/>
    <w:rsid w:val="005A3611"/>
    <w:rsid w:val="005A491F"/>
    <w:rsid w:val="005A5FC5"/>
    <w:rsid w:val="005A706A"/>
    <w:rsid w:val="005A7295"/>
    <w:rsid w:val="005B3BD4"/>
    <w:rsid w:val="005B4152"/>
    <w:rsid w:val="005B61C0"/>
    <w:rsid w:val="005B6A02"/>
    <w:rsid w:val="005B7439"/>
    <w:rsid w:val="005B7E05"/>
    <w:rsid w:val="005C0719"/>
    <w:rsid w:val="005C7138"/>
    <w:rsid w:val="005C78B3"/>
    <w:rsid w:val="005D5CC9"/>
    <w:rsid w:val="005E05D6"/>
    <w:rsid w:val="005E07ED"/>
    <w:rsid w:val="005E0A53"/>
    <w:rsid w:val="005E3B92"/>
    <w:rsid w:val="005E701D"/>
    <w:rsid w:val="005F1340"/>
    <w:rsid w:val="005F5FB9"/>
    <w:rsid w:val="005F6CD4"/>
    <w:rsid w:val="006018F5"/>
    <w:rsid w:val="00601AE6"/>
    <w:rsid w:val="0060384C"/>
    <w:rsid w:val="00603C83"/>
    <w:rsid w:val="006051DF"/>
    <w:rsid w:val="006057EE"/>
    <w:rsid w:val="006072B1"/>
    <w:rsid w:val="00607B09"/>
    <w:rsid w:val="00612249"/>
    <w:rsid w:val="00612CD3"/>
    <w:rsid w:val="00613808"/>
    <w:rsid w:val="00615471"/>
    <w:rsid w:val="00621CCF"/>
    <w:rsid w:val="00622D73"/>
    <w:rsid w:val="00623A4C"/>
    <w:rsid w:val="00624765"/>
    <w:rsid w:val="006247D7"/>
    <w:rsid w:val="00627940"/>
    <w:rsid w:val="00627CD5"/>
    <w:rsid w:val="00627D34"/>
    <w:rsid w:val="00627FEE"/>
    <w:rsid w:val="00632FE6"/>
    <w:rsid w:val="006335A9"/>
    <w:rsid w:val="00635F4F"/>
    <w:rsid w:val="00636BA9"/>
    <w:rsid w:val="00637088"/>
    <w:rsid w:val="00637586"/>
    <w:rsid w:val="00637C40"/>
    <w:rsid w:val="00647FB5"/>
    <w:rsid w:val="00650967"/>
    <w:rsid w:val="006510DB"/>
    <w:rsid w:val="006526E6"/>
    <w:rsid w:val="00653A4C"/>
    <w:rsid w:val="00653CEB"/>
    <w:rsid w:val="00654443"/>
    <w:rsid w:val="00655072"/>
    <w:rsid w:val="006564AB"/>
    <w:rsid w:val="00657B24"/>
    <w:rsid w:val="00657F6B"/>
    <w:rsid w:val="00661999"/>
    <w:rsid w:val="00667300"/>
    <w:rsid w:val="006675C8"/>
    <w:rsid w:val="00670C86"/>
    <w:rsid w:val="00671993"/>
    <w:rsid w:val="00672850"/>
    <w:rsid w:val="00674620"/>
    <w:rsid w:val="00675D1C"/>
    <w:rsid w:val="00681A19"/>
    <w:rsid w:val="00683A34"/>
    <w:rsid w:val="00684001"/>
    <w:rsid w:val="00684E9A"/>
    <w:rsid w:val="00685E8A"/>
    <w:rsid w:val="00685FC5"/>
    <w:rsid w:val="00686CD6"/>
    <w:rsid w:val="00687CFD"/>
    <w:rsid w:val="00690DD1"/>
    <w:rsid w:val="00695C30"/>
    <w:rsid w:val="006963B3"/>
    <w:rsid w:val="006A0736"/>
    <w:rsid w:val="006A2836"/>
    <w:rsid w:val="006A2E56"/>
    <w:rsid w:val="006A3D54"/>
    <w:rsid w:val="006A5FF2"/>
    <w:rsid w:val="006A7B6C"/>
    <w:rsid w:val="006B16D9"/>
    <w:rsid w:val="006B2933"/>
    <w:rsid w:val="006B3E1F"/>
    <w:rsid w:val="006B638D"/>
    <w:rsid w:val="006C0F9D"/>
    <w:rsid w:val="006C10B1"/>
    <w:rsid w:val="006C26C2"/>
    <w:rsid w:val="006C3B84"/>
    <w:rsid w:val="006C5A90"/>
    <w:rsid w:val="006C5B75"/>
    <w:rsid w:val="006C7B05"/>
    <w:rsid w:val="006D2EBA"/>
    <w:rsid w:val="006D4D45"/>
    <w:rsid w:val="006E084B"/>
    <w:rsid w:val="006E12C0"/>
    <w:rsid w:val="006E1E2D"/>
    <w:rsid w:val="006E226E"/>
    <w:rsid w:val="006E2A7B"/>
    <w:rsid w:val="006E4C19"/>
    <w:rsid w:val="006E5E3C"/>
    <w:rsid w:val="006E6898"/>
    <w:rsid w:val="006F0AEF"/>
    <w:rsid w:val="006F3F59"/>
    <w:rsid w:val="006F4574"/>
    <w:rsid w:val="006F5CCF"/>
    <w:rsid w:val="006F6507"/>
    <w:rsid w:val="006F6994"/>
    <w:rsid w:val="006F7363"/>
    <w:rsid w:val="00702971"/>
    <w:rsid w:val="00705748"/>
    <w:rsid w:val="00706252"/>
    <w:rsid w:val="007100FD"/>
    <w:rsid w:val="00710D75"/>
    <w:rsid w:val="00711293"/>
    <w:rsid w:val="00712CC7"/>
    <w:rsid w:val="00715A28"/>
    <w:rsid w:val="00716137"/>
    <w:rsid w:val="007173EE"/>
    <w:rsid w:val="00717681"/>
    <w:rsid w:val="00717D5C"/>
    <w:rsid w:val="0072056A"/>
    <w:rsid w:val="00720BD1"/>
    <w:rsid w:val="00720CE3"/>
    <w:rsid w:val="00721DD6"/>
    <w:rsid w:val="00722046"/>
    <w:rsid w:val="00723403"/>
    <w:rsid w:val="00724B1E"/>
    <w:rsid w:val="007254F8"/>
    <w:rsid w:val="007301B4"/>
    <w:rsid w:val="00730915"/>
    <w:rsid w:val="007335B1"/>
    <w:rsid w:val="00734108"/>
    <w:rsid w:val="00735E65"/>
    <w:rsid w:val="00735EE9"/>
    <w:rsid w:val="00735F4C"/>
    <w:rsid w:val="00737615"/>
    <w:rsid w:val="00737B95"/>
    <w:rsid w:val="00741374"/>
    <w:rsid w:val="0074194E"/>
    <w:rsid w:val="00741ECC"/>
    <w:rsid w:val="00742E1E"/>
    <w:rsid w:val="007440E6"/>
    <w:rsid w:val="00745CF4"/>
    <w:rsid w:val="00745FBF"/>
    <w:rsid w:val="00746B9D"/>
    <w:rsid w:val="00746BDF"/>
    <w:rsid w:val="007517CB"/>
    <w:rsid w:val="00751A3F"/>
    <w:rsid w:val="00753208"/>
    <w:rsid w:val="00753403"/>
    <w:rsid w:val="0075576E"/>
    <w:rsid w:val="007574A6"/>
    <w:rsid w:val="00760022"/>
    <w:rsid w:val="007625F9"/>
    <w:rsid w:val="00763EEF"/>
    <w:rsid w:val="00765061"/>
    <w:rsid w:val="00766605"/>
    <w:rsid w:val="007677A5"/>
    <w:rsid w:val="0077132F"/>
    <w:rsid w:val="0077288F"/>
    <w:rsid w:val="00772FC7"/>
    <w:rsid w:val="00773CDB"/>
    <w:rsid w:val="00773E45"/>
    <w:rsid w:val="00773F17"/>
    <w:rsid w:val="007754DC"/>
    <w:rsid w:val="00780B11"/>
    <w:rsid w:val="00781435"/>
    <w:rsid w:val="00781DC6"/>
    <w:rsid w:val="007856E4"/>
    <w:rsid w:val="007918C5"/>
    <w:rsid w:val="00791FB9"/>
    <w:rsid w:val="00791FFF"/>
    <w:rsid w:val="0079375A"/>
    <w:rsid w:val="007937E6"/>
    <w:rsid w:val="007954DC"/>
    <w:rsid w:val="00797029"/>
    <w:rsid w:val="007A1B21"/>
    <w:rsid w:val="007A204C"/>
    <w:rsid w:val="007A2C25"/>
    <w:rsid w:val="007A2F67"/>
    <w:rsid w:val="007A4501"/>
    <w:rsid w:val="007A6586"/>
    <w:rsid w:val="007A7358"/>
    <w:rsid w:val="007B0607"/>
    <w:rsid w:val="007B0F8C"/>
    <w:rsid w:val="007B11DC"/>
    <w:rsid w:val="007B462E"/>
    <w:rsid w:val="007B4E82"/>
    <w:rsid w:val="007B518C"/>
    <w:rsid w:val="007B57DB"/>
    <w:rsid w:val="007B58AA"/>
    <w:rsid w:val="007B617C"/>
    <w:rsid w:val="007B62BF"/>
    <w:rsid w:val="007C47C6"/>
    <w:rsid w:val="007C5578"/>
    <w:rsid w:val="007D09C7"/>
    <w:rsid w:val="007D13E5"/>
    <w:rsid w:val="007D2AF8"/>
    <w:rsid w:val="007D7196"/>
    <w:rsid w:val="007D7A77"/>
    <w:rsid w:val="007E0DEE"/>
    <w:rsid w:val="007E101F"/>
    <w:rsid w:val="007E1824"/>
    <w:rsid w:val="007E2C5B"/>
    <w:rsid w:val="007E489E"/>
    <w:rsid w:val="007E48B0"/>
    <w:rsid w:val="007E574A"/>
    <w:rsid w:val="007E5DBC"/>
    <w:rsid w:val="007E6905"/>
    <w:rsid w:val="007F5F04"/>
    <w:rsid w:val="007F66B9"/>
    <w:rsid w:val="007F6DA7"/>
    <w:rsid w:val="008015F3"/>
    <w:rsid w:val="0080358F"/>
    <w:rsid w:val="00803E83"/>
    <w:rsid w:val="00804638"/>
    <w:rsid w:val="00806E96"/>
    <w:rsid w:val="008077D5"/>
    <w:rsid w:val="00807B06"/>
    <w:rsid w:val="00807FF1"/>
    <w:rsid w:val="008106E9"/>
    <w:rsid w:val="00814A9B"/>
    <w:rsid w:val="00815F9F"/>
    <w:rsid w:val="008173BE"/>
    <w:rsid w:val="00826898"/>
    <w:rsid w:val="00826F82"/>
    <w:rsid w:val="00835ED2"/>
    <w:rsid w:val="00836628"/>
    <w:rsid w:val="00836954"/>
    <w:rsid w:val="00836CCC"/>
    <w:rsid w:val="00842148"/>
    <w:rsid w:val="00843B3C"/>
    <w:rsid w:val="00844AC1"/>
    <w:rsid w:val="00845944"/>
    <w:rsid w:val="00845B73"/>
    <w:rsid w:val="00845C12"/>
    <w:rsid w:val="00850FD7"/>
    <w:rsid w:val="0085121D"/>
    <w:rsid w:val="00851654"/>
    <w:rsid w:val="00852B90"/>
    <w:rsid w:val="008537C2"/>
    <w:rsid w:val="0085396F"/>
    <w:rsid w:val="00854228"/>
    <w:rsid w:val="00860BBD"/>
    <w:rsid w:val="00863498"/>
    <w:rsid w:val="00864BCD"/>
    <w:rsid w:val="008652FE"/>
    <w:rsid w:val="008657B2"/>
    <w:rsid w:val="008709FB"/>
    <w:rsid w:val="00870FB8"/>
    <w:rsid w:val="00871B50"/>
    <w:rsid w:val="0087396B"/>
    <w:rsid w:val="00874691"/>
    <w:rsid w:val="00880219"/>
    <w:rsid w:val="008813BA"/>
    <w:rsid w:val="00881E85"/>
    <w:rsid w:val="00882B86"/>
    <w:rsid w:val="00884463"/>
    <w:rsid w:val="008849B8"/>
    <w:rsid w:val="0088727B"/>
    <w:rsid w:val="00890C53"/>
    <w:rsid w:val="008917B1"/>
    <w:rsid w:val="008922A9"/>
    <w:rsid w:val="00892C76"/>
    <w:rsid w:val="00892F2D"/>
    <w:rsid w:val="00893D41"/>
    <w:rsid w:val="00895618"/>
    <w:rsid w:val="00896301"/>
    <w:rsid w:val="008969FE"/>
    <w:rsid w:val="008A05B8"/>
    <w:rsid w:val="008A0984"/>
    <w:rsid w:val="008A21C1"/>
    <w:rsid w:val="008A3744"/>
    <w:rsid w:val="008A37BD"/>
    <w:rsid w:val="008A4C54"/>
    <w:rsid w:val="008A531B"/>
    <w:rsid w:val="008A6CC7"/>
    <w:rsid w:val="008A7B11"/>
    <w:rsid w:val="008A7E5A"/>
    <w:rsid w:val="008B1B5C"/>
    <w:rsid w:val="008B3DA3"/>
    <w:rsid w:val="008B472D"/>
    <w:rsid w:val="008B5FDF"/>
    <w:rsid w:val="008C0D2A"/>
    <w:rsid w:val="008C284C"/>
    <w:rsid w:val="008C3D23"/>
    <w:rsid w:val="008C4BE5"/>
    <w:rsid w:val="008C4C2C"/>
    <w:rsid w:val="008C4F00"/>
    <w:rsid w:val="008C4F79"/>
    <w:rsid w:val="008C5D35"/>
    <w:rsid w:val="008C6024"/>
    <w:rsid w:val="008C6B08"/>
    <w:rsid w:val="008D08F0"/>
    <w:rsid w:val="008D0CA9"/>
    <w:rsid w:val="008D1202"/>
    <w:rsid w:val="008D35FE"/>
    <w:rsid w:val="008D4977"/>
    <w:rsid w:val="008D59F8"/>
    <w:rsid w:val="008E07FF"/>
    <w:rsid w:val="008E1AAA"/>
    <w:rsid w:val="008E2314"/>
    <w:rsid w:val="008E2741"/>
    <w:rsid w:val="008E64A4"/>
    <w:rsid w:val="008E6EEB"/>
    <w:rsid w:val="008E712E"/>
    <w:rsid w:val="008E779D"/>
    <w:rsid w:val="008F4977"/>
    <w:rsid w:val="008F4FB0"/>
    <w:rsid w:val="008F52ED"/>
    <w:rsid w:val="008F6EC3"/>
    <w:rsid w:val="009024EB"/>
    <w:rsid w:val="0090379B"/>
    <w:rsid w:val="009039A7"/>
    <w:rsid w:val="0090609E"/>
    <w:rsid w:val="00906B52"/>
    <w:rsid w:val="00910647"/>
    <w:rsid w:val="009118CB"/>
    <w:rsid w:val="00914CF1"/>
    <w:rsid w:val="0091540B"/>
    <w:rsid w:val="00916058"/>
    <w:rsid w:val="00916264"/>
    <w:rsid w:val="009168AF"/>
    <w:rsid w:val="00917058"/>
    <w:rsid w:val="00923968"/>
    <w:rsid w:val="00930F1D"/>
    <w:rsid w:val="009310F9"/>
    <w:rsid w:val="009312B6"/>
    <w:rsid w:val="00933A01"/>
    <w:rsid w:val="00935F1D"/>
    <w:rsid w:val="00936995"/>
    <w:rsid w:val="0093747E"/>
    <w:rsid w:val="009444A4"/>
    <w:rsid w:val="009444DE"/>
    <w:rsid w:val="009446B3"/>
    <w:rsid w:val="009453F8"/>
    <w:rsid w:val="009520E2"/>
    <w:rsid w:val="009522A4"/>
    <w:rsid w:val="009537E4"/>
    <w:rsid w:val="009546AA"/>
    <w:rsid w:val="00955413"/>
    <w:rsid w:val="009568A2"/>
    <w:rsid w:val="00956C50"/>
    <w:rsid w:val="00957F78"/>
    <w:rsid w:val="00962739"/>
    <w:rsid w:val="009640D0"/>
    <w:rsid w:val="00967CE7"/>
    <w:rsid w:val="00970BC0"/>
    <w:rsid w:val="00972747"/>
    <w:rsid w:val="0097385B"/>
    <w:rsid w:val="00974B7F"/>
    <w:rsid w:val="0098082A"/>
    <w:rsid w:val="00980A9B"/>
    <w:rsid w:val="009825BF"/>
    <w:rsid w:val="009830E4"/>
    <w:rsid w:val="00983874"/>
    <w:rsid w:val="009857E5"/>
    <w:rsid w:val="0098649C"/>
    <w:rsid w:val="00986E19"/>
    <w:rsid w:val="00987AEE"/>
    <w:rsid w:val="00990972"/>
    <w:rsid w:val="009924B4"/>
    <w:rsid w:val="0099643E"/>
    <w:rsid w:val="009A00DF"/>
    <w:rsid w:val="009A0E9B"/>
    <w:rsid w:val="009A1CD9"/>
    <w:rsid w:val="009A21E4"/>
    <w:rsid w:val="009A646F"/>
    <w:rsid w:val="009A6791"/>
    <w:rsid w:val="009B4AEF"/>
    <w:rsid w:val="009B6220"/>
    <w:rsid w:val="009B6C69"/>
    <w:rsid w:val="009B7F80"/>
    <w:rsid w:val="009C1446"/>
    <w:rsid w:val="009C3085"/>
    <w:rsid w:val="009C4242"/>
    <w:rsid w:val="009C5B62"/>
    <w:rsid w:val="009C6EE8"/>
    <w:rsid w:val="009D01B8"/>
    <w:rsid w:val="009D05FA"/>
    <w:rsid w:val="009D066C"/>
    <w:rsid w:val="009D1AA1"/>
    <w:rsid w:val="009D1DF6"/>
    <w:rsid w:val="009D1F0A"/>
    <w:rsid w:val="009D2BBC"/>
    <w:rsid w:val="009D2ED7"/>
    <w:rsid w:val="009D5306"/>
    <w:rsid w:val="009D68B1"/>
    <w:rsid w:val="009D7BC2"/>
    <w:rsid w:val="009E018B"/>
    <w:rsid w:val="009E28F4"/>
    <w:rsid w:val="009E2FC8"/>
    <w:rsid w:val="009E36BD"/>
    <w:rsid w:val="009E3BE5"/>
    <w:rsid w:val="009E3F58"/>
    <w:rsid w:val="009E502B"/>
    <w:rsid w:val="009E5799"/>
    <w:rsid w:val="009E592C"/>
    <w:rsid w:val="009F09CC"/>
    <w:rsid w:val="009F0CED"/>
    <w:rsid w:val="009F4258"/>
    <w:rsid w:val="009F4F79"/>
    <w:rsid w:val="009F7023"/>
    <w:rsid w:val="00A04E05"/>
    <w:rsid w:val="00A04FB0"/>
    <w:rsid w:val="00A06CB3"/>
    <w:rsid w:val="00A0776B"/>
    <w:rsid w:val="00A12B0B"/>
    <w:rsid w:val="00A13B73"/>
    <w:rsid w:val="00A167F8"/>
    <w:rsid w:val="00A21E38"/>
    <w:rsid w:val="00A226DB"/>
    <w:rsid w:val="00A24F95"/>
    <w:rsid w:val="00A252A4"/>
    <w:rsid w:val="00A26B50"/>
    <w:rsid w:val="00A27747"/>
    <w:rsid w:val="00A2785B"/>
    <w:rsid w:val="00A27BE8"/>
    <w:rsid w:val="00A30F24"/>
    <w:rsid w:val="00A31CD9"/>
    <w:rsid w:val="00A33E94"/>
    <w:rsid w:val="00A34C68"/>
    <w:rsid w:val="00A35FEE"/>
    <w:rsid w:val="00A36879"/>
    <w:rsid w:val="00A4041E"/>
    <w:rsid w:val="00A42DAF"/>
    <w:rsid w:val="00A44401"/>
    <w:rsid w:val="00A51C6F"/>
    <w:rsid w:val="00A52884"/>
    <w:rsid w:val="00A54D77"/>
    <w:rsid w:val="00A5569B"/>
    <w:rsid w:val="00A5577F"/>
    <w:rsid w:val="00A66F8F"/>
    <w:rsid w:val="00A7512A"/>
    <w:rsid w:val="00A75B44"/>
    <w:rsid w:val="00A815E8"/>
    <w:rsid w:val="00A841AD"/>
    <w:rsid w:val="00A851D8"/>
    <w:rsid w:val="00A90B9D"/>
    <w:rsid w:val="00A94174"/>
    <w:rsid w:val="00A9629E"/>
    <w:rsid w:val="00A97BC0"/>
    <w:rsid w:val="00AA0C69"/>
    <w:rsid w:val="00AA11D6"/>
    <w:rsid w:val="00AA1765"/>
    <w:rsid w:val="00AA3033"/>
    <w:rsid w:val="00AA31C2"/>
    <w:rsid w:val="00AA65E4"/>
    <w:rsid w:val="00AA7FB0"/>
    <w:rsid w:val="00AB0AF4"/>
    <w:rsid w:val="00AB0C58"/>
    <w:rsid w:val="00AB2A6D"/>
    <w:rsid w:val="00AB4896"/>
    <w:rsid w:val="00AB49CA"/>
    <w:rsid w:val="00AB5614"/>
    <w:rsid w:val="00AB62C5"/>
    <w:rsid w:val="00AC00C1"/>
    <w:rsid w:val="00AC0AAF"/>
    <w:rsid w:val="00AC0B40"/>
    <w:rsid w:val="00AC0D31"/>
    <w:rsid w:val="00AC0DBB"/>
    <w:rsid w:val="00AC1079"/>
    <w:rsid w:val="00AC17C7"/>
    <w:rsid w:val="00AC1F4B"/>
    <w:rsid w:val="00AC668A"/>
    <w:rsid w:val="00AC67BD"/>
    <w:rsid w:val="00AC6C28"/>
    <w:rsid w:val="00AC7650"/>
    <w:rsid w:val="00AD0853"/>
    <w:rsid w:val="00AD4FB1"/>
    <w:rsid w:val="00AD746B"/>
    <w:rsid w:val="00AD78AC"/>
    <w:rsid w:val="00AD7CA9"/>
    <w:rsid w:val="00AE10DB"/>
    <w:rsid w:val="00AE2079"/>
    <w:rsid w:val="00AF4F70"/>
    <w:rsid w:val="00AF5E35"/>
    <w:rsid w:val="00AF5FB5"/>
    <w:rsid w:val="00AF621E"/>
    <w:rsid w:val="00AF7899"/>
    <w:rsid w:val="00B00FEE"/>
    <w:rsid w:val="00B03646"/>
    <w:rsid w:val="00B04336"/>
    <w:rsid w:val="00B07D34"/>
    <w:rsid w:val="00B12089"/>
    <w:rsid w:val="00B144B7"/>
    <w:rsid w:val="00B15236"/>
    <w:rsid w:val="00B1660E"/>
    <w:rsid w:val="00B1672E"/>
    <w:rsid w:val="00B20141"/>
    <w:rsid w:val="00B20F53"/>
    <w:rsid w:val="00B27E78"/>
    <w:rsid w:val="00B307E4"/>
    <w:rsid w:val="00B31FB8"/>
    <w:rsid w:val="00B32FB5"/>
    <w:rsid w:val="00B33ACC"/>
    <w:rsid w:val="00B340D6"/>
    <w:rsid w:val="00B3443D"/>
    <w:rsid w:val="00B34971"/>
    <w:rsid w:val="00B37E88"/>
    <w:rsid w:val="00B410B4"/>
    <w:rsid w:val="00B42E9E"/>
    <w:rsid w:val="00B4321F"/>
    <w:rsid w:val="00B445EC"/>
    <w:rsid w:val="00B4722C"/>
    <w:rsid w:val="00B52F6A"/>
    <w:rsid w:val="00B55F07"/>
    <w:rsid w:val="00B56510"/>
    <w:rsid w:val="00B568C4"/>
    <w:rsid w:val="00B568D3"/>
    <w:rsid w:val="00B6112D"/>
    <w:rsid w:val="00B61A2E"/>
    <w:rsid w:val="00B62434"/>
    <w:rsid w:val="00B63365"/>
    <w:rsid w:val="00B645F7"/>
    <w:rsid w:val="00B64F6D"/>
    <w:rsid w:val="00B65239"/>
    <w:rsid w:val="00B6589B"/>
    <w:rsid w:val="00B65EA5"/>
    <w:rsid w:val="00B66361"/>
    <w:rsid w:val="00B66DD5"/>
    <w:rsid w:val="00B67064"/>
    <w:rsid w:val="00B67332"/>
    <w:rsid w:val="00B67A66"/>
    <w:rsid w:val="00B745A6"/>
    <w:rsid w:val="00B74C6A"/>
    <w:rsid w:val="00B802F0"/>
    <w:rsid w:val="00B856A5"/>
    <w:rsid w:val="00B85A93"/>
    <w:rsid w:val="00B864B9"/>
    <w:rsid w:val="00B90911"/>
    <w:rsid w:val="00B91250"/>
    <w:rsid w:val="00B91D42"/>
    <w:rsid w:val="00B91EB3"/>
    <w:rsid w:val="00B93FE5"/>
    <w:rsid w:val="00B95AD1"/>
    <w:rsid w:val="00B95BA6"/>
    <w:rsid w:val="00B95DDB"/>
    <w:rsid w:val="00B967A5"/>
    <w:rsid w:val="00B9731F"/>
    <w:rsid w:val="00B9738F"/>
    <w:rsid w:val="00B97F24"/>
    <w:rsid w:val="00BA08F4"/>
    <w:rsid w:val="00BA1FE6"/>
    <w:rsid w:val="00BA35C0"/>
    <w:rsid w:val="00BA4C19"/>
    <w:rsid w:val="00BA50C8"/>
    <w:rsid w:val="00BA54EC"/>
    <w:rsid w:val="00BA6DAE"/>
    <w:rsid w:val="00BA7084"/>
    <w:rsid w:val="00BB1964"/>
    <w:rsid w:val="00BB784A"/>
    <w:rsid w:val="00BC0B18"/>
    <w:rsid w:val="00BC7031"/>
    <w:rsid w:val="00BD14FC"/>
    <w:rsid w:val="00BD51F8"/>
    <w:rsid w:val="00BD7510"/>
    <w:rsid w:val="00BD7D3A"/>
    <w:rsid w:val="00BD7DA7"/>
    <w:rsid w:val="00BF3054"/>
    <w:rsid w:val="00BF34A2"/>
    <w:rsid w:val="00BF4D39"/>
    <w:rsid w:val="00BF69F1"/>
    <w:rsid w:val="00C02F2A"/>
    <w:rsid w:val="00C03729"/>
    <w:rsid w:val="00C04856"/>
    <w:rsid w:val="00C05046"/>
    <w:rsid w:val="00C05E46"/>
    <w:rsid w:val="00C0655C"/>
    <w:rsid w:val="00C0751B"/>
    <w:rsid w:val="00C10350"/>
    <w:rsid w:val="00C10460"/>
    <w:rsid w:val="00C11E74"/>
    <w:rsid w:val="00C15EF3"/>
    <w:rsid w:val="00C174CF"/>
    <w:rsid w:val="00C20273"/>
    <w:rsid w:val="00C20772"/>
    <w:rsid w:val="00C214D0"/>
    <w:rsid w:val="00C24E67"/>
    <w:rsid w:val="00C30832"/>
    <w:rsid w:val="00C31326"/>
    <w:rsid w:val="00C33158"/>
    <w:rsid w:val="00C3415E"/>
    <w:rsid w:val="00C44BCD"/>
    <w:rsid w:val="00C47903"/>
    <w:rsid w:val="00C47B03"/>
    <w:rsid w:val="00C50D22"/>
    <w:rsid w:val="00C537BA"/>
    <w:rsid w:val="00C554CA"/>
    <w:rsid w:val="00C57681"/>
    <w:rsid w:val="00C6278A"/>
    <w:rsid w:val="00C6386D"/>
    <w:rsid w:val="00C64D0F"/>
    <w:rsid w:val="00C66EAC"/>
    <w:rsid w:val="00C72557"/>
    <w:rsid w:val="00C73AC9"/>
    <w:rsid w:val="00C73D65"/>
    <w:rsid w:val="00C75CAD"/>
    <w:rsid w:val="00C75EB5"/>
    <w:rsid w:val="00C76318"/>
    <w:rsid w:val="00C76A96"/>
    <w:rsid w:val="00C77B8F"/>
    <w:rsid w:val="00C80D71"/>
    <w:rsid w:val="00C81D76"/>
    <w:rsid w:val="00C82C5D"/>
    <w:rsid w:val="00C82DC1"/>
    <w:rsid w:val="00C8351D"/>
    <w:rsid w:val="00C839EA"/>
    <w:rsid w:val="00C83DB0"/>
    <w:rsid w:val="00C90EF8"/>
    <w:rsid w:val="00C92090"/>
    <w:rsid w:val="00C94424"/>
    <w:rsid w:val="00C94496"/>
    <w:rsid w:val="00C946F5"/>
    <w:rsid w:val="00C9659D"/>
    <w:rsid w:val="00C96DA9"/>
    <w:rsid w:val="00C972CB"/>
    <w:rsid w:val="00CA234C"/>
    <w:rsid w:val="00CA24E3"/>
    <w:rsid w:val="00CA265A"/>
    <w:rsid w:val="00CA6F93"/>
    <w:rsid w:val="00CB492A"/>
    <w:rsid w:val="00CB6897"/>
    <w:rsid w:val="00CB697D"/>
    <w:rsid w:val="00CB6C5C"/>
    <w:rsid w:val="00CC4391"/>
    <w:rsid w:val="00CC4393"/>
    <w:rsid w:val="00CC439C"/>
    <w:rsid w:val="00CC4EF1"/>
    <w:rsid w:val="00CC7646"/>
    <w:rsid w:val="00CC7B65"/>
    <w:rsid w:val="00CD0350"/>
    <w:rsid w:val="00CD0A4A"/>
    <w:rsid w:val="00CD0C51"/>
    <w:rsid w:val="00CD1284"/>
    <w:rsid w:val="00CD151E"/>
    <w:rsid w:val="00CD3064"/>
    <w:rsid w:val="00CD6E93"/>
    <w:rsid w:val="00CD6F4F"/>
    <w:rsid w:val="00CD7808"/>
    <w:rsid w:val="00CE06C8"/>
    <w:rsid w:val="00CE13A5"/>
    <w:rsid w:val="00CE2C36"/>
    <w:rsid w:val="00CE37E5"/>
    <w:rsid w:val="00CE5F2D"/>
    <w:rsid w:val="00CE62F4"/>
    <w:rsid w:val="00CF07F5"/>
    <w:rsid w:val="00CF4A5B"/>
    <w:rsid w:val="00CF5245"/>
    <w:rsid w:val="00CF5D51"/>
    <w:rsid w:val="00CF6F68"/>
    <w:rsid w:val="00D01034"/>
    <w:rsid w:val="00D02399"/>
    <w:rsid w:val="00D02728"/>
    <w:rsid w:val="00D03293"/>
    <w:rsid w:val="00D03B3E"/>
    <w:rsid w:val="00D03BB2"/>
    <w:rsid w:val="00D03EA3"/>
    <w:rsid w:val="00D0442D"/>
    <w:rsid w:val="00D047C1"/>
    <w:rsid w:val="00D0754A"/>
    <w:rsid w:val="00D07AEC"/>
    <w:rsid w:val="00D10AC5"/>
    <w:rsid w:val="00D1364D"/>
    <w:rsid w:val="00D14347"/>
    <w:rsid w:val="00D15B14"/>
    <w:rsid w:val="00D15FBF"/>
    <w:rsid w:val="00D21AAA"/>
    <w:rsid w:val="00D21F86"/>
    <w:rsid w:val="00D24592"/>
    <w:rsid w:val="00D24A4E"/>
    <w:rsid w:val="00D253BF"/>
    <w:rsid w:val="00D2621F"/>
    <w:rsid w:val="00D27720"/>
    <w:rsid w:val="00D30D6E"/>
    <w:rsid w:val="00D344C1"/>
    <w:rsid w:val="00D4014B"/>
    <w:rsid w:val="00D412E4"/>
    <w:rsid w:val="00D41702"/>
    <w:rsid w:val="00D41BB0"/>
    <w:rsid w:val="00D428C5"/>
    <w:rsid w:val="00D434CF"/>
    <w:rsid w:val="00D45DED"/>
    <w:rsid w:val="00D46B38"/>
    <w:rsid w:val="00D46B89"/>
    <w:rsid w:val="00D47571"/>
    <w:rsid w:val="00D5220D"/>
    <w:rsid w:val="00D54931"/>
    <w:rsid w:val="00D56024"/>
    <w:rsid w:val="00D627D4"/>
    <w:rsid w:val="00D63FC8"/>
    <w:rsid w:val="00D666F7"/>
    <w:rsid w:val="00D67CBC"/>
    <w:rsid w:val="00D709B0"/>
    <w:rsid w:val="00D72296"/>
    <w:rsid w:val="00D72857"/>
    <w:rsid w:val="00D74205"/>
    <w:rsid w:val="00D762F7"/>
    <w:rsid w:val="00D76D68"/>
    <w:rsid w:val="00D76DBB"/>
    <w:rsid w:val="00D77B29"/>
    <w:rsid w:val="00D803D9"/>
    <w:rsid w:val="00D809D8"/>
    <w:rsid w:val="00D8161B"/>
    <w:rsid w:val="00D87901"/>
    <w:rsid w:val="00D87A5D"/>
    <w:rsid w:val="00D91BA5"/>
    <w:rsid w:val="00D935C0"/>
    <w:rsid w:val="00D938B0"/>
    <w:rsid w:val="00D93F0B"/>
    <w:rsid w:val="00D94887"/>
    <w:rsid w:val="00D95090"/>
    <w:rsid w:val="00D97215"/>
    <w:rsid w:val="00DA09B2"/>
    <w:rsid w:val="00DA0D32"/>
    <w:rsid w:val="00DA24EC"/>
    <w:rsid w:val="00DA34FF"/>
    <w:rsid w:val="00DA4017"/>
    <w:rsid w:val="00DA706C"/>
    <w:rsid w:val="00DB018F"/>
    <w:rsid w:val="00DB23A1"/>
    <w:rsid w:val="00DB571F"/>
    <w:rsid w:val="00DB687B"/>
    <w:rsid w:val="00DC068E"/>
    <w:rsid w:val="00DC2DEF"/>
    <w:rsid w:val="00DC3EB8"/>
    <w:rsid w:val="00DC417A"/>
    <w:rsid w:val="00DC4B36"/>
    <w:rsid w:val="00DC615F"/>
    <w:rsid w:val="00DC6D08"/>
    <w:rsid w:val="00DC78A6"/>
    <w:rsid w:val="00DD1E05"/>
    <w:rsid w:val="00DD2E8E"/>
    <w:rsid w:val="00DD34BC"/>
    <w:rsid w:val="00DD3BAF"/>
    <w:rsid w:val="00DD4495"/>
    <w:rsid w:val="00DD4D57"/>
    <w:rsid w:val="00DD6921"/>
    <w:rsid w:val="00DE3C12"/>
    <w:rsid w:val="00DE637C"/>
    <w:rsid w:val="00DF0A06"/>
    <w:rsid w:val="00DF14D4"/>
    <w:rsid w:val="00DF26AA"/>
    <w:rsid w:val="00DF39D0"/>
    <w:rsid w:val="00DF5403"/>
    <w:rsid w:val="00E00BA4"/>
    <w:rsid w:val="00E01C83"/>
    <w:rsid w:val="00E026DE"/>
    <w:rsid w:val="00E03A83"/>
    <w:rsid w:val="00E11D4C"/>
    <w:rsid w:val="00E1344D"/>
    <w:rsid w:val="00E1373F"/>
    <w:rsid w:val="00E1380A"/>
    <w:rsid w:val="00E13DD9"/>
    <w:rsid w:val="00E178A2"/>
    <w:rsid w:val="00E2346E"/>
    <w:rsid w:val="00E24304"/>
    <w:rsid w:val="00E251E1"/>
    <w:rsid w:val="00E26695"/>
    <w:rsid w:val="00E26752"/>
    <w:rsid w:val="00E274E1"/>
    <w:rsid w:val="00E309C1"/>
    <w:rsid w:val="00E30FB2"/>
    <w:rsid w:val="00E31B5B"/>
    <w:rsid w:val="00E328A2"/>
    <w:rsid w:val="00E3466C"/>
    <w:rsid w:val="00E356BC"/>
    <w:rsid w:val="00E35EE6"/>
    <w:rsid w:val="00E402B2"/>
    <w:rsid w:val="00E419E1"/>
    <w:rsid w:val="00E41E82"/>
    <w:rsid w:val="00E455E2"/>
    <w:rsid w:val="00E472A1"/>
    <w:rsid w:val="00E50AC6"/>
    <w:rsid w:val="00E52048"/>
    <w:rsid w:val="00E5212B"/>
    <w:rsid w:val="00E53B0A"/>
    <w:rsid w:val="00E53C4D"/>
    <w:rsid w:val="00E55716"/>
    <w:rsid w:val="00E55E0D"/>
    <w:rsid w:val="00E57E3B"/>
    <w:rsid w:val="00E6000B"/>
    <w:rsid w:val="00E60D1A"/>
    <w:rsid w:val="00E60FF8"/>
    <w:rsid w:val="00E61BE4"/>
    <w:rsid w:val="00E62010"/>
    <w:rsid w:val="00E63054"/>
    <w:rsid w:val="00E635A6"/>
    <w:rsid w:val="00E66290"/>
    <w:rsid w:val="00E67479"/>
    <w:rsid w:val="00E71280"/>
    <w:rsid w:val="00E722F6"/>
    <w:rsid w:val="00E7387D"/>
    <w:rsid w:val="00E7625A"/>
    <w:rsid w:val="00E77467"/>
    <w:rsid w:val="00E8137A"/>
    <w:rsid w:val="00E81F71"/>
    <w:rsid w:val="00E82A1B"/>
    <w:rsid w:val="00E84E78"/>
    <w:rsid w:val="00E86150"/>
    <w:rsid w:val="00E9114B"/>
    <w:rsid w:val="00E9404C"/>
    <w:rsid w:val="00E9523D"/>
    <w:rsid w:val="00E965DB"/>
    <w:rsid w:val="00E97216"/>
    <w:rsid w:val="00E973BD"/>
    <w:rsid w:val="00EA07DD"/>
    <w:rsid w:val="00EA212D"/>
    <w:rsid w:val="00EA5171"/>
    <w:rsid w:val="00EB0140"/>
    <w:rsid w:val="00EB152B"/>
    <w:rsid w:val="00EB1897"/>
    <w:rsid w:val="00EB1EEB"/>
    <w:rsid w:val="00EB36DF"/>
    <w:rsid w:val="00EB4282"/>
    <w:rsid w:val="00EB651D"/>
    <w:rsid w:val="00EC269C"/>
    <w:rsid w:val="00EC595B"/>
    <w:rsid w:val="00EC63DB"/>
    <w:rsid w:val="00EC7076"/>
    <w:rsid w:val="00ED0766"/>
    <w:rsid w:val="00ED0B4F"/>
    <w:rsid w:val="00ED1BB1"/>
    <w:rsid w:val="00ED4A48"/>
    <w:rsid w:val="00ED69B0"/>
    <w:rsid w:val="00EE0820"/>
    <w:rsid w:val="00EE18D1"/>
    <w:rsid w:val="00EE4B26"/>
    <w:rsid w:val="00EE62C0"/>
    <w:rsid w:val="00EE6936"/>
    <w:rsid w:val="00EE7204"/>
    <w:rsid w:val="00EE73CB"/>
    <w:rsid w:val="00EE7965"/>
    <w:rsid w:val="00EF0377"/>
    <w:rsid w:val="00EF072D"/>
    <w:rsid w:val="00EF1531"/>
    <w:rsid w:val="00EF32E3"/>
    <w:rsid w:val="00EF3706"/>
    <w:rsid w:val="00EF382C"/>
    <w:rsid w:val="00EF405C"/>
    <w:rsid w:val="00EF4542"/>
    <w:rsid w:val="00F0164C"/>
    <w:rsid w:val="00F01788"/>
    <w:rsid w:val="00F04247"/>
    <w:rsid w:val="00F064DF"/>
    <w:rsid w:val="00F06BF3"/>
    <w:rsid w:val="00F06E16"/>
    <w:rsid w:val="00F10140"/>
    <w:rsid w:val="00F1117A"/>
    <w:rsid w:val="00F1263F"/>
    <w:rsid w:val="00F15F06"/>
    <w:rsid w:val="00F16DA2"/>
    <w:rsid w:val="00F16E01"/>
    <w:rsid w:val="00F23099"/>
    <w:rsid w:val="00F23210"/>
    <w:rsid w:val="00F23FB6"/>
    <w:rsid w:val="00F25F64"/>
    <w:rsid w:val="00F2776E"/>
    <w:rsid w:val="00F27EA0"/>
    <w:rsid w:val="00F30532"/>
    <w:rsid w:val="00F3175D"/>
    <w:rsid w:val="00F32805"/>
    <w:rsid w:val="00F32E88"/>
    <w:rsid w:val="00F34283"/>
    <w:rsid w:val="00F343FC"/>
    <w:rsid w:val="00F353E3"/>
    <w:rsid w:val="00F41F4B"/>
    <w:rsid w:val="00F47E37"/>
    <w:rsid w:val="00F50AFA"/>
    <w:rsid w:val="00F51BDD"/>
    <w:rsid w:val="00F53899"/>
    <w:rsid w:val="00F558E0"/>
    <w:rsid w:val="00F57C17"/>
    <w:rsid w:val="00F57EAB"/>
    <w:rsid w:val="00F603C2"/>
    <w:rsid w:val="00F60D8A"/>
    <w:rsid w:val="00F64157"/>
    <w:rsid w:val="00F6494A"/>
    <w:rsid w:val="00F654C8"/>
    <w:rsid w:val="00F67FD4"/>
    <w:rsid w:val="00F712B1"/>
    <w:rsid w:val="00F72941"/>
    <w:rsid w:val="00F72E77"/>
    <w:rsid w:val="00F72F06"/>
    <w:rsid w:val="00F73357"/>
    <w:rsid w:val="00F746F0"/>
    <w:rsid w:val="00F76A22"/>
    <w:rsid w:val="00F77C03"/>
    <w:rsid w:val="00F82824"/>
    <w:rsid w:val="00F86947"/>
    <w:rsid w:val="00F869B6"/>
    <w:rsid w:val="00F86AB1"/>
    <w:rsid w:val="00F86BAF"/>
    <w:rsid w:val="00F87B5C"/>
    <w:rsid w:val="00F87F97"/>
    <w:rsid w:val="00F928ED"/>
    <w:rsid w:val="00F9336F"/>
    <w:rsid w:val="00F96CA5"/>
    <w:rsid w:val="00F97622"/>
    <w:rsid w:val="00FA2608"/>
    <w:rsid w:val="00FA3B58"/>
    <w:rsid w:val="00FB2604"/>
    <w:rsid w:val="00FB3BD5"/>
    <w:rsid w:val="00FB7449"/>
    <w:rsid w:val="00FC30C1"/>
    <w:rsid w:val="00FC3599"/>
    <w:rsid w:val="00FC374C"/>
    <w:rsid w:val="00FD1650"/>
    <w:rsid w:val="00FD3E37"/>
    <w:rsid w:val="00FD6EEB"/>
    <w:rsid w:val="00FD777D"/>
    <w:rsid w:val="00FD795E"/>
    <w:rsid w:val="00FE54F0"/>
    <w:rsid w:val="00FF0430"/>
    <w:rsid w:val="00FF1372"/>
    <w:rsid w:val="00FF1D36"/>
    <w:rsid w:val="00FF3CCD"/>
    <w:rsid w:val="00FF46D7"/>
    <w:rsid w:val="01042CD0"/>
    <w:rsid w:val="01320192"/>
    <w:rsid w:val="013F2D38"/>
    <w:rsid w:val="01455A1A"/>
    <w:rsid w:val="01630AC4"/>
    <w:rsid w:val="01BA1DA2"/>
    <w:rsid w:val="01E97B75"/>
    <w:rsid w:val="025C62E5"/>
    <w:rsid w:val="02E24E06"/>
    <w:rsid w:val="02E87117"/>
    <w:rsid w:val="03056021"/>
    <w:rsid w:val="03067D73"/>
    <w:rsid w:val="030E1EDE"/>
    <w:rsid w:val="03100B2F"/>
    <w:rsid w:val="03101B4C"/>
    <w:rsid w:val="0336564F"/>
    <w:rsid w:val="036315A8"/>
    <w:rsid w:val="03820B0D"/>
    <w:rsid w:val="03D278CE"/>
    <w:rsid w:val="04592C05"/>
    <w:rsid w:val="04737B63"/>
    <w:rsid w:val="04793A64"/>
    <w:rsid w:val="04AC6F11"/>
    <w:rsid w:val="04BA2023"/>
    <w:rsid w:val="04CF60EE"/>
    <w:rsid w:val="04EB3CD9"/>
    <w:rsid w:val="04F17A55"/>
    <w:rsid w:val="04F40D78"/>
    <w:rsid w:val="04F907FB"/>
    <w:rsid w:val="0508393B"/>
    <w:rsid w:val="05180377"/>
    <w:rsid w:val="0520350B"/>
    <w:rsid w:val="05212F78"/>
    <w:rsid w:val="05401243"/>
    <w:rsid w:val="0577117A"/>
    <w:rsid w:val="05A55DF4"/>
    <w:rsid w:val="05FB6CC1"/>
    <w:rsid w:val="060F76EE"/>
    <w:rsid w:val="06410F33"/>
    <w:rsid w:val="0674706B"/>
    <w:rsid w:val="068247C2"/>
    <w:rsid w:val="068B011B"/>
    <w:rsid w:val="06AE2120"/>
    <w:rsid w:val="06AE6838"/>
    <w:rsid w:val="06BB3444"/>
    <w:rsid w:val="06C6676B"/>
    <w:rsid w:val="06CD2CD1"/>
    <w:rsid w:val="06D05B1B"/>
    <w:rsid w:val="06E65C5D"/>
    <w:rsid w:val="06F77FBC"/>
    <w:rsid w:val="06FE6B53"/>
    <w:rsid w:val="072835A2"/>
    <w:rsid w:val="07296FFB"/>
    <w:rsid w:val="072D4AEF"/>
    <w:rsid w:val="073B60D9"/>
    <w:rsid w:val="074840C5"/>
    <w:rsid w:val="07513801"/>
    <w:rsid w:val="075271C3"/>
    <w:rsid w:val="075714A4"/>
    <w:rsid w:val="077628B1"/>
    <w:rsid w:val="07AA3BE7"/>
    <w:rsid w:val="07BA1BA8"/>
    <w:rsid w:val="07E5131D"/>
    <w:rsid w:val="07E806E8"/>
    <w:rsid w:val="07FC4898"/>
    <w:rsid w:val="080569DD"/>
    <w:rsid w:val="081936D0"/>
    <w:rsid w:val="085B4073"/>
    <w:rsid w:val="08A378C7"/>
    <w:rsid w:val="08DD2784"/>
    <w:rsid w:val="08FD674C"/>
    <w:rsid w:val="08FE0F7A"/>
    <w:rsid w:val="0902174A"/>
    <w:rsid w:val="09042942"/>
    <w:rsid w:val="09342BCF"/>
    <w:rsid w:val="09630B57"/>
    <w:rsid w:val="09876AD2"/>
    <w:rsid w:val="099E5B23"/>
    <w:rsid w:val="09A713C7"/>
    <w:rsid w:val="09C0448D"/>
    <w:rsid w:val="09C93764"/>
    <w:rsid w:val="09D042BD"/>
    <w:rsid w:val="09F05C2F"/>
    <w:rsid w:val="0A126EFD"/>
    <w:rsid w:val="0A1F7E09"/>
    <w:rsid w:val="0A263A52"/>
    <w:rsid w:val="0A35793C"/>
    <w:rsid w:val="0A3F24BC"/>
    <w:rsid w:val="0A4056C9"/>
    <w:rsid w:val="0A465068"/>
    <w:rsid w:val="0A5215C6"/>
    <w:rsid w:val="0A5764C7"/>
    <w:rsid w:val="0A667254"/>
    <w:rsid w:val="0A79049A"/>
    <w:rsid w:val="0AC459AA"/>
    <w:rsid w:val="0AED5919"/>
    <w:rsid w:val="0AF54C2C"/>
    <w:rsid w:val="0B524831"/>
    <w:rsid w:val="0B552436"/>
    <w:rsid w:val="0B8A6710"/>
    <w:rsid w:val="0B9238CE"/>
    <w:rsid w:val="0B9334F0"/>
    <w:rsid w:val="0BA355D1"/>
    <w:rsid w:val="0BAB3543"/>
    <w:rsid w:val="0BD77972"/>
    <w:rsid w:val="0BF46EB9"/>
    <w:rsid w:val="0C3027F0"/>
    <w:rsid w:val="0C3570D2"/>
    <w:rsid w:val="0C545B79"/>
    <w:rsid w:val="0C7408A6"/>
    <w:rsid w:val="0C8B76DA"/>
    <w:rsid w:val="0CA9620A"/>
    <w:rsid w:val="0CE9599F"/>
    <w:rsid w:val="0CF83047"/>
    <w:rsid w:val="0CF90A01"/>
    <w:rsid w:val="0D0E0651"/>
    <w:rsid w:val="0D1F1FC4"/>
    <w:rsid w:val="0D2F7F94"/>
    <w:rsid w:val="0D582861"/>
    <w:rsid w:val="0D9228FB"/>
    <w:rsid w:val="0DB3457E"/>
    <w:rsid w:val="0DEE3448"/>
    <w:rsid w:val="0DF41445"/>
    <w:rsid w:val="0DF67E4E"/>
    <w:rsid w:val="0E4B14CA"/>
    <w:rsid w:val="0E5F54A7"/>
    <w:rsid w:val="0E7543DC"/>
    <w:rsid w:val="0EB208AB"/>
    <w:rsid w:val="0EC136EA"/>
    <w:rsid w:val="0ECE3CF5"/>
    <w:rsid w:val="0F114F08"/>
    <w:rsid w:val="0F235864"/>
    <w:rsid w:val="0F2C1D70"/>
    <w:rsid w:val="0F554233"/>
    <w:rsid w:val="0F570A4B"/>
    <w:rsid w:val="0F6543D3"/>
    <w:rsid w:val="0F7B7146"/>
    <w:rsid w:val="0F8852DA"/>
    <w:rsid w:val="0FE24D0D"/>
    <w:rsid w:val="0FE33AB7"/>
    <w:rsid w:val="0FED0F9E"/>
    <w:rsid w:val="0FF67A78"/>
    <w:rsid w:val="0FF97A38"/>
    <w:rsid w:val="10084C10"/>
    <w:rsid w:val="101D642E"/>
    <w:rsid w:val="10437189"/>
    <w:rsid w:val="10645478"/>
    <w:rsid w:val="107C485E"/>
    <w:rsid w:val="10923340"/>
    <w:rsid w:val="10AA0966"/>
    <w:rsid w:val="10B325BC"/>
    <w:rsid w:val="110343D2"/>
    <w:rsid w:val="1105643F"/>
    <w:rsid w:val="111F342F"/>
    <w:rsid w:val="112678F2"/>
    <w:rsid w:val="113302D5"/>
    <w:rsid w:val="11355638"/>
    <w:rsid w:val="1139145C"/>
    <w:rsid w:val="11484C6D"/>
    <w:rsid w:val="11560804"/>
    <w:rsid w:val="11634F6A"/>
    <w:rsid w:val="116E676E"/>
    <w:rsid w:val="1181341B"/>
    <w:rsid w:val="119800BE"/>
    <w:rsid w:val="11E41348"/>
    <w:rsid w:val="12376A7B"/>
    <w:rsid w:val="12644410"/>
    <w:rsid w:val="12773901"/>
    <w:rsid w:val="12BE0E11"/>
    <w:rsid w:val="13057820"/>
    <w:rsid w:val="130B5A0A"/>
    <w:rsid w:val="132E5836"/>
    <w:rsid w:val="1342060B"/>
    <w:rsid w:val="13476A19"/>
    <w:rsid w:val="135950FD"/>
    <w:rsid w:val="13870605"/>
    <w:rsid w:val="13C04EA4"/>
    <w:rsid w:val="13C22CA3"/>
    <w:rsid w:val="13C8146C"/>
    <w:rsid w:val="13DF588E"/>
    <w:rsid w:val="13E64E0D"/>
    <w:rsid w:val="13F83EAD"/>
    <w:rsid w:val="142245F5"/>
    <w:rsid w:val="14242F5B"/>
    <w:rsid w:val="143F2DBB"/>
    <w:rsid w:val="145F13FD"/>
    <w:rsid w:val="14635DBD"/>
    <w:rsid w:val="14953F1B"/>
    <w:rsid w:val="14CF78D8"/>
    <w:rsid w:val="150119B8"/>
    <w:rsid w:val="1509601B"/>
    <w:rsid w:val="15396F94"/>
    <w:rsid w:val="15516D0A"/>
    <w:rsid w:val="1558270A"/>
    <w:rsid w:val="15786770"/>
    <w:rsid w:val="15786F27"/>
    <w:rsid w:val="157C0E6A"/>
    <w:rsid w:val="158128E0"/>
    <w:rsid w:val="15973EF0"/>
    <w:rsid w:val="159D3819"/>
    <w:rsid w:val="15C87DC2"/>
    <w:rsid w:val="15E2204B"/>
    <w:rsid w:val="1615044B"/>
    <w:rsid w:val="161729E0"/>
    <w:rsid w:val="163B5304"/>
    <w:rsid w:val="163D0EF1"/>
    <w:rsid w:val="16445CA6"/>
    <w:rsid w:val="164C5380"/>
    <w:rsid w:val="16605119"/>
    <w:rsid w:val="16870790"/>
    <w:rsid w:val="16BE560D"/>
    <w:rsid w:val="17045E63"/>
    <w:rsid w:val="1709212E"/>
    <w:rsid w:val="1745083A"/>
    <w:rsid w:val="174D7F3F"/>
    <w:rsid w:val="175F3859"/>
    <w:rsid w:val="17714B81"/>
    <w:rsid w:val="178652E9"/>
    <w:rsid w:val="17906280"/>
    <w:rsid w:val="179B5D3A"/>
    <w:rsid w:val="179E1661"/>
    <w:rsid w:val="17A37E03"/>
    <w:rsid w:val="17AF0188"/>
    <w:rsid w:val="17B26963"/>
    <w:rsid w:val="17C4644F"/>
    <w:rsid w:val="17CD58FA"/>
    <w:rsid w:val="17D978CC"/>
    <w:rsid w:val="18117EBD"/>
    <w:rsid w:val="18157EF7"/>
    <w:rsid w:val="18307BF5"/>
    <w:rsid w:val="183B0682"/>
    <w:rsid w:val="185763F9"/>
    <w:rsid w:val="18AD32E9"/>
    <w:rsid w:val="18B525ED"/>
    <w:rsid w:val="18BD451D"/>
    <w:rsid w:val="18C26AAD"/>
    <w:rsid w:val="18E35173"/>
    <w:rsid w:val="18F8084E"/>
    <w:rsid w:val="194738B6"/>
    <w:rsid w:val="19694CBC"/>
    <w:rsid w:val="1975663B"/>
    <w:rsid w:val="19A643D8"/>
    <w:rsid w:val="19B71B3F"/>
    <w:rsid w:val="19C05FB5"/>
    <w:rsid w:val="19C641E2"/>
    <w:rsid w:val="19D13BB0"/>
    <w:rsid w:val="19F5712E"/>
    <w:rsid w:val="1A0F1154"/>
    <w:rsid w:val="1A3838EE"/>
    <w:rsid w:val="1A515EDE"/>
    <w:rsid w:val="1A5906F5"/>
    <w:rsid w:val="1A8D13C4"/>
    <w:rsid w:val="1AA74074"/>
    <w:rsid w:val="1AC70D0E"/>
    <w:rsid w:val="1AC96737"/>
    <w:rsid w:val="1AFC01A8"/>
    <w:rsid w:val="1B646C7A"/>
    <w:rsid w:val="1B6E62FA"/>
    <w:rsid w:val="1BF60304"/>
    <w:rsid w:val="1BFC01FF"/>
    <w:rsid w:val="1C137F14"/>
    <w:rsid w:val="1C517AF9"/>
    <w:rsid w:val="1C58538F"/>
    <w:rsid w:val="1C636D5F"/>
    <w:rsid w:val="1C9710D7"/>
    <w:rsid w:val="1CB7015D"/>
    <w:rsid w:val="1CC7424C"/>
    <w:rsid w:val="1CF06E1F"/>
    <w:rsid w:val="1D152FDC"/>
    <w:rsid w:val="1D1B5442"/>
    <w:rsid w:val="1D3D1750"/>
    <w:rsid w:val="1D6B69BD"/>
    <w:rsid w:val="1D7D14A6"/>
    <w:rsid w:val="1D89487D"/>
    <w:rsid w:val="1D937180"/>
    <w:rsid w:val="1D9C5199"/>
    <w:rsid w:val="1DD94A3B"/>
    <w:rsid w:val="1DEC45D0"/>
    <w:rsid w:val="1E0A6315"/>
    <w:rsid w:val="1E5B441F"/>
    <w:rsid w:val="1E7A4165"/>
    <w:rsid w:val="1ECB1018"/>
    <w:rsid w:val="1ED65854"/>
    <w:rsid w:val="1EDD57B2"/>
    <w:rsid w:val="1EEC7AAC"/>
    <w:rsid w:val="1F116AC5"/>
    <w:rsid w:val="1F1B7934"/>
    <w:rsid w:val="1F2A4249"/>
    <w:rsid w:val="1F3D01F5"/>
    <w:rsid w:val="1F3F2759"/>
    <w:rsid w:val="1F792DE0"/>
    <w:rsid w:val="1F9F1555"/>
    <w:rsid w:val="1FAF786E"/>
    <w:rsid w:val="1FB63D2F"/>
    <w:rsid w:val="1FEB249F"/>
    <w:rsid w:val="1FF34D03"/>
    <w:rsid w:val="1FF92002"/>
    <w:rsid w:val="2010112C"/>
    <w:rsid w:val="204B25D7"/>
    <w:rsid w:val="2057531B"/>
    <w:rsid w:val="209004BA"/>
    <w:rsid w:val="20917663"/>
    <w:rsid w:val="209942B1"/>
    <w:rsid w:val="20A135B0"/>
    <w:rsid w:val="20AA0D3C"/>
    <w:rsid w:val="20AA749D"/>
    <w:rsid w:val="20C4762C"/>
    <w:rsid w:val="20CA6078"/>
    <w:rsid w:val="20DF2E27"/>
    <w:rsid w:val="20EA12F1"/>
    <w:rsid w:val="20ED615D"/>
    <w:rsid w:val="21054E07"/>
    <w:rsid w:val="210A1E0D"/>
    <w:rsid w:val="21103395"/>
    <w:rsid w:val="2131482D"/>
    <w:rsid w:val="215D1CBF"/>
    <w:rsid w:val="21860CCB"/>
    <w:rsid w:val="21AF6F62"/>
    <w:rsid w:val="21B93CA4"/>
    <w:rsid w:val="21C519A3"/>
    <w:rsid w:val="21D53CB4"/>
    <w:rsid w:val="21D95A57"/>
    <w:rsid w:val="21EF1A6B"/>
    <w:rsid w:val="22045C5E"/>
    <w:rsid w:val="22241935"/>
    <w:rsid w:val="22992119"/>
    <w:rsid w:val="22D621F6"/>
    <w:rsid w:val="22EC5646"/>
    <w:rsid w:val="22F058E6"/>
    <w:rsid w:val="22F62969"/>
    <w:rsid w:val="22F65DF4"/>
    <w:rsid w:val="22FF7411"/>
    <w:rsid w:val="232B6A60"/>
    <w:rsid w:val="235402FE"/>
    <w:rsid w:val="238002CA"/>
    <w:rsid w:val="23C86911"/>
    <w:rsid w:val="23D2079E"/>
    <w:rsid w:val="23E16791"/>
    <w:rsid w:val="23E304EF"/>
    <w:rsid w:val="24425D58"/>
    <w:rsid w:val="24B30097"/>
    <w:rsid w:val="24C0710A"/>
    <w:rsid w:val="2503642C"/>
    <w:rsid w:val="25094517"/>
    <w:rsid w:val="25182F61"/>
    <w:rsid w:val="252F2291"/>
    <w:rsid w:val="253E0C1C"/>
    <w:rsid w:val="25586BAB"/>
    <w:rsid w:val="256C324C"/>
    <w:rsid w:val="25B22D0B"/>
    <w:rsid w:val="25B325FB"/>
    <w:rsid w:val="25B54911"/>
    <w:rsid w:val="261575A3"/>
    <w:rsid w:val="262B46D7"/>
    <w:rsid w:val="263B530F"/>
    <w:rsid w:val="266009A6"/>
    <w:rsid w:val="2672121E"/>
    <w:rsid w:val="26784E0F"/>
    <w:rsid w:val="268631A3"/>
    <w:rsid w:val="269851FE"/>
    <w:rsid w:val="269E2CAC"/>
    <w:rsid w:val="26B35062"/>
    <w:rsid w:val="26B67756"/>
    <w:rsid w:val="26C73974"/>
    <w:rsid w:val="26DD555B"/>
    <w:rsid w:val="26EB5622"/>
    <w:rsid w:val="26EE1123"/>
    <w:rsid w:val="26FA15C1"/>
    <w:rsid w:val="2733531B"/>
    <w:rsid w:val="273949EE"/>
    <w:rsid w:val="27472D36"/>
    <w:rsid w:val="276945DF"/>
    <w:rsid w:val="27713073"/>
    <w:rsid w:val="278E149F"/>
    <w:rsid w:val="27A56F34"/>
    <w:rsid w:val="27B4784F"/>
    <w:rsid w:val="27FD40D4"/>
    <w:rsid w:val="280D5FA4"/>
    <w:rsid w:val="280F3EFA"/>
    <w:rsid w:val="280F7439"/>
    <w:rsid w:val="282262D7"/>
    <w:rsid w:val="28424472"/>
    <w:rsid w:val="28A24078"/>
    <w:rsid w:val="28BB266C"/>
    <w:rsid w:val="29327953"/>
    <w:rsid w:val="29383F1C"/>
    <w:rsid w:val="2944405C"/>
    <w:rsid w:val="29453A75"/>
    <w:rsid w:val="29837632"/>
    <w:rsid w:val="29924E43"/>
    <w:rsid w:val="29945D6C"/>
    <w:rsid w:val="29A678A9"/>
    <w:rsid w:val="29C31E84"/>
    <w:rsid w:val="29CF060F"/>
    <w:rsid w:val="29E465E0"/>
    <w:rsid w:val="29FE59B1"/>
    <w:rsid w:val="2A386A88"/>
    <w:rsid w:val="2A8D6343"/>
    <w:rsid w:val="2AD92053"/>
    <w:rsid w:val="2B107667"/>
    <w:rsid w:val="2B641FC3"/>
    <w:rsid w:val="2B796BA9"/>
    <w:rsid w:val="2B806430"/>
    <w:rsid w:val="2BCF2870"/>
    <w:rsid w:val="2BD94AAC"/>
    <w:rsid w:val="2BE8759F"/>
    <w:rsid w:val="2C076A9B"/>
    <w:rsid w:val="2C0E7417"/>
    <w:rsid w:val="2C0F4D50"/>
    <w:rsid w:val="2C37763E"/>
    <w:rsid w:val="2C424585"/>
    <w:rsid w:val="2C4327A8"/>
    <w:rsid w:val="2C7132EA"/>
    <w:rsid w:val="2C783AE0"/>
    <w:rsid w:val="2CAA2919"/>
    <w:rsid w:val="2CC4602A"/>
    <w:rsid w:val="2CD8221A"/>
    <w:rsid w:val="2D06251D"/>
    <w:rsid w:val="2D113E56"/>
    <w:rsid w:val="2D1465EB"/>
    <w:rsid w:val="2D522EBC"/>
    <w:rsid w:val="2D5477E6"/>
    <w:rsid w:val="2D6214F2"/>
    <w:rsid w:val="2D8A4CE1"/>
    <w:rsid w:val="2D9507CF"/>
    <w:rsid w:val="2D9D410D"/>
    <w:rsid w:val="2DAF11E1"/>
    <w:rsid w:val="2DAF3E40"/>
    <w:rsid w:val="2DB6320A"/>
    <w:rsid w:val="2DB74C3B"/>
    <w:rsid w:val="2E007023"/>
    <w:rsid w:val="2E0759C7"/>
    <w:rsid w:val="2E0931A4"/>
    <w:rsid w:val="2E236DC1"/>
    <w:rsid w:val="2E2C2010"/>
    <w:rsid w:val="2E392B2B"/>
    <w:rsid w:val="2EAE1C04"/>
    <w:rsid w:val="2EB6515C"/>
    <w:rsid w:val="2EC113FF"/>
    <w:rsid w:val="2ED038FB"/>
    <w:rsid w:val="2F0C7091"/>
    <w:rsid w:val="2F234AE5"/>
    <w:rsid w:val="2F317C76"/>
    <w:rsid w:val="2F6D6F42"/>
    <w:rsid w:val="2F726AA9"/>
    <w:rsid w:val="2F9E54D1"/>
    <w:rsid w:val="300D5345"/>
    <w:rsid w:val="30355329"/>
    <w:rsid w:val="303D0EEA"/>
    <w:rsid w:val="30562A56"/>
    <w:rsid w:val="307C5CD3"/>
    <w:rsid w:val="30884E32"/>
    <w:rsid w:val="30B20A2E"/>
    <w:rsid w:val="30FC3B86"/>
    <w:rsid w:val="3166141B"/>
    <w:rsid w:val="316C4B74"/>
    <w:rsid w:val="31865B49"/>
    <w:rsid w:val="31900C1B"/>
    <w:rsid w:val="31A3127F"/>
    <w:rsid w:val="31CC50E2"/>
    <w:rsid w:val="31E80B39"/>
    <w:rsid w:val="321C016C"/>
    <w:rsid w:val="32354BFC"/>
    <w:rsid w:val="3247156C"/>
    <w:rsid w:val="326A1DB1"/>
    <w:rsid w:val="32930B88"/>
    <w:rsid w:val="32C24615"/>
    <w:rsid w:val="32C34468"/>
    <w:rsid w:val="32E13E1E"/>
    <w:rsid w:val="334933FE"/>
    <w:rsid w:val="3369018F"/>
    <w:rsid w:val="338468F5"/>
    <w:rsid w:val="33AA6BB6"/>
    <w:rsid w:val="33C54116"/>
    <w:rsid w:val="33D00119"/>
    <w:rsid w:val="34084704"/>
    <w:rsid w:val="34347E21"/>
    <w:rsid w:val="34624B7D"/>
    <w:rsid w:val="346831B7"/>
    <w:rsid w:val="3492701B"/>
    <w:rsid w:val="34982C61"/>
    <w:rsid w:val="34BE52DE"/>
    <w:rsid w:val="34D677AF"/>
    <w:rsid w:val="34E64694"/>
    <w:rsid w:val="35116F5F"/>
    <w:rsid w:val="351450C9"/>
    <w:rsid w:val="353330E4"/>
    <w:rsid w:val="35354844"/>
    <w:rsid w:val="35385C88"/>
    <w:rsid w:val="353F5BB5"/>
    <w:rsid w:val="35435512"/>
    <w:rsid w:val="35481451"/>
    <w:rsid w:val="35561E2B"/>
    <w:rsid w:val="355C4A1F"/>
    <w:rsid w:val="3578581E"/>
    <w:rsid w:val="35857419"/>
    <w:rsid w:val="35875CD7"/>
    <w:rsid w:val="35C8466C"/>
    <w:rsid w:val="35CE3D8F"/>
    <w:rsid w:val="3602502C"/>
    <w:rsid w:val="361A75B2"/>
    <w:rsid w:val="365B1779"/>
    <w:rsid w:val="36671A6C"/>
    <w:rsid w:val="36B97803"/>
    <w:rsid w:val="36C57C65"/>
    <w:rsid w:val="36D20E72"/>
    <w:rsid w:val="36F82FBB"/>
    <w:rsid w:val="36FA3427"/>
    <w:rsid w:val="372417BB"/>
    <w:rsid w:val="37445638"/>
    <w:rsid w:val="374F6512"/>
    <w:rsid w:val="378E0F6A"/>
    <w:rsid w:val="38085DBF"/>
    <w:rsid w:val="3823159E"/>
    <w:rsid w:val="38353D64"/>
    <w:rsid w:val="385E6DA2"/>
    <w:rsid w:val="387D1F11"/>
    <w:rsid w:val="38D16010"/>
    <w:rsid w:val="38DD709E"/>
    <w:rsid w:val="38F232F9"/>
    <w:rsid w:val="39142BB0"/>
    <w:rsid w:val="39161A92"/>
    <w:rsid w:val="391A54FE"/>
    <w:rsid w:val="39370EED"/>
    <w:rsid w:val="398923C3"/>
    <w:rsid w:val="399C5460"/>
    <w:rsid w:val="39AC4745"/>
    <w:rsid w:val="39B07178"/>
    <w:rsid w:val="39EC5418"/>
    <w:rsid w:val="3A046DBF"/>
    <w:rsid w:val="3A3F664F"/>
    <w:rsid w:val="3A4C692C"/>
    <w:rsid w:val="3A501EA5"/>
    <w:rsid w:val="3A850737"/>
    <w:rsid w:val="3A9E4A8D"/>
    <w:rsid w:val="3ADF02DC"/>
    <w:rsid w:val="3AF5453F"/>
    <w:rsid w:val="3B0A24EB"/>
    <w:rsid w:val="3B213892"/>
    <w:rsid w:val="3B3617C1"/>
    <w:rsid w:val="3B725E88"/>
    <w:rsid w:val="3BD00FAF"/>
    <w:rsid w:val="3BD1253C"/>
    <w:rsid w:val="3BD94903"/>
    <w:rsid w:val="3BDC7979"/>
    <w:rsid w:val="3C0A464D"/>
    <w:rsid w:val="3C847300"/>
    <w:rsid w:val="3CA9251C"/>
    <w:rsid w:val="3CB75A2A"/>
    <w:rsid w:val="3CD425CC"/>
    <w:rsid w:val="3CD4307D"/>
    <w:rsid w:val="3CE753A4"/>
    <w:rsid w:val="3CF7689E"/>
    <w:rsid w:val="3D460CC9"/>
    <w:rsid w:val="3D6F0FE4"/>
    <w:rsid w:val="3D856884"/>
    <w:rsid w:val="3D9F16AD"/>
    <w:rsid w:val="3DED63EF"/>
    <w:rsid w:val="3E5C4C15"/>
    <w:rsid w:val="3E73181B"/>
    <w:rsid w:val="3E986124"/>
    <w:rsid w:val="3EA62F6B"/>
    <w:rsid w:val="3EAD270E"/>
    <w:rsid w:val="3EBA21A2"/>
    <w:rsid w:val="3EC83719"/>
    <w:rsid w:val="3EF07B2A"/>
    <w:rsid w:val="3EF16C24"/>
    <w:rsid w:val="3EF97023"/>
    <w:rsid w:val="3F0A7B4D"/>
    <w:rsid w:val="3F536E72"/>
    <w:rsid w:val="3F5A5DF8"/>
    <w:rsid w:val="3F682495"/>
    <w:rsid w:val="3F6F5A12"/>
    <w:rsid w:val="3F7D06A9"/>
    <w:rsid w:val="3F89775A"/>
    <w:rsid w:val="40211D12"/>
    <w:rsid w:val="403223B5"/>
    <w:rsid w:val="40383331"/>
    <w:rsid w:val="405E1A1A"/>
    <w:rsid w:val="408B20B7"/>
    <w:rsid w:val="409F500E"/>
    <w:rsid w:val="40D21025"/>
    <w:rsid w:val="40E35408"/>
    <w:rsid w:val="40E70C87"/>
    <w:rsid w:val="4116685A"/>
    <w:rsid w:val="4144132E"/>
    <w:rsid w:val="414560ED"/>
    <w:rsid w:val="4160303A"/>
    <w:rsid w:val="41730B93"/>
    <w:rsid w:val="417D77C6"/>
    <w:rsid w:val="417F6E03"/>
    <w:rsid w:val="41820512"/>
    <w:rsid w:val="41A802BD"/>
    <w:rsid w:val="41AC5406"/>
    <w:rsid w:val="41AF2D7B"/>
    <w:rsid w:val="41C21034"/>
    <w:rsid w:val="42162688"/>
    <w:rsid w:val="422D44CF"/>
    <w:rsid w:val="423650F9"/>
    <w:rsid w:val="426C5E38"/>
    <w:rsid w:val="42ED6214"/>
    <w:rsid w:val="43396CB1"/>
    <w:rsid w:val="433B3A4C"/>
    <w:rsid w:val="433D2460"/>
    <w:rsid w:val="439532EA"/>
    <w:rsid w:val="43CE363D"/>
    <w:rsid w:val="43F64B4C"/>
    <w:rsid w:val="44044389"/>
    <w:rsid w:val="440D1349"/>
    <w:rsid w:val="442235E1"/>
    <w:rsid w:val="44832484"/>
    <w:rsid w:val="449B0C56"/>
    <w:rsid w:val="44A077D5"/>
    <w:rsid w:val="44A142A6"/>
    <w:rsid w:val="44B40FFF"/>
    <w:rsid w:val="45124762"/>
    <w:rsid w:val="4516018B"/>
    <w:rsid w:val="452D7737"/>
    <w:rsid w:val="455064CB"/>
    <w:rsid w:val="455C6481"/>
    <w:rsid w:val="456552E9"/>
    <w:rsid w:val="45901428"/>
    <w:rsid w:val="459210DB"/>
    <w:rsid w:val="45FD05DD"/>
    <w:rsid w:val="4624677B"/>
    <w:rsid w:val="46285655"/>
    <w:rsid w:val="4637255B"/>
    <w:rsid w:val="464B1A18"/>
    <w:rsid w:val="464B225F"/>
    <w:rsid w:val="469063CF"/>
    <w:rsid w:val="46925930"/>
    <w:rsid w:val="46927983"/>
    <w:rsid w:val="46A136A7"/>
    <w:rsid w:val="46D0277B"/>
    <w:rsid w:val="46E663B3"/>
    <w:rsid w:val="47004B35"/>
    <w:rsid w:val="47055811"/>
    <w:rsid w:val="47173550"/>
    <w:rsid w:val="47387046"/>
    <w:rsid w:val="47A2368C"/>
    <w:rsid w:val="47D149D8"/>
    <w:rsid w:val="48144862"/>
    <w:rsid w:val="481E7EA7"/>
    <w:rsid w:val="48267635"/>
    <w:rsid w:val="4842767D"/>
    <w:rsid w:val="484653A1"/>
    <w:rsid w:val="485A64CD"/>
    <w:rsid w:val="48654A26"/>
    <w:rsid w:val="486D6CC0"/>
    <w:rsid w:val="488C2B7C"/>
    <w:rsid w:val="489A2240"/>
    <w:rsid w:val="48C75206"/>
    <w:rsid w:val="48D53CF6"/>
    <w:rsid w:val="491B78AA"/>
    <w:rsid w:val="491E6220"/>
    <w:rsid w:val="49303C2F"/>
    <w:rsid w:val="49B55A70"/>
    <w:rsid w:val="49F75D45"/>
    <w:rsid w:val="4A1F72D7"/>
    <w:rsid w:val="4A245DBD"/>
    <w:rsid w:val="4A515805"/>
    <w:rsid w:val="4A847973"/>
    <w:rsid w:val="4AAE4EB2"/>
    <w:rsid w:val="4AAF7284"/>
    <w:rsid w:val="4AB91C3E"/>
    <w:rsid w:val="4ACD5285"/>
    <w:rsid w:val="4B2D3438"/>
    <w:rsid w:val="4B320EAF"/>
    <w:rsid w:val="4B341FB6"/>
    <w:rsid w:val="4B530D48"/>
    <w:rsid w:val="4B610837"/>
    <w:rsid w:val="4B664419"/>
    <w:rsid w:val="4B7C065B"/>
    <w:rsid w:val="4B7C4154"/>
    <w:rsid w:val="4B926840"/>
    <w:rsid w:val="4B9B6198"/>
    <w:rsid w:val="4BAE749A"/>
    <w:rsid w:val="4BC92DAE"/>
    <w:rsid w:val="4BE35810"/>
    <w:rsid w:val="4BE966D4"/>
    <w:rsid w:val="4BFD7343"/>
    <w:rsid w:val="4C222CCE"/>
    <w:rsid w:val="4C2E0CBD"/>
    <w:rsid w:val="4C724691"/>
    <w:rsid w:val="4CB61EA0"/>
    <w:rsid w:val="4CFF328B"/>
    <w:rsid w:val="4D084C07"/>
    <w:rsid w:val="4D265A75"/>
    <w:rsid w:val="4D2F0355"/>
    <w:rsid w:val="4D5324E4"/>
    <w:rsid w:val="4D583A38"/>
    <w:rsid w:val="4D6720AB"/>
    <w:rsid w:val="4D692FBF"/>
    <w:rsid w:val="4D763645"/>
    <w:rsid w:val="4D777B1C"/>
    <w:rsid w:val="4D872AA0"/>
    <w:rsid w:val="4D8A47C8"/>
    <w:rsid w:val="4DA95BDC"/>
    <w:rsid w:val="4DC87BBC"/>
    <w:rsid w:val="4DE34B29"/>
    <w:rsid w:val="4DEA4FBB"/>
    <w:rsid w:val="4DEE37AE"/>
    <w:rsid w:val="4DF50A6C"/>
    <w:rsid w:val="4DFD1705"/>
    <w:rsid w:val="4DFF6D01"/>
    <w:rsid w:val="4E0B34B3"/>
    <w:rsid w:val="4E481A1B"/>
    <w:rsid w:val="4E541588"/>
    <w:rsid w:val="4E661EA1"/>
    <w:rsid w:val="4E795448"/>
    <w:rsid w:val="4E9E400B"/>
    <w:rsid w:val="4EA2112B"/>
    <w:rsid w:val="4EAC6947"/>
    <w:rsid w:val="4ECD2961"/>
    <w:rsid w:val="4ED11092"/>
    <w:rsid w:val="4ED55503"/>
    <w:rsid w:val="4EE11DF1"/>
    <w:rsid w:val="4EF9123C"/>
    <w:rsid w:val="4F056F4F"/>
    <w:rsid w:val="4F184117"/>
    <w:rsid w:val="4F3664CA"/>
    <w:rsid w:val="4F716F60"/>
    <w:rsid w:val="4F7B132D"/>
    <w:rsid w:val="4F821E9C"/>
    <w:rsid w:val="4F887979"/>
    <w:rsid w:val="4FAC3F88"/>
    <w:rsid w:val="4FC84F74"/>
    <w:rsid w:val="4FD9061A"/>
    <w:rsid w:val="4FE75A4D"/>
    <w:rsid w:val="4FE803A1"/>
    <w:rsid w:val="4FFC28DD"/>
    <w:rsid w:val="502F02A9"/>
    <w:rsid w:val="502F5B9E"/>
    <w:rsid w:val="50503078"/>
    <w:rsid w:val="50574B72"/>
    <w:rsid w:val="508758F2"/>
    <w:rsid w:val="50947BE7"/>
    <w:rsid w:val="50C9678F"/>
    <w:rsid w:val="50CE44F4"/>
    <w:rsid w:val="51071719"/>
    <w:rsid w:val="513011BE"/>
    <w:rsid w:val="513D6FDD"/>
    <w:rsid w:val="518708F8"/>
    <w:rsid w:val="51951744"/>
    <w:rsid w:val="519D4573"/>
    <w:rsid w:val="51A345F2"/>
    <w:rsid w:val="51A71019"/>
    <w:rsid w:val="51B20427"/>
    <w:rsid w:val="51C70BCC"/>
    <w:rsid w:val="51DB3750"/>
    <w:rsid w:val="51E71054"/>
    <w:rsid w:val="520E79D3"/>
    <w:rsid w:val="52441514"/>
    <w:rsid w:val="52504B06"/>
    <w:rsid w:val="525262EA"/>
    <w:rsid w:val="525562FA"/>
    <w:rsid w:val="52695E52"/>
    <w:rsid w:val="529677A7"/>
    <w:rsid w:val="52AB4F03"/>
    <w:rsid w:val="52B72723"/>
    <w:rsid w:val="52CA5B6F"/>
    <w:rsid w:val="52CF2A1F"/>
    <w:rsid w:val="52EF20F1"/>
    <w:rsid w:val="532403B5"/>
    <w:rsid w:val="534C0656"/>
    <w:rsid w:val="53560256"/>
    <w:rsid w:val="535B176B"/>
    <w:rsid w:val="535C725F"/>
    <w:rsid w:val="53AE6148"/>
    <w:rsid w:val="53B00426"/>
    <w:rsid w:val="53E23B76"/>
    <w:rsid w:val="540013E0"/>
    <w:rsid w:val="540D0FAB"/>
    <w:rsid w:val="544D6C9A"/>
    <w:rsid w:val="54536316"/>
    <w:rsid w:val="545D7919"/>
    <w:rsid w:val="54AE4AED"/>
    <w:rsid w:val="54EB7B69"/>
    <w:rsid w:val="557607E4"/>
    <w:rsid w:val="55A63543"/>
    <w:rsid w:val="55E46B6D"/>
    <w:rsid w:val="56276421"/>
    <w:rsid w:val="56360FFF"/>
    <w:rsid w:val="566D5D78"/>
    <w:rsid w:val="567B6366"/>
    <w:rsid w:val="56D227CA"/>
    <w:rsid w:val="570A3D5B"/>
    <w:rsid w:val="5736037E"/>
    <w:rsid w:val="57640497"/>
    <w:rsid w:val="5764080A"/>
    <w:rsid w:val="577D1BEF"/>
    <w:rsid w:val="57C06EDF"/>
    <w:rsid w:val="57CB1ACF"/>
    <w:rsid w:val="57E17978"/>
    <w:rsid w:val="57F57929"/>
    <w:rsid w:val="58545DF3"/>
    <w:rsid w:val="58681720"/>
    <w:rsid w:val="5879602B"/>
    <w:rsid w:val="587C6DDF"/>
    <w:rsid w:val="588365F2"/>
    <w:rsid w:val="58885E59"/>
    <w:rsid w:val="58E9024A"/>
    <w:rsid w:val="58ED63B6"/>
    <w:rsid w:val="59350301"/>
    <w:rsid w:val="59473EA0"/>
    <w:rsid w:val="596D1DEC"/>
    <w:rsid w:val="59997F35"/>
    <w:rsid w:val="599A54A5"/>
    <w:rsid w:val="59D0608F"/>
    <w:rsid w:val="59DA4DB4"/>
    <w:rsid w:val="59DE353D"/>
    <w:rsid w:val="59E051FD"/>
    <w:rsid w:val="59E304DF"/>
    <w:rsid w:val="5A0740B4"/>
    <w:rsid w:val="5A13349F"/>
    <w:rsid w:val="5A261BFE"/>
    <w:rsid w:val="5A344E03"/>
    <w:rsid w:val="5A507139"/>
    <w:rsid w:val="5A5117F5"/>
    <w:rsid w:val="5A652C24"/>
    <w:rsid w:val="5A772779"/>
    <w:rsid w:val="5A85429B"/>
    <w:rsid w:val="5A996061"/>
    <w:rsid w:val="5AB218E1"/>
    <w:rsid w:val="5AB6177A"/>
    <w:rsid w:val="5AFE0749"/>
    <w:rsid w:val="5B1A6935"/>
    <w:rsid w:val="5B1F728F"/>
    <w:rsid w:val="5B247EEE"/>
    <w:rsid w:val="5B661C01"/>
    <w:rsid w:val="5B8D37E2"/>
    <w:rsid w:val="5BD522B9"/>
    <w:rsid w:val="5C2F03CB"/>
    <w:rsid w:val="5C3B6DCB"/>
    <w:rsid w:val="5C593045"/>
    <w:rsid w:val="5C777F55"/>
    <w:rsid w:val="5CBA103A"/>
    <w:rsid w:val="5CC10BB9"/>
    <w:rsid w:val="5CCA7B84"/>
    <w:rsid w:val="5CEC6120"/>
    <w:rsid w:val="5D397733"/>
    <w:rsid w:val="5DD152D8"/>
    <w:rsid w:val="5DFC40C6"/>
    <w:rsid w:val="5E185135"/>
    <w:rsid w:val="5E1B5A4C"/>
    <w:rsid w:val="5E2C49D1"/>
    <w:rsid w:val="5E4248E8"/>
    <w:rsid w:val="5E5D7E29"/>
    <w:rsid w:val="5E624433"/>
    <w:rsid w:val="5E731DCF"/>
    <w:rsid w:val="5E9E664B"/>
    <w:rsid w:val="5E9F4437"/>
    <w:rsid w:val="5EA52FAF"/>
    <w:rsid w:val="5EB81262"/>
    <w:rsid w:val="5EC07C88"/>
    <w:rsid w:val="5EE032C9"/>
    <w:rsid w:val="5EF72EF0"/>
    <w:rsid w:val="5F2C1FFC"/>
    <w:rsid w:val="5F433839"/>
    <w:rsid w:val="5F482DEF"/>
    <w:rsid w:val="5F5F66F5"/>
    <w:rsid w:val="5F723064"/>
    <w:rsid w:val="5F940DD7"/>
    <w:rsid w:val="60102465"/>
    <w:rsid w:val="60692828"/>
    <w:rsid w:val="606D504D"/>
    <w:rsid w:val="60CE7502"/>
    <w:rsid w:val="60D64DFA"/>
    <w:rsid w:val="60E115FE"/>
    <w:rsid w:val="60E27A91"/>
    <w:rsid w:val="611A2A5C"/>
    <w:rsid w:val="611F2ACA"/>
    <w:rsid w:val="612E60D6"/>
    <w:rsid w:val="617259BC"/>
    <w:rsid w:val="617A0A8D"/>
    <w:rsid w:val="61BC4810"/>
    <w:rsid w:val="61D45D62"/>
    <w:rsid w:val="62262282"/>
    <w:rsid w:val="62294554"/>
    <w:rsid w:val="62835C66"/>
    <w:rsid w:val="629A2753"/>
    <w:rsid w:val="62B666AF"/>
    <w:rsid w:val="62CD40B9"/>
    <w:rsid w:val="62E1441F"/>
    <w:rsid w:val="62E24221"/>
    <w:rsid w:val="62EE0740"/>
    <w:rsid w:val="6307759A"/>
    <w:rsid w:val="636E5863"/>
    <w:rsid w:val="637B7C12"/>
    <w:rsid w:val="637F761C"/>
    <w:rsid w:val="639C4A2B"/>
    <w:rsid w:val="63B85AD0"/>
    <w:rsid w:val="63C316CE"/>
    <w:rsid w:val="63C46CE9"/>
    <w:rsid w:val="63D548D0"/>
    <w:rsid w:val="64021414"/>
    <w:rsid w:val="64243D8F"/>
    <w:rsid w:val="64287927"/>
    <w:rsid w:val="6441723E"/>
    <w:rsid w:val="645F4364"/>
    <w:rsid w:val="647C4B15"/>
    <w:rsid w:val="649422EF"/>
    <w:rsid w:val="64B52FFF"/>
    <w:rsid w:val="64B618B5"/>
    <w:rsid w:val="64BA69E7"/>
    <w:rsid w:val="64C147F8"/>
    <w:rsid w:val="64C80B16"/>
    <w:rsid w:val="64E37CC8"/>
    <w:rsid w:val="64F273DF"/>
    <w:rsid w:val="653F699B"/>
    <w:rsid w:val="65454C2D"/>
    <w:rsid w:val="654A5CBA"/>
    <w:rsid w:val="655776C7"/>
    <w:rsid w:val="655D5E4D"/>
    <w:rsid w:val="656D6B9F"/>
    <w:rsid w:val="65783894"/>
    <w:rsid w:val="657C22C0"/>
    <w:rsid w:val="65A01086"/>
    <w:rsid w:val="65AB7EF8"/>
    <w:rsid w:val="65B4114E"/>
    <w:rsid w:val="65F21255"/>
    <w:rsid w:val="660541EF"/>
    <w:rsid w:val="660E60C4"/>
    <w:rsid w:val="661E554F"/>
    <w:rsid w:val="66410434"/>
    <w:rsid w:val="66B943B4"/>
    <w:rsid w:val="66D9794E"/>
    <w:rsid w:val="66F05966"/>
    <w:rsid w:val="671A5858"/>
    <w:rsid w:val="676505A0"/>
    <w:rsid w:val="67737FDF"/>
    <w:rsid w:val="6793278B"/>
    <w:rsid w:val="67CE1F0B"/>
    <w:rsid w:val="67FA0A31"/>
    <w:rsid w:val="68045A14"/>
    <w:rsid w:val="68311C00"/>
    <w:rsid w:val="686F14D5"/>
    <w:rsid w:val="687C47D5"/>
    <w:rsid w:val="68975742"/>
    <w:rsid w:val="68AE5E7A"/>
    <w:rsid w:val="68B615CB"/>
    <w:rsid w:val="68BB15E7"/>
    <w:rsid w:val="68C67448"/>
    <w:rsid w:val="68D01C17"/>
    <w:rsid w:val="68D9547F"/>
    <w:rsid w:val="68E45EBF"/>
    <w:rsid w:val="68E503C2"/>
    <w:rsid w:val="68EB3CEF"/>
    <w:rsid w:val="69210899"/>
    <w:rsid w:val="692A51E4"/>
    <w:rsid w:val="69344211"/>
    <w:rsid w:val="6945547D"/>
    <w:rsid w:val="69537A82"/>
    <w:rsid w:val="69641165"/>
    <w:rsid w:val="6992472C"/>
    <w:rsid w:val="699441C6"/>
    <w:rsid w:val="69D63A7F"/>
    <w:rsid w:val="6A270164"/>
    <w:rsid w:val="6A270421"/>
    <w:rsid w:val="6A640FBF"/>
    <w:rsid w:val="6A69177D"/>
    <w:rsid w:val="6AC6616F"/>
    <w:rsid w:val="6AE25466"/>
    <w:rsid w:val="6AEB454C"/>
    <w:rsid w:val="6AFA21EC"/>
    <w:rsid w:val="6B3E6BAC"/>
    <w:rsid w:val="6B4B77EA"/>
    <w:rsid w:val="6B563166"/>
    <w:rsid w:val="6B6905F7"/>
    <w:rsid w:val="6B713F07"/>
    <w:rsid w:val="6B8C6632"/>
    <w:rsid w:val="6B942897"/>
    <w:rsid w:val="6BAB63AF"/>
    <w:rsid w:val="6BDA2C78"/>
    <w:rsid w:val="6BDB0AF9"/>
    <w:rsid w:val="6C6B5EE2"/>
    <w:rsid w:val="6C6E7F90"/>
    <w:rsid w:val="6C937657"/>
    <w:rsid w:val="6C984B66"/>
    <w:rsid w:val="6CE77C9E"/>
    <w:rsid w:val="6CFE7A1D"/>
    <w:rsid w:val="6CFF0F58"/>
    <w:rsid w:val="6D587FBF"/>
    <w:rsid w:val="6D6D156A"/>
    <w:rsid w:val="6D93085D"/>
    <w:rsid w:val="6DA45FF4"/>
    <w:rsid w:val="6DB77894"/>
    <w:rsid w:val="6DC6674B"/>
    <w:rsid w:val="6DD075CC"/>
    <w:rsid w:val="6E076D05"/>
    <w:rsid w:val="6E086A9F"/>
    <w:rsid w:val="6E313A74"/>
    <w:rsid w:val="6E8A0B6A"/>
    <w:rsid w:val="6EB5741D"/>
    <w:rsid w:val="6ECC3FC3"/>
    <w:rsid w:val="6F08390E"/>
    <w:rsid w:val="6F3B697C"/>
    <w:rsid w:val="6F6B0876"/>
    <w:rsid w:val="6F757064"/>
    <w:rsid w:val="6F92207A"/>
    <w:rsid w:val="6FA83099"/>
    <w:rsid w:val="6FD20C89"/>
    <w:rsid w:val="6FE00AC2"/>
    <w:rsid w:val="6FF00F65"/>
    <w:rsid w:val="7021222E"/>
    <w:rsid w:val="702256DD"/>
    <w:rsid w:val="70235DEC"/>
    <w:rsid w:val="70692F10"/>
    <w:rsid w:val="70855F6D"/>
    <w:rsid w:val="70981F36"/>
    <w:rsid w:val="70BD4694"/>
    <w:rsid w:val="70CA560E"/>
    <w:rsid w:val="70FA3B67"/>
    <w:rsid w:val="71287D99"/>
    <w:rsid w:val="713163AF"/>
    <w:rsid w:val="714A3DFD"/>
    <w:rsid w:val="71942E78"/>
    <w:rsid w:val="71967069"/>
    <w:rsid w:val="71B97219"/>
    <w:rsid w:val="71D47F47"/>
    <w:rsid w:val="720938A5"/>
    <w:rsid w:val="720C4CE2"/>
    <w:rsid w:val="7211192F"/>
    <w:rsid w:val="72117C71"/>
    <w:rsid w:val="72253F59"/>
    <w:rsid w:val="722B44FD"/>
    <w:rsid w:val="72303688"/>
    <w:rsid w:val="72356599"/>
    <w:rsid w:val="72407358"/>
    <w:rsid w:val="72591954"/>
    <w:rsid w:val="726F0D12"/>
    <w:rsid w:val="729369EF"/>
    <w:rsid w:val="72BA2638"/>
    <w:rsid w:val="72BE0C21"/>
    <w:rsid w:val="72CE627A"/>
    <w:rsid w:val="72DD0CA4"/>
    <w:rsid w:val="72F368F4"/>
    <w:rsid w:val="731507DF"/>
    <w:rsid w:val="731D2645"/>
    <w:rsid w:val="734870D9"/>
    <w:rsid w:val="734E2F70"/>
    <w:rsid w:val="73902265"/>
    <w:rsid w:val="739D17BD"/>
    <w:rsid w:val="73A41CCF"/>
    <w:rsid w:val="73D30FAF"/>
    <w:rsid w:val="741323A7"/>
    <w:rsid w:val="741948EE"/>
    <w:rsid w:val="7430613C"/>
    <w:rsid w:val="74570EE3"/>
    <w:rsid w:val="746407BB"/>
    <w:rsid w:val="74852ABA"/>
    <w:rsid w:val="749F7AF2"/>
    <w:rsid w:val="74E15034"/>
    <w:rsid w:val="750135D4"/>
    <w:rsid w:val="750B0F29"/>
    <w:rsid w:val="75116419"/>
    <w:rsid w:val="7531137E"/>
    <w:rsid w:val="754F3080"/>
    <w:rsid w:val="75933D7A"/>
    <w:rsid w:val="75D90FA9"/>
    <w:rsid w:val="75E1085E"/>
    <w:rsid w:val="762607B0"/>
    <w:rsid w:val="765048D2"/>
    <w:rsid w:val="76586C21"/>
    <w:rsid w:val="765F1739"/>
    <w:rsid w:val="766F4280"/>
    <w:rsid w:val="766F490F"/>
    <w:rsid w:val="769B08D2"/>
    <w:rsid w:val="769E029C"/>
    <w:rsid w:val="76FE7385"/>
    <w:rsid w:val="77040121"/>
    <w:rsid w:val="77074FBA"/>
    <w:rsid w:val="77100549"/>
    <w:rsid w:val="771C38A3"/>
    <w:rsid w:val="774747D0"/>
    <w:rsid w:val="77712E2E"/>
    <w:rsid w:val="77E751FE"/>
    <w:rsid w:val="780F7780"/>
    <w:rsid w:val="78170E12"/>
    <w:rsid w:val="784F3822"/>
    <w:rsid w:val="78575AD9"/>
    <w:rsid w:val="7865284E"/>
    <w:rsid w:val="786C6326"/>
    <w:rsid w:val="788058B3"/>
    <w:rsid w:val="78945A7E"/>
    <w:rsid w:val="78A764DE"/>
    <w:rsid w:val="78C36DE0"/>
    <w:rsid w:val="790A5F70"/>
    <w:rsid w:val="793119AE"/>
    <w:rsid w:val="793303EF"/>
    <w:rsid w:val="793766AD"/>
    <w:rsid w:val="79397558"/>
    <w:rsid w:val="795A4A47"/>
    <w:rsid w:val="796A40F0"/>
    <w:rsid w:val="797A595E"/>
    <w:rsid w:val="79810EBA"/>
    <w:rsid w:val="798A2F90"/>
    <w:rsid w:val="79DE4AC7"/>
    <w:rsid w:val="79F61D75"/>
    <w:rsid w:val="7A003E98"/>
    <w:rsid w:val="7A1267E6"/>
    <w:rsid w:val="7A2D3EA4"/>
    <w:rsid w:val="7A331B30"/>
    <w:rsid w:val="7A53292B"/>
    <w:rsid w:val="7A5A7FE5"/>
    <w:rsid w:val="7A5C7DEA"/>
    <w:rsid w:val="7A777AC1"/>
    <w:rsid w:val="7A7A53B1"/>
    <w:rsid w:val="7A8356F5"/>
    <w:rsid w:val="7A8E0023"/>
    <w:rsid w:val="7ACC3F7C"/>
    <w:rsid w:val="7AD02C89"/>
    <w:rsid w:val="7AE572F8"/>
    <w:rsid w:val="7B1D5654"/>
    <w:rsid w:val="7B2B7BA7"/>
    <w:rsid w:val="7B332E64"/>
    <w:rsid w:val="7B5739B9"/>
    <w:rsid w:val="7B6C0926"/>
    <w:rsid w:val="7B8E24C7"/>
    <w:rsid w:val="7B9E0FB2"/>
    <w:rsid w:val="7BAC1017"/>
    <w:rsid w:val="7BAF2DE9"/>
    <w:rsid w:val="7BB919A3"/>
    <w:rsid w:val="7BD415F7"/>
    <w:rsid w:val="7C157862"/>
    <w:rsid w:val="7C2117FF"/>
    <w:rsid w:val="7C385132"/>
    <w:rsid w:val="7C8F4421"/>
    <w:rsid w:val="7D4848D3"/>
    <w:rsid w:val="7D65738C"/>
    <w:rsid w:val="7DAF0B47"/>
    <w:rsid w:val="7E2516BD"/>
    <w:rsid w:val="7E3A4559"/>
    <w:rsid w:val="7E6D1B39"/>
    <w:rsid w:val="7E852A49"/>
    <w:rsid w:val="7E8D50A4"/>
    <w:rsid w:val="7EE20267"/>
    <w:rsid w:val="7EFA6659"/>
    <w:rsid w:val="7F076DA4"/>
    <w:rsid w:val="7F2900ED"/>
    <w:rsid w:val="7F456CA1"/>
    <w:rsid w:val="7F645481"/>
    <w:rsid w:val="7FA32023"/>
    <w:rsid w:val="7FAC15C1"/>
    <w:rsid w:val="7FC96E84"/>
    <w:rsid w:val="7FE2284C"/>
    <w:rsid w:val="7FE802AB"/>
    <w:rsid w:val="7FFA1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qFormat="1" w:uiPriority="99"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qFormat="1" w:uiPriority="39" w:semiHidden="0"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iPriority="0" w:semiHidden="0"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keepLines/>
      <w:adjustRightInd w:val="0"/>
      <w:spacing w:line="460" w:lineRule="exact"/>
      <w:jc w:val="left"/>
      <w:textAlignment w:val="baseline"/>
      <w:outlineLvl w:val="0"/>
    </w:pPr>
    <w:rPr>
      <w:b/>
      <w:kern w:val="44"/>
      <w:sz w:val="32"/>
      <w:szCs w:val="20"/>
    </w:rPr>
  </w:style>
  <w:style w:type="paragraph" w:styleId="3">
    <w:name w:val="heading 2"/>
    <w:basedOn w:val="1"/>
    <w:next w:val="1"/>
    <w:link w:val="50"/>
    <w:qFormat/>
    <w:uiPriority w:val="0"/>
    <w:pPr>
      <w:tabs>
        <w:tab w:val="left" w:pos="540"/>
      </w:tabs>
      <w:adjustRightInd w:val="0"/>
      <w:snapToGrid w:val="0"/>
      <w:spacing w:line="360" w:lineRule="auto"/>
      <w:jc w:val="left"/>
      <w:outlineLvl w:val="1"/>
    </w:pPr>
    <w:rPr>
      <w:rFonts w:ascii="Arial" w:hAnsi="Arial"/>
      <w:b/>
      <w:sz w:val="28"/>
      <w:szCs w:val="20"/>
    </w:rPr>
  </w:style>
  <w:style w:type="paragraph" w:styleId="4">
    <w:name w:val="heading 3"/>
    <w:basedOn w:val="1"/>
    <w:next w:val="1"/>
    <w:link w:val="49"/>
    <w:qFormat/>
    <w:uiPriority w:val="0"/>
    <w:pPr>
      <w:tabs>
        <w:tab w:val="left" w:pos="540"/>
      </w:tabs>
      <w:adjustRightInd w:val="0"/>
      <w:snapToGrid w:val="0"/>
      <w:spacing w:line="360" w:lineRule="auto"/>
      <w:jc w:val="left"/>
      <w:outlineLvl w:val="2"/>
    </w:pPr>
    <w:rPr>
      <w:sz w:val="24"/>
      <w:szCs w:val="20"/>
    </w:rPr>
  </w:style>
  <w:style w:type="paragraph" w:styleId="5">
    <w:name w:val="heading 4"/>
    <w:basedOn w:val="4"/>
    <w:next w:val="1"/>
    <w:qFormat/>
    <w:uiPriority w:val="0"/>
    <w:pPr>
      <w:keepNext/>
      <w:keepLines/>
      <w:spacing w:before="200" w:after="0"/>
      <w:outlineLvl w:val="3"/>
    </w:pPr>
    <w:rPr>
      <w:rFonts w:ascii="Calibri" w:hAnsi="Calibri" w:eastAsia="MS Gothic" w:cs="Times New Roman"/>
      <w:i/>
      <w:iCs/>
      <w:color w:val="4F81BD"/>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6">
    <w:name w:val="List 3"/>
    <w:basedOn w:val="1"/>
    <w:qFormat/>
    <w:uiPriority w:val="0"/>
    <w:pPr>
      <w:ind w:left="1260" w:hanging="420"/>
    </w:pPr>
    <w:rPr>
      <w:color w:val="000000"/>
      <w:kern w:val="1"/>
      <w:sz w:val="24"/>
      <w:szCs w:val="20"/>
    </w:rPr>
  </w:style>
  <w:style w:type="paragraph" w:styleId="7">
    <w:name w:val="toc 7"/>
    <w:basedOn w:val="1"/>
    <w:next w:val="1"/>
    <w:unhideWhenUsed/>
    <w:qFormat/>
    <w:uiPriority w:val="39"/>
    <w:pPr>
      <w:ind w:left="1050"/>
      <w:jc w:val="left"/>
    </w:pPr>
    <w:rPr>
      <w:rFonts w:cs="Calibri"/>
      <w:sz w:val="20"/>
      <w:szCs w:val="20"/>
    </w:rPr>
  </w:style>
  <w:style w:type="paragraph" w:styleId="8">
    <w:name w:val="Normal Indent"/>
    <w:basedOn w:val="1"/>
    <w:qFormat/>
    <w:uiPriority w:val="0"/>
    <w:pPr>
      <w:ind w:firstLine="420"/>
    </w:pPr>
    <w:rPr>
      <w:color w:val="000000"/>
      <w:kern w:val="1"/>
      <w:szCs w:val="20"/>
    </w:rPr>
  </w:style>
  <w:style w:type="paragraph" w:styleId="9">
    <w:name w:val="index 5"/>
    <w:basedOn w:val="1"/>
    <w:next w:val="1"/>
    <w:qFormat/>
    <w:uiPriority w:val="0"/>
    <w:pPr>
      <w:ind w:left="1680"/>
    </w:pPr>
  </w:style>
  <w:style w:type="paragraph" w:styleId="10">
    <w:name w:val="toa heading"/>
    <w:basedOn w:val="1"/>
    <w:next w:val="1"/>
    <w:qFormat/>
    <w:uiPriority w:val="0"/>
    <w:pPr>
      <w:spacing w:before="120"/>
    </w:pPr>
    <w:rPr>
      <w:rFonts w:ascii="Arial" w:hAnsi="Arial"/>
      <w:sz w:val="24"/>
      <w:szCs w:val="20"/>
    </w:rPr>
  </w:style>
  <w:style w:type="paragraph" w:styleId="11">
    <w:name w:val="annotation text"/>
    <w:basedOn w:val="1"/>
    <w:link w:val="51"/>
    <w:unhideWhenUsed/>
    <w:qFormat/>
    <w:uiPriority w:val="99"/>
    <w:pPr>
      <w:jc w:val="left"/>
    </w:pPr>
  </w:style>
  <w:style w:type="paragraph" w:styleId="12">
    <w:name w:val="index 6"/>
    <w:basedOn w:val="1"/>
    <w:next w:val="1"/>
    <w:unhideWhenUsed/>
    <w:qFormat/>
    <w:uiPriority w:val="99"/>
    <w:pPr>
      <w:ind w:firstLine="840"/>
    </w:pPr>
    <w:rPr>
      <w:rFonts w:cs="Arial"/>
    </w:rPr>
  </w:style>
  <w:style w:type="paragraph" w:styleId="13">
    <w:name w:val="Body Text 3"/>
    <w:basedOn w:val="1"/>
    <w:qFormat/>
    <w:uiPriority w:val="0"/>
    <w:pPr>
      <w:spacing w:after="120"/>
    </w:pPr>
    <w:rPr>
      <w:sz w:val="16"/>
      <w:szCs w:val="16"/>
    </w:rPr>
  </w:style>
  <w:style w:type="paragraph" w:styleId="14">
    <w:name w:val="Body Text"/>
    <w:basedOn w:val="1"/>
    <w:next w:val="7"/>
    <w:qFormat/>
    <w:uiPriority w:val="0"/>
    <w:pPr>
      <w:spacing w:after="120"/>
    </w:pPr>
  </w:style>
  <w:style w:type="paragraph" w:styleId="15">
    <w:name w:val="Body Text Indent"/>
    <w:basedOn w:val="1"/>
    <w:next w:val="14"/>
    <w:qFormat/>
    <w:uiPriority w:val="0"/>
    <w:pPr>
      <w:spacing w:after="120"/>
      <w:ind w:left="420" w:leftChars="200"/>
    </w:pPr>
  </w:style>
  <w:style w:type="paragraph" w:styleId="16">
    <w:name w:val="Plain Text"/>
    <w:basedOn w:val="1"/>
    <w:link w:val="52"/>
    <w:qFormat/>
    <w:uiPriority w:val="0"/>
    <w:rPr>
      <w:rFonts w:ascii="宋体" w:hAnsi="Courier New"/>
      <w:sz w:val="11"/>
      <w:szCs w:val="20"/>
    </w:rPr>
  </w:style>
  <w:style w:type="paragraph" w:styleId="17">
    <w:name w:val="Date"/>
    <w:basedOn w:val="1"/>
    <w:next w:val="1"/>
    <w:qFormat/>
    <w:uiPriority w:val="0"/>
    <w:pPr>
      <w:ind w:left="100" w:leftChars="2500"/>
    </w:pPr>
  </w:style>
  <w:style w:type="paragraph" w:styleId="18">
    <w:name w:val="Body Text Indent 2"/>
    <w:basedOn w:val="1"/>
    <w:link w:val="53"/>
    <w:qFormat/>
    <w:uiPriority w:val="0"/>
    <w:pPr>
      <w:spacing w:line="360" w:lineRule="auto"/>
      <w:ind w:left="179" w:leftChars="85" w:hanging="1"/>
    </w:pPr>
    <w:rPr>
      <w:b/>
      <w:sz w:val="24"/>
      <w:szCs w:val="20"/>
      <w:u w:val="single"/>
    </w:rPr>
  </w:style>
  <w:style w:type="paragraph" w:styleId="19">
    <w:name w:val="Balloon Text"/>
    <w:basedOn w:val="1"/>
    <w:link w:val="54"/>
    <w:unhideWhenUsed/>
    <w:qFormat/>
    <w:uiPriority w:val="99"/>
    <w:rPr>
      <w:sz w:val="18"/>
      <w:szCs w:val="18"/>
    </w:rPr>
  </w:style>
  <w:style w:type="paragraph" w:styleId="20">
    <w:name w:val="footer"/>
    <w:basedOn w:val="1"/>
    <w:link w:val="55"/>
    <w:unhideWhenUsed/>
    <w:qFormat/>
    <w:uiPriority w:val="99"/>
    <w:pPr>
      <w:tabs>
        <w:tab w:val="center" w:pos="4153"/>
        <w:tab w:val="right" w:pos="8306"/>
      </w:tabs>
      <w:snapToGrid w:val="0"/>
      <w:jc w:val="left"/>
    </w:pPr>
    <w:rPr>
      <w:sz w:val="18"/>
      <w:szCs w:val="18"/>
    </w:rPr>
  </w:style>
  <w:style w:type="paragraph" w:styleId="21">
    <w:name w:val="header"/>
    <w:basedOn w:val="1"/>
    <w:link w:val="56"/>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Body Text Indent 3"/>
    <w:basedOn w:val="1"/>
    <w:unhideWhenUsed/>
    <w:qFormat/>
    <w:uiPriority w:val="0"/>
    <w:pPr>
      <w:spacing w:after="120"/>
      <w:ind w:left="420" w:leftChars="200"/>
    </w:pPr>
    <w:rPr>
      <w:rFonts w:ascii="Calibri" w:hAnsi="Calibri"/>
      <w:kern w:val="0"/>
      <w:sz w:val="16"/>
      <w:szCs w:val="16"/>
    </w:rPr>
  </w:style>
  <w:style w:type="paragraph" w:styleId="2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4">
    <w:name w:val="Normal (Web)"/>
    <w:basedOn w:val="1"/>
    <w:qFormat/>
    <w:uiPriority w:val="0"/>
    <w:pPr>
      <w:widowControl/>
      <w:jc w:val="left"/>
    </w:pPr>
    <w:rPr>
      <w:rFonts w:ascii="宋体" w:hAnsi="宋体" w:cs="宋体"/>
      <w:kern w:val="0"/>
      <w:sz w:val="24"/>
      <w:szCs w:val="24"/>
    </w:rPr>
  </w:style>
  <w:style w:type="paragraph" w:styleId="25">
    <w:name w:val="annotation subject"/>
    <w:basedOn w:val="11"/>
    <w:next w:val="11"/>
    <w:link w:val="57"/>
    <w:unhideWhenUsed/>
    <w:qFormat/>
    <w:uiPriority w:val="99"/>
    <w:rPr>
      <w:b/>
      <w:bCs/>
    </w:rPr>
  </w:style>
  <w:style w:type="paragraph" w:styleId="26">
    <w:name w:val="Body Text First Indent"/>
    <w:basedOn w:val="14"/>
    <w:next w:val="12"/>
    <w:qFormat/>
    <w:uiPriority w:val="0"/>
    <w:pPr>
      <w:spacing w:before="0" w:after="120" w:line="240" w:lineRule="auto"/>
      <w:ind w:firstLine="420" w:firstLineChars="100"/>
    </w:pPr>
    <w:rPr>
      <w:rFonts w:ascii="Times New Roman" w:hAnsi="Times New Roman"/>
      <w:sz w:val="21"/>
    </w:rPr>
  </w:style>
  <w:style w:type="paragraph" w:styleId="27">
    <w:name w:val="Body Text First Indent 2"/>
    <w:basedOn w:val="15"/>
    <w:next w:val="26"/>
    <w:qFormat/>
    <w:uiPriority w:val="0"/>
    <w:pPr>
      <w:ind w:firstLine="420" w:firstLineChars="200"/>
    </w:pPr>
    <w:rPr>
      <w:kern w:val="0"/>
      <w:sz w:val="20"/>
      <w:szCs w:val="24"/>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rPr>
  </w:style>
  <w:style w:type="character" w:styleId="32">
    <w:name w:val="page number"/>
    <w:basedOn w:val="30"/>
    <w:qFormat/>
    <w:uiPriority w:val="0"/>
  </w:style>
  <w:style w:type="character" w:styleId="33">
    <w:name w:val="FollowedHyperlink"/>
    <w:unhideWhenUsed/>
    <w:qFormat/>
    <w:uiPriority w:val="99"/>
    <w:rPr>
      <w:color w:val="2D64B3"/>
      <w:u w:val="none"/>
    </w:rPr>
  </w:style>
  <w:style w:type="character" w:styleId="34">
    <w:name w:val="Emphasis"/>
    <w:qFormat/>
    <w:uiPriority w:val="0"/>
    <w:rPr>
      <w:color w:val="CC0000"/>
    </w:rPr>
  </w:style>
  <w:style w:type="character" w:styleId="35">
    <w:name w:val="HTML Definition"/>
    <w:unhideWhenUsed/>
    <w:qFormat/>
    <w:uiPriority w:val="99"/>
  </w:style>
  <w:style w:type="character" w:styleId="36">
    <w:name w:val="HTML Variable"/>
    <w:unhideWhenUsed/>
    <w:qFormat/>
    <w:uiPriority w:val="99"/>
  </w:style>
  <w:style w:type="character" w:styleId="37">
    <w:name w:val="Hyperlink"/>
    <w:qFormat/>
    <w:uiPriority w:val="0"/>
    <w:rPr>
      <w:color w:val="0000FF"/>
      <w:u w:val="single"/>
    </w:rPr>
  </w:style>
  <w:style w:type="character" w:styleId="38">
    <w:name w:val="HTML Code"/>
    <w:unhideWhenUsed/>
    <w:qFormat/>
    <w:uiPriority w:val="99"/>
    <w:rPr>
      <w:rFonts w:ascii="Arial" w:hAnsi="Arial" w:cs="Arial"/>
      <w:sz w:val="20"/>
    </w:rPr>
  </w:style>
  <w:style w:type="character" w:styleId="39">
    <w:name w:val="annotation reference"/>
    <w:unhideWhenUsed/>
    <w:qFormat/>
    <w:uiPriority w:val="0"/>
    <w:rPr>
      <w:sz w:val="21"/>
      <w:szCs w:val="21"/>
    </w:rPr>
  </w:style>
  <w:style w:type="character" w:styleId="40">
    <w:name w:val="HTML Cite"/>
    <w:unhideWhenUsed/>
    <w:qFormat/>
    <w:uiPriority w:val="99"/>
  </w:style>
  <w:style w:type="character" w:styleId="41">
    <w:name w:val="HTML Keyboard"/>
    <w:unhideWhenUsed/>
    <w:qFormat/>
    <w:uiPriority w:val="99"/>
    <w:rPr>
      <w:rFonts w:ascii="Arial" w:hAnsi="Arial" w:cs="Arial"/>
      <w:sz w:val="20"/>
    </w:rPr>
  </w:style>
  <w:style w:type="character" w:styleId="42">
    <w:name w:val="HTML Sample"/>
    <w:unhideWhenUsed/>
    <w:qFormat/>
    <w:uiPriority w:val="99"/>
    <w:rPr>
      <w:rFonts w:hint="eastAsia" w:ascii="Arial" w:hAnsi="Arial" w:cs="Arial"/>
    </w:rPr>
  </w:style>
  <w:style w:type="paragraph" w:customStyle="1" w:styleId="43">
    <w:name w:val="正文首行缩进 21"/>
    <w:basedOn w:val="44"/>
    <w:qFormat/>
    <w:uiPriority w:val="0"/>
    <w:pPr>
      <w:ind w:firstLine="420"/>
    </w:pPr>
  </w:style>
  <w:style w:type="paragraph" w:customStyle="1" w:styleId="44">
    <w:name w:val="正文文本缩进1"/>
    <w:basedOn w:val="1"/>
    <w:qFormat/>
    <w:uiPriority w:val="0"/>
    <w:pPr>
      <w:spacing w:line="500" w:lineRule="exact"/>
      <w:ind w:firstLine="880" w:firstLineChars="200"/>
    </w:pPr>
  </w:style>
  <w:style w:type="paragraph" w:customStyle="1" w:styleId="45">
    <w:name w:val="样式1"/>
    <w:basedOn w:val="1"/>
    <w:next w:val="46"/>
    <w:qFormat/>
    <w:uiPriority w:val="0"/>
    <w:pPr>
      <w:keepNext/>
      <w:keepLines/>
      <w:tabs>
        <w:tab w:val="left" w:pos="839"/>
      </w:tabs>
      <w:spacing w:before="100" w:beforeAutospacing="1" w:after="100" w:afterAutospacing="1" w:line="360" w:lineRule="auto"/>
      <w:ind w:left="839" w:hanging="419"/>
      <w:outlineLvl w:val="1"/>
    </w:pPr>
    <w:rPr>
      <w:rFonts w:ascii="Arial" w:hAnsi="Arial" w:eastAsia="黑体" w:cs="宋体"/>
      <w:b/>
      <w:sz w:val="32"/>
      <w:szCs w:val="20"/>
    </w:rPr>
  </w:style>
  <w:style w:type="paragraph" w:customStyle="1" w:styleId="46">
    <w:name w:val="样式2"/>
    <w:basedOn w:val="1"/>
    <w:qFormat/>
    <w:uiPriority w:val="0"/>
    <w:pPr>
      <w:adjustRightInd w:val="0"/>
      <w:spacing w:line="410" w:lineRule="atLeast"/>
      <w:textAlignment w:val="baseline"/>
    </w:pPr>
    <w:rPr>
      <w:kern w:val="0"/>
      <w:sz w:val="24"/>
      <w:szCs w:val="20"/>
    </w:rPr>
  </w:style>
  <w:style w:type="paragraph" w:customStyle="1" w:styleId="47">
    <w:name w:val="目录 81"/>
    <w:next w:val="1"/>
    <w:qFormat/>
    <w:uiPriority w:val="0"/>
    <w:pPr>
      <w:wordWrap w:val="0"/>
      <w:ind w:left="2975"/>
      <w:jc w:val="both"/>
    </w:pPr>
    <w:rPr>
      <w:rFonts w:ascii="Times New Roman" w:hAnsi="Times New Roman" w:eastAsia="宋体" w:cs="Times New Roman"/>
      <w:sz w:val="21"/>
      <w:szCs w:val="22"/>
      <w:lang w:val="en-US" w:eastAsia="zh-CN" w:bidi="ar-SA"/>
    </w:rPr>
  </w:style>
  <w:style w:type="paragraph" w:customStyle="1" w:styleId="48">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49">
    <w:name w:val="标题 3 字符"/>
    <w:link w:val="4"/>
    <w:qFormat/>
    <w:uiPriority w:val="0"/>
    <w:rPr>
      <w:rFonts w:ascii="Times New Roman" w:hAnsi="Times New Roman"/>
      <w:b/>
      <w:kern w:val="2"/>
      <w:sz w:val="24"/>
    </w:rPr>
  </w:style>
  <w:style w:type="character" w:customStyle="1" w:styleId="50">
    <w:name w:val="标题 2 字符"/>
    <w:link w:val="3"/>
    <w:qFormat/>
    <w:uiPriority w:val="0"/>
    <w:rPr>
      <w:rFonts w:ascii="Arial" w:hAnsi="Arial"/>
      <w:b/>
      <w:kern w:val="2"/>
      <w:sz w:val="28"/>
    </w:rPr>
  </w:style>
  <w:style w:type="character" w:customStyle="1" w:styleId="51">
    <w:name w:val="批注文字 字符"/>
    <w:link w:val="11"/>
    <w:semiHidden/>
    <w:qFormat/>
    <w:uiPriority w:val="99"/>
    <w:rPr>
      <w:kern w:val="2"/>
      <w:sz w:val="21"/>
      <w:szCs w:val="22"/>
    </w:rPr>
  </w:style>
  <w:style w:type="character" w:customStyle="1" w:styleId="52">
    <w:name w:val="纯文本 字符"/>
    <w:link w:val="16"/>
    <w:qFormat/>
    <w:uiPriority w:val="0"/>
    <w:rPr>
      <w:rFonts w:ascii="宋体" w:hAnsi="Courier New"/>
      <w:kern w:val="2"/>
      <w:sz w:val="11"/>
    </w:rPr>
  </w:style>
  <w:style w:type="character" w:customStyle="1" w:styleId="53">
    <w:name w:val="正文文本缩进 2 字符"/>
    <w:link w:val="18"/>
    <w:qFormat/>
    <w:uiPriority w:val="0"/>
    <w:rPr>
      <w:rFonts w:ascii="Times New Roman" w:hAnsi="Times New Roman"/>
      <w:b/>
      <w:kern w:val="2"/>
      <w:sz w:val="24"/>
      <w:u w:val="single"/>
    </w:rPr>
  </w:style>
  <w:style w:type="character" w:customStyle="1" w:styleId="54">
    <w:name w:val="批注框文本 字符"/>
    <w:link w:val="19"/>
    <w:semiHidden/>
    <w:qFormat/>
    <w:uiPriority w:val="99"/>
    <w:rPr>
      <w:kern w:val="2"/>
      <w:sz w:val="18"/>
      <w:szCs w:val="18"/>
    </w:rPr>
  </w:style>
  <w:style w:type="character" w:customStyle="1" w:styleId="55">
    <w:name w:val="页脚 字符1"/>
    <w:link w:val="20"/>
    <w:qFormat/>
    <w:uiPriority w:val="99"/>
    <w:rPr>
      <w:kern w:val="2"/>
      <w:sz w:val="18"/>
      <w:szCs w:val="18"/>
    </w:rPr>
  </w:style>
  <w:style w:type="character" w:customStyle="1" w:styleId="56">
    <w:name w:val="页眉 字符"/>
    <w:link w:val="21"/>
    <w:qFormat/>
    <w:uiPriority w:val="99"/>
    <w:rPr>
      <w:kern w:val="2"/>
      <w:sz w:val="18"/>
      <w:szCs w:val="18"/>
    </w:rPr>
  </w:style>
  <w:style w:type="character" w:customStyle="1" w:styleId="57">
    <w:name w:val="批注主题 字符"/>
    <w:link w:val="25"/>
    <w:semiHidden/>
    <w:qFormat/>
    <w:uiPriority w:val="99"/>
    <w:rPr>
      <w:b/>
      <w:bCs/>
      <w:kern w:val="2"/>
      <w:sz w:val="21"/>
      <w:szCs w:val="22"/>
    </w:rPr>
  </w:style>
  <w:style w:type="character" w:customStyle="1" w:styleId="58">
    <w:name w:val="bds_more1"/>
    <w:basedOn w:val="30"/>
    <w:qFormat/>
    <w:uiPriority w:val="0"/>
  </w:style>
  <w:style w:type="character" w:customStyle="1" w:styleId="59">
    <w:name w:val="普通文字1 Char"/>
    <w:qFormat/>
    <w:uiPriority w:val="0"/>
    <w:rPr>
      <w:rFonts w:ascii="宋体" w:hAnsi="Courier New" w:eastAsia="宋体"/>
      <w:kern w:val="2"/>
      <w:sz w:val="21"/>
      <w:lang w:val="en-US" w:eastAsia="zh-CN" w:bidi="ar-SA"/>
    </w:rPr>
  </w:style>
  <w:style w:type="character" w:customStyle="1" w:styleId="60">
    <w:name w:val="legend"/>
    <w:qFormat/>
    <w:uiPriority w:val="0"/>
    <w:rPr>
      <w:rFonts w:ascii="Arial" w:hAnsi="Arial" w:cs="Arial"/>
      <w:b/>
      <w:color w:val="73B304"/>
      <w:sz w:val="16"/>
      <w:szCs w:val="16"/>
      <w:shd w:val="clear" w:color="auto" w:fill="FFFFFF"/>
    </w:rPr>
  </w:style>
  <w:style w:type="character" w:customStyle="1" w:styleId="61">
    <w:name w:val="release-day"/>
    <w:qFormat/>
    <w:uiPriority w:val="0"/>
    <w:rPr>
      <w:bdr w:val="single" w:color="BDEBB0" w:sz="4" w:space="0"/>
      <w:shd w:val="clear" w:color="auto" w:fill="F5FFF1"/>
    </w:rPr>
  </w:style>
  <w:style w:type="character" w:customStyle="1" w:styleId="62">
    <w:name w:val="未处理的提及1"/>
    <w:unhideWhenUsed/>
    <w:qFormat/>
    <w:uiPriority w:val="99"/>
    <w:rPr>
      <w:color w:val="605E5C"/>
      <w:shd w:val="clear" w:color="auto" w:fill="E1DFDD"/>
    </w:rPr>
  </w:style>
  <w:style w:type="character" w:customStyle="1" w:styleId="63">
    <w:name w:val="num"/>
    <w:qFormat/>
    <w:uiPriority w:val="0"/>
    <w:rPr>
      <w:b/>
      <w:color w:val="FF7800"/>
    </w:rPr>
  </w:style>
  <w:style w:type="character" w:customStyle="1" w:styleId="64">
    <w:name w:val="Header Char"/>
    <w:qFormat/>
    <w:locked/>
    <w:uiPriority w:val="0"/>
    <w:rPr>
      <w:rFonts w:eastAsia="宋体"/>
      <w:kern w:val="2"/>
      <w:sz w:val="18"/>
      <w:szCs w:val="18"/>
      <w:lang w:val="en-US" w:eastAsia="zh-CN" w:bidi="ar-SA"/>
    </w:rPr>
  </w:style>
  <w:style w:type="character" w:customStyle="1" w:styleId="65">
    <w:name w:val="bds_more2"/>
    <w:basedOn w:val="30"/>
    <w:qFormat/>
    <w:uiPriority w:val="0"/>
  </w:style>
  <w:style w:type="character" w:customStyle="1" w:styleId="66">
    <w:name w:val="正文文本 (2)"/>
    <w:qFormat/>
    <w:uiPriority w:val="0"/>
    <w:rPr>
      <w:rFonts w:ascii="宋体" w:hAnsi="宋体" w:eastAsia="宋体" w:cs="宋体"/>
      <w:color w:val="000000"/>
      <w:spacing w:val="0"/>
      <w:w w:val="100"/>
      <w:position w:val="0"/>
      <w:sz w:val="20"/>
      <w:szCs w:val="20"/>
      <w:u w:val="none"/>
      <w:lang w:val="zh-TW" w:eastAsia="zh-TW" w:bidi="zh-TW"/>
    </w:rPr>
  </w:style>
  <w:style w:type="character" w:customStyle="1" w:styleId="67">
    <w:name w:val="bds_nopic1"/>
    <w:basedOn w:val="30"/>
    <w:qFormat/>
    <w:uiPriority w:val="0"/>
  </w:style>
  <w:style w:type="character" w:customStyle="1" w:styleId="68">
    <w:name w:val="普通文字 Char Char2"/>
    <w:semiHidden/>
    <w:qFormat/>
    <w:uiPriority w:val="0"/>
    <w:rPr>
      <w:rFonts w:ascii="宋体" w:hAnsi="Courier New" w:eastAsia="宋体"/>
      <w:kern w:val="2"/>
      <w:sz w:val="21"/>
      <w:szCs w:val="21"/>
      <w:lang w:val="en-US" w:eastAsia="zh-CN" w:bidi="ar-SA"/>
    </w:rPr>
  </w:style>
  <w:style w:type="character" w:customStyle="1" w:styleId="69">
    <w:name w:val="页脚 字符"/>
    <w:qFormat/>
    <w:uiPriority w:val="99"/>
  </w:style>
  <w:style w:type="character" w:customStyle="1" w:styleId="70">
    <w:name w:val="15"/>
    <w:qFormat/>
    <w:uiPriority w:val="0"/>
    <w:rPr>
      <w:rFonts w:hint="eastAsia" w:ascii="仿宋_GB2312" w:eastAsia="仿宋_GB2312"/>
      <w:b/>
      <w:bCs/>
      <w:sz w:val="32"/>
      <w:szCs w:val="32"/>
    </w:rPr>
  </w:style>
  <w:style w:type="character" w:customStyle="1" w:styleId="71">
    <w:name w:val="txtcontent11"/>
    <w:qFormat/>
    <w:uiPriority w:val="0"/>
    <w:rPr>
      <w:rFonts w:hint="default" w:ascii="ˎ̥" w:hAnsi="ˎ̥"/>
      <w:color w:val="000000"/>
      <w:sz w:val="21"/>
      <w:szCs w:val="21"/>
    </w:rPr>
  </w:style>
  <w:style w:type="character" w:customStyle="1" w:styleId="72">
    <w:name w:val="纯文本 Char1"/>
    <w:semiHidden/>
    <w:qFormat/>
    <w:uiPriority w:val="99"/>
    <w:rPr>
      <w:rFonts w:ascii="宋体" w:hAnsi="Courier New" w:cs="Courier New"/>
      <w:kern w:val="2"/>
      <w:sz w:val="21"/>
      <w:szCs w:val="21"/>
    </w:rPr>
  </w:style>
  <w:style w:type="character" w:customStyle="1" w:styleId="73">
    <w:name w:val="正文缩进2格 Char Char"/>
    <w:link w:val="74"/>
    <w:qFormat/>
    <w:uiPriority w:val="0"/>
    <w:rPr>
      <w:rFonts w:ascii="仿宋_GB2312" w:hAnsi="宋体" w:eastAsia="仿宋_GB2312"/>
      <w:kern w:val="2"/>
      <w:sz w:val="31"/>
      <w:szCs w:val="28"/>
      <w:lang w:val="en-US" w:eastAsia="zh-CN" w:bidi="ar-SA"/>
    </w:rPr>
  </w:style>
  <w:style w:type="paragraph" w:customStyle="1" w:styleId="74">
    <w:name w:val="正文缩进2格"/>
    <w:basedOn w:val="1"/>
    <w:link w:val="73"/>
    <w:qFormat/>
    <w:uiPriority w:val="0"/>
    <w:pPr>
      <w:spacing w:line="600" w:lineRule="exact"/>
      <w:ind w:firstLine="639" w:firstLineChars="206"/>
    </w:pPr>
    <w:rPr>
      <w:rFonts w:ascii="仿宋_GB2312" w:hAnsi="宋体" w:eastAsia="仿宋_GB2312"/>
      <w:sz w:val="31"/>
      <w:szCs w:val="28"/>
    </w:rPr>
  </w:style>
  <w:style w:type="character" w:customStyle="1" w:styleId="75">
    <w:name w:val="Char Char10"/>
    <w:qFormat/>
    <w:uiPriority w:val="0"/>
    <w:rPr>
      <w:rFonts w:ascii="宋体" w:hAnsi="Courier New" w:eastAsia="宋体"/>
      <w:kern w:val="2"/>
      <w:sz w:val="21"/>
      <w:szCs w:val="24"/>
      <w:lang w:val="en-US" w:eastAsia="zh-CN" w:bidi="ar-SA"/>
    </w:rPr>
  </w:style>
  <w:style w:type="character" w:customStyle="1" w:styleId="76">
    <w:name w:val="NormalCharacter"/>
    <w:semiHidden/>
    <w:qFormat/>
    <w:uiPriority w:val="0"/>
  </w:style>
  <w:style w:type="character" w:customStyle="1" w:styleId="77">
    <w:name w:val="bds_nopic"/>
    <w:basedOn w:val="30"/>
    <w:qFormat/>
    <w:uiPriority w:val="0"/>
  </w:style>
  <w:style w:type="character" w:customStyle="1" w:styleId="78">
    <w:name w:val="bds_nopic2"/>
    <w:basedOn w:val="30"/>
    <w:qFormat/>
    <w:uiPriority w:val="0"/>
  </w:style>
  <w:style w:type="character" w:customStyle="1" w:styleId="79">
    <w:name w:val="bds_more"/>
    <w:qFormat/>
    <w:uiPriority w:val="0"/>
    <w:rPr>
      <w:rFonts w:hint="eastAsia" w:ascii="宋体" w:hAnsi="宋体" w:eastAsia="宋体" w:cs="宋体"/>
    </w:rPr>
  </w:style>
  <w:style w:type="paragraph" w:customStyle="1" w:styleId="80">
    <w:name w:val="p22"/>
    <w:basedOn w:val="1"/>
    <w:qFormat/>
    <w:uiPriority w:val="0"/>
    <w:pPr>
      <w:widowControl/>
    </w:pPr>
    <w:rPr>
      <w:kern w:val="0"/>
      <w:szCs w:val="21"/>
    </w:rPr>
  </w:style>
  <w:style w:type="paragraph" w:customStyle="1" w:styleId="81">
    <w:name w:val="样式 首行缩进:  2 字符"/>
    <w:basedOn w:val="1"/>
    <w:qFormat/>
    <w:uiPriority w:val="0"/>
    <w:pPr>
      <w:spacing w:after="160" w:line="400" w:lineRule="exact"/>
      <w:ind w:firstLine="200" w:firstLineChars="200"/>
    </w:pPr>
    <w:rPr>
      <w:rFonts w:ascii="Calibri" w:hAnsi="Calibri" w:cs="宋体"/>
      <w:sz w:val="24"/>
    </w:rPr>
  </w:style>
  <w:style w:type="paragraph" w:customStyle="1" w:styleId="82">
    <w:name w:val="列出段落1"/>
    <w:basedOn w:val="1"/>
    <w:qFormat/>
    <w:uiPriority w:val="34"/>
    <w:pPr>
      <w:ind w:firstLine="420" w:firstLineChars="200"/>
    </w:pPr>
    <w:rPr>
      <w:szCs w:val="24"/>
    </w:rPr>
  </w:style>
  <w:style w:type="paragraph" w:customStyle="1" w:styleId="83">
    <w:name w:val="样式 标题 3 + (中文) 黑体 小四 非加粗 段前: 7.8 磅 段后: 0 磅 行距: 固定值 20 磅"/>
    <w:basedOn w:val="4"/>
    <w:qFormat/>
    <w:uiPriority w:val="0"/>
    <w:pPr>
      <w:keepNext/>
      <w:keepLines/>
      <w:tabs>
        <w:tab w:val="clear" w:pos="540"/>
      </w:tabs>
      <w:adjustRightInd/>
      <w:snapToGrid/>
      <w:spacing w:line="400" w:lineRule="exact"/>
      <w:jc w:val="both"/>
    </w:pPr>
    <w:rPr>
      <w:rFonts w:eastAsia="黑体" w:cs="宋体"/>
    </w:rPr>
  </w:style>
  <w:style w:type="paragraph" w:customStyle="1" w:styleId="84">
    <w:name w:val="Table Paragraph"/>
    <w:basedOn w:val="1"/>
    <w:qFormat/>
    <w:uiPriority w:val="1"/>
    <w:rPr>
      <w:rFonts w:ascii="宋体" w:hAnsi="宋体" w:cs="宋体"/>
      <w:lang w:val="zh-CN" w:bidi="zh-CN"/>
    </w:rPr>
  </w:style>
  <w:style w:type="paragraph" w:customStyle="1" w:styleId="85">
    <w:name w:val="Default Text:1"/>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86">
    <w:name w:val="p0"/>
    <w:basedOn w:val="1"/>
    <w:qFormat/>
    <w:uiPriority w:val="0"/>
    <w:pPr>
      <w:widowControl/>
    </w:pPr>
    <w:rPr>
      <w:kern w:val="0"/>
      <w:szCs w:val="21"/>
    </w:rPr>
  </w:style>
  <w:style w:type="paragraph" w:customStyle="1" w:styleId="87">
    <w:name w:val="Char Char Char Char"/>
    <w:basedOn w:val="1"/>
    <w:qFormat/>
    <w:uiPriority w:val="0"/>
    <w:pPr>
      <w:widowControl/>
      <w:spacing w:after="160" w:line="240" w:lineRule="exact"/>
      <w:jc w:val="left"/>
    </w:pPr>
    <w:rPr>
      <w:rFonts w:ascii="Verdana" w:hAnsi="Verdana"/>
      <w:kern w:val="0"/>
      <w:szCs w:val="20"/>
    </w:rPr>
  </w:style>
  <w:style w:type="paragraph" w:customStyle="1" w:styleId="88">
    <w:name w:val="_Style 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90">
    <w:name w:val="Char Char Char"/>
    <w:basedOn w:val="1"/>
    <w:qFormat/>
    <w:uiPriority w:val="0"/>
    <w:rPr>
      <w:rFonts w:ascii="Tahoma" w:hAnsi="Tahoma"/>
      <w:sz w:val="24"/>
      <w:szCs w:val="20"/>
    </w:rPr>
  </w:style>
  <w:style w:type="paragraph" w:styleId="91">
    <w:name w:val="List Paragraph"/>
    <w:basedOn w:val="1"/>
    <w:qFormat/>
    <w:uiPriority w:val="99"/>
    <w:pPr>
      <w:ind w:firstLine="420" w:firstLineChars="200"/>
    </w:pPr>
    <w:rPr>
      <w:rFonts w:ascii="宋体" w:hAnsi="宋体" w:cs="宋体"/>
      <w:bCs/>
      <w:color w:val="000000"/>
      <w:kern w:val="0"/>
      <w:sz w:val="24"/>
      <w:u w:val="single"/>
    </w:rPr>
  </w:style>
  <w:style w:type="paragraph" w:customStyle="1" w:styleId="92">
    <w:name w:val="p21"/>
    <w:basedOn w:val="1"/>
    <w:qFormat/>
    <w:uiPriority w:val="0"/>
    <w:pPr>
      <w:widowControl/>
    </w:pPr>
    <w:rPr>
      <w:kern w:val="0"/>
      <w:szCs w:val="21"/>
    </w:rPr>
  </w:style>
  <w:style w:type="paragraph" w:customStyle="1" w:styleId="93">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94">
    <w:name w:val="保留正文"/>
    <w:basedOn w:val="14"/>
    <w:qFormat/>
    <w:uiPriority w:val="0"/>
    <w:pPr>
      <w:keepNext/>
      <w:spacing w:after="160"/>
    </w:pPr>
    <w:rPr>
      <w:szCs w:val="24"/>
    </w:rPr>
  </w:style>
  <w:style w:type="paragraph" w:customStyle="1" w:styleId="95">
    <w:name w:val="WPS Plain"/>
    <w:qFormat/>
    <w:uiPriority w:val="0"/>
    <w:rPr>
      <w:rFonts w:ascii="Times New Roman" w:hAnsi="Times New Roman" w:eastAsia="宋体" w:cs="Times New Roman"/>
      <w:sz w:val="21"/>
      <w:szCs w:val="22"/>
      <w:lang w:val="en-US" w:eastAsia="zh-CN" w:bidi="ar-SA"/>
    </w:rPr>
  </w:style>
  <w:style w:type="paragraph" w:customStyle="1" w:styleId="96">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7">
    <w:name w:val="正文 New New New New"/>
    <w:qFormat/>
    <w:uiPriority w:val="0"/>
    <w:pPr>
      <w:widowControl w:val="0"/>
      <w:jc w:val="both"/>
    </w:pPr>
    <w:rPr>
      <w:rFonts w:ascii="Times New Roman" w:hAnsi="Times New Roman" w:eastAsia="宋体" w:cs="黑体"/>
      <w:sz w:val="21"/>
      <w:szCs w:val="24"/>
      <w:lang w:val="en-US" w:eastAsia="zh-CN" w:bidi="ar-SA"/>
    </w:rPr>
  </w:style>
  <w:style w:type="paragraph" w:customStyle="1" w:styleId="98">
    <w:name w:val="WPSOffice手动目录 1"/>
    <w:qFormat/>
    <w:uiPriority w:val="0"/>
    <w:rPr>
      <w:rFonts w:ascii="Times New Roman" w:hAnsi="Times New Roman" w:eastAsia="宋体" w:cs="Times New Roman"/>
      <w:lang w:val="en-US" w:eastAsia="zh-CN" w:bidi="ar-SA"/>
    </w:rPr>
  </w:style>
  <w:style w:type="paragraph" w:customStyle="1" w:styleId="99">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0">
    <w:name w:val="缺省文本"/>
    <w:qFormat/>
    <w:uiPriority w:val="0"/>
    <w:pPr>
      <w:widowControl w:val="0"/>
      <w:autoSpaceDE w:val="0"/>
      <w:autoSpaceDN w:val="0"/>
      <w:adjustRightInd w:val="0"/>
    </w:pPr>
    <w:rPr>
      <w:rFonts w:ascii="Times New Roman" w:hAnsi="Times New Roman" w:eastAsia="宋体" w:cs="Times New Roman"/>
      <w:color w:val="000000"/>
      <w:sz w:val="21"/>
      <w:szCs w:val="24"/>
      <w:lang w:val="en-US" w:eastAsia="zh-CN" w:bidi="ar-SA"/>
    </w:rPr>
  </w:style>
  <w:style w:type="paragraph" w:customStyle="1" w:styleId="101">
    <w:name w:val="正文_29_3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
    <w:name w:val="Char"/>
    <w:basedOn w:val="1"/>
    <w:qFormat/>
    <w:uiPriority w:val="0"/>
    <w:pPr>
      <w:tabs>
        <w:tab w:val="left" w:pos="360"/>
      </w:tabs>
    </w:pPr>
    <w:rPr>
      <w:sz w:val="24"/>
      <w:szCs w:val="24"/>
    </w:rPr>
  </w:style>
  <w:style w:type="paragraph" w:customStyle="1" w:styleId="103">
    <w:name w:val="_Style 89"/>
    <w:basedOn w:val="1"/>
    <w:qFormat/>
    <w:uiPriority w:val="0"/>
    <w:pPr>
      <w:tabs>
        <w:tab w:val="left" w:pos="360"/>
      </w:tabs>
    </w:pPr>
    <w:rPr>
      <w:sz w:val="24"/>
      <w:szCs w:val="24"/>
    </w:rPr>
  </w:style>
  <w:style w:type="character" w:customStyle="1" w:styleId="104">
    <w:name w:val="font41"/>
    <w:qFormat/>
    <w:uiPriority w:val="0"/>
    <w:rPr>
      <w:rFonts w:hint="eastAsia" w:ascii="宋体" w:hAnsi="宋体" w:eastAsia="宋体" w:cs="宋体"/>
      <w:color w:val="000000"/>
      <w:sz w:val="32"/>
      <w:szCs w:val="32"/>
      <w:u w:val="none"/>
    </w:rPr>
  </w:style>
  <w:style w:type="character" w:customStyle="1" w:styleId="105">
    <w:name w:val="font31"/>
    <w:qFormat/>
    <w:uiPriority w:val="0"/>
    <w:rPr>
      <w:rFonts w:hint="default" w:ascii="Times New Roman" w:hAnsi="Times New Roman" w:cs="Times New Roman"/>
      <w:color w:val="000000"/>
      <w:sz w:val="32"/>
      <w:szCs w:val="32"/>
      <w:u w:val="none"/>
    </w:rPr>
  </w:style>
  <w:style w:type="table" w:customStyle="1" w:styleId="106">
    <w:name w:val="Table Normal"/>
    <w:unhideWhenUsed/>
    <w:qFormat/>
    <w:uiPriority w:val="0"/>
    <w:tblPr>
      <w:tblCellMar>
        <w:top w:w="0" w:type="dxa"/>
        <w:left w:w="0" w:type="dxa"/>
        <w:bottom w:w="0" w:type="dxa"/>
        <w:right w:w="0" w:type="dxa"/>
      </w:tblCellMar>
    </w:tblPr>
  </w:style>
  <w:style w:type="paragraph" w:customStyle="1" w:styleId="107">
    <w:name w:val="表格"/>
    <w:qFormat/>
    <w:uiPriority w:val="0"/>
    <w:pPr>
      <w:adjustRightInd w:val="0"/>
      <w:snapToGrid w:val="0"/>
      <w:spacing w:before="20" w:after="20"/>
      <w:jc w:val="center"/>
      <w:textAlignment w:val="baseline"/>
    </w:pPr>
    <w:rPr>
      <w:rFonts w:ascii="Arial" w:hAnsi="Arial" w:eastAsia="宋体" w:cs="Times New Roman"/>
      <w:snapToGrid w:val="0"/>
      <w:sz w:val="21"/>
      <w:lang w:val="en-US" w:eastAsia="zh-CN" w:bidi="ar-SA"/>
    </w:rPr>
  </w:style>
  <w:style w:type="paragraph" w:styleId="108">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9">
    <w:name w:val="Normal_10"/>
    <w:qFormat/>
    <w:uiPriority w:val="0"/>
    <w:rPr>
      <w:rFonts w:ascii="黑体" w:hAnsi="黑体" w:eastAsia="黑体" w:cs="Times New Roman"/>
      <w:b/>
      <w:sz w:val="32"/>
      <w:szCs w:val="24"/>
      <w:lang w:val="en-US" w:eastAsia="zh-CN" w:bidi="ar-SA"/>
    </w:rPr>
  </w:style>
  <w:style w:type="paragraph" w:customStyle="1" w:styleId="11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11">
    <w:name w:val="Body text|1"/>
    <w:basedOn w:val="1"/>
    <w:qFormat/>
    <w:uiPriority w:val="0"/>
    <w:pPr>
      <w:spacing w:after="230" w:line="326" w:lineRule="auto"/>
      <w:ind w:firstLine="0" w:firstLineChars="0"/>
      <w:jc w:val="both"/>
    </w:pPr>
    <w:rPr>
      <w:rFonts w:ascii="宋体" w:hAnsi="宋体" w:eastAsia="宋体" w:cs="宋体"/>
      <w:sz w:val="19"/>
      <w:szCs w:val="19"/>
      <w:lang w:val="zh-TW" w:eastAsia="zh-TW" w:bidi="zh-TW"/>
    </w:rPr>
  </w:style>
  <w:style w:type="paragraph" w:customStyle="1" w:styleId="112">
    <w:name w:val="正文 A"/>
    <w:qFormat/>
    <w:uiPriority w:val="0"/>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113">
    <w:name w:val="采购正文"/>
    <w:qFormat/>
    <w:uiPriority w:val="0"/>
    <w:pPr>
      <w:snapToGrid w:val="0"/>
      <w:spacing w:line="560" w:lineRule="exact"/>
      <w:ind w:firstLine="480" w:firstLineChars="200"/>
    </w:pPr>
    <w:rPr>
      <w:rFonts w:ascii="仿宋" w:hAnsi="仿宋" w:eastAsia="仿宋" w:cs="Times New Roman"/>
      <w:kern w:val="2"/>
      <w:sz w:val="24"/>
      <w:szCs w:val="24"/>
      <w:lang w:val="en-US" w:eastAsia="zh-CN" w:bidi="ar-SA"/>
    </w:rPr>
  </w:style>
  <w:style w:type="paragraph" w:customStyle="1" w:styleId="114">
    <w:name w:val="石墨文档正文"/>
    <w:qFormat/>
    <w:uiPriority w:val="0"/>
    <w:rPr>
      <w:rFonts w:ascii="Arial Unicode MS" w:hAnsi="Arial Unicode MS" w:eastAsia="MicrosoftYaHei" w:cs="Arial Unicode MS"/>
      <w:kern w:val="2"/>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90</Pages>
  <Words>22787</Words>
  <Characters>24112</Characters>
  <Lines>259</Lines>
  <Paragraphs>73</Paragraphs>
  <TotalTime>3</TotalTime>
  <ScaleCrop>false</ScaleCrop>
  <LinksUpToDate>false</LinksUpToDate>
  <CharactersWithSpaces>26777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2023-07-31T02:43:00Z</dcterms:created>
  <dc:creator>陈晓东</dc:creator>
  <cp:lastModifiedBy>春風十里</cp:lastModifiedBy>
  <cp:lastPrinted>2021-06-10T03:08:00Z</cp:lastPrinted>
  <dcterms:modified xsi:type="dcterms:W3CDTF">2024-10-28T08:56:31Z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DA1B89FA81E148A2B4B487212A5E8402_13</vt:lpwstr>
  </property>
</Properties>
</file>