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BED28B">
      <w:pPr>
        <w:jc w:val="left"/>
        <w:rPr>
          <w:rFonts w:hint="default" w:ascii="宋体" w:hAnsi="宋体" w:eastAsia="宋体" w:cs="宋体"/>
          <w:b/>
          <w:color w:val="auto"/>
          <w:szCs w:val="84"/>
          <w:highlight w:val="none"/>
          <w:lang w:val="en-US" w:eastAsia="zh-CN"/>
        </w:rPr>
      </w:pPr>
    </w:p>
    <w:p w14:paraId="510425D0">
      <w:pPr>
        <w:snapToGrid w:val="0"/>
        <w:spacing w:line="360" w:lineRule="auto"/>
        <w:rPr>
          <w:rFonts w:ascii="黑体" w:hAnsi="宋体" w:eastAsia="黑体" w:cs="楷体_GB2312"/>
          <w:color w:val="auto"/>
          <w:w w:val="90"/>
          <w:sz w:val="44"/>
          <w:szCs w:val="44"/>
          <w:highlight w:val="none"/>
        </w:rPr>
      </w:pPr>
    </w:p>
    <w:p w14:paraId="5AEF0894">
      <w:pPr>
        <w:pStyle w:val="39"/>
        <w:spacing w:line="360" w:lineRule="auto"/>
        <w:jc w:val="center"/>
        <w:rPr>
          <w:rFonts w:hint="eastAsia" w:asciiTheme="majorEastAsia" w:hAnsiTheme="majorEastAsia" w:eastAsiaTheme="majorEastAsia" w:cstheme="majorEastAsia"/>
          <w:b/>
          <w:bCs/>
          <w:color w:val="auto"/>
          <w:sz w:val="56"/>
          <w:szCs w:val="56"/>
          <w:highlight w:val="none"/>
          <w:lang w:eastAsia="zh-CN"/>
        </w:rPr>
      </w:pPr>
      <w:r>
        <w:rPr>
          <w:rFonts w:hint="eastAsia" w:asciiTheme="majorEastAsia" w:hAnsiTheme="majorEastAsia" w:eastAsiaTheme="majorEastAsia" w:cstheme="majorEastAsia"/>
          <w:b/>
          <w:bCs/>
          <w:color w:val="auto"/>
          <w:sz w:val="56"/>
          <w:szCs w:val="56"/>
          <w:highlight w:val="none"/>
          <w:lang w:eastAsia="zh-CN"/>
        </w:rPr>
        <w:t>乌鲁木齐市城市规划馆展陈</w:t>
      </w:r>
      <w:bookmarkStart w:id="170" w:name="_GoBack"/>
      <w:bookmarkEnd w:id="170"/>
      <w:r>
        <w:rPr>
          <w:rFonts w:hint="eastAsia" w:asciiTheme="majorEastAsia" w:hAnsiTheme="majorEastAsia" w:eastAsiaTheme="majorEastAsia" w:cstheme="majorEastAsia"/>
          <w:b/>
          <w:bCs/>
          <w:color w:val="auto"/>
          <w:sz w:val="56"/>
          <w:szCs w:val="56"/>
          <w:highlight w:val="none"/>
          <w:lang w:eastAsia="zh-CN"/>
        </w:rPr>
        <w:t>更新</w:t>
      </w:r>
    </w:p>
    <w:p w14:paraId="78E06104">
      <w:pPr>
        <w:pStyle w:val="39"/>
        <w:spacing w:line="360" w:lineRule="auto"/>
        <w:jc w:val="center"/>
        <w:rPr>
          <w:rFonts w:ascii="宋体" w:hAnsi="宋体" w:cs="宋体"/>
          <w:b/>
          <w:color w:val="auto"/>
          <w:szCs w:val="84"/>
          <w:highlight w:val="none"/>
        </w:rPr>
      </w:pPr>
      <w:r>
        <w:rPr>
          <w:rFonts w:hint="eastAsia" w:asciiTheme="majorEastAsia" w:hAnsiTheme="majorEastAsia" w:eastAsiaTheme="majorEastAsia" w:cstheme="majorEastAsia"/>
          <w:b/>
          <w:bCs/>
          <w:color w:val="auto"/>
          <w:sz w:val="56"/>
          <w:szCs w:val="56"/>
          <w:highlight w:val="none"/>
          <w:lang w:eastAsia="zh-CN"/>
        </w:rPr>
        <w:t>服务项目</w:t>
      </w:r>
    </w:p>
    <w:p w14:paraId="6A6F7AE1">
      <w:pPr>
        <w:pStyle w:val="39"/>
        <w:shd w:val="clear" w:color="auto" w:fill="FFFFFF"/>
        <w:spacing w:line="360" w:lineRule="auto"/>
        <w:jc w:val="center"/>
        <w:rPr>
          <w:rFonts w:hint="eastAsia" w:ascii="宋体" w:hAnsi="宋体" w:cs="宋体"/>
          <w:b/>
          <w:bCs/>
          <w:color w:val="auto"/>
          <w:sz w:val="56"/>
          <w:szCs w:val="56"/>
          <w:highlight w:val="none"/>
          <w:lang w:eastAsia="zh-CN"/>
        </w:rPr>
      </w:pPr>
      <w:r>
        <w:rPr>
          <w:rFonts w:hint="eastAsia" w:ascii="宋体" w:hAnsi="宋体" w:cs="宋体"/>
          <w:b/>
          <w:bCs/>
          <w:color w:val="auto"/>
          <w:sz w:val="56"/>
          <w:szCs w:val="56"/>
          <w:highlight w:val="none"/>
          <w:lang w:eastAsia="zh-CN"/>
        </w:rPr>
        <w:t>公开招标文件</w:t>
      </w:r>
    </w:p>
    <w:p w14:paraId="32463131">
      <w:pPr>
        <w:pStyle w:val="6"/>
        <w:numPr>
          <w:ilvl w:val="0"/>
          <w:numId w:val="0"/>
        </w:numPr>
        <w:ind w:left="720" w:hanging="720"/>
        <w:jc w:val="center"/>
        <w:rPr>
          <w:rFonts w:hint="eastAsia"/>
          <w:color w:val="auto"/>
          <w:highlight w:val="none"/>
        </w:rPr>
      </w:pPr>
      <w:r>
        <w:rPr>
          <w:color w:val="auto"/>
          <w:highlight w:val="none"/>
        </w:rPr>
        <w:fldChar w:fldCharType="begin"/>
      </w:r>
      <w:r>
        <w:rPr>
          <w:color w:val="auto"/>
          <w:highlight w:val="none"/>
        </w:rPr>
        <w:instrText xml:space="preserve"> INCLUDEPICTURE "E:\\2024.11.28 《建设规划》招标文件\\Documents\\WeChat%20Files\\ytdgdvg\\Documents\\WeChat%20Files\\wxid_mdxhefswq06612\\Documents%20and%20Settings\\Administrator\\My%20Documents\\Tencent%20Files\\348424112\\Image\\C2C\\%5b35@IDDQEUL@STM3E(G$%7bUT.jpg" \* MERGEFORMAT </w:instrText>
      </w:r>
      <w:r>
        <w:rPr>
          <w:color w:val="auto"/>
          <w:highlight w:val="none"/>
        </w:rPr>
        <w:fldChar w:fldCharType="separate"/>
      </w:r>
      <w:r>
        <w:rPr>
          <w:b/>
          <w:color w:val="auto"/>
          <w:highlight w:val="none"/>
        </w:rPr>
        <w:drawing>
          <wp:inline distT="0" distB="0" distL="114300" distR="114300">
            <wp:extent cx="1530985" cy="20650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530985" cy="2065020"/>
                    </a:xfrm>
                    <a:prstGeom prst="rect">
                      <a:avLst/>
                    </a:prstGeom>
                    <a:noFill/>
                    <a:ln>
                      <a:noFill/>
                    </a:ln>
                  </pic:spPr>
                </pic:pic>
              </a:graphicData>
            </a:graphic>
          </wp:inline>
        </w:drawing>
      </w:r>
      <w:r>
        <w:rPr>
          <w:color w:val="auto"/>
          <w:highlight w:val="none"/>
        </w:rPr>
        <w:fldChar w:fldCharType="end"/>
      </w:r>
    </w:p>
    <w:p w14:paraId="27B646AB">
      <w:pPr>
        <w:widowControl/>
        <w:shd w:val="clear" w:color="auto" w:fill="FEFEFE"/>
        <w:spacing w:line="540" w:lineRule="exact"/>
        <w:ind w:firstLine="410" w:firstLineChars="146"/>
        <w:jc w:val="left"/>
        <w:rPr>
          <w:rFonts w:hint="eastAsia" w:ascii="宋体" w:hAnsi="宋体" w:cs="宋体"/>
          <w:b/>
          <w:color w:val="auto"/>
          <w:sz w:val="28"/>
          <w:szCs w:val="28"/>
          <w:highlight w:val="none"/>
          <w:lang w:val="en-US" w:eastAsia="zh-CN"/>
        </w:rPr>
      </w:pPr>
    </w:p>
    <w:p w14:paraId="7D04A8CB">
      <w:pPr>
        <w:widowControl/>
        <w:shd w:val="clear" w:color="auto" w:fill="FEFEFE"/>
        <w:spacing w:line="540" w:lineRule="exact"/>
        <w:ind w:left="0" w:leftChars="0" w:firstLine="1063" w:firstLineChars="441"/>
        <w:jc w:val="left"/>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 xml:space="preserve">项目编号： </w:t>
      </w:r>
      <w:r>
        <w:rPr>
          <w:rFonts w:hint="eastAsia" w:ascii="宋体" w:hAnsi="宋体" w:cs="宋体"/>
          <w:b/>
          <w:color w:val="auto"/>
          <w:sz w:val="24"/>
          <w:szCs w:val="24"/>
          <w:highlight w:val="none"/>
        </w:rPr>
        <w:t>ZFCGHY-</w:t>
      </w:r>
      <w:r>
        <w:rPr>
          <w:rFonts w:hint="eastAsia" w:ascii="宋体" w:hAnsi="宋体" w:cs="宋体"/>
          <w:b/>
          <w:color w:val="auto"/>
          <w:sz w:val="24"/>
          <w:szCs w:val="24"/>
          <w:highlight w:val="none"/>
          <w:lang w:val="en-US" w:eastAsia="zh-CN"/>
        </w:rPr>
        <w:t>20250009（1）</w:t>
      </w:r>
    </w:p>
    <w:p w14:paraId="65172948">
      <w:pPr>
        <w:widowControl/>
        <w:shd w:val="clear" w:color="auto" w:fill="FEFEFE"/>
        <w:spacing w:line="540" w:lineRule="exact"/>
        <w:ind w:left="0" w:leftChars="0" w:firstLine="1063" w:firstLineChars="441"/>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采 购 人： 乌鲁木齐市自然资源局</w:t>
      </w:r>
    </w:p>
    <w:p w14:paraId="673C2713">
      <w:pPr>
        <w:widowControl/>
        <w:shd w:val="clear" w:color="auto" w:fill="FEFEFE"/>
        <w:spacing w:line="540" w:lineRule="exact"/>
        <w:ind w:left="0" w:leftChars="0" w:firstLine="1063" w:firstLineChars="441"/>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采购代理： 新疆华域建设工程项目管理咨询有限公司</w:t>
      </w:r>
    </w:p>
    <w:p w14:paraId="570C0DCC">
      <w:pPr>
        <w:widowControl/>
        <w:shd w:val="clear" w:color="auto" w:fill="FEFEFE"/>
        <w:spacing w:line="540" w:lineRule="exact"/>
        <w:ind w:left="0" w:leftChars="0" w:firstLine="1063" w:firstLineChars="441"/>
        <w:jc w:val="left"/>
        <w:rPr>
          <w:rFonts w:hint="default" w:ascii="宋体" w:hAnsi="宋体" w:cs="宋体"/>
          <w:b/>
          <w:color w:val="auto"/>
          <w:sz w:val="24"/>
          <w:szCs w:val="24"/>
          <w:highlight w:val="none"/>
          <w:lang w:val="en-US" w:eastAsia="zh-CN"/>
        </w:rPr>
      </w:pPr>
      <w:r>
        <w:rPr>
          <w:rFonts w:hint="eastAsia" w:ascii="宋体" w:hAnsi="宋体" w:cs="宋体"/>
          <w:b/>
          <w:color w:val="auto"/>
          <w:sz w:val="24"/>
          <w:szCs w:val="24"/>
          <w:highlight w:val="none"/>
        </w:rPr>
        <w:t>联 系 人： 王鹤宇</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李娟娟、姚诗桔、马红萍</w:t>
      </w:r>
    </w:p>
    <w:p w14:paraId="34FFDCF0">
      <w:pPr>
        <w:widowControl/>
        <w:shd w:val="clear" w:color="auto" w:fill="FEFEFE"/>
        <w:spacing w:line="540" w:lineRule="exact"/>
        <w:ind w:left="0" w:leftChars="0" w:firstLine="1063" w:firstLineChars="441"/>
        <w:jc w:val="left"/>
        <w:rPr>
          <w:rFonts w:hint="default" w:ascii="宋体" w:hAnsi="宋体" w:cs="宋体"/>
          <w:b/>
          <w:color w:val="auto"/>
          <w:sz w:val="24"/>
          <w:szCs w:val="24"/>
          <w:highlight w:val="none"/>
          <w:lang w:val="en-US"/>
        </w:rPr>
      </w:pPr>
      <w:r>
        <w:rPr>
          <w:rFonts w:hint="eastAsia" w:ascii="宋体" w:hAnsi="宋体" w:cs="宋体"/>
          <w:b/>
          <w:color w:val="auto"/>
          <w:sz w:val="24"/>
          <w:szCs w:val="24"/>
          <w:highlight w:val="none"/>
        </w:rPr>
        <w:t xml:space="preserve">电    话： </w:t>
      </w:r>
      <w:r>
        <w:rPr>
          <w:rFonts w:hint="eastAsia" w:ascii="宋体" w:hAnsi="宋体" w:cs="宋体"/>
          <w:b/>
          <w:color w:val="auto"/>
          <w:sz w:val="24"/>
          <w:szCs w:val="24"/>
          <w:highlight w:val="none"/>
          <w:lang w:val="en-US" w:eastAsia="zh-CN"/>
        </w:rPr>
        <w:t xml:space="preserve"> 0991-4630336、18997972745、13179816599</w:t>
      </w:r>
    </w:p>
    <w:p w14:paraId="031813AB">
      <w:pPr>
        <w:widowControl/>
        <w:shd w:val="clear" w:color="auto" w:fill="FEFEFE"/>
        <w:spacing w:line="540" w:lineRule="exact"/>
        <w:ind w:left="0" w:leftChars="0" w:firstLine="1063" w:firstLineChars="441"/>
        <w:jc w:val="left"/>
        <w:rPr>
          <w:rFonts w:hint="eastAsia" w:ascii="宋体" w:hAnsi="宋体" w:cs="宋体"/>
          <w:b/>
          <w:color w:val="auto"/>
          <w:sz w:val="24"/>
          <w:szCs w:val="24"/>
          <w:highlight w:val="none"/>
        </w:rPr>
      </w:pPr>
      <w:r>
        <w:rPr>
          <w:rFonts w:hint="eastAsia" w:ascii="宋体" w:hAnsi="宋体" w:cs="宋体"/>
          <w:b/>
          <w:color w:val="auto"/>
          <w:sz w:val="24"/>
          <w:szCs w:val="24"/>
          <w:highlight w:val="none"/>
        </w:rPr>
        <w:t>联系地址： 乌鲁木齐市五星北路194号新地园大厦13</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14</w:t>
      </w:r>
      <w:r>
        <w:rPr>
          <w:rFonts w:hint="eastAsia" w:ascii="宋体" w:hAnsi="宋体" w:cs="宋体"/>
          <w:b/>
          <w:color w:val="auto"/>
          <w:sz w:val="24"/>
          <w:szCs w:val="24"/>
          <w:highlight w:val="none"/>
        </w:rPr>
        <w:t xml:space="preserve">楼 </w:t>
      </w:r>
    </w:p>
    <w:p w14:paraId="1021DB17">
      <w:pPr>
        <w:pStyle w:val="31"/>
        <w:rPr>
          <w:color w:val="auto"/>
          <w:highlight w:val="none"/>
        </w:rPr>
      </w:pPr>
      <w:r>
        <w:rPr>
          <w:rFonts w:ascii="宋体" w:hAnsi="宋体"/>
          <w:b/>
          <w:color w:val="auto"/>
          <w:sz w:val="48"/>
          <w:szCs w:val="48"/>
          <w:highlight w:val="none"/>
        </w:rPr>
        <w:br w:type="page"/>
      </w:r>
    </w:p>
    <w:sdt>
      <w:sdtPr>
        <w:rPr>
          <w:rFonts w:ascii="宋体" w:hAnsi="宋体"/>
          <w:b/>
          <w:bCs/>
          <w:color w:val="auto"/>
          <w:sz w:val="36"/>
          <w:szCs w:val="36"/>
          <w:highlight w:val="none"/>
        </w:rPr>
        <w:id w:val="147472295"/>
        <w:docPartObj>
          <w:docPartGallery w:val="Table of Contents"/>
          <w:docPartUnique/>
        </w:docPartObj>
      </w:sdtPr>
      <w:sdtEndPr>
        <w:rPr>
          <w:rFonts w:ascii="宋体" w:hAnsi="宋体"/>
          <w:b/>
          <w:bCs/>
          <w:color w:val="auto"/>
          <w:sz w:val="36"/>
          <w:szCs w:val="36"/>
          <w:highlight w:val="none"/>
        </w:rPr>
      </w:sdtEndPr>
      <w:sdtContent>
        <w:p w14:paraId="5E3D729E">
          <w:pPr>
            <w:spacing w:line="380" w:lineRule="exact"/>
            <w:jc w:val="center"/>
            <w:rPr>
              <w:b/>
              <w:bCs/>
              <w:color w:val="auto"/>
              <w:sz w:val="36"/>
              <w:szCs w:val="36"/>
              <w:highlight w:val="none"/>
            </w:rPr>
          </w:pPr>
          <w:bookmarkStart w:id="0" w:name="_Toc118516209"/>
          <w:bookmarkStart w:id="1" w:name="_Toc32141"/>
          <w:bookmarkStart w:id="2" w:name="_Toc171394907"/>
          <w:bookmarkStart w:id="3" w:name="_Toc185012671"/>
          <w:bookmarkStart w:id="4" w:name="_Toc251221438"/>
          <w:bookmarkStart w:id="5" w:name="_Toc251189093"/>
          <w:r>
            <w:rPr>
              <w:rFonts w:ascii="宋体" w:hAnsi="宋体"/>
              <w:b/>
              <w:bCs/>
              <w:color w:val="auto"/>
              <w:sz w:val="36"/>
              <w:szCs w:val="36"/>
              <w:highlight w:val="none"/>
            </w:rPr>
            <w:t>目</w:t>
          </w:r>
          <w:r>
            <w:rPr>
              <w:rFonts w:hint="eastAsia" w:ascii="宋体" w:hAnsi="宋体"/>
              <w:b/>
              <w:bCs/>
              <w:color w:val="auto"/>
              <w:sz w:val="36"/>
              <w:szCs w:val="36"/>
              <w:highlight w:val="none"/>
            </w:rPr>
            <w:t xml:space="preserve">  </w:t>
          </w:r>
          <w:r>
            <w:rPr>
              <w:rFonts w:ascii="宋体" w:hAnsi="宋体"/>
              <w:b/>
              <w:bCs/>
              <w:color w:val="auto"/>
              <w:sz w:val="36"/>
              <w:szCs w:val="36"/>
              <w:highlight w:val="none"/>
            </w:rPr>
            <w:t>录</w:t>
          </w:r>
        </w:p>
        <w:p w14:paraId="3AA631D5">
          <w:pPr>
            <w:pStyle w:val="31"/>
            <w:spacing w:before="0" w:after="0" w:line="360" w:lineRule="auto"/>
            <w:rPr>
              <w:rFonts w:ascii="宋体" w:hAnsi="宋体" w:cs="宋体"/>
              <w:bCs w:val="0"/>
              <w:caps w:val="0"/>
              <w:color w:val="auto"/>
              <w:sz w:val="21"/>
              <w:szCs w:val="21"/>
              <w:highlight w:val="none"/>
            </w:rPr>
          </w:pP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TOC \o "1-2" \h \u </w:instrText>
          </w:r>
          <w:r>
            <w:rPr>
              <w:rFonts w:hint="eastAsia" w:ascii="宋体" w:hAnsi="宋体" w:cs="宋体"/>
              <w:color w:val="auto"/>
              <w:sz w:val="21"/>
              <w:szCs w:val="21"/>
              <w:highlight w:val="none"/>
            </w:rPr>
            <w:fldChar w:fldCharType="separate"/>
          </w:r>
          <w:r>
            <w:rPr>
              <w:color w:val="auto"/>
              <w:highlight w:val="none"/>
            </w:rPr>
            <w:fldChar w:fldCharType="begin"/>
          </w:r>
          <w:r>
            <w:rPr>
              <w:color w:val="auto"/>
              <w:highlight w:val="none"/>
            </w:rPr>
            <w:instrText xml:space="preserve"> HYPERLINK \l "_Toc85359496" </w:instrText>
          </w:r>
          <w:r>
            <w:rPr>
              <w:color w:val="auto"/>
              <w:highlight w:val="none"/>
            </w:rPr>
            <w:fldChar w:fldCharType="separate"/>
          </w:r>
          <w:r>
            <w:rPr>
              <w:rStyle w:val="50"/>
              <w:rFonts w:hint="eastAsia" w:ascii="宋体" w:hAnsi="宋体" w:cs="宋体"/>
              <w:color w:val="auto"/>
              <w:sz w:val="21"/>
              <w:szCs w:val="21"/>
              <w:highlight w:val="none"/>
            </w:rPr>
            <w:t>第一部分 公开招标公告</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_Toc85359496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3</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4D35AE03">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"_Toc85359497" </w:instrText>
          </w:r>
          <w:r>
            <w:rPr>
              <w:color w:val="auto"/>
              <w:highlight w:val="none"/>
            </w:rPr>
            <w:fldChar w:fldCharType="separate"/>
          </w:r>
          <w:r>
            <w:rPr>
              <w:rStyle w:val="50"/>
              <w:rFonts w:hint="eastAsia" w:ascii="宋体" w:hAnsi="宋体" w:cs="宋体"/>
              <w:color w:val="auto"/>
              <w:sz w:val="21"/>
              <w:szCs w:val="21"/>
              <w:highlight w:val="none"/>
            </w:rPr>
            <w:t>一、项目基本情况</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_Toc85359497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3</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7B95C49B">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"_Toc85359498" </w:instrText>
          </w:r>
          <w:r>
            <w:rPr>
              <w:color w:val="auto"/>
              <w:highlight w:val="none"/>
            </w:rPr>
            <w:fldChar w:fldCharType="separate"/>
          </w:r>
          <w:r>
            <w:rPr>
              <w:rStyle w:val="50"/>
              <w:rFonts w:hint="eastAsia" w:ascii="宋体" w:hAnsi="宋体" w:cs="宋体"/>
              <w:color w:val="auto"/>
              <w:sz w:val="21"/>
              <w:szCs w:val="21"/>
              <w:highlight w:val="none"/>
            </w:rPr>
            <w:t>二、申请人的资格要求：</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_Toc85359498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3</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1304CA8E">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"_Toc85359499" </w:instrText>
          </w:r>
          <w:r>
            <w:rPr>
              <w:color w:val="auto"/>
              <w:highlight w:val="none"/>
            </w:rPr>
            <w:fldChar w:fldCharType="separate"/>
          </w:r>
          <w:r>
            <w:rPr>
              <w:rStyle w:val="50"/>
              <w:rFonts w:hint="eastAsia" w:ascii="宋体" w:hAnsi="宋体" w:cs="宋体"/>
              <w:color w:val="auto"/>
              <w:sz w:val="21"/>
              <w:szCs w:val="21"/>
              <w:highlight w:val="none"/>
            </w:rPr>
            <w:t>三、获取采购文件：</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_Toc85359499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3D46923C">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"_Toc85359500" </w:instrText>
          </w:r>
          <w:r>
            <w:rPr>
              <w:color w:val="auto"/>
              <w:highlight w:val="none"/>
            </w:rPr>
            <w:fldChar w:fldCharType="separate"/>
          </w:r>
          <w:r>
            <w:rPr>
              <w:rStyle w:val="50"/>
              <w:rFonts w:hint="eastAsia" w:ascii="宋体" w:hAnsi="宋体" w:cs="宋体"/>
              <w:color w:val="auto"/>
              <w:sz w:val="21"/>
              <w:szCs w:val="21"/>
              <w:highlight w:val="none"/>
            </w:rPr>
            <w:t>四、提交投标文件截止时间、开标时间和地点</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_Toc85359500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36E10E17">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"_Toc85359501" </w:instrText>
          </w:r>
          <w:r>
            <w:rPr>
              <w:color w:val="auto"/>
              <w:highlight w:val="none"/>
            </w:rPr>
            <w:fldChar w:fldCharType="separate"/>
          </w:r>
          <w:r>
            <w:rPr>
              <w:rStyle w:val="50"/>
              <w:rFonts w:hint="eastAsia" w:ascii="宋体" w:hAnsi="宋体" w:cs="宋体"/>
              <w:color w:val="auto"/>
              <w:sz w:val="21"/>
              <w:szCs w:val="21"/>
              <w:highlight w:val="none"/>
            </w:rPr>
            <w:t>五、公告期限</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_Toc85359501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6EE6794A">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"_Toc85359502" </w:instrText>
          </w:r>
          <w:r>
            <w:rPr>
              <w:color w:val="auto"/>
              <w:highlight w:val="none"/>
            </w:rPr>
            <w:fldChar w:fldCharType="separate"/>
          </w:r>
          <w:r>
            <w:rPr>
              <w:rStyle w:val="50"/>
              <w:rFonts w:hint="eastAsia" w:ascii="宋体" w:hAnsi="宋体" w:cs="宋体"/>
              <w:color w:val="auto"/>
              <w:sz w:val="21"/>
              <w:szCs w:val="21"/>
              <w:highlight w:val="none"/>
            </w:rPr>
            <w:t>六、其他补充事宜</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_Toc85359502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0AD72F9D">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"_Toc85359503" </w:instrText>
          </w:r>
          <w:r>
            <w:rPr>
              <w:color w:val="auto"/>
              <w:highlight w:val="none"/>
            </w:rPr>
            <w:fldChar w:fldCharType="separate"/>
          </w:r>
          <w:r>
            <w:rPr>
              <w:rStyle w:val="50"/>
              <w:rFonts w:hint="eastAsia" w:ascii="宋体" w:hAnsi="宋体" w:cs="宋体"/>
              <w:color w:val="auto"/>
              <w:sz w:val="21"/>
              <w:szCs w:val="21"/>
              <w:highlight w:val="none"/>
            </w:rPr>
            <w:t>七、对本次采购提出询问、质疑、投诉，请按以下方式联系。</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_Toc85359503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5</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4CA28AFA">
          <w:pPr>
            <w:pStyle w:val="31"/>
            <w:spacing w:before="0" w:after="0" w:line="360" w:lineRule="auto"/>
            <w:rPr>
              <w:rFonts w:ascii="宋体" w:hAnsi="宋体" w:cs="宋体"/>
              <w:bCs w:val="0"/>
              <w:caps w:val="0"/>
              <w:color w:val="auto"/>
              <w:sz w:val="21"/>
              <w:szCs w:val="21"/>
              <w:highlight w:val="none"/>
            </w:rPr>
          </w:pPr>
          <w:r>
            <w:rPr>
              <w:color w:val="auto"/>
              <w:highlight w:val="none"/>
            </w:rPr>
            <w:fldChar w:fldCharType="begin"/>
          </w:r>
          <w:r>
            <w:rPr>
              <w:color w:val="auto"/>
              <w:highlight w:val="none"/>
            </w:rPr>
            <w:instrText xml:space="preserve"> HYPERLINK \l "_Toc85359504" </w:instrText>
          </w:r>
          <w:r>
            <w:rPr>
              <w:color w:val="auto"/>
              <w:highlight w:val="none"/>
            </w:rPr>
            <w:fldChar w:fldCharType="separate"/>
          </w:r>
          <w:r>
            <w:rPr>
              <w:rStyle w:val="50"/>
              <w:rFonts w:hint="eastAsia" w:ascii="宋体" w:hAnsi="宋体" w:cs="宋体"/>
              <w:color w:val="auto"/>
              <w:sz w:val="21"/>
              <w:szCs w:val="21"/>
              <w:highlight w:val="none"/>
            </w:rPr>
            <w:t>第二部分 投标须知</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_Toc85359504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6</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72EA39E0">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"_Toc85359505" </w:instrText>
          </w:r>
          <w:r>
            <w:rPr>
              <w:color w:val="auto"/>
              <w:highlight w:val="none"/>
            </w:rPr>
            <w:fldChar w:fldCharType="separate"/>
          </w:r>
          <w:r>
            <w:rPr>
              <w:rStyle w:val="50"/>
              <w:rFonts w:hint="eastAsia" w:ascii="宋体" w:hAnsi="宋体" w:cs="宋体"/>
              <w:color w:val="auto"/>
              <w:sz w:val="21"/>
              <w:szCs w:val="21"/>
              <w:highlight w:val="none"/>
            </w:rPr>
            <w:t>前 附 表</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_Toc85359505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6</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41097A37">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"_Toc85359506" </w:instrText>
          </w:r>
          <w:r>
            <w:rPr>
              <w:color w:val="auto"/>
              <w:highlight w:val="none"/>
            </w:rPr>
            <w:fldChar w:fldCharType="separate"/>
          </w:r>
          <w:r>
            <w:rPr>
              <w:rStyle w:val="50"/>
              <w:rFonts w:hint="eastAsia" w:ascii="宋体" w:hAnsi="宋体" w:cs="宋体"/>
              <w:color w:val="auto"/>
              <w:sz w:val="21"/>
              <w:szCs w:val="21"/>
              <w:highlight w:val="none"/>
            </w:rPr>
            <w:t>一、总则</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_Toc85359506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14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0B0FB6A8">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"_Toc85359507" </w:instrText>
          </w:r>
          <w:r>
            <w:rPr>
              <w:color w:val="auto"/>
              <w:highlight w:val="none"/>
            </w:rPr>
            <w:fldChar w:fldCharType="separate"/>
          </w:r>
          <w:r>
            <w:rPr>
              <w:rStyle w:val="50"/>
              <w:rFonts w:hint="eastAsia" w:ascii="宋体" w:hAnsi="宋体" w:cs="宋体"/>
              <w:color w:val="auto"/>
              <w:sz w:val="21"/>
              <w:szCs w:val="21"/>
              <w:highlight w:val="none"/>
            </w:rPr>
            <w:t>二、采购文件</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_Toc85359507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15</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6E44057D">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"_Toc85359508" </w:instrText>
          </w:r>
          <w:r>
            <w:rPr>
              <w:color w:val="auto"/>
              <w:highlight w:val="none"/>
            </w:rPr>
            <w:fldChar w:fldCharType="separate"/>
          </w:r>
          <w:r>
            <w:rPr>
              <w:rStyle w:val="50"/>
              <w:rFonts w:hint="eastAsia" w:ascii="宋体" w:hAnsi="宋体" w:cs="宋体"/>
              <w:color w:val="auto"/>
              <w:sz w:val="21"/>
              <w:szCs w:val="21"/>
              <w:highlight w:val="none"/>
            </w:rPr>
            <w:t>三、投标文件的编制</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_Toc85359508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16</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5C0DC6AF">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"_Toc85359509" </w:instrText>
          </w:r>
          <w:r>
            <w:rPr>
              <w:color w:val="auto"/>
              <w:highlight w:val="none"/>
            </w:rPr>
            <w:fldChar w:fldCharType="separate"/>
          </w:r>
          <w:r>
            <w:rPr>
              <w:rStyle w:val="50"/>
              <w:rFonts w:hint="eastAsia" w:ascii="宋体" w:hAnsi="宋体" w:cs="宋体"/>
              <w:color w:val="auto"/>
              <w:sz w:val="21"/>
              <w:szCs w:val="21"/>
              <w:highlight w:val="none"/>
            </w:rPr>
            <w:t>四、投标文件的递交</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_Toc85359509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23</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3A34B9F8">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"_Toc85359510" </w:instrText>
          </w:r>
          <w:r>
            <w:rPr>
              <w:color w:val="auto"/>
              <w:highlight w:val="none"/>
            </w:rPr>
            <w:fldChar w:fldCharType="separate"/>
          </w:r>
          <w:r>
            <w:rPr>
              <w:rStyle w:val="50"/>
              <w:rFonts w:hint="eastAsia" w:ascii="宋体" w:hAnsi="宋体" w:cs="宋体"/>
              <w:color w:val="auto"/>
              <w:sz w:val="21"/>
              <w:szCs w:val="21"/>
              <w:highlight w:val="none"/>
            </w:rPr>
            <w:t>五、开标与评标</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_Toc85359510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24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0B5B9C79">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"_Toc85359511" </w:instrText>
          </w:r>
          <w:r>
            <w:rPr>
              <w:color w:val="auto"/>
              <w:highlight w:val="none"/>
            </w:rPr>
            <w:fldChar w:fldCharType="separate"/>
          </w:r>
          <w:r>
            <w:rPr>
              <w:rStyle w:val="50"/>
              <w:rFonts w:hint="eastAsia" w:ascii="宋体" w:hAnsi="宋体" w:cs="宋体"/>
              <w:color w:val="auto"/>
              <w:sz w:val="21"/>
              <w:szCs w:val="21"/>
              <w:highlight w:val="none"/>
            </w:rPr>
            <w:t>六、确定中标人及授予合同</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_Toc85359511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28</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1B28FD50">
          <w:pPr>
            <w:pStyle w:val="31"/>
            <w:spacing w:before="0" w:after="0" w:line="360" w:lineRule="auto"/>
            <w:rPr>
              <w:rFonts w:ascii="宋体" w:hAnsi="宋体" w:cs="宋体"/>
              <w:bCs w:val="0"/>
              <w:caps w:val="0"/>
              <w:color w:val="auto"/>
              <w:sz w:val="21"/>
              <w:szCs w:val="21"/>
              <w:highlight w:val="none"/>
            </w:rPr>
          </w:pPr>
          <w:r>
            <w:rPr>
              <w:color w:val="auto"/>
              <w:highlight w:val="none"/>
            </w:rPr>
            <w:fldChar w:fldCharType="begin"/>
          </w:r>
          <w:r>
            <w:rPr>
              <w:color w:val="auto"/>
              <w:highlight w:val="none"/>
            </w:rPr>
            <w:instrText xml:space="preserve"> HYPERLINK \l "_Toc85359512" </w:instrText>
          </w:r>
          <w:r>
            <w:rPr>
              <w:color w:val="auto"/>
              <w:highlight w:val="none"/>
            </w:rPr>
            <w:fldChar w:fldCharType="separate"/>
          </w:r>
          <w:r>
            <w:rPr>
              <w:rStyle w:val="50"/>
              <w:rFonts w:hint="eastAsia" w:ascii="宋体" w:hAnsi="宋体" w:cs="宋体"/>
              <w:color w:val="auto"/>
              <w:sz w:val="21"/>
              <w:szCs w:val="21"/>
              <w:highlight w:val="none"/>
            </w:rPr>
            <w:t xml:space="preserve">第三部分 </w:t>
          </w:r>
          <w:r>
            <w:rPr>
              <w:rStyle w:val="50"/>
              <w:rFonts w:hint="eastAsia" w:ascii="宋体" w:hAnsi="宋体" w:cs="宋体"/>
              <w:color w:val="auto"/>
              <w:sz w:val="21"/>
              <w:szCs w:val="21"/>
              <w:highlight w:val="none"/>
              <w:lang w:val="en-US" w:eastAsia="zh-CN"/>
            </w:rPr>
            <w:t xml:space="preserve"> </w:t>
          </w:r>
          <w:r>
            <w:rPr>
              <w:rStyle w:val="50"/>
              <w:rFonts w:hint="eastAsia" w:ascii="宋体" w:hAnsi="宋体" w:cs="宋体"/>
              <w:color w:val="auto"/>
              <w:sz w:val="21"/>
              <w:szCs w:val="21"/>
              <w:highlight w:val="none"/>
            </w:rPr>
            <w:t>项目技术规范和服务要求</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_Toc85359512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31</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01DA69F0">
          <w:pPr>
            <w:pStyle w:val="31"/>
            <w:spacing w:before="0" w:after="0" w:line="360" w:lineRule="auto"/>
            <w:rPr>
              <w:rFonts w:ascii="宋体" w:hAnsi="宋体" w:cs="宋体"/>
              <w:bCs w:val="0"/>
              <w:caps w:val="0"/>
              <w:color w:val="auto"/>
              <w:sz w:val="21"/>
              <w:szCs w:val="21"/>
              <w:highlight w:val="none"/>
            </w:rPr>
          </w:pPr>
          <w:r>
            <w:rPr>
              <w:color w:val="auto"/>
              <w:highlight w:val="none"/>
            </w:rPr>
            <w:fldChar w:fldCharType="begin"/>
          </w:r>
          <w:r>
            <w:rPr>
              <w:color w:val="auto"/>
              <w:highlight w:val="none"/>
            </w:rPr>
            <w:instrText xml:space="preserve"> HYPERLINK \l "_Toc85359513" </w:instrText>
          </w:r>
          <w:r>
            <w:rPr>
              <w:color w:val="auto"/>
              <w:highlight w:val="none"/>
            </w:rPr>
            <w:fldChar w:fldCharType="separate"/>
          </w:r>
          <w:r>
            <w:rPr>
              <w:rStyle w:val="50"/>
              <w:rFonts w:hint="eastAsia" w:ascii="宋体" w:hAnsi="宋体" w:cs="宋体"/>
              <w:color w:val="auto"/>
              <w:sz w:val="21"/>
              <w:szCs w:val="21"/>
              <w:highlight w:val="none"/>
            </w:rPr>
            <w:t>第四部分  合同条款</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_Toc85359513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53</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77E8A99B">
          <w:pPr>
            <w:pStyle w:val="31"/>
            <w:spacing w:before="0" w:after="0" w:line="360" w:lineRule="auto"/>
            <w:rPr>
              <w:rFonts w:ascii="宋体" w:hAnsi="宋体" w:cs="宋体"/>
              <w:bCs w:val="0"/>
              <w:caps w:val="0"/>
              <w:color w:val="auto"/>
              <w:sz w:val="21"/>
              <w:szCs w:val="21"/>
              <w:highlight w:val="none"/>
            </w:rPr>
          </w:pPr>
          <w:r>
            <w:rPr>
              <w:color w:val="auto"/>
              <w:highlight w:val="none"/>
            </w:rPr>
            <w:fldChar w:fldCharType="begin"/>
          </w:r>
          <w:r>
            <w:rPr>
              <w:color w:val="auto"/>
              <w:highlight w:val="none"/>
            </w:rPr>
            <w:instrText xml:space="preserve"> HYPERLINK \l "_Toc85359514" </w:instrText>
          </w:r>
          <w:r>
            <w:rPr>
              <w:color w:val="auto"/>
              <w:highlight w:val="none"/>
            </w:rPr>
            <w:fldChar w:fldCharType="separate"/>
          </w:r>
          <w:r>
            <w:rPr>
              <w:rStyle w:val="50"/>
              <w:rFonts w:hint="eastAsia" w:ascii="宋体" w:hAnsi="宋体" w:cs="宋体"/>
              <w:color w:val="auto"/>
              <w:sz w:val="21"/>
              <w:szCs w:val="21"/>
              <w:highlight w:val="none"/>
            </w:rPr>
            <w:t>第五部分  评标办法（综合评分法）</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_Toc85359514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74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185F8BB0">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"_Toc85359515" </w:instrText>
          </w:r>
          <w:r>
            <w:rPr>
              <w:color w:val="auto"/>
              <w:highlight w:val="none"/>
            </w:rPr>
            <w:fldChar w:fldCharType="separate"/>
          </w:r>
          <w:r>
            <w:rPr>
              <w:rStyle w:val="50"/>
              <w:rFonts w:hint="eastAsia" w:ascii="宋体" w:hAnsi="宋体" w:cs="宋体"/>
              <w:color w:val="auto"/>
              <w:sz w:val="21"/>
              <w:szCs w:val="21"/>
              <w:highlight w:val="none"/>
            </w:rPr>
            <w:t>一、总则</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_Toc85359515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74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5FCF5D07">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"_Toc85359516" </w:instrText>
          </w:r>
          <w:r>
            <w:rPr>
              <w:color w:val="auto"/>
              <w:highlight w:val="none"/>
            </w:rPr>
            <w:fldChar w:fldCharType="separate"/>
          </w:r>
          <w:r>
            <w:rPr>
              <w:rStyle w:val="50"/>
              <w:rFonts w:hint="eastAsia" w:ascii="宋体" w:hAnsi="宋体" w:cs="宋体"/>
              <w:color w:val="auto"/>
              <w:sz w:val="21"/>
              <w:szCs w:val="21"/>
              <w:highlight w:val="none"/>
            </w:rPr>
            <w:t>二、评标组织</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_Toc85359516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74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19FB27D9">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"_Toc85359517" </w:instrText>
          </w:r>
          <w:r>
            <w:rPr>
              <w:color w:val="auto"/>
              <w:highlight w:val="none"/>
            </w:rPr>
            <w:fldChar w:fldCharType="separate"/>
          </w:r>
          <w:r>
            <w:rPr>
              <w:rStyle w:val="50"/>
              <w:rFonts w:hint="eastAsia" w:ascii="宋体" w:hAnsi="宋体" w:cs="宋体"/>
              <w:color w:val="auto"/>
              <w:sz w:val="21"/>
              <w:szCs w:val="21"/>
              <w:highlight w:val="none"/>
            </w:rPr>
            <w:t>三、评标纪律</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_Toc85359517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74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5B4FBAC4">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"_Toc85359518" </w:instrText>
          </w:r>
          <w:r>
            <w:rPr>
              <w:color w:val="auto"/>
              <w:highlight w:val="none"/>
            </w:rPr>
            <w:fldChar w:fldCharType="separate"/>
          </w:r>
          <w:r>
            <w:rPr>
              <w:rStyle w:val="50"/>
              <w:rFonts w:hint="eastAsia" w:ascii="宋体" w:hAnsi="宋体" w:cs="宋体"/>
              <w:color w:val="auto"/>
              <w:sz w:val="21"/>
              <w:szCs w:val="21"/>
              <w:highlight w:val="none"/>
            </w:rPr>
            <w:t>四、评标程序</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_Toc85359518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75</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7F1D3F5B">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"_Toc85359519" </w:instrText>
          </w:r>
          <w:r>
            <w:rPr>
              <w:color w:val="auto"/>
              <w:highlight w:val="none"/>
            </w:rPr>
            <w:fldChar w:fldCharType="separate"/>
          </w:r>
          <w:r>
            <w:rPr>
              <w:rStyle w:val="50"/>
              <w:rFonts w:hint="eastAsia" w:ascii="宋体" w:hAnsi="宋体" w:cs="宋体"/>
              <w:color w:val="auto"/>
              <w:sz w:val="21"/>
              <w:szCs w:val="21"/>
              <w:highlight w:val="none"/>
            </w:rPr>
            <w:t>五、评标细则及标准</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_Toc85359519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76</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3BF9B65A">
          <w:pPr>
            <w:pStyle w:val="31"/>
            <w:spacing w:before="0" w:after="0" w:line="360" w:lineRule="auto"/>
            <w:rPr>
              <w:rFonts w:ascii="宋体" w:hAnsi="宋体" w:cs="宋体"/>
              <w:bCs w:val="0"/>
              <w:caps w:val="0"/>
              <w:color w:val="auto"/>
              <w:sz w:val="21"/>
              <w:szCs w:val="21"/>
              <w:highlight w:val="none"/>
            </w:rPr>
          </w:pPr>
          <w:r>
            <w:rPr>
              <w:color w:val="auto"/>
              <w:highlight w:val="none"/>
            </w:rPr>
            <w:fldChar w:fldCharType="begin"/>
          </w:r>
          <w:r>
            <w:rPr>
              <w:color w:val="auto"/>
              <w:highlight w:val="none"/>
            </w:rPr>
            <w:instrText xml:space="preserve"> HYPERLINK \l "_Toc85359520" </w:instrText>
          </w:r>
          <w:r>
            <w:rPr>
              <w:color w:val="auto"/>
              <w:highlight w:val="none"/>
            </w:rPr>
            <w:fldChar w:fldCharType="separate"/>
          </w:r>
          <w:r>
            <w:rPr>
              <w:rStyle w:val="50"/>
              <w:rFonts w:hint="eastAsia" w:ascii="宋体" w:hAnsi="宋体" w:cs="宋体"/>
              <w:color w:val="auto"/>
              <w:sz w:val="21"/>
              <w:szCs w:val="21"/>
              <w:highlight w:val="none"/>
            </w:rPr>
            <w:t>第六部分  投标文件格式</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_Toc85359520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84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75451FDA">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"_Toc85359521" </w:instrText>
          </w:r>
          <w:r>
            <w:rPr>
              <w:color w:val="auto"/>
              <w:highlight w:val="none"/>
            </w:rPr>
            <w:fldChar w:fldCharType="separate"/>
          </w:r>
          <w:r>
            <w:rPr>
              <w:rStyle w:val="50"/>
              <w:rFonts w:hint="eastAsia" w:ascii="宋体" w:hAnsi="宋体" w:cs="宋体"/>
              <w:color w:val="auto"/>
              <w:sz w:val="21"/>
              <w:szCs w:val="21"/>
              <w:highlight w:val="none"/>
            </w:rPr>
            <w:t>一、投标文件封面（格式供参考）</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_Toc85359521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85</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4C804E1B">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"_Toc85359522" </w:instrText>
          </w:r>
          <w:r>
            <w:rPr>
              <w:color w:val="auto"/>
              <w:highlight w:val="none"/>
            </w:rPr>
            <w:fldChar w:fldCharType="separate"/>
          </w:r>
          <w:r>
            <w:rPr>
              <w:rStyle w:val="50"/>
              <w:rFonts w:hint="eastAsia" w:ascii="宋体" w:hAnsi="宋体" w:cs="宋体"/>
              <w:color w:val="auto"/>
              <w:sz w:val="21"/>
              <w:szCs w:val="21"/>
              <w:highlight w:val="none"/>
            </w:rPr>
            <w:t>二、资格文件</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_Toc85359522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88</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6449195F">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"_Toc85359523" </w:instrText>
          </w:r>
          <w:r>
            <w:rPr>
              <w:color w:val="auto"/>
              <w:highlight w:val="none"/>
            </w:rPr>
            <w:fldChar w:fldCharType="separate"/>
          </w:r>
          <w:r>
            <w:rPr>
              <w:rStyle w:val="50"/>
              <w:rFonts w:hint="eastAsia" w:ascii="宋体" w:hAnsi="宋体" w:cs="宋体"/>
              <w:color w:val="auto"/>
              <w:sz w:val="21"/>
              <w:szCs w:val="21"/>
              <w:highlight w:val="none"/>
            </w:rPr>
            <w:t>三、商务技术文件部分格式</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_Toc85359523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96</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31338F49">
          <w:pPr>
            <w:pStyle w:val="36"/>
            <w:spacing w:line="360" w:lineRule="auto"/>
            <w:rPr>
              <w:rFonts w:ascii="宋体" w:hAnsi="宋体" w:cs="宋体"/>
              <w:smallCaps w:val="0"/>
              <w:color w:val="auto"/>
              <w:sz w:val="21"/>
              <w:szCs w:val="21"/>
              <w:highlight w:val="none"/>
            </w:rPr>
          </w:pPr>
          <w:r>
            <w:rPr>
              <w:color w:val="auto"/>
              <w:highlight w:val="none"/>
            </w:rPr>
            <w:fldChar w:fldCharType="begin"/>
          </w:r>
          <w:r>
            <w:rPr>
              <w:color w:val="auto"/>
              <w:highlight w:val="none"/>
            </w:rPr>
            <w:instrText xml:space="preserve"> HYPERLINK \l "_Toc85359524" </w:instrText>
          </w:r>
          <w:r>
            <w:rPr>
              <w:color w:val="auto"/>
              <w:highlight w:val="none"/>
            </w:rPr>
            <w:fldChar w:fldCharType="separate"/>
          </w:r>
          <w:r>
            <w:rPr>
              <w:rStyle w:val="50"/>
              <w:rFonts w:hint="eastAsia" w:ascii="宋体" w:hAnsi="宋体" w:cs="宋体"/>
              <w:color w:val="auto"/>
              <w:sz w:val="21"/>
              <w:szCs w:val="21"/>
              <w:highlight w:val="none"/>
            </w:rPr>
            <w:t>四、报价文件部分格式</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_Toc85359524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107</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6A8F63D1">
          <w:pPr>
            <w:pStyle w:val="31"/>
            <w:spacing w:before="0" w:after="0" w:line="360" w:lineRule="auto"/>
            <w:rPr>
              <w:rFonts w:ascii="宋体" w:hAnsi="宋体" w:cs="宋体"/>
              <w:bCs w:val="0"/>
              <w:caps w:val="0"/>
              <w:color w:val="auto"/>
              <w:sz w:val="21"/>
              <w:szCs w:val="21"/>
              <w:highlight w:val="none"/>
            </w:rPr>
          </w:pPr>
          <w:r>
            <w:rPr>
              <w:color w:val="auto"/>
              <w:highlight w:val="none"/>
            </w:rPr>
            <w:fldChar w:fldCharType="begin"/>
          </w:r>
          <w:r>
            <w:rPr>
              <w:color w:val="auto"/>
              <w:highlight w:val="none"/>
            </w:rPr>
            <w:instrText xml:space="preserve"> HYPERLINK \l "_Toc85359525" </w:instrText>
          </w:r>
          <w:r>
            <w:rPr>
              <w:color w:val="auto"/>
              <w:highlight w:val="none"/>
            </w:rPr>
            <w:fldChar w:fldCharType="separate"/>
          </w:r>
          <w:r>
            <w:rPr>
              <w:rStyle w:val="50"/>
              <w:rFonts w:hint="eastAsia" w:ascii="宋体" w:hAnsi="宋体" w:cs="宋体"/>
              <w:color w:val="auto"/>
              <w:sz w:val="21"/>
              <w:szCs w:val="21"/>
              <w:highlight w:val="none"/>
            </w:rPr>
            <w:t>第七部分   其它</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_Toc85359525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114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500B7FDA">
          <w:pPr>
            <w:pStyle w:val="31"/>
            <w:spacing w:before="0" w:after="0" w:line="360" w:lineRule="auto"/>
            <w:rPr>
              <w:rFonts w:ascii="宋体" w:hAnsi="宋体" w:cs="宋体"/>
              <w:bCs w:val="0"/>
              <w:caps w:val="0"/>
              <w:color w:val="auto"/>
              <w:sz w:val="21"/>
              <w:szCs w:val="21"/>
              <w:highlight w:val="none"/>
            </w:rPr>
          </w:pPr>
          <w:r>
            <w:rPr>
              <w:color w:val="auto"/>
              <w:highlight w:val="none"/>
            </w:rPr>
            <w:fldChar w:fldCharType="begin"/>
          </w:r>
          <w:r>
            <w:rPr>
              <w:color w:val="auto"/>
              <w:highlight w:val="none"/>
            </w:rPr>
            <w:instrText xml:space="preserve"> HYPERLINK \l "_Toc85359527" </w:instrText>
          </w:r>
          <w:r>
            <w:rPr>
              <w:color w:val="auto"/>
              <w:highlight w:val="none"/>
            </w:rPr>
            <w:fldChar w:fldCharType="separate"/>
          </w:r>
          <w:r>
            <w:rPr>
              <w:rStyle w:val="50"/>
              <w:rFonts w:hint="eastAsia" w:ascii="宋体" w:hAnsi="宋体" w:cs="宋体"/>
              <w:color w:val="auto"/>
              <w:sz w:val="21"/>
              <w:szCs w:val="21"/>
              <w:highlight w:val="none"/>
            </w:rPr>
            <w:t>政府采购活动现场确认声明书</w:t>
          </w:r>
          <w:r>
            <w:rPr>
              <w:rFonts w:hint="eastAsia" w:ascii="宋体" w:hAnsi="宋体" w:cs="宋体"/>
              <w:color w:val="auto"/>
              <w:sz w:val="21"/>
              <w:szCs w:val="21"/>
              <w:highlight w:val="none"/>
            </w:rPr>
            <w:tab/>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PAGEREF _Toc85359527 \h </w:instrText>
          </w:r>
          <w:r>
            <w:rPr>
              <w:rFonts w:hint="eastAsia" w:ascii="宋体" w:hAnsi="宋体" w:cs="宋体"/>
              <w:color w:val="auto"/>
              <w:sz w:val="21"/>
              <w:szCs w:val="21"/>
              <w:highlight w:val="none"/>
            </w:rPr>
            <w:fldChar w:fldCharType="separate"/>
          </w:r>
          <w:r>
            <w:rPr>
              <w:rFonts w:hint="eastAsia" w:ascii="宋体" w:hAnsi="宋体" w:cs="宋体"/>
              <w:color w:val="auto"/>
              <w:sz w:val="21"/>
              <w:szCs w:val="21"/>
              <w:highlight w:val="none"/>
            </w:rPr>
            <w:t>114</w: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fldChar w:fldCharType="end"/>
          </w:r>
        </w:p>
        <w:p w14:paraId="5F86B429">
          <w:pPr>
            <w:widowControl/>
            <w:spacing w:line="360" w:lineRule="auto"/>
            <w:rPr>
              <w:color w:val="auto"/>
              <w:highlight w:val="none"/>
            </w:rPr>
          </w:pPr>
          <w:r>
            <w:rPr>
              <w:rFonts w:hint="eastAsia" w:ascii="宋体" w:hAnsi="宋体" w:cs="宋体"/>
              <w:color w:val="auto"/>
              <w:szCs w:val="21"/>
              <w:highlight w:val="none"/>
            </w:rPr>
            <w:fldChar w:fldCharType="end"/>
          </w:r>
        </w:p>
      </w:sdtContent>
    </w:sdt>
    <w:p w14:paraId="7AC039B4">
      <w:pPr>
        <w:rPr>
          <w:rFonts w:ascii="宋体" w:hAnsi="宋体"/>
          <w:color w:val="auto"/>
          <w:sz w:val="32"/>
          <w:highlight w:val="none"/>
        </w:rPr>
      </w:pPr>
      <w:r>
        <w:rPr>
          <w:rFonts w:hint="eastAsia" w:ascii="宋体" w:hAnsi="宋体"/>
          <w:color w:val="auto"/>
          <w:sz w:val="32"/>
          <w:highlight w:val="none"/>
        </w:rPr>
        <w:br w:type="page"/>
      </w:r>
    </w:p>
    <w:p w14:paraId="4F9DA9DF">
      <w:pPr>
        <w:pStyle w:val="4"/>
        <w:tabs>
          <w:tab w:val="right" w:leader="dot" w:pos="9000"/>
        </w:tabs>
        <w:snapToGrid w:val="0"/>
        <w:spacing w:before="0" w:after="0" w:line="360" w:lineRule="auto"/>
        <w:jc w:val="center"/>
        <w:rPr>
          <w:rStyle w:val="77"/>
          <w:rFonts w:ascii="宋体" w:hAnsi="宋体" w:eastAsia="宋体"/>
          <w:b/>
          <w:bCs/>
          <w:color w:val="auto"/>
          <w:sz w:val="32"/>
          <w:highlight w:val="none"/>
        </w:rPr>
      </w:pPr>
      <w:bookmarkStart w:id="6" w:name="_Toc85359496"/>
      <w:r>
        <w:rPr>
          <w:rFonts w:hint="eastAsia" w:ascii="宋体" w:hAnsi="宋体" w:eastAsia="宋体"/>
          <w:color w:val="auto"/>
          <w:sz w:val="32"/>
          <w:highlight w:val="none"/>
        </w:rPr>
        <w:t>第一部分</w:t>
      </w:r>
      <w:bookmarkEnd w:id="0"/>
      <w:r>
        <w:rPr>
          <w:rFonts w:hint="eastAsia" w:ascii="宋体" w:hAnsi="宋体" w:eastAsia="宋体"/>
          <w:color w:val="auto"/>
          <w:sz w:val="32"/>
          <w:highlight w:val="none"/>
        </w:rPr>
        <w:t xml:space="preserve"> 公开招标公告</w:t>
      </w:r>
      <w:bookmarkEnd w:id="1"/>
      <w:bookmarkEnd w:id="2"/>
      <w:bookmarkEnd w:id="6"/>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1C5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8522" w:type="dxa"/>
            <w:vAlign w:val="center"/>
          </w:tcPr>
          <w:p w14:paraId="28678C0B">
            <w:pPr>
              <w:widowControl/>
              <w:adjustRightInd w:val="0"/>
              <w:snapToGrid w:val="0"/>
              <w:spacing w:line="360" w:lineRule="auto"/>
              <w:rPr>
                <w:rFonts w:ascii="宋体" w:hAnsi="宋体" w:cs="Arial"/>
                <w:b/>
                <w:color w:val="auto"/>
                <w:szCs w:val="21"/>
                <w:highlight w:val="none"/>
              </w:rPr>
            </w:pPr>
            <w:r>
              <w:rPr>
                <w:rFonts w:hint="eastAsia" w:ascii="宋体" w:hAnsi="宋体" w:cs="Arial"/>
                <w:b/>
                <w:color w:val="auto"/>
                <w:szCs w:val="21"/>
                <w:highlight w:val="none"/>
              </w:rPr>
              <w:t>项目概况</w:t>
            </w:r>
          </w:p>
          <w:p w14:paraId="0F1896C3">
            <w:pPr>
              <w:widowControl/>
              <w:adjustRightInd w:val="0"/>
              <w:snapToGrid w:val="0"/>
              <w:spacing w:line="360" w:lineRule="auto"/>
              <w:ind w:firstLine="420" w:firstLineChars="200"/>
              <w:rPr>
                <w:rFonts w:ascii="宋体" w:hAnsi="宋体" w:cs="Arial"/>
                <w:color w:val="auto"/>
                <w:szCs w:val="21"/>
                <w:highlight w:val="none"/>
              </w:rPr>
            </w:pPr>
            <w:r>
              <w:rPr>
                <w:rFonts w:hint="eastAsia" w:ascii="宋体" w:hAnsi="宋体" w:cs="Arial"/>
                <w:color w:val="auto"/>
                <w:szCs w:val="21"/>
                <w:highlight w:val="none"/>
                <w:u w:val="single"/>
                <w:lang w:eastAsia="zh-CN"/>
              </w:rPr>
              <w:t>乌鲁木齐市城市规划馆展陈更新服务项目</w:t>
            </w:r>
            <w:r>
              <w:rPr>
                <w:rFonts w:hint="eastAsia" w:ascii="宋体" w:hAnsi="宋体" w:cs="Arial"/>
                <w:color w:val="auto"/>
                <w:szCs w:val="21"/>
                <w:highlight w:val="none"/>
              </w:rPr>
              <w:t>采购项目的潜在供应商应在政采云平台线上</w:t>
            </w:r>
            <w:r>
              <w:rPr>
                <w:rFonts w:hint="eastAsia" w:ascii="宋体" w:hAnsi="宋体" w:cs="Arial"/>
                <w:color w:val="auto"/>
                <w:szCs w:val="21"/>
                <w:highlight w:val="none"/>
                <w:u w:val="single"/>
              </w:rPr>
              <w:t>（www.zcygov.cn）</w:t>
            </w:r>
            <w:r>
              <w:rPr>
                <w:rFonts w:hint="eastAsia" w:ascii="宋体" w:hAnsi="宋体" w:cs="Arial"/>
                <w:color w:val="auto"/>
                <w:szCs w:val="21"/>
                <w:highlight w:val="none"/>
              </w:rPr>
              <w:t>获取（下载）采购文件，并于</w:t>
            </w:r>
            <w:r>
              <w:rPr>
                <w:rFonts w:hint="eastAsia" w:ascii="宋体" w:hAnsi="宋体" w:cs="Arial"/>
                <w:color w:val="auto"/>
                <w:szCs w:val="21"/>
                <w:highlight w:val="none"/>
                <w:u w:val="single"/>
              </w:rPr>
              <w:t xml:space="preserve"> </w:t>
            </w:r>
            <w:r>
              <w:rPr>
                <w:rFonts w:hint="eastAsia" w:ascii="宋体" w:hAnsi="宋体" w:cs="Arial"/>
                <w:color w:val="auto"/>
                <w:szCs w:val="21"/>
                <w:highlight w:val="none"/>
                <w:u w:val="single"/>
                <w:lang w:eastAsia="zh-CN"/>
              </w:rPr>
              <w:t>2025</w:t>
            </w:r>
            <w:r>
              <w:rPr>
                <w:rFonts w:hint="eastAsia" w:ascii="宋体" w:hAnsi="宋体" w:cs="Arial"/>
                <w:color w:val="auto"/>
                <w:szCs w:val="21"/>
                <w:highlight w:val="none"/>
                <w:u w:val="single"/>
              </w:rPr>
              <w:t>年</w:t>
            </w:r>
            <w:r>
              <w:rPr>
                <w:rFonts w:hint="eastAsia" w:ascii="宋体" w:hAnsi="宋体" w:cs="Arial"/>
                <w:color w:val="auto"/>
                <w:szCs w:val="21"/>
                <w:highlight w:val="none"/>
                <w:u w:val="single"/>
                <w:lang w:val="en-US" w:eastAsia="zh-CN"/>
              </w:rPr>
              <w:t>4</w:t>
            </w:r>
            <w:r>
              <w:rPr>
                <w:rFonts w:hint="eastAsia" w:ascii="宋体" w:hAnsi="宋体" w:cs="Arial"/>
                <w:color w:val="auto"/>
                <w:szCs w:val="21"/>
                <w:highlight w:val="none"/>
                <w:u w:val="single"/>
              </w:rPr>
              <w:t>月</w:t>
            </w:r>
            <w:r>
              <w:rPr>
                <w:rFonts w:hint="eastAsia" w:ascii="宋体" w:hAnsi="宋体" w:cs="Arial"/>
                <w:color w:val="auto"/>
                <w:szCs w:val="21"/>
                <w:highlight w:val="none"/>
                <w:u w:val="single"/>
                <w:lang w:val="en-US" w:eastAsia="zh-CN"/>
              </w:rPr>
              <w:t>23</w:t>
            </w:r>
            <w:r>
              <w:rPr>
                <w:rFonts w:hint="eastAsia" w:ascii="宋体" w:hAnsi="宋体" w:cs="Arial"/>
                <w:color w:val="auto"/>
                <w:szCs w:val="21"/>
                <w:highlight w:val="none"/>
                <w:u w:val="single"/>
              </w:rPr>
              <w:t>日</w:t>
            </w:r>
            <w:r>
              <w:rPr>
                <w:rFonts w:hint="eastAsia" w:ascii="宋体" w:hAnsi="宋体" w:cs="Arial"/>
                <w:color w:val="auto"/>
                <w:szCs w:val="21"/>
                <w:highlight w:val="none"/>
                <w:u w:val="single"/>
                <w:lang w:val="en-US" w:eastAsia="zh-CN"/>
              </w:rPr>
              <w:t>11</w:t>
            </w:r>
            <w:r>
              <w:rPr>
                <w:rFonts w:hint="eastAsia" w:ascii="宋体" w:hAnsi="宋体" w:cs="Arial"/>
                <w:color w:val="auto"/>
                <w:szCs w:val="21"/>
                <w:highlight w:val="none"/>
                <w:u w:val="single"/>
              </w:rPr>
              <w:t>:</w:t>
            </w:r>
            <w:r>
              <w:rPr>
                <w:rFonts w:hint="eastAsia" w:ascii="宋体" w:hAnsi="宋体" w:cs="Arial"/>
                <w:color w:val="auto"/>
                <w:szCs w:val="21"/>
                <w:highlight w:val="none"/>
                <w:u w:val="single"/>
                <w:lang w:val="en-US" w:eastAsia="zh-CN"/>
              </w:rPr>
              <w:t>00</w:t>
            </w:r>
            <w:r>
              <w:rPr>
                <w:rFonts w:hint="eastAsia" w:ascii="宋体" w:hAnsi="宋体" w:cs="Arial"/>
                <w:color w:val="auto"/>
                <w:szCs w:val="21"/>
                <w:highlight w:val="none"/>
              </w:rPr>
              <w:t>（北京时间）前提交（上传）响应文件。</w:t>
            </w:r>
          </w:p>
        </w:tc>
      </w:tr>
    </w:tbl>
    <w:p w14:paraId="3FD0179F">
      <w:pPr>
        <w:widowControl/>
        <w:spacing w:line="360" w:lineRule="auto"/>
        <w:outlineLvl w:val="1"/>
        <w:rPr>
          <w:rFonts w:ascii="宋体" w:hAnsi="宋体" w:cs="Arial"/>
          <w:b/>
          <w:bCs/>
          <w:color w:val="auto"/>
          <w:szCs w:val="21"/>
          <w:highlight w:val="none"/>
        </w:rPr>
      </w:pPr>
      <w:bookmarkStart w:id="7" w:name="_Toc21664"/>
      <w:bookmarkStart w:id="8" w:name="_Toc85359497"/>
      <w:r>
        <w:rPr>
          <w:rFonts w:hint="eastAsia" w:ascii="宋体" w:hAnsi="宋体" w:cs="Arial"/>
          <w:b/>
          <w:bCs/>
          <w:color w:val="auto"/>
          <w:szCs w:val="21"/>
          <w:highlight w:val="none"/>
        </w:rPr>
        <w:t>一、项目基本情况</w:t>
      </w:r>
      <w:bookmarkEnd w:id="7"/>
      <w:bookmarkEnd w:id="8"/>
    </w:p>
    <w:p w14:paraId="51CAF21E">
      <w:pPr>
        <w:widowControl/>
        <w:adjustRightInd w:val="0"/>
        <w:snapToGrid w:val="0"/>
        <w:spacing w:line="360" w:lineRule="auto"/>
        <w:ind w:firstLine="420" w:firstLineChars="200"/>
        <w:jc w:val="left"/>
        <w:rPr>
          <w:rFonts w:hint="eastAsia" w:ascii="宋体" w:hAnsi="宋体" w:eastAsia="宋体" w:cs="Arial"/>
          <w:color w:val="auto"/>
          <w:szCs w:val="21"/>
          <w:highlight w:val="none"/>
          <w:lang w:eastAsia="zh-CN"/>
        </w:rPr>
      </w:pPr>
      <w:r>
        <w:rPr>
          <w:rFonts w:hint="eastAsia" w:ascii="宋体" w:hAnsi="宋体" w:cs="Arial"/>
          <w:color w:val="auto"/>
          <w:szCs w:val="21"/>
          <w:highlight w:val="none"/>
        </w:rPr>
        <w:t>项目编号：</w:t>
      </w:r>
      <w:r>
        <w:rPr>
          <w:rFonts w:hint="eastAsia" w:ascii="宋体" w:hAnsi="宋体" w:cs="Arial"/>
          <w:color w:val="auto"/>
          <w:szCs w:val="21"/>
          <w:highlight w:val="none"/>
          <w:lang w:eastAsia="zh-CN"/>
        </w:rPr>
        <w:t>ZFCGHY-20250009（1）</w:t>
      </w:r>
    </w:p>
    <w:p w14:paraId="10EB442E">
      <w:pPr>
        <w:widowControl/>
        <w:adjustRightInd w:val="0"/>
        <w:snapToGrid w:val="0"/>
        <w:spacing w:line="360" w:lineRule="auto"/>
        <w:ind w:firstLine="420" w:firstLineChars="200"/>
        <w:jc w:val="left"/>
        <w:rPr>
          <w:rFonts w:hint="eastAsia" w:ascii="宋体" w:hAnsi="宋体" w:eastAsia="宋体" w:cs="Arial"/>
          <w:color w:val="auto"/>
          <w:szCs w:val="21"/>
          <w:highlight w:val="none"/>
          <w:lang w:eastAsia="zh-CN"/>
        </w:rPr>
      </w:pPr>
      <w:r>
        <w:rPr>
          <w:rFonts w:hint="eastAsia" w:ascii="宋体" w:hAnsi="宋体" w:cs="Arial"/>
          <w:color w:val="auto"/>
          <w:szCs w:val="21"/>
          <w:highlight w:val="none"/>
        </w:rPr>
        <w:t>项目名称：</w:t>
      </w:r>
      <w:r>
        <w:rPr>
          <w:rFonts w:hint="eastAsia" w:ascii="宋体" w:hAnsi="宋体" w:cs="Arial"/>
          <w:color w:val="auto"/>
          <w:szCs w:val="21"/>
          <w:highlight w:val="none"/>
          <w:lang w:eastAsia="zh-CN"/>
        </w:rPr>
        <w:t>乌鲁木齐市城市规划馆展陈更新服务项目</w:t>
      </w:r>
    </w:p>
    <w:p w14:paraId="1F9E6DBB">
      <w:pPr>
        <w:widowControl/>
        <w:adjustRightInd w:val="0"/>
        <w:snapToGrid w:val="0"/>
        <w:spacing w:line="360" w:lineRule="auto"/>
        <w:ind w:firstLine="420" w:firstLineChars="200"/>
        <w:jc w:val="left"/>
        <w:rPr>
          <w:rFonts w:hint="eastAsia" w:ascii="宋体" w:hAnsi="宋体" w:eastAsia="宋体" w:cs="Arial"/>
          <w:color w:val="auto"/>
          <w:szCs w:val="21"/>
          <w:highlight w:val="none"/>
          <w:lang w:eastAsia="zh-CN"/>
        </w:rPr>
      </w:pPr>
      <w:r>
        <w:rPr>
          <w:rFonts w:hint="eastAsia" w:ascii="宋体" w:hAnsi="宋体" w:cs="Arial"/>
          <w:color w:val="auto"/>
          <w:szCs w:val="21"/>
          <w:highlight w:val="none"/>
        </w:rPr>
        <w:t>预算金额（元）：</w:t>
      </w:r>
      <w:r>
        <w:rPr>
          <w:rFonts w:hint="eastAsia" w:ascii="宋体" w:hAnsi="宋体" w:cs="Arial"/>
          <w:color w:val="auto"/>
          <w:szCs w:val="21"/>
          <w:highlight w:val="none"/>
          <w:lang w:eastAsia="zh-CN"/>
        </w:rPr>
        <w:t>45000000</w:t>
      </w:r>
    </w:p>
    <w:p w14:paraId="73F32CBD">
      <w:pPr>
        <w:widowControl/>
        <w:adjustRightInd w:val="0"/>
        <w:snapToGrid w:val="0"/>
        <w:spacing w:line="360" w:lineRule="auto"/>
        <w:ind w:firstLine="420" w:firstLineChars="200"/>
        <w:jc w:val="left"/>
        <w:rPr>
          <w:rFonts w:hint="eastAsia" w:ascii="宋体" w:hAnsi="宋体" w:eastAsia="宋体" w:cs="Arial"/>
          <w:color w:val="auto"/>
          <w:szCs w:val="21"/>
          <w:highlight w:val="none"/>
          <w:lang w:eastAsia="zh-CN"/>
        </w:rPr>
      </w:pPr>
      <w:r>
        <w:rPr>
          <w:rFonts w:hint="eastAsia" w:ascii="宋体" w:hAnsi="宋体" w:cs="Arial"/>
          <w:color w:val="auto"/>
          <w:szCs w:val="21"/>
          <w:highlight w:val="none"/>
        </w:rPr>
        <w:t>最高限价（元）：</w:t>
      </w:r>
      <w:r>
        <w:rPr>
          <w:rFonts w:hint="eastAsia" w:ascii="宋体" w:hAnsi="宋体" w:cs="Arial"/>
          <w:color w:val="auto"/>
          <w:szCs w:val="21"/>
          <w:highlight w:val="none"/>
          <w:lang w:eastAsia="zh-CN"/>
        </w:rPr>
        <w:t>45000000</w:t>
      </w:r>
    </w:p>
    <w:p w14:paraId="593F5280">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采购需求：</w:t>
      </w:r>
    </w:p>
    <w:p w14:paraId="1724CE31">
      <w:pPr>
        <w:widowControl/>
        <w:adjustRightInd w:val="0"/>
        <w:snapToGrid w:val="0"/>
        <w:spacing w:line="360" w:lineRule="auto"/>
        <w:ind w:firstLine="420" w:firstLineChars="200"/>
        <w:jc w:val="left"/>
        <w:rPr>
          <w:rFonts w:hint="eastAsia" w:ascii="宋体" w:hAnsi="宋体" w:eastAsia="宋体" w:cs="Arial"/>
          <w:color w:val="auto"/>
          <w:szCs w:val="21"/>
          <w:highlight w:val="none"/>
          <w:lang w:eastAsia="zh-CN"/>
        </w:rPr>
      </w:pPr>
      <w:r>
        <w:rPr>
          <w:rFonts w:ascii="宋体" w:hAnsi="宋体" w:cs="Arial"/>
          <w:color w:val="auto"/>
          <w:szCs w:val="21"/>
          <w:highlight w:val="none"/>
        </w:rPr>
        <w:t>标项名称</w:t>
      </w:r>
      <w:r>
        <w:rPr>
          <w:rFonts w:hint="eastAsia" w:ascii="宋体" w:hAnsi="宋体" w:cs="Arial"/>
          <w:color w:val="auto"/>
          <w:szCs w:val="21"/>
          <w:highlight w:val="none"/>
        </w:rPr>
        <w:t>:</w:t>
      </w:r>
      <w:r>
        <w:rPr>
          <w:rFonts w:hint="eastAsia" w:ascii="宋体" w:hAnsi="宋体" w:cs="Arial"/>
          <w:color w:val="auto"/>
          <w:szCs w:val="21"/>
          <w:highlight w:val="none"/>
          <w:lang w:eastAsia="zh-CN"/>
        </w:rPr>
        <w:t>乌鲁木齐市城市规划馆展陈更新服务项目</w:t>
      </w:r>
    </w:p>
    <w:p w14:paraId="5D2E408F">
      <w:pPr>
        <w:widowControl/>
        <w:adjustRightInd w:val="0"/>
        <w:snapToGrid w:val="0"/>
        <w:spacing w:line="360" w:lineRule="auto"/>
        <w:ind w:firstLine="420" w:firstLineChars="200"/>
        <w:jc w:val="left"/>
        <w:rPr>
          <w:rFonts w:ascii="宋体" w:hAnsi="宋体" w:cs="Arial"/>
          <w:color w:val="auto"/>
          <w:szCs w:val="21"/>
          <w:highlight w:val="none"/>
        </w:rPr>
      </w:pPr>
      <w:r>
        <w:rPr>
          <w:rFonts w:ascii="宋体" w:hAnsi="宋体" w:cs="Arial"/>
          <w:color w:val="auto"/>
          <w:szCs w:val="21"/>
          <w:highlight w:val="none"/>
        </w:rPr>
        <w:t>数量:1</w:t>
      </w:r>
      <w:r>
        <w:rPr>
          <w:rFonts w:hint="eastAsia" w:ascii="宋体" w:hAnsi="宋体" w:cs="Arial"/>
          <w:color w:val="auto"/>
          <w:szCs w:val="21"/>
          <w:highlight w:val="none"/>
        </w:rPr>
        <w:t>项</w:t>
      </w:r>
    </w:p>
    <w:p w14:paraId="37475310">
      <w:pPr>
        <w:widowControl/>
        <w:adjustRightInd w:val="0"/>
        <w:snapToGrid w:val="0"/>
        <w:spacing w:line="360" w:lineRule="auto"/>
        <w:ind w:firstLine="420" w:firstLineChars="200"/>
        <w:jc w:val="left"/>
        <w:rPr>
          <w:rFonts w:hint="eastAsia" w:ascii="宋体" w:hAnsi="宋体" w:eastAsia="宋体" w:cs="Arial"/>
          <w:color w:val="auto"/>
          <w:szCs w:val="21"/>
          <w:highlight w:val="none"/>
          <w:lang w:eastAsia="zh-CN"/>
        </w:rPr>
      </w:pPr>
      <w:r>
        <w:rPr>
          <w:rFonts w:hint="eastAsia" w:ascii="宋体" w:hAnsi="宋体" w:cs="Arial"/>
          <w:color w:val="auto"/>
          <w:szCs w:val="21"/>
          <w:highlight w:val="none"/>
        </w:rPr>
        <w:t xml:space="preserve">预算金额（元）: </w:t>
      </w:r>
      <w:r>
        <w:rPr>
          <w:rFonts w:hint="eastAsia" w:ascii="宋体" w:hAnsi="宋体" w:cs="Arial"/>
          <w:color w:val="auto"/>
          <w:szCs w:val="21"/>
          <w:highlight w:val="none"/>
          <w:lang w:eastAsia="zh-CN"/>
        </w:rPr>
        <w:t>45000000</w:t>
      </w:r>
    </w:p>
    <w:p w14:paraId="62651A0B">
      <w:pPr>
        <w:widowControl/>
        <w:adjustRightInd w:val="0"/>
        <w:snapToGrid w:val="0"/>
        <w:spacing w:line="360" w:lineRule="auto"/>
        <w:ind w:firstLine="420" w:firstLineChars="200"/>
        <w:jc w:val="left"/>
        <w:rPr>
          <w:rFonts w:hint="eastAsia" w:ascii="宋体" w:hAnsi="宋体" w:eastAsia="宋体" w:cs="Arial"/>
          <w:color w:val="auto"/>
          <w:szCs w:val="21"/>
          <w:highlight w:val="none"/>
          <w:lang w:eastAsia="zh-CN"/>
        </w:rPr>
      </w:pPr>
      <w:r>
        <w:rPr>
          <w:rFonts w:hint="eastAsia" w:ascii="宋体" w:hAnsi="宋体" w:eastAsia="宋体" w:cs="Arial"/>
          <w:color w:val="auto"/>
          <w:szCs w:val="21"/>
          <w:highlight w:val="none"/>
          <w:lang w:eastAsia="zh-CN"/>
        </w:rPr>
        <w:t>简要规格描述或项目基本概况介绍、用途：按照</w:t>
      </w:r>
      <w:r>
        <w:rPr>
          <w:rFonts w:hint="eastAsia" w:ascii="宋体" w:hAnsi="宋体" w:eastAsia="宋体" w:cs="Arial"/>
          <w:color w:val="auto"/>
          <w:szCs w:val="21"/>
          <w:highlight w:val="none"/>
          <w:lang w:val="en-US" w:eastAsia="zh-CN"/>
        </w:rPr>
        <w:t>乌鲁木齐</w:t>
      </w:r>
      <w:r>
        <w:rPr>
          <w:rFonts w:hint="eastAsia" w:ascii="宋体" w:hAnsi="宋体" w:eastAsia="宋体" w:cs="Arial"/>
          <w:color w:val="auto"/>
          <w:szCs w:val="21"/>
          <w:highlight w:val="none"/>
          <w:lang w:eastAsia="zh-CN"/>
        </w:rPr>
        <w:t>市委、市政府重要工作部署，结合《乌鲁木齐市城市规划馆展陈更新大纲》，组织开展乌鲁木齐市城市规划馆展陈更新服务项目，主要包括</w:t>
      </w:r>
      <w:r>
        <w:rPr>
          <w:rFonts w:hint="eastAsia" w:ascii="宋体" w:hAnsi="宋体" w:eastAsia="宋体" w:cs="Arial"/>
          <w:color w:val="auto"/>
          <w:szCs w:val="21"/>
          <w:highlight w:val="none"/>
          <w:lang w:val="en-US" w:eastAsia="zh-CN"/>
        </w:rPr>
        <w:t>但不限于</w:t>
      </w:r>
      <w:r>
        <w:rPr>
          <w:rFonts w:hint="eastAsia" w:ascii="宋体" w:hAnsi="宋体" w:eastAsia="宋体" w:cs="Arial"/>
          <w:color w:val="auto"/>
          <w:szCs w:val="21"/>
          <w:highlight w:val="none"/>
          <w:lang w:eastAsia="zh-CN"/>
        </w:rPr>
        <w:t>展览内容组织、方案设计、施工图设计（包括深化设计及现场服务等）、视频影片制作、沙盘模型展品制作更新和替换、布展实施、装饰装修工程（包含各项专业工程）</w:t>
      </w:r>
      <w:r>
        <w:rPr>
          <w:rFonts w:hint="eastAsia" w:ascii="宋体" w:hAnsi="宋体" w:cs="Arial"/>
          <w:color w:val="auto"/>
          <w:szCs w:val="21"/>
          <w:highlight w:val="none"/>
          <w:lang w:val="en-US" w:eastAsia="zh-CN"/>
        </w:rPr>
        <w:t>、消防</w:t>
      </w:r>
      <w:r>
        <w:rPr>
          <w:rFonts w:hint="eastAsia" w:ascii="宋体" w:hAnsi="宋体" w:eastAsia="宋体" w:cs="Arial"/>
          <w:color w:val="auto"/>
          <w:szCs w:val="21"/>
          <w:highlight w:val="none"/>
          <w:lang w:eastAsia="zh-CN"/>
        </w:rPr>
        <w:t>、软硬件设施设备采购安装，试运行、竣工验收、售后服务（含质保期内的保修服务）等设计施工</w:t>
      </w:r>
      <w:r>
        <w:rPr>
          <w:rFonts w:hint="eastAsia" w:ascii="宋体" w:hAnsi="宋体" w:cs="Arial"/>
          <w:color w:val="auto"/>
          <w:szCs w:val="21"/>
          <w:highlight w:val="none"/>
          <w:lang w:val="en-US" w:eastAsia="zh-CN"/>
        </w:rPr>
        <w:t>采购</w:t>
      </w:r>
      <w:r>
        <w:rPr>
          <w:rFonts w:hint="eastAsia" w:ascii="宋体" w:hAnsi="宋体" w:eastAsia="宋体" w:cs="Arial"/>
          <w:color w:val="auto"/>
          <w:szCs w:val="21"/>
          <w:highlight w:val="none"/>
          <w:lang w:eastAsia="zh-CN"/>
        </w:rPr>
        <w:t>一体化的全部工作。具体详见采购文件第三章项目技术规范和服务要求。</w:t>
      </w:r>
    </w:p>
    <w:p w14:paraId="0CA42636">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备注：</w:t>
      </w:r>
    </w:p>
    <w:p w14:paraId="5C30C2DE">
      <w:pPr>
        <w:widowControl/>
        <w:adjustRightInd w:val="0"/>
        <w:snapToGrid w:val="0"/>
        <w:spacing w:line="360" w:lineRule="auto"/>
        <w:ind w:firstLine="420" w:firstLineChars="200"/>
        <w:jc w:val="left"/>
        <w:rPr>
          <w:rFonts w:hint="eastAsia" w:ascii="宋体" w:hAnsi="宋体" w:cs="Arial"/>
          <w:color w:val="auto"/>
          <w:szCs w:val="21"/>
          <w:highlight w:val="none"/>
          <w:lang w:val="en-US" w:eastAsia="zh-CN"/>
        </w:rPr>
      </w:pPr>
      <w:r>
        <w:rPr>
          <w:rFonts w:hint="eastAsia" w:ascii="宋体" w:hAnsi="宋体" w:cs="Arial"/>
          <w:color w:val="auto"/>
          <w:szCs w:val="21"/>
          <w:highlight w:val="none"/>
        </w:rPr>
        <w:t>合同履行期限：</w:t>
      </w:r>
      <w:r>
        <w:rPr>
          <w:rFonts w:hint="eastAsia" w:ascii="宋体" w:hAnsi="宋体" w:cs="Arial"/>
          <w:color w:val="auto"/>
          <w:szCs w:val="21"/>
          <w:highlight w:val="none"/>
          <w:lang w:val="en-US" w:eastAsia="zh-CN"/>
        </w:rPr>
        <w:t>直至合同质保期满。</w:t>
      </w:r>
    </w:p>
    <w:p w14:paraId="4259F017">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lang w:val="en-US" w:eastAsia="zh-CN"/>
        </w:rPr>
        <w:t>项目工期：</w:t>
      </w:r>
      <w:r>
        <w:rPr>
          <w:rFonts w:hint="eastAsia" w:ascii="宋体" w:hAnsi="宋体" w:cs="Arial"/>
          <w:color w:val="auto"/>
          <w:szCs w:val="21"/>
          <w:highlight w:val="none"/>
          <w:lang w:eastAsia="zh-CN"/>
        </w:rPr>
        <w:t>最晚于2025年7月31日前完工并具备初步验收条件</w:t>
      </w:r>
      <w:r>
        <w:rPr>
          <w:rFonts w:hint="eastAsia" w:ascii="宋体" w:hAnsi="宋体" w:cs="Arial"/>
          <w:color w:val="auto"/>
          <w:szCs w:val="21"/>
          <w:highlight w:val="none"/>
        </w:rPr>
        <w:t>。</w:t>
      </w:r>
    </w:p>
    <w:p w14:paraId="2241BCFA">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本项目</w:t>
      </w:r>
      <w:r>
        <w:rPr>
          <w:rFonts w:hint="eastAsia" w:ascii="宋体" w:hAnsi="宋体" w:cs="Arial"/>
          <w:color w:val="auto"/>
          <w:szCs w:val="21"/>
          <w:highlight w:val="none"/>
          <w:lang w:val="en-US" w:eastAsia="zh-CN"/>
        </w:rPr>
        <w:t>接受</w:t>
      </w:r>
      <w:r>
        <w:rPr>
          <w:rFonts w:hint="eastAsia" w:ascii="宋体" w:hAnsi="宋体" w:cs="Arial"/>
          <w:color w:val="auto"/>
          <w:szCs w:val="21"/>
          <w:highlight w:val="none"/>
        </w:rPr>
        <w:t>联合体投标。</w:t>
      </w:r>
    </w:p>
    <w:p w14:paraId="3DD9D63C">
      <w:pPr>
        <w:widowControl/>
        <w:spacing w:line="360" w:lineRule="auto"/>
        <w:outlineLvl w:val="1"/>
        <w:rPr>
          <w:rFonts w:ascii="宋体" w:hAnsi="宋体" w:cs="Arial"/>
          <w:b/>
          <w:bCs/>
          <w:color w:val="auto"/>
          <w:szCs w:val="21"/>
          <w:highlight w:val="none"/>
        </w:rPr>
      </w:pPr>
      <w:bookmarkStart w:id="9" w:name="_Toc85359498"/>
      <w:bookmarkStart w:id="10" w:name="_Toc15367"/>
      <w:r>
        <w:rPr>
          <w:rFonts w:hint="eastAsia" w:ascii="宋体" w:hAnsi="宋体" w:cs="Arial"/>
          <w:b/>
          <w:bCs/>
          <w:color w:val="auto"/>
          <w:szCs w:val="21"/>
          <w:highlight w:val="none"/>
        </w:rPr>
        <w:t>二、申请人的资格要求：</w:t>
      </w:r>
      <w:bookmarkEnd w:id="9"/>
      <w:bookmarkEnd w:id="10"/>
    </w:p>
    <w:p w14:paraId="06466C0B">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1.满足《中华人民共和国政府采购法》第二十二条规定；未被 “信用中国”（www.creditchina.gov.cn)、中国政府采购网（www.ccgp.gov.cn）列入失信被执行人、重大税收违法案件当事人名单、政府采购严重违法失信行为记录名单。</w:t>
      </w:r>
    </w:p>
    <w:p w14:paraId="26042206">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2.落实政府采购政策需满足的资格要求：无</w:t>
      </w:r>
    </w:p>
    <w:p w14:paraId="1F69533F">
      <w:pPr>
        <w:spacing w:line="360" w:lineRule="auto"/>
        <w:ind w:firstLine="420" w:firstLineChars="200"/>
        <w:rPr>
          <w:rFonts w:ascii="宋体" w:hAnsi="宋体" w:cs="Arial"/>
          <w:color w:val="auto"/>
          <w:szCs w:val="21"/>
          <w:highlight w:val="none"/>
        </w:rPr>
      </w:pPr>
      <w:r>
        <w:rPr>
          <w:rFonts w:hint="eastAsia" w:ascii="宋体" w:hAnsi="宋体" w:cs="Arial"/>
          <w:color w:val="auto"/>
          <w:szCs w:val="21"/>
          <w:highlight w:val="none"/>
        </w:rPr>
        <w:t>3.本项目的特定资格要求：</w:t>
      </w:r>
    </w:p>
    <w:p w14:paraId="5D92337A">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1）投标人须具有住房城乡建设主管部门颁发的工程设计综合甲级资质或工程设计建筑行业</w:t>
      </w:r>
      <w:r>
        <w:rPr>
          <w:rFonts w:hint="eastAsia" w:ascii="宋体" w:hAnsi="宋体" w:cs="宋体"/>
          <w:color w:val="auto"/>
          <w:szCs w:val="21"/>
          <w:highlight w:val="none"/>
          <w:lang w:val="en-US" w:eastAsia="zh-CN"/>
        </w:rPr>
        <w:t>乙级</w:t>
      </w:r>
      <w:r>
        <w:rPr>
          <w:rFonts w:hint="eastAsia" w:ascii="宋体" w:hAnsi="宋体" w:cs="宋体"/>
          <w:color w:val="auto"/>
          <w:szCs w:val="21"/>
          <w:highlight w:val="none"/>
        </w:rPr>
        <w:t>资质或工程设计建筑行业（建筑工程专业）</w:t>
      </w:r>
      <w:r>
        <w:rPr>
          <w:rFonts w:hint="eastAsia" w:ascii="宋体" w:hAnsi="宋体" w:cs="宋体"/>
          <w:color w:val="auto"/>
          <w:szCs w:val="21"/>
          <w:highlight w:val="none"/>
          <w:lang w:val="en-US" w:eastAsia="zh-CN"/>
        </w:rPr>
        <w:t>乙级</w:t>
      </w:r>
      <w:r>
        <w:rPr>
          <w:rFonts w:hint="eastAsia" w:ascii="宋体" w:hAnsi="宋体" w:cs="宋体"/>
          <w:color w:val="auto"/>
          <w:szCs w:val="21"/>
          <w:highlight w:val="none"/>
        </w:rPr>
        <w:t>资质或建筑装饰工程设计专项甲级资质；</w:t>
      </w:r>
    </w:p>
    <w:p w14:paraId="3F424465">
      <w:pPr>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2）投标人须具有住房城乡建设主管部门颁发的</w:t>
      </w:r>
      <w:r>
        <w:rPr>
          <w:rFonts w:hint="eastAsia" w:ascii="宋体" w:hAnsi="宋体" w:cs="宋体"/>
          <w:color w:val="auto"/>
          <w:szCs w:val="21"/>
          <w:highlight w:val="none"/>
          <w:lang w:val="en-US" w:eastAsia="zh-CN"/>
        </w:rPr>
        <w:t>建筑工程施工总承包二级及以上资质或</w:t>
      </w:r>
      <w:r>
        <w:rPr>
          <w:rFonts w:hint="eastAsia" w:ascii="宋体" w:hAnsi="宋体" w:cs="宋体"/>
          <w:color w:val="auto"/>
          <w:szCs w:val="21"/>
          <w:highlight w:val="none"/>
        </w:rPr>
        <w:t>建筑装修装饰工程专业承包一级资质，</w:t>
      </w:r>
      <w:r>
        <w:rPr>
          <w:rFonts w:hint="eastAsia" w:ascii="宋体" w:hAnsi="宋体" w:cs="宋体"/>
          <w:color w:val="auto"/>
          <w:szCs w:val="21"/>
          <w:highlight w:val="none"/>
          <w:lang w:val="en-US" w:eastAsia="zh-CN"/>
        </w:rPr>
        <w:t>且</w:t>
      </w:r>
      <w:r>
        <w:rPr>
          <w:rFonts w:hint="eastAsia" w:ascii="宋体" w:hAnsi="宋体" w:cs="宋体"/>
          <w:color w:val="auto"/>
          <w:szCs w:val="21"/>
          <w:highlight w:val="none"/>
        </w:rPr>
        <w:t>安全生产许可证处于有效期</w:t>
      </w:r>
      <w:r>
        <w:rPr>
          <w:rFonts w:hint="eastAsia" w:ascii="宋体" w:hAnsi="宋体" w:cs="宋体"/>
          <w:color w:val="auto"/>
          <w:szCs w:val="21"/>
          <w:highlight w:val="none"/>
          <w:lang w:val="en-US" w:eastAsia="zh-CN"/>
        </w:rPr>
        <w:t>内</w:t>
      </w:r>
      <w:r>
        <w:rPr>
          <w:rFonts w:hint="eastAsia" w:ascii="宋体" w:hAnsi="宋体" w:cs="宋体"/>
          <w:color w:val="auto"/>
          <w:szCs w:val="21"/>
          <w:highlight w:val="none"/>
          <w:lang w:eastAsia="zh-CN"/>
        </w:rPr>
        <w:t>；</w:t>
      </w:r>
    </w:p>
    <w:p w14:paraId="27E60694">
      <w:pPr>
        <w:widowControl/>
        <w:adjustRightInd w:val="0"/>
        <w:snapToGrid w:val="0"/>
        <w:spacing w:line="360" w:lineRule="auto"/>
        <w:ind w:firstLine="420" w:firstLineChars="200"/>
        <w:jc w:val="left"/>
        <w:rPr>
          <w:rFonts w:hint="eastAsia" w:ascii="宋体" w:hAnsi="宋体" w:eastAsia="宋体" w:cs="Arial"/>
          <w:color w:val="auto"/>
          <w:szCs w:val="21"/>
          <w:highlight w:val="none"/>
          <w:lang w:eastAsia="zh-CN"/>
        </w:rPr>
      </w:pPr>
      <w:r>
        <w:rPr>
          <w:rFonts w:hint="eastAsia" w:ascii="宋体" w:hAnsi="宋体" w:eastAsia="宋体" w:cs="Arial"/>
          <w:color w:val="auto"/>
          <w:szCs w:val="21"/>
          <w:highlight w:val="none"/>
        </w:rPr>
        <w:t>3）投标人须具有中国展览馆协会展览陈列工程设计与施工一体化一级水平证书或中国展览馆协会展览工程企业一级水平证书</w:t>
      </w:r>
      <w:r>
        <w:rPr>
          <w:rFonts w:hint="eastAsia" w:ascii="宋体" w:hAnsi="宋体" w:eastAsia="宋体" w:cs="Arial"/>
          <w:color w:val="auto"/>
          <w:szCs w:val="21"/>
          <w:highlight w:val="none"/>
          <w:lang w:eastAsia="zh-CN"/>
        </w:rPr>
        <w:t>；</w:t>
      </w:r>
    </w:p>
    <w:p w14:paraId="4AEE4AC8">
      <w:pPr>
        <w:widowControl/>
        <w:adjustRightInd w:val="0"/>
        <w:snapToGrid w:val="0"/>
        <w:spacing w:line="360" w:lineRule="auto"/>
        <w:ind w:firstLine="420" w:firstLineChars="200"/>
        <w:jc w:val="left"/>
        <w:rPr>
          <w:rFonts w:hint="eastAsia" w:ascii="宋体" w:hAnsi="宋体" w:eastAsia="宋体" w:cs="Arial"/>
          <w:color w:val="auto"/>
          <w:szCs w:val="21"/>
          <w:highlight w:val="none"/>
        </w:rPr>
      </w:pPr>
      <w:r>
        <w:rPr>
          <w:rFonts w:hint="eastAsia" w:ascii="宋体" w:hAnsi="宋体" w:eastAsia="宋体" w:cs="Arial"/>
          <w:color w:val="auto"/>
          <w:szCs w:val="21"/>
          <w:highlight w:val="none"/>
          <w:lang w:val="en-US" w:eastAsia="zh-CN"/>
        </w:rPr>
        <w:t>4）</w:t>
      </w:r>
      <w:r>
        <w:rPr>
          <w:rFonts w:hint="eastAsia" w:ascii="宋体" w:hAnsi="宋体" w:eastAsia="宋体" w:cs="Arial"/>
          <w:color w:val="auto"/>
          <w:szCs w:val="21"/>
          <w:highlight w:val="none"/>
          <w:lang w:eastAsia="zh-CN"/>
        </w:rPr>
        <w:t>投标人必须提供</w:t>
      </w:r>
      <w:r>
        <w:rPr>
          <w:rFonts w:hint="eastAsia" w:ascii="宋体" w:hAnsi="宋体" w:eastAsia="宋体" w:cs="Arial"/>
          <w:color w:val="auto"/>
          <w:szCs w:val="21"/>
          <w:highlight w:val="none"/>
        </w:rPr>
        <w:t>以下人员</w:t>
      </w:r>
      <w:r>
        <w:rPr>
          <w:rFonts w:hint="eastAsia" w:ascii="宋体" w:hAnsi="宋体" w:eastAsia="宋体" w:cs="Arial"/>
          <w:color w:val="auto"/>
          <w:szCs w:val="21"/>
          <w:highlight w:val="none"/>
          <w:lang w:val="en-US" w:eastAsia="zh-CN"/>
        </w:rPr>
        <w:t>配置（提供相应证明材料：提供下列人员的相应资质证书扫描件、提供在投标单位（或投标单位依法登记的分支机构）近半年内（2024年9月-202</w:t>
      </w:r>
      <w:r>
        <w:rPr>
          <w:rFonts w:hint="eastAsia" w:ascii="宋体" w:hAnsi="宋体" w:cs="Arial"/>
          <w:color w:val="auto"/>
          <w:szCs w:val="21"/>
          <w:highlight w:val="none"/>
          <w:lang w:val="en-US" w:eastAsia="zh-CN"/>
        </w:rPr>
        <w:t>5年3月</w:t>
      </w:r>
      <w:r>
        <w:rPr>
          <w:rFonts w:hint="eastAsia" w:ascii="宋体" w:hAnsi="宋体" w:eastAsia="宋体" w:cs="Arial"/>
          <w:color w:val="auto"/>
          <w:szCs w:val="21"/>
          <w:highlight w:val="none"/>
          <w:lang w:val="en-US" w:eastAsia="zh-CN"/>
        </w:rPr>
        <w:t>）任意一个月的社保缴纳证明扫描件）</w:t>
      </w:r>
      <w:r>
        <w:rPr>
          <w:rFonts w:hint="eastAsia" w:ascii="宋体" w:hAnsi="宋体" w:eastAsia="宋体" w:cs="Arial"/>
          <w:color w:val="auto"/>
          <w:szCs w:val="21"/>
          <w:highlight w:val="none"/>
        </w:rPr>
        <w:t>：</w:t>
      </w:r>
    </w:p>
    <w:tbl>
      <w:tblPr>
        <w:tblStyle w:val="43"/>
        <w:tblW w:w="9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388"/>
        <w:gridCol w:w="934"/>
        <w:gridCol w:w="4865"/>
        <w:gridCol w:w="1566"/>
      </w:tblGrid>
      <w:tr w14:paraId="7DBC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13" w:type="dxa"/>
            <w:noWrap w:val="0"/>
            <w:vAlign w:val="center"/>
          </w:tcPr>
          <w:p w14:paraId="6E5CCCC7">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序号</w:t>
            </w:r>
          </w:p>
        </w:tc>
        <w:tc>
          <w:tcPr>
            <w:tcW w:w="1388" w:type="dxa"/>
            <w:noWrap w:val="0"/>
            <w:vAlign w:val="center"/>
          </w:tcPr>
          <w:p w14:paraId="2300CBC5">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岗位</w:t>
            </w:r>
          </w:p>
        </w:tc>
        <w:tc>
          <w:tcPr>
            <w:tcW w:w="934" w:type="dxa"/>
            <w:noWrap w:val="0"/>
            <w:vAlign w:val="center"/>
          </w:tcPr>
          <w:p w14:paraId="20E21F5C">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人数</w:t>
            </w:r>
          </w:p>
        </w:tc>
        <w:tc>
          <w:tcPr>
            <w:tcW w:w="4865" w:type="dxa"/>
            <w:noWrap w:val="0"/>
            <w:vAlign w:val="center"/>
          </w:tcPr>
          <w:p w14:paraId="07712AF6">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具体要求</w:t>
            </w:r>
          </w:p>
        </w:tc>
        <w:tc>
          <w:tcPr>
            <w:tcW w:w="1566" w:type="dxa"/>
            <w:noWrap w:val="0"/>
            <w:vAlign w:val="center"/>
          </w:tcPr>
          <w:p w14:paraId="53C8B022">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备注</w:t>
            </w:r>
          </w:p>
        </w:tc>
      </w:tr>
      <w:tr w14:paraId="7E2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13" w:type="dxa"/>
            <w:noWrap w:val="0"/>
            <w:vAlign w:val="center"/>
          </w:tcPr>
          <w:p w14:paraId="78DBD6B8">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w:t>
            </w:r>
          </w:p>
        </w:tc>
        <w:tc>
          <w:tcPr>
            <w:tcW w:w="1388" w:type="dxa"/>
            <w:noWrap w:val="0"/>
            <w:vAlign w:val="center"/>
          </w:tcPr>
          <w:p w14:paraId="4F1DCD98">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项目负责人</w:t>
            </w:r>
          </w:p>
        </w:tc>
        <w:tc>
          <w:tcPr>
            <w:tcW w:w="934" w:type="dxa"/>
            <w:noWrap w:val="0"/>
            <w:vAlign w:val="center"/>
          </w:tcPr>
          <w:p w14:paraId="234E4BC9">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865" w:type="dxa"/>
            <w:noWrap w:val="0"/>
            <w:vAlign w:val="center"/>
          </w:tcPr>
          <w:p w14:paraId="1DD03FB1">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具备建筑工程专业一级注册建造师执业资格</w:t>
            </w:r>
          </w:p>
        </w:tc>
        <w:tc>
          <w:tcPr>
            <w:tcW w:w="1566" w:type="dxa"/>
            <w:shd w:val="clear" w:color="auto" w:fill="auto"/>
            <w:noWrap w:val="0"/>
            <w:vAlign w:val="center"/>
          </w:tcPr>
          <w:p w14:paraId="14F57C88">
            <w:pPr>
              <w:adjustRightInd w:val="0"/>
              <w:snapToGrid w:val="0"/>
              <w:spacing w:line="360" w:lineRule="auto"/>
              <w:jc w:val="center"/>
              <w:rPr>
                <w:rFonts w:hint="default" w:ascii="宋体" w:hAnsi="宋体" w:eastAsia="宋体" w:cs="宋体"/>
                <w:snapToGrid w:val="0"/>
                <w:color w:val="auto"/>
                <w:kern w:val="0"/>
                <w:sz w:val="21"/>
                <w:szCs w:val="21"/>
                <w:highlight w:val="none"/>
                <w:lang w:val="en-US" w:eastAsia="zh-CN" w:bidi="ar-SA"/>
              </w:rPr>
            </w:pPr>
            <w:r>
              <w:rPr>
                <w:rFonts w:hint="default" w:ascii="宋体" w:hAnsi="宋体" w:cs="宋体"/>
                <w:snapToGrid w:val="0"/>
                <w:color w:val="auto"/>
                <w:kern w:val="0"/>
                <w:szCs w:val="21"/>
                <w:highlight w:val="none"/>
              </w:rPr>
              <w:t>可以兼任施工项目负责人</w:t>
            </w:r>
          </w:p>
        </w:tc>
      </w:tr>
      <w:tr w14:paraId="3C52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13" w:type="dxa"/>
            <w:noWrap w:val="0"/>
            <w:vAlign w:val="center"/>
          </w:tcPr>
          <w:p w14:paraId="784E6BCE">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2</w:t>
            </w:r>
          </w:p>
        </w:tc>
        <w:tc>
          <w:tcPr>
            <w:tcW w:w="1388" w:type="dxa"/>
            <w:noWrap w:val="0"/>
            <w:vAlign w:val="center"/>
          </w:tcPr>
          <w:p w14:paraId="765AE10D">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设计负责人</w:t>
            </w:r>
          </w:p>
        </w:tc>
        <w:tc>
          <w:tcPr>
            <w:tcW w:w="934" w:type="dxa"/>
            <w:noWrap w:val="0"/>
            <w:vAlign w:val="center"/>
          </w:tcPr>
          <w:p w14:paraId="5573AA9A">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865" w:type="dxa"/>
            <w:noWrap w:val="0"/>
            <w:vAlign w:val="center"/>
          </w:tcPr>
          <w:p w14:paraId="29364E4D">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具备高级及以上专业技术职称</w:t>
            </w:r>
          </w:p>
        </w:tc>
        <w:tc>
          <w:tcPr>
            <w:tcW w:w="1566" w:type="dxa"/>
            <w:noWrap w:val="0"/>
            <w:vAlign w:val="center"/>
          </w:tcPr>
          <w:p w14:paraId="73ADDF65">
            <w:pPr>
              <w:adjustRightInd w:val="0"/>
              <w:snapToGrid w:val="0"/>
              <w:spacing w:line="360" w:lineRule="auto"/>
              <w:ind w:firstLine="420" w:firstLineChars="200"/>
              <w:jc w:val="center"/>
              <w:rPr>
                <w:rFonts w:ascii="宋体" w:hAnsi="宋体" w:cs="宋体"/>
                <w:snapToGrid w:val="0"/>
                <w:color w:val="auto"/>
                <w:kern w:val="0"/>
                <w:szCs w:val="21"/>
                <w:highlight w:val="none"/>
              </w:rPr>
            </w:pPr>
          </w:p>
        </w:tc>
      </w:tr>
      <w:tr w14:paraId="54CB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713" w:type="dxa"/>
            <w:noWrap w:val="0"/>
            <w:vAlign w:val="center"/>
          </w:tcPr>
          <w:p w14:paraId="6E467043">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3</w:t>
            </w:r>
          </w:p>
        </w:tc>
        <w:tc>
          <w:tcPr>
            <w:tcW w:w="1388" w:type="dxa"/>
            <w:noWrap w:val="0"/>
            <w:vAlign w:val="center"/>
          </w:tcPr>
          <w:p w14:paraId="5AEAFE39">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施工项目负责人</w:t>
            </w:r>
          </w:p>
        </w:tc>
        <w:tc>
          <w:tcPr>
            <w:tcW w:w="934" w:type="dxa"/>
            <w:noWrap w:val="0"/>
            <w:vAlign w:val="center"/>
          </w:tcPr>
          <w:p w14:paraId="68068BEA">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865" w:type="dxa"/>
            <w:noWrap w:val="0"/>
            <w:vAlign w:val="center"/>
          </w:tcPr>
          <w:p w14:paraId="4046F980">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具备建筑工程专业一级注册建造师执业资格和项目负责人安全生产考核合格证书</w:t>
            </w:r>
          </w:p>
        </w:tc>
        <w:tc>
          <w:tcPr>
            <w:tcW w:w="1566" w:type="dxa"/>
            <w:noWrap w:val="0"/>
            <w:vAlign w:val="center"/>
          </w:tcPr>
          <w:p w14:paraId="261351EF">
            <w:pPr>
              <w:adjustRightInd w:val="0"/>
              <w:snapToGrid w:val="0"/>
              <w:spacing w:line="360" w:lineRule="auto"/>
              <w:ind w:firstLine="420" w:firstLineChars="200"/>
              <w:jc w:val="center"/>
              <w:rPr>
                <w:rFonts w:ascii="宋体" w:hAnsi="宋体" w:cs="宋体"/>
                <w:snapToGrid w:val="0"/>
                <w:color w:val="auto"/>
                <w:kern w:val="0"/>
                <w:szCs w:val="21"/>
                <w:highlight w:val="none"/>
              </w:rPr>
            </w:pPr>
          </w:p>
        </w:tc>
      </w:tr>
      <w:tr w14:paraId="2B6D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noWrap w:val="0"/>
            <w:vAlign w:val="center"/>
          </w:tcPr>
          <w:p w14:paraId="46DED950">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4</w:t>
            </w:r>
          </w:p>
        </w:tc>
        <w:tc>
          <w:tcPr>
            <w:tcW w:w="1388" w:type="dxa"/>
            <w:noWrap w:val="0"/>
            <w:vAlign w:val="center"/>
          </w:tcPr>
          <w:p w14:paraId="39A0983F">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施工技术负责人</w:t>
            </w:r>
          </w:p>
        </w:tc>
        <w:tc>
          <w:tcPr>
            <w:tcW w:w="934" w:type="dxa"/>
            <w:noWrap w:val="0"/>
            <w:vAlign w:val="center"/>
          </w:tcPr>
          <w:p w14:paraId="5CDCB59A">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865" w:type="dxa"/>
            <w:noWrap w:val="0"/>
            <w:vAlign w:val="center"/>
          </w:tcPr>
          <w:p w14:paraId="2A457E15">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具备建筑工程相关专业高级及以上专业技术职称</w:t>
            </w:r>
          </w:p>
        </w:tc>
        <w:tc>
          <w:tcPr>
            <w:tcW w:w="1566" w:type="dxa"/>
            <w:noWrap w:val="0"/>
            <w:vAlign w:val="center"/>
          </w:tcPr>
          <w:p w14:paraId="2A5DCA86">
            <w:pPr>
              <w:adjustRightInd w:val="0"/>
              <w:snapToGrid w:val="0"/>
              <w:spacing w:line="360" w:lineRule="auto"/>
              <w:ind w:firstLine="420" w:firstLineChars="200"/>
              <w:jc w:val="center"/>
              <w:rPr>
                <w:rFonts w:ascii="宋体" w:hAnsi="宋体" w:cs="宋体"/>
                <w:snapToGrid w:val="0"/>
                <w:color w:val="auto"/>
                <w:kern w:val="0"/>
                <w:szCs w:val="21"/>
                <w:highlight w:val="none"/>
              </w:rPr>
            </w:pPr>
          </w:p>
        </w:tc>
      </w:tr>
    </w:tbl>
    <w:p w14:paraId="7E3184B3">
      <w:pPr>
        <w:pStyle w:val="2"/>
        <w:rPr>
          <w:rFonts w:hint="default"/>
          <w:color w:val="auto"/>
          <w:highlight w:val="none"/>
          <w:lang w:val="en-US" w:eastAsia="zh-CN"/>
        </w:rPr>
      </w:pPr>
    </w:p>
    <w:p w14:paraId="7B4C6ADE">
      <w:pPr>
        <w:widowControl/>
        <w:spacing w:line="360" w:lineRule="auto"/>
        <w:outlineLvl w:val="1"/>
        <w:rPr>
          <w:rFonts w:ascii="宋体" w:hAnsi="宋体" w:cs="Arial"/>
          <w:b/>
          <w:bCs/>
          <w:color w:val="auto"/>
          <w:szCs w:val="21"/>
          <w:highlight w:val="none"/>
        </w:rPr>
      </w:pPr>
      <w:bookmarkStart w:id="11" w:name="_Toc85359499"/>
      <w:bookmarkStart w:id="12" w:name="_Toc24413"/>
      <w:r>
        <w:rPr>
          <w:rFonts w:hint="eastAsia" w:ascii="宋体" w:hAnsi="宋体" w:cs="Arial"/>
          <w:b/>
          <w:bCs/>
          <w:color w:val="auto"/>
          <w:szCs w:val="21"/>
          <w:highlight w:val="none"/>
        </w:rPr>
        <w:t>三、获取采购文件：</w:t>
      </w:r>
      <w:bookmarkEnd w:id="11"/>
      <w:bookmarkEnd w:id="12"/>
    </w:p>
    <w:p w14:paraId="5089C476">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时间：</w:t>
      </w:r>
      <w:r>
        <w:rPr>
          <w:rFonts w:hint="eastAsia" w:ascii="宋体" w:hAnsi="宋体" w:cs="Arial"/>
          <w:color w:val="auto"/>
          <w:szCs w:val="21"/>
          <w:highlight w:val="none"/>
          <w:u w:val="single"/>
          <w:lang w:val="en-US" w:eastAsia="zh-CN"/>
        </w:rPr>
        <w:t>2025年3月19日</w:t>
      </w:r>
      <w:r>
        <w:rPr>
          <w:rFonts w:hint="eastAsia" w:ascii="宋体" w:hAnsi="宋体" w:cs="Arial"/>
          <w:color w:val="auto"/>
          <w:szCs w:val="21"/>
          <w:highlight w:val="none"/>
          <w:u w:val="single"/>
        </w:rPr>
        <w:t xml:space="preserve"> </w:t>
      </w:r>
      <w:r>
        <w:rPr>
          <w:rFonts w:hint="eastAsia" w:ascii="宋体" w:hAnsi="宋体" w:cs="Arial"/>
          <w:color w:val="auto"/>
          <w:szCs w:val="21"/>
          <w:highlight w:val="none"/>
        </w:rPr>
        <w:t>至</w:t>
      </w:r>
      <w:r>
        <w:rPr>
          <w:rFonts w:hint="eastAsia" w:ascii="宋体" w:hAnsi="宋体" w:cs="Arial"/>
          <w:color w:val="auto"/>
          <w:szCs w:val="21"/>
          <w:highlight w:val="none"/>
          <w:u w:val="single"/>
        </w:rPr>
        <w:t xml:space="preserve"> </w:t>
      </w:r>
      <w:r>
        <w:rPr>
          <w:rFonts w:hint="eastAsia" w:ascii="宋体" w:hAnsi="宋体" w:cs="Arial"/>
          <w:color w:val="auto"/>
          <w:szCs w:val="21"/>
          <w:highlight w:val="none"/>
          <w:u w:val="single"/>
          <w:lang w:eastAsia="zh-CN"/>
        </w:rPr>
        <w:t>2025</w:t>
      </w:r>
      <w:r>
        <w:rPr>
          <w:rFonts w:hint="eastAsia" w:ascii="宋体" w:hAnsi="宋体" w:cs="Arial"/>
          <w:color w:val="auto"/>
          <w:szCs w:val="21"/>
          <w:highlight w:val="none"/>
          <w:u w:val="single"/>
        </w:rPr>
        <w:t>年</w:t>
      </w:r>
      <w:r>
        <w:rPr>
          <w:rFonts w:hint="eastAsia" w:ascii="宋体" w:hAnsi="宋体" w:cs="Arial"/>
          <w:color w:val="auto"/>
          <w:szCs w:val="21"/>
          <w:highlight w:val="none"/>
          <w:u w:val="single"/>
          <w:lang w:val="en-US" w:eastAsia="zh-CN"/>
        </w:rPr>
        <w:t>3</w:t>
      </w:r>
      <w:r>
        <w:rPr>
          <w:rFonts w:hint="eastAsia" w:ascii="宋体" w:hAnsi="宋体" w:cs="Arial"/>
          <w:color w:val="auto"/>
          <w:szCs w:val="21"/>
          <w:highlight w:val="none"/>
          <w:u w:val="single"/>
          <w:lang w:eastAsia="zh-CN"/>
        </w:rPr>
        <w:t>月</w:t>
      </w:r>
      <w:r>
        <w:rPr>
          <w:rFonts w:hint="eastAsia" w:ascii="宋体" w:hAnsi="宋体" w:cs="Arial"/>
          <w:color w:val="auto"/>
          <w:szCs w:val="21"/>
          <w:highlight w:val="none"/>
          <w:u w:val="single"/>
          <w:lang w:val="en-US" w:eastAsia="zh-CN"/>
        </w:rPr>
        <w:t>26</w:t>
      </w:r>
      <w:r>
        <w:rPr>
          <w:rFonts w:hint="eastAsia" w:ascii="宋体" w:hAnsi="宋体" w:cs="Arial"/>
          <w:color w:val="auto"/>
          <w:szCs w:val="21"/>
          <w:highlight w:val="none"/>
          <w:u w:val="single"/>
          <w:lang w:eastAsia="zh-CN"/>
        </w:rPr>
        <w:t>日</w:t>
      </w:r>
      <w:r>
        <w:rPr>
          <w:rFonts w:hint="eastAsia" w:ascii="宋体" w:hAnsi="宋体" w:cs="Arial"/>
          <w:color w:val="auto"/>
          <w:szCs w:val="21"/>
          <w:highlight w:val="none"/>
          <w:u w:val="single"/>
          <w:lang w:val="en-US" w:eastAsia="zh-CN"/>
        </w:rPr>
        <w:t xml:space="preserve">  </w:t>
      </w:r>
      <w:r>
        <w:rPr>
          <w:rFonts w:hint="eastAsia" w:ascii="宋体" w:hAnsi="宋体" w:cs="Arial"/>
          <w:color w:val="auto"/>
          <w:szCs w:val="21"/>
          <w:highlight w:val="none"/>
        </w:rPr>
        <w:t>，每天上午</w:t>
      </w:r>
      <w:r>
        <w:rPr>
          <w:rFonts w:hint="eastAsia" w:ascii="宋体" w:hAnsi="宋体" w:cs="Arial"/>
          <w:color w:val="auto"/>
          <w:szCs w:val="21"/>
          <w:highlight w:val="none"/>
          <w:u w:val="single"/>
        </w:rPr>
        <w:t>00:00至12:00</w:t>
      </w:r>
      <w:r>
        <w:rPr>
          <w:rFonts w:hint="eastAsia" w:ascii="宋体" w:hAnsi="宋体" w:cs="Arial"/>
          <w:color w:val="auto"/>
          <w:szCs w:val="21"/>
          <w:highlight w:val="none"/>
        </w:rPr>
        <w:t>，下午</w:t>
      </w:r>
      <w:r>
        <w:rPr>
          <w:rFonts w:hint="eastAsia" w:ascii="宋体" w:hAnsi="宋体" w:cs="Arial"/>
          <w:color w:val="auto"/>
          <w:szCs w:val="21"/>
          <w:highlight w:val="none"/>
          <w:u w:val="single"/>
        </w:rPr>
        <w:t>12:00至23:59</w:t>
      </w:r>
      <w:r>
        <w:rPr>
          <w:rFonts w:hint="eastAsia" w:ascii="宋体" w:hAnsi="宋体" w:cs="Arial"/>
          <w:color w:val="auto"/>
          <w:szCs w:val="21"/>
          <w:highlight w:val="none"/>
        </w:rPr>
        <w:t>（北京时间，线上获取法定节假日均可，线下获取文件法定节假日除外）</w:t>
      </w:r>
    </w:p>
    <w:p w14:paraId="64CA74B7">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地点（网址）：</w:t>
      </w:r>
      <w:r>
        <w:rPr>
          <w:rFonts w:ascii="宋体" w:hAnsi="宋体" w:cs="Arial"/>
          <w:color w:val="auto"/>
          <w:szCs w:val="21"/>
          <w:highlight w:val="none"/>
        </w:rPr>
        <w:t>政府采购云平台（www.zcygov.cn）</w:t>
      </w:r>
    </w:p>
    <w:p w14:paraId="74297086">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方式：政采云平台（www.zcygov.cn）用户登录-项目采购-获取采购文件-申请完成-下载文件。</w:t>
      </w:r>
    </w:p>
    <w:p w14:paraId="007A4EEB">
      <w:pPr>
        <w:widowControl/>
        <w:adjustRightInd w:val="0"/>
        <w:snapToGrid w:val="0"/>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售价（元）：0</w:t>
      </w:r>
    </w:p>
    <w:p w14:paraId="2C313CD6">
      <w:pPr>
        <w:widowControl/>
        <w:spacing w:line="360" w:lineRule="auto"/>
        <w:outlineLvl w:val="1"/>
        <w:rPr>
          <w:rFonts w:ascii="宋体" w:hAnsi="宋体" w:cs="Arial"/>
          <w:color w:val="auto"/>
          <w:szCs w:val="21"/>
          <w:highlight w:val="none"/>
        </w:rPr>
      </w:pPr>
      <w:bookmarkStart w:id="13" w:name="_Toc19047"/>
      <w:bookmarkStart w:id="14" w:name="_Toc85359500"/>
      <w:r>
        <w:rPr>
          <w:rFonts w:hint="eastAsia" w:ascii="宋体" w:hAnsi="宋体" w:cs="Arial"/>
          <w:b/>
          <w:bCs/>
          <w:color w:val="auto"/>
          <w:szCs w:val="21"/>
          <w:highlight w:val="none"/>
        </w:rPr>
        <w:t>四、</w:t>
      </w:r>
      <w:r>
        <w:rPr>
          <w:b/>
          <w:bCs/>
          <w:color w:val="auto"/>
          <w:highlight w:val="none"/>
        </w:rPr>
        <w:t>提交投标文件截止时间、开标时间和地点</w:t>
      </w:r>
      <w:bookmarkEnd w:id="13"/>
      <w:bookmarkEnd w:id="14"/>
    </w:p>
    <w:p w14:paraId="693389DA">
      <w:pPr>
        <w:spacing w:line="360" w:lineRule="auto"/>
        <w:ind w:firstLine="420" w:firstLineChars="200"/>
        <w:rPr>
          <w:color w:val="auto"/>
          <w:highlight w:val="yellow"/>
        </w:rPr>
      </w:pPr>
      <w:r>
        <w:rPr>
          <w:color w:val="auto"/>
          <w:highlight w:val="yellow"/>
        </w:rPr>
        <w:t>提交投标文件截止时间：</w:t>
      </w:r>
      <w:r>
        <w:rPr>
          <w:rFonts w:hint="eastAsia" w:ascii="宋体" w:hAnsi="宋体" w:cs="Arial"/>
          <w:color w:val="auto"/>
          <w:szCs w:val="21"/>
          <w:highlight w:val="yellow"/>
          <w:u w:val="single"/>
        </w:rPr>
        <w:t xml:space="preserve"> </w:t>
      </w:r>
      <w:r>
        <w:rPr>
          <w:rFonts w:hint="eastAsia" w:ascii="宋体" w:hAnsi="宋体" w:cs="Arial"/>
          <w:color w:val="auto"/>
          <w:szCs w:val="21"/>
          <w:highlight w:val="yellow"/>
          <w:u w:val="single"/>
          <w:lang w:eastAsia="zh-CN"/>
        </w:rPr>
        <w:t>2025</w:t>
      </w:r>
      <w:r>
        <w:rPr>
          <w:rFonts w:hint="eastAsia" w:ascii="宋体" w:hAnsi="宋体" w:cs="Arial"/>
          <w:color w:val="auto"/>
          <w:szCs w:val="21"/>
          <w:highlight w:val="yellow"/>
          <w:u w:val="single"/>
        </w:rPr>
        <w:t>年</w:t>
      </w:r>
      <w:r>
        <w:rPr>
          <w:rFonts w:hint="eastAsia" w:ascii="宋体" w:hAnsi="宋体" w:cs="Arial"/>
          <w:color w:val="auto"/>
          <w:szCs w:val="21"/>
          <w:highlight w:val="yellow"/>
          <w:u w:val="single"/>
          <w:lang w:val="en-US" w:eastAsia="zh-CN"/>
        </w:rPr>
        <w:t>4</w:t>
      </w:r>
      <w:r>
        <w:rPr>
          <w:rFonts w:hint="eastAsia" w:ascii="宋体" w:hAnsi="宋体" w:cs="Arial"/>
          <w:color w:val="auto"/>
          <w:szCs w:val="21"/>
          <w:highlight w:val="yellow"/>
          <w:u w:val="single"/>
          <w:lang w:eastAsia="zh-CN"/>
        </w:rPr>
        <w:t>月</w:t>
      </w:r>
      <w:r>
        <w:rPr>
          <w:rFonts w:hint="eastAsia" w:ascii="宋体" w:hAnsi="宋体" w:cs="Arial"/>
          <w:color w:val="auto"/>
          <w:szCs w:val="21"/>
          <w:highlight w:val="yellow"/>
          <w:u w:val="single"/>
          <w:lang w:val="en-US" w:eastAsia="zh-CN"/>
        </w:rPr>
        <w:t>23</w:t>
      </w:r>
      <w:r>
        <w:rPr>
          <w:rFonts w:hint="eastAsia" w:ascii="宋体" w:hAnsi="宋体" w:cs="Arial"/>
          <w:color w:val="auto"/>
          <w:szCs w:val="21"/>
          <w:highlight w:val="yellow"/>
          <w:u w:val="single"/>
          <w:lang w:eastAsia="zh-CN"/>
        </w:rPr>
        <w:t>日</w:t>
      </w:r>
      <w:r>
        <w:rPr>
          <w:rFonts w:hint="eastAsia" w:ascii="宋体" w:hAnsi="宋体" w:cs="Arial"/>
          <w:color w:val="auto"/>
          <w:szCs w:val="21"/>
          <w:highlight w:val="yellow"/>
          <w:u w:val="single"/>
          <w:lang w:val="en-US" w:eastAsia="zh-CN"/>
        </w:rPr>
        <w:t>11</w:t>
      </w:r>
      <w:r>
        <w:rPr>
          <w:rFonts w:hint="eastAsia" w:ascii="宋体" w:hAnsi="宋体" w:cs="Arial"/>
          <w:color w:val="auto"/>
          <w:szCs w:val="21"/>
          <w:highlight w:val="yellow"/>
          <w:u w:val="single"/>
        </w:rPr>
        <w:t>:</w:t>
      </w:r>
      <w:r>
        <w:rPr>
          <w:rFonts w:hint="eastAsia" w:ascii="宋体" w:hAnsi="宋体" w:cs="Arial"/>
          <w:color w:val="auto"/>
          <w:szCs w:val="21"/>
          <w:highlight w:val="yellow"/>
          <w:u w:val="single"/>
          <w:lang w:val="en-US" w:eastAsia="zh-CN"/>
        </w:rPr>
        <w:t>00</w:t>
      </w:r>
      <w:r>
        <w:rPr>
          <w:color w:val="auto"/>
          <w:highlight w:val="yellow"/>
        </w:rPr>
        <w:t>（北京时间）</w:t>
      </w:r>
    </w:p>
    <w:p w14:paraId="2A0801DA">
      <w:pPr>
        <w:spacing w:line="360" w:lineRule="auto"/>
        <w:ind w:firstLine="420" w:firstLineChars="200"/>
        <w:rPr>
          <w:color w:val="auto"/>
          <w:highlight w:val="yellow"/>
        </w:rPr>
      </w:pPr>
      <w:r>
        <w:rPr>
          <w:color w:val="auto"/>
          <w:highlight w:val="yellow"/>
        </w:rPr>
        <w:t>投标地点（网址）：线上（政府采购云平台（www.zcygov.cn））</w:t>
      </w:r>
    </w:p>
    <w:p w14:paraId="41799784">
      <w:pPr>
        <w:spacing w:line="360" w:lineRule="auto"/>
        <w:ind w:firstLine="420" w:firstLineChars="200"/>
        <w:rPr>
          <w:color w:val="auto"/>
          <w:highlight w:val="yellow"/>
        </w:rPr>
      </w:pPr>
      <w:r>
        <w:rPr>
          <w:color w:val="auto"/>
          <w:highlight w:val="yellow"/>
        </w:rPr>
        <w:t>开标时间：</w:t>
      </w:r>
      <w:r>
        <w:rPr>
          <w:rFonts w:hint="eastAsia" w:ascii="宋体" w:hAnsi="宋体" w:cs="Arial"/>
          <w:color w:val="auto"/>
          <w:szCs w:val="21"/>
          <w:highlight w:val="yellow"/>
          <w:u w:val="single"/>
          <w:lang w:eastAsia="zh-CN"/>
        </w:rPr>
        <w:t>2025</w:t>
      </w:r>
      <w:r>
        <w:rPr>
          <w:rFonts w:hint="eastAsia" w:ascii="宋体" w:hAnsi="宋体" w:cs="Arial"/>
          <w:color w:val="auto"/>
          <w:szCs w:val="21"/>
          <w:highlight w:val="yellow"/>
          <w:u w:val="single"/>
        </w:rPr>
        <w:t>年</w:t>
      </w:r>
      <w:r>
        <w:rPr>
          <w:rFonts w:hint="eastAsia" w:ascii="宋体" w:hAnsi="宋体" w:cs="Arial"/>
          <w:color w:val="auto"/>
          <w:szCs w:val="21"/>
          <w:highlight w:val="yellow"/>
          <w:u w:val="single"/>
          <w:lang w:val="en-US" w:eastAsia="zh-CN"/>
        </w:rPr>
        <w:t>4</w:t>
      </w:r>
      <w:r>
        <w:rPr>
          <w:rFonts w:hint="eastAsia" w:ascii="宋体" w:hAnsi="宋体" w:cs="Arial"/>
          <w:color w:val="auto"/>
          <w:szCs w:val="21"/>
          <w:highlight w:val="yellow"/>
          <w:u w:val="single"/>
          <w:lang w:eastAsia="zh-CN"/>
        </w:rPr>
        <w:t>月</w:t>
      </w:r>
      <w:r>
        <w:rPr>
          <w:rFonts w:hint="eastAsia" w:ascii="宋体" w:hAnsi="宋体" w:cs="Arial"/>
          <w:color w:val="auto"/>
          <w:szCs w:val="21"/>
          <w:highlight w:val="yellow"/>
          <w:u w:val="single"/>
          <w:lang w:val="en-US" w:eastAsia="zh-CN"/>
        </w:rPr>
        <w:t>23</w:t>
      </w:r>
      <w:r>
        <w:rPr>
          <w:rFonts w:hint="eastAsia" w:ascii="宋体" w:hAnsi="宋体" w:cs="Arial"/>
          <w:color w:val="auto"/>
          <w:szCs w:val="21"/>
          <w:highlight w:val="yellow"/>
          <w:u w:val="single"/>
          <w:lang w:eastAsia="zh-CN"/>
        </w:rPr>
        <w:t>日</w:t>
      </w:r>
      <w:r>
        <w:rPr>
          <w:rFonts w:hint="eastAsia" w:ascii="宋体" w:hAnsi="宋体" w:cs="Arial"/>
          <w:color w:val="auto"/>
          <w:szCs w:val="21"/>
          <w:highlight w:val="yellow"/>
          <w:u w:val="single"/>
          <w:lang w:val="en-US" w:eastAsia="zh-CN"/>
        </w:rPr>
        <w:t>11</w:t>
      </w:r>
      <w:r>
        <w:rPr>
          <w:rFonts w:hint="eastAsia" w:ascii="宋体" w:hAnsi="宋体" w:cs="Arial"/>
          <w:color w:val="auto"/>
          <w:szCs w:val="21"/>
          <w:highlight w:val="yellow"/>
          <w:u w:val="single"/>
        </w:rPr>
        <w:t>:</w:t>
      </w:r>
      <w:r>
        <w:rPr>
          <w:rFonts w:hint="eastAsia" w:ascii="宋体" w:hAnsi="宋体" w:cs="Arial"/>
          <w:color w:val="auto"/>
          <w:szCs w:val="21"/>
          <w:highlight w:val="yellow"/>
          <w:u w:val="single"/>
          <w:lang w:val="en-US" w:eastAsia="zh-CN"/>
        </w:rPr>
        <w:t>00</w:t>
      </w:r>
      <w:r>
        <w:rPr>
          <w:color w:val="auto"/>
          <w:highlight w:val="yellow"/>
        </w:rPr>
        <w:t>（北京时间）</w:t>
      </w:r>
    </w:p>
    <w:p w14:paraId="110E91D2">
      <w:pPr>
        <w:widowControl/>
        <w:adjustRightInd w:val="0"/>
        <w:snapToGrid w:val="0"/>
        <w:spacing w:line="360" w:lineRule="auto"/>
        <w:ind w:firstLine="420" w:firstLineChars="200"/>
        <w:jc w:val="left"/>
        <w:rPr>
          <w:rFonts w:ascii="宋体" w:hAnsi="宋体" w:cs="Arial"/>
          <w:color w:val="auto"/>
          <w:szCs w:val="21"/>
          <w:highlight w:val="none"/>
        </w:rPr>
      </w:pPr>
      <w:r>
        <w:rPr>
          <w:color w:val="auto"/>
          <w:highlight w:val="none"/>
        </w:rPr>
        <w:t>开标地点（网址）：线上（政府采购云平台（www.zcygov.cn））</w:t>
      </w:r>
    </w:p>
    <w:p w14:paraId="13575C0F">
      <w:pPr>
        <w:widowControl/>
        <w:spacing w:line="360" w:lineRule="auto"/>
        <w:outlineLvl w:val="1"/>
        <w:rPr>
          <w:rFonts w:ascii="宋体" w:hAnsi="宋体" w:cs="Arial"/>
          <w:b/>
          <w:bCs/>
          <w:color w:val="auto"/>
          <w:szCs w:val="21"/>
          <w:highlight w:val="none"/>
        </w:rPr>
      </w:pPr>
      <w:bookmarkStart w:id="15" w:name="_Toc85359501"/>
      <w:bookmarkStart w:id="16" w:name="_Toc9499"/>
      <w:r>
        <w:rPr>
          <w:rFonts w:hint="eastAsia" w:ascii="宋体" w:hAnsi="宋体" w:cs="Arial"/>
          <w:b/>
          <w:bCs/>
          <w:color w:val="auto"/>
          <w:szCs w:val="21"/>
          <w:highlight w:val="none"/>
        </w:rPr>
        <w:t>五、采购意向公开链接</w:t>
      </w:r>
    </w:p>
    <w:p w14:paraId="0CC875A0">
      <w:pPr>
        <w:widowControl/>
        <w:spacing w:line="360" w:lineRule="auto"/>
        <w:ind w:firstLine="420" w:firstLineChars="200"/>
        <w:jc w:val="left"/>
        <w:rPr>
          <w:rFonts w:hint="eastAsia" w:ascii="宋体" w:hAnsi="宋体" w:eastAsia="宋体" w:cs="Arial"/>
          <w:color w:val="auto"/>
          <w:szCs w:val="21"/>
          <w:highlight w:val="none"/>
          <w:lang w:eastAsia="zh-CN"/>
        </w:rPr>
      </w:pPr>
      <w:r>
        <w:rPr>
          <w:rFonts w:hint="eastAsia" w:ascii="宋体" w:hAnsi="宋体" w:cs="Arial"/>
          <w:color w:val="auto"/>
          <w:szCs w:val="21"/>
          <w:highlight w:val="none"/>
          <w:lang w:eastAsia="zh-CN"/>
        </w:rPr>
        <w:t>http://www.ccgp-xinjiang.gov.cn/site/detail?parentId=3661&amp;articleId=L+EWUlGss6kOhQdu7Aho8w==&amp;utm=site.site-PC-42166.1024-pc-wsg-secondLevelPage-front.37.4069cba0d92411ef94b5a5064d5e2c0e</w:t>
      </w:r>
    </w:p>
    <w:p w14:paraId="01E2756A">
      <w:pPr>
        <w:widowControl/>
        <w:spacing w:line="360" w:lineRule="auto"/>
        <w:outlineLvl w:val="1"/>
        <w:rPr>
          <w:rFonts w:ascii="宋体" w:hAnsi="宋体" w:cs="Arial"/>
          <w:color w:val="auto"/>
          <w:szCs w:val="21"/>
          <w:highlight w:val="none"/>
        </w:rPr>
      </w:pPr>
      <w:r>
        <w:rPr>
          <w:rFonts w:hint="eastAsia" w:ascii="宋体" w:hAnsi="宋体" w:cs="Arial"/>
          <w:b/>
          <w:bCs/>
          <w:color w:val="auto"/>
          <w:szCs w:val="21"/>
          <w:highlight w:val="none"/>
        </w:rPr>
        <w:t>六、公告期限</w:t>
      </w:r>
      <w:bookmarkEnd w:id="15"/>
      <w:bookmarkEnd w:id="16"/>
    </w:p>
    <w:p w14:paraId="00664749">
      <w:pPr>
        <w:widowControl/>
        <w:spacing w:line="360" w:lineRule="auto"/>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自本公告发布之日起5个工作日。</w:t>
      </w:r>
    </w:p>
    <w:p w14:paraId="5CD0A2D0">
      <w:pPr>
        <w:widowControl/>
        <w:spacing w:line="360" w:lineRule="auto"/>
        <w:outlineLvl w:val="1"/>
        <w:rPr>
          <w:rFonts w:ascii="宋体" w:hAnsi="宋体" w:cs="Arial"/>
          <w:color w:val="auto"/>
          <w:szCs w:val="21"/>
          <w:highlight w:val="none"/>
        </w:rPr>
      </w:pPr>
      <w:bookmarkStart w:id="17" w:name="_Toc12471"/>
      <w:bookmarkStart w:id="18" w:name="_Toc85359502"/>
      <w:r>
        <w:rPr>
          <w:rFonts w:hint="eastAsia" w:ascii="宋体" w:hAnsi="宋体" w:cs="Arial"/>
          <w:b/>
          <w:bCs/>
          <w:color w:val="auto"/>
          <w:szCs w:val="21"/>
          <w:highlight w:val="none"/>
        </w:rPr>
        <w:t>七、其他补充事宜</w:t>
      </w:r>
      <w:bookmarkEnd w:id="17"/>
      <w:bookmarkEnd w:id="18"/>
    </w:p>
    <w:p w14:paraId="2FF36222">
      <w:pPr>
        <w:widowControl/>
        <w:spacing w:line="360" w:lineRule="auto"/>
        <w:ind w:firstLine="420" w:firstLineChars="200"/>
        <w:jc w:val="left"/>
        <w:rPr>
          <w:rFonts w:hint="eastAsia"/>
          <w:color w:val="auto"/>
          <w:szCs w:val="21"/>
          <w:highlight w:val="none"/>
        </w:rPr>
      </w:pPr>
      <w:r>
        <w:rPr>
          <w:rFonts w:hint="eastAsia"/>
          <w:color w:val="auto"/>
          <w:szCs w:val="21"/>
          <w:highlight w:val="none"/>
        </w:rPr>
        <w:t>1</w:t>
      </w:r>
      <w:r>
        <w:rPr>
          <w:rFonts w:hint="eastAsia"/>
          <w:color w:val="auto"/>
          <w:szCs w:val="21"/>
          <w:highlight w:val="none"/>
          <w:lang w:val="en-US" w:eastAsia="zh-CN"/>
        </w:rPr>
        <w:t>.</w:t>
      </w:r>
      <w:r>
        <w:rPr>
          <w:rFonts w:hint="eastAsia"/>
          <w:color w:val="auto"/>
          <w:szCs w:val="21"/>
          <w:highlight w:val="none"/>
        </w:rPr>
        <w:t>本项目实行网上投标，采用电子投标文件。</w:t>
      </w:r>
    </w:p>
    <w:p w14:paraId="6D298D02">
      <w:pPr>
        <w:widowControl/>
        <w:spacing w:line="360" w:lineRule="auto"/>
        <w:ind w:firstLine="420" w:firstLineChars="200"/>
        <w:jc w:val="left"/>
        <w:rPr>
          <w:rFonts w:hint="eastAsia"/>
          <w:color w:val="auto"/>
          <w:szCs w:val="21"/>
          <w:highlight w:val="none"/>
        </w:rPr>
      </w:pPr>
      <w:r>
        <w:rPr>
          <w:rFonts w:hint="eastAsia"/>
          <w:color w:val="auto"/>
          <w:szCs w:val="21"/>
          <w:highlight w:val="none"/>
        </w:rPr>
        <w:t>2</w:t>
      </w:r>
      <w:r>
        <w:rPr>
          <w:rFonts w:hint="eastAsia"/>
          <w:color w:val="auto"/>
          <w:szCs w:val="21"/>
          <w:highlight w:val="none"/>
          <w:lang w:val="en-US" w:eastAsia="zh-CN"/>
        </w:rPr>
        <w:t>.</w:t>
      </w:r>
      <w:r>
        <w:rPr>
          <w:rFonts w:hint="eastAsia"/>
          <w:color w:val="auto"/>
          <w:szCs w:val="21"/>
          <w:highlight w:val="none"/>
        </w:rPr>
        <w:t>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7BD423C5">
      <w:pPr>
        <w:widowControl/>
        <w:spacing w:line="360" w:lineRule="auto"/>
        <w:ind w:firstLine="420" w:firstLineChars="200"/>
        <w:jc w:val="left"/>
        <w:rPr>
          <w:rFonts w:hint="eastAsia"/>
          <w:color w:val="auto"/>
          <w:szCs w:val="21"/>
          <w:highlight w:val="none"/>
        </w:rPr>
      </w:pPr>
      <w:r>
        <w:rPr>
          <w:rFonts w:hint="eastAsia"/>
          <w:color w:val="auto"/>
          <w:szCs w:val="21"/>
          <w:highlight w:val="none"/>
        </w:rPr>
        <w:t>3</w:t>
      </w:r>
      <w:r>
        <w:rPr>
          <w:rFonts w:hint="eastAsia"/>
          <w:color w:val="auto"/>
          <w:szCs w:val="21"/>
          <w:highlight w:val="none"/>
          <w:lang w:val="en-US" w:eastAsia="zh-CN"/>
        </w:rPr>
        <w:t>.</w:t>
      </w:r>
      <w:r>
        <w:rPr>
          <w:rFonts w:hint="eastAsia"/>
          <w:color w:val="auto"/>
          <w:szCs w:val="21"/>
          <w:highlight w:val="none"/>
        </w:rPr>
        <w:t>供应商将政采云电子交易客户端下载、安装完成后，可通过账号密码或CA登录客户端进行投标文件的制作。在使用政采云投标客户端时，建议使用WIN7及以上操作系统。</w:t>
      </w:r>
    </w:p>
    <w:p w14:paraId="7998E3C7">
      <w:pPr>
        <w:widowControl/>
        <w:spacing w:line="360" w:lineRule="auto"/>
        <w:ind w:firstLine="420" w:firstLineChars="200"/>
        <w:jc w:val="left"/>
        <w:rPr>
          <w:rFonts w:hint="eastAsia"/>
          <w:color w:val="auto"/>
          <w:szCs w:val="21"/>
          <w:highlight w:val="none"/>
        </w:rPr>
      </w:pPr>
      <w:r>
        <w:rPr>
          <w:rFonts w:hint="eastAsia"/>
          <w:color w:val="auto"/>
          <w:szCs w:val="21"/>
          <w:highlight w:val="none"/>
        </w:rPr>
        <w:t>特别提示：</w:t>
      </w:r>
    </w:p>
    <w:p w14:paraId="35697590">
      <w:pPr>
        <w:widowControl/>
        <w:spacing w:line="360" w:lineRule="auto"/>
        <w:ind w:firstLine="420" w:firstLineChars="200"/>
        <w:jc w:val="left"/>
        <w:rPr>
          <w:rFonts w:hint="eastAsia"/>
          <w:color w:val="auto"/>
          <w:szCs w:val="21"/>
          <w:highlight w:val="none"/>
        </w:rPr>
      </w:pPr>
      <w:r>
        <w:rPr>
          <w:rFonts w:hint="eastAsia"/>
          <w:color w:val="auto"/>
          <w:szCs w:val="21"/>
          <w:highlight w:val="none"/>
        </w:rPr>
        <w:t>1</w:t>
      </w:r>
      <w:r>
        <w:rPr>
          <w:rFonts w:hint="eastAsia"/>
          <w:color w:val="auto"/>
          <w:szCs w:val="21"/>
          <w:highlight w:val="none"/>
          <w:lang w:val="en-US" w:eastAsia="zh-CN"/>
        </w:rPr>
        <w:t>.</w:t>
      </w:r>
      <w:r>
        <w:rPr>
          <w:rFonts w:hint="eastAsia"/>
          <w:color w:val="auto"/>
          <w:szCs w:val="21"/>
          <w:highlight w:val="none"/>
        </w:rPr>
        <w:t>采购限额标准以上，200万元以下的货物和服务采购项目、400万元以下的工程采购项目，适宜由中小企业提供的，采购人应当专门面向中小企业采购。</w:t>
      </w:r>
    </w:p>
    <w:p w14:paraId="21B9EB0F">
      <w:pPr>
        <w:widowControl/>
        <w:spacing w:line="360" w:lineRule="auto"/>
        <w:ind w:firstLine="420" w:firstLineChars="200"/>
        <w:jc w:val="left"/>
        <w:rPr>
          <w:rFonts w:hint="eastAsia"/>
          <w:color w:val="auto"/>
          <w:szCs w:val="21"/>
          <w:highlight w:val="none"/>
        </w:rPr>
      </w:pPr>
      <w:r>
        <w:rPr>
          <w:rFonts w:hint="eastAsia"/>
          <w:color w:val="auto"/>
          <w:szCs w:val="21"/>
          <w:highlight w:val="none"/>
        </w:rPr>
        <w:t>2</w:t>
      </w:r>
      <w:r>
        <w:rPr>
          <w:rFonts w:hint="eastAsia"/>
          <w:color w:val="auto"/>
          <w:szCs w:val="21"/>
          <w:highlight w:val="none"/>
          <w:lang w:val="en-US" w:eastAsia="zh-CN"/>
        </w:rPr>
        <w:t>.</w:t>
      </w:r>
      <w:r>
        <w:rPr>
          <w:rFonts w:hint="eastAsia"/>
          <w:color w:val="auto"/>
          <w:szCs w:val="21"/>
          <w:highlight w:val="none"/>
        </w:rPr>
        <w:t>超过200万元的货物和服务采购项目，预留该部分采购项目预算总额的30%以上专门面向中小企业采购，其中预留给小微企业的比例不低于60%。</w:t>
      </w:r>
    </w:p>
    <w:p w14:paraId="707F1CDF">
      <w:pPr>
        <w:widowControl/>
        <w:spacing w:line="360" w:lineRule="auto"/>
        <w:ind w:firstLine="420" w:firstLineChars="200"/>
        <w:jc w:val="left"/>
        <w:rPr>
          <w:rFonts w:hint="eastAsia"/>
          <w:color w:val="auto"/>
          <w:szCs w:val="21"/>
          <w:highlight w:val="none"/>
        </w:rPr>
      </w:pPr>
      <w:r>
        <w:rPr>
          <w:rFonts w:hint="eastAsia"/>
          <w:color w:val="auto"/>
          <w:szCs w:val="21"/>
          <w:highlight w:val="none"/>
        </w:rPr>
        <w:t>3</w:t>
      </w:r>
      <w:r>
        <w:rPr>
          <w:rFonts w:hint="eastAsia"/>
          <w:color w:val="auto"/>
          <w:szCs w:val="21"/>
          <w:highlight w:val="none"/>
          <w:lang w:val="en-US" w:eastAsia="zh-CN"/>
        </w:rPr>
        <w:t>.</w:t>
      </w:r>
      <w:r>
        <w:rPr>
          <w:rFonts w:hint="eastAsia"/>
          <w:color w:val="auto"/>
          <w:szCs w:val="21"/>
          <w:highlight w:val="none"/>
        </w:rPr>
        <w:t>超过400万元的工程采购项目中适宜由中小企业提供的，预留该部分采购项目预算总额的40%以上专门面向中小企业采购，其中预留给小微企业的比例不低于60%。</w:t>
      </w:r>
    </w:p>
    <w:p w14:paraId="238C7ADA">
      <w:pPr>
        <w:widowControl/>
        <w:spacing w:line="360" w:lineRule="auto"/>
        <w:ind w:firstLine="420" w:firstLineChars="200"/>
        <w:jc w:val="left"/>
        <w:rPr>
          <w:rFonts w:hint="eastAsia"/>
          <w:color w:val="auto"/>
          <w:szCs w:val="21"/>
          <w:highlight w:val="none"/>
        </w:rPr>
      </w:pPr>
      <w:r>
        <w:rPr>
          <w:rFonts w:hint="eastAsia"/>
          <w:color w:val="auto"/>
          <w:szCs w:val="21"/>
          <w:highlight w:val="none"/>
        </w:rPr>
        <w:t>4</w:t>
      </w:r>
      <w:r>
        <w:rPr>
          <w:rFonts w:hint="eastAsia"/>
          <w:color w:val="auto"/>
          <w:szCs w:val="21"/>
          <w:highlight w:val="none"/>
          <w:lang w:val="en-US" w:eastAsia="zh-CN"/>
        </w:rPr>
        <w:t>.</w:t>
      </w:r>
      <w:r>
        <w:rPr>
          <w:rFonts w:hint="eastAsia"/>
          <w:color w:val="auto"/>
          <w:szCs w:val="21"/>
          <w:highlight w:val="none"/>
        </w:rPr>
        <w:t>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5BFA943">
      <w:pPr>
        <w:widowControl/>
        <w:spacing w:line="360" w:lineRule="auto"/>
        <w:ind w:firstLine="420" w:firstLineChars="200"/>
        <w:jc w:val="left"/>
        <w:rPr>
          <w:color w:val="auto"/>
          <w:szCs w:val="21"/>
          <w:highlight w:val="none"/>
        </w:rPr>
      </w:pPr>
      <w:r>
        <w:rPr>
          <w:rFonts w:hint="eastAsia"/>
          <w:color w:val="auto"/>
          <w:szCs w:val="21"/>
          <w:highlight w:val="none"/>
        </w:rPr>
        <w:t>5</w:t>
      </w:r>
      <w:r>
        <w:rPr>
          <w:rFonts w:hint="eastAsia"/>
          <w:color w:val="auto"/>
          <w:szCs w:val="21"/>
          <w:highlight w:val="none"/>
          <w:lang w:val="en-US" w:eastAsia="zh-CN"/>
        </w:rPr>
        <w:t>.</w:t>
      </w:r>
      <w:r>
        <w:rPr>
          <w:rFonts w:hint="eastAsia"/>
          <w:color w:val="auto"/>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35CFE27">
      <w:pPr>
        <w:widowControl/>
        <w:spacing w:line="360" w:lineRule="auto"/>
        <w:outlineLvl w:val="1"/>
        <w:rPr>
          <w:rFonts w:ascii="宋体" w:hAnsi="宋体" w:cs="Arial"/>
          <w:b/>
          <w:bCs/>
          <w:color w:val="auto"/>
          <w:szCs w:val="21"/>
          <w:highlight w:val="none"/>
        </w:rPr>
      </w:pPr>
      <w:bookmarkStart w:id="19" w:name="_Toc85359503"/>
      <w:bookmarkStart w:id="20" w:name="_Toc11557"/>
      <w:r>
        <w:rPr>
          <w:rFonts w:hint="eastAsia" w:ascii="宋体" w:hAnsi="宋体" w:cs="Arial"/>
          <w:b/>
          <w:bCs/>
          <w:color w:val="auto"/>
          <w:szCs w:val="21"/>
          <w:highlight w:val="none"/>
        </w:rPr>
        <w:t>七、对本次采购提出询问、质疑、投诉，请按以下方式联系</w:t>
      </w:r>
      <w:bookmarkEnd w:id="19"/>
      <w:bookmarkEnd w:id="20"/>
    </w:p>
    <w:p w14:paraId="293EBCD7">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1.采购人信息</w:t>
      </w:r>
    </w:p>
    <w:p w14:paraId="39834A2A">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名 称：乌鲁木齐市自然资源局</w:t>
      </w:r>
    </w:p>
    <w:p w14:paraId="686F1EAF">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地 址：乌鲁木齐市天山区碱泉街1号</w:t>
      </w:r>
    </w:p>
    <w:p w14:paraId="694A9F9F">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联系方式：0991-4618086</w:t>
      </w:r>
    </w:p>
    <w:p w14:paraId="4431143B">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2.采购代理机构信息</w:t>
      </w:r>
    </w:p>
    <w:p w14:paraId="66E74D70">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名 称：新疆华域建设工程项目管理咨询有限公司</w:t>
      </w:r>
    </w:p>
    <w:p w14:paraId="29DBAD3D">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地 址：乌鲁木齐市五星北路194号新地园大厦13楼</w:t>
      </w:r>
    </w:p>
    <w:p w14:paraId="10DE5816">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联系方式：0991-4630336、18997972745、13179816599</w:t>
      </w:r>
    </w:p>
    <w:p w14:paraId="0525B2B9">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3.项目联系方式</w:t>
      </w:r>
    </w:p>
    <w:p w14:paraId="1B9DD162">
      <w:pPr>
        <w:widowControl/>
        <w:spacing w:line="360" w:lineRule="auto"/>
        <w:ind w:firstLine="420" w:firstLineChars="200"/>
        <w:jc w:val="left"/>
        <w:rPr>
          <w:rFonts w:hint="default" w:eastAsia="宋体"/>
          <w:color w:val="auto"/>
          <w:szCs w:val="21"/>
          <w:highlight w:val="none"/>
          <w:lang w:val="en-US" w:eastAsia="zh-CN"/>
        </w:rPr>
      </w:pPr>
      <w:r>
        <w:rPr>
          <w:rFonts w:hint="eastAsia" w:eastAsia="宋体"/>
          <w:color w:val="auto"/>
          <w:szCs w:val="21"/>
          <w:highlight w:val="none"/>
        </w:rPr>
        <w:t>项目联系人：王鹤宇、李娟娟、姚诗桔</w:t>
      </w:r>
      <w:r>
        <w:rPr>
          <w:rFonts w:hint="eastAsia" w:eastAsia="宋体"/>
          <w:color w:val="auto"/>
          <w:szCs w:val="21"/>
          <w:highlight w:val="none"/>
          <w:lang w:eastAsia="zh-CN"/>
        </w:rPr>
        <w:t>、</w:t>
      </w:r>
      <w:r>
        <w:rPr>
          <w:rFonts w:hint="eastAsia" w:eastAsia="宋体"/>
          <w:color w:val="auto"/>
          <w:szCs w:val="21"/>
          <w:highlight w:val="none"/>
          <w:lang w:val="en-US" w:eastAsia="zh-CN"/>
        </w:rPr>
        <w:t>马红萍</w:t>
      </w:r>
    </w:p>
    <w:p w14:paraId="29FBF304">
      <w:pPr>
        <w:widowControl/>
        <w:spacing w:line="360" w:lineRule="auto"/>
        <w:ind w:firstLine="420" w:firstLineChars="200"/>
        <w:jc w:val="left"/>
        <w:rPr>
          <w:rFonts w:hint="eastAsia" w:eastAsia="宋体"/>
          <w:color w:val="auto"/>
          <w:szCs w:val="21"/>
          <w:highlight w:val="none"/>
        </w:rPr>
      </w:pPr>
      <w:r>
        <w:rPr>
          <w:rFonts w:hint="eastAsia" w:eastAsia="宋体"/>
          <w:color w:val="auto"/>
          <w:szCs w:val="21"/>
          <w:highlight w:val="none"/>
        </w:rPr>
        <w:t>电 话： 0991-4630336、18997972745、13179816599</w:t>
      </w:r>
    </w:p>
    <w:bookmarkEnd w:id="3"/>
    <w:bookmarkEnd w:id="4"/>
    <w:bookmarkEnd w:id="5"/>
    <w:p w14:paraId="3455086B">
      <w:pPr>
        <w:widowControl/>
        <w:tabs>
          <w:tab w:val="left" w:pos="8647"/>
        </w:tabs>
        <w:adjustRightInd w:val="0"/>
        <w:snapToGrid w:val="0"/>
        <w:spacing w:line="360" w:lineRule="auto"/>
        <w:ind w:right="-59"/>
        <w:jc w:val="center"/>
        <w:rPr>
          <w:rFonts w:ascii="宋体" w:hAnsi="宋体" w:cs="宋体"/>
          <w:b/>
          <w:bCs/>
          <w:color w:val="auto"/>
          <w:sz w:val="28"/>
          <w:szCs w:val="21"/>
          <w:highlight w:val="none"/>
        </w:rPr>
      </w:pPr>
      <w:r>
        <w:rPr>
          <w:rFonts w:hint="eastAsia" w:ascii="宋体" w:hAnsi="宋体" w:cs="宋体"/>
          <w:b/>
          <w:bCs/>
          <w:color w:val="auto"/>
          <w:sz w:val="28"/>
          <w:szCs w:val="21"/>
          <w:highlight w:val="none"/>
        </w:rPr>
        <w:br w:type="page"/>
      </w:r>
    </w:p>
    <w:p w14:paraId="2A931956">
      <w:pPr>
        <w:pStyle w:val="4"/>
        <w:tabs>
          <w:tab w:val="right" w:leader="dot" w:pos="9000"/>
        </w:tabs>
        <w:snapToGrid w:val="0"/>
        <w:spacing w:before="0" w:after="0" w:line="360" w:lineRule="auto"/>
        <w:jc w:val="center"/>
        <w:rPr>
          <w:rFonts w:ascii="宋体" w:hAnsi="宋体" w:eastAsia="宋体"/>
          <w:color w:val="auto"/>
          <w:sz w:val="32"/>
          <w:highlight w:val="none"/>
        </w:rPr>
      </w:pPr>
      <w:bookmarkStart w:id="21" w:name="_Toc2187"/>
      <w:bookmarkStart w:id="22" w:name="_Toc85359504"/>
      <w:bookmarkStart w:id="23" w:name="_Toc17093"/>
      <w:bookmarkStart w:id="24" w:name="_Toc30054"/>
      <w:r>
        <w:rPr>
          <w:rFonts w:hint="eastAsia" w:ascii="宋体" w:hAnsi="宋体" w:eastAsia="宋体"/>
          <w:color w:val="auto"/>
          <w:sz w:val="32"/>
          <w:highlight w:val="none"/>
        </w:rPr>
        <w:t>第二部分 投标须知</w:t>
      </w:r>
      <w:bookmarkEnd w:id="21"/>
      <w:bookmarkEnd w:id="22"/>
      <w:bookmarkEnd w:id="23"/>
      <w:bookmarkEnd w:id="24"/>
    </w:p>
    <w:p w14:paraId="34BAB3E2">
      <w:pPr>
        <w:widowControl/>
        <w:tabs>
          <w:tab w:val="left" w:pos="8647"/>
        </w:tabs>
        <w:adjustRightInd w:val="0"/>
        <w:snapToGrid w:val="0"/>
        <w:spacing w:line="360" w:lineRule="auto"/>
        <w:jc w:val="center"/>
        <w:outlineLvl w:val="1"/>
        <w:rPr>
          <w:rFonts w:ascii="宋体" w:hAnsi="宋体" w:cs="宋体"/>
          <w:b/>
          <w:color w:val="auto"/>
          <w:sz w:val="30"/>
          <w:szCs w:val="30"/>
          <w:highlight w:val="none"/>
        </w:rPr>
      </w:pPr>
      <w:bookmarkStart w:id="25" w:name="_Toc26396"/>
      <w:bookmarkStart w:id="26" w:name="_Toc85359505"/>
      <w:r>
        <w:rPr>
          <w:rFonts w:hint="eastAsia" w:ascii="宋体" w:hAnsi="宋体" w:cs="宋体"/>
          <w:b/>
          <w:color w:val="auto"/>
          <w:sz w:val="30"/>
          <w:szCs w:val="30"/>
          <w:highlight w:val="none"/>
        </w:rPr>
        <w:t>前 附 表</w:t>
      </w:r>
      <w:bookmarkEnd w:id="25"/>
      <w:bookmarkEnd w:id="26"/>
    </w:p>
    <w:tbl>
      <w:tblPr>
        <w:tblStyle w:val="43"/>
        <w:tblW w:w="9593"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3"/>
        <w:gridCol w:w="1311"/>
        <w:gridCol w:w="7419"/>
      </w:tblGrid>
      <w:tr w14:paraId="24F054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91" w:hRule="atLeast"/>
          <w:tblHeader/>
          <w:jc w:val="center"/>
        </w:trPr>
        <w:tc>
          <w:tcPr>
            <w:tcW w:w="863" w:type="dxa"/>
            <w:vAlign w:val="center"/>
          </w:tcPr>
          <w:p w14:paraId="6157EFCE">
            <w:pPr>
              <w:adjustRightInd w:val="0"/>
              <w:snapToGrid w:val="0"/>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序号</w:t>
            </w:r>
          </w:p>
        </w:tc>
        <w:tc>
          <w:tcPr>
            <w:tcW w:w="1311" w:type="dxa"/>
            <w:vAlign w:val="center"/>
          </w:tcPr>
          <w:p w14:paraId="71A4B98B">
            <w:pPr>
              <w:adjustRightInd w:val="0"/>
              <w:snapToGrid w:val="0"/>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项   目</w:t>
            </w:r>
          </w:p>
        </w:tc>
        <w:tc>
          <w:tcPr>
            <w:tcW w:w="7419" w:type="dxa"/>
            <w:vAlign w:val="center"/>
          </w:tcPr>
          <w:p w14:paraId="6DA6806B">
            <w:pPr>
              <w:adjustRightInd w:val="0"/>
              <w:snapToGrid w:val="0"/>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内       容</w:t>
            </w:r>
          </w:p>
        </w:tc>
      </w:tr>
      <w:tr w14:paraId="50256E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863" w:type="dxa"/>
            <w:vAlign w:val="center"/>
          </w:tcPr>
          <w:p w14:paraId="747D013D">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p>
        </w:tc>
        <w:tc>
          <w:tcPr>
            <w:tcW w:w="1311" w:type="dxa"/>
            <w:vAlign w:val="center"/>
          </w:tcPr>
          <w:p w14:paraId="04E6051D">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项目名称</w:t>
            </w:r>
          </w:p>
        </w:tc>
        <w:tc>
          <w:tcPr>
            <w:tcW w:w="7419" w:type="dxa"/>
            <w:vAlign w:val="center"/>
          </w:tcPr>
          <w:p w14:paraId="621123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napToGrid w:val="0"/>
                <w:color w:val="auto"/>
                <w:kern w:val="0"/>
                <w:szCs w:val="21"/>
                <w:highlight w:val="none"/>
                <w:lang w:eastAsia="zh-CN"/>
              </w:rPr>
            </w:pPr>
            <w:r>
              <w:rPr>
                <w:rFonts w:hint="eastAsia" w:ascii="宋体" w:hAnsi="宋体" w:cs="宋体"/>
                <w:bCs/>
                <w:snapToGrid w:val="0"/>
                <w:color w:val="auto"/>
                <w:kern w:val="0"/>
                <w:szCs w:val="21"/>
                <w:highlight w:val="none"/>
                <w:lang w:eastAsia="zh-CN"/>
              </w:rPr>
              <w:t>乌鲁木齐市城市规划馆展陈更新服务项目</w:t>
            </w:r>
          </w:p>
        </w:tc>
      </w:tr>
      <w:tr w14:paraId="608394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863" w:type="dxa"/>
            <w:vAlign w:val="center"/>
          </w:tcPr>
          <w:p w14:paraId="174EA5C0">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p>
        </w:tc>
        <w:tc>
          <w:tcPr>
            <w:tcW w:w="1311" w:type="dxa"/>
            <w:vAlign w:val="center"/>
          </w:tcPr>
          <w:p w14:paraId="75D075FD">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实施地点</w:t>
            </w:r>
          </w:p>
        </w:tc>
        <w:tc>
          <w:tcPr>
            <w:tcW w:w="7419" w:type="dxa"/>
            <w:vAlign w:val="center"/>
          </w:tcPr>
          <w:p w14:paraId="55EB12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eastAsia="zh-CN"/>
              </w:rPr>
              <w:t>乌鲁木齐市城市规划馆</w:t>
            </w:r>
            <w:r>
              <w:rPr>
                <w:rFonts w:hint="eastAsia" w:ascii="宋体" w:hAnsi="宋体" w:cs="宋体"/>
                <w:snapToGrid w:val="0"/>
                <w:color w:val="auto"/>
                <w:kern w:val="0"/>
                <w:szCs w:val="21"/>
                <w:highlight w:val="none"/>
                <w:lang w:val="en-US" w:eastAsia="zh-CN"/>
              </w:rPr>
              <w:t>,位于水磨沟区凤起街以北文化中心建筑群西北角</w:t>
            </w:r>
          </w:p>
        </w:tc>
      </w:tr>
      <w:tr w14:paraId="769608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863" w:type="dxa"/>
            <w:vAlign w:val="center"/>
          </w:tcPr>
          <w:p w14:paraId="769FB9E7">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w:t>
            </w:r>
          </w:p>
        </w:tc>
        <w:tc>
          <w:tcPr>
            <w:tcW w:w="1311" w:type="dxa"/>
            <w:vAlign w:val="center"/>
          </w:tcPr>
          <w:p w14:paraId="646B2375">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招标编号</w:t>
            </w:r>
          </w:p>
        </w:tc>
        <w:tc>
          <w:tcPr>
            <w:tcW w:w="7419" w:type="dxa"/>
            <w:vAlign w:val="center"/>
          </w:tcPr>
          <w:p w14:paraId="14BC8F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napToGrid w:val="0"/>
                <w:color w:val="auto"/>
                <w:kern w:val="0"/>
                <w:szCs w:val="21"/>
                <w:highlight w:val="none"/>
                <w:lang w:eastAsia="zh-CN"/>
              </w:rPr>
            </w:pPr>
            <w:r>
              <w:rPr>
                <w:rFonts w:hint="eastAsia" w:ascii="宋体" w:hAnsi="宋体" w:cs="宋体"/>
                <w:snapToGrid w:val="0"/>
                <w:color w:val="auto"/>
                <w:kern w:val="0"/>
                <w:szCs w:val="21"/>
                <w:highlight w:val="none"/>
                <w:lang w:eastAsia="zh-CN"/>
              </w:rPr>
              <w:t>ZFCGHY-20250009（1）</w:t>
            </w:r>
          </w:p>
        </w:tc>
      </w:tr>
      <w:tr w14:paraId="70A145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863" w:type="dxa"/>
            <w:vAlign w:val="center"/>
          </w:tcPr>
          <w:p w14:paraId="04C4E9D7">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w:t>
            </w:r>
          </w:p>
        </w:tc>
        <w:tc>
          <w:tcPr>
            <w:tcW w:w="1311" w:type="dxa"/>
            <w:vAlign w:val="center"/>
          </w:tcPr>
          <w:p w14:paraId="6A443661">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采购方式</w:t>
            </w:r>
          </w:p>
        </w:tc>
        <w:tc>
          <w:tcPr>
            <w:tcW w:w="7419" w:type="dxa"/>
            <w:vAlign w:val="center"/>
          </w:tcPr>
          <w:p w14:paraId="6F4218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公开招标（电子交易）</w:t>
            </w:r>
          </w:p>
        </w:tc>
      </w:tr>
      <w:tr w14:paraId="741BE4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02" w:hRule="atLeast"/>
          <w:jc w:val="center"/>
        </w:trPr>
        <w:tc>
          <w:tcPr>
            <w:tcW w:w="863" w:type="dxa"/>
            <w:vMerge w:val="restart"/>
            <w:vAlign w:val="center"/>
          </w:tcPr>
          <w:p w14:paraId="6ED314E9">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w:t>
            </w:r>
          </w:p>
        </w:tc>
        <w:tc>
          <w:tcPr>
            <w:tcW w:w="1311" w:type="dxa"/>
            <w:vMerge w:val="restart"/>
            <w:vAlign w:val="center"/>
          </w:tcPr>
          <w:p w14:paraId="37205883">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采购内容概述</w:t>
            </w:r>
          </w:p>
        </w:tc>
        <w:tc>
          <w:tcPr>
            <w:tcW w:w="7419" w:type="dxa"/>
            <w:tcBorders>
              <w:bottom w:val="single" w:color="auto" w:sz="4" w:space="0"/>
            </w:tcBorders>
            <w:vAlign w:val="center"/>
          </w:tcPr>
          <w:p w14:paraId="4EBD5B76">
            <w:pPr>
              <w:adjustRightInd w:val="0"/>
              <w:snapToGrid w:val="0"/>
              <w:spacing w:line="360" w:lineRule="auto"/>
              <w:rPr>
                <w:color w:val="auto"/>
                <w:highlight w:val="none"/>
              </w:rPr>
            </w:pPr>
            <w:r>
              <w:rPr>
                <w:rFonts w:hint="eastAsia" w:ascii="宋体" w:hAnsi="宋体" w:eastAsia="宋体" w:cs="Arial"/>
                <w:color w:val="auto"/>
                <w:szCs w:val="21"/>
                <w:highlight w:val="none"/>
                <w:lang w:eastAsia="zh-CN"/>
              </w:rPr>
              <w:t>按照</w:t>
            </w:r>
            <w:r>
              <w:rPr>
                <w:rFonts w:hint="eastAsia" w:ascii="宋体" w:hAnsi="宋体" w:eastAsia="宋体" w:cs="Arial"/>
                <w:color w:val="auto"/>
                <w:szCs w:val="21"/>
                <w:highlight w:val="none"/>
                <w:lang w:val="en-US" w:eastAsia="zh-CN"/>
              </w:rPr>
              <w:t>乌鲁木齐</w:t>
            </w:r>
            <w:r>
              <w:rPr>
                <w:rFonts w:hint="eastAsia" w:ascii="宋体" w:hAnsi="宋体" w:eastAsia="宋体" w:cs="Arial"/>
                <w:color w:val="auto"/>
                <w:szCs w:val="21"/>
                <w:highlight w:val="none"/>
                <w:lang w:eastAsia="zh-CN"/>
              </w:rPr>
              <w:t>市委、市政府重要工作部署，结合《乌鲁木齐市城市规划馆展陈更新大纲》，组织开展乌鲁木齐市城市规划馆展陈更新服务项目，主要包括</w:t>
            </w:r>
            <w:r>
              <w:rPr>
                <w:rFonts w:hint="eastAsia" w:ascii="宋体" w:hAnsi="宋体" w:eastAsia="宋体" w:cs="Arial"/>
                <w:color w:val="auto"/>
                <w:szCs w:val="21"/>
                <w:highlight w:val="none"/>
                <w:lang w:val="en-US" w:eastAsia="zh-CN"/>
              </w:rPr>
              <w:t>但不限于</w:t>
            </w:r>
            <w:r>
              <w:rPr>
                <w:rFonts w:hint="eastAsia" w:ascii="宋体" w:hAnsi="宋体" w:eastAsia="宋体" w:cs="Arial"/>
                <w:color w:val="auto"/>
                <w:szCs w:val="21"/>
                <w:highlight w:val="none"/>
                <w:lang w:eastAsia="zh-CN"/>
              </w:rPr>
              <w:t>展览内容组织、方案设计、施工图设计（包括深化设计及现场服务等）、视频影片制作、沙盘模型展品制作更新和替换、布展实施、装饰装修工程（包含各项专业工程）</w:t>
            </w:r>
            <w:r>
              <w:rPr>
                <w:rFonts w:hint="eastAsia" w:ascii="宋体" w:hAnsi="宋体" w:cs="Arial"/>
                <w:color w:val="auto"/>
                <w:szCs w:val="21"/>
                <w:highlight w:val="none"/>
                <w:lang w:val="en-US" w:eastAsia="zh-CN"/>
              </w:rPr>
              <w:t>、消防</w:t>
            </w:r>
            <w:r>
              <w:rPr>
                <w:rFonts w:hint="eastAsia" w:ascii="宋体" w:hAnsi="宋体" w:eastAsia="宋体" w:cs="Arial"/>
                <w:color w:val="auto"/>
                <w:szCs w:val="21"/>
                <w:highlight w:val="none"/>
                <w:lang w:eastAsia="zh-CN"/>
              </w:rPr>
              <w:t>、软硬件设施设备采购安装，试运行、竣工验收、售后服务（含质保期内的保修服务）等设计施工</w:t>
            </w:r>
            <w:r>
              <w:rPr>
                <w:rFonts w:hint="eastAsia" w:ascii="宋体" w:hAnsi="宋体" w:cs="Arial"/>
                <w:color w:val="auto"/>
                <w:szCs w:val="21"/>
                <w:highlight w:val="none"/>
                <w:lang w:val="en-US" w:eastAsia="zh-CN"/>
              </w:rPr>
              <w:t>采购</w:t>
            </w:r>
            <w:r>
              <w:rPr>
                <w:rFonts w:hint="eastAsia" w:ascii="宋体" w:hAnsi="宋体" w:eastAsia="宋体" w:cs="Arial"/>
                <w:color w:val="auto"/>
                <w:szCs w:val="21"/>
                <w:highlight w:val="none"/>
                <w:lang w:eastAsia="zh-CN"/>
              </w:rPr>
              <w:t>一体化的全部工作。具体详见采购文件第三章项目技术规范和服务要求。</w:t>
            </w:r>
          </w:p>
        </w:tc>
      </w:tr>
      <w:tr w14:paraId="078182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24" w:hRule="atLeast"/>
          <w:jc w:val="center"/>
        </w:trPr>
        <w:tc>
          <w:tcPr>
            <w:tcW w:w="863" w:type="dxa"/>
            <w:vMerge w:val="continue"/>
            <w:vAlign w:val="center"/>
          </w:tcPr>
          <w:p w14:paraId="4BFB1C3F">
            <w:pPr>
              <w:adjustRightInd w:val="0"/>
              <w:snapToGrid w:val="0"/>
              <w:spacing w:line="276" w:lineRule="auto"/>
              <w:jc w:val="center"/>
              <w:rPr>
                <w:rFonts w:hint="eastAsia" w:ascii="宋体" w:hAnsi="宋体" w:cs="宋体"/>
                <w:snapToGrid w:val="0"/>
                <w:color w:val="auto"/>
                <w:kern w:val="0"/>
                <w:szCs w:val="21"/>
                <w:highlight w:val="none"/>
              </w:rPr>
            </w:pPr>
          </w:p>
        </w:tc>
        <w:tc>
          <w:tcPr>
            <w:tcW w:w="1311" w:type="dxa"/>
            <w:vMerge w:val="continue"/>
            <w:vAlign w:val="center"/>
          </w:tcPr>
          <w:p w14:paraId="1B176724">
            <w:pPr>
              <w:adjustRightInd w:val="0"/>
              <w:snapToGrid w:val="0"/>
              <w:spacing w:line="276" w:lineRule="auto"/>
              <w:jc w:val="center"/>
              <w:rPr>
                <w:rFonts w:hint="eastAsia" w:ascii="宋体" w:hAnsi="宋体" w:cs="宋体"/>
                <w:b/>
                <w:snapToGrid w:val="0"/>
                <w:color w:val="auto"/>
                <w:kern w:val="0"/>
                <w:szCs w:val="21"/>
                <w:highlight w:val="none"/>
              </w:rPr>
            </w:pPr>
          </w:p>
        </w:tc>
        <w:tc>
          <w:tcPr>
            <w:tcW w:w="7419" w:type="dxa"/>
            <w:tcBorders>
              <w:top w:val="single" w:color="auto" w:sz="4" w:space="0"/>
            </w:tcBorders>
            <w:vAlign w:val="center"/>
          </w:tcPr>
          <w:p w14:paraId="52B00830">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具体工作范围包括且不限于：①设计（展览内容组织</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方案设计、</w:t>
            </w:r>
            <w:r>
              <w:rPr>
                <w:rFonts w:hint="eastAsia" w:ascii="宋体" w:hAnsi="宋体" w:cs="宋体"/>
                <w:snapToGrid w:val="0"/>
                <w:color w:val="auto"/>
                <w:kern w:val="0"/>
                <w:szCs w:val="21"/>
                <w:highlight w:val="none"/>
              </w:rPr>
              <w:t>施工图设计、竣工图编制</w:t>
            </w:r>
            <w:r>
              <w:rPr>
                <w:rFonts w:hint="eastAsia" w:ascii="宋体" w:hAnsi="宋体" w:cs="宋体"/>
                <w:snapToGrid w:val="0"/>
                <w:color w:val="auto"/>
                <w:kern w:val="0"/>
                <w:szCs w:val="21"/>
                <w:highlight w:val="none"/>
                <w:lang w:val="en-US" w:eastAsia="zh-CN"/>
              </w:rPr>
              <w:t>等</w:t>
            </w:r>
            <w:r>
              <w:rPr>
                <w:rFonts w:hint="eastAsia" w:ascii="宋体" w:hAnsi="宋体" w:cs="宋体"/>
                <w:snapToGrid w:val="0"/>
                <w:color w:val="auto"/>
                <w:kern w:val="0"/>
                <w:szCs w:val="21"/>
                <w:highlight w:val="none"/>
              </w:rPr>
              <w:t>）；②设备和材料（包括</w:t>
            </w:r>
            <w:r>
              <w:rPr>
                <w:rFonts w:hint="eastAsia" w:ascii="宋体" w:hAnsi="宋体" w:cs="宋体"/>
                <w:snapToGrid w:val="0"/>
                <w:color w:val="auto"/>
                <w:kern w:val="0"/>
                <w:szCs w:val="21"/>
                <w:highlight w:val="none"/>
                <w:lang w:val="en-US" w:eastAsia="zh-CN"/>
              </w:rPr>
              <w:t>各类设备、</w:t>
            </w:r>
            <w:r>
              <w:rPr>
                <w:rFonts w:hint="eastAsia" w:ascii="宋体" w:hAnsi="宋体" w:cs="宋体"/>
                <w:snapToGrid w:val="0"/>
                <w:color w:val="auto"/>
                <w:kern w:val="0"/>
                <w:szCs w:val="21"/>
                <w:highlight w:val="none"/>
              </w:rPr>
              <w:t>专用工具、备品备件</w:t>
            </w:r>
            <w:r>
              <w:rPr>
                <w:rFonts w:hint="eastAsia" w:ascii="宋体" w:hAnsi="宋体" w:cs="宋体"/>
                <w:snapToGrid w:val="0"/>
                <w:color w:val="auto"/>
                <w:kern w:val="0"/>
                <w:szCs w:val="21"/>
                <w:highlight w:val="none"/>
                <w:lang w:val="en-US" w:eastAsia="zh-CN"/>
              </w:rPr>
              <w:t>等</w:t>
            </w:r>
            <w:r>
              <w:rPr>
                <w:rFonts w:hint="eastAsia" w:ascii="宋体" w:hAnsi="宋体" w:cs="宋体"/>
                <w:snapToGrid w:val="0"/>
                <w:color w:val="auto"/>
                <w:kern w:val="0"/>
                <w:szCs w:val="21"/>
                <w:highlight w:val="none"/>
              </w:rPr>
              <w:t>）的采购、运输、装卸、保管、安装、调试、试验和考核；③对采购的设备的管理、监造、催交、装卸、保管、安装、调试、试验、清洗、吹扫、性能考核等相关工作；④包括建筑、装修、安装工程（含相关的检验、检测</w:t>
            </w:r>
            <w:r>
              <w:rPr>
                <w:rFonts w:hint="eastAsia" w:ascii="宋体" w:hAnsi="宋体" w:cs="宋体"/>
                <w:snapToGrid w:val="0"/>
                <w:color w:val="auto"/>
                <w:kern w:val="0"/>
                <w:szCs w:val="21"/>
                <w:highlight w:val="none"/>
                <w:lang w:val="en-US" w:eastAsia="zh-CN"/>
              </w:rPr>
              <w:t>等</w:t>
            </w:r>
            <w:r>
              <w:rPr>
                <w:rFonts w:hint="eastAsia"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室内空间布局的改造及部分工程</w:t>
            </w:r>
            <w:r>
              <w:rPr>
                <w:rFonts w:hint="eastAsia" w:ascii="宋体" w:hAnsi="宋体" w:cs="宋体"/>
                <w:snapToGrid w:val="0"/>
                <w:color w:val="auto"/>
                <w:kern w:val="0"/>
                <w:szCs w:val="21"/>
                <w:highlight w:val="none"/>
              </w:rPr>
              <w:t>的拆除；⑤技术服务、技术指导、技术资料、所有图纸、操作说明的提供、开车保运等服务（费用已包含在合同总价内）；⑥拆除改造；垃圾外运、洞口恢复等全部的工程工作内容；⑦执行合同过程中发现的任何漏项和短缺，在工作清单、发货清单中并未列入且确实是</w:t>
            </w:r>
            <w:r>
              <w:rPr>
                <w:rFonts w:hint="eastAsia" w:ascii="宋体" w:hAnsi="宋体" w:cs="宋体"/>
                <w:snapToGrid w:val="0"/>
                <w:color w:val="auto"/>
                <w:kern w:val="0"/>
                <w:szCs w:val="21"/>
                <w:highlight w:val="none"/>
                <w:lang w:eastAsia="zh-CN"/>
              </w:rPr>
              <w:t>中标人</w:t>
            </w:r>
            <w:r>
              <w:rPr>
                <w:rFonts w:hint="eastAsia" w:ascii="宋体" w:hAnsi="宋体" w:cs="宋体"/>
                <w:snapToGrid w:val="0"/>
                <w:color w:val="auto"/>
                <w:kern w:val="0"/>
                <w:szCs w:val="21"/>
                <w:highlight w:val="none"/>
              </w:rPr>
              <w:t>工作、供货范围中应该有的，并且是满足合同技术对本项目的性能保证值要求所必须的全部的设备、材料、技术资料、专用工具、备品备件、技术服务、技术指导、运行及维护手册编制等；⑧</w:t>
            </w:r>
            <w:r>
              <w:rPr>
                <w:rFonts w:hint="eastAsia" w:ascii="宋体" w:hAnsi="宋体" w:cs="宋体"/>
                <w:snapToGrid w:val="0"/>
                <w:color w:val="auto"/>
                <w:kern w:val="0"/>
                <w:szCs w:val="21"/>
                <w:highlight w:val="none"/>
                <w:lang w:val="en-US" w:eastAsia="zh-CN"/>
              </w:rPr>
              <w:t>完成</w:t>
            </w:r>
            <w:r>
              <w:rPr>
                <w:rFonts w:hint="eastAsia" w:ascii="宋体" w:hAnsi="宋体" w:cs="宋体"/>
                <w:snapToGrid w:val="0"/>
                <w:color w:val="auto"/>
                <w:kern w:val="0"/>
                <w:szCs w:val="21"/>
                <w:highlight w:val="none"/>
              </w:rPr>
              <w:t>安评、环评、能评、职业卫生评价、安全设施设计审查及政府部门要求的其他手续的办理工作，并完成环保、安全、消防、质量、档案等专项验收，项目竣工结算审计及整体竣工验收；⑨施工期间根据</w:t>
            </w:r>
            <w:r>
              <w:rPr>
                <w:rFonts w:hint="eastAsia" w:ascii="宋体" w:hAnsi="宋体" w:cs="宋体"/>
                <w:snapToGrid w:val="0"/>
                <w:color w:val="auto"/>
                <w:kern w:val="0"/>
                <w:szCs w:val="21"/>
                <w:highlight w:val="none"/>
                <w:lang w:eastAsia="zh-CN"/>
              </w:rPr>
              <w:t>采购人</w:t>
            </w:r>
            <w:r>
              <w:rPr>
                <w:rFonts w:hint="eastAsia" w:ascii="宋体" w:hAnsi="宋体" w:cs="宋体"/>
                <w:snapToGrid w:val="0"/>
                <w:color w:val="auto"/>
                <w:kern w:val="0"/>
                <w:szCs w:val="21"/>
                <w:highlight w:val="none"/>
              </w:rPr>
              <w:t>提供的水、电、气接口，自行安装线路及计量表并支付使用费用。除上述工作内容之外，凡与完成本</w:t>
            </w:r>
            <w:r>
              <w:rPr>
                <w:rFonts w:hint="eastAsia" w:ascii="宋体" w:hAnsi="宋体" w:cs="宋体"/>
                <w:snapToGrid w:val="0"/>
                <w:color w:val="auto"/>
                <w:kern w:val="0"/>
                <w:szCs w:val="21"/>
                <w:highlight w:val="none"/>
                <w:lang w:val="en-US" w:eastAsia="zh-CN"/>
              </w:rPr>
              <w:t>项目</w:t>
            </w:r>
            <w:r>
              <w:rPr>
                <w:rFonts w:hint="eastAsia" w:ascii="宋体" w:hAnsi="宋体" w:cs="宋体"/>
                <w:snapToGrid w:val="0"/>
                <w:color w:val="auto"/>
                <w:kern w:val="0"/>
                <w:szCs w:val="21"/>
                <w:highlight w:val="none"/>
              </w:rPr>
              <w:t>相关工程范围内的原有建构筑物、设备、管道等设施的拆除、改造、恢复以及完成本工程所需要临时设施、本工程与其他相邻的衔接工程等均由中标方负责。</w:t>
            </w:r>
          </w:p>
        </w:tc>
      </w:tr>
      <w:tr w14:paraId="2CFBE7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863" w:type="dxa"/>
            <w:vAlign w:val="center"/>
          </w:tcPr>
          <w:p w14:paraId="74B77DBF">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w:t>
            </w:r>
          </w:p>
        </w:tc>
        <w:tc>
          <w:tcPr>
            <w:tcW w:w="1311" w:type="dxa"/>
            <w:vAlign w:val="center"/>
          </w:tcPr>
          <w:p w14:paraId="286FECBC">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实施期</w:t>
            </w:r>
          </w:p>
        </w:tc>
        <w:tc>
          <w:tcPr>
            <w:tcW w:w="7419" w:type="dxa"/>
            <w:vAlign w:val="center"/>
          </w:tcPr>
          <w:p w14:paraId="3896C131">
            <w:pPr>
              <w:widowControl/>
              <w:spacing w:line="360" w:lineRule="auto"/>
              <w:jc w:val="left"/>
              <w:rPr>
                <w:rFonts w:hint="eastAsia" w:ascii="宋体" w:hAnsi="宋体"/>
                <w:color w:val="auto"/>
                <w:szCs w:val="21"/>
                <w:highlight w:val="none"/>
              </w:rPr>
            </w:pPr>
            <w:r>
              <w:rPr>
                <w:rFonts w:hint="eastAsia" w:ascii="宋体" w:hAnsi="宋体"/>
                <w:color w:val="auto"/>
                <w:szCs w:val="21"/>
                <w:highlight w:val="none"/>
              </w:rPr>
              <w:t>合同履行期限：直至合同质保期满。</w:t>
            </w:r>
          </w:p>
          <w:p w14:paraId="434D96CB">
            <w:pPr>
              <w:widowControl/>
              <w:spacing w:line="360" w:lineRule="auto"/>
              <w:jc w:val="left"/>
              <w:rPr>
                <w:rFonts w:ascii="宋体" w:hAnsi="宋体" w:cs="宋体"/>
                <w:bCs/>
                <w:color w:val="auto"/>
                <w:kern w:val="0"/>
                <w:sz w:val="24"/>
                <w:highlight w:val="none"/>
              </w:rPr>
            </w:pPr>
            <w:r>
              <w:rPr>
                <w:rFonts w:hint="eastAsia" w:ascii="宋体" w:hAnsi="宋体"/>
                <w:color w:val="auto"/>
                <w:szCs w:val="21"/>
                <w:highlight w:val="none"/>
              </w:rPr>
              <w:t>项目工期：最晚于2025年</w:t>
            </w:r>
            <w:r>
              <w:rPr>
                <w:rFonts w:hint="eastAsia" w:ascii="宋体" w:hAnsi="宋体"/>
                <w:color w:val="auto"/>
                <w:szCs w:val="21"/>
                <w:highlight w:val="none"/>
                <w:lang w:eastAsia="zh-CN"/>
              </w:rPr>
              <w:t>7月31日前</w:t>
            </w:r>
            <w:r>
              <w:rPr>
                <w:rFonts w:hint="eastAsia" w:ascii="宋体" w:hAnsi="宋体"/>
                <w:color w:val="auto"/>
                <w:szCs w:val="21"/>
                <w:highlight w:val="none"/>
              </w:rPr>
              <w:t>完工并具备初步验收条件（具体实施期以合同为准）。投标人须按期完成本次采购项目的策划、设计、布展</w:t>
            </w:r>
            <w:r>
              <w:rPr>
                <w:rFonts w:hint="eastAsia" w:ascii="宋体" w:hAnsi="宋体"/>
                <w:color w:val="auto"/>
                <w:szCs w:val="21"/>
                <w:highlight w:val="none"/>
                <w:lang w:val="en-US" w:eastAsia="zh-CN"/>
              </w:rPr>
              <w:t>施工</w:t>
            </w:r>
            <w:r>
              <w:rPr>
                <w:rFonts w:hint="eastAsia" w:ascii="宋体" w:hAnsi="宋体"/>
                <w:color w:val="auto"/>
                <w:szCs w:val="21"/>
                <w:highlight w:val="none"/>
              </w:rPr>
              <w:t>、试运行</w:t>
            </w:r>
            <w:r>
              <w:rPr>
                <w:rFonts w:hint="eastAsia" w:ascii="宋体" w:hAnsi="宋体"/>
                <w:color w:val="auto"/>
                <w:szCs w:val="21"/>
                <w:highlight w:val="none"/>
                <w:lang w:val="en-US" w:eastAsia="zh-CN"/>
              </w:rPr>
              <w:t>等</w:t>
            </w:r>
            <w:r>
              <w:rPr>
                <w:rFonts w:hint="eastAsia" w:ascii="宋体" w:hAnsi="宋体"/>
                <w:color w:val="auto"/>
                <w:szCs w:val="21"/>
                <w:highlight w:val="none"/>
              </w:rPr>
              <w:t>，直至验收合格，交付采购人正常投入使用。</w:t>
            </w:r>
          </w:p>
        </w:tc>
      </w:tr>
      <w:tr w14:paraId="79A3AB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863" w:type="dxa"/>
            <w:vAlign w:val="center"/>
          </w:tcPr>
          <w:p w14:paraId="79783B34">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7</w:t>
            </w:r>
          </w:p>
        </w:tc>
        <w:tc>
          <w:tcPr>
            <w:tcW w:w="1311" w:type="dxa"/>
            <w:vAlign w:val="center"/>
          </w:tcPr>
          <w:p w14:paraId="44E5E188">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▲采购预算</w:t>
            </w:r>
          </w:p>
        </w:tc>
        <w:tc>
          <w:tcPr>
            <w:tcW w:w="7419" w:type="dxa"/>
            <w:vAlign w:val="center"/>
          </w:tcPr>
          <w:p w14:paraId="165BB1CF">
            <w:pPr>
              <w:widowControl/>
              <w:spacing w:line="360" w:lineRule="auto"/>
              <w:jc w:val="left"/>
              <w:rPr>
                <w:rFonts w:hint="eastAsia" w:ascii="宋体" w:hAnsi="宋体" w:eastAsia="宋体" w:cs="宋体"/>
                <w:bCs/>
                <w:snapToGrid w:val="0"/>
                <w:color w:val="auto"/>
                <w:kern w:val="0"/>
                <w:szCs w:val="21"/>
                <w:highlight w:val="none"/>
                <w:lang w:val="en-US" w:eastAsia="zh-CN"/>
              </w:rPr>
            </w:pPr>
            <w:r>
              <w:rPr>
                <w:rFonts w:hint="eastAsia" w:ascii="宋体" w:hAnsi="宋体" w:cs="宋体"/>
                <w:bCs/>
                <w:snapToGrid w:val="0"/>
                <w:color w:val="auto"/>
                <w:kern w:val="0"/>
                <w:szCs w:val="21"/>
                <w:highlight w:val="none"/>
              </w:rPr>
              <w:t>采购计划文号：</w:t>
            </w:r>
            <w:r>
              <w:rPr>
                <w:rFonts w:hint="eastAsia" w:ascii="宋体" w:hAnsi="宋体" w:cs="宋体"/>
                <w:bCs/>
                <w:snapToGrid w:val="0"/>
                <w:color w:val="auto"/>
                <w:kern w:val="0"/>
                <w:szCs w:val="21"/>
                <w:highlight w:val="none"/>
                <w:lang w:val="en-US" w:eastAsia="zh-CN"/>
              </w:rPr>
              <w:t>/</w:t>
            </w:r>
          </w:p>
          <w:p w14:paraId="3D85C689">
            <w:pPr>
              <w:widowControl/>
              <w:spacing w:line="360" w:lineRule="auto"/>
              <w:jc w:val="left"/>
              <w:rPr>
                <w:rFonts w:hint="eastAsia" w:ascii="宋体" w:hAnsi="宋体" w:eastAsia="宋体" w:cs="宋体"/>
                <w:bCs/>
                <w:snapToGrid w:val="0"/>
                <w:color w:val="auto"/>
                <w:kern w:val="0"/>
                <w:szCs w:val="21"/>
                <w:highlight w:val="none"/>
                <w:lang w:eastAsia="zh-CN"/>
              </w:rPr>
            </w:pPr>
            <w:r>
              <w:rPr>
                <w:rFonts w:hint="eastAsia" w:ascii="宋体" w:hAnsi="宋体" w:cs="宋体"/>
                <w:bCs/>
                <w:snapToGrid w:val="0"/>
                <w:color w:val="auto"/>
                <w:kern w:val="0"/>
                <w:szCs w:val="21"/>
                <w:highlight w:val="none"/>
              </w:rPr>
              <w:t>本项目</w:t>
            </w:r>
            <w:r>
              <w:rPr>
                <w:rFonts w:hint="eastAsia" w:ascii="宋体" w:hAnsi="宋体" w:cs="宋体"/>
                <w:bCs/>
                <w:snapToGrid w:val="0"/>
                <w:color w:val="auto"/>
                <w:kern w:val="0"/>
                <w:szCs w:val="21"/>
                <w:highlight w:val="none"/>
                <w:lang w:val="en-US" w:eastAsia="zh-CN"/>
              </w:rPr>
              <w:t>为</w:t>
            </w:r>
            <w:r>
              <w:rPr>
                <w:rFonts w:hint="eastAsia" w:ascii="宋体" w:hAnsi="宋体" w:cs="宋体"/>
                <w:bCs/>
                <w:snapToGrid w:val="0"/>
                <w:color w:val="auto"/>
                <w:kern w:val="0"/>
                <w:szCs w:val="21"/>
                <w:highlight w:val="none"/>
              </w:rPr>
              <w:t>非专门面向中小企业采购</w:t>
            </w:r>
            <w:r>
              <w:rPr>
                <w:rFonts w:hint="eastAsia" w:ascii="宋体" w:hAnsi="宋体" w:cs="宋体"/>
                <w:bCs/>
                <w:snapToGrid w:val="0"/>
                <w:color w:val="auto"/>
                <w:kern w:val="0"/>
                <w:szCs w:val="21"/>
                <w:highlight w:val="none"/>
                <w:lang w:eastAsia="zh-CN"/>
              </w:rPr>
              <w:t>。</w:t>
            </w:r>
          </w:p>
          <w:p w14:paraId="1F5A3EDB">
            <w:pPr>
              <w:widowControl/>
              <w:spacing w:line="360" w:lineRule="auto"/>
              <w:jc w:val="left"/>
              <w:rPr>
                <w:rFonts w:ascii="宋体" w:hAnsi="宋体" w:cs="宋体"/>
                <w:bCs/>
                <w:snapToGrid w:val="0"/>
                <w:color w:val="auto"/>
                <w:kern w:val="0"/>
                <w:szCs w:val="21"/>
                <w:highlight w:val="none"/>
              </w:rPr>
            </w:pPr>
            <w:r>
              <w:rPr>
                <w:rFonts w:hint="eastAsia" w:ascii="宋体" w:hAnsi="宋体" w:cs="宋体"/>
                <w:bCs/>
                <w:snapToGrid w:val="0"/>
                <w:color w:val="auto"/>
                <w:kern w:val="0"/>
                <w:szCs w:val="21"/>
                <w:highlight w:val="none"/>
              </w:rPr>
              <w:t>采购预算总费用</w:t>
            </w:r>
            <w:r>
              <w:rPr>
                <w:rFonts w:hint="eastAsia" w:ascii="宋体" w:hAnsi="宋体" w:cs="宋体"/>
                <w:bCs/>
                <w:snapToGrid w:val="0"/>
                <w:color w:val="auto"/>
                <w:kern w:val="0"/>
                <w:szCs w:val="21"/>
                <w:highlight w:val="none"/>
                <w:lang w:val="en-US" w:eastAsia="zh-CN"/>
              </w:rPr>
              <w:t>4500</w:t>
            </w:r>
            <w:r>
              <w:rPr>
                <w:rFonts w:hint="eastAsia" w:ascii="宋体" w:hAnsi="宋体" w:cs="宋体"/>
                <w:bCs/>
                <w:snapToGrid w:val="0"/>
                <w:color w:val="auto"/>
                <w:kern w:val="0"/>
                <w:szCs w:val="21"/>
                <w:highlight w:val="none"/>
              </w:rPr>
              <w:t>万元，采购预算即最高限价。投标报价超过最高限价的投标无效。</w:t>
            </w:r>
          </w:p>
          <w:p w14:paraId="0D1219F3">
            <w:pPr>
              <w:widowControl/>
              <w:spacing w:line="360" w:lineRule="auto"/>
              <w:jc w:val="left"/>
              <w:rPr>
                <w:color w:val="auto"/>
                <w:highlight w:val="none"/>
              </w:rPr>
            </w:pPr>
            <w:r>
              <w:rPr>
                <w:rFonts w:hint="eastAsia" w:ascii="宋体" w:hAnsi="宋体" w:cs="宋体"/>
                <w:bCs/>
                <w:snapToGrid w:val="0"/>
                <w:color w:val="auto"/>
                <w:kern w:val="0"/>
                <w:szCs w:val="21"/>
                <w:highlight w:val="none"/>
              </w:rPr>
              <w:t>本次采购标的为服务，对应的中小企业划分标准所属行业是：</w:t>
            </w:r>
            <w:r>
              <w:rPr>
                <w:rFonts w:hint="eastAsia" w:ascii="宋体" w:hAnsi="宋体" w:cs="宋体"/>
                <w:bCs/>
                <w:snapToGrid w:val="0"/>
                <w:color w:val="auto"/>
                <w:kern w:val="0"/>
                <w:szCs w:val="21"/>
                <w:highlight w:val="none"/>
                <w:lang w:eastAsia="zh-CN"/>
              </w:rPr>
              <w:t>其他未列明行业</w:t>
            </w:r>
            <w:r>
              <w:rPr>
                <w:rFonts w:hint="eastAsia" w:ascii="宋体" w:hAnsi="宋体" w:cs="宋体"/>
                <w:bCs/>
                <w:snapToGrid w:val="0"/>
                <w:color w:val="auto"/>
                <w:kern w:val="0"/>
                <w:szCs w:val="21"/>
                <w:highlight w:val="none"/>
              </w:rPr>
              <w:t>。</w:t>
            </w:r>
          </w:p>
        </w:tc>
      </w:tr>
      <w:tr w14:paraId="656EC3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863" w:type="dxa"/>
            <w:vAlign w:val="center"/>
          </w:tcPr>
          <w:p w14:paraId="6471EA11">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8</w:t>
            </w:r>
          </w:p>
        </w:tc>
        <w:tc>
          <w:tcPr>
            <w:tcW w:w="1311" w:type="dxa"/>
            <w:vAlign w:val="center"/>
          </w:tcPr>
          <w:p w14:paraId="06B77FE6">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资格审查方式</w:t>
            </w:r>
          </w:p>
        </w:tc>
        <w:tc>
          <w:tcPr>
            <w:tcW w:w="7419" w:type="dxa"/>
            <w:vAlign w:val="center"/>
          </w:tcPr>
          <w:p w14:paraId="744B4D35">
            <w:pPr>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资格后审。</w:t>
            </w:r>
          </w:p>
          <w:p w14:paraId="2EA14CD1">
            <w:pPr>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资格后审是指在开标</w:t>
            </w:r>
            <w:r>
              <w:rPr>
                <w:rFonts w:hint="eastAsia" w:ascii="宋体" w:hAnsi="宋体" w:cs="宋体"/>
                <w:snapToGrid w:val="0"/>
                <w:color w:val="auto"/>
                <w:kern w:val="0"/>
                <w:szCs w:val="21"/>
                <w:highlight w:val="none"/>
                <w:lang w:val="en-US" w:eastAsia="zh-CN"/>
              </w:rPr>
              <w:t>现场</w:t>
            </w:r>
            <w:r>
              <w:rPr>
                <w:rFonts w:hint="eastAsia" w:ascii="宋体" w:hAnsi="宋体" w:cs="宋体"/>
                <w:snapToGrid w:val="0"/>
                <w:color w:val="auto"/>
                <w:kern w:val="0"/>
                <w:szCs w:val="21"/>
                <w:highlight w:val="none"/>
              </w:rPr>
              <w:t>由采购人/采购代理机构根据采购文件的规定对供应商进行的资格审查。</w:t>
            </w:r>
          </w:p>
        </w:tc>
      </w:tr>
      <w:tr w14:paraId="6D4E21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2" w:hRule="atLeast"/>
          <w:jc w:val="center"/>
        </w:trPr>
        <w:tc>
          <w:tcPr>
            <w:tcW w:w="863" w:type="dxa"/>
            <w:vAlign w:val="center"/>
          </w:tcPr>
          <w:p w14:paraId="22651055">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9</w:t>
            </w:r>
          </w:p>
        </w:tc>
        <w:tc>
          <w:tcPr>
            <w:tcW w:w="1311" w:type="dxa"/>
            <w:vAlign w:val="center"/>
          </w:tcPr>
          <w:p w14:paraId="70F79662">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招标答疑</w:t>
            </w:r>
          </w:p>
        </w:tc>
        <w:tc>
          <w:tcPr>
            <w:tcW w:w="7419" w:type="dxa"/>
            <w:vAlign w:val="center"/>
          </w:tcPr>
          <w:p w14:paraId="35A39213">
            <w:pPr>
              <w:adjustRightInd w:val="0"/>
              <w:snapToGrid w:val="0"/>
              <w:spacing w:line="360" w:lineRule="auto"/>
              <w:ind w:right="105" w:rightChars="5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现场踏勘：2025年3月28日11时00分（北京时间），采购人统一组织对项目现场和其周围环境进行现场踏勘并召开答疑会，投标人需在踏勘现场前1天将需要采购人答疑的问题发至代理机构。（如发生时间调整等情况，具体事项另行通知）。</w:t>
            </w:r>
          </w:p>
          <w:p w14:paraId="32DC5145">
            <w:pPr>
              <w:adjustRightInd w:val="0"/>
              <w:snapToGrid w:val="0"/>
              <w:spacing w:line="360" w:lineRule="auto"/>
              <w:ind w:right="105" w:rightChars="50"/>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集合地点：乌鲁木齐市城市规划馆</w:t>
            </w:r>
          </w:p>
          <w:p w14:paraId="40E5327C">
            <w:pPr>
              <w:adjustRightInd w:val="0"/>
              <w:snapToGrid w:val="0"/>
              <w:spacing w:line="360" w:lineRule="auto"/>
              <w:ind w:right="105" w:rightChars="5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联系人：王鹤宇 联系电话：18997972745</w:t>
            </w:r>
          </w:p>
          <w:p w14:paraId="1CFA1657">
            <w:pPr>
              <w:adjustRightInd w:val="0"/>
              <w:snapToGrid w:val="0"/>
              <w:spacing w:line="360" w:lineRule="auto"/>
              <w:ind w:right="105" w:rightChars="50"/>
              <w:rPr>
                <w:rFonts w:ascii="宋体" w:hAnsi="宋体" w:cs="宋体"/>
                <w:snapToGrid w:val="0"/>
                <w:color w:val="auto"/>
                <w:kern w:val="0"/>
                <w:szCs w:val="21"/>
                <w:highlight w:val="none"/>
              </w:rPr>
            </w:pPr>
            <w:r>
              <w:rPr>
                <w:rFonts w:hint="eastAsia" w:ascii="宋体" w:hAnsi="宋体" w:cs="宋体"/>
                <w:bCs/>
                <w:color w:val="auto"/>
                <w:szCs w:val="21"/>
                <w:highlight w:val="none"/>
                <w:lang w:val="en-US" w:eastAsia="zh-CN"/>
              </w:rPr>
              <w:t>勘察现场所产生的费用由投标人自行承担，勘察期间所发生的人身伤害及财产损失由投标人自行负责。</w:t>
            </w:r>
          </w:p>
        </w:tc>
      </w:tr>
      <w:tr w14:paraId="66A613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863" w:type="dxa"/>
            <w:vAlign w:val="center"/>
          </w:tcPr>
          <w:p w14:paraId="55B9BD81">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10</w:t>
            </w:r>
          </w:p>
        </w:tc>
        <w:tc>
          <w:tcPr>
            <w:tcW w:w="1311" w:type="dxa"/>
            <w:vAlign w:val="center"/>
          </w:tcPr>
          <w:p w14:paraId="52E169D7">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采购文件的澄清与修改</w:t>
            </w:r>
          </w:p>
        </w:tc>
        <w:tc>
          <w:tcPr>
            <w:tcW w:w="7419" w:type="dxa"/>
            <w:vAlign w:val="center"/>
          </w:tcPr>
          <w:p w14:paraId="7156731B">
            <w:pPr>
              <w:adjustRightInd w:val="0"/>
              <w:snapToGrid w:val="0"/>
              <w:spacing w:line="360" w:lineRule="auto"/>
              <w:ind w:right="105" w:rightChars="50"/>
              <w:rPr>
                <w:rFonts w:ascii="宋体" w:hAnsi="宋体" w:cs="宋体"/>
                <w:color w:val="auto"/>
                <w:szCs w:val="21"/>
                <w:highlight w:val="none"/>
              </w:rPr>
            </w:pPr>
            <w:r>
              <w:rPr>
                <w:rFonts w:hint="eastAsia" w:ascii="宋体" w:hAnsi="宋体" w:cs="宋体"/>
                <w:bCs/>
                <w:color w:val="auto"/>
                <w:szCs w:val="21"/>
                <w:highlight w:val="none"/>
              </w:rPr>
              <w:t>根据</w:t>
            </w:r>
            <w:r>
              <w:rPr>
                <w:rFonts w:hint="eastAsia" w:ascii="宋体" w:hAnsi="宋体" w:cs="宋体"/>
                <w:color w:val="auto"/>
                <w:szCs w:val="21"/>
                <w:highlight w:val="none"/>
              </w:rPr>
              <w:t>财政部第87号令《政府采购货物和服务招标投标管理办法》</w:t>
            </w:r>
          </w:p>
          <w:p w14:paraId="46FF32BA">
            <w:pPr>
              <w:adjustRightInd w:val="0"/>
              <w:snapToGrid w:val="0"/>
              <w:spacing w:line="360" w:lineRule="auto"/>
              <w:ind w:right="105" w:rightChars="50"/>
              <w:rPr>
                <w:rFonts w:ascii="宋体" w:hAnsi="宋体" w:cs="宋体"/>
                <w:bCs/>
                <w:color w:val="auto"/>
                <w:szCs w:val="21"/>
                <w:highlight w:val="none"/>
              </w:rPr>
            </w:pPr>
            <w:r>
              <w:rPr>
                <w:rFonts w:hint="eastAsia" w:ascii="宋体" w:hAnsi="宋体" w:cs="宋体"/>
                <w:bCs/>
                <w:color w:val="auto"/>
                <w:szCs w:val="21"/>
                <w:highlight w:val="none"/>
              </w:rPr>
              <w:t>第二十七条采购人对已发出的采购文件进行必要澄清或者修改的，应当在采购文件要求提交投标文件截止时间十五日前，在财政部门指定的政府采购信息发布媒体上发布更正公告，并以书面形式通知所有采购文件收受人。该澄清或者修改的内容为采购文件的组成部分。</w:t>
            </w:r>
          </w:p>
          <w:p w14:paraId="4C0BFA21">
            <w:pPr>
              <w:adjustRightInd w:val="0"/>
              <w:snapToGrid w:val="0"/>
              <w:spacing w:line="360" w:lineRule="auto"/>
              <w:ind w:right="105" w:rightChars="50"/>
              <w:rPr>
                <w:rFonts w:ascii="宋体" w:hAnsi="宋体" w:cs="宋体"/>
                <w:snapToGrid w:val="0"/>
                <w:color w:val="auto"/>
                <w:kern w:val="0"/>
                <w:szCs w:val="21"/>
                <w:highlight w:val="none"/>
              </w:rPr>
            </w:pPr>
            <w:r>
              <w:rPr>
                <w:rFonts w:hint="eastAsia" w:ascii="宋体" w:hAnsi="宋体" w:cs="宋体"/>
                <w:bCs/>
                <w:color w:val="auto"/>
                <w:szCs w:val="21"/>
                <w:highlight w:val="none"/>
              </w:rPr>
              <w:t>第二十八条采购人可以视采购具体情况，延长投标截止时间和开标时间，但至少应当在采购文件要求提交投标文件的截止时间三日前，将变更时间书面通知所有采购文件收受人，并在财政部门指定的政府采购信息发布媒体上发布变更公告。</w:t>
            </w:r>
          </w:p>
        </w:tc>
      </w:tr>
      <w:tr w14:paraId="7BF336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863" w:type="dxa"/>
            <w:vAlign w:val="center"/>
          </w:tcPr>
          <w:p w14:paraId="4F595490">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11</w:t>
            </w:r>
          </w:p>
        </w:tc>
        <w:tc>
          <w:tcPr>
            <w:tcW w:w="1311" w:type="dxa"/>
            <w:vAlign w:val="center"/>
          </w:tcPr>
          <w:p w14:paraId="0FEEF83D">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bCs/>
                <w:color w:val="auto"/>
                <w:szCs w:val="21"/>
                <w:highlight w:val="none"/>
              </w:rPr>
              <w:t>投标文件的编制</w:t>
            </w:r>
          </w:p>
        </w:tc>
        <w:tc>
          <w:tcPr>
            <w:tcW w:w="7419" w:type="dxa"/>
            <w:vAlign w:val="center"/>
          </w:tcPr>
          <w:p w14:paraId="0CBCC15B">
            <w:pPr>
              <w:adjustRightInd w:val="0"/>
              <w:snapToGrid w:val="0"/>
              <w:spacing w:line="300" w:lineRule="auto"/>
              <w:rPr>
                <w:rFonts w:ascii="宋体" w:hAnsi="宋体" w:cs="宋体"/>
                <w:snapToGrid w:val="0"/>
                <w:color w:val="auto"/>
                <w:kern w:val="0"/>
                <w:szCs w:val="21"/>
                <w:highlight w:val="none"/>
              </w:rPr>
            </w:pPr>
            <w:r>
              <w:rPr>
                <w:rFonts w:hint="eastAsia" w:ascii="宋体" w:hAnsi="宋体" w:cs="宋体"/>
                <w:color w:val="auto"/>
                <w:szCs w:val="21"/>
                <w:highlight w:val="none"/>
              </w:rPr>
              <w:t>供应商应先安装“政采云电子交易客户端”，并按照本采购文件和“政采云平台”的要求，通过“政采云电子交易客户端”编制并加密投标文件。</w:t>
            </w:r>
          </w:p>
        </w:tc>
      </w:tr>
      <w:tr w14:paraId="4F87A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863" w:type="dxa"/>
            <w:vAlign w:val="center"/>
          </w:tcPr>
          <w:p w14:paraId="42967F9C">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12</w:t>
            </w:r>
          </w:p>
        </w:tc>
        <w:tc>
          <w:tcPr>
            <w:tcW w:w="1311" w:type="dxa"/>
            <w:vAlign w:val="center"/>
          </w:tcPr>
          <w:p w14:paraId="6A5829BE">
            <w:pPr>
              <w:adjustRightInd w:val="0"/>
              <w:snapToGrid w:val="0"/>
              <w:spacing w:line="276" w:lineRule="auto"/>
              <w:jc w:val="center"/>
              <w:rPr>
                <w:rFonts w:ascii="宋体" w:hAnsi="宋体" w:cs="宋体"/>
                <w:b/>
                <w:bCs/>
                <w:color w:val="auto"/>
                <w:szCs w:val="21"/>
                <w:highlight w:val="none"/>
              </w:rPr>
            </w:pPr>
            <w:r>
              <w:rPr>
                <w:rFonts w:hint="eastAsia" w:ascii="宋体" w:hAnsi="宋体" w:cs="宋体"/>
                <w:b/>
                <w:bCs/>
                <w:color w:val="auto"/>
                <w:szCs w:val="21"/>
                <w:highlight w:val="none"/>
              </w:rPr>
              <w:t>投标文件的组成与签章</w:t>
            </w:r>
          </w:p>
        </w:tc>
        <w:tc>
          <w:tcPr>
            <w:tcW w:w="7419" w:type="dxa"/>
            <w:vAlign w:val="center"/>
          </w:tcPr>
          <w:p w14:paraId="137C2F1E">
            <w:pPr>
              <w:adjustRightInd w:val="0"/>
              <w:snapToGrid w:val="0"/>
              <w:spacing w:line="300" w:lineRule="auto"/>
              <w:rPr>
                <w:rFonts w:ascii="宋体" w:hAnsi="宋体" w:cs="宋体"/>
                <w:color w:val="auto"/>
                <w:szCs w:val="21"/>
                <w:highlight w:val="none"/>
              </w:rPr>
            </w:pPr>
            <w:r>
              <w:rPr>
                <w:rFonts w:hint="eastAsia" w:ascii="宋体" w:hAnsi="宋体" w:cs="宋体"/>
                <w:color w:val="auto"/>
                <w:szCs w:val="21"/>
                <w:highlight w:val="none"/>
              </w:rPr>
              <w:t>完整的《投标文件》由“资格文件”、“商务报价文件”和“商务技术文件”三个部分组成。</w:t>
            </w:r>
          </w:p>
          <w:p w14:paraId="5FAB0511">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1.电子投标文件必须有电子签章（凡涉及“签字或盖章”处可以签字）；</w:t>
            </w:r>
          </w:p>
          <w:p w14:paraId="47B92561">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2.开标后，相关信息记录确认、澄清说明、回复等内容，电子签章、或者签章后上传相关文件，均认可；</w:t>
            </w:r>
          </w:p>
          <w:p w14:paraId="34DAEA12">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3.政采云系统平台有新的操作流程的，按其规定。</w:t>
            </w:r>
          </w:p>
        </w:tc>
      </w:tr>
      <w:tr w14:paraId="46206D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863" w:type="dxa"/>
            <w:vAlign w:val="center"/>
          </w:tcPr>
          <w:p w14:paraId="4DC6211A">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13</w:t>
            </w:r>
          </w:p>
        </w:tc>
        <w:tc>
          <w:tcPr>
            <w:tcW w:w="1311" w:type="dxa"/>
            <w:vAlign w:val="center"/>
          </w:tcPr>
          <w:p w14:paraId="53478399">
            <w:pPr>
              <w:adjustRightInd w:val="0"/>
              <w:snapToGrid w:val="0"/>
              <w:spacing w:line="276" w:lineRule="auto"/>
              <w:jc w:val="center"/>
              <w:rPr>
                <w:rFonts w:ascii="宋体" w:hAnsi="宋体" w:cs="宋体"/>
                <w:b/>
                <w:bCs/>
                <w:color w:val="auto"/>
                <w:szCs w:val="21"/>
                <w:highlight w:val="none"/>
              </w:rPr>
            </w:pPr>
            <w:r>
              <w:rPr>
                <w:rFonts w:hint="eastAsia" w:ascii="宋体" w:hAnsi="宋体" w:cs="宋体"/>
                <w:b/>
                <w:bCs/>
                <w:color w:val="auto"/>
                <w:szCs w:val="21"/>
                <w:highlight w:val="none"/>
              </w:rPr>
              <w:t>投标文件的形式</w:t>
            </w:r>
          </w:p>
        </w:tc>
        <w:tc>
          <w:tcPr>
            <w:tcW w:w="7419" w:type="dxa"/>
            <w:vAlign w:val="center"/>
          </w:tcPr>
          <w:p w14:paraId="7DD4D624">
            <w:pPr>
              <w:spacing w:line="360" w:lineRule="auto"/>
              <w:rPr>
                <w:rFonts w:ascii="宋体" w:hAnsi="宋体" w:cs="宋体"/>
                <w:color w:val="auto"/>
                <w:szCs w:val="21"/>
                <w:highlight w:val="none"/>
              </w:rPr>
            </w:pPr>
            <w:r>
              <w:rPr>
                <w:rFonts w:hint="eastAsia" w:ascii="宋体" w:hAnsi="宋体" w:cs="宋体"/>
                <w:color w:val="auto"/>
                <w:szCs w:val="21"/>
                <w:highlight w:val="none"/>
              </w:rPr>
              <w:t>☑电子投标文件（包括“电子加密投标文件”和“备份投标文件”，在投标文件编制完成后同时生成）；</w:t>
            </w:r>
          </w:p>
          <w:p w14:paraId="732D3DA8">
            <w:pPr>
              <w:spacing w:line="360" w:lineRule="auto"/>
              <w:rPr>
                <w:rFonts w:ascii="宋体" w:hAnsi="宋体" w:cs="宋体"/>
                <w:color w:val="auto"/>
                <w:szCs w:val="21"/>
                <w:highlight w:val="none"/>
              </w:rPr>
            </w:pPr>
            <w:r>
              <w:rPr>
                <w:rFonts w:hint="eastAsia" w:ascii="宋体" w:hAnsi="宋体" w:cs="宋体"/>
                <w:color w:val="auto"/>
                <w:szCs w:val="21"/>
                <w:highlight w:val="none"/>
              </w:rPr>
              <w:t>（1）“电子加密投标文件”是指通过“政采云电子交易客户端”完成投标文件编制后生成并加密的数据电文形式的投标文件。</w:t>
            </w:r>
          </w:p>
          <w:p w14:paraId="6E0764AB">
            <w:pPr>
              <w:adjustRightInd w:val="0"/>
              <w:snapToGrid w:val="0"/>
              <w:spacing w:line="300" w:lineRule="auto"/>
              <w:rPr>
                <w:rFonts w:ascii="宋体" w:hAnsi="宋体" w:cs="宋体"/>
                <w:color w:val="auto"/>
                <w:szCs w:val="21"/>
                <w:highlight w:val="none"/>
              </w:rPr>
            </w:pPr>
            <w:r>
              <w:rPr>
                <w:rFonts w:hint="eastAsia" w:ascii="宋体" w:hAnsi="宋体" w:cs="宋体"/>
                <w:color w:val="auto"/>
                <w:szCs w:val="21"/>
                <w:highlight w:val="none"/>
              </w:rPr>
              <w:t>（2）“备份投标文件”是指与“电子加密投标文件”同时生成的数据电文形式的电子文件（备份标书），其他方式编制的备份投标文件视为无效备份投标文件。</w:t>
            </w:r>
          </w:p>
        </w:tc>
      </w:tr>
      <w:tr w14:paraId="5C8F50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25" w:hRule="atLeast"/>
          <w:jc w:val="center"/>
        </w:trPr>
        <w:tc>
          <w:tcPr>
            <w:tcW w:w="863" w:type="dxa"/>
            <w:vAlign w:val="center"/>
          </w:tcPr>
          <w:p w14:paraId="3AFE7C0E">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14</w:t>
            </w:r>
          </w:p>
        </w:tc>
        <w:tc>
          <w:tcPr>
            <w:tcW w:w="1311" w:type="dxa"/>
            <w:vAlign w:val="center"/>
          </w:tcPr>
          <w:p w14:paraId="571C8C37">
            <w:pPr>
              <w:adjustRightInd w:val="0"/>
              <w:snapToGrid w:val="0"/>
              <w:spacing w:line="276" w:lineRule="auto"/>
              <w:jc w:val="center"/>
              <w:rPr>
                <w:rFonts w:ascii="Century Gothic" w:hAnsi="Century Gothic"/>
                <w:bCs/>
                <w:caps/>
                <w:color w:val="auto"/>
                <w:sz w:val="20"/>
                <w:szCs w:val="20"/>
                <w:highlight w:val="none"/>
              </w:rPr>
            </w:pPr>
            <w:r>
              <w:rPr>
                <w:rFonts w:hint="eastAsia" w:ascii="宋体" w:hAnsi="宋体" w:cs="宋体"/>
                <w:b/>
                <w:bCs/>
                <w:color w:val="auto"/>
                <w:szCs w:val="21"/>
                <w:highlight w:val="none"/>
              </w:rPr>
              <w:t>投标文件份数</w:t>
            </w:r>
          </w:p>
        </w:tc>
        <w:tc>
          <w:tcPr>
            <w:tcW w:w="7419" w:type="dxa"/>
            <w:vAlign w:val="center"/>
          </w:tcPr>
          <w:p w14:paraId="340939AD">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（1）“电子加密投标文件”：在线上传提交一份。</w:t>
            </w:r>
          </w:p>
          <w:p w14:paraId="1A852C68">
            <w:pPr>
              <w:adjustRightInd w:val="0"/>
              <w:snapToGrid w:val="0"/>
              <w:spacing w:line="360" w:lineRule="auto"/>
              <w:rPr>
                <w:b/>
                <w:color w:val="auto"/>
                <w:highlight w:val="none"/>
              </w:rPr>
            </w:pPr>
            <w:r>
              <w:rPr>
                <w:rFonts w:hint="eastAsia" w:ascii="宋体" w:hAnsi="宋体" w:cs="宋体"/>
                <w:bCs/>
                <w:color w:val="auto"/>
                <w:szCs w:val="21"/>
                <w:highlight w:val="none"/>
              </w:rPr>
              <w:t>（2）“备份投标文件”：密封包装后确保在投标截止时间前直接提交或者以快递方式（EMS/顺丰邮寄形式）送达一份（地址：</w:t>
            </w:r>
            <w:r>
              <w:rPr>
                <w:rFonts w:hint="eastAsia" w:eastAsia="宋体"/>
                <w:color w:val="auto"/>
                <w:szCs w:val="21"/>
                <w:highlight w:val="none"/>
              </w:rPr>
              <w:t>乌鲁木齐市五星北路194号新地园大厦13楼</w:t>
            </w:r>
            <w:r>
              <w:rPr>
                <w:rFonts w:hint="eastAsia" w:ascii="宋体" w:hAnsi="宋体" w:cs="宋体"/>
                <w:bCs/>
                <w:color w:val="auto"/>
                <w:szCs w:val="21"/>
                <w:highlight w:val="none"/>
              </w:rPr>
              <w:t xml:space="preserve">  联系人：</w:t>
            </w:r>
            <w:r>
              <w:rPr>
                <w:rFonts w:hint="eastAsia" w:ascii="宋体" w:hAnsi="宋体" w:cs="宋体"/>
                <w:bCs/>
                <w:color w:val="auto"/>
                <w:szCs w:val="21"/>
                <w:highlight w:val="none"/>
                <w:lang w:val="en-US" w:eastAsia="zh-CN"/>
              </w:rPr>
              <w:t>王鹤宇</w:t>
            </w:r>
            <w:r>
              <w:rPr>
                <w:rFonts w:hint="eastAsia" w:ascii="宋体" w:hAnsi="宋体" w:cs="宋体"/>
                <w:bCs/>
                <w:color w:val="auto"/>
                <w:szCs w:val="21"/>
                <w:highlight w:val="none"/>
              </w:rPr>
              <w:t>，联系电话：</w:t>
            </w:r>
            <w:r>
              <w:rPr>
                <w:rFonts w:hint="eastAsia" w:ascii="宋体" w:hAnsi="宋体" w:cs="宋体"/>
                <w:bCs/>
                <w:color w:val="auto"/>
                <w:szCs w:val="21"/>
                <w:highlight w:val="none"/>
                <w:lang w:val="en-US" w:eastAsia="zh-CN"/>
              </w:rPr>
              <w:t>18997972745</w:t>
            </w:r>
            <w:r>
              <w:rPr>
                <w:rFonts w:hint="eastAsia" w:ascii="宋体" w:hAnsi="宋体" w:cs="宋体"/>
                <w:bCs/>
                <w:color w:val="auto"/>
                <w:szCs w:val="21"/>
                <w:highlight w:val="none"/>
              </w:rPr>
              <w:t>）。（自选邮寄形式）</w:t>
            </w:r>
          </w:p>
        </w:tc>
      </w:tr>
      <w:tr w14:paraId="1FA212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863" w:type="dxa"/>
            <w:vMerge w:val="restart"/>
            <w:vAlign w:val="center"/>
          </w:tcPr>
          <w:p w14:paraId="60E04EC9">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15</w:t>
            </w:r>
          </w:p>
        </w:tc>
        <w:tc>
          <w:tcPr>
            <w:tcW w:w="1311" w:type="dxa"/>
            <w:vMerge w:val="restart"/>
            <w:vAlign w:val="center"/>
          </w:tcPr>
          <w:p w14:paraId="322696B8">
            <w:pPr>
              <w:adjustRightInd w:val="0"/>
              <w:snapToGrid w:val="0"/>
              <w:spacing w:line="276" w:lineRule="auto"/>
              <w:jc w:val="center"/>
              <w:rPr>
                <w:rFonts w:ascii="宋体" w:hAnsi="宋体" w:cs="宋体"/>
                <w:b/>
                <w:bCs/>
                <w:color w:val="auto"/>
                <w:szCs w:val="21"/>
                <w:highlight w:val="none"/>
              </w:rPr>
            </w:pPr>
            <w:r>
              <w:rPr>
                <w:rFonts w:hint="eastAsia" w:ascii="宋体" w:hAnsi="宋体" w:cs="宋体"/>
                <w:b/>
                <w:bCs/>
                <w:color w:val="auto"/>
                <w:szCs w:val="21"/>
                <w:highlight w:val="none"/>
              </w:rPr>
              <w:t>投标文件的上传和递交</w:t>
            </w:r>
          </w:p>
        </w:tc>
        <w:tc>
          <w:tcPr>
            <w:tcW w:w="7419" w:type="dxa"/>
            <w:vAlign w:val="center"/>
          </w:tcPr>
          <w:p w14:paraId="7BD035FB">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1.电子加密投标文件：投标文件制作完成并生成加密标书，在投标截止时间前，供应商需将加密的投标文件上传至政采云平台，在开标时间开始后30分钟内，解密投标文件。</w:t>
            </w:r>
          </w:p>
          <w:p w14:paraId="321F2E2F">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a.供应商未能在投标截止时间前成功上传电子加密投标文件的投标无效。</w:t>
            </w:r>
          </w:p>
          <w:p w14:paraId="316318DB">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b.供应商成功上传电子加密投标文件后，可自行打印投标文件接收回执。</w:t>
            </w:r>
          </w:p>
        </w:tc>
      </w:tr>
      <w:tr w14:paraId="491DD1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863" w:type="dxa"/>
            <w:vMerge w:val="continue"/>
            <w:vAlign w:val="center"/>
          </w:tcPr>
          <w:p w14:paraId="04B1DD01">
            <w:pPr>
              <w:adjustRightInd w:val="0"/>
              <w:snapToGrid w:val="0"/>
              <w:spacing w:line="276" w:lineRule="auto"/>
              <w:jc w:val="center"/>
              <w:rPr>
                <w:rFonts w:ascii="宋体" w:hAnsi="宋体" w:cs="宋体"/>
                <w:snapToGrid w:val="0"/>
                <w:color w:val="auto"/>
                <w:kern w:val="0"/>
                <w:szCs w:val="21"/>
                <w:highlight w:val="none"/>
              </w:rPr>
            </w:pPr>
          </w:p>
        </w:tc>
        <w:tc>
          <w:tcPr>
            <w:tcW w:w="1311" w:type="dxa"/>
            <w:vMerge w:val="continue"/>
            <w:vAlign w:val="center"/>
          </w:tcPr>
          <w:p w14:paraId="47D2322F">
            <w:pPr>
              <w:adjustRightInd w:val="0"/>
              <w:snapToGrid w:val="0"/>
              <w:spacing w:line="276" w:lineRule="auto"/>
              <w:jc w:val="center"/>
              <w:rPr>
                <w:rFonts w:ascii="宋体" w:hAnsi="宋体" w:cs="宋体"/>
                <w:b/>
                <w:bCs/>
                <w:color w:val="auto"/>
                <w:szCs w:val="21"/>
                <w:highlight w:val="none"/>
              </w:rPr>
            </w:pPr>
          </w:p>
        </w:tc>
        <w:tc>
          <w:tcPr>
            <w:tcW w:w="7419" w:type="dxa"/>
            <w:vAlign w:val="center"/>
          </w:tcPr>
          <w:p w14:paraId="4235D6CA">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2.备份投标文件：供应商确保在投标截止时间前，将备份投标文件通过快递形式寄达采购代理机构处，以便标书解密异常时应急使用。</w:t>
            </w:r>
          </w:p>
          <w:p w14:paraId="7860EBB1">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a.备份投标文件递交要求：供应商须将备份投标文件以光盘或U盘形式放在密封袋中，密封后并在密封袋上注明投标项目名称、投标单位名称并加盖公章。未密封包装或者逾期邮寄送达的“备份投标文件”将不予接收。</w:t>
            </w:r>
          </w:p>
          <w:p w14:paraId="5292CE38">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b.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14:paraId="7F8FDB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863" w:type="dxa"/>
            <w:vAlign w:val="center"/>
          </w:tcPr>
          <w:p w14:paraId="30C5A250">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16</w:t>
            </w:r>
          </w:p>
        </w:tc>
        <w:tc>
          <w:tcPr>
            <w:tcW w:w="1311" w:type="dxa"/>
            <w:vAlign w:val="center"/>
          </w:tcPr>
          <w:p w14:paraId="77D3E697">
            <w:pPr>
              <w:adjustRightInd w:val="0"/>
              <w:snapToGrid w:val="0"/>
              <w:spacing w:line="276" w:lineRule="auto"/>
              <w:jc w:val="center"/>
              <w:rPr>
                <w:rFonts w:ascii="宋体" w:hAnsi="宋体" w:cs="宋体"/>
                <w:b/>
                <w:bCs/>
                <w:color w:val="auto"/>
                <w:szCs w:val="21"/>
                <w:highlight w:val="none"/>
              </w:rPr>
            </w:pPr>
            <w:r>
              <w:rPr>
                <w:rFonts w:hint="eastAsia" w:ascii="宋体" w:hAnsi="宋体" w:cs="宋体"/>
                <w:b/>
                <w:bCs/>
                <w:color w:val="auto"/>
                <w:szCs w:val="21"/>
                <w:highlight w:val="none"/>
              </w:rPr>
              <w:t>电子加密投标文件的解密和异常情况处理</w:t>
            </w:r>
          </w:p>
        </w:tc>
        <w:tc>
          <w:tcPr>
            <w:tcW w:w="7419" w:type="dxa"/>
            <w:vAlign w:val="center"/>
          </w:tcPr>
          <w:p w14:paraId="06461606">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（1）开标后，采购代理机构将向各投标供应商发出“电子加密投标文件”的解密通知，各投标供应商代表应当在接到解密通知后30分钟内自行完成“电子加密投标文件”的在线解密。</w:t>
            </w:r>
          </w:p>
          <w:p w14:paraId="793B8DCA">
            <w:pP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2）通过“政采云平台”成功上传递交的“电子加密投标文件”无法按时解密，投标供应商如按规定递交了“备份投标文件”的，以“备份投标文件”为依据（由采购代理机构按“政采云平台”操作规范将“备份投标文件”上传至“政采云平台”，上传成功后，“电子加密投标文件”自动失效），否则视为投标文件撤回。</w:t>
            </w:r>
          </w:p>
          <w:p w14:paraId="319E4054">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（3）投标截止时间前，投标供应商仅递交了“备份投标文件”而未将电子加密投标文件上传至“政采云平台”的，投标无效。</w:t>
            </w:r>
          </w:p>
        </w:tc>
      </w:tr>
      <w:tr w14:paraId="33C388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863" w:type="dxa"/>
            <w:vAlign w:val="center"/>
          </w:tcPr>
          <w:p w14:paraId="4B34182D">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17</w:t>
            </w:r>
          </w:p>
        </w:tc>
        <w:tc>
          <w:tcPr>
            <w:tcW w:w="1311" w:type="dxa"/>
            <w:vAlign w:val="center"/>
          </w:tcPr>
          <w:p w14:paraId="3CF4477C">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投标文件截止时间</w:t>
            </w:r>
          </w:p>
        </w:tc>
        <w:tc>
          <w:tcPr>
            <w:tcW w:w="7419" w:type="dxa"/>
            <w:vAlign w:val="center"/>
          </w:tcPr>
          <w:p w14:paraId="55EEC859">
            <w:pPr>
              <w:adjustRightInd w:val="0"/>
              <w:snapToGrid w:val="0"/>
              <w:spacing w:line="360" w:lineRule="auto"/>
              <w:rPr>
                <w:rFonts w:hint="default" w:ascii="宋体" w:hAnsi="宋体" w:cs="宋体"/>
                <w:snapToGrid w:val="0"/>
                <w:color w:val="auto"/>
                <w:kern w:val="0"/>
                <w:szCs w:val="21"/>
                <w:highlight w:val="yellow"/>
                <w:lang w:val="en-US"/>
              </w:rPr>
            </w:pPr>
            <w:r>
              <w:rPr>
                <w:rFonts w:hint="eastAsia" w:ascii="宋体" w:hAnsi="宋体" w:cs="宋体"/>
                <w:snapToGrid w:val="0"/>
                <w:color w:val="auto"/>
                <w:kern w:val="0"/>
                <w:szCs w:val="21"/>
                <w:highlight w:val="yellow"/>
              </w:rPr>
              <w:t>时间：</w:t>
            </w:r>
            <w:r>
              <w:rPr>
                <w:rFonts w:hint="eastAsia" w:ascii="宋体" w:hAnsi="宋体" w:cs="宋体"/>
                <w:snapToGrid w:val="0"/>
                <w:color w:val="auto"/>
                <w:kern w:val="0"/>
                <w:szCs w:val="21"/>
                <w:highlight w:val="yellow"/>
                <w:lang w:eastAsia="zh-CN"/>
              </w:rPr>
              <w:t>2025</w:t>
            </w:r>
            <w:r>
              <w:rPr>
                <w:rFonts w:hint="eastAsia" w:ascii="宋体" w:hAnsi="宋体" w:cs="宋体"/>
                <w:snapToGrid w:val="0"/>
                <w:color w:val="auto"/>
                <w:kern w:val="0"/>
                <w:szCs w:val="21"/>
                <w:highlight w:val="yellow"/>
              </w:rPr>
              <w:t>年</w:t>
            </w:r>
            <w:r>
              <w:rPr>
                <w:rFonts w:hint="eastAsia" w:ascii="宋体" w:hAnsi="宋体" w:cs="宋体"/>
                <w:snapToGrid w:val="0"/>
                <w:color w:val="auto"/>
                <w:kern w:val="0"/>
                <w:szCs w:val="21"/>
                <w:highlight w:val="yellow"/>
                <w:lang w:val="en-US" w:eastAsia="zh-CN"/>
              </w:rPr>
              <w:t>4</w:t>
            </w:r>
            <w:r>
              <w:rPr>
                <w:rFonts w:hint="eastAsia" w:ascii="宋体" w:hAnsi="宋体" w:cs="宋体"/>
                <w:snapToGrid w:val="0"/>
                <w:color w:val="auto"/>
                <w:kern w:val="0"/>
                <w:szCs w:val="21"/>
                <w:highlight w:val="yellow"/>
                <w:lang w:eastAsia="zh-CN"/>
              </w:rPr>
              <w:t>月</w:t>
            </w:r>
            <w:r>
              <w:rPr>
                <w:rFonts w:hint="eastAsia" w:ascii="宋体" w:hAnsi="宋体" w:cs="宋体"/>
                <w:snapToGrid w:val="0"/>
                <w:color w:val="auto"/>
                <w:kern w:val="0"/>
                <w:szCs w:val="21"/>
                <w:highlight w:val="yellow"/>
                <w:lang w:val="en-US" w:eastAsia="zh-CN"/>
              </w:rPr>
              <w:t>23</w:t>
            </w:r>
            <w:r>
              <w:rPr>
                <w:rFonts w:hint="eastAsia" w:ascii="宋体" w:hAnsi="宋体" w:cs="宋体"/>
                <w:snapToGrid w:val="0"/>
                <w:color w:val="auto"/>
                <w:kern w:val="0"/>
                <w:szCs w:val="21"/>
                <w:highlight w:val="yellow"/>
                <w:lang w:eastAsia="zh-CN"/>
              </w:rPr>
              <w:t>日</w:t>
            </w:r>
            <w:r>
              <w:rPr>
                <w:rFonts w:hint="eastAsia" w:ascii="宋体" w:hAnsi="宋体" w:cs="宋体"/>
                <w:snapToGrid w:val="0"/>
                <w:color w:val="auto"/>
                <w:kern w:val="0"/>
                <w:szCs w:val="21"/>
                <w:highlight w:val="yellow"/>
              </w:rPr>
              <w:t xml:space="preserve"> </w:t>
            </w:r>
            <w:r>
              <w:rPr>
                <w:rFonts w:hint="eastAsia" w:ascii="宋体" w:hAnsi="宋体" w:cs="宋体"/>
                <w:snapToGrid w:val="0"/>
                <w:color w:val="auto"/>
                <w:kern w:val="0"/>
                <w:szCs w:val="21"/>
                <w:highlight w:val="yellow"/>
                <w:lang w:val="en-US" w:eastAsia="zh-CN"/>
              </w:rPr>
              <w:t xml:space="preserve"> 11</w:t>
            </w:r>
            <w:r>
              <w:rPr>
                <w:rFonts w:hint="eastAsia" w:ascii="宋体" w:hAnsi="宋体" w:cs="宋体"/>
                <w:snapToGrid w:val="0"/>
                <w:color w:val="auto"/>
                <w:kern w:val="0"/>
                <w:szCs w:val="21"/>
                <w:highlight w:val="yellow"/>
              </w:rPr>
              <w:t>：</w:t>
            </w:r>
            <w:r>
              <w:rPr>
                <w:rFonts w:hint="eastAsia" w:ascii="宋体" w:hAnsi="宋体" w:cs="宋体"/>
                <w:snapToGrid w:val="0"/>
                <w:color w:val="auto"/>
                <w:kern w:val="0"/>
                <w:szCs w:val="21"/>
                <w:highlight w:val="yellow"/>
                <w:lang w:val="en-US" w:eastAsia="zh-CN"/>
              </w:rPr>
              <w:t>00 时（北京时间）</w:t>
            </w:r>
          </w:p>
        </w:tc>
      </w:tr>
      <w:tr w14:paraId="770229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2" w:hRule="atLeast"/>
          <w:jc w:val="center"/>
        </w:trPr>
        <w:tc>
          <w:tcPr>
            <w:tcW w:w="863" w:type="dxa"/>
            <w:vAlign w:val="center"/>
          </w:tcPr>
          <w:p w14:paraId="30076B4C">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18</w:t>
            </w:r>
          </w:p>
        </w:tc>
        <w:tc>
          <w:tcPr>
            <w:tcW w:w="1311" w:type="dxa"/>
            <w:vAlign w:val="center"/>
          </w:tcPr>
          <w:p w14:paraId="54670E56">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开标时间及地点</w:t>
            </w:r>
          </w:p>
        </w:tc>
        <w:tc>
          <w:tcPr>
            <w:tcW w:w="7419" w:type="dxa"/>
            <w:vAlign w:val="center"/>
          </w:tcPr>
          <w:p w14:paraId="3ACC2583">
            <w:pPr>
              <w:adjustRightInd w:val="0"/>
              <w:snapToGrid w:val="0"/>
              <w:spacing w:line="360" w:lineRule="auto"/>
              <w:rPr>
                <w:rFonts w:hint="default" w:ascii="宋体" w:hAnsi="宋体" w:cs="宋体"/>
                <w:snapToGrid w:val="0"/>
                <w:color w:val="auto"/>
                <w:kern w:val="0"/>
                <w:szCs w:val="21"/>
                <w:highlight w:val="yellow"/>
                <w:lang w:val="en-US" w:eastAsia="zh-CN"/>
              </w:rPr>
            </w:pPr>
            <w:r>
              <w:rPr>
                <w:rFonts w:hint="eastAsia" w:ascii="宋体" w:hAnsi="宋体" w:cs="宋体"/>
                <w:snapToGrid w:val="0"/>
                <w:color w:val="auto"/>
                <w:kern w:val="0"/>
                <w:szCs w:val="21"/>
                <w:highlight w:val="yellow"/>
                <w:lang w:eastAsia="zh-CN"/>
              </w:rPr>
              <w:t>时间：2025年</w:t>
            </w:r>
            <w:r>
              <w:rPr>
                <w:rFonts w:hint="eastAsia" w:ascii="宋体" w:hAnsi="宋体" w:cs="宋体"/>
                <w:snapToGrid w:val="0"/>
                <w:color w:val="auto"/>
                <w:kern w:val="0"/>
                <w:szCs w:val="21"/>
                <w:highlight w:val="yellow"/>
                <w:lang w:val="en-US" w:eastAsia="zh-CN"/>
              </w:rPr>
              <w:t>4</w:t>
            </w:r>
            <w:r>
              <w:rPr>
                <w:rFonts w:hint="eastAsia" w:ascii="宋体" w:hAnsi="宋体" w:cs="宋体"/>
                <w:snapToGrid w:val="0"/>
                <w:color w:val="auto"/>
                <w:kern w:val="0"/>
                <w:szCs w:val="21"/>
                <w:highlight w:val="yellow"/>
                <w:lang w:eastAsia="zh-CN"/>
              </w:rPr>
              <w:t>月</w:t>
            </w:r>
            <w:r>
              <w:rPr>
                <w:rFonts w:hint="eastAsia" w:ascii="宋体" w:hAnsi="宋体" w:cs="宋体"/>
                <w:snapToGrid w:val="0"/>
                <w:color w:val="auto"/>
                <w:kern w:val="0"/>
                <w:szCs w:val="21"/>
                <w:highlight w:val="yellow"/>
                <w:lang w:val="en-US" w:eastAsia="zh-CN"/>
              </w:rPr>
              <w:t>23</w:t>
            </w:r>
            <w:r>
              <w:rPr>
                <w:rFonts w:hint="eastAsia" w:ascii="宋体" w:hAnsi="宋体" w:cs="宋体"/>
                <w:snapToGrid w:val="0"/>
                <w:color w:val="auto"/>
                <w:kern w:val="0"/>
                <w:szCs w:val="21"/>
                <w:highlight w:val="yellow"/>
                <w:lang w:eastAsia="zh-CN"/>
              </w:rPr>
              <w:t xml:space="preserve">日 </w:t>
            </w:r>
            <w:r>
              <w:rPr>
                <w:rFonts w:hint="eastAsia" w:ascii="宋体" w:hAnsi="宋体" w:cs="宋体"/>
                <w:snapToGrid w:val="0"/>
                <w:color w:val="auto"/>
                <w:kern w:val="0"/>
                <w:szCs w:val="21"/>
                <w:highlight w:val="yellow"/>
                <w:lang w:val="en-US" w:eastAsia="zh-CN"/>
              </w:rPr>
              <w:t xml:space="preserve"> 11</w:t>
            </w:r>
            <w:r>
              <w:rPr>
                <w:rFonts w:hint="eastAsia" w:ascii="宋体" w:hAnsi="宋体" w:cs="宋体"/>
                <w:snapToGrid w:val="0"/>
                <w:color w:val="auto"/>
                <w:kern w:val="0"/>
                <w:szCs w:val="21"/>
                <w:highlight w:val="yellow"/>
                <w:lang w:eastAsia="zh-CN"/>
              </w:rPr>
              <w:t>：</w:t>
            </w:r>
            <w:r>
              <w:rPr>
                <w:rFonts w:hint="eastAsia" w:ascii="宋体" w:hAnsi="宋体" w:cs="宋体"/>
                <w:snapToGrid w:val="0"/>
                <w:color w:val="auto"/>
                <w:kern w:val="0"/>
                <w:szCs w:val="21"/>
                <w:highlight w:val="yellow"/>
                <w:lang w:val="en-US" w:eastAsia="zh-CN"/>
              </w:rPr>
              <w:t>00 时（北京时间）</w:t>
            </w:r>
          </w:p>
          <w:p w14:paraId="58DE8A4A">
            <w:pPr>
              <w:adjustRightInd w:val="0"/>
              <w:snapToGrid w:val="0"/>
              <w:spacing w:line="360" w:lineRule="auto"/>
              <w:rPr>
                <w:color w:val="auto"/>
                <w:szCs w:val="21"/>
                <w:highlight w:val="yellow"/>
              </w:rPr>
            </w:pPr>
            <w:r>
              <w:rPr>
                <w:rFonts w:hint="eastAsia" w:ascii="宋体" w:hAnsi="宋体" w:cs="宋体"/>
                <w:color w:val="auto"/>
                <w:kern w:val="0"/>
                <w:szCs w:val="21"/>
                <w:highlight w:val="yellow"/>
              </w:rPr>
              <w:t>地点（网址）：线上（政府采购云平台（www.zcygov.cn））</w:t>
            </w:r>
          </w:p>
        </w:tc>
      </w:tr>
      <w:tr w14:paraId="014384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863" w:type="dxa"/>
            <w:vAlign w:val="center"/>
          </w:tcPr>
          <w:p w14:paraId="0B31A175">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19</w:t>
            </w:r>
          </w:p>
        </w:tc>
        <w:tc>
          <w:tcPr>
            <w:tcW w:w="1311" w:type="dxa"/>
            <w:vAlign w:val="center"/>
          </w:tcPr>
          <w:p w14:paraId="5BCD1B8E">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投标有效期</w:t>
            </w:r>
          </w:p>
        </w:tc>
        <w:tc>
          <w:tcPr>
            <w:tcW w:w="7419" w:type="dxa"/>
            <w:vAlign w:val="center"/>
          </w:tcPr>
          <w:p w14:paraId="5FF0E6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投标截止日后</w:t>
            </w:r>
            <w:r>
              <w:rPr>
                <w:rFonts w:hint="eastAsia" w:ascii="宋体" w:hAnsi="宋体" w:cs="宋体"/>
                <w:b/>
                <w:bCs/>
                <w:snapToGrid w:val="0"/>
                <w:color w:val="auto"/>
                <w:kern w:val="0"/>
                <w:szCs w:val="21"/>
                <w:highlight w:val="none"/>
              </w:rPr>
              <w:t>90日历天</w:t>
            </w:r>
            <w:r>
              <w:rPr>
                <w:rFonts w:hint="eastAsia" w:ascii="宋体" w:hAnsi="宋体" w:cs="宋体"/>
                <w:snapToGrid w:val="0"/>
                <w:color w:val="auto"/>
                <w:kern w:val="0"/>
                <w:szCs w:val="21"/>
                <w:highlight w:val="none"/>
              </w:rPr>
              <w:t>内有效</w:t>
            </w:r>
          </w:p>
        </w:tc>
      </w:tr>
      <w:tr w14:paraId="267E57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863" w:type="dxa"/>
            <w:vAlign w:val="center"/>
          </w:tcPr>
          <w:p w14:paraId="4BB0AD38">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20</w:t>
            </w:r>
          </w:p>
        </w:tc>
        <w:tc>
          <w:tcPr>
            <w:tcW w:w="1311" w:type="dxa"/>
            <w:vAlign w:val="center"/>
          </w:tcPr>
          <w:p w14:paraId="587E94C6">
            <w:pPr>
              <w:adjustRightInd w:val="0"/>
              <w:snapToGrid w:val="0"/>
              <w:spacing w:line="276"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评标办法</w:t>
            </w:r>
          </w:p>
        </w:tc>
        <w:tc>
          <w:tcPr>
            <w:tcW w:w="7419" w:type="dxa"/>
            <w:vAlign w:val="center"/>
          </w:tcPr>
          <w:p w14:paraId="1F0714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综合评分法</w:t>
            </w:r>
          </w:p>
        </w:tc>
      </w:tr>
      <w:tr w14:paraId="5F9B34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863" w:type="dxa"/>
            <w:vAlign w:val="center"/>
          </w:tcPr>
          <w:p w14:paraId="04D481C2">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21</w:t>
            </w:r>
          </w:p>
        </w:tc>
        <w:tc>
          <w:tcPr>
            <w:tcW w:w="1311" w:type="dxa"/>
            <w:vAlign w:val="center"/>
          </w:tcPr>
          <w:p w14:paraId="0B6A0D7A">
            <w:pPr>
              <w:adjustRightInd w:val="0"/>
              <w:snapToGrid w:val="0"/>
              <w:spacing w:line="276" w:lineRule="auto"/>
              <w:jc w:val="center"/>
              <w:rPr>
                <w:rFonts w:ascii="宋体" w:hAnsi="宋体" w:cs="宋体"/>
                <w:b/>
                <w:bCs/>
                <w:snapToGrid w:val="0"/>
                <w:color w:val="auto"/>
                <w:kern w:val="0"/>
                <w:szCs w:val="21"/>
                <w:highlight w:val="none"/>
              </w:rPr>
            </w:pPr>
            <w:r>
              <w:rPr>
                <w:rFonts w:hint="eastAsia" w:ascii="宋体" w:hAnsi="宋体"/>
                <w:b/>
                <w:bCs/>
                <w:color w:val="auto"/>
                <w:szCs w:val="21"/>
                <w:highlight w:val="none"/>
              </w:rPr>
              <w:t>开标程序</w:t>
            </w:r>
          </w:p>
        </w:tc>
        <w:tc>
          <w:tcPr>
            <w:tcW w:w="7419" w:type="dxa"/>
            <w:vAlign w:val="center"/>
          </w:tcPr>
          <w:p w14:paraId="252BC8A6">
            <w:pPr>
              <w:adjustRightInd w:val="0"/>
              <w:snapToGrid w:val="0"/>
              <w:spacing w:line="360" w:lineRule="auto"/>
              <w:ind w:left="15" w:hanging="14" w:hangingChars="7"/>
              <w:rPr>
                <w:rFonts w:hint="eastAsia" w:eastAsia="宋体"/>
                <w:b/>
                <w:bCs/>
                <w:color w:val="auto"/>
                <w:szCs w:val="21"/>
                <w:highlight w:val="none"/>
                <w:lang w:eastAsia="zh-CN"/>
              </w:rPr>
            </w:pPr>
            <w:r>
              <w:rPr>
                <w:rFonts w:hint="eastAsia"/>
                <w:color w:val="auto"/>
                <w:szCs w:val="21"/>
                <w:highlight w:val="none"/>
                <w:lang w:val="en-US" w:eastAsia="zh-CN"/>
              </w:rPr>
              <w:t>1.</w:t>
            </w:r>
            <w:r>
              <w:rPr>
                <w:rFonts w:hint="eastAsia"/>
                <w:color w:val="auto"/>
                <w:szCs w:val="21"/>
                <w:highlight w:val="none"/>
              </w:rPr>
              <w:t>开标后，采购代理机构点击【开始解密】，供应商应在30分钟内完成解密。供应商在规定的时间内都已完成解密，则系统自动结束解密；供应商超过解密时限，默认自动放弃</w:t>
            </w:r>
            <w:r>
              <w:rPr>
                <w:rFonts w:hint="eastAsia"/>
                <w:color w:val="auto"/>
                <w:szCs w:val="21"/>
                <w:highlight w:val="none"/>
                <w:lang w:eastAsia="zh-CN"/>
              </w:rPr>
              <w:t>；</w:t>
            </w:r>
          </w:p>
          <w:p w14:paraId="30B6E934">
            <w:pPr>
              <w:adjustRightInd w:val="0"/>
              <w:snapToGrid w:val="0"/>
              <w:spacing w:line="360" w:lineRule="auto"/>
              <w:ind w:left="15" w:hanging="14" w:hangingChars="7"/>
              <w:rPr>
                <w:rFonts w:eastAsia="Century Gothic"/>
                <w:b/>
                <w:bCs/>
                <w:color w:val="auto"/>
                <w:szCs w:val="21"/>
                <w:highlight w:val="none"/>
              </w:rPr>
            </w:pPr>
            <w:r>
              <w:rPr>
                <w:rFonts w:hint="eastAsia"/>
                <w:color w:val="auto"/>
                <w:szCs w:val="21"/>
                <w:highlight w:val="none"/>
              </w:rPr>
              <w:t>2.解密不成功时，如投标供应商已按规定递交了“备份投标文件”的，采购代理机构通过【异常处理】端口对备份投标文件上传、解密；</w:t>
            </w:r>
          </w:p>
          <w:p w14:paraId="657BB0CD">
            <w:pPr>
              <w:adjustRightInd w:val="0"/>
              <w:snapToGrid w:val="0"/>
              <w:spacing w:line="360" w:lineRule="auto"/>
              <w:ind w:left="15" w:hanging="14" w:hangingChars="7"/>
              <w:rPr>
                <w:rFonts w:eastAsia="Century Gothic"/>
                <w:b/>
                <w:bCs/>
                <w:color w:val="auto"/>
                <w:szCs w:val="21"/>
                <w:highlight w:val="none"/>
              </w:rPr>
            </w:pPr>
            <w:r>
              <w:rPr>
                <w:rFonts w:hint="eastAsia"/>
                <w:color w:val="auto"/>
                <w:szCs w:val="21"/>
                <w:highlight w:val="none"/>
              </w:rPr>
              <w:t>3.结束解密后，供应商通过邮件形式将经授权代表签署的《政府采购活动现场确认声明书》（格式见采购文件第七部分，采购文件最后一页内容）扫描件发至代理机构经办人邮箱（邮箱地址：</w:t>
            </w:r>
            <w:r>
              <w:rPr>
                <w:rFonts w:hint="eastAsia"/>
                <w:color w:val="auto"/>
                <w:szCs w:val="21"/>
                <w:highlight w:val="none"/>
                <w:lang w:val="en-US" w:eastAsia="zh-CN"/>
              </w:rPr>
              <w:t>348424112</w:t>
            </w:r>
            <w:r>
              <w:rPr>
                <w:rFonts w:hint="eastAsia"/>
                <w:color w:val="auto"/>
                <w:szCs w:val="21"/>
                <w:highlight w:val="none"/>
              </w:rPr>
              <w:t>@qq.com</w:t>
            </w:r>
            <w:r>
              <w:rPr>
                <w:rFonts w:hint="eastAsia"/>
                <w:color w:val="auto"/>
                <w:szCs w:val="21"/>
                <w:highlight w:val="none"/>
                <w:lang w:eastAsia="zh-CN"/>
              </w:rPr>
              <w:t>，</w:t>
            </w:r>
            <w:r>
              <w:rPr>
                <w:rFonts w:hint="eastAsia"/>
                <w:color w:val="auto"/>
                <w:szCs w:val="21"/>
                <w:highlight w:val="none"/>
              </w:rPr>
              <w:t>联系人：</w:t>
            </w:r>
            <w:r>
              <w:rPr>
                <w:rFonts w:hint="eastAsia"/>
                <w:color w:val="auto"/>
                <w:szCs w:val="21"/>
                <w:highlight w:val="none"/>
                <w:lang w:val="en-US" w:eastAsia="zh-CN"/>
              </w:rPr>
              <w:t>王鹤宇</w:t>
            </w:r>
            <w:r>
              <w:rPr>
                <w:rFonts w:hint="eastAsia" w:ascii="宋体" w:hAnsi="宋体" w:cs="宋体"/>
                <w:color w:val="auto"/>
                <w:kern w:val="0"/>
                <w:szCs w:val="21"/>
                <w:highlight w:val="none"/>
              </w:rPr>
              <w:t>，</w:t>
            </w:r>
            <w:r>
              <w:rPr>
                <w:rFonts w:hint="eastAsia"/>
                <w:color w:val="auto"/>
                <w:szCs w:val="21"/>
                <w:highlight w:val="none"/>
              </w:rPr>
              <w:t>联系电话：</w:t>
            </w:r>
            <w:r>
              <w:rPr>
                <w:rFonts w:hint="eastAsia"/>
                <w:color w:val="auto"/>
                <w:szCs w:val="21"/>
                <w:highlight w:val="none"/>
                <w:lang w:val="en-US" w:eastAsia="zh-CN"/>
              </w:rPr>
              <w:t>18997972745</w:t>
            </w:r>
            <w:r>
              <w:rPr>
                <w:rFonts w:hint="eastAsia"/>
                <w:color w:val="auto"/>
                <w:szCs w:val="21"/>
                <w:highlight w:val="none"/>
              </w:rPr>
              <w:t>）；</w:t>
            </w:r>
          </w:p>
          <w:p w14:paraId="345CB502">
            <w:pPr>
              <w:adjustRightInd w:val="0"/>
              <w:snapToGrid w:val="0"/>
              <w:spacing w:line="360" w:lineRule="auto"/>
              <w:ind w:left="15" w:hanging="14" w:hangingChars="7"/>
              <w:rPr>
                <w:rFonts w:hint="eastAsia" w:eastAsia="宋体"/>
                <w:b/>
                <w:bCs/>
                <w:color w:val="auto"/>
                <w:szCs w:val="21"/>
                <w:highlight w:val="none"/>
                <w:lang w:eastAsia="zh-CN"/>
              </w:rPr>
            </w:pPr>
            <w:r>
              <w:rPr>
                <w:rFonts w:hint="eastAsia"/>
                <w:color w:val="auto"/>
                <w:szCs w:val="21"/>
                <w:highlight w:val="none"/>
              </w:rPr>
              <w:t>4.采购组织机构点击【开启标书信息】，开启标书成功后进入开标流程</w:t>
            </w:r>
            <w:r>
              <w:rPr>
                <w:rFonts w:hint="eastAsia"/>
                <w:color w:val="auto"/>
                <w:szCs w:val="21"/>
                <w:highlight w:val="none"/>
                <w:lang w:eastAsia="zh-CN"/>
              </w:rPr>
              <w:t>；</w:t>
            </w:r>
          </w:p>
          <w:p w14:paraId="55B7DEA4">
            <w:pPr>
              <w:adjustRightInd w:val="0"/>
              <w:snapToGrid w:val="0"/>
              <w:spacing w:line="360" w:lineRule="auto"/>
              <w:jc w:val="left"/>
              <w:rPr>
                <w:rFonts w:ascii="宋体" w:hAnsi="宋体" w:cs="宋体"/>
                <w:snapToGrid w:val="0"/>
                <w:color w:val="auto"/>
                <w:kern w:val="0"/>
                <w:szCs w:val="21"/>
                <w:highlight w:val="none"/>
              </w:rPr>
            </w:pPr>
            <w:r>
              <w:rPr>
                <w:rFonts w:hint="eastAsia"/>
                <w:color w:val="auto"/>
                <w:szCs w:val="21"/>
                <w:highlight w:val="none"/>
              </w:rPr>
              <w:t>5.政采云系统平台有新的操作流程的，按其规定。</w:t>
            </w:r>
          </w:p>
        </w:tc>
      </w:tr>
      <w:tr w14:paraId="427247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63" w:type="dxa"/>
            <w:vAlign w:val="center"/>
          </w:tcPr>
          <w:p w14:paraId="651A55E9">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22</w:t>
            </w:r>
          </w:p>
        </w:tc>
        <w:tc>
          <w:tcPr>
            <w:tcW w:w="1311" w:type="dxa"/>
            <w:vAlign w:val="center"/>
          </w:tcPr>
          <w:p w14:paraId="533F7E7E">
            <w:pPr>
              <w:adjustRightInd w:val="0"/>
              <w:snapToGrid w:val="0"/>
              <w:spacing w:line="276" w:lineRule="auto"/>
              <w:jc w:val="center"/>
              <w:rPr>
                <w:rFonts w:ascii="宋体" w:hAnsi="宋体" w:cs="宋体"/>
                <w:b/>
                <w:bCs/>
                <w:snapToGrid w:val="0"/>
                <w:color w:val="auto"/>
                <w:kern w:val="0"/>
                <w:szCs w:val="21"/>
                <w:highlight w:val="none"/>
              </w:rPr>
            </w:pPr>
            <w:r>
              <w:rPr>
                <w:rFonts w:hint="eastAsia" w:ascii="宋体" w:hAnsi="宋体"/>
                <w:b/>
                <w:bCs/>
                <w:color w:val="auto"/>
                <w:szCs w:val="21"/>
                <w:highlight w:val="none"/>
              </w:rPr>
              <w:t>评标程序</w:t>
            </w:r>
          </w:p>
        </w:tc>
        <w:tc>
          <w:tcPr>
            <w:tcW w:w="7419" w:type="dxa"/>
            <w:vAlign w:val="center"/>
          </w:tcPr>
          <w:p w14:paraId="1E2961E0">
            <w:pPr>
              <w:pStyle w:val="24"/>
              <w:numPr>
                <w:ilvl w:val="0"/>
                <w:numId w:val="1"/>
              </w:numPr>
              <w:tabs>
                <w:tab w:val="left" w:pos="210"/>
                <w:tab w:val="clear" w:pos="312"/>
              </w:tabs>
              <w:snapToGrid w:val="0"/>
              <w:spacing w:line="360" w:lineRule="auto"/>
              <w:rPr>
                <w:rFonts w:ascii="宋体" w:hAnsi="宋体" w:eastAsia="宋体"/>
                <w:color w:val="auto"/>
                <w:highlight w:val="none"/>
              </w:rPr>
            </w:pPr>
            <w:r>
              <w:rPr>
                <w:rFonts w:hint="eastAsia" w:ascii="宋体" w:hAnsi="宋体" w:eastAsia="宋体"/>
                <w:color w:val="auto"/>
                <w:highlight w:val="none"/>
              </w:rPr>
              <w:t>资格审查：由采购人或采购代理机构代表根据采购文件的规定对投标人进行资格审查，资格审查不合格的投标人，其投标作无效标处理。</w:t>
            </w:r>
          </w:p>
          <w:p w14:paraId="780633A8">
            <w:pPr>
              <w:pStyle w:val="24"/>
              <w:numPr>
                <w:ilvl w:val="0"/>
                <w:numId w:val="1"/>
              </w:numPr>
              <w:tabs>
                <w:tab w:val="left" w:pos="210"/>
                <w:tab w:val="clear" w:pos="312"/>
              </w:tabs>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符合性评审：依据采购文件的规定，从投标文件的有效性、完整性和对采购文件的响应程度进行审查，以确定是否对采购文件的实质性要求作出响应。具体审查内容见投标须知第22.1条“无效投标的认定”。</w:t>
            </w:r>
          </w:p>
          <w:p w14:paraId="12D6E7E3">
            <w:pPr>
              <w:pStyle w:val="24"/>
              <w:numPr>
                <w:ilvl w:val="0"/>
                <w:numId w:val="1"/>
              </w:numPr>
              <w:tabs>
                <w:tab w:val="left" w:pos="210"/>
                <w:tab w:val="clear" w:pos="312"/>
              </w:tabs>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商务技术评分：由评标委员会对各投标人的技术商务充分审核、讨论及评议后，独立评分。商务技术评分汇总。</w:t>
            </w:r>
          </w:p>
          <w:p w14:paraId="704DFC81">
            <w:pPr>
              <w:pStyle w:val="24"/>
              <w:numPr>
                <w:ilvl w:val="0"/>
                <w:numId w:val="1"/>
              </w:numPr>
              <w:tabs>
                <w:tab w:val="left" w:pos="210"/>
                <w:tab w:val="clear" w:pos="312"/>
              </w:tabs>
              <w:snapToGrid w:val="0"/>
              <w:spacing w:line="360" w:lineRule="auto"/>
              <w:rPr>
                <w:rFonts w:hint="eastAsia" w:ascii="宋体" w:hAnsi="宋体" w:eastAsia="宋体"/>
                <w:color w:val="auto"/>
                <w:highlight w:val="none"/>
              </w:rPr>
            </w:pPr>
            <w:r>
              <w:rPr>
                <w:rFonts w:ascii="宋体" w:hAnsi="宋体" w:eastAsia="宋体"/>
                <w:color w:val="auto"/>
                <w:highlight w:val="none"/>
              </w:rPr>
              <w:t>商务技术结果公布</w:t>
            </w:r>
            <w:r>
              <w:rPr>
                <w:rFonts w:hint="eastAsia" w:ascii="宋体" w:hAnsi="宋体" w:eastAsia="宋体"/>
                <w:color w:val="auto"/>
                <w:highlight w:val="none"/>
              </w:rPr>
              <w:t>；代理机构将在线公布符合性审查、商务技术评审无效供应商名称及理由；公布经商务技术评审后有效投标供应商的名单，及其商务技术部分得分情况。</w:t>
            </w:r>
          </w:p>
          <w:p w14:paraId="3FEE6D94">
            <w:pPr>
              <w:pStyle w:val="24"/>
              <w:numPr>
                <w:ilvl w:val="0"/>
                <w:numId w:val="1"/>
              </w:numPr>
              <w:tabs>
                <w:tab w:val="left" w:pos="210"/>
                <w:tab w:val="clear" w:pos="312"/>
              </w:tabs>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开启报价文件：采购代理机构成功开启报价后，方可查看各供应商报价情况。</w:t>
            </w:r>
          </w:p>
          <w:p w14:paraId="361A595C">
            <w:pPr>
              <w:pStyle w:val="24"/>
              <w:numPr>
                <w:ilvl w:val="0"/>
                <w:numId w:val="1"/>
              </w:numPr>
              <w:tabs>
                <w:tab w:val="left" w:pos="210"/>
                <w:tab w:val="clear" w:pos="312"/>
              </w:tabs>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代理机构点击“开启签字时段”，供应商对开标纪录进行在线签字确认（不予确认的应说明理由，否则视为无异议）。</w:t>
            </w:r>
          </w:p>
          <w:p w14:paraId="75BFD895">
            <w:pPr>
              <w:pStyle w:val="24"/>
              <w:numPr>
                <w:ilvl w:val="0"/>
                <w:numId w:val="1"/>
              </w:numPr>
              <w:tabs>
                <w:tab w:val="left" w:pos="210"/>
                <w:tab w:val="clear" w:pos="312"/>
              </w:tabs>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报价评审：由评标委员会对报价的合理性、准确性等进行审查核实。</w:t>
            </w:r>
          </w:p>
          <w:p w14:paraId="1E67848B">
            <w:pPr>
              <w:pStyle w:val="24"/>
              <w:numPr>
                <w:ilvl w:val="0"/>
                <w:numId w:val="1"/>
              </w:numPr>
              <w:tabs>
                <w:tab w:val="left" w:pos="210"/>
                <w:tab w:val="clear" w:pos="312"/>
              </w:tabs>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得分汇总。</w:t>
            </w:r>
          </w:p>
          <w:p w14:paraId="7C715AD4">
            <w:pPr>
              <w:pStyle w:val="24"/>
              <w:numPr>
                <w:ilvl w:val="0"/>
                <w:numId w:val="1"/>
              </w:numPr>
              <w:tabs>
                <w:tab w:val="left" w:pos="210"/>
                <w:tab w:val="clear" w:pos="312"/>
              </w:tabs>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结果公布：供应商可通过在线平台查看评审结果。</w:t>
            </w:r>
          </w:p>
          <w:p w14:paraId="72D97218">
            <w:pPr>
              <w:pStyle w:val="24"/>
              <w:numPr>
                <w:ilvl w:val="0"/>
                <w:numId w:val="1"/>
              </w:numPr>
              <w:tabs>
                <w:tab w:val="left" w:pos="210"/>
                <w:tab w:val="clear" w:pos="312"/>
              </w:tabs>
              <w:snapToGrid w:val="0"/>
              <w:spacing w:line="360" w:lineRule="auto"/>
              <w:rPr>
                <w:rFonts w:ascii="宋体" w:hAnsi="宋体" w:cs="宋体"/>
                <w:snapToGrid w:val="0"/>
                <w:color w:val="auto"/>
                <w:kern w:val="0"/>
                <w:highlight w:val="none"/>
              </w:rPr>
            </w:pPr>
            <w:r>
              <w:rPr>
                <w:rFonts w:hint="eastAsia" w:ascii="宋体" w:hAnsi="宋体" w:eastAsia="宋体"/>
                <w:color w:val="auto"/>
                <w:highlight w:val="none"/>
              </w:rPr>
              <w:t>注：除邮件交互外，如政采云平台提供信息发布、澄清说明、数据交换等操作方式的，或者政采云系统平台有新的操作流程的，按其规定。</w:t>
            </w:r>
          </w:p>
        </w:tc>
      </w:tr>
      <w:tr w14:paraId="175413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863" w:type="dxa"/>
            <w:vAlign w:val="center"/>
          </w:tcPr>
          <w:p w14:paraId="535D6877">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23</w:t>
            </w:r>
          </w:p>
        </w:tc>
        <w:tc>
          <w:tcPr>
            <w:tcW w:w="1311" w:type="dxa"/>
            <w:vAlign w:val="center"/>
          </w:tcPr>
          <w:p w14:paraId="36345DE4">
            <w:pPr>
              <w:adjustRightInd w:val="0"/>
              <w:snapToGrid w:val="0"/>
              <w:spacing w:line="276" w:lineRule="auto"/>
              <w:jc w:val="center"/>
              <w:rPr>
                <w:rFonts w:ascii="宋体" w:hAnsi="宋体" w:cs="宋体"/>
                <w:b/>
                <w:bCs/>
                <w:color w:val="auto"/>
                <w:szCs w:val="21"/>
                <w:highlight w:val="none"/>
              </w:rPr>
            </w:pPr>
            <w:r>
              <w:rPr>
                <w:rFonts w:hint="eastAsia" w:ascii="宋体" w:hAnsi="宋体"/>
                <w:b/>
                <w:bCs/>
                <w:snapToGrid w:val="0"/>
                <w:color w:val="auto"/>
                <w:kern w:val="0"/>
                <w:szCs w:val="21"/>
                <w:highlight w:val="none"/>
              </w:rPr>
              <w:t>询标澄清</w:t>
            </w:r>
          </w:p>
        </w:tc>
        <w:tc>
          <w:tcPr>
            <w:tcW w:w="7419" w:type="dxa"/>
            <w:vAlign w:val="center"/>
          </w:tcPr>
          <w:p w14:paraId="03C70008">
            <w:pPr>
              <w:pStyle w:val="24"/>
              <w:snapToGrid w:val="0"/>
              <w:spacing w:line="360" w:lineRule="auto"/>
              <w:rPr>
                <w:rFonts w:hint="eastAsia" w:ascii="宋体" w:hAnsi="宋体" w:eastAsia="宋体" w:cs="宋体"/>
                <w:color w:val="auto"/>
                <w:highlight w:val="none"/>
                <w:lang w:eastAsia="zh-CN"/>
              </w:rPr>
            </w:pPr>
            <w:r>
              <w:rPr>
                <w:rFonts w:hint="eastAsia" w:ascii="宋体" w:hAnsi="宋体" w:eastAsia="宋体"/>
                <w:color w:val="auto"/>
                <w:highlight w:val="none"/>
              </w:rPr>
              <w:t>在评标过程中，如评审小组对投标文件有疑问，由评审组长将问题汇总后发起询标澄清函，供应商应在规定截止时间前回复相关内容并经签章后提交。逾期答复的，投标人</w:t>
            </w:r>
            <w:r>
              <w:rPr>
                <w:rFonts w:hint="eastAsia" w:ascii="宋体" w:hAnsi="宋体" w:eastAsia="宋体" w:cs="宋体"/>
                <w:color w:val="auto"/>
                <w:highlight w:val="none"/>
              </w:rPr>
              <w:t>自行承担由此可能导致的对其不利的评审结果，评标委员会按少数服从多数原则对相关内容进行评判</w:t>
            </w:r>
            <w:r>
              <w:rPr>
                <w:rFonts w:hint="eastAsia" w:ascii="宋体" w:hAnsi="宋体" w:eastAsia="宋体" w:cs="宋体"/>
                <w:color w:val="auto"/>
                <w:highlight w:val="none"/>
                <w:lang w:eastAsia="zh-CN"/>
              </w:rPr>
              <w:t>。</w:t>
            </w:r>
          </w:p>
        </w:tc>
      </w:tr>
      <w:tr w14:paraId="4E5479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863" w:type="dxa"/>
            <w:vAlign w:val="center"/>
          </w:tcPr>
          <w:p w14:paraId="04F75951">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24</w:t>
            </w:r>
          </w:p>
        </w:tc>
        <w:tc>
          <w:tcPr>
            <w:tcW w:w="1311" w:type="dxa"/>
            <w:vAlign w:val="center"/>
          </w:tcPr>
          <w:p w14:paraId="40C0D367">
            <w:pPr>
              <w:adjustRightInd w:val="0"/>
              <w:snapToGrid w:val="0"/>
              <w:spacing w:line="276" w:lineRule="auto"/>
              <w:jc w:val="center"/>
              <w:rPr>
                <w:rFonts w:ascii="宋体" w:hAnsi="宋体"/>
                <w:b/>
                <w:bCs/>
                <w:snapToGrid w:val="0"/>
                <w:color w:val="auto"/>
                <w:kern w:val="0"/>
                <w:szCs w:val="21"/>
                <w:highlight w:val="none"/>
              </w:rPr>
            </w:pPr>
            <w:r>
              <w:rPr>
                <w:rFonts w:hint="eastAsia" w:ascii="宋体" w:hAnsi="宋体" w:cs="宋体"/>
                <w:b/>
                <w:bCs/>
                <w:snapToGrid w:val="0"/>
                <w:color w:val="auto"/>
                <w:kern w:val="0"/>
                <w:szCs w:val="21"/>
                <w:highlight w:val="none"/>
              </w:rPr>
              <w:t>公告发布媒体</w:t>
            </w:r>
          </w:p>
        </w:tc>
        <w:tc>
          <w:tcPr>
            <w:tcW w:w="7419" w:type="dxa"/>
            <w:vAlign w:val="center"/>
          </w:tcPr>
          <w:p w14:paraId="2B2B60AE">
            <w:pPr>
              <w:pStyle w:val="24"/>
              <w:snapToGrid w:val="0"/>
              <w:spacing w:line="320" w:lineRule="exact"/>
              <w:rPr>
                <w:rFonts w:ascii="宋体" w:hAnsi="宋体" w:eastAsia="宋体"/>
                <w:color w:val="auto"/>
                <w:highlight w:val="none"/>
              </w:rPr>
            </w:pPr>
            <w:r>
              <w:rPr>
                <w:rFonts w:hint="eastAsia" w:ascii="宋体" w:hAnsi="宋体" w:eastAsia="宋体" w:cs="宋体"/>
                <w:snapToGrid w:val="0"/>
                <w:color w:val="auto"/>
                <w:kern w:val="0"/>
                <w:highlight w:val="none"/>
              </w:rPr>
              <w:t>本项目招标公告及结果公告发布媒体为</w:t>
            </w:r>
            <w:r>
              <w:rPr>
                <w:rFonts w:hint="eastAsia" w:ascii="宋体" w:hAnsi="宋体" w:eastAsia="宋体" w:cs="宋体"/>
                <w:snapToGrid w:val="0"/>
                <w:color w:val="auto"/>
                <w:kern w:val="0"/>
                <w:highlight w:val="none"/>
                <w:lang w:eastAsia="zh-CN"/>
              </w:rPr>
              <w:t>新疆政府采购网</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http://www.ccgp-xinjiang.gov.cn/</w:t>
            </w:r>
            <w:r>
              <w:rPr>
                <w:rFonts w:hint="eastAsia" w:ascii="宋体" w:hAnsi="宋体" w:eastAsia="宋体" w:cs="宋体"/>
                <w:snapToGrid w:val="0"/>
                <w:color w:val="auto"/>
                <w:kern w:val="0"/>
                <w:highlight w:val="none"/>
              </w:rPr>
              <w:t>）；</w:t>
            </w:r>
          </w:p>
        </w:tc>
      </w:tr>
      <w:tr w14:paraId="7A0ED4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863" w:type="dxa"/>
            <w:vAlign w:val="center"/>
          </w:tcPr>
          <w:p w14:paraId="3C008441">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25</w:t>
            </w:r>
          </w:p>
        </w:tc>
        <w:tc>
          <w:tcPr>
            <w:tcW w:w="1311" w:type="dxa"/>
            <w:vAlign w:val="center"/>
          </w:tcPr>
          <w:p w14:paraId="633D87E6">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质疑</w:t>
            </w:r>
          </w:p>
        </w:tc>
        <w:tc>
          <w:tcPr>
            <w:tcW w:w="7419" w:type="dxa"/>
            <w:vAlign w:val="center"/>
          </w:tcPr>
          <w:p w14:paraId="3DA145F4">
            <w:pPr>
              <w:snapToGrid w:val="0"/>
              <w:spacing w:line="360" w:lineRule="auto"/>
              <w:rPr>
                <w:color w:val="auto"/>
                <w:highlight w:val="none"/>
              </w:rPr>
            </w:pPr>
            <w:r>
              <w:rPr>
                <w:rFonts w:hint="eastAsia"/>
                <w:color w:val="auto"/>
                <w:highlight w:val="none"/>
              </w:rPr>
              <w:t>根据《中华人民共和国政府采购法》第五十二条、《中华人民共和国政府采购法实施条例》第五十三条、《政府采购质疑和投诉办法》的规定：</w:t>
            </w:r>
          </w:p>
          <w:p w14:paraId="319F5444">
            <w:pPr>
              <w:snapToGrid w:val="0"/>
              <w:spacing w:line="360" w:lineRule="auto"/>
              <w:rPr>
                <w:rFonts w:hint="default"/>
                <w:color w:val="auto"/>
                <w:highlight w:val="none"/>
                <w:lang w:val="en-US" w:eastAsia="zh-CN"/>
              </w:rPr>
            </w:pPr>
            <w:r>
              <w:rPr>
                <w:rFonts w:hint="eastAsia"/>
                <w:color w:val="auto"/>
                <w:highlight w:val="none"/>
              </w:rPr>
              <w:t>投标人认为采购（招标）文件、采购过程、中标或者成交结果使自己的权益受到损害的，可以在知道或者应知其权益受到损害之日起7个工作日内，以书面形式向采购人、采购代理机构提出质疑</w:t>
            </w:r>
            <w:r>
              <w:rPr>
                <w:rFonts w:hint="eastAsia"/>
                <w:color w:val="auto"/>
                <w:highlight w:val="none"/>
                <w:lang w:eastAsia="zh-CN"/>
              </w:rPr>
              <w:t>。</w:t>
            </w:r>
            <w:r>
              <w:rPr>
                <w:rFonts w:hint="eastAsia"/>
                <w:color w:val="auto"/>
                <w:highlight w:val="none"/>
              </w:rPr>
              <w:t>采购人、采购代理机</w:t>
            </w:r>
            <w:r>
              <w:rPr>
                <w:rFonts w:hint="eastAsia"/>
                <w:color w:val="auto"/>
                <w:highlight w:val="none"/>
                <w:lang w:val="en-US" w:eastAsia="zh-CN"/>
              </w:rPr>
              <w:t>将在法律法规规定的期限内给予回复。</w:t>
            </w:r>
          </w:p>
          <w:p w14:paraId="586E3F7E">
            <w:pPr>
              <w:snapToGrid w:val="0"/>
              <w:spacing w:line="360" w:lineRule="auto"/>
              <w:rPr>
                <w:rFonts w:hint="eastAsia"/>
                <w:color w:val="auto"/>
                <w:highlight w:val="none"/>
              </w:rPr>
            </w:pPr>
            <w:r>
              <w:rPr>
                <w:rFonts w:hint="eastAsia"/>
                <w:color w:val="auto"/>
                <w:highlight w:val="none"/>
              </w:rPr>
              <w:t>本项目要求投标人在法定质疑期内一次性提出针对同一采购程序环节的质疑。</w:t>
            </w:r>
          </w:p>
          <w:p w14:paraId="706FA20A">
            <w:pPr>
              <w:pStyle w:val="2"/>
              <w:ind w:left="0" w:leftChars="0" w:firstLine="0" w:firstLineChars="0"/>
              <w:rPr>
                <w:rFonts w:hint="eastAsia"/>
                <w:color w:val="auto"/>
                <w:highlight w:val="none"/>
                <w:lang w:val="en-US" w:eastAsia="zh-CN"/>
              </w:rPr>
            </w:pPr>
            <w:r>
              <w:rPr>
                <w:rFonts w:hint="eastAsia"/>
                <w:color w:val="auto"/>
                <w:highlight w:val="none"/>
                <w:lang w:val="en-US" w:eastAsia="zh-CN"/>
              </w:rPr>
              <w:t>质疑接收人：</w:t>
            </w:r>
          </w:p>
          <w:p w14:paraId="3262C6C2">
            <w:pPr>
              <w:snapToGrid w:val="0"/>
              <w:spacing w:line="360" w:lineRule="auto"/>
              <w:rPr>
                <w:rFonts w:hint="default"/>
                <w:color w:val="auto"/>
                <w:highlight w:val="none"/>
                <w:lang w:val="en-US" w:eastAsia="zh-CN"/>
              </w:rPr>
            </w:pPr>
            <w:r>
              <w:rPr>
                <w:rFonts w:hint="eastAsia"/>
                <w:color w:val="auto"/>
                <w:highlight w:val="none"/>
                <w:lang w:val="en-US" w:eastAsia="zh-CN"/>
              </w:rPr>
              <w:t>采   购   人：王晓龙 0991-4618086</w:t>
            </w:r>
          </w:p>
          <w:p w14:paraId="406ADB54">
            <w:pPr>
              <w:snapToGrid w:val="0"/>
              <w:spacing w:line="360" w:lineRule="auto"/>
              <w:rPr>
                <w:rFonts w:hint="default" w:eastAsia="宋体"/>
                <w:color w:val="auto"/>
                <w:highlight w:val="none"/>
                <w:lang w:val="en-US" w:eastAsia="zh-CN"/>
              </w:rPr>
            </w:pPr>
            <w:r>
              <w:rPr>
                <w:rFonts w:hint="eastAsia"/>
                <w:color w:val="auto"/>
                <w:highlight w:val="none"/>
                <w:lang w:val="en-US" w:eastAsia="zh-CN"/>
              </w:rPr>
              <w:t>采购代理机构：王鹤宇 0991-4630336</w:t>
            </w:r>
          </w:p>
        </w:tc>
      </w:tr>
      <w:tr w14:paraId="223498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863" w:type="dxa"/>
            <w:vAlign w:val="center"/>
          </w:tcPr>
          <w:p w14:paraId="00BA3787">
            <w:pPr>
              <w:adjustRightInd w:val="0"/>
              <w:snapToGrid w:val="0"/>
              <w:spacing w:line="276" w:lineRule="auto"/>
              <w:jc w:val="center"/>
              <w:rPr>
                <w:rFonts w:ascii="宋体" w:hAnsi="宋体" w:cs="宋体"/>
                <w:b/>
                <w:bCs/>
                <w:snapToGrid w:val="0"/>
                <w:color w:val="auto"/>
                <w:kern w:val="0"/>
                <w:szCs w:val="21"/>
                <w:highlight w:val="none"/>
              </w:rPr>
            </w:pPr>
            <w:r>
              <w:rPr>
                <w:rFonts w:hint="eastAsia" w:ascii="宋体" w:hAnsi="宋体" w:cs="宋体"/>
                <w:snapToGrid w:val="0"/>
                <w:color w:val="auto"/>
                <w:kern w:val="0"/>
                <w:szCs w:val="21"/>
                <w:highlight w:val="none"/>
              </w:rPr>
              <w:t>26</w:t>
            </w:r>
          </w:p>
        </w:tc>
        <w:tc>
          <w:tcPr>
            <w:tcW w:w="1311" w:type="dxa"/>
            <w:vAlign w:val="center"/>
          </w:tcPr>
          <w:p w14:paraId="22AA5512">
            <w:pPr>
              <w:snapToGrid w:val="0"/>
              <w:spacing w:line="36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投诉</w:t>
            </w:r>
          </w:p>
        </w:tc>
        <w:tc>
          <w:tcPr>
            <w:tcW w:w="7419" w:type="dxa"/>
            <w:vAlign w:val="center"/>
          </w:tcPr>
          <w:p w14:paraId="5F225EEF">
            <w:pPr>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根据《政府采购法》第五十五条的规定，质疑供应商对采购人、采购代理机构的答复不满意或者采购人、采购代理机构未在规定的时间内作出答复的，可以在答复期满后十五个工作日内向同级政府采购监督管理部门投诉。</w:t>
            </w:r>
          </w:p>
        </w:tc>
      </w:tr>
      <w:tr w14:paraId="6F9B50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863" w:type="dxa"/>
            <w:vAlign w:val="center"/>
          </w:tcPr>
          <w:p w14:paraId="54B5EE0E">
            <w:pPr>
              <w:adjustRightInd w:val="0"/>
              <w:snapToGrid w:val="0"/>
              <w:spacing w:line="276"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27</w:t>
            </w:r>
          </w:p>
        </w:tc>
        <w:tc>
          <w:tcPr>
            <w:tcW w:w="1311" w:type="dxa"/>
            <w:vAlign w:val="center"/>
          </w:tcPr>
          <w:p w14:paraId="3EE01193">
            <w:pPr>
              <w:snapToGrid w:val="0"/>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特别说明</w:t>
            </w:r>
          </w:p>
        </w:tc>
        <w:tc>
          <w:tcPr>
            <w:tcW w:w="7419" w:type="dxa"/>
            <w:vAlign w:val="center"/>
          </w:tcPr>
          <w:p w14:paraId="35697395">
            <w:pPr>
              <w:pStyle w:val="24"/>
              <w:adjustRightInd w:val="0"/>
              <w:snapToGrid w:val="0"/>
              <w:spacing w:line="360" w:lineRule="auto"/>
              <w:rPr>
                <w:rFonts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投标人应无条件的、认真仔细的、不厌其烦的阅读本采购文件及其澄清答疑、修改答复的补充文件，严格按照采购文件及补充文件的规定和要求编制投标文件。在编制投标文件过程中，应严格遵循实事求是、诚信投标的原则，针对采购文件中第三部分用户需求、第四部分合同条款等各项内容进行确认，如有偏离，应如实填写响应偏离表。</w:t>
            </w:r>
          </w:p>
          <w:p w14:paraId="05E96A91">
            <w:pPr>
              <w:pStyle w:val="24"/>
              <w:adjustRightInd w:val="0"/>
              <w:snapToGrid w:val="0"/>
              <w:spacing w:line="360" w:lineRule="auto"/>
              <w:rPr>
                <w:rFonts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项目中标公示期间，投标人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7467B601">
            <w:pPr>
              <w:pStyle w:val="24"/>
              <w:adjustRightInd w:val="0"/>
              <w:snapToGrid w:val="0"/>
              <w:spacing w:line="360" w:lineRule="auto"/>
              <w:rPr>
                <w:rFonts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质疑、投诉人未按前列序号第25、26条规定进行质疑、投诉（申诉）、举报等，均属于扰乱政府采购市场不良行为。</w:t>
            </w:r>
          </w:p>
          <w:p w14:paraId="3EC99878">
            <w:pPr>
              <w:pStyle w:val="24"/>
              <w:snapToGrid w:val="0"/>
              <w:spacing w:line="360" w:lineRule="auto"/>
              <w:rPr>
                <w:rFonts w:ascii="宋体" w:hAnsi="宋体" w:eastAsia="宋体" w:cs="宋体"/>
                <w:b/>
                <w:color w:val="auto"/>
                <w:highlight w:val="none"/>
              </w:rPr>
            </w:pPr>
            <w:r>
              <w:rPr>
                <w:rFonts w:hint="eastAsia" w:ascii="宋体" w:hAnsi="宋体" w:eastAsia="宋体" w:cs="宋体"/>
                <w:b/>
                <w:bCs/>
                <w:snapToGrid w:val="0"/>
                <w:color w:val="auto"/>
                <w:kern w:val="0"/>
                <w:highlight w:val="none"/>
                <w:lang w:val="en-US" w:eastAsia="zh-CN"/>
              </w:rPr>
              <w:t>4.</w:t>
            </w:r>
            <w:r>
              <w:rPr>
                <w:rFonts w:hint="eastAsia" w:ascii="宋体" w:hAnsi="宋体" w:eastAsia="宋体" w:cs="宋体"/>
                <w:b/>
                <w:bCs/>
                <w:snapToGrid w:val="0"/>
                <w:color w:val="auto"/>
                <w:kern w:val="0"/>
                <w:highlight w:val="none"/>
              </w:rPr>
              <w:t>采购文件中凡标注“▲”的条款均为实质性要求，不响应的投标文件将作无效标处理</w:t>
            </w:r>
          </w:p>
        </w:tc>
      </w:tr>
      <w:tr w14:paraId="2E8283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2" w:hRule="atLeast"/>
          <w:jc w:val="center"/>
        </w:trPr>
        <w:tc>
          <w:tcPr>
            <w:tcW w:w="863" w:type="dxa"/>
            <w:vAlign w:val="center"/>
          </w:tcPr>
          <w:p w14:paraId="5D8578EE">
            <w:pPr>
              <w:adjustRightInd w:val="0"/>
              <w:snapToGrid w:val="0"/>
              <w:spacing w:line="276" w:lineRule="auto"/>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28</w:t>
            </w:r>
          </w:p>
        </w:tc>
        <w:tc>
          <w:tcPr>
            <w:tcW w:w="1311" w:type="dxa"/>
            <w:vAlign w:val="center"/>
          </w:tcPr>
          <w:p w14:paraId="11A22A5F">
            <w:pPr>
              <w:adjustRightInd w:val="0"/>
              <w:snapToGrid w:val="0"/>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节能环保要求</w:t>
            </w:r>
          </w:p>
        </w:tc>
        <w:tc>
          <w:tcPr>
            <w:tcW w:w="7419" w:type="dxa"/>
            <w:vAlign w:val="center"/>
          </w:tcPr>
          <w:p w14:paraId="48186362">
            <w:pPr>
              <w:adjustRightInd w:val="0"/>
              <w:snapToGrid w:val="0"/>
              <w:spacing w:line="360" w:lineRule="auto"/>
              <w:rPr>
                <w:rFonts w:ascii="宋体" w:hAnsi="宋体" w:cs="宋体"/>
                <w:b/>
                <w:bCs/>
                <w:snapToGrid w:val="0"/>
                <w:color w:val="auto"/>
                <w:kern w:val="0"/>
                <w:highlight w:val="none"/>
              </w:rPr>
            </w:pPr>
            <w:r>
              <w:rPr>
                <w:rFonts w:hint="eastAsia" w:ascii="宋体" w:hAnsi="宋体" w:cs="宋体"/>
                <w:b/>
                <w:bCs/>
                <w:snapToGrid w:val="0"/>
                <w:color w:val="auto"/>
                <w:kern w:val="0"/>
                <w:highlight w:val="none"/>
              </w:rPr>
              <w:t xml:space="preserve">节约能源、保护环境 </w:t>
            </w:r>
          </w:p>
          <w:p w14:paraId="72BABA4F">
            <w:pPr>
              <w:adjustRightInd w:val="0"/>
              <w:snapToGrid w:val="0"/>
              <w:spacing w:line="360" w:lineRule="auto"/>
              <w:rPr>
                <w:rFonts w:ascii="宋体" w:hAnsi="宋体" w:cs="宋体"/>
                <w:snapToGrid w:val="0"/>
                <w:color w:val="auto"/>
                <w:kern w:val="0"/>
                <w:highlight w:val="none"/>
              </w:rPr>
            </w:pPr>
            <w:r>
              <w:rPr>
                <w:rFonts w:hint="eastAsia" w:ascii="宋体" w:hAnsi="宋体" w:cs="宋体"/>
                <w:snapToGrid w:val="0"/>
                <w:color w:val="auto"/>
                <w:kern w:val="0"/>
                <w:highlight w:val="none"/>
              </w:rPr>
              <w:t xml:space="preserve">根据《关于调整优化节能产品、环境标志产品政府采购执行机制的通知》（财 </w:t>
            </w:r>
          </w:p>
          <w:p w14:paraId="238F780E">
            <w:pPr>
              <w:adjustRightInd w:val="0"/>
              <w:snapToGrid w:val="0"/>
              <w:spacing w:line="360" w:lineRule="auto"/>
              <w:rPr>
                <w:rFonts w:ascii="宋体" w:hAnsi="宋体" w:cs="宋体"/>
                <w:snapToGrid w:val="0"/>
                <w:color w:val="auto"/>
                <w:kern w:val="0"/>
                <w:highlight w:val="none"/>
              </w:rPr>
            </w:pPr>
            <w:r>
              <w:rPr>
                <w:rFonts w:hint="eastAsia" w:ascii="宋体" w:hAnsi="宋体" w:cs="宋体"/>
                <w:snapToGrid w:val="0"/>
                <w:color w:val="auto"/>
                <w:kern w:val="0"/>
                <w:highlight w:val="none"/>
              </w:rPr>
              <w:t xml:space="preserve">库〔2019〕9 号）文件的规定，本项目如需采购节能产品、环境标志产品品目清单内的产品的，投标人所投的相应产品须提供经国家确定的认证机构出具的、 </w:t>
            </w:r>
          </w:p>
          <w:p w14:paraId="7B695D6F">
            <w:pPr>
              <w:adjustRightInd w:val="0"/>
              <w:snapToGrid w:val="0"/>
              <w:spacing w:line="360" w:lineRule="auto"/>
              <w:rPr>
                <w:rFonts w:ascii="宋体" w:hAnsi="宋体" w:cs="宋体"/>
                <w:snapToGrid w:val="0"/>
                <w:color w:val="auto"/>
                <w:kern w:val="0"/>
                <w:highlight w:val="none"/>
              </w:rPr>
            </w:pPr>
            <w:r>
              <w:rPr>
                <w:rFonts w:hint="eastAsia" w:ascii="宋体" w:hAnsi="宋体" w:cs="宋体"/>
                <w:snapToGrid w:val="0"/>
                <w:color w:val="auto"/>
                <w:kern w:val="0"/>
                <w:highlight w:val="none"/>
              </w:rPr>
              <w:t xml:space="preserve">处于有效期之内的节能产品、环境标志产品认证证书，采购人对获得证书的产 </w:t>
            </w:r>
          </w:p>
          <w:p w14:paraId="63817B56">
            <w:pPr>
              <w:adjustRightInd w:val="0"/>
              <w:snapToGrid w:val="0"/>
              <w:spacing w:line="360" w:lineRule="auto"/>
              <w:rPr>
                <w:rFonts w:ascii="宋体" w:hAnsi="宋体" w:cs="宋体"/>
                <w:snapToGrid w:val="0"/>
                <w:color w:val="auto"/>
                <w:kern w:val="0"/>
                <w:highlight w:val="none"/>
              </w:rPr>
            </w:pPr>
            <w:r>
              <w:rPr>
                <w:rFonts w:hint="eastAsia" w:ascii="宋体" w:hAnsi="宋体" w:cs="宋体"/>
                <w:snapToGrid w:val="0"/>
                <w:color w:val="auto"/>
                <w:kern w:val="0"/>
                <w:highlight w:val="none"/>
              </w:rPr>
              <w:t xml:space="preserve">品实施政府优先采购或强制采购。 </w:t>
            </w:r>
          </w:p>
          <w:p w14:paraId="68C6AA3D">
            <w:pPr>
              <w:adjustRightInd w:val="0"/>
              <w:snapToGrid w:val="0"/>
              <w:spacing w:line="360" w:lineRule="auto"/>
              <w:rPr>
                <w:rFonts w:ascii="宋体" w:hAnsi="宋体" w:cs="宋体"/>
                <w:snapToGrid w:val="0"/>
                <w:color w:val="auto"/>
                <w:kern w:val="0"/>
                <w:highlight w:val="none"/>
              </w:rPr>
            </w:pPr>
            <w:r>
              <w:rPr>
                <w:rFonts w:hint="eastAsia" w:ascii="宋体" w:hAnsi="宋体" w:cs="宋体"/>
                <w:snapToGrid w:val="0"/>
                <w:color w:val="auto"/>
                <w:kern w:val="0"/>
                <w:highlight w:val="none"/>
              </w:rPr>
              <w:t xml:space="preserve">提供中国政府采购网（www.ccgp.gov.cn）网页查询打印材料等证明材料。 </w:t>
            </w:r>
          </w:p>
          <w:p w14:paraId="6A520C52">
            <w:pPr>
              <w:adjustRightInd w:val="0"/>
              <w:snapToGrid w:val="0"/>
              <w:spacing w:line="360" w:lineRule="auto"/>
              <w:rPr>
                <w:rFonts w:hAnsi="宋体" w:cs="宋体"/>
                <w:snapToGrid w:val="0"/>
                <w:color w:val="auto"/>
                <w:kern w:val="0"/>
                <w:szCs w:val="21"/>
                <w:highlight w:val="none"/>
              </w:rPr>
            </w:pPr>
            <w:r>
              <w:rPr>
                <w:rFonts w:hint="eastAsia" w:ascii="宋体" w:hAnsi="宋体" w:cs="宋体"/>
                <w:snapToGrid w:val="0"/>
                <w:color w:val="auto"/>
                <w:kern w:val="0"/>
                <w:highlight w:val="none"/>
              </w:rPr>
              <w:t>注：属于强制采购品目清单中的产品如未获得证书，其投标将被拒绝。</w:t>
            </w:r>
          </w:p>
        </w:tc>
      </w:tr>
      <w:tr w14:paraId="02EDB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863" w:type="dxa"/>
            <w:vAlign w:val="center"/>
          </w:tcPr>
          <w:p w14:paraId="36EEBFFE">
            <w:pPr>
              <w:adjustRightInd w:val="0"/>
              <w:snapToGrid w:val="0"/>
              <w:spacing w:line="276" w:lineRule="auto"/>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29</w:t>
            </w:r>
          </w:p>
        </w:tc>
        <w:tc>
          <w:tcPr>
            <w:tcW w:w="1311" w:type="dxa"/>
            <w:vAlign w:val="center"/>
          </w:tcPr>
          <w:p w14:paraId="6A0D9EAE">
            <w:pPr>
              <w:adjustRightInd w:val="0"/>
              <w:snapToGrid w:val="0"/>
              <w:spacing w:line="276" w:lineRule="auto"/>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支持中小企业</w:t>
            </w:r>
          </w:p>
        </w:tc>
        <w:tc>
          <w:tcPr>
            <w:tcW w:w="7419" w:type="dxa"/>
            <w:vAlign w:val="center"/>
          </w:tcPr>
          <w:p w14:paraId="5C68FED3">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1.本项目为非专门面向中小企业预留采购份额；</w:t>
            </w:r>
          </w:p>
          <w:p w14:paraId="208C877C">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2.根据工信部等部委发布的《关于印发中小企业划型标准规定的通知》（工信部联企业〔2011〕300 号）；财政部、工业和信息化部《政府采购促进中小企业发展管理办法》（财库[2020]46 号文）；财政部《关于进一步加大政府采购支持中小企业力度的通知》（财库〔2022〕19 号）规定；</w:t>
            </w:r>
          </w:p>
          <w:p w14:paraId="1EEB9A6B">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3.本次采购标的所属行业为其他未列明行业，符合以下条件的中小微型企业应按照采购文件格式要求提供《中小企业声明函》并执行以下政策：</w:t>
            </w:r>
          </w:p>
          <w:p w14:paraId="3B2B49ED">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36DB942D">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（2）本次投标采购项目中，服务由小微企业承接，即提供服务的人员为小微企业依照《中华人民共和国劳动合同法》订立劳动合同的从业人员。</w:t>
            </w:r>
          </w:p>
          <w:p w14:paraId="1881399D">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（3）根据上述文件规定，须提供中小企业声明函，对满足上述（1）（2）两项条件的小微企业的投标总报价给予10%的扣除，用扣除后的价格参与评审。</w:t>
            </w:r>
          </w:p>
          <w:p w14:paraId="123B07F0">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（4）依据本办法规定享受扶持政策获得政府采购合同的，小微企业不得将合同分包给大中型企业，中型企业不得将合同分包给大型企业。</w:t>
            </w:r>
          </w:p>
          <w:p w14:paraId="1DCB8E6A">
            <w:pPr>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注：中小企业声明函(格式见第六章)</w:t>
            </w:r>
          </w:p>
        </w:tc>
      </w:tr>
      <w:tr w14:paraId="770D5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863" w:type="dxa"/>
            <w:vAlign w:val="center"/>
          </w:tcPr>
          <w:p w14:paraId="7D0F14CF">
            <w:pPr>
              <w:adjustRightInd w:val="0"/>
              <w:snapToGrid w:val="0"/>
              <w:spacing w:line="276" w:lineRule="auto"/>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30</w:t>
            </w:r>
          </w:p>
        </w:tc>
        <w:tc>
          <w:tcPr>
            <w:tcW w:w="1311" w:type="dxa"/>
            <w:vAlign w:val="center"/>
          </w:tcPr>
          <w:p w14:paraId="78A0E231">
            <w:pPr>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合同签订</w:t>
            </w:r>
          </w:p>
        </w:tc>
        <w:tc>
          <w:tcPr>
            <w:tcW w:w="7419" w:type="dxa"/>
            <w:vAlign w:val="center"/>
          </w:tcPr>
          <w:p w14:paraId="0CCE1D5A">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中标通知书发出后30日内，中标供应商持中标通知书与采购人签订合同；</w:t>
            </w:r>
          </w:p>
        </w:tc>
      </w:tr>
      <w:tr w14:paraId="6A8906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863" w:type="dxa"/>
            <w:vAlign w:val="center"/>
          </w:tcPr>
          <w:p w14:paraId="3A64B811">
            <w:pPr>
              <w:adjustRightInd w:val="0"/>
              <w:snapToGrid w:val="0"/>
              <w:spacing w:line="276" w:lineRule="auto"/>
              <w:jc w:val="center"/>
              <w:rPr>
                <w:rFonts w:hint="eastAsia"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rPr>
              <w:t>3</w:t>
            </w:r>
            <w:r>
              <w:rPr>
                <w:rFonts w:hint="eastAsia" w:ascii="宋体" w:hAnsi="宋体" w:cs="宋体"/>
                <w:snapToGrid w:val="0"/>
                <w:color w:val="auto"/>
                <w:kern w:val="0"/>
                <w:szCs w:val="21"/>
                <w:highlight w:val="none"/>
                <w:lang w:val="en-US" w:eastAsia="zh-CN"/>
              </w:rPr>
              <w:t>1</w:t>
            </w:r>
          </w:p>
        </w:tc>
        <w:tc>
          <w:tcPr>
            <w:tcW w:w="1311" w:type="dxa"/>
            <w:vAlign w:val="center"/>
          </w:tcPr>
          <w:p w14:paraId="19F679B2">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履约保证金</w:t>
            </w:r>
          </w:p>
        </w:tc>
        <w:tc>
          <w:tcPr>
            <w:tcW w:w="7419" w:type="dxa"/>
            <w:vAlign w:val="center"/>
          </w:tcPr>
          <w:p w14:paraId="7B40D072">
            <w:pPr>
              <w:spacing w:line="360" w:lineRule="auto"/>
              <w:rPr>
                <w:rFonts w:hint="eastAsia" w:eastAsia="宋体"/>
                <w:color w:val="auto"/>
                <w:highlight w:val="none"/>
                <w:u w:val="none"/>
                <w:lang w:eastAsia="zh-CN"/>
              </w:rPr>
            </w:pPr>
            <w:r>
              <w:rPr>
                <w:rFonts w:hint="eastAsia"/>
                <w:color w:val="auto"/>
                <w:highlight w:val="none"/>
                <w:u w:val="none"/>
              </w:rPr>
              <w:t>1</w:t>
            </w:r>
            <w:r>
              <w:rPr>
                <w:rFonts w:hint="eastAsia"/>
                <w:color w:val="auto"/>
                <w:highlight w:val="none"/>
                <w:u w:val="none"/>
                <w:lang w:val="en-US" w:eastAsia="zh-CN"/>
              </w:rPr>
              <w:t>.</w:t>
            </w:r>
            <w:r>
              <w:rPr>
                <w:rFonts w:hint="eastAsia"/>
                <w:color w:val="auto"/>
                <w:highlight w:val="none"/>
                <w:u w:val="none"/>
              </w:rPr>
              <w:t>金额：</w:t>
            </w:r>
            <w:r>
              <w:rPr>
                <w:rFonts w:hint="eastAsia" w:eastAsia="宋体"/>
                <w:color w:val="auto"/>
                <w:highlight w:val="none"/>
                <w:u w:val="none"/>
              </w:rPr>
              <w:t>合同金额的</w:t>
            </w:r>
            <w:r>
              <w:rPr>
                <w:rFonts w:hint="eastAsia" w:eastAsia="宋体"/>
                <w:color w:val="auto"/>
                <w:highlight w:val="none"/>
                <w:u w:val="none"/>
                <w:lang w:val="en-US" w:eastAsia="zh-CN"/>
              </w:rPr>
              <w:t>10</w:t>
            </w:r>
            <w:r>
              <w:rPr>
                <w:rFonts w:hint="eastAsia" w:eastAsia="宋体"/>
                <w:color w:val="auto"/>
                <w:highlight w:val="none"/>
                <w:u w:val="none"/>
              </w:rPr>
              <w:t>%，签订合同前交至采购人指定帐户</w:t>
            </w:r>
            <w:r>
              <w:rPr>
                <w:rFonts w:hint="eastAsia" w:eastAsia="宋体"/>
                <w:color w:val="auto"/>
                <w:highlight w:val="none"/>
                <w:u w:val="none"/>
                <w:lang w:eastAsia="zh-CN"/>
              </w:rPr>
              <w:t>；</w:t>
            </w:r>
          </w:p>
          <w:p w14:paraId="38AAD056">
            <w:pPr>
              <w:adjustRightInd w:val="0"/>
              <w:spacing w:line="360" w:lineRule="auto"/>
              <w:rPr>
                <w:color w:val="auto"/>
                <w:highlight w:val="none"/>
              </w:rPr>
            </w:pPr>
            <w:r>
              <w:rPr>
                <w:rFonts w:hint="eastAsia"/>
                <w:color w:val="auto"/>
                <w:highlight w:val="none"/>
              </w:rPr>
              <w:t>2.缴纳形式：应当以支票、汇票、本票或者金融机构、担保机构出具的保函等非现金形式提交。</w:t>
            </w:r>
          </w:p>
          <w:p w14:paraId="294A5571">
            <w:pPr>
              <w:adjustRightInd w:val="0"/>
              <w:spacing w:line="360" w:lineRule="auto"/>
              <w:rPr>
                <w:color w:val="auto"/>
                <w:highlight w:val="none"/>
              </w:rPr>
            </w:pPr>
            <w:r>
              <w:rPr>
                <w:rFonts w:hint="eastAsia"/>
                <w:color w:val="auto"/>
                <w:highlight w:val="none"/>
              </w:rPr>
              <w:t>3.履约保证金缴纳时间：领取中标通知书后，签订合同前；</w:t>
            </w:r>
          </w:p>
          <w:p w14:paraId="41BFF501">
            <w:pPr>
              <w:adjustRightInd w:val="0"/>
              <w:spacing w:line="360" w:lineRule="auto"/>
              <w:rPr>
                <w:color w:val="auto"/>
                <w:highlight w:val="none"/>
              </w:rPr>
            </w:pPr>
            <w:r>
              <w:rPr>
                <w:rFonts w:hint="eastAsia"/>
                <w:color w:val="auto"/>
                <w:highlight w:val="none"/>
              </w:rPr>
              <w:t>4.履约保证金接收人：</w:t>
            </w:r>
            <w:r>
              <w:rPr>
                <w:rFonts w:hint="eastAsia"/>
                <w:color w:val="auto"/>
                <w:highlight w:val="none"/>
                <w:lang w:val="en-US" w:eastAsia="zh-CN"/>
              </w:rPr>
              <w:t>采购人</w:t>
            </w:r>
            <w:r>
              <w:rPr>
                <w:rFonts w:hint="eastAsia"/>
                <w:color w:val="auto"/>
                <w:highlight w:val="none"/>
              </w:rPr>
              <w:t>；</w:t>
            </w:r>
          </w:p>
          <w:p w14:paraId="3A8FEF33">
            <w:pPr>
              <w:adjustRightInd w:val="0"/>
              <w:snapToGrid w:val="0"/>
              <w:spacing w:line="360" w:lineRule="auto"/>
              <w:rPr>
                <w:rFonts w:ascii="宋体" w:hAnsi="宋体" w:cs="宋体"/>
                <w:snapToGrid w:val="0"/>
                <w:color w:val="auto"/>
                <w:kern w:val="0"/>
                <w:szCs w:val="21"/>
                <w:highlight w:val="none"/>
              </w:rPr>
            </w:pPr>
            <w:r>
              <w:rPr>
                <w:rFonts w:hint="eastAsia" w:ascii="Times New Roman" w:hAnsi="Times New Roman" w:cs="Times New Roman"/>
                <w:color w:val="auto"/>
                <w:highlight w:val="none"/>
              </w:rPr>
              <w:t>5.履约保证金退还：项目</w:t>
            </w:r>
            <w:r>
              <w:rPr>
                <w:rFonts w:hint="eastAsia" w:ascii="Times New Roman" w:hAnsi="Times New Roman" w:cs="Times New Roman"/>
                <w:color w:val="auto"/>
                <w:highlight w:val="none"/>
                <w:lang w:val="en-US" w:eastAsia="zh-CN"/>
              </w:rPr>
              <w:t>正式</w:t>
            </w:r>
            <w:r>
              <w:rPr>
                <w:rFonts w:hint="eastAsia" w:ascii="Times New Roman" w:hAnsi="Times New Roman" w:cs="Times New Roman"/>
                <w:color w:val="auto"/>
                <w:highlight w:val="none"/>
              </w:rPr>
              <w:t>验收通过后，无质量与服务问题且经采购人确认后5个工作日内无息退还。</w:t>
            </w:r>
          </w:p>
        </w:tc>
      </w:tr>
      <w:tr w14:paraId="2684B7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863" w:type="dxa"/>
            <w:vAlign w:val="center"/>
          </w:tcPr>
          <w:p w14:paraId="1C7E5FFA">
            <w:pPr>
              <w:adjustRightInd w:val="0"/>
              <w:snapToGrid w:val="0"/>
              <w:spacing w:line="276" w:lineRule="auto"/>
              <w:jc w:val="center"/>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32</w:t>
            </w:r>
          </w:p>
        </w:tc>
        <w:tc>
          <w:tcPr>
            <w:tcW w:w="1311" w:type="dxa"/>
            <w:vAlign w:val="center"/>
          </w:tcPr>
          <w:p w14:paraId="17307F1E">
            <w:pPr>
              <w:adjustRightInd w:val="0"/>
              <w:snapToGrid w:val="0"/>
              <w:spacing w:line="276" w:lineRule="auto"/>
              <w:jc w:val="center"/>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投标保证金</w:t>
            </w:r>
          </w:p>
        </w:tc>
        <w:tc>
          <w:tcPr>
            <w:tcW w:w="7419" w:type="dxa"/>
            <w:vAlign w:val="center"/>
          </w:tcPr>
          <w:p w14:paraId="62F957D1">
            <w:pPr>
              <w:pStyle w:val="174"/>
              <w:keepNext w:val="0"/>
              <w:keepLines w:val="0"/>
              <w:pageBreakBefore w:val="0"/>
              <w:widowControl w:val="0"/>
              <w:kinsoku/>
              <w:wordWrap/>
              <w:overflowPunct/>
              <w:topLinePunct w:val="0"/>
              <w:autoSpaceDE w:val="0"/>
              <w:autoSpaceDN w:val="0"/>
              <w:bidi w:val="0"/>
              <w:adjustRightInd/>
              <w:snapToGrid/>
              <w:spacing w:line="288" w:lineRule="auto"/>
              <w:ind w:left="108" w:right="91"/>
              <w:jc w:val="both"/>
              <w:textAlignment w:val="auto"/>
              <w:rPr>
                <w:rFonts w:hint="eastAsia"/>
                <w:color w:val="auto"/>
                <w:sz w:val="21"/>
                <w:szCs w:val="21"/>
                <w:highlight w:val="none"/>
                <w:lang w:val="en-US"/>
              </w:rPr>
            </w:pPr>
            <w:r>
              <w:rPr>
                <w:rFonts w:hint="eastAsia"/>
                <w:color w:val="auto"/>
                <w:sz w:val="21"/>
                <w:szCs w:val="21"/>
                <w:highlight w:val="none"/>
                <w:lang w:val="en-US"/>
              </w:rPr>
              <w:t>是否要求投标人递交投标保证金：</w:t>
            </w:r>
          </w:p>
          <w:p w14:paraId="18B79B4F">
            <w:pPr>
              <w:pStyle w:val="174"/>
              <w:keepNext w:val="0"/>
              <w:keepLines w:val="0"/>
              <w:pageBreakBefore w:val="0"/>
              <w:widowControl w:val="0"/>
              <w:kinsoku/>
              <w:wordWrap/>
              <w:overflowPunct/>
              <w:topLinePunct w:val="0"/>
              <w:autoSpaceDE w:val="0"/>
              <w:autoSpaceDN w:val="0"/>
              <w:bidi w:val="0"/>
              <w:adjustRightInd/>
              <w:snapToGrid/>
              <w:spacing w:line="288" w:lineRule="auto"/>
              <w:ind w:left="108" w:right="91"/>
              <w:jc w:val="both"/>
              <w:textAlignment w:val="auto"/>
              <w:rPr>
                <w:rFonts w:hint="eastAsia"/>
                <w:color w:val="auto"/>
                <w:sz w:val="21"/>
                <w:szCs w:val="21"/>
                <w:highlight w:val="none"/>
                <w:lang w:val="en-US"/>
              </w:rPr>
            </w:pPr>
            <w:r>
              <w:rPr>
                <w:rFonts w:hint="eastAsia"/>
                <w:color w:val="auto"/>
                <w:sz w:val="21"/>
                <w:szCs w:val="21"/>
                <w:highlight w:val="none"/>
                <w:lang w:val="en-US"/>
              </w:rPr>
              <w:t>☑要求，</w:t>
            </w:r>
          </w:p>
          <w:p w14:paraId="48F5602F">
            <w:pPr>
              <w:pStyle w:val="174"/>
              <w:keepNext w:val="0"/>
              <w:keepLines w:val="0"/>
              <w:pageBreakBefore w:val="0"/>
              <w:widowControl w:val="0"/>
              <w:kinsoku/>
              <w:wordWrap/>
              <w:overflowPunct/>
              <w:topLinePunct w:val="0"/>
              <w:autoSpaceDE w:val="0"/>
              <w:autoSpaceDN w:val="0"/>
              <w:bidi w:val="0"/>
              <w:adjustRightInd/>
              <w:snapToGrid/>
              <w:spacing w:line="288" w:lineRule="auto"/>
              <w:ind w:right="91"/>
              <w:jc w:val="both"/>
              <w:textAlignment w:val="auto"/>
              <w:rPr>
                <w:rFonts w:hint="eastAsia" w:eastAsia="宋体"/>
                <w:color w:val="auto"/>
                <w:sz w:val="21"/>
                <w:szCs w:val="21"/>
                <w:highlight w:val="none"/>
                <w:lang w:val="en-US" w:eastAsia="zh-CN"/>
              </w:rPr>
            </w:pPr>
            <w:r>
              <w:rPr>
                <w:rFonts w:hint="eastAsia"/>
                <w:color w:val="auto"/>
                <w:sz w:val="21"/>
                <w:szCs w:val="21"/>
                <w:highlight w:val="none"/>
                <w:lang w:val="en-US"/>
              </w:rPr>
              <w:t>1</w:t>
            </w:r>
            <w:r>
              <w:rPr>
                <w:rFonts w:hint="eastAsia"/>
                <w:color w:val="auto"/>
                <w:sz w:val="21"/>
                <w:szCs w:val="21"/>
                <w:highlight w:val="none"/>
                <w:lang w:val="en-US" w:eastAsia="zh-CN"/>
              </w:rPr>
              <w:t>.</w:t>
            </w:r>
            <w:r>
              <w:rPr>
                <w:rFonts w:hint="eastAsia"/>
                <w:color w:val="auto"/>
                <w:sz w:val="21"/>
                <w:szCs w:val="21"/>
                <w:highlight w:val="none"/>
                <w:lang w:val="en-US"/>
              </w:rPr>
              <w:t>投标保证金的形式：投标保证金应当以支票、汇票、本票或者金融机构、担保机构出具的保函等非现金形式提交</w:t>
            </w:r>
            <w:r>
              <w:rPr>
                <w:rFonts w:hint="eastAsia"/>
                <w:color w:val="auto"/>
                <w:sz w:val="21"/>
                <w:szCs w:val="21"/>
                <w:highlight w:val="none"/>
                <w:lang w:val="en-US" w:eastAsia="zh-CN"/>
              </w:rPr>
              <w:t>。</w:t>
            </w:r>
          </w:p>
          <w:p w14:paraId="3583DBF3">
            <w:pPr>
              <w:pStyle w:val="174"/>
              <w:keepNext w:val="0"/>
              <w:keepLines w:val="0"/>
              <w:pageBreakBefore w:val="0"/>
              <w:widowControl w:val="0"/>
              <w:kinsoku/>
              <w:wordWrap/>
              <w:overflowPunct/>
              <w:topLinePunct w:val="0"/>
              <w:autoSpaceDE w:val="0"/>
              <w:autoSpaceDN w:val="0"/>
              <w:bidi w:val="0"/>
              <w:adjustRightInd/>
              <w:snapToGrid/>
              <w:spacing w:line="288" w:lineRule="auto"/>
              <w:ind w:left="108" w:right="91"/>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rPr>
              <w:t>投标保证金的金额：</w:t>
            </w:r>
            <w:r>
              <w:rPr>
                <w:rFonts w:hint="eastAsia"/>
                <w:color w:val="auto"/>
                <w:sz w:val="21"/>
                <w:szCs w:val="21"/>
                <w:highlight w:val="none"/>
                <w:lang w:val="en-US" w:eastAsia="zh-CN"/>
              </w:rPr>
              <w:t>20000</w:t>
            </w:r>
            <w:r>
              <w:rPr>
                <w:rFonts w:hint="eastAsia"/>
                <w:color w:val="auto"/>
                <w:sz w:val="21"/>
                <w:szCs w:val="21"/>
                <w:highlight w:val="none"/>
                <w:lang w:val="en-US"/>
              </w:rPr>
              <w:t>.00元（大写：</w:t>
            </w:r>
            <w:r>
              <w:rPr>
                <w:rFonts w:hint="eastAsia"/>
                <w:color w:val="auto"/>
                <w:sz w:val="21"/>
                <w:szCs w:val="21"/>
                <w:highlight w:val="none"/>
                <w:lang w:val="en-US" w:eastAsia="zh-CN"/>
              </w:rPr>
              <w:t>贰</w:t>
            </w:r>
            <w:r>
              <w:rPr>
                <w:rFonts w:hint="eastAsia"/>
                <w:color w:val="auto"/>
                <w:sz w:val="21"/>
                <w:szCs w:val="21"/>
                <w:highlight w:val="none"/>
                <w:lang w:val="en-US"/>
              </w:rPr>
              <w:t>万元整）</w:t>
            </w:r>
          </w:p>
          <w:p w14:paraId="2128FFCD">
            <w:pPr>
              <w:pStyle w:val="174"/>
              <w:keepNext w:val="0"/>
              <w:keepLines w:val="0"/>
              <w:pageBreakBefore w:val="0"/>
              <w:widowControl w:val="0"/>
              <w:kinsoku/>
              <w:wordWrap/>
              <w:overflowPunct/>
              <w:topLinePunct w:val="0"/>
              <w:autoSpaceDE w:val="0"/>
              <w:autoSpaceDN w:val="0"/>
              <w:bidi w:val="0"/>
              <w:adjustRightInd/>
              <w:snapToGrid/>
              <w:spacing w:line="288" w:lineRule="auto"/>
              <w:ind w:left="108" w:right="91"/>
              <w:jc w:val="both"/>
              <w:textAlignment w:val="auto"/>
              <w:rPr>
                <w:rFonts w:hint="eastAsia"/>
                <w:color w:val="auto"/>
                <w:sz w:val="21"/>
                <w:szCs w:val="21"/>
                <w:highlight w:val="none"/>
                <w:lang w:val="en-US"/>
              </w:rPr>
            </w:pPr>
            <w:r>
              <w:rPr>
                <w:rFonts w:hint="eastAsia"/>
                <w:color w:val="auto"/>
                <w:sz w:val="21"/>
                <w:szCs w:val="21"/>
                <w:highlight w:val="none"/>
                <w:lang w:val="en-US"/>
              </w:rPr>
              <w:t>账户名称：新疆华域建设工程项目管理咨询有限公司</w:t>
            </w:r>
          </w:p>
          <w:p w14:paraId="6199CCC5">
            <w:pPr>
              <w:pStyle w:val="174"/>
              <w:keepNext w:val="0"/>
              <w:keepLines w:val="0"/>
              <w:pageBreakBefore w:val="0"/>
              <w:widowControl w:val="0"/>
              <w:kinsoku/>
              <w:wordWrap/>
              <w:overflowPunct/>
              <w:topLinePunct w:val="0"/>
              <w:autoSpaceDE w:val="0"/>
              <w:autoSpaceDN w:val="0"/>
              <w:bidi w:val="0"/>
              <w:adjustRightInd/>
              <w:snapToGrid/>
              <w:spacing w:line="288" w:lineRule="auto"/>
              <w:ind w:left="108" w:right="91"/>
              <w:jc w:val="both"/>
              <w:textAlignment w:val="auto"/>
              <w:rPr>
                <w:rFonts w:hint="eastAsia"/>
                <w:color w:val="auto"/>
                <w:sz w:val="21"/>
                <w:szCs w:val="21"/>
                <w:highlight w:val="none"/>
                <w:lang w:val="en-US"/>
              </w:rPr>
            </w:pPr>
            <w:r>
              <w:rPr>
                <w:rFonts w:hint="eastAsia"/>
                <w:color w:val="auto"/>
                <w:sz w:val="21"/>
                <w:szCs w:val="21"/>
                <w:highlight w:val="none"/>
                <w:lang w:val="en-US"/>
              </w:rPr>
              <w:t>帐号：107083025521</w:t>
            </w:r>
          </w:p>
          <w:p w14:paraId="5801CDCA">
            <w:pPr>
              <w:pStyle w:val="174"/>
              <w:keepNext w:val="0"/>
              <w:keepLines w:val="0"/>
              <w:pageBreakBefore w:val="0"/>
              <w:widowControl w:val="0"/>
              <w:kinsoku/>
              <w:wordWrap/>
              <w:overflowPunct/>
              <w:topLinePunct w:val="0"/>
              <w:autoSpaceDE w:val="0"/>
              <w:autoSpaceDN w:val="0"/>
              <w:bidi w:val="0"/>
              <w:adjustRightInd/>
              <w:snapToGrid/>
              <w:spacing w:line="288" w:lineRule="auto"/>
              <w:ind w:left="108" w:right="91"/>
              <w:jc w:val="both"/>
              <w:textAlignment w:val="auto"/>
              <w:rPr>
                <w:rFonts w:hint="eastAsia"/>
                <w:color w:val="auto"/>
                <w:sz w:val="21"/>
                <w:szCs w:val="21"/>
                <w:highlight w:val="none"/>
                <w:lang w:val="en-US"/>
              </w:rPr>
            </w:pPr>
            <w:r>
              <w:rPr>
                <w:rFonts w:hint="eastAsia"/>
                <w:color w:val="auto"/>
                <w:sz w:val="21"/>
                <w:szCs w:val="21"/>
                <w:highlight w:val="none"/>
                <w:lang w:val="en-US"/>
              </w:rPr>
              <w:t>行号：104881006151</w:t>
            </w:r>
          </w:p>
          <w:p w14:paraId="2BF8386D">
            <w:pPr>
              <w:pStyle w:val="174"/>
              <w:keepNext w:val="0"/>
              <w:keepLines w:val="0"/>
              <w:pageBreakBefore w:val="0"/>
              <w:widowControl w:val="0"/>
              <w:kinsoku/>
              <w:wordWrap/>
              <w:overflowPunct/>
              <w:topLinePunct w:val="0"/>
              <w:autoSpaceDE w:val="0"/>
              <w:autoSpaceDN w:val="0"/>
              <w:bidi w:val="0"/>
              <w:adjustRightInd/>
              <w:snapToGrid/>
              <w:spacing w:line="288" w:lineRule="auto"/>
              <w:ind w:left="108" w:right="91"/>
              <w:jc w:val="both"/>
              <w:textAlignment w:val="auto"/>
              <w:rPr>
                <w:rFonts w:hint="eastAsia"/>
                <w:color w:val="auto"/>
                <w:sz w:val="21"/>
                <w:szCs w:val="21"/>
                <w:highlight w:val="none"/>
                <w:lang w:val="en-US"/>
              </w:rPr>
            </w:pPr>
            <w:r>
              <w:rPr>
                <w:rFonts w:hint="eastAsia"/>
                <w:color w:val="auto"/>
                <w:sz w:val="21"/>
                <w:szCs w:val="21"/>
                <w:highlight w:val="none"/>
                <w:lang w:val="en-US"/>
              </w:rPr>
              <w:t xml:space="preserve">开户行名称：中国银行乌鲁木齐南湖东路支行          </w:t>
            </w:r>
          </w:p>
          <w:p w14:paraId="258143EC">
            <w:pPr>
              <w:pStyle w:val="174"/>
              <w:keepNext w:val="0"/>
              <w:keepLines w:val="0"/>
              <w:pageBreakBefore w:val="0"/>
              <w:widowControl w:val="0"/>
              <w:kinsoku/>
              <w:wordWrap/>
              <w:overflowPunct/>
              <w:topLinePunct w:val="0"/>
              <w:autoSpaceDE w:val="0"/>
              <w:autoSpaceDN w:val="0"/>
              <w:bidi w:val="0"/>
              <w:adjustRightInd/>
              <w:snapToGrid/>
              <w:spacing w:line="288" w:lineRule="auto"/>
              <w:ind w:left="108" w:right="91"/>
              <w:jc w:val="both"/>
              <w:textAlignment w:val="auto"/>
              <w:rPr>
                <w:rFonts w:hint="eastAsia"/>
                <w:color w:val="auto"/>
                <w:sz w:val="21"/>
                <w:szCs w:val="21"/>
                <w:highlight w:val="none"/>
                <w:lang w:val="en-US"/>
              </w:rPr>
            </w:pPr>
            <w:r>
              <w:rPr>
                <w:rFonts w:hint="eastAsia"/>
                <w:color w:val="auto"/>
                <w:sz w:val="21"/>
                <w:szCs w:val="21"/>
                <w:highlight w:val="none"/>
                <w:lang w:val="en-US"/>
              </w:rPr>
              <w:t>投标保证金的缴纳开始至结束时间（开标前），投标人应充分考虑资金到账时间，在规定的时限前自行办妥投标保证金缴纳手续，投标保证金的缴付时间以电汇凭证和网银对账单上的时间为准，超过缴纳的时限缴纳投标保证金视为投标无效。</w:t>
            </w:r>
          </w:p>
          <w:p w14:paraId="37E8D81F">
            <w:pPr>
              <w:adjustRightInd w:val="0"/>
              <w:snapToGrid w:val="0"/>
              <w:spacing w:line="360" w:lineRule="auto"/>
              <w:rPr>
                <w:rFonts w:hint="default" w:ascii="Times New Roman" w:hAnsi="Times New Roman" w:eastAsia="宋体" w:cs="Times New Roman"/>
                <w:color w:val="auto"/>
                <w:highlight w:val="none"/>
                <w:lang w:val="en-US" w:eastAsia="zh-CN"/>
              </w:rPr>
            </w:pPr>
            <w:r>
              <w:rPr>
                <w:rFonts w:hint="eastAsia"/>
                <w:color w:val="auto"/>
                <w:sz w:val="21"/>
                <w:szCs w:val="21"/>
                <w:highlight w:val="none"/>
                <w:lang w:val="en-US"/>
              </w:rPr>
              <w:t>2.</w:t>
            </w:r>
            <w:r>
              <w:rPr>
                <w:rFonts w:hint="eastAsia" w:ascii="Calibri" w:hAnsi="Calibri" w:eastAsia="宋体" w:cs="Calibri"/>
                <w:color w:val="auto"/>
                <w:kern w:val="2"/>
                <w:sz w:val="21"/>
                <w:szCs w:val="21"/>
                <w:highlight w:val="none"/>
                <w:lang w:val="en-US" w:eastAsia="zh-CN" w:bidi="ar-SA"/>
              </w:rPr>
              <w:t>投标保证金必须采用电汇、网银转帐、保函等其他法律法规允许的方式，由投标单位基本帐户转出（不得以现金形式缴纳，不得以分公司、办事处或其他机构名义缴纳),投标人在缴纳投标保证金时，需在进帐凭证上明确资金用途、投标项目名称、标段编号，以确保保证金按时退回，并注明联系人及电话，以便查对核实。</w:t>
            </w:r>
          </w:p>
        </w:tc>
      </w:tr>
      <w:tr w14:paraId="5162FA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8" w:hRule="atLeast"/>
          <w:jc w:val="center"/>
        </w:trPr>
        <w:tc>
          <w:tcPr>
            <w:tcW w:w="863" w:type="dxa"/>
            <w:vMerge w:val="restart"/>
            <w:vAlign w:val="center"/>
          </w:tcPr>
          <w:p w14:paraId="3E9B6A05">
            <w:pPr>
              <w:adjustRightInd w:val="0"/>
              <w:snapToGrid w:val="0"/>
              <w:spacing w:line="276" w:lineRule="auto"/>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33</w:t>
            </w:r>
          </w:p>
        </w:tc>
        <w:tc>
          <w:tcPr>
            <w:tcW w:w="1311" w:type="dxa"/>
            <w:vMerge w:val="restart"/>
            <w:vAlign w:val="center"/>
          </w:tcPr>
          <w:p w14:paraId="4803E8AC">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bCs/>
                <w:snapToGrid w:val="0"/>
                <w:color w:val="auto"/>
                <w:kern w:val="0"/>
                <w:szCs w:val="21"/>
                <w:highlight w:val="none"/>
              </w:rPr>
              <w:t>投标人信用信息事项</w:t>
            </w:r>
          </w:p>
        </w:tc>
        <w:tc>
          <w:tcPr>
            <w:tcW w:w="7419" w:type="dxa"/>
            <w:vAlign w:val="center"/>
          </w:tcPr>
          <w:p w14:paraId="67F5D97F">
            <w:pPr>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信用信息查询渠道及截止时间：项目评审组织人员将通过“信用中国”网站(www.creditchina.gov.cn)、中国政府采购网(www.ccgp.gov.cn)渠道查询投标人投标截止时间前的信用记录。</w:t>
            </w:r>
          </w:p>
        </w:tc>
      </w:tr>
      <w:tr w14:paraId="7D87D7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8" w:hRule="atLeast"/>
          <w:jc w:val="center"/>
        </w:trPr>
        <w:tc>
          <w:tcPr>
            <w:tcW w:w="863" w:type="dxa"/>
            <w:vMerge w:val="continue"/>
            <w:vAlign w:val="center"/>
          </w:tcPr>
          <w:p w14:paraId="67F12094">
            <w:pPr>
              <w:adjustRightInd w:val="0"/>
              <w:snapToGrid w:val="0"/>
              <w:spacing w:line="276" w:lineRule="auto"/>
              <w:jc w:val="center"/>
              <w:rPr>
                <w:rFonts w:ascii="宋体" w:hAnsi="宋体" w:cs="宋体"/>
                <w:snapToGrid w:val="0"/>
                <w:color w:val="auto"/>
                <w:kern w:val="0"/>
                <w:szCs w:val="21"/>
                <w:highlight w:val="none"/>
              </w:rPr>
            </w:pPr>
          </w:p>
        </w:tc>
        <w:tc>
          <w:tcPr>
            <w:tcW w:w="1311" w:type="dxa"/>
            <w:vMerge w:val="continue"/>
            <w:vAlign w:val="center"/>
          </w:tcPr>
          <w:p w14:paraId="30AA307A">
            <w:pPr>
              <w:adjustRightInd w:val="0"/>
              <w:snapToGrid w:val="0"/>
              <w:spacing w:line="360" w:lineRule="auto"/>
              <w:jc w:val="center"/>
              <w:rPr>
                <w:rFonts w:ascii="宋体" w:hAnsi="宋体" w:cs="宋体"/>
                <w:snapToGrid w:val="0"/>
                <w:color w:val="auto"/>
                <w:kern w:val="0"/>
                <w:szCs w:val="21"/>
                <w:highlight w:val="none"/>
              </w:rPr>
            </w:pPr>
          </w:p>
        </w:tc>
        <w:tc>
          <w:tcPr>
            <w:tcW w:w="7419" w:type="dxa"/>
            <w:vAlign w:val="center"/>
          </w:tcPr>
          <w:p w14:paraId="4378D2A3">
            <w:pPr>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信用信息的使用规则：经查询列入失信被执行人名单、重大税收违法案件当事人名单、政府采购严重违法失信行为记录名单的投标人的投标文件将被拒绝。</w:t>
            </w:r>
          </w:p>
        </w:tc>
      </w:tr>
      <w:tr w14:paraId="182DB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863" w:type="dxa"/>
            <w:vAlign w:val="center"/>
          </w:tcPr>
          <w:p w14:paraId="27852DB8">
            <w:pPr>
              <w:adjustRightInd w:val="0"/>
              <w:snapToGrid w:val="0"/>
              <w:spacing w:line="276" w:lineRule="auto"/>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34</w:t>
            </w:r>
          </w:p>
        </w:tc>
        <w:tc>
          <w:tcPr>
            <w:tcW w:w="1311" w:type="dxa"/>
            <w:vAlign w:val="center"/>
          </w:tcPr>
          <w:p w14:paraId="6C834548">
            <w:pPr>
              <w:adjustRightInd w:val="0"/>
              <w:snapToGrid w:val="0"/>
              <w:spacing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其他说明</w:t>
            </w:r>
          </w:p>
        </w:tc>
        <w:tc>
          <w:tcPr>
            <w:tcW w:w="7419" w:type="dxa"/>
            <w:vAlign w:val="center"/>
          </w:tcPr>
          <w:p w14:paraId="4CD44AC7">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val="en-US" w:eastAsia="zh-CN"/>
              </w:rPr>
              <w:t>.</w:t>
            </w:r>
            <w:r>
              <w:rPr>
                <w:rFonts w:hint="eastAsia" w:ascii="宋体" w:hAnsi="宋体" w:cs="宋体"/>
                <w:snapToGrid w:val="0"/>
                <w:color w:val="auto"/>
                <w:kern w:val="0"/>
                <w:szCs w:val="21"/>
                <w:highlight w:val="none"/>
              </w:rPr>
              <w:t>投标截止后，在投标有效期内，供应商不能撤销投标文件。供应商强行撤销投标文件的，应按预算金额的2%赔偿对</w:t>
            </w:r>
            <w:r>
              <w:rPr>
                <w:rFonts w:hint="eastAsia" w:ascii="宋体" w:hAnsi="宋体" w:cs="宋体"/>
                <w:snapToGrid w:val="0"/>
                <w:color w:val="auto"/>
                <w:kern w:val="0"/>
                <w:szCs w:val="21"/>
                <w:highlight w:val="none"/>
                <w:lang w:val="en-US" w:eastAsia="zh-CN"/>
              </w:rPr>
              <w:t>采购人</w:t>
            </w:r>
            <w:r>
              <w:rPr>
                <w:rFonts w:hint="eastAsia" w:ascii="宋体" w:hAnsi="宋体" w:cs="宋体"/>
                <w:snapToGrid w:val="0"/>
                <w:color w:val="auto"/>
                <w:kern w:val="0"/>
                <w:szCs w:val="21"/>
                <w:highlight w:val="none"/>
              </w:rPr>
              <w:t>造成的损失。</w:t>
            </w:r>
          </w:p>
          <w:p w14:paraId="5168CBD8">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r>
              <w:rPr>
                <w:rFonts w:hint="eastAsia" w:ascii="宋体" w:hAnsi="宋体" w:cs="宋体"/>
                <w:snapToGrid w:val="0"/>
                <w:color w:val="auto"/>
                <w:kern w:val="0"/>
                <w:szCs w:val="21"/>
                <w:highlight w:val="none"/>
                <w:lang w:val="en-US" w:eastAsia="zh-CN"/>
              </w:rPr>
              <w:t>.</w:t>
            </w:r>
            <w:r>
              <w:rPr>
                <w:rFonts w:hint="eastAsia" w:ascii="宋体" w:hAnsi="宋体" w:cs="宋体"/>
                <w:snapToGrid w:val="0"/>
                <w:color w:val="auto"/>
                <w:kern w:val="0"/>
                <w:szCs w:val="21"/>
                <w:highlight w:val="none"/>
              </w:rPr>
              <w:t>中标后，供应商拒绝签订合同的，采购人重新开展政府采购活动。供应商中标后拒绝签订合同的，应按预算金额的2%对采购人进行赔偿；赔偿金额不足以弥补采购人损失的，供应商应继续承担超过部分的损失。</w:t>
            </w:r>
          </w:p>
          <w:p w14:paraId="56EF5E04">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3</w:t>
            </w:r>
            <w:r>
              <w:rPr>
                <w:rFonts w:hint="eastAsia" w:ascii="宋体" w:hAnsi="宋体" w:cs="宋体"/>
                <w:snapToGrid w:val="0"/>
                <w:color w:val="auto"/>
                <w:kern w:val="0"/>
                <w:szCs w:val="21"/>
                <w:highlight w:val="none"/>
                <w:lang w:val="en-US" w:eastAsia="zh-CN"/>
              </w:rPr>
              <w:t>.</w:t>
            </w:r>
            <w:r>
              <w:rPr>
                <w:rFonts w:hint="eastAsia" w:ascii="宋体" w:hAnsi="宋体" w:cs="宋体"/>
                <w:snapToGrid w:val="0"/>
                <w:color w:val="auto"/>
                <w:kern w:val="0"/>
                <w:szCs w:val="21"/>
                <w:highlight w:val="none"/>
              </w:rPr>
              <w:t>存在下列行为的，招标代理机构将其失信行为上报政府采购主管部门，由主管部门按有关规定对其违法失信行为记录进行公开：</w:t>
            </w:r>
          </w:p>
          <w:p w14:paraId="1A72D4A4">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（1）中标或者成交后，拒绝签订政府采购合同的；</w:t>
            </w:r>
          </w:p>
          <w:p w14:paraId="61D1C7FF">
            <w:pPr>
              <w:adjustRightInd w:val="0"/>
              <w:snapToGrid w:val="0"/>
              <w:spacing w:line="360"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（2）投标有效期内撤销投标文件的。</w:t>
            </w:r>
          </w:p>
          <w:p w14:paraId="6D98E1C2">
            <w:pPr>
              <w:adjustRightInd w:val="0"/>
              <w:snapToGrid w:val="0"/>
              <w:spacing w:line="360" w:lineRule="auto"/>
              <w:rPr>
                <w:rFonts w:hint="default" w:eastAsia="宋体"/>
                <w:color w:val="auto"/>
                <w:highlight w:val="none"/>
                <w:lang w:val="en-US" w:eastAsia="zh-CN"/>
              </w:rPr>
            </w:pPr>
            <w:r>
              <w:rPr>
                <w:rFonts w:hint="eastAsia" w:ascii="宋体" w:hAnsi="宋体" w:cs="宋体"/>
                <w:b/>
                <w:bCs/>
                <w:snapToGrid w:val="0"/>
                <w:color w:val="auto"/>
                <w:kern w:val="0"/>
                <w:szCs w:val="21"/>
                <w:highlight w:val="none"/>
                <w:u w:val="single"/>
                <w:lang w:val="en-US" w:eastAsia="zh-CN"/>
              </w:rPr>
              <w:t>4.潜在投标人在获取采购文件后，如有意向参加投标，应前往代理机构现场拷贝本项目相关材料以便制作投标文件（需先电话联系并提供相关材料后方可拷贝相关材料），如未拷贝材料，所造成的一切后果由投标人自行承担。单位地址：乌鲁木齐市五星北路194号新地园大厦13楼，联系人：李娟娟13179816599</w:t>
            </w:r>
          </w:p>
        </w:tc>
      </w:tr>
      <w:tr w14:paraId="35FB08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61" w:hRule="atLeast"/>
          <w:jc w:val="center"/>
        </w:trPr>
        <w:tc>
          <w:tcPr>
            <w:tcW w:w="863" w:type="dxa"/>
            <w:vAlign w:val="center"/>
          </w:tcPr>
          <w:p w14:paraId="182F81E2">
            <w:pPr>
              <w:adjustRightInd w:val="0"/>
              <w:snapToGrid w:val="0"/>
              <w:spacing w:line="276" w:lineRule="auto"/>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35</w:t>
            </w:r>
          </w:p>
        </w:tc>
        <w:tc>
          <w:tcPr>
            <w:tcW w:w="1311" w:type="dxa"/>
            <w:vAlign w:val="center"/>
          </w:tcPr>
          <w:p w14:paraId="32B85CD2">
            <w:pPr>
              <w:snapToGrid w:val="0"/>
              <w:spacing w:line="360" w:lineRule="auto"/>
              <w:rPr>
                <w:rFonts w:hint="default"/>
                <w:color w:val="auto"/>
                <w:highlight w:val="none"/>
                <w:lang w:val="en-US" w:eastAsia="zh-CN"/>
              </w:rPr>
            </w:pPr>
            <w:r>
              <w:rPr>
                <w:rFonts w:hint="eastAsia"/>
                <w:color w:val="auto"/>
                <w:highlight w:val="none"/>
                <w:lang w:val="en-US" w:eastAsia="zh-CN"/>
              </w:rPr>
              <w:t>多媒体演示</w:t>
            </w:r>
          </w:p>
        </w:tc>
        <w:tc>
          <w:tcPr>
            <w:tcW w:w="7419" w:type="dxa"/>
            <w:vAlign w:val="center"/>
          </w:tcPr>
          <w:p w14:paraId="01EDDA22">
            <w:pPr>
              <w:snapToGrid w:val="0"/>
              <w:spacing w:line="360" w:lineRule="auto"/>
              <w:rPr>
                <w:rFonts w:hint="eastAsia"/>
                <w:color w:val="auto"/>
                <w:highlight w:val="none"/>
                <w:lang w:val="en-US" w:eastAsia="zh-CN"/>
              </w:rPr>
            </w:pPr>
            <w:r>
              <w:rPr>
                <w:rFonts w:hint="eastAsia"/>
                <w:color w:val="auto"/>
                <w:highlight w:val="none"/>
                <w:lang w:val="en-US" w:eastAsia="zh-CN"/>
              </w:rPr>
              <w:t>投标人开标现场演示讲解：</w:t>
            </w:r>
          </w:p>
          <w:p w14:paraId="30E650D7">
            <w:pPr>
              <w:snapToGrid w:val="0"/>
              <w:spacing w:line="360" w:lineRule="auto"/>
              <w:rPr>
                <w:rFonts w:hint="eastAsia"/>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以多媒体演示视频形式，讲解项目整体设计方案，</w:t>
            </w:r>
            <w:r>
              <w:rPr>
                <w:rFonts w:hint="default"/>
                <w:color w:val="auto"/>
                <w:highlight w:val="none"/>
                <w:lang w:val="en-US" w:eastAsia="zh-CN"/>
              </w:rPr>
              <w:t>时长不超过</w:t>
            </w:r>
            <w:r>
              <w:rPr>
                <w:rFonts w:hint="eastAsia"/>
                <w:color w:val="auto"/>
                <w:highlight w:val="none"/>
                <w:lang w:val="en-US" w:eastAsia="zh-CN"/>
              </w:rPr>
              <w:t>20</w:t>
            </w:r>
            <w:r>
              <w:rPr>
                <w:rFonts w:hint="default"/>
                <w:color w:val="auto"/>
                <w:highlight w:val="none"/>
                <w:lang w:val="en-US" w:eastAsia="zh-CN"/>
              </w:rPr>
              <w:t>分钟</w:t>
            </w:r>
            <w:r>
              <w:rPr>
                <w:rFonts w:hint="eastAsia"/>
                <w:color w:val="auto"/>
                <w:highlight w:val="none"/>
                <w:lang w:val="en-US" w:eastAsia="zh-CN"/>
              </w:rPr>
              <w:t>。其中需包含：围绕序厅影片主题，</w:t>
            </w:r>
            <w:r>
              <w:rPr>
                <w:rFonts w:hint="default"/>
                <w:color w:val="auto"/>
                <w:highlight w:val="none"/>
                <w:lang w:val="en-US" w:eastAsia="zh-CN"/>
              </w:rPr>
              <w:t>提供不超过</w:t>
            </w:r>
            <w:r>
              <w:rPr>
                <w:rFonts w:hint="eastAsia"/>
                <w:color w:val="auto"/>
                <w:highlight w:val="none"/>
                <w:lang w:val="en-US" w:eastAsia="zh-CN"/>
              </w:rPr>
              <w:t>1</w:t>
            </w:r>
            <w:r>
              <w:rPr>
                <w:rFonts w:hint="default"/>
                <w:color w:val="auto"/>
                <w:highlight w:val="none"/>
                <w:lang w:val="en-US" w:eastAsia="zh-CN"/>
              </w:rPr>
              <w:t>分钟</w:t>
            </w:r>
            <w:r>
              <w:rPr>
                <w:rFonts w:hint="eastAsia"/>
                <w:color w:val="auto"/>
                <w:highlight w:val="none"/>
                <w:lang w:val="en-US" w:eastAsia="zh-CN"/>
              </w:rPr>
              <w:t>的</w:t>
            </w:r>
            <w:r>
              <w:rPr>
                <w:rFonts w:hint="default"/>
                <w:color w:val="auto"/>
                <w:highlight w:val="none"/>
                <w:lang w:val="en-US" w:eastAsia="zh-CN"/>
              </w:rPr>
              <w:t>影片片段演示</w:t>
            </w:r>
            <w:r>
              <w:rPr>
                <w:rFonts w:hint="eastAsia"/>
                <w:color w:val="auto"/>
                <w:highlight w:val="none"/>
                <w:lang w:val="en-US" w:eastAsia="zh-CN"/>
              </w:rPr>
              <w:t>；围绕四楼沙盘影片主题，</w:t>
            </w:r>
            <w:r>
              <w:rPr>
                <w:rFonts w:hint="default"/>
                <w:color w:val="auto"/>
                <w:highlight w:val="none"/>
                <w:lang w:val="en-US" w:eastAsia="zh-CN"/>
              </w:rPr>
              <w:t>提供不超过</w:t>
            </w:r>
            <w:r>
              <w:rPr>
                <w:rFonts w:hint="eastAsia"/>
                <w:color w:val="auto"/>
                <w:highlight w:val="none"/>
                <w:lang w:val="en-US" w:eastAsia="zh-CN"/>
              </w:rPr>
              <w:t>2</w:t>
            </w:r>
            <w:r>
              <w:rPr>
                <w:rFonts w:hint="default"/>
                <w:color w:val="auto"/>
                <w:highlight w:val="none"/>
                <w:lang w:val="en-US" w:eastAsia="zh-CN"/>
              </w:rPr>
              <w:t>分钟</w:t>
            </w:r>
            <w:r>
              <w:rPr>
                <w:rFonts w:hint="eastAsia"/>
                <w:color w:val="auto"/>
                <w:highlight w:val="none"/>
                <w:lang w:val="en-US" w:eastAsia="zh-CN"/>
              </w:rPr>
              <w:t>的</w:t>
            </w:r>
            <w:r>
              <w:rPr>
                <w:rFonts w:hint="default"/>
                <w:color w:val="auto"/>
                <w:highlight w:val="none"/>
                <w:lang w:val="en-US" w:eastAsia="zh-CN"/>
              </w:rPr>
              <w:t>影片片段演示</w:t>
            </w:r>
            <w:r>
              <w:rPr>
                <w:rFonts w:hint="eastAsia"/>
                <w:color w:val="auto"/>
                <w:highlight w:val="none"/>
                <w:lang w:val="en-US" w:eastAsia="zh-CN"/>
              </w:rPr>
              <w:t>；围绕其他重点展项，自定主题提供不超过1分钟的影片片段演示。</w:t>
            </w:r>
            <w:r>
              <w:rPr>
                <w:rFonts w:hint="default"/>
                <w:color w:val="auto"/>
                <w:highlight w:val="none"/>
                <w:lang w:val="en-US" w:eastAsia="zh-CN"/>
              </w:rPr>
              <w:t>要求能体现投标人三维动画与影片拍摄制作水平</w:t>
            </w:r>
            <w:r>
              <w:rPr>
                <w:rFonts w:hint="eastAsia"/>
                <w:color w:val="auto"/>
                <w:highlight w:val="none"/>
                <w:lang w:val="en-US" w:eastAsia="zh-CN"/>
              </w:rPr>
              <w:t>。</w:t>
            </w:r>
          </w:p>
          <w:p w14:paraId="2133A6B7">
            <w:pPr>
              <w:snapToGrid w:val="0"/>
              <w:spacing w:line="360" w:lineRule="auto"/>
              <w:rPr>
                <w:rFonts w:hint="eastAsia"/>
                <w:color w:val="auto"/>
                <w:highlight w:val="none"/>
                <w:lang w:val="en-US" w:eastAsia="zh-CN"/>
              </w:rPr>
            </w:pPr>
            <w:r>
              <w:rPr>
                <w:rFonts w:hint="eastAsia"/>
                <w:color w:val="auto"/>
                <w:highlight w:val="none"/>
                <w:lang w:val="en-US" w:eastAsia="zh-CN"/>
              </w:rPr>
              <w:t>2.演示结束后，可进行不超过5分钟的补充汇报；汇报后安排不超过5分钟的评委提问环节。</w:t>
            </w:r>
          </w:p>
          <w:p w14:paraId="4994F4CC">
            <w:pPr>
              <w:snapToGrid w:val="0"/>
              <w:spacing w:line="360" w:lineRule="auto"/>
              <w:rPr>
                <w:rFonts w:hint="eastAsia"/>
                <w:color w:val="auto"/>
                <w:highlight w:val="none"/>
                <w:lang w:val="en-US" w:eastAsia="zh-CN"/>
              </w:rPr>
            </w:pPr>
            <w:r>
              <w:rPr>
                <w:rFonts w:hint="eastAsia"/>
                <w:color w:val="auto"/>
                <w:highlight w:val="none"/>
                <w:lang w:val="en-US" w:eastAsia="zh-CN"/>
              </w:rPr>
              <w:t>其他要求：</w:t>
            </w:r>
          </w:p>
          <w:p w14:paraId="37E27C06">
            <w:pPr>
              <w:snapToGrid w:val="0"/>
              <w:spacing w:line="360" w:lineRule="auto"/>
              <w:rPr>
                <w:rFonts w:hint="eastAsia"/>
                <w:color w:val="auto"/>
                <w:highlight w:val="none"/>
                <w:lang w:val="en-US" w:eastAsia="zh-CN"/>
              </w:rPr>
            </w:pPr>
            <w:r>
              <w:rPr>
                <w:rFonts w:hint="eastAsia"/>
                <w:color w:val="auto"/>
                <w:highlight w:val="none"/>
                <w:lang w:val="en-US" w:eastAsia="zh-CN"/>
              </w:rPr>
              <w:t>（1）由投标人自行安排述标讲解人员，并自行准备述标所需的设备、材料等。</w:t>
            </w:r>
          </w:p>
          <w:p w14:paraId="52F4E78D">
            <w:pPr>
              <w:snapToGrid w:val="0"/>
              <w:spacing w:line="360" w:lineRule="auto"/>
              <w:rPr>
                <w:rFonts w:hint="default"/>
                <w:color w:val="auto"/>
                <w:highlight w:val="none"/>
                <w:lang w:val="en-US" w:eastAsia="zh-CN"/>
              </w:rPr>
            </w:pPr>
            <w:r>
              <w:rPr>
                <w:rFonts w:hint="eastAsia"/>
                <w:color w:val="auto"/>
                <w:highlight w:val="none"/>
                <w:lang w:val="en-US" w:eastAsia="zh-CN"/>
              </w:rPr>
              <w:t>（2）投标人将视频演示内容拷贝至U盘一份（内容一致，采用MP4等常见视频格式）演示后交采购人存档。</w:t>
            </w:r>
          </w:p>
          <w:p w14:paraId="1578C001">
            <w:pPr>
              <w:snapToGrid w:val="0"/>
              <w:spacing w:line="360" w:lineRule="auto"/>
              <w:rPr>
                <w:rFonts w:hint="eastAsia"/>
                <w:color w:val="auto"/>
                <w:highlight w:val="none"/>
                <w:lang w:val="en-US" w:eastAsia="zh-CN"/>
              </w:rPr>
            </w:pPr>
            <w:r>
              <w:rPr>
                <w:rFonts w:hint="eastAsia"/>
                <w:color w:val="auto"/>
                <w:highlight w:val="none"/>
                <w:lang w:val="en-US" w:eastAsia="zh-CN"/>
              </w:rPr>
              <w:t>（3）未按要求递交视频演示U盘或提供的演示视频无法打开或不清晰的，在评审时均不计分。</w:t>
            </w:r>
          </w:p>
          <w:p w14:paraId="56D43F31">
            <w:pPr>
              <w:snapToGrid w:val="0"/>
              <w:spacing w:line="360" w:lineRule="auto"/>
              <w:rPr>
                <w:rFonts w:hint="eastAsia"/>
                <w:color w:val="auto"/>
                <w:highlight w:val="yellow"/>
                <w:lang w:val="en-US" w:eastAsia="zh-CN"/>
              </w:rPr>
            </w:pPr>
            <w:r>
              <w:rPr>
                <w:rFonts w:hint="eastAsia"/>
                <w:color w:val="auto"/>
                <w:highlight w:val="yellow"/>
                <w:lang w:val="en-US" w:eastAsia="zh-CN"/>
              </w:rPr>
              <w:t>（4）投标人开标现场演示讲解时间、地点：</w:t>
            </w:r>
          </w:p>
          <w:p w14:paraId="2D4C6B97">
            <w:pPr>
              <w:snapToGrid w:val="0"/>
              <w:spacing w:line="360" w:lineRule="auto"/>
              <w:rPr>
                <w:rFonts w:hint="default"/>
                <w:color w:val="auto"/>
                <w:highlight w:val="yellow"/>
                <w:lang w:val="en-US" w:eastAsia="zh-CN"/>
              </w:rPr>
            </w:pPr>
            <w:r>
              <w:rPr>
                <w:rFonts w:hint="eastAsia"/>
                <w:color w:val="auto"/>
                <w:highlight w:val="yellow"/>
                <w:lang w:val="en-US" w:eastAsia="zh-CN"/>
              </w:rPr>
              <w:t>时间：2025年4月23日 11：00 时（北京时间）。</w:t>
            </w:r>
          </w:p>
          <w:p w14:paraId="745DA390">
            <w:pPr>
              <w:snapToGrid w:val="0"/>
              <w:spacing w:line="360" w:lineRule="auto"/>
              <w:rPr>
                <w:rFonts w:hint="default"/>
                <w:lang w:val="en-US" w:eastAsia="zh-CN"/>
              </w:rPr>
            </w:pPr>
            <w:r>
              <w:rPr>
                <w:rFonts w:hint="eastAsia"/>
                <w:color w:val="auto"/>
                <w:highlight w:val="yellow"/>
                <w:lang w:val="en-US" w:eastAsia="zh-CN"/>
              </w:rPr>
              <w:t>地点：乌鲁木齐市水磨沟区会展大道1119号晚报大厦B座7楼702会议室。</w:t>
            </w:r>
          </w:p>
        </w:tc>
      </w:tr>
      <w:tr w14:paraId="330FAF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70" w:hRule="atLeast"/>
          <w:jc w:val="center"/>
        </w:trPr>
        <w:tc>
          <w:tcPr>
            <w:tcW w:w="863" w:type="dxa"/>
            <w:vAlign w:val="center"/>
          </w:tcPr>
          <w:p w14:paraId="53B05FD6">
            <w:pPr>
              <w:adjustRightInd w:val="0"/>
              <w:snapToGrid w:val="0"/>
              <w:spacing w:line="276" w:lineRule="auto"/>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36</w:t>
            </w:r>
          </w:p>
        </w:tc>
        <w:tc>
          <w:tcPr>
            <w:tcW w:w="1311" w:type="dxa"/>
            <w:vAlign w:val="center"/>
          </w:tcPr>
          <w:p w14:paraId="7E760DE3">
            <w:pPr>
              <w:snapToGrid w:val="0"/>
              <w:spacing w:line="400" w:lineRule="exact"/>
              <w:jc w:val="center"/>
              <w:rPr>
                <w:rFonts w:ascii="宋体" w:hAnsi="宋体" w:cs="宋体"/>
                <w:b/>
                <w:snapToGrid w:val="0"/>
                <w:color w:val="auto"/>
                <w:kern w:val="0"/>
                <w:szCs w:val="21"/>
                <w:highlight w:val="none"/>
              </w:rPr>
            </w:pPr>
            <w:r>
              <w:rPr>
                <w:rFonts w:hint="eastAsia" w:ascii="宋体" w:hAnsi="宋体" w:cs="宋体"/>
                <w:bCs/>
                <w:color w:val="auto"/>
                <w:szCs w:val="21"/>
                <w:highlight w:val="none"/>
              </w:rPr>
              <w:t>转包与分包</w:t>
            </w:r>
          </w:p>
        </w:tc>
        <w:tc>
          <w:tcPr>
            <w:tcW w:w="7419" w:type="dxa"/>
            <w:vAlign w:val="center"/>
          </w:tcPr>
          <w:p w14:paraId="3C2F164C">
            <w:pPr>
              <w:snapToGrid w:val="0"/>
              <w:spacing w:line="400" w:lineRule="exact"/>
              <w:rPr>
                <w:color w:val="auto"/>
                <w:highlight w:val="none"/>
              </w:rPr>
            </w:pPr>
            <w:r>
              <w:rPr>
                <w:rFonts w:hint="eastAsia"/>
                <w:color w:val="auto"/>
                <w:highlight w:val="none"/>
              </w:rPr>
              <w:fldChar w:fldCharType="begin"/>
            </w:r>
            <w:r>
              <w:rPr>
                <w:rFonts w:hint="eastAsia"/>
                <w:color w:val="auto"/>
                <w:highlight w:val="none"/>
              </w:rPr>
              <w:instrText xml:space="preserve"> eq \o\ac(□,√)</w:instrText>
            </w:r>
            <w:r>
              <w:rPr>
                <w:rFonts w:hint="eastAsia"/>
                <w:color w:val="auto"/>
                <w:highlight w:val="none"/>
              </w:rPr>
              <w:fldChar w:fldCharType="end"/>
            </w:r>
            <w:r>
              <w:rPr>
                <w:rFonts w:hint="eastAsia"/>
                <w:color w:val="auto"/>
                <w:highlight w:val="none"/>
              </w:rPr>
              <w:t>1.本项目不允许转包。</w:t>
            </w:r>
          </w:p>
          <w:p w14:paraId="73869163">
            <w:pPr>
              <w:snapToGrid w:val="0"/>
              <w:spacing w:line="400" w:lineRule="exact"/>
              <w:rPr>
                <w:color w:val="auto"/>
                <w:highlight w:val="none"/>
              </w:rPr>
            </w:pPr>
            <w:r>
              <w:rPr>
                <w:rFonts w:hint="eastAsia"/>
                <w:color w:val="auto"/>
                <w:highlight w:val="none"/>
              </w:rPr>
              <w:fldChar w:fldCharType="begin"/>
            </w:r>
            <w:r>
              <w:rPr>
                <w:rFonts w:hint="eastAsia"/>
                <w:color w:val="auto"/>
                <w:highlight w:val="none"/>
              </w:rPr>
              <w:instrText xml:space="preserve"> eq \o\ac(□,√)</w:instrText>
            </w:r>
            <w:r>
              <w:rPr>
                <w:rFonts w:hint="eastAsia"/>
                <w:color w:val="auto"/>
                <w:highlight w:val="none"/>
              </w:rPr>
              <w:fldChar w:fldCharType="end"/>
            </w:r>
            <w:r>
              <w:rPr>
                <w:rFonts w:hint="eastAsia"/>
                <w:color w:val="auto"/>
                <w:highlight w:val="none"/>
              </w:rPr>
              <w:t>2本项目可以分包，本项目范围内的布展设计及施工，不得</w:t>
            </w:r>
            <w:r>
              <w:rPr>
                <w:rFonts w:hint="eastAsia"/>
                <w:color w:val="auto"/>
                <w:highlight w:val="none"/>
                <w:lang w:val="en-US" w:eastAsia="zh-CN"/>
              </w:rPr>
              <w:t>违规</w:t>
            </w:r>
            <w:r>
              <w:rPr>
                <w:rFonts w:hint="eastAsia"/>
                <w:color w:val="auto"/>
                <w:highlight w:val="none"/>
              </w:rPr>
              <w:t>分包</w:t>
            </w:r>
            <w:r>
              <w:rPr>
                <w:rFonts w:hint="eastAsia"/>
                <w:color w:val="auto"/>
                <w:highlight w:val="none"/>
                <w:lang w:eastAsia="zh-CN"/>
              </w:rPr>
              <w:t>，</w:t>
            </w:r>
            <w:r>
              <w:rPr>
                <w:rFonts w:hint="eastAsia"/>
                <w:color w:val="auto"/>
                <w:highlight w:val="none"/>
                <w:lang w:val="en-US" w:eastAsia="zh-CN"/>
              </w:rPr>
              <w:t>确需分包的部分应按照国家、自治区、市有关规定执行，且经采购人认可。中标人对拟委托给分包单位的业务负总责。</w:t>
            </w:r>
          </w:p>
        </w:tc>
      </w:tr>
    </w:tbl>
    <w:p w14:paraId="77BA0D99">
      <w:pPr>
        <w:spacing w:line="360" w:lineRule="auto"/>
        <w:ind w:firstLine="420" w:firstLineChars="200"/>
        <w:rPr>
          <w:color w:val="auto"/>
          <w:highlight w:val="none"/>
        </w:rPr>
      </w:pPr>
      <w:r>
        <w:rPr>
          <w:rFonts w:hint="eastAsia" w:ascii="宋体" w:hAnsi="宋体" w:cs="宋体"/>
          <w:color w:val="auto"/>
          <w:szCs w:val="21"/>
          <w:highlight w:val="none"/>
        </w:rPr>
        <w:t>注：以上内容如有变化将另行书面通知。如通知其中某一内容发生变化，其余未提及的将不作变动。</w:t>
      </w:r>
      <w:r>
        <w:rPr>
          <w:rFonts w:ascii="宋体" w:hAnsi="宋体" w:cs="宋体"/>
          <w:color w:val="auto"/>
          <w:szCs w:val="21"/>
          <w:highlight w:val="none"/>
        </w:rPr>
        <w:br w:type="page"/>
      </w:r>
    </w:p>
    <w:p w14:paraId="4640BCE9">
      <w:pPr>
        <w:pStyle w:val="5"/>
        <w:snapToGrid w:val="0"/>
        <w:spacing w:before="0" w:after="0" w:line="360" w:lineRule="auto"/>
        <w:rPr>
          <w:rFonts w:ascii="宋体" w:hAnsi="宋体" w:eastAsia="宋体" w:cs="宋体"/>
          <w:color w:val="auto"/>
          <w:sz w:val="21"/>
          <w:szCs w:val="21"/>
          <w:highlight w:val="none"/>
        </w:rPr>
      </w:pPr>
      <w:bookmarkStart w:id="27" w:name="_Toc85359506"/>
      <w:bookmarkStart w:id="28" w:name="_Toc12000"/>
      <w:bookmarkStart w:id="29" w:name="_Toc30884"/>
      <w:bookmarkStart w:id="30" w:name="_Toc251566650"/>
      <w:bookmarkStart w:id="31" w:name="_Toc240450077"/>
      <w:bookmarkStart w:id="32" w:name="_Toc24877"/>
      <w:r>
        <w:rPr>
          <w:rFonts w:hint="eastAsia" w:ascii="宋体" w:hAnsi="宋体" w:eastAsia="宋体" w:cs="宋体"/>
          <w:color w:val="auto"/>
          <w:sz w:val="21"/>
          <w:szCs w:val="21"/>
          <w:highlight w:val="none"/>
        </w:rPr>
        <w:t>一、总则</w:t>
      </w:r>
      <w:bookmarkEnd w:id="27"/>
      <w:bookmarkEnd w:id="28"/>
      <w:bookmarkEnd w:id="29"/>
      <w:bookmarkEnd w:id="30"/>
      <w:bookmarkEnd w:id="31"/>
      <w:bookmarkEnd w:id="32"/>
    </w:p>
    <w:p w14:paraId="1F1F5CBF">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本次招标工作是按照《中华人民共和国政府采购法》、《中华人民共和国政府采购法实施条例》、《政府采购货物和服务招标投标管理办法》等相关法律法规组织和实施，并接受</w:t>
      </w:r>
      <w:r>
        <w:rPr>
          <w:rFonts w:hint="eastAsia" w:ascii="宋体" w:hAnsi="宋体" w:cs="宋体"/>
          <w:snapToGrid w:val="0"/>
          <w:color w:val="auto"/>
          <w:kern w:val="0"/>
          <w:szCs w:val="21"/>
          <w:highlight w:val="none"/>
          <w:lang w:eastAsia="zh-CN"/>
        </w:rPr>
        <w:t>鲁木齐市财政局</w:t>
      </w:r>
      <w:r>
        <w:rPr>
          <w:rFonts w:hint="eastAsia" w:ascii="宋体" w:hAnsi="宋体" w:cs="宋体"/>
          <w:snapToGrid w:val="0"/>
          <w:color w:val="auto"/>
          <w:kern w:val="0"/>
          <w:szCs w:val="21"/>
          <w:highlight w:val="none"/>
        </w:rPr>
        <w:t>监督。</w:t>
      </w:r>
    </w:p>
    <w:p w14:paraId="6A73E247">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1．适用范围</w:t>
      </w:r>
    </w:p>
    <w:p w14:paraId="65E20725">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1.1 本采购文件仅适用于本次招标项目。</w:t>
      </w:r>
    </w:p>
    <w:p w14:paraId="4D4D0D9D">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1.2 本项目采购方式为公开招标。</w:t>
      </w:r>
    </w:p>
    <w:p w14:paraId="1749FD06">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1.3 投标须知为招标文件的通用条款，如通用条款与前附表、用户需求、合同条款等特定条款不一致的，请按特定条款执行。</w:t>
      </w:r>
    </w:p>
    <w:p w14:paraId="2C380150">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2．定义</w:t>
      </w:r>
    </w:p>
    <w:p w14:paraId="06A75769">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2.1“采购人”系指</w:t>
      </w:r>
      <w:r>
        <w:rPr>
          <w:rFonts w:hint="eastAsia" w:ascii="宋体" w:hAnsi="宋体" w:cs="宋体"/>
          <w:snapToGrid w:val="0"/>
          <w:color w:val="auto"/>
          <w:kern w:val="0"/>
          <w:szCs w:val="21"/>
          <w:highlight w:val="none"/>
          <w:lang w:eastAsia="zh-CN"/>
        </w:rPr>
        <w:t>乌鲁木齐市自然资源局</w:t>
      </w:r>
      <w:r>
        <w:rPr>
          <w:rFonts w:hint="eastAsia" w:ascii="宋体" w:hAnsi="宋体" w:cs="宋体"/>
          <w:color w:val="auto"/>
          <w:szCs w:val="21"/>
          <w:highlight w:val="none"/>
        </w:rPr>
        <w:t>（合同中的甲方）</w:t>
      </w:r>
      <w:r>
        <w:rPr>
          <w:rFonts w:hint="eastAsia" w:ascii="宋体" w:hAnsi="宋体" w:cs="宋体"/>
          <w:snapToGrid w:val="0"/>
          <w:color w:val="auto"/>
          <w:kern w:val="0"/>
          <w:szCs w:val="21"/>
          <w:highlight w:val="none"/>
        </w:rPr>
        <w:t>。</w:t>
      </w:r>
    </w:p>
    <w:p w14:paraId="2929379C">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2.2“采购代理机构”系指</w:t>
      </w:r>
      <w:r>
        <w:rPr>
          <w:rFonts w:hint="eastAsia" w:ascii="宋体" w:hAnsi="宋体" w:cs="宋体"/>
          <w:snapToGrid w:val="0"/>
          <w:color w:val="auto"/>
          <w:kern w:val="0"/>
          <w:szCs w:val="21"/>
          <w:highlight w:val="none"/>
          <w:lang w:eastAsia="zh-CN"/>
        </w:rPr>
        <w:t>新疆华域建设工程项目管理咨询有限公司</w:t>
      </w:r>
      <w:r>
        <w:rPr>
          <w:rFonts w:hint="eastAsia" w:ascii="宋体" w:hAnsi="宋体" w:cs="宋体"/>
          <w:color w:val="auto"/>
          <w:szCs w:val="21"/>
          <w:highlight w:val="none"/>
        </w:rPr>
        <w:t>（合同中的鉴证方）</w:t>
      </w:r>
      <w:r>
        <w:rPr>
          <w:rFonts w:hint="eastAsia" w:ascii="宋体" w:hAnsi="宋体" w:cs="宋体"/>
          <w:snapToGrid w:val="0"/>
          <w:color w:val="auto"/>
          <w:kern w:val="0"/>
          <w:szCs w:val="21"/>
          <w:highlight w:val="none"/>
        </w:rPr>
        <w:t>。</w:t>
      </w:r>
    </w:p>
    <w:p w14:paraId="7C519F8B">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2.3“监督管理部门”系指</w:t>
      </w:r>
      <w:r>
        <w:rPr>
          <w:rFonts w:hint="eastAsia" w:ascii="宋体" w:hAnsi="宋体" w:cs="宋体"/>
          <w:snapToGrid w:val="0"/>
          <w:color w:val="auto"/>
          <w:kern w:val="0"/>
          <w:szCs w:val="21"/>
          <w:highlight w:val="none"/>
          <w:lang w:eastAsia="zh-CN"/>
        </w:rPr>
        <w:t>乌鲁木齐市财政局</w:t>
      </w:r>
      <w:r>
        <w:rPr>
          <w:rFonts w:hint="eastAsia" w:ascii="宋体" w:hAnsi="宋体" w:cs="宋体"/>
          <w:snapToGrid w:val="0"/>
          <w:color w:val="auto"/>
          <w:kern w:val="0"/>
          <w:szCs w:val="21"/>
          <w:highlight w:val="none"/>
        </w:rPr>
        <w:t>。</w:t>
      </w:r>
    </w:p>
    <w:p w14:paraId="22DC8904">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2.4“投标人”系指响应本次招标，参加本次投标的独立法人</w:t>
      </w:r>
      <w:r>
        <w:rPr>
          <w:rFonts w:hint="eastAsia" w:ascii="宋体" w:hAnsi="宋体" w:cs="宋体"/>
          <w:color w:val="auto"/>
          <w:szCs w:val="21"/>
          <w:highlight w:val="none"/>
        </w:rPr>
        <w:t>（合同中的乙方）</w:t>
      </w:r>
      <w:r>
        <w:rPr>
          <w:rFonts w:hint="eastAsia" w:ascii="宋体" w:hAnsi="宋体" w:cs="宋体"/>
          <w:snapToGrid w:val="0"/>
          <w:color w:val="auto"/>
          <w:kern w:val="0"/>
          <w:szCs w:val="21"/>
          <w:highlight w:val="none"/>
        </w:rPr>
        <w:t>。</w:t>
      </w:r>
    </w:p>
    <w:p w14:paraId="35BB21C4">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2.5“服务”系指采购文件或合同规定投标人须承担的服务以及其他类似的义务。</w:t>
      </w:r>
    </w:p>
    <w:p w14:paraId="74979701">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2.6“实质性条款”系指采购文件条款前标注“▲”标识的条款。</w:t>
      </w:r>
    </w:p>
    <w:p w14:paraId="22E54F97">
      <w:pPr>
        <w:adjustRightInd w:val="0"/>
        <w:snapToGrid w:val="0"/>
        <w:spacing w:line="360" w:lineRule="auto"/>
        <w:ind w:firstLine="420" w:firstLineChars="200"/>
        <w:rPr>
          <w:color w:val="auto"/>
          <w:highlight w:val="none"/>
        </w:rPr>
      </w:pPr>
      <w:r>
        <w:rPr>
          <w:rFonts w:hint="eastAsia" w:ascii="宋体" w:hAnsi="宋体" w:cs="宋体"/>
          <w:snapToGrid w:val="0"/>
          <w:color w:val="auto"/>
          <w:kern w:val="0"/>
          <w:szCs w:val="21"/>
          <w:highlight w:val="none"/>
        </w:rPr>
        <w:t>2.7</w:t>
      </w:r>
      <w:r>
        <w:rPr>
          <w:rFonts w:hint="eastAsia" w:ascii="宋体" w:hAnsi="宋体"/>
          <w:snapToGrid w:val="0"/>
          <w:color w:val="auto"/>
          <w:kern w:val="0"/>
          <w:szCs w:val="21"/>
          <w:highlight w:val="none"/>
        </w:rPr>
        <w:t>官方指定网站公示的内容视为书面告知。</w:t>
      </w:r>
    </w:p>
    <w:p w14:paraId="54C7D2A9">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3．合格的投标人及合格的投标货物和服务</w:t>
      </w:r>
    </w:p>
    <w:p w14:paraId="00F5A6C4">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3.1合格的投标人，详见采购公告第二条规定的投标人必须具备的资格条件并经采购人或采购代理机构审查通过的。</w:t>
      </w:r>
    </w:p>
    <w:p w14:paraId="7A9FF2DD">
      <w:pPr>
        <w:adjustRightInd w:val="0"/>
        <w:snapToGrid w:val="0"/>
        <w:spacing w:line="360" w:lineRule="auto"/>
        <w:ind w:firstLine="422" w:firstLineChars="200"/>
        <w:rPr>
          <w:rFonts w:ascii="宋体" w:hAnsi="宋体" w:cs="宋体"/>
          <w:b/>
          <w:bCs/>
          <w:snapToGrid w:val="0"/>
          <w:color w:val="auto"/>
          <w:kern w:val="0"/>
          <w:highlight w:val="none"/>
        </w:rPr>
      </w:pPr>
      <w:r>
        <w:rPr>
          <w:rFonts w:hint="eastAsia" w:ascii="宋体" w:hAnsi="宋体" w:cs="宋体"/>
          <w:b/>
          <w:bCs/>
          <w:snapToGrid w:val="0"/>
          <w:color w:val="auto"/>
          <w:kern w:val="0"/>
          <w:highlight w:val="none"/>
        </w:rPr>
        <w:t>3.2对投标人的限制</w:t>
      </w:r>
    </w:p>
    <w:p w14:paraId="6018EACC">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3.2.1单位负责人（指法定代表人或者法律、行政法规规定代表单位行使职权的主要负责人）为同一人或者存在直接控股、管理关系的不同供应商不得分别参加同一合同项下的采购活动。违反本条规定的，相关投标均无效；</w:t>
      </w:r>
    </w:p>
    <w:p w14:paraId="0A924DBC">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3.2.2为本项目提供过整体设计、规范编制或者项目管理、监理、检测等服务的供应商，不得再参加该采购项目的其他采购活动（不包括为该项目提供整体设计、规范编制或者项目管理、监理、检测等服务）；</w:t>
      </w:r>
    </w:p>
    <w:p w14:paraId="68EC2E72">
      <w:pPr>
        <w:adjustRightInd w:val="0"/>
        <w:snapToGrid w:val="0"/>
        <w:spacing w:line="360" w:lineRule="auto"/>
        <w:ind w:firstLine="420" w:firstLineChars="20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3.2.3以联合体形式参加政府采购活动的，联合体各方不得再单独参加或者与其他投标人另外组成联合体参加同一合同项下的政府采购活动；</w:t>
      </w:r>
    </w:p>
    <w:p w14:paraId="502120B4">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3.2.4为证明投标人拥有的业绩、荣誉、知识产权、项目案例等而在投标文件中提供的证明材料必须为投标人自身所有。不同法人、其他组织的资料与投标人无关。</w:t>
      </w:r>
    </w:p>
    <w:p w14:paraId="0B29CD48">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3.2.5在政府采购活动中，采购人员及相关人员与供应商有下列利害关系之一的，应当回避：</w:t>
      </w:r>
    </w:p>
    <w:p w14:paraId="14217668">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（一）参加采购活动前3年内与供应商存在劳动关系；</w:t>
      </w:r>
    </w:p>
    <w:p w14:paraId="1581275C">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（二）参加采购活动前3年内担任供应商的董事、监事；</w:t>
      </w:r>
    </w:p>
    <w:p w14:paraId="70D5F1D4">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（三）参加采购活动前3年内是供应商的控股股东或者实际控制人；</w:t>
      </w:r>
    </w:p>
    <w:p w14:paraId="311BB3B0">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（四）与供应商的法定代表人或者负责人有夫妻、直系血亲、三代以内旁系血亲或者近姻亲关系；</w:t>
      </w:r>
    </w:p>
    <w:p w14:paraId="2253A3DB">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（五）与供应商有其他可能影响政府采购活动公平、公正进行的关系。</w:t>
      </w:r>
    </w:p>
    <w:p w14:paraId="3A93E4BB">
      <w:pPr>
        <w:adjustRightInd w:val="0"/>
        <w:snapToGrid w:val="0"/>
        <w:spacing w:line="360" w:lineRule="auto"/>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29DD62F">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4．相关说明</w:t>
      </w:r>
    </w:p>
    <w:p w14:paraId="571D6FC3">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4.1 投标费用</w:t>
      </w:r>
    </w:p>
    <w:p w14:paraId="4A980157">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投标人应承担其参加投标所涉及的一切费用，不管投标结果如何，采购人对这些费用不负任何责任。</w:t>
      </w:r>
    </w:p>
    <w:p w14:paraId="6962E700">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4.2 投标人应仔细阅读采购文件的所有内容，按照采购文件的要求提交投标文件。投标文件应对采购文件的要求作出实质性响应，并对所提供的全部资料的真实性承担法律责任。</w:t>
      </w:r>
    </w:p>
    <w:p w14:paraId="150CE377">
      <w:pPr>
        <w:adjustRightInd w:val="0"/>
        <w:snapToGrid w:val="0"/>
        <w:spacing w:line="360" w:lineRule="auto"/>
        <w:ind w:firstLine="422" w:firstLineChars="200"/>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4.3投标人投标所使用的资格、信誉、荣誉、业绩与企业认证必须为本法人所拥有。投标人投标拟派项目实施人员必须为本法人员工。</w:t>
      </w:r>
    </w:p>
    <w:p w14:paraId="12A7E148">
      <w:pPr>
        <w:adjustRightInd w:val="0"/>
        <w:snapToGrid w:val="0"/>
        <w:spacing w:line="360" w:lineRule="auto"/>
        <w:ind w:firstLine="422" w:firstLineChars="200"/>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4.4投标人应仔细阅读采购文件的所有内容，按照采购文件的要求提交投标文件，并对所提供的全部资料的真实性承担法律责任。</w:t>
      </w:r>
    </w:p>
    <w:p w14:paraId="1E380E3E">
      <w:pPr>
        <w:adjustRightInd w:val="0"/>
        <w:snapToGrid w:val="0"/>
        <w:spacing w:line="360" w:lineRule="auto"/>
        <w:ind w:firstLine="422" w:firstLineChars="200"/>
        <w:rPr>
          <w:rFonts w:ascii="宋体" w:hAnsi="宋体" w:cs="宋体"/>
          <w:snapToGrid w:val="0"/>
          <w:color w:val="auto"/>
          <w:kern w:val="0"/>
          <w:szCs w:val="21"/>
          <w:highlight w:val="none"/>
        </w:rPr>
      </w:pPr>
      <w:r>
        <w:rPr>
          <w:rFonts w:hint="eastAsia" w:ascii="宋体" w:hAnsi="宋体" w:cs="宋体"/>
          <w:b/>
          <w:bCs/>
          <w:snapToGrid w:val="0"/>
          <w:color w:val="auto"/>
          <w:kern w:val="0"/>
          <w:szCs w:val="21"/>
          <w:highlight w:val="none"/>
        </w:rPr>
        <w:t>4.5投标人在投标活动中提供任何虚假材料,其投标无效，并报监管部门查处；中标后发现的,按《政府采购货物和服务招标投标管理办法》（财政部令第87号）相关规定承担相应的法律责任。</w:t>
      </w:r>
    </w:p>
    <w:p w14:paraId="5C516F50">
      <w:pPr>
        <w:pStyle w:val="5"/>
        <w:snapToGrid w:val="0"/>
        <w:spacing w:before="0" w:after="0" w:line="360" w:lineRule="auto"/>
        <w:rPr>
          <w:rFonts w:ascii="宋体" w:hAnsi="宋体" w:eastAsia="宋体" w:cs="宋体"/>
          <w:color w:val="auto"/>
          <w:sz w:val="21"/>
          <w:szCs w:val="21"/>
          <w:highlight w:val="none"/>
        </w:rPr>
      </w:pPr>
      <w:bookmarkStart w:id="33" w:name="_Toc251566651"/>
      <w:bookmarkStart w:id="34" w:name="_Toc240450078"/>
      <w:bookmarkStart w:id="35" w:name="_Toc2034"/>
      <w:bookmarkStart w:id="36" w:name="_Toc32210"/>
      <w:bookmarkStart w:id="37" w:name="_Toc27862"/>
      <w:bookmarkStart w:id="38" w:name="_Toc85359507"/>
      <w:r>
        <w:rPr>
          <w:rFonts w:hint="eastAsia" w:ascii="宋体" w:hAnsi="宋体" w:eastAsia="宋体" w:cs="宋体"/>
          <w:color w:val="auto"/>
          <w:sz w:val="21"/>
          <w:szCs w:val="21"/>
          <w:highlight w:val="none"/>
        </w:rPr>
        <w:t>二、</w:t>
      </w:r>
      <w:bookmarkEnd w:id="33"/>
      <w:bookmarkEnd w:id="34"/>
      <w:r>
        <w:rPr>
          <w:rFonts w:hint="eastAsia" w:ascii="宋体" w:hAnsi="宋体" w:eastAsia="宋体" w:cs="宋体"/>
          <w:color w:val="auto"/>
          <w:sz w:val="21"/>
          <w:szCs w:val="21"/>
          <w:highlight w:val="none"/>
        </w:rPr>
        <w:t>采购文件</w:t>
      </w:r>
      <w:bookmarkEnd w:id="35"/>
      <w:bookmarkEnd w:id="36"/>
      <w:bookmarkEnd w:id="37"/>
      <w:bookmarkEnd w:id="38"/>
    </w:p>
    <w:p w14:paraId="3B3B5796">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5．采购文件构成</w:t>
      </w:r>
    </w:p>
    <w:p w14:paraId="664008CB">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5.1 本采购文件包括目录所示内容及所有按本须知第6、7条发出的补充资料。</w:t>
      </w:r>
    </w:p>
    <w:p w14:paraId="566A3083">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5.2 除上述所列内容外，采购人和采购代理机构的任何工作人员对投标人所作的任何口头解释、介绍、答复，只能供投标人参考，对采购人、采购代理机构和投标人无任何约束力。</w:t>
      </w:r>
    </w:p>
    <w:p w14:paraId="0B095E01">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5.3 采购文件是招标过程进行的有效依据，也是成交后签订合同的依据，对双方均具有约束力，凡不遵守采购文件规定或对采购文件的实质性内容不响应的，将可能被拒绝或以无效标处理。</w:t>
      </w:r>
    </w:p>
    <w:p w14:paraId="3E858C9D">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5.4 本采购文件由采购人或采购代理机构依据相关法律、法规、规章、省市规定及采购文件进行解释。</w:t>
      </w:r>
    </w:p>
    <w:p w14:paraId="40BF6FF8">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6．采购文件的澄清</w:t>
      </w:r>
    </w:p>
    <w:p w14:paraId="144A9ECE">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6.1 投标人在获取采购文件后，若有问题需要澄清或认为有必要与采购人进行技术交流，应于前附表规定的时间前，将问题加盖公章扫描发电子邮件至</w:t>
      </w:r>
      <w:r>
        <w:rPr>
          <w:rFonts w:hint="eastAsia" w:ascii="宋体" w:hAnsi="宋体" w:cs="宋体"/>
          <w:snapToGrid w:val="0"/>
          <w:color w:val="auto"/>
          <w:kern w:val="0"/>
          <w:szCs w:val="21"/>
          <w:highlight w:val="none"/>
          <w:lang w:eastAsia="zh-CN"/>
        </w:rPr>
        <w:t>348424112</w:t>
      </w:r>
      <w:r>
        <w:rPr>
          <w:rFonts w:hint="eastAsia" w:ascii="宋体" w:hAnsi="宋体" w:cs="宋体"/>
          <w:snapToGrid w:val="0"/>
          <w:color w:val="auto"/>
          <w:kern w:val="0"/>
          <w:szCs w:val="21"/>
          <w:highlight w:val="none"/>
        </w:rPr>
        <w:t>@qq.com。截止期后的疑问将不予受理、答复。</w:t>
      </w:r>
    </w:p>
    <w:p w14:paraId="13E1E5E6">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6.2 投标人要求解释或澄清的问题应以书面形式送达，并加盖公章、写明日期。</w:t>
      </w:r>
    </w:p>
    <w:p w14:paraId="5BC8B896">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6.3 所有要求解释或澄清的问题都予以解答，答疑内容与补充内容以更正（澄清）公告形式告知所有购买采购文件的投标人。</w:t>
      </w:r>
    </w:p>
    <w:p w14:paraId="7C1F8A44">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7．采购文件的修改</w:t>
      </w:r>
    </w:p>
    <w:p w14:paraId="7B9390EB">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7.1 采购人或者采购代理机构可以对已发出的采购文件进行必要的澄清或者修改。澄清或者修改的内容可能影响投标文件编制的，采购人或者采购代理机构应当在投标截止时间至少15日前，以更正（澄清）公告形式通知所有获取采购文件的潜在投标人；不足15日的，采购人或者采购代理机构应当顺延提交投标文件的截止时间。</w:t>
      </w:r>
    </w:p>
    <w:p w14:paraId="0F8D0E1E">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7.2 采购文件的修改将以更正（澄清）公告通知所有</w:t>
      </w:r>
      <w:r>
        <w:rPr>
          <w:rFonts w:hint="eastAsia" w:ascii="宋体" w:hAnsi="宋体" w:cs="宋体"/>
          <w:snapToGrid w:val="0"/>
          <w:color w:val="auto"/>
          <w:kern w:val="0"/>
          <w:szCs w:val="21"/>
          <w:highlight w:val="none"/>
          <w:lang w:val="en-US" w:eastAsia="zh-CN"/>
        </w:rPr>
        <w:t>获取</w:t>
      </w:r>
      <w:r>
        <w:rPr>
          <w:rFonts w:hint="eastAsia" w:ascii="宋体" w:hAnsi="宋体" w:cs="宋体"/>
          <w:snapToGrid w:val="0"/>
          <w:color w:val="auto"/>
          <w:kern w:val="0"/>
          <w:szCs w:val="21"/>
          <w:highlight w:val="none"/>
        </w:rPr>
        <w:t>采购文件的投标人，并对其具有约束力。</w:t>
      </w:r>
      <w:r>
        <w:rPr>
          <w:rFonts w:hint="eastAsia" w:ascii="宋体" w:hAnsi="宋体" w:cs="宋体"/>
          <w:color w:val="auto"/>
          <w:highlight w:val="none"/>
        </w:rPr>
        <w:t>投标人应及时关注</w:t>
      </w:r>
      <w:r>
        <w:rPr>
          <w:rFonts w:hint="eastAsia" w:ascii="宋体" w:hAnsi="宋体" w:cs="宋体"/>
          <w:color w:val="auto"/>
          <w:highlight w:val="none"/>
          <w:lang w:eastAsia="zh-CN"/>
        </w:rPr>
        <w:t>新疆政府采购网</w:t>
      </w:r>
      <w:r>
        <w:rPr>
          <w:rFonts w:hint="eastAsia" w:ascii="宋体" w:hAnsi="宋体" w:cs="宋体"/>
          <w:color w:val="auto"/>
          <w:highlight w:val="none"/>
        </w:rPr>
        <w:t>上该项目的公告信息</w:t>
      </w:r>
      <w:r>
        <w:rPr>
          <w:rFonts w:hint="eastAsia" w:ascii="宋体" w:hAnsi="宋体" w:cs="宋体"/>
          <w:snapToGrid w:val="0"/>
          <w:color w:val="auto"/>
          <w:kern w:val="0"/>
          <w:szCs w:val="21"/>
          <w:highlight w:val="none"/>
        </w:rPr>
        <w:t>。</w:t>
      </w:r>
    </w:p>
    <w:p w14:paraId="2B6C63B0">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7.3 在更正（澄清）公告发布后，如果投标人认为编制投标文件的时间不充分的，必须在公告发布之日的24小时内通知采购人和采购代理机构。否则，视同投标人有充足时间编制投标文件。</w:t>
      </w:r>
    </w:p>
    <w:p w14:paraId="3CBE3A42">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7.4采购文件澄清、答复、修改、补充的内容为采购文件的组成部分。当采购文件与采购文件的答复、澄清、修改、补充通知就同一内容的表述不一致时，以最后发出的更正（澄清）公告为准。</w:t>
      </w:r>
    </w:p>
    <w:p w14:paraId="055AB696">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7.5采购文件的澄清、答复、修改或补充都应该通过本代理机构以法定形式发布，除此以外的发布不属于采购文件的组成部分。</w:t>
      </w:r>
    </w:p>
    <w:p w14:paraId="7B644E01">
      <w:pPr>
        <w:pStyle w:val="5"/>
        <w:snapToGrid w:val="0"/>
        <w:spacing w:before="0" w:after="0" w:line="360" w:lineRule="auto"/>
        <w:rPr>
          <w:rFonts w:ascii="宋体" w:hAnsi="宋体" w:eastAsia="宋体" w:cs="宋体"/>
          <w:color w:val="auto"/>
          <w:sz w:val="21"/>
          <w:szCs w:val="21"/>
          <w:highlight w:val="none"/>
        </w:rPr>
      </w:pPr>
      <w:bookmarkStart w:id="39" w:name="_Toc24747"/>
      <w:bookmarkStart w:id="40" w:name="_Toc15688"/>
      <w:bookmarkStart w:id="41" w:name="_Toc240450079"/>
      <w:bookmarkStart w:id="42" w:name="_Toc31368"/>
      <w:bookmarkStart w:id="43" w:name="_Toc251566652"/>
      <w:bookmarkStart w:id="44" w:name="_Toc85359508"/>
      <w:r>
        <w:rPr>
          <w:rFonts w:hint="eastAsia" w:ascii="宋体" w:hAnsi="宋体" w:eastAsia="宋体" w:cs="宋体"/>
          <w:color w:val="auto"/>
          <w:sz w:val="21"/>
          <w:szCs w:val="21"/>
          <w:highlight w:val="none"/>
        </w:rPr>
        <w:t>三、投标文件的编制</w:t>
      </w:r>
      <w:bookmarkEnd w:id="39"/>
      <w:bookmarkEnd w:id="40"/>
      <w:bookmarkEnd w:id="41"/>
      <w:bookmarkEnd w:id="42"/>
      <w:bookmarkEnd w:id="43"/>
      <w:bookmarkEnd w:id="44"/>
    </w:p>
    <w:p w14:paraId="74A28ED8">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投标人应认真阅读采购文件中所有的事项、格式、条款和技术要求等。如果投标人没有按照采购文件要求和规定编制投标文件及提交全部资料，或者投标没有对采购文件中各方面作出实质性响应，其风险应由投标人承担。</w:t>
      </w:r>
    </w:p>
    <w:p w14:paraId="711DB957">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8．投标文件的语言、计量单位、形式及效力</w:t>
      </w:r>
    </w:p>
    <w:p w14:paraId="7B9EB091">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8.1语言及计量单位</w:t>
      </w:r>
    </w:p>
    <w:p w14:paraId="61EF001E">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8.1.1 投标文件及投标人与采购人之间与投标有关的来往通知、函件和文件均应使用简体中文。除签名、盖章、专用名称等特殊情形外，以中文汉语以外的文字表述的投标文件视同未提供。投标人提交的支持文件和印刷的文献可以用另一种语言，但相应内容应附有中文翻译文本，在解释投标文件时以中文翻译文本为准。</w:t>
      </w:r>
    </w:p>
    <w:p w14:paraId="593DB6C2">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8.1.2 除采购文件另有规定外，投标文件所使用的计量单位，均须采用中华人民共和国法定计量单位，否则视同未响应。</w:t>
      </w:r>
    </w:p>
    <w:p w14:paraId="5C783A6E">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8.2投标文件的形式和效力</w:t>
      </w:r>
    </w:p>
    <w:p w14:paraId="1BB167C8">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8.2.1投标文件为电子投标文件，电子投标文件按“政采云供应商项目采购-电子招投标操作指南”及本招标文件要求制作、加密传输。</w:t>
      </w:r>
    </w:p>
    <w:p w14:paraId="3488EC8E">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8.2.2投标文件未在投标截止时间前完成传输的，视为未按时递交投标文件；投标文件未按时解密，视为投标文件撤回。</w:t>
      </w:r>
    </w:p>
    <w:p w14:paraId="7C212986">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9．投标文件构成</w:t>
      </w:r>
    </w:p>
    <w:p w14:paraId="10B0ACF7">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投标人向采购人递交的投标文件均由</w:t>
      </w:r>
      <w:r>
        <w:rPr>
          <w:rFonts w:hint="eastAsia" w:ascii="宋体" w:hAnsi="宋体" w:cs="宋体"/>
          <w:b/>
          <w:bCs/>
          <w:snapToGrid w:val="0"/>
          <w:color w:val="auto"/>
          <w:kern w:val="0"/>
          <w:szCs w:val="21"/>
          <w:highlight w:val="none"/>
        </w:rPr>
        <w:t>资格文件、商务技术文件、报价文件</w:t>
      </w:r>
      <w:r>
        <w:rPr>
          <w:rFonts w:hint="eastAsia" w:ascii="宋体" w:hAnsi="宋体" w:cs="宋体"/>
          <w:snapToGrid w:val="0"/>
          <w:color w:val="auto"/>
          <w:kern w:val="0"/>
          <w:szCs w:val="21"/>
          <w:highlight w:val="none"/>
        </w:rPr>
        <w:t>组成，具体内容如下：</w:t>
      </w:r>
    </w:p>
    <w:p w14:paraId="38C02C72">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9.1资格文件</w:t>
      </w:r>
    </w:p>
    <w:p w14:paraId="1662A962">
      <w:pPr>
        <w:tabs>
          <w:tab w:val="left" w:pos="720"/>
        </w:tabs>
        <w:adjustRightInd w:val="0"/>
        <w:snapToGrid w:val="0"/>
        <w:spacing w:line="360" w:lineRule="auto"/>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（1）基本资格条件：符合《中华人民共和国政府采购法》第二十二条的规定；</w:t>
      </w:r>
    </w:p>
    <w:p w14:paraId="0563F2F9">
      <w:pPr>
        <w:tabs>
          <w:tab w:val="left" w:pos="720"/>
        </w:tabs>
        <w:adjustRightInd w:val="0"/>
        <w:snapToGrid w:val="0"/>
        <w:spacing w:line="360" w:lineRule="auto"/>
        <w:ind w:firstLine="422" w:firstLineChars="20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以下a~e项是第二十二条要求及对应证明材料的具体内容，各投标人须在投标文件中出具对应证明材料。</w:t>
      </w:r>
    </w:p>
    <w:p w14:paraId="53A1170F">
      <w:pPr>
        <w:pStyle w:val="39"/>
        <w:numPr>
          <w:ilvl w:val="0"/>
          <w:numId w:val="2"/>
        </w:numPr>
        <w:tabs>
          <w:tab w:val="left" w:pos="630"/>
          <w:tab w:val="left" w:pos="840"/>
          <w:tab w:val="left" w:pos="1050"/>
        </w:tabs>
        <w:adjustRightInd w:val="0"/>
        <w:snapToGrid w:val="0"/>
        <w:spacing w:before="0" w:beforeAutospacing="0" w:after="0" w:afterAutospacing="0" w:line="360" w:lineRule="auto"/>
        <w:ind w:left="0" w:hanging="5"/>
        <w:rPr>
          <w:rFonts w:ascii="宋体" w:hAnsi="宋体" w:cs="宋体"/>
          <w:b/>
          <w:bCs/>
          <w:color w:val="auto"/>
          <w:sz w:val="21"/>
          <w:szCs w:val="21"/>
          <w:highlight w:val="none"/>
        </w:rPr>
      </w:pPr>
      <w:r>
        <w:rPr>
          <w:rFonts w:hint="eastAsia" w:ascii="宋体" w:hAnsi="宋体" w:cs="宋体"/>
          <w:b/>
          <w:bCs/>
          <w:color w:val="auto"/>
          <w:sz w:val="21"/>
          <w:szCs w:val="21"/>
          <w:highlight w:val="none"/>
        </w:rPr>
        <w:t>具有独立承担民事责任的能力：</w:t>
      </w:r>
    </w:p>
    <w:p w14:paraId="10687382">
      <w:pPr>
        <w:pStyle w:val="39"/>
        <w:tabs>
          <w:tab w:val="left" w:pos="630"/>
          <w:tab w:val="left" w:pos="840"/>
          <w:tab w:val="left" w:pos="1050"/>
        </w:tabs>
        <w:adjustRightInd w:val="0"/>
        <w:snapToGrid w:val="0"/>
        <w:spacing w:before="0" w:beforeAutospacing="0" w:after="0" w:afterAutospacing="0" w:line="360" w:lineRule="auto"/>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投标人须在投标文件中出具符合以下情况的证明材料的扫描件（五选一）：</w:t>
      </w:r>
    </w:p>
    <w:p w14:paraId="73333657">
      <w:pPr>
        <w:pStyle w:val="39"/>
        <w:numPr>
          <w:ilvl w:val="0"/>
          <w:numId w:val="3"/>
        </w:numPr>
        <w:tabs>
          <w:tab w:val="left" w:pos="312"/>
        </w:tabs>
        <w:adjustRightInd w:val="0"/>
        <w:snapToGrid w:val="0"/>
        <w:spacing w:before="0" w:beforeAutospacing="0" w:after="0" w:afterAutospacing="0" w:line="360" w:lineRule="auto"/>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如投标人是企业（包括合伙企业），提供在工商部门注册的有效“企业法人营业执照”或“营业执照”；</w:t>
      </w:r>
    </w:p>
    <w:p w14:paraId="6992047F">
      <w:pPr>
        <w:pStyle w:val="39"/>
        <w:numPr>
          <w:ilvl w:val="0"/>
          <w:numId w:val="3"/>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如投标人是事业单位，提供有效的“事业单位法人证书”；</w:t>
      </w:r>
    </w:p>
    <w:p w14:paraId="775EDF7C">
      <w:pPr>
        <w:pStyle w:val="39"/>
        <w:numPr>
          <w:ilvl w:val="0"/>
          <w:numId w:val="3"/>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如投标人是非企业专业服务机构的，提供执业许可证等证明文件；</w:t>
      </w:r>
    </w:p>
    <w:p w14:paraId="26121CE4">
      <w:pPr>
        <w:pStyle w:val="39"/>
        <w:numPr>
          <w:ilvl w:val="0"/>
          <w:numId w:val="3"/>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如投标人是个体工商户，提供有效的“个体工商户营业执照”；</w:t>
      </w:r>
    </w:p>
    <w:p w14:paraId="14BBCF58">
      <w:pPr>
        <w:pStyle w:val="39"/>
        <w:numPr>
          <w:ilvl w:val="0"/>
          <w:numId w:val="3"/>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如投标人是自然人，提供有效的自然人身份证明（居民身份证正反面或公安机关出具的临时居民身份证正反面或港澳台胞证或护照）。</w:t>
      </w:r>
    </w:p>
    <w:p w14:paraId="2B453557">
      <w:pPr>
        <w:pStyle w:val="39"/>
        <w:numPr>
          <w:ilvl w:val="0"/>
          <w:numId w:val="2"/>
        </w:numPr>
        <w:tabs>
          <w:tab w:val="left" w:pos="630"/>
          <w:tab w:val="left" w:pos="840"/>
          <w:tab w:val="left" w:pos="1050"/>
        </w:tabs>
        <w:adjustRightInd w:val="0"/>
        <w:snapToGrid w:val="0"/>
        <w:spacing w:before="0" w:beforeAutospacing="0" w:after="0" w:afterAutospacing="0" w:line="360" w:lineRule="auto"/>
        <w:ind w:left="0" w:hanging="5"/>
        <w:rPr>
          <w:rFonts w:ascii="宋体" w:hAnsi="宋体" w:cs="宋体"/>
          <w:b/>
          <w:bCs/>
          <w:color w:val="auto"/>
          <w:sz w:val="21"/>
          <w:szCs w:val="21"/>
          <w:highlight w:val="none"/>
        </w:rPr>
      </w:pPr>
      <w:r>
        <w:rPr>
          <w:rFonts w:hint="eastAsia" w:ascii="宋体" w:hAnsi="宋体" w:cs="宋体"/>
          <w:b/>
          <w:bCs/>
          <w:color w:val="auto"/>
          <w:sz w:val="21"/>
          <w:szCs w:val="21"/>
          <w:highlight w:val="none"/>
        </w:rPr>
        <w:t>具有良好的商业信誉和健全的财务会计制度的证明材料：</w:t>
      </w:r>
    </w:p>
    <w:p w14:paraId="668ADACE">
      <w:pPr>
        <w:pStyle w:val="39"/>
        <w:numPr>
          <w:ilvl w:val="0"/>
          <w:numId w:val="4"/>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良好的商业信誉：</w:t>
      </w:r>
    </w:p>
    <w:p w14:paraId="6A5E40A0">
      <w:pPr>
        <w:pStyle w:val="39"/>
        <w:adjustRightInd w:val="0"/>
        <w:snapToGrid w:val="0"/>
        <w:spacing w:before="0" w:beforeAutospacing="0" w:after="0" w:afterAutospacing="0" w:line="360" w:lineRule="auto"/>
        <w:ind w:firstLine="416" w:firstLineChars="209"/>
        <w:rPr>
          <w:rFonts w:ascii="宋体" w:hAnsi="宋体" w:cs="宋体"/>
          <w:b/>
          <w:color w:val="auto"/>
          <w:spacing w:val="-6"/>
          <w:sz w:val="21"/>
          <w:szCs w:val="21"/>
          <w:highlight w:val="none"/>
        </w:rPr>
      </w:pPr>
      <w:r>
        <w:rPr>
          <w:rFonts w:hint="eastAsia" w:ascii="宋体" w:hAnsi="宋体" w:cs="宋体"/>
          <w:b/>
          <w:color w:val="auto"/>
          <w:spacing w:val="-6"/>
          <w:sz w:val="21"/>
          <w:szCs w:val="21"/>
          <w:highlight w:val="none"/>
        </w:rPr>
        <w:t>至本项目投标截止时间止未列入失信被执行人、重大税收违法案件当事人名单、政府采购严重违法失信行为记录名单。（代理机构以开标当日在“信用中国”网站（www.creditchina.gov.cn）、中国政府采购网（www.ccgp.gov.cn）网页查询记录为准）</w:t>
      </w:r>
    </w:p>
    <w:p w14:paraId="4D928ECE">
      <w:pPr>
        <w:pStyle w:val="39"/>
        <w:adjustRightInd w:val="0"/>
        <w:snapToGrid w:val="0"/>
        <w:spacing w:before="0" w:beforeAutospacing="0" w:after="0" w:afterAutospacing="0" w:line="360" w:lineRule="auto"/>
        <w:ind w:firstLine="416" w:firstLineChars="209"/>
        <w:rPr>
          <w:rFonts w:ascii="宋体" w:hAnsi="宋体" w:cs="宋体"/>
          <w:b/>
          <w:color w:val="auto"/>
          <w:spacing w:val="-6"/>
          <w:sz w:val="21"/>
          <w:szCs w:val="21"/>
          <w:highlight w:val="none"/>
        </w:rPr>
      </w:pPr>
      <w:r>
        <w:rPr>
          <w:rFonts w:hint="eastAsia" w:ascii="宋体" w:hAnsi="宋体" w:cs="宋体"/>
          <w:b/>
          <w:color w:val="auto"/>
          <w:spacing w:val="-6"/>
          <w:sz w:val="21"/>
          <w:szCs w:val="21"/>
          <w:highlight w:val="none"/>
        </w:rPr>
        <w:t>对列入失信被执行人、重大税收违法案件当事人名单、政府采购严重违法失信行为记录名单的投标人，其投标将作无效标处理。</w:t>
      </w:r>
    </w:p>
    <w:p w14:paraId="06B937C1">
      <w:pPr>
        <w:pStyle w:val="39"/>
        <w:numPr>
          <w:ilvl w:val="0"/>
          <w:numId w:val="4"/>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健全的财务会计制度：</w:t>
      </w:r>
    </w:p>
    <w:p w14:paraId="6C07613C">
      <w:pPr>
        <w:pStyle w:val="39"/>
        <w:adjustRightInd w:val="0"/>
        <w:snapToGrid w:val="0"/>
        <w:spacing w:before="0" w:beforeAutospacing="0" w:after="0" w:afterAutospacing="0" w:line="360" w:lineRule="auto"/>
        <w:rPr>
          <w:rFonts w:ascii="宋体" w:hAnsi="宋体" w:cs="宋体"/>
          <w:b/>
          <w:color w:val="auto"/>
          <w:spacing w:val="-6"/>
          <w:sz w:val="21"/>
          <w:szCs w:val="21"/>
          <w:highlight w:val="none"/>
        </w:rPr>
      </w:pPr>
      <w:r>
        <w:rPr>
          <w:rFonts w:hint="eastAsia" w:ascii="宋体" w:hAnsi="宋体" w:cs="宋体"/>
          <w:b/>
          <w:color w:val="auto"/>
          <w:spacing w:val="-6"/>
          <w:sz w:val="21"/>
          <w:szCs w:val="21"/>
          <w:highlight w:val="none"/>
        </w:rPr>
        <w:t>投标人须在投标文件中出具符合以下情况的证明材料</w:t>
      </w:r>
      <w:r>
        <w:rPr>
          <w:rFonts w:hint="eastAsia" w:ascii="宋体" w:hAnsi="宋体" w:cs="宋体"/>
          <w:b/>
          <w:bCs/>
          <w:color w:val="auto"/>
          <w:sz w:val="21"/>
          <w:szCs w:val="21"/>
          <w:highlight w:val="none"/>
        </w:rPr>
        <w:t>的扫描件</w:t>
      </w:r>
      <w:r>
        <w:rPr>
          <w:rFonts w:hint="eastAsia" w:ascii="宋体" w:hAnsi="宋体" w:cs="宋体"/>
          <w:b/>
          <w:color w:val="auto"/>
          <w:spacing w:val="-6"/>
          <w:sz w:val="21"/>
          <w:szCs w:val="21"/>
          <w:highlight w:val="none"/>
        </w:rPr>
        <w:t>（三选一）：</w:t>
      </w:r>
    </w:p>
    <w:p w14:paraId="5688E2CF">
      <w:pPr>
        <w:pStyle w:val="39"/>
        <w:numPr>
          <w:ilvl w:val="0"/>
          <w:numId w:val="5"/>
        </w:numPr>
        <w:adjustRightInd w:val="0"/>
        <w:snapToGrid w:val="0"/>
        <w:spacing w:before="0" w:beforeAutospacing="0" w:after="0" w:afterAutospacing="0" w:line="360" w:lineRule="auto"/>
        <w:ind w:left="0" w:firstLine="415"/>
        <w:rPr>
          <w:rFonts w:ascii="宋体" w:hAnsi="宋体" w:cs="宋体"/>
          <w:b/>
          <w:bCs/>
          <w:color w:val="auto"/>
          <w:sz w:val="21"/>
          <w:szCs w:val="21"/>
          <w:highlight w:val="none"/>
        </w:rPr>
      </w:pPr>
      <w:r>
        <w:rPr>
          <w:rFonts w:hint="eastAsia" w:ascii="宋体" w:hAnsi="宋体" w:cs="宋体"/>
          <w:b/>
          <w:bCs/>
          <w:color w:val="auto"/>
          <w:sz w:val="21"/>
          <w:szCs w:val="21"/>
          <w:highlight w:val="none"/>
        </w:rPr>
        <w:t>投标人是法人的，应提供最近一个年度经审计的财务报告，包括资产负债表、利润表或损益表(执行《小企业会计准则》的提供资产负债表和利润表两张基本报表），未经审计的，提供资产负债表、利润表或损益表。</w:t>
      </w:r>
    </w:p>
    <w:p w14:paraId="41EAFFB8">
      <w:pPr>
        <w:pStyle w:val="39"/>
        <w:numPr>
          <w:ilvl w:val="0"/>
          <w:numId w:val="5"/>
        </w:numPr>
        <w:adjustRightInd w:val="0"/>
        <w:snapToGrid w:val="0"/>
        <w:spacing w:before="0" w:beforeAutospacing="0" w:after="0" w:afterAutospacing="0" w:line="360" w:lineRule="auto"/>
        <w:ind w:left="0" w:firstLine="415"/>
        <w:rPr>
          <w:rFonts w:ascii="宋体" w:hAnsi="宋体" w:cs="宋体"/>
          <w:b/>
          <w:bCs/>
          <w:color w:val="auto"/>
          <w:sz w:val="21"/>
          <w:szCs w:val="21"/>
          <w:highlight w:val="none"/>
        </w:rPr>
      </w:pPr>
      <w:r>
        <w:rPr>
          <w:rFonts w:hint="eastAsia" w:ascii="宋体" w:hAnsi="宋体" w:cs="宋体"/>
          <w:b/>
          <w:bCs/>
          <w:color w:val="auto"/>
          <w:sz w:val="21"/>
          <w:szCs w:val="21"/>
          <w:highlight w:val="none"/>
        </w:rPr>
        <w:t>其他组织和自然人如没有经审计的财务报告的，可以提供资产负债表、利润表或损益表。</w:t>
      </w:r>
    </w:p>
    <w:p w14:paraId="1A4FD15A">
      <w:pPr>
        <w:pStyle w:val="39"/>
        <w:numPr>
          <w:ilvl w:val="0"/>
          <w:numId w:val="5"/>
        </w:numPr>
        <w:adjustRightInd w:val="0"/>
        <w:snapToGrid w:val="0"/>
        <w:spacing w:before="0" w:beforeAutospacing="0" w:after="0" w:afterAutospacing="0" w:line="360" w:lineRule="auto"/>
        <w:ind w:left="0" w:firstLine="415"/>
        <w:rPr>
          <w:rFonts w:ascii="宋体" w:hAnsi="宋体" w:cs="宋体"/>
          <w:b/>
          <w:bCs/>
          <w:color w:val="auto"/>
          <w:sz w:val="21"/>
          <w:szCs w:val="21"/>
          <w:highlight w:val="none"/>
        </w:rPr>
      </w:pPr>
      <w:r>
        <w:rPr>
          <w:rFonts w:hint="eastAsia" w:ascii="宋体" w:hAnsi="宋体" w:cs="宋体"/>
          <w:b/>
          <w:bCs/>
          <w:color w:val="auto"/>
          <w:sz w:val="21"/>
          <w:szCs w:val="21"/>
          <w:highlight w:val="none"/>
        </w:rPr>
        <w:t>新成立不足一年的公司须出具情况说明</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需盖投标人公章。</w:t>
      </w:r>
    </w:p>
    <w:p w14:paraId="20260220">
      <w:pPr>
        <w:pStyle w:val="39"/>
        <w:numPr>
          <w:ilvl w:val="0"/>
          <w:numId w:val="2"/>
        </w:numPr>
        <w:tabs>
          <w:tab w:val="left" w:pos="630"/>
          <w:tab w:val="left" w:pos="840"/>
          <w:tab w:val="left" w:pos="1050"/>
        </w:tabs>
        <w:adjustRightInd w:val="0"/>
        <w:snapToGrid w:val="0"/>
        <w:spacing w:before="0" w:beforeAutospacing="0" w:after="0" w:afterAutospacing="0" w:line="360" w:lineRule="auto"/>
        <w:ind w:left="0" w:hanging="5"/>
        <w:rPr>
          <w:rFonts w:ascii="宋体" w:hAnsi="宋体" w:cs="宋体"/>
          <w:b/>
          <w:bCs/>
          <w:color w:val="auto"/>
          <w:sz w:val="21"/>
          <w:szCs w:val="21"/>
          <w:highlight w:val="none"/>
        </w:rPr>
      </w:pPr>
      <w:r>
        <w:rPr>
          <w:rFonts w:hint="eastAsia" w:ascii="宋体" w:hAnsi="宋体" w:cs="宋体"/>
          <w:b/>
          <w:bCs/>
          <w:color w:val="auto"/>
          <w:sz w:val="21"/>
          <w:szCs w:val="21"/>
          <w:highlight w:val="none"/>
        </w:rPr>
        <w:t>具有履行合同所必需的设备和专业技术能力：</w:t>
      </w:r>
    </w:p>
    <w:p w14:paraId="43036AF8">
      <w:pPr>
        <w:pStyle w:val="39"/>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投标人须在投标文件中出具具有履行合同所必需的设备和专业技术能力的《承诺函》；（由投标人根据本项目情况自行拟定承诺函</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需盖投标人公章。</w:t>
      </w:r>
      <w:r>
        <w:rPr>
          <w:rFonts w:hint="eastAsia" w:ascii="宋体" w:hAnsi="宋体" w:cs="宋体"/>
          <w:b/>
          <w:bCs/>
          <w:color w:val="auto"/>
          <w:sz w:val="21"/>
          <w:szCs w:val="21"/>
          <w:highlight w:val="none"/>
        </w:rPr>
        <w:t>）</w:t>
      </w:r>
    </w:p>
    <w:p w14:paraId="7A260A66">
      <w:pPr>
        <w:pStyle w:val="39"/>
        <w:numPr>
          <w:ilvl w:val="0"/>
          <w:numId w:val="2"/>
        </w:numPr>
        <w:tabs>
          <w:tab w:val="left" w:pos="630"/>
          <w:tab w:val="left" w:pos="840"/>
          <w:tab w:val="left" w:pos="1050"/>
        </w:tabs>
        <w:adjustRightInd w:val="0"/>
        <w:snapToGrid w:val="0"/>
        <w:spacing w:before="0" w:beforeAutospacing="0" w:after="0" w:afterAutospacing="0" w:line="360" w:lineRule="auto"/>
        <w:ind w:left="0" w:hanging="5"/>
        <w:rPr>
          <w:rFonts w:ascii="宋体" w:hAnsi="宋体" w:cs="宋体"/>
          <w:b/>
          <w:bCs/>
          <w:color w:val="auto"/>
          <w:sz w:val="21"/>
          <w:szCs w:val="21"/>
          <w:highlight w:val="none"/>
        </w:rPr>
      </w:pPr>
      <w:r>
        <w:rPr>
          <w:rFonts w:hint="eastAsia" w:ascii="宋体" w:hAnsi="宋体" w:cs="宋体"/>
          <w:b/>
          <w:bCs/>
          <w:color w:val="auto"/>
          <w:sz w:val="21"/>
          <w:szCs w:val="21"/>
          <w:highlight w:val="none"/>
        </w:rPr>
        <w:t>有依法缴纳税收和社会保障资金的良好记录：</w:t>
      </w:r>
    </w:p>
    <w:p w14:paraId="162D14B0">
      <w:pPr>
        <w:pStyle w:val="39"/>
        <w:adjustRightInd w:val="0"/>
        <w:snapToGrid w:val="0"/>
        <w:spacing w:before="0" w:beforeAutospacing="0" w:after="0" w:afterAutospacing="0" w:line="360" w:lineRule="auto"/>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投标人须在投标文件中同时出具满足以下要求的证明材料的扫描件：</w:t>
      </w:r>
    </w:p>
    <w:p w14:paraId="04FB1E43">
      <w:pPr>
        <w:pStyle w:val="39"/>
        <w:numPr>
          <w:ilvl w:val="0"/>
          <w:numId w:val="6"/>
        </w:numPr>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投标人须提供最近三个月内</w:t>
      </w:r>
      <w:r>
        <w:rPr>
          <w:rFonts w:hint="eastAsia" w:ascii="宋体" w:hAnsi="宋体" w:cs="宋体"/>
          <w:b/>
          <w:bCs/>
          <w:color w:val="auto"/>
          <w:sz w:val="21"/>
          <w:szCs w:val="21"/>
          <w:highlight w:val="none"/>
          <w:lang w:val="en-US" w:eastAsia="zh-CN"/>
        </w:rPr>
        <w:t>任意一个月的</w:t>
      </w:r>
      <w:r>
        <w:rPr>
          <w:rFonts w:hint="eastAsia" w:ascii="宋体" w:hAnsi="宋体" w:cs="宋体"/>
          <w:b/>
          <w:bCs/>
          <w:color w:val="auto"/>
          <w:sz w:val="21"/>
          <w:szCs w:val="21"/>
          <w:highlight w:val="none"/>
        </w:rPr>
        <w:t>纳税证明。</w:t>
      </w:r>
    </w:p>
    <w:p w14:paraId="4601E29E">
      <w:pPr>
        <w:pStyle w:val="39"/>
        <w:numPr>
          <w:ilvl w:val="0"/>
          <w:numId w:val="6"/>
        </w:numPr>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投标人须提供最近三个月内</w:t>
      </w:r>
      <w:r>
        <w:rPr>
          <w:rFonts w:hint="eastAsia" w:ascii="宋体" w:hAnsi="宋体" w:cs="宋体"/>
          <w:b/>
          <w:bCs/>
          <w:color w:val="auto"/>
          <w:sz w:val="21"/>
          <w:szCs w:val="21"/>
          <w:highlight w:val="none"/>
          <w:lang w:val="en-US" w:eastAsia="zh-CN"/>
        </w:rPr>
        <w:t>任意一个月</w:t>
      </w:r>
      <w:r>
        <w:rPr>
          <w:rFonts w:hint="eastAsia" w:ascii="宋体" w:hAnsi="宋体" w:cs="宋体"/>
          <w:b/>
          <w:bCs/>
          <w:color w:val="auto"/>
          <w:sz w:val="21"/>
          <w:szCs w:val="21"/>
          <w:highlight w:val="none"/>
        </w:rPr>
        <w:t>缴纳社会保险的凭据（缴税付款凭证或社会保险缴纳证明）。依法免税或不需要缴纳社会保障资金的供应商，应提供相应文件证明其依法免税或不需要缴纳社会保障资金。</w:t>
      </w:r>
    </w:p>
    <w:p w14:paraId="7CBAD747">
      <w:pPr>
        <w:pStyle w:val="39"/>
        <w:numPr>
          <w:ilvl w:val="0"/>
          <w:numId w:val="2"/>
        </w:numPr>
        <w:tabs>
          <w:tab w:val="left" w:pos="630"/>
          <w:tab w:val="left" w:pos="840"/>
          <w:tab w:val="left" w:pos="1050"/>
        </w:tabs>
        <w:adjustRightInd w:val="0"/>
        <w:snapToGrid w:val="0"/>
        <w:spacing w:before="0" w:beforeAutospacing="0" w:after="0" w:afterAutospacing="0" w:line="360" w:lineRule="auto"/>
        <w:ind w:left="0" w:hanging="5"/>
        <w:rPr>
          <w:rFonts w:ascii="宋体" w:hAnsi="宋体" w:cs="宋体"/>
          <w:b/>
          <w:bCs/>
          <w:color w:val="auto"/>
          <w:sz w:val="21"/>
          <w:szCs w:val="21"/>
          <w:highlight w:val="none"/>
        </w:rPr>
      </w:pPr>
      <w:r>
        <w:rPr>
          <w:rFonts w:hint="eastAsia" w:ascii="宋体" w:hAnsi="宋体" w:cs="宋体"/>
          <w:b/>
          <w:bCs/>
          <w:color w:val="auto"/>
          <w:sz w:val="21"/>
          <w:szCs w:val="21"/>
          <w:highlight w:val="none"/>
        </w:rPr>
        <w:t>参加政府采购活动前三年内，在经营活动中没有重大违法记录：</w:t>
      </w:r>
    </w:p>
    <w:p w14:paraId="5AD72026">
      <w:pPr>
        <w:pStyle w:val="39"/>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投标人须在投标文件中出具《声明函》。（参考格式见本文件第六部分）</w:t>
      </w:r>
    </w:p>
    <w:p w14:paraId="4A70A0DD">
      <w:pPr>
        <w:pStyle w:val="39"/>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（2）特定</w:t>
      </w:r>
      <w:r>
        <w:rPr>
          <w:rFonts w:ascii="宋体" w:hAnsi="宋体" w:cs="宋体"/>
          <w:b/>
          <w:bCs/>
          <w:color w:val="auto"/>
          <w:sz w:val="21"/>
          <w:szCs w:val="21"/>
          <w:highlight w:val="none"/>
        </w:rPr>
        <w:t>资格条件：</w:t>
      </w:r>
      <w:r>
        <w:rPr>
          <w:rFonts w:hint="eastAsia" w:ascii="宋体" w:hAnsi="宋体" w:cs="宋体"/>
          <w:b/>
          <w:bCs/>
          <w:color w:val="auto"/>
          <w:sz w:val="21"/>
          <w:szCs w:val="21"/>
          <w:highlight w:val="none"/>
        </w:rPr>
        <w:t>详见招标公告，投标人须在投标文件中出具符合以下情况的证明材料的扫描件并加盖投标人公章。</w:t>
      </w:r>
    </w:p>
    <w:p w14:paraId="15AAD277">
      <w:pPr>
        <w:autoSpaceDE w:val="0"/>
        <w:autoSpaceDN w:val="0"/>
        <w:adjustRightInd w:val="0"/>
        <w:snapToGrid w:val="0"/>
        <w:spacing w:line="360" w:lineRule="auto"/>
        <w:ind w:firstLine="422" w:firstLineChars="200"/>
        <w:textAlignment w:val="bottom"/>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注：如为联合体投标，联合体各成员均需提供基本资格条件要求的资格证明材料。</w:t>
      </w:r>
    </w:p>
    <w:p w14:paraId="0132070D">
      <w:pPr>
        <w:autoSpaceDE w:val="0"/>
        <w:autoSpaceDN w:val="0"/>
        <w:adjustRightInd w:val="0"/>
        <w:snapToGrid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9.2 商务技术文件</w:t>
      </w:r>
    </w:p>
    <w:p w14:paraId="0DFCD0A8">
      <w:pPr>
        <w:numPr>
          <w:ilvl w:val="0"/>
          <w:numId w:val="7"/>
        </w:numPr>
        <w:tabs>
          <w:tab w:val="left" w:pos="851"/>
          <w:tab w:val="left" w:pos="900"/>
          <w:tab w:val="left" w:pos="1080"/>
        </w:tabs>
        <w:adjustRightInd w:val="0"/>
        <w:snapToGrid w:val="0"/>
        <w:spacing w:line="360" w:lineRule="auto"/>
        <w:ind w:left="0" w:firstLine="340"/>
        <w:jc w:val="left"/>
        <w:rPr>
          <w:rFonts w:ascii="宋体" w:hAnsi="宋体" w:cs="宋体"/>
          <w:bCs/>
          <w:color w:val="auto"/>
          <w:szCs w:val="21"/>
          <w:highlight w:val="none"/>
        </w:rPr>
      </w:pPr>
      <w:r>
        <w:rPr>
          <w:rFonts w:hint="eastAsia" w:ascii="宋体" w:hAnsi="宋体" w:cs="宋体"/>
          <w:bCs/>
          <w:color w:val="auto"/>
          <w:szCs w:val="21"/>
          <w:highlight w:val="none"/>
        </w:rPr>
        <w:t>评分索引表；</w:t>
      </w:r>
    </w:p>
    <w:p w14:paraId="6E440A46">
      <w:pPr>
        <w:numPr>
          <w:ilvl w:val="0"/>
          <w:numId w:val="7"/>
        </w:numPr>
        <w:tabs>
          <w:tab w:val="left" w:pos="851"/>
          <w:tab w:val="left" w:pos="900"/>
          <w:tab w:val="left" w:pos="1080"/>
        </w:tabs>
        <w:adjustRightInd w:val="0"/>
        <w:snapToGrid w:val="0"/>
        <w:spacing w:line="360" w:lineRule="auto"/>
        <w:ind w:left="0" w:firstLine="340"/>
        <w:jc w:val="left"/>
        <w:rPr>
          <w:rFonts w:ascii="宋体" w:hAnsi="宋体" w:cs="宋体"/>
          <w:bCs/>
          <w:color w:val="auto"/>
          <w:szCs w:val="21"/>
          <w:highlight w:val="none"/>
        </w:rPr>
      </w:pPr>
      <w:r>
        <w:rPr>
          <w:rFonts w:hint="eastAsia" w:ascii="宋体" w:hAnsi="宋体" w:cs="宋体"/>
          <w:bCs/>
          <w:color w:val="auto"/>
          <w:szCs w:val="21"/>
          <w:highlight w:val="none"/>
        </w:rPr>
        <w:t>投标响应一览表；</w:t>
      </w:r>
    </w:p>
    <w:p w14:paraId="0CCD1110">
      <w:pPr>
        <w:numPr>
          <w:ilvl w:val="0"/>
          <w:numId w:val="7"/>
        </w:numPr>
        <w:tabs>
          <w:tab w:val="left" w:pos="851"/>
          <w:tab w:val="left" w:pos="900"/>
          <w:tab w:val="left" w:pos="1080"/>
        </w:tabs>
        <w:adjustRightInd w:val="0"/>
        <w:snapToGrid w:val="0"/>
        <w:spacing w:line="360" w:lineRule="auto"/>
        <w:ind w:left="0" w:firstLine="34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投标人基本情况表；</w:t>
      </w:r>
    </w:p>
    <w:p w14:paraId="35804B04">
      <w:pPr>
        <w:numPr>
          <w:ilvl w:val="0"/>
          <w:numId w:val="7"/>
        </w:numPr>
        <w:tabs>
          <w:tab w:val="left" w:pos="851"/>
          <w:tab w:val="left" w:pos="900"/>
          <w:tab w:val="left" w:pos="1080"/>
        </w:tabs>
        <w:adjustRightInd w:val="0"/>
        <w:snapToGrid w:val="0"/>
        <w:spacing w:line="360" w:lineRule="auto"/>
        <w:ind w:left="0" w:firstLine="34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法定代表人资格证明书及法定代表人授权书，同时须附法定代表人和授权委托代表的有效身份证原件的扫描件（法定代表人直接参加投标并对相应文件签字的，只需提供前者）</w:t>
      </w:r>
      <w:r>
        <w:rPr>
          <w:rFonts w:hint="eastAsia" w:ascii="宋体" w:hAnsi="宋体" w:cs="宋体"/>
          <w:snapToGrid w:val="0"/>
          <w:color w:val="auto"/>
          <w:kern w:val="0"/>
          <w:szCs w:val="21"/>
          <w:highlight w:val="none"/>
          <w:lang w:eastAsia="zh-CN"/>
        </w:rPr>
        <w:t>；</w:t>
      </w:r>
    </w:p>
    <w:p w14:paraId="7B5D9B0E">
      <w:pPr>
        <w:numPr>
          <w:ilvl w:val="0"/>
          <w:numId w:val="7"/>
        </w:numPr>
        <w:tabs>
          <w:tab w:val="left" w:pos="851"/>
          <w:tab w:val="left" w:pos="900"/>
          <w:tab w:val="left" w:pos="1080"/>
        </w:tabs>
        <w:adjustRightInd w:val="0"/>
        <w:snapToGrid w:val="0"/>
        <w:spacing w:line="360" w:lineRule="auto"/>
        <w:ind w:left="0" w:firstLine="340"/>
        <w:jc w:val="left"/>
        <w:rPr>
          <w:rFonts w:ascii="宋体" w:hAnsi="宋体" w:cs="宋体"/>
          <w:bCs/>
          <w:color w:val="auto"/>
          <w:szCs w:val="21"/>
          <w:highlight w:val="none"/>
        </w:rPr>
      </w:pPr>
      <w:r>
        <w:rPr>
          <w:rFonts w:hint="eastAsia" w:ascii="宋体" w:hAnsi="宋体" w:cs="宋体"/>
          <w:snapToGrid w:val="0"/>
          <w:color w:val="auto"/>
          <w:kern w:val="0"/>
          <w:szCs w:val="21"/>
          <w:highlight w:val="none"/>
        </w:rPr>
        <w:t>廉政承诺书；</w:t>
      </w:r>
    </w:p>
    <w:p w14:paraId="4BD6957C">
      <w:pPr>
        <w:numPr>
          <w:ilvl w:val="0"/>
          <w:numId w:val="7"/>
        </w:numPr>
        <w:tabs>
          <w:tab w:val="left" w:pos="851"/>
          <w:tab w:val="left" w:pos="900"/>
          <w:tab w:val="left" w:pos="1080"/>
        </w:tabs>
        <w:adjustRightInd w:val="0"/>
        <w:snapToGrid w:val="0"/>
        <w:spacing w:line="360" w:lineRule="auto"/>
        <w:ind w:left="0" w:firstLine="340"/>
        <w:jc w:val="left"/>
        <w:rPr>
          <w:rFonts w:ascii="宋体" w:hAnsi="宋体" w:cs="宋体"/>
          <w:bCs/>
          <w:color w:val="auto"/>
          <w:szCs w:val="21"/>
          <w:highlight w:val="none"/>
        </w:rPr>
      </w:pPr>
      <w:r>
        <w:rPr>
          <w:rFonts w:hint="eastAsia" w:ascii="宋体" w:hAnsi="宋体" w:cs="宋体"/>
          <w:bCs/>
          <w:color w:val="auto"/>
          <w:szCs w:val="21"/>
          <w:highlight w:val="none"/>
        </w:rPr>
        <w:t>投标人拥有的资质、荣誉、权威认证、资信等级证书（如有）（出具扫描件）；</w:t>
      </w:r>
    </w:p>
    <w:p w14:paraId="3AA633CB">
      <w:pPr>
        <w:numPr>
          <w:ilvl w:val="0"/>
          <w:numId w:val="7"/>
        </w:numPr>
        <w:tabs>
          <w:tab w:val="left" w:pos="851"/>
          <w:tab w:val="left" w:pos="900"/>
          <w:tab w:val="left" w:pos="1080"/>
        </w:tabs>
        <w:adjustRightInd w:val="0"/>
        <w:snapToGrid w:val="0"/>
        <w:spacing w:line="360" w:lineRule="auto"/>
        <w:ind w:left="0" w:firstLine="340"/>
        <w:jc w:val="left"/>
        <w:rPr>
          <w:rFonts w:hint="eastAsia" w:ascii="宋体" w:hAnsi="宋体" w:cs="宋体"/>
          <w:bCs/>
          <w:color w:val="auto"/>
          <w:szCs w:val="21"/>
          <w:highlight w:val="none"/>
        </w:rPr>
      </w:pPr>
      <w:r>
        <w:rPr>
          <w:rFonts w:hint="eastAsia" w:ascii="宋体" w:hAnsi="宋体" w:cs="宋体"/>
          <w:bCs/>
          <w:color w:val="auto"/>
          <w:szCs w:val="21"/>
          <w:highlight w:val="none"/>
        </w:rPr>
        <w:t>项目整体设计方案</w:t>
      </w:r>
      <w:r>
        <w:rPr>
          <w:rFonts w:hint="eastAsia" w:ascii="宋体" w:hAnsi="宋体" w:cs="宋体"/>
          <w:bCs/>
          <w:color w:val="auto"/>
          <w:szCs w:val="21"/>
          <w:highlight w:val="none"/>
          <w:lang w:eastAsia="zh-CN"/>
        </w:rPr>
        <w:t>；</w:t>
      </w:r>
    </w:p>
    <w:p w14:paraId="201FA0C5">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设计方案须紧密结合采购人提供的《乌鲁木齐市城市规划馆展陈更新大纲》，充分体现展示逻辑和内容，不得生搬硬套其他城市模板，细节可结合设计需求进行优化创新。</w:t>
      </w:r>
    </w:p>
    <w:p w14:paraId="6E73CB3F">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设计方案包含：设计说明、设施利旧专篇、重点展项专篇、高科技技术应用专篇、</w:t>
      </w:r>
      <w:r>
        <w:rPr>
          <w:rFonts w:hint="eastAsia" w:ascii="宋体" w:hAnsi="宋体" w:cs="宋体"/>
          <w:snapToGrid w:val="0"/>
          <w:color w:val="auto"/>
          <w:kern w:val="0"/>
          <w:szCs w:val="21"/>
          <w:highlight w:val="none"/>
          <w:lang w:val="en-US" w:eastAsia="zh-CN"/>
        </w:rPr>
        <w:t>序厅设计专篇、</w:t>
      </w:r>
      <w:r>
        <w:rPr>
          <w:rFonts w:hint="default" w:ascii="宋体" w:hAnsi="宋体" w:cs="宋体"/>
          <w:snapToGrid w:val="0"/>
          <w:color w:val="auto"/>
          <w:kern w:val="0"/>
          <w:szCs w:val="21"/>
          <w:highlight w:val="none"/>
          <w:lang w:val="en-US" w:eastAsia="zh-CN"/>
        </w:rPr>
        <w:t>城市沙盘专篇、公共空间设计专篇、展馆标识系统设计专篇、设计图纸、投资概算、项目整体进度计划等。</w:t>
      </w:r>
    </w:p>
    <w:p w14:paraId="66CE6D45">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1）</w:t>
      </w:r>
      <w:r>
        <w:rPr>
          <w:rFonts w:hint="default" w:ascii="宋体" w:hAnsi="宋体" w:cs="宋体"/>
          <w:snapToGrid w:val="0"/>
          <w:color w:val="auto"/>
          <w:kern w:val="0"/>
          <w:szCs w:val="21"/>
          <w:highlight w:val="none"/>
          <w:lang w:val="en-US" w:eastAsia="zh-CN"/>
        </w:rPr>
        <w:t>设计说明</w:t>
      </w:r>
      <w:r>
        <w:rPr>
          <w:rFonts w:hint="eastAsia" w:ascii="宋体" w:hAnsi="宋体" w:cs="宋体"/>
          <w:snapToGrid w:val="0"/>
          <w:color w:val="auto"/>
          <w:kern w:val="0"/>
          <w:szCs w:val="21"/>
          <w:highlight w:val="none"/>
          <w:lang w:val="en-US" w:eastAsia="zh-CN"/>
        </w:rPr>
        <w:t>：</w:t>
      </w:r>
    </w:p>
    <w:p w14:paraId="63D1A9D8">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①</w:t>
      </w:r>
      <w:r>
        <w:rPr>
          <w:rFonts w:hint="default" w:ascii="宋体" w:hAnsi="宋体" w:cs="宋体"/>
          <w:snapToGrid w:val="0"/>
          <w:color w:val="auto"/>
          <w:kern w:val="0"/>
          <w:szCs w:val="21"/>
          <w:highlight w:val="none"/>
          <w:lang w:val="en-US" w:eastAsia="zh-CN"/>
        </w:rPr>
        <w:t>总体设计构想和理念（至少包括现状评估、项目构成及总体构想）</w:t>
      </w:r>
      <w:r>
        <w:rPr>
          <w:rFonts w:hint="eastAsia" w:ascii="宋体" w:hAnsi="宋体" w:cs="宋体"/>
          <w:snapToGrid w:val="0"/>
          <w:color w:val="auto"/>
          <w:kern w:val="0"/>
          <w:szCs w:val="21"/>
          <w:highlight w:val="none"/>
          <w:lang w:val="en-US" w:eastAsia="zh-CN"/>
        </w:rPr>
        <w:t>；</w:t>
      </w:r>
    </w:p>
    <w:p w14:paraId="6C73F99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②</w:t>
      </w:r>
      <w:r>
        <w:rPr>
          <w:rFonts w:hint="default" w:ascii="宋体" w:hAnsi="宋体" w:cs="宋体"/>
          <w:snapToGrid w:val="0"/>
          <w:color w:val="auto"/>
          <w:kern w:val="0"/>
          <w:szCs w:val="21"/>
          <w:highlight w:val="none"/>
          <w:lang w:val="en-US" w:eastAsia="zh-CN"/>
        </w:rPr>
        <w:t>功能分区和空间布局说明；</w:t>
      </w:r>
    </w:p>
    <w:p w14:paraId="1B0B8986">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③</w:t>
      </w:r>
      <w:r>
        <w:rPr>
          <w:rFonts w:hint="default" w:ascii="宋体" w:hAnsi="宋体" w:cs="宋体"/>
          <w:snapToGrid w:val="0"/>
          <w:color w:val="auto"/>
          <w:kern w:val="0"/>
          <w:szCs w:val="21"/>
          <w:highlight w:val="none"/>
          <w:lang w:val="en-US" w:eastAsia="zh-CN"/>
        </w:rPr>
        <w:t>根据不同参观类型提出参观流线及接待方案；</w:t>
      </w:r>
    </w:p>
    <w:p w14:paraId="4645652E">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④</w:t>
      </w:r>
      <w:r>
        <w:rPr>
          <w:rFonts w:hint="default" w:ascii="宋体" w:hAnsi="宋体" w:cs="宋体"/>
          <w:snapToGrid w:val="0"/>
          <w:color w:val="auto"/>
          <w:kern w:val="0"/>
          <w:szCs w:val="21"/>
          <w:highlight w:val="none"/>
          <w:lang w:val="en-US" w:eastAsia="zh-CN"/>
        </w:rPr>
        <w:t>展品展项的展示方案、展示表现手法、技术措施及数字多媒体系统方案（文字说明+效果图）；</w:t>
      </w:r>
    </w:p>
    <w:p w14:paraId="0E8A74F3">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⑤</w:t>
      </w:r>
      <w:r>
        <w:rPr>
          <w:rFonts w:hint="default" w:ascii="宋体" w:hAnsi="宋体" w:cs="宋体"/>
          <w:snapToGrid w:val="0"/>
          <w:color w:val="auto"/>
          <w:kern w:val="0"/>
          <w:szCs w:val="21"/>
          <w:highlight w:val="none"/>
          <w:lang w:val="en-US" w:eastAsia="zh-CN"/>
        </w:rPr>
        <w:t>分层的设计构想和理念；</w:t>
      </w:r>
    </w:p>
    <w:p w14:paraId="3D6119CE">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⑥</w:t>
      </w:r>
      <w:r>
        <w:rPr>
          <w:rFonts w:hint="default" w:ascii="宋体" w:hAnsi="宋体" w:cs="宋体"/>
          <w:snapToGrid w:val="0"/>
          <w:color w:val="auto"/>
          <w:kern w:val="0"/>
          <w:szCs w:val="21"/>
          <w:highlight w:val="none"/>
          <w:lang w:val="en-US" w:eastAsia="zh-CN"/>
        </w:rPr>
        <w:t>布展设计特点及亮点；</w:t>
      </w:r>
    </w:p>
    <w:p w14:paraId="5C81727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⑦</w:t>
      </w:r>
      <w:r>
        <w:rPr>
          <w:rFonts w:hint="default" w:ascii="宋体" w:hAnsi="宋体" w:cs="宋体"/>
          <w:snapToGrid w:val="0"/>
          <w:color w:val="auto"/>
          <w:kern w:val="0"/>
          <w:szCs w:val="21"/>
          <w:highlight w:val="none"/>
          <w:lang w:val="en-US" w:eastAsia="zh-CN"/>
        </w:rPr>
        <w:t>所提交的成果应保持原创性，不得任何侵犯第三方知识产权，否则由此产生的后果由投标单位承担，招标单位保留追责、索赔的权利</w:t>
      </w:r>
      <w:r>
        <w:rPr>
          <w:rFonts w:hint="eastAsia" w:ascii="宋体" w:hAnsi="宋体" w:cs="宋体"/>
          <w:snapToGrid w:val="0"/>
          <w:color w:val="auto"/>
          <w:kern w:val="0"/>
          <w:szCs w:val="21"/>
          <w:highlight w:val="none"/>
          <w:lang w:val="en-US" w:eastAsia="zh-CN"/>
        </w:rPr>
        <w:t>；</w:t>
      </w:r>
    </w:p>
    <w:p w14:paraId="3E53DEDF">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2）</w:t>
      </w:r>
      <w:r>
        <w:rPr>
          <w:rFonts w:hint="default" w:ascii="宋体" w:hAnsi="宋体" w:cs="宋体"/>
          <w:snapToGrid w:val="0"/>
          <w:color w:val="auto"/>
          <w:kern w:val="0"/>
          <w:szCs w:val="21"/>
          <w:highlight w:val="none"/>
          <w:lang w:val="en-US" w:eastAsia="zh-CN"/>
        </w:rPr>
        <w:t>设施利旧专篇</w:t>
      </w:r>
      <w:r>
        <w:rPr>
          <w:rFonts w:hint="eastAsia" w:ascii="宋体" w:hAnsi="宋体" w:cs="宋体"/>
          <w:snapToGrid w:val="0"/>
          <w:color w:val="auto"/>
          <w:kern w:val="0"/>
          <w:szCs w:val="21"/>
          <w:highlight w:val="none"/>
          <w:lang w:val="en-US" w:eastAsia="zh-CN"/>
        </w:rPr>
        <w:t>；</w:t>
      </w:r>
    </w:p>
    <w:p w14:paraId="5F666DC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3）</w:t>
      </w:r>
      <w:r>
        <w:rPr>
          <w:rFonts w:hint="default" w:ascii="宋体" w:hAnsi="宋体" w:cs="宋体"/>
          <w:snapToGrid w:val="0"/>
          <w:color w:val="auto"/>
          <w:kern w:val="0"/>
          <w:szCs w:val="21"/>
          <w:highlight w:val="none"/>
          <w:lang w:val="en-US" w:eastAsia="zh-CN"/>
        </w:rPr>
        <w:t>重点展项专篇，由投标人综合考虑，自主设计。需附采用的展示技术及主要设备的说明（含品牌、规格型号、价格等）</w:t>
      </w:r>
      <w:r>
        <w:rPr>
          <w:rFonts w:hint="eastAsia" w:ascii="宋体" w:hAnsi="宋体" w:cs="宋体"/>
          <w:snapToGrid w:val="0"/>
          <w:color w:val="auto"/>
          <w:kern w:val="0"/>
          <w:szCs w:val="21"/>
          <w:highlight w:val="none"/>
          <w:lang w:val="en-US" w:eastAsia="zh-CN"/>
        </w:rPr>
        <w:t>；</w:t>
      </w:r>
    </w:p>
    <w:p w14:paraId="5A40F794">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4）</w:t>
      </w:r>
      <w:r>
        <w:rPr>
          <w:rFonts w:hint="default" w:ascii="宋体" w:hAnsi="宋体" w:cs="宋体"/>
          <w:snapToGrid w:val="0"/>
          <w:color w:val="auto"/>
          <w:kern w:val="0"/>
          <w:szCs w:val="21"/>
          <w:highlight w:val="none"/>
          <w:lang w:val="en-US" w:eastAsia="zh-CN"/>
        </w:rPr>
        <w:t>高科技技术应用专篇，要求提供多媒体硬件、软件、内容构想和维护方案</w:t>
      </w:r>
      <w:r>
        <w:rPr>
          <w:rFonts w:hint="eastAsia" w:ascii="宋体" w:hAnsi="宋体" w:cs="宋体"/>
          <w:snapToGrid w:val="0"/>
          <w:color w:val="auto"/>
          <w:kern w:val="0"/>
          <w:szCs w:val="21"/>
          <w:highlight w:val="none"/>
          <w:lang w:val="en-US" w:eastAsia="zh-CN"/>
        </w:rPr>
        <w:t>；</w:t>
      </w:r>
    </w:p>
    <w:p w14:paraId="44B9B190">
      <w:pPr>
        <w:spacing w:line="360" w:lineRule="auto"/>
        <w:ind w:left="218" w:leftChars="104" w:firstLine="420" w:firstLineChars="200"/>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5）序厅设计专篇</w:t>
      </w:r>
      <w:r>
        <w:rPr>
          <w:rFonts w:hint="default" w:ascii="宋体" w:hAnsi="宋体" w:cs="宋体"/>
          <w:snapToGrid w:val="0"/>
          <w:color w:val="auto"/>
          <w:kern w:val="0"/>
          <w:szCs w:val="21"/>
          <w:highlight w:val="none"/>
          <w:lang w:val="en-US" w:eastAsia="zh-CN"/>
        </w:rPr>
        <w:t>，具体内容要求如下</w:t>
      </w:r>
      <w:r>
        <w:rPr>
          <w:rFonts w:hint="eastAsia" w:ascii="宋体" w:hAnsi="宋体" w:cs="宋体"/>
          <w:snapToGrid w:val="0"/>
          <w:color w:val="auto"/>
          <w:kern w:val="0"/>
          <w:szCs w:val="21"/>
          <w:highlight w:val="none"/>
          <w:lang w:val="en-US" w:eastAsia="zh-CN"/>
        </w:rPr>
        <w:t>：</w:t>
      </w:r>
    </w:p>
    <w:p w14:paraId="232CB80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①设计方案；</w:t>
      </w:r>
    </w:p>
    <w:p w14:paraId="378D5F43">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②序厅影片脚本。</w:t>
      </w:r>
    </w:p>
    <w:p w14:paraId="303BC2F9">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6）</w:t>
      </w:r>
      <w:r>
        <w:rPr>
          <w:rFonts w:hint="default" w:ascii="宋体" w:hAnsi="宋体" w:cs="宋体"/>
          <w:snapToGrid w:val="0"/>
          <w:color w:val="auto"/>
          <w:kern w:val="0"/>
          <w:szCs w:val="21"/>
          <w:highlight w:val="none"/>
          <w:lang w:val="en-US" w:eastAsia="zh-CN"/>
        </w:rPr>
        <w:t>城市沙盘专篇，具体内容要求如下</w:t>
      </w:r>
      <w:r>
        <w:rPr>
          <w:rFonts w:hint="eastAsia" w:ascii="宋体" w:hAnsi="宋体" w:cs="宋体"/>
          <w:snapToGrid w:val="0"/>
          <w:color w:val="auto"/>
          <w:kern w:val="0"/>
          <w:szCs w:val="21"/>
          <w:highlight w:val="none"/>
          <w:lang w:val="en-US" w:eastAsia="zh-CN"/>
        </w:rPr>
        <w:t>：</w:t>
      </w:r>
    </w:p>
    <w:p w14:paraId="57E51FF2">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①</w:t>
      </w:r>
      <w:r>
        <w:rPr>
          <w:rFonts w:hint="default" w:ascii="宋体" w:hAnsi="宋体" w:cs="宋体"/>
          <w:snapToGrid w:val="0"/>
          <w:color w:val="auto"/>
          <w:kern w:val="0"/>
          <w:szCs w:val="21"/>
          <w:highlight w:val="none"/>
          <w:lang w:val="en-US" w:eastAsia="zh-CN"/>
        </w:rPr>
        <w:t>城市沙盘影片脚本；</w:t>
      </w:r>
    </w:p>
    <w:p w14:paraId="6607F768">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②沙盘设计方案</w:t>
      </w:r>
      <w:r>
        <w:rPr>
          <w:rFonts w:hint="default" w:ascii="宋体" w:hAnsi="宋体" w:cs="宋体"/>
          <w:snapToGrid w:val="0"/>
          <w:color w:val="auto"/>
          <w:kern w:val="0"/>
          <w:szCs w:val="21"/>
          <w:highlight w:val="none"/>
          <w:lang w:val="en-US" w:eastAsia="zh-CN"/>
        </w:rPr>
        <w:t>说明及效果演示；</w:t>
      </w:r>
    </w:p>
    <w:p w14:paraId="4B25AB3F">
      <w:pPr>
        <w:pStyle w:val="2"/>
        <w:ind w:firstLine="630" w:firstLineChars="300"/>
        <w:rPr>
          <w:rFonts w:hint="default"/>
          <w:highlight w:val="yellow"/>
          <w:lang w:val="en-US" w:eastAsia="zh-CN"/>
        </w:rPr>
      </w:pPr>
      <w:r>
        <w:rPr>
          <w:rFonts w:hint="eastAsia"/>
          <w:highlight w:val="yellow"/>
          <w:lang w:val="en-US" w:eastAsia="zh-CN"/>
        </w:rPr>
        <w:t>③规划导航台初步设计方案及效果演示；</w:t>
      </w:r>
    </w:p>
    <w:p w14:paraId="5DD8F0BE">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④</w:t>
      </w:r>
      <w:r>
        <w:rPr>
          <w:rFonts w:hint="default" w:ascii="宋体" w:hAnsi="宋体" w:cs="宋体"/>
          <w:snapToGrid w:val="0"/>
          <w:color w:val="auto"/>
          <w:kern w:val="0"/>
          <w:szCs w:val="21"/>
          <w:highlight w:val="none"/>
          <w:lang w:val="en-US" w:eastAsia="zh-CN"/>
        </w:rPr>
        <w:t>采用主要设备说明（含品牌、规格型号、价格）；</w:t>
      </w:r>
    </w:p>
    <w:p w14:paraId="434CCA61">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⑤</w:t>
      </w:r>
      <w:r>
        <w:rPr>
          <w:rFonts w:hint="default" w:ascii="宋体" w:hAnsi="宋体" w:cs="宋体"/>
          <w:snapToGrid w:val="0"/>
          <w:color w:val="auto"/>
          <w:kern w:val="0"/>
          <w:szCs w:val="21"/>
          <w:highlight w:val="none"/>
          <w:lang w:val="en-US" w:eastAsia="zh-CN"/>
        </w:rPr>
        <w:t>与模型相关的图纸（含观看效果视线分析、空间关系、结构安全等）。</w:t>
      </w:r>
    </w:p>
    <w:p w14:paraId="33C8D454">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7）</w:t>
      </w:r>
      <w:r>
        <w:rPr>
          <w:rFonts w:hint="default" w:ascii="宋体" w:hAnsi="宋体" w:cs="宋体"/>
          <w:snapToGrid w:val="0"/>
          <w:color w:val="auto"/>
          <w:kern w:val="0"/>
          <w:szCs w:val="21"/>
          <w:highlight w:val="none"/>
          <w:lang w:val="en-US" w:eastAsia="zh-CN"/>
        </w:rPr>
        <w:t>公共空间设计专篇</w:t>
      </w:r>
      <w:r>
        <w:rPr>
          <w:rFonts w:hint="eastAsia" w:ascii="宋体" w:hAnsi="宋体" w:cs="宋体"/>
          <w:snapToGrid w:val="0"/>
          <w:color w:val="auto"/>
          <w:kern w:val="0"/>
          <w:szCs w:val="21"/>
          <w:highlight w:val="none"/>
          <w:lang w:val="en-US" w:eastAsia="zh-CN"/>
        </w:rPr>
        <w:t>；</w:t>
      </w:r>
    </w:p>
    <w:p w14:paraId="027B2958">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8）</w:t>
      </w:r>
      <w:r>
        <w:rPr>
          <w:rFonts w:hint="default" w:ascii="宋体" w:hAnsi="宋体" w:cs="宋体"/>
          <w:snapToGrid w:val="0"/>
          <w:color w:val="auto"/>
          <w:kern w:val="0"/>
          <w:szCs w:val="21"/>
          <w:highlight w:val="none"/>
          <w:lang w:val="en-US" w:eastAsia="zh-CN"/>
        </w:rPr>
        <w:t>展馆标识系统设计专篇，在六馆一心现有标识系统的基础上，提取乌鲁木齐自然资源及城市特色要素，归纳视觉应用和色彩体系，设计规划馆的导视标识系统</w:t>
      </w:r>
      <w:r>
        <w:rPr>
          <w:rFonts w:hint="eastAsia" w:ascii="宋体" w:hAnsi="宋体" w:cs="宋体"/>
          <w:snapToGrid w:val="0"/>
          <w:color w:val="auto"/>
          <w:kern w:val="0"/>
          <w:szCs w:val="21"/>
          <w:highlight w:val="none"/>
          <w:lang w:val="en-US" w:eastAsia="zh-CN"/>
        </w:rPr>
        <w:t>；</w:t>
      </w:r>
    </w:p>
    <w:p w14:paraId="560BFC18">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9）</w:t>
      </w:r>
      <w:r>
        <w:rPr>
          <w:rFonts w:hint="default" w:ascii="宋体" w:hAnsi="宋体" w:cs="宋体"/>
          <w:snapToGrid w:val="0"/>
          <w:color w:val="auto"/>
          <w:kern w:val="0"/>
          <w:szCs w:val="21"/>
          <w:highlight w:val="none"/>
          <w:lang w:val="en-US" w:eastAsia="zh-CN"/>
        </w:rPr>
        <w:t>设计图纸应充分表达设计理念，重点部位应加以说明，能明确表示设计意图，标注主要部位的设备和材料、各展区展示方式</w:t>
      </w:r>
      <w:r>
        <w:rPr>
          <w:rFonts w:hint="eastAsia" w:ascii="宋体" w:hAnsi="宋体" w:cs="宋体"/>
          <w:snapToGrid w:val="0"/>
          <w:color w:val="auto"/>
          <w:kern w:val="0"/>
          <w:szCs w:val="21"/>
          <w:highlight w:val="none"/>
          <w:lang w:val="en-US" w:eastAsia="zh-CN"/>
        </w:rPr>
        <w:t>；</w:t>
      </w:r>
    </w:p>
    <w:p w14:paraId="7CF29CE8">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①</w:t>
      </w:r>
      <w:r>
        <w:rPr>
          <w:rFonts w:hint="default" w:ascii="宋体" w:hAnsi="宋体" w:cs="宋体"/>
          <w:snapToGrid w:val="0"/>
          <w:color w:val="auto"/>
          <w:kern w:val="0"/>
          <w:szCs w:val="21"/>
          <w:highlight w:val="none"/>
          <w:lang w:val="en-US" w:eastAsia="zh-CN"/>
        </w:rPr>
        <w:t>建筑结构改造工程图（若有）；</w:t>
      </w:r>
    </w:p>
    <w:p w14:paraId="0D5E03AE">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②</w:t>
      </w:r>
      <w:r>
        <w:rPr>
          <w:rFonts w:hint="default" w:ascii="宋体" w:hAnsi="宋体" w:cs="宋体"/>
          <w:snapToGrid w:val="0"/>
          <w:color w:val="auto"/>
          <w:kern w:val="0"/>
          <w:szCs w:val="21"/>
          <w:highlight w:val="none"/>
          <w:lang w:val="en-US" w:eastAsia="zh-CN"/>
        </w:rPr>
        <w:t>建筑内部空间改造图；</w:t>
      </w:r>
    </w:p>
    <w:p w14:paraId="0E5074B2">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③</w:t>
      </w:r>
      <w:r>
        <w:rPr>
          <w:rFonts w:hint="default" w:ascii="宋体" w:hAnsi="宋体" w:cs="宋体"/>
          <w:snapToGrid w:val="0"/>
          <w:color w:val="auto"/>
          <w:kern w:val="0"/>
          <w:szCs w:val="21"/>
          <w:highlight w:val="none"/>
          <w:lang w:val="en-US" w:eastAsia="zh-CN"/>
        </w:rPr>
        <w:t>布展设计效果图；</w:t>
      </w:r>
    </w:p>
    <w:p w14:paraId="5E66A12E">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④</w:t>
      </w:r>
      <w:r>
        <w:rPr>
          <w:rFonts w:hint="default" w:ascii="宋体" w:hAnsi="宋体" w:cs="宋体"/>
          <w:snapToGrid w:val="0"/>
          <w:color w:val="auto"/>
          <w:kern w:val="0"/>
          <w:szCs w:val="21"/>
          <w:highlight w:val="none"/>
          <w:lang w:val="en-US" w:eastAsia="zh-CN"/>
        </w:rPr>
        <w:t>布展设计立体透视图；</w:t>
      </w:r>
    </w:p>
    <w:p w14:paraId="0D30B646">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⑤</w:t>
      </w:r>
      <w:r>
        <w:rPr>
          <w:rFonts w:hint="default" w:ascii="宋体" w:hAnsi="宋体" w:cs="宋体"/>
          <w:snapToGrid w:val="0"/>
          <w:color w:val="auto"/>
          <w:kern w:val="0"/>
          <w:szCs w:val="21"/>
          <w:highlight w:val="none"/>
          <w:lang w:val="en-US" w:eastAsia="zh-CN"/>
        </w:rPr>
        <w:t>布展设计平面图；</w:t>
      </w:r>
    </w:p>
    <w:p w14:paraId="4C7845B9">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⑥</w:t>
      </w:r>
      <w:r>
        <w:rPr>
          <w:rFonts w:hint="default" w:ascii="宋体" w:hAnsi="宋体" w:cs="宋体"/>
          <w:snapToGrid w:val="0"/>
          <w:color w:val="auto"/>
          <w:kern w:val="0"/>
          <w:szCs w:val="21"/>
          <w:highlight w:val="none"/>
          <w:lang w:val="en-US" w:eastAsia="zh-CN"/>
        </w:rPr>
        <w:t>展区平面图；</w:t>
      </w:r>
    </w:p>
    <w:p w14:paraId="03B644CE">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⑦</w:t>
      </w:r>
      <w:r>
        <w:rPr>
          <w:rFonts w:hint="default" w:ascii="宋体" w:hAnsi="宋体" w:cs="宋体"/>
          <w:snapToGrid w:val="0"/>
          <w:color w:val="auto"/>
          <w:kern w:val="0"/>
          <w:szCs w:val="21"/>
          <w:highlight w:val="none"/>
          <w:lang w:val="en-US" w:eastAsia="zh-CN"/>
        </w:rPr>
        <w:t>单个展区立体透视图；</w:t>
      </w:r>
    </w:p>
    <w:p w14:paraId="2E4742A5">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⑧</w:t>
      </w:r>
      <w:r>
        <w:rPr>
          <w:rFonts w:hint="default" w:ascii="宋体" w:hAnsi="宋体" w:cs="宋体"/>
          <w:snapToGrid w:val="0"/>
          <w:color w:val="auto"/>
          <w:kern w:val="0"/>
          <w:szCs w:val="21"/>
          <w:highlight w:val="none"/>
          <w:lang w:val="en-US" w:eastAsia="zh-CN"/>
        </w:rPr>
        <w:t>流线组织分析图；</w:t>
      </w:r>
    </w:p>
    <w:p w14:paraId="50B44B5F">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⑨</w:t>
      </w:r>
      <w:r>
        <w:rPr>
          <w:rFonts w:hint="default" w:ascii="宋体" w:hAnsi="宋体" w:cs="宋体"/>
          <w:snapToGrid w:val="0"/>
          <w:color w:val="auto"/>
          <w:kern w:val="0"/>
          <w:szCs w:val="21"/>
          <w:highlight w:val="none"/>
          <w:lang w:val="en-US" w:eastAsia="zh-CN"/>
        </w:rPr>
        <w:t>功能分区分析图；</w:t>
      </w:r>
    </w:p>
    <w:p w14:paraId="0A8655BC">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⑩</w:t>
      </w:r>
      <w:r>
        <w:rPr>
          <w:rFonts w:hint="default" w:ascii="宋体" w:hAnsi="宋体" w:cs="宋体"/>
          <w:snapToGrid w:val="0"/>
          <w:color w:val="auto"/>
          <w:kern w:val="0"/>
          <w:szCs w:val="21"/>
          <w:highlight w:val="none"/>
          <w:lang w:val="en-US" w:eastAsia="zh-CN"/>
        </w:rPr>
        <w:t>装修、装饰图纸效果图；</w:t>
      </w:r>
    </w:p>
    <w:p w14:paraId="5EFADC3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⑪各楼层及各分展区立体剖析效果图；</w:t>
      </w:r>
    </w:p>
    <w:p w14:paraId="669B7CAF">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⑫能反映建筑物内各空间相互关系的设计示意图；</w:t>
      </w:r>
    </w:p>
    <w:p w14:paraId="441DC6CE">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⑬天花图；</w:t>
      </w:r>
    </w:p>
    <w:p w14:paraId="3E4CA712">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⑭沙盘及模型表达效果图等相关图纸；</w:t>
      </w:r>
    </w:p>
    <w:p w14:paraId="4E426208">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⑮专项分析示意图：如功能布局图、交通组织、视点分析等；</w:t>
      </w:r>
    </w:p>
    <w:p w14:paraId="103076D7">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⑯其他需要表达布展设计意图的图纸。</w:t>
      </w:r>
    </w:p>
    <w:p w14:paraId="353B1CE2">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10）</w:t>
      </w:r>
      <w:r>
        <w:rPr>
          <w:rFonts w:hint="default" w:ascii="宋体" w:hAnsi="宋体" w:cs="宋体"/>
          <w:snapToGrid w:val="0"/>
          <w:color w:val="auto"/>
          <w:kern w:val="0"/>
          <w:szCs w:val="21"/>
          <w:highlight w:val="none"/>
          <w:lang w:val="en-US" w:eastAsia="zh-CN"/>
        </w:rPr>
        <w:t>所需设备、材料、元器件明细清单，包括但不限于：硬件和软件设备的价格、品牌、规格型号、技术参数、产地、制造商等；材料明细表，包含价格、种类、技术规格、品牌、产地、制造商等；硬件、软件、系统的价格分析表；需要的备品、备件等</w:t>
      </w:r>
      <w:r>
        <w:rPr>
          <w:rFonts w:hint="eastAsia" w:ascii="宋体" w:hAnsi="宋体" w:cs="宋体"/>
          <w:snapToGrid w:val="0"/>
          <w:color w:val="auto"/>
          <w:kern w:val="0"/>
          <w:szCs w:val="21"/>
          <w:highlight w:val="none"/>
          <w:lang w:val="en-US" w:eastAsia="zh-CN"/>
        </w:rPr>
        <w:t>；</w:t>
      </w:r>
    </w:p>
    <w:p w14:paraId="405191CC">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11）</w:t>
      </w:r>
      <w:r>
        <w:rPr>
          <w:rFonts w:hint="default" w:ascii="宋体" w:hAnsi="宋体" w:cs="宋体"/>
          <w:snapToGrid w:val="0"/>
          <w:color w:val="auto"/>
          <w:kern w:val="0"/>
          <w:szCs w:val="21"/>
          <w:highlight w:val="none"/>
          <w:lang w:val="en-US" w:eastAsia="zh-CN"/>
        </w:rPr>
        <w:t>投资概算</w:t>
      </w:r>
      <w:r>
        <w:rPr>
          <w:rFonts w:hint="eastAsia" w:ascii="宋体" w:hAnsi="宋体" w:cs="宋体"/>
          <w:snapToGrid w:val="0"/>
          <w:color w:val="auto"/>
          <w:kern w:val="0"/>
          <w:szCs w:val="21"/>
          <w:highlight w:val="none"/>
          <w:lang w:val="en-US" w:eastAsia="zh-CN"/>
        </w:rPr>
        <w:t>；</w:t>
      </w:r>
    </w:p>
    <w:p w14:paraId="59B533F4">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12）</w:t>
      </w:r>
      <w:r>
        <w:rPr>
          <w:rFonts w:hint="default" w:ascii="宋体" w:hAnsi="宋体" w:cs="宋体"/>
          <w:snapToGrid w:val="0"/>
          <w:color w:val="auto"/>
          <w:kern w:val="0"/>
          <w:szCs w:val="21"/>
          <w:highlight w:val="none"/>
          <w:lang w:val="en-US" w:eastAsia="zh-CN"/>
        </w:rPr>
        <w:t>项目整体进度计划</w:t>
      </w:r>
      <w:r>
        <w:rPr>
          <w:rFonts w:hint="eastAsia" w:ascii="宋体" w:hAnsi="宋体" w:cs="宋体"/>
          <w:snapToGrid w:val="0"/>
          <w:color w:val="auto"/>
          <w:kern w:val="0"/>
          <w:szCs w:val="21"/>
          <w:highlight w:val="none"/>
          <w:lang w:val="en-US" w:eastAsia="zh-CN"/>
        </w:rPr>
        <w:t>。</w:t>
      </w:r>
    </w:p>
    <w:p w14:paraId="4C1098D0">
      <w:pPr>
        <w:numPr>
          <w:ilvl w:val="0"/>
          <w:numId w:val="7"/>
        </w:numPr>
        <w:tabs>
          <w:tab w:val="left" w:pos="851"/>
          <w:tab w:val="left" w:pos="900"/>
          <w:tab w:val="left" w:pos="1080"/>
          <w:tab w:val="left" w:pos="483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施工组织设计及质量要求；</w:t>
      </w:r>
    </w:p>
    <w:p w14:paraId="0386008A">
      <w:pPr>
        <w:spacing w:line="360" w:lineRule="auto"/>
        <w:ind w:left="218" w:leftChars="104" w:firstLine="420" w:firstLineChars="200"/>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1）项目实施方案；</w:t>
      </w:r>
    </w:p>
    <w:p w14:paraId="2251B4AF">
      <w:pPr>
        <w:spacing w:line="360" w:lineRule="auto"/>
        <w:ind w:left="218" w:leftChars="104" w:firstLine="420" w:firstLineChars="200"/>
        <w:rPr>
          <w:rFonts w:hint="eastAsia" w:ascii="宋体" w:hAnsi="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2）施工组织设计：拟采用的针对本项目的初步施工方案和进度计划等（主要包括施工组织机构、施工总平面图、施工网络计划图、重要部位施工方法说明、劳动力组织、机械配备，并含拟投入主要施工机械设备表、人力投入、工程用材、施工技术、工期计划及工期保证措施、质量保证措施、安全施工措施、文明施工措施等，无需指明具体人员情况）；   </w:t>
      </w:r>
      <w:r>
        <w:rPr>
          <w:rFonts w:hint="eastAsia" w:ascii="宋体" w:hAnsi="宋体" w:cs="宋体"/>
          <w:snapToGrid w:val="0"/>
          <w:color w:val="auto"/>
          <w:kern w:val="0"/>
          <w:szCs w:val="21"/>
          <w:highlight w:val="none"/>
          <w:lang w:val="en-US" w:eastAsia="zh-CN"/>
        </w:rPr>
        <w:t> </w:t>
      </w:r>
    </w:p>
    <w:p w14:paraId="3F4260EB">
      <w:pPr>
        <w:adjustRightInd w:val="0"/>
        <w:snapToGrid w:val="0"/>
        <w:spacing w:line="360" w:lineRule="auto"/>
        <w:ind w:firstLine="420" w:firstLineChars="200"/>
        <w:jc w:val="left"/>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施工组织设计除采用文字表述外应附下列图表，图表及格式要求附后。</w:t>
      </w:r>
    </w:p>
    <w:p w14:paraId="33D35627">
      <w:pPr>
        <w:adjustRightInd w:val="0"/>
        <w:snapToGrid w:val="0"/>
        <w:spacing w:line="360" w:lineRule="auto"/>
        <w:ind w:firstLine="420" w:firstLineChars="200"/>
        <w:jc w:val="left"/>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表1拟投入的主要施工机械设备表；</w:t>
      </w:r>
    </w:p>
    <w:p w14:paraId="49911B73">
      <w:pPr>
        <w:adjustRightInd w:val="0"/>
        <w:snapToGrid w:val="0"/>
        <w:spacing w:line="360" w:lineRule="auto"/>
        <w:ind w:firstLine="420" w:firstLineChars="200"/>
        <w:jc w:val="left"/>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表2劳动力计划表；</w:t>
      </w:r>
    </w:p>
    <w:p w14:paraId="017F5A7B">
      <w:pPr>
        <w:adjustRightInd w:val="0"/>
        <w:snapToGrid w:val="0"/>
        <w:spacing w:line="360" w:lineRule="auto"/>
        <w:ind w:firstLine="420" w:firstLineChars="200"/>
        <w:jc w:val="left"/>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表3计划开、竣工日期和施工进度网络图；</w:t>
      </w:r>
    </w:p>
    <w:p w14:paraId="0074B1E7">
      <w:pPr>
        <w:adjustRightInd w:val="0"/>
        <w:snapToGrid w:val="0"/>
        <w:spacing w:line="360" w:lineRule="auto"/>
        <w:ind w:firstLine="420" w:firstLineChars="200"/>
        <w:jc w:val="left"/>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表4施工总平面布置图及临时用地表；</w:t>
      </w:r>
    </w:p>
    <w:p w14:paraId="5B5EA03A">
      <w:pPr>
        <w:adjustRightInd w:val="0"/>
        <w:snapToGrid w:val="0"/>
        <w:spacing w:line="360" w:lineRule="auto"/>
        <w:ind w:firstLine="420" w:firstLineChars="200"/>
        <w:jc w:val="left"/>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施工质量须满足国家相关建设合格标准。</w:t>
      </w:r>
    </w:p>
    <w:p w14:paraId="2677148C">
      <w:pPr>
        <w:numPr>
          <w:ilvl w:val="0"/>
          <w:numId w:val="7"/>
        </w:numPr>
        <w:tabs>
          <w:tab w:val="left" w:pos="851"/>
          <w:tab w:val="left" w:pos="900"/>
          <w:tab w:val="left" w:pos="1080"/>
        </w:tabs>
        <w:adjustRightInd w:val="0"/>
        <w:snapToGrid w:val="0"/>
        <w:spacing w:line="360" w:lineRule="auto"/>
        <w:ind w:left="0" w:firstLine="340"/>
        <w:jc w:val="left"/>
        <w:rPr>
          <w:rFonts w:hint="eastAsia" w:ascii="宋体" w:hAnsi="宋体" w:cs="宋体"/>
          <w:snapToGrid w:val="0"/>
          <w:color w:val="auto"/>
          <w:kern w:val="0"/>
          <w:szCs w:val="21"/>
          <w:highlight w:val="none"/>
          <w:lang w:val="en-US" w:eastAsia="zh-CN"/>
        </w:rPr>
      </w:pPr>
      <w:r>
        <w:rPr>
          <w:rFonts w:hint="eastAsia" w:ascii="宋体" w:hAnsi="宋体" w:eastAsia="宋体" w:cs="宋体"/>
          <w:bCs/>
          <w:color w:val="auto"/>
          <w:szCs w:val="21"/>
          <w:highlight w:val="none"/>
          <w:lang w:val="en-US" w:eastAsia="zh-CN"/>
        </w:rPr>
        <w:t>维护成本及服务承诺；</w:t>
      </w:r>
      <w:r>
        <w:rPr>
          <w:rFonts w:hint="eastAsia" w:ascii="宋体" w:hAnsi="宋体" w:cs="宋体"/>
          <w:snapToGrid w:val="0"/>
          <w:color w:val="auto"/>
          <w:kern w:val="0"/>
          <w:szCs w:val="21"/>
          <w:highlight w:val="none"/>
          <w:lang w:val="en-US" w:eastAsia="zh-CN"/>
        </w:rPr>
        <w:t>根据自身实际提出相应的年维护计划、成本和服务承诺。</w:t>
      </w:r>
    </w:p>
    <w:p w14:paraId="48872C37">
      <w:pPr>
        <w:numPr>
          <w:ilvl w:val="0"/>
          <w:numId w:val="7"/>
        </w:numPr>
        <w:tabs>
          <w:tab w:val="left" w:pos="851"/>
          <w:tab w:val="left" w:pos="900"/>
          <w:tab w:val="left" w:pos="108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投标人曾承担过的类似项目业绩一览表：投标人曾承担过的类似项目业绩情况（如有，须附清晰可辨的合同扫描件。涉及评分项的，证明材料需满足评分细则的相关要求）；</w:t>
      </w:r>
    </w:p>
    <w:p w14:paraId="00A425BE">
      <w:pPr>
        <w:numPr>
          <w:ilvl w:val="0"/>
          <w:numId w:val="7"/>
        </w:numPr>
        <w:tabs>
          <w:tab w:val="left" w:pos="851"/>
          <w:tab w:val="left" w:pos="900"/>
          <w:tab w:val="left" w:pos="108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合同/商务条款偏离表；</w:t>
      </w:r>
    </w:p>
    <w:p w14:paraId="066EC8F0">
      <w:pPr>
        <w:numPr>
          <w:ilvl w:val="0"/>
          <w:numId w:val="7"/>
        </w:numPr>
        <w:tabs>
          <w:tab w:val="left" w:pos="851"/>
          <w:tab w:val="left" w:pos="900"/>
          <w:tab w:val="left" w:pos="1080"/>
        </w:tabs>
        <w:adjustRightInd w:val="0"/>
        <w:snapToGrid w:val="0"/>
        <w:spacing w:line="360" w:lineRule="auto"/>
        <w:ind w:left="0" w:firstLine="340"/>
        <w:jc w:val="left"/>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拟派项目团队配备情况表、项目负责人简历表；</w:t>
      </w:r>
    </w:p>
    <w:p w14:paraId="46160C44">
      <w:pPr>
        <w:numPr>
          <w:ilvl w:val="0"/>
          <w:numId w:val="7"/>
        </w:numPr>
        <w:tabs>
          <w:tab w:val="left" w:pos="851"/>
          <w:tab w:val="left" w:pos="900"/>
          <w:tab w:val="left" w:pos="1080"/>
        </w:tabs>
        <w:adjustRightInd w:val="0"/>
        <w:snapToGrid w:val="0"/>
        <w:spacing w:line="360" w:lineRule="auto"/>
        <w:ind w:left="0" w:firstLine="340"/>
        <w:jc w:val="left"/>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知识产权承诺；</w:t>
      </w:r>
    </w:p>
    <w:p w14:paraId="0A97A659">
      <w:pPr>
        <w:numPr>
          <w:ilvl w:val="0"/>
          <w:numId w:val="7"/>
        </w:numPr>
        <w:tabs>
          <w:tab w:val="left" w:pos="851"/>
          <w:tab w:val="left" w:pos="900"/>
          <w:tab w:val="left" w:pos="1080"/>
        </w:tabs>
        <w:adjustRightInd w:val="0"/>
        <w:snapToGrid w:val="0"/>
        <w:spacing w:line="360" w:lineRule="auto"/>
        <w:ind w:left="0" w:firstLine="340"/>
        <w:jc w:val="left"/>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履约承诺函；</w:t>
      </w:r>
    </w:p>
    <w:p w14:paraId="676FAC1F">
      <w:pPr>
        <w:numPr>
          <w:ilvl w:val="0"/>
          <w:numId w:val="7"/>
        </w:numPr>
        <w:tabs>
          <w:tab w:val="left" w:pos="851"/>
          <w:tab w:val="left" w:pos="900"/>
          <w:tab w:val="left" w:pos="1080"/>
        </w:tabs>
        <w:adjustRightInd w:val="0"/>
        <w:snapToGrid w:val="0"/>
        <w:spacing w:line="360" w:lineRule="auto"/>
        <w:ind w:left="0" w:firstLine="340"/>
        <w:jc w:val="left"/>
        <w:rPr>
          <w:rFonts w:hint="default" w:ascii="宋体" w:hAnsi="宋体" w:eastAsia="宋体" w:cs="宋体"/>
          <w:bCs/>
          <w:color w:val="auto"/>
          <w:szCs w:val="21"/>
          <w:highlight w:val="yellow"/>
          <w:lang w:val="en-US" w:eastAsia="zh-CN"/>
        </w:rPr>
      </w:pPr>
      <w:r>
        <w:rPr>
          <w:rFonts w:hint="eastAsia" w:ascii="宋体" w:hAnsi="宋体" w:cs="宋体"/>
          <w:bCs/>
          <w:color w:val="auto"/>
          <w:szCs w:val="21"/>
          <w:highlight w:val="yellow"/>
          <w:lang w:val="en-US" w:eastAsia="zh-CN"/>
        </w:rPr>
        <w:t>售后服务期承诺；</w:t>
      </w:r>
    </w:p>
    <w:p w14:paraId="2C89C7D9">
      <w:pPr>
        <w:numPr>
          <w:ilvl w:val="0"/>
          <w:numId w:val="7"/>
        </w:numPr>
        <w:tabs>
          <w:tab w:val="left" w:pos="851"/>
          <w:tab w:val="left" w:pos="900"/>
          <w:tab w:val="left" w:pos="1080"/>
        </w:tabs>
        <w:adjustRightInd w:val="0"/>
        <w:snapToGrid w:val="0"/>
        <w:spacing w:line="360" w:lineRule="auto"/>
        <w:ind w:left="0" w:firstLine="340"/>
        <w:jc w:val="left"/>
        <w:rPr>
          <w:rFonts w:hint="default" w:ascii="宋体" w:hAnsi="宋体" w:eastAsia="宋体" w:cs="宋体"/>
          <w:bCs/>
          <w:color w:val="auto"/>
          <w:szCs w:val="21"/>
          <w:highlight w:val="yellow"/>
          <w:lang w:val="en-US" w:eastAsia="zh-CN"/>
        </w:rPr>
      </w:pPr>
      <w:r>
        <w:rPr>
          <w:rFonts w:hint="default" w:ascii="宋体" w:hAnsi="宋体" w:eastAsia="宋体" w:cs="宋体"/>
          <w:bCs/>
          <w:color w:val="auto"/>
          <w:szCs w:val="21"/>
          <w:highlight w:val="yellow"/>
          <w:lang w:val="en-US" w:eastAsia="zh-CN"/>
        </w:rPr>
        <w:t>技术响应偏离表</w:t>
      </w:r>
      <w:r>
        <w:rPr>
          <w:rFonts w:hint="eastAsia" w:ascii="宋体" w:hAnsi="宋体" w:cs="宋体"/>
          <w:bCs/>
          <w:color w:val="auto"/>
          <w:szCs w:val="21"/>
          <w:highlight w:val="yellow"/>
          <w:lang w:val="en-US" w:eastAsia="zh-CN"/>
        </w:rPr>
        <w:t>；</w:t>
      </w:r>
    </w:p>
    <w:p w14:paraId="40E19A9A">
      <w:pPr>
        <w:numPr>
          <w:ilvl w:val="0"/>
          <w:numId w:val="7"/>
        </w:numPr>
        <w:tabs>
          <w:tab w:val="left" w:pos="851"/>
          <w:tab w:val="left" w:pos="900"/>
          <w:tab w:val="left" w:pos="1080"/>
        </w:tabs>
        <w:adjustRightInd w:val="0"/>
        <w:snapToGrid w:val="0"/>
        <w:spacing w:line="360" w:lineRule="auto"/>
        <w:ind w:left="0" w:firstLine="340"/>
        <w:jc w:val="left"/>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针对本项目能提供的特色服务、增值服务说明（如有）</w:t>
      </w:r>
      <w:r>
        <w:rPr>
          <w:rFonts w:hint="eastAsia" w:ascii="宋体" w:hAnsi="宋体" w:cs="宋体"/>
          <w:bCs/>
          <w:color w:val="auto"/>
          <w:szCs w:val="21"/>
          <w:highlight w:val="none"/>
          <w:lang w:val="en-US" w:eastAsia="zh-CN"/>
        </w:rPr>
        <w:t>；</w:t>
      </w:r>
    </w:p>
    <w:p w14:paraId="2CC41ADF">
      <w:pPr>
        <w:numPr>
          <w:ilvl w:val="0"/>
          <w:numId w:val="7"/>
        </w:numPr>
        <w:tabs>
          <w:tab w:val="left" w:pos="851"/>
          <w:tab w:val="left" w:pos="900"/>
          <w:tab w:val="left" w:pos="1080"/>
        </w:tabs>
        <w:adjustRightInd w:val="0"/>
        <w:snapToGrid w:val="0"/>
        <w:spacing w:line="360" w:lineRule="auto"/>
        <w:ind w:left="0" w:firstLine="340"/>
        <w:jc w:val="left"/>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与商务技术标评分有关的其他材料（如有）；</w:t>
      </w:r>
    </w:p>
    <w:p w14:paraId="49197E86">
      <w:pPr>
        <w:numPr>
          <w:ilvl w:val="0"/>
          <w:numId w:val="7"/>
        </w:numPr>
        <w:tabs>
          <w:tab w:val="left" w:pos="851"/>
          <w:tab w:val="left" w:pos="900"/>
          <w:tab w:val="left" w:pos="1080"/>
        </w:tabs>
        <w:adjustRightInd w:val="0"/>
        <w:snapToGrid w:val="0"/>
        <w:spacing w:line="360" w:lineRule="auto"/>
        <w:ind w:left="0" w:firstLine="340"/>
        <w:jc w:val="left"/>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其他文件资料。</w:t>
      </w:r>
    </w:p>
    <w:p w14:paraId="477B72C7">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投标人认为可以反映</w:t>
      </w:r>
      <w:r>
        <w:rPr>
          <w:rFonts w:hint="eastAsia" w:ascii="宋体" w:hAnsi="宋体" w:cs="宋体"/>
          <w:snapToGrid w:val="0"/>
          <w:color w:val="auto"/>
          <w:kern w:val="0"/>
          <w:szCs w:val="21"/>
          <w:highlight w:val="none"/>
          <w:lang w:val="en-US" w:eastAsia="zh-CN"/>
        </w:rPr>
        <w:t>展区</w:t>
      </w:r>
      <w:r>
        <w:rPr>
          <w:rFonts w:hint="eastAsia" w:ascii="宋体" w:hAnsi="宋体" w:cs="宋体"/>
          <w:snapToGrid w:val="0"/>
          <w:color w:val="auto"/>
          <w:kern w:val="0"/>
          <w:szCs w:val="21"/>
          <w:highlight w:val="none"/>
        </w:rPr>
        <w:t>布展工程和装饰装修工程</w:t>
      </w:r>
      <w:r>
        <w:rPr>
          <w:rFonts w:hint="eastAsia" w:ascii="宋体" w:hAnsi="宋体" w:cs="宋体"/>
          <w:snapToGrid w:val="0"/>
          <w:color w:val="auto"/>
          <w:kern w:val="0"/>
          <w:szCs w:val="21"/>
          <w:highlight w:val="none"/>
          <w:lang w:val="en-US" w:eastAsia="zh-CN"/>
        </w:rPr>
        <w:t>的</w:t>
      </w:r>
      <w:r>
        <w:rPr>
          <w:rFonts w:hint="eastAsia" w:ascii="宋体" w:hAnsi="宋体" w:cs="宋体"/>
          <w:snapToGrid w:val="0"/>
          <w:color w:val="auto"/>
          <w:kern w:val="0"/>
          <w:szCs w:val="21"/>
          <w:highlight w:val="none"/>
        </w:rPr>
        <w:t>其它文件和资料。</w:t>
      </w:r>
    </w:p>
    <w:p w14:paraId="56050F7F">
      <w:pPr>
        <w:adjustRightInd w:val="0"/>
        <w:snapToGrid w:val="0"/>
        <w:spacing w:line="360" w:lineRule="auto"/>
        <w:ind w:firstLine="422" w:firstLineChars="200"/>
        <w:jc w:val="left"/>
        <w:rPr>
          <w:rFonts w:ascii="宋体" w:hAnsi="宋体" w:cs="宋体"/>
          <w:snapToGrid w:val="0"/>
          <w:color w:val="auto"/>
          <w:kern w:val="0"/>
          <w:szCs w:val="21"/>
          <w:highlight w:val="none"/>
        </w:rPr>
      </w:pPr>
      <w:r>
        <w:rPr>
          <w:rFonts w:hint="eastAsia" w:ascii="宋体" w:hAnsi="宋体" w:cs="宋体"/>
          <w:b/>
          <w:snapToGrid w:val="0"/>
          <w:color w:val="auto"/>
          <w:kern w:val="0"/>
          <w:szCs w:val="21"/>
          <w:highlight w:val="none"/>
        </w:rPr>
        <w:t>9.3报价文件</w:t>
      </w:r>
    </w:p>
    <w:p w14:paraId="60AA1BBB">
      <w:pPr>
        <w:numPr>
          <w:ilvl w:val="0"/>
          <w:numId w:val="8"/>
        </w:numPr>
        <w:tabs>
          <w:tab w:val="left" w:pos="851"/>
          <w:tab w:val="left" w:pos="900"/>
          <w:tab w:val="left" w:pos="108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投标函；</w:t>
      </w:r>
    </w:p>
    <w:p w14:paraId="432E2477">
      <w:pPr>
        <w:numPr>
          <w:ilvl w:val="0"/>
          <w:numId w:val="8"/>
        </w:numPr>
        <w:tabs>
          <w:tab w:val="left" w:pos="851"/>
          <w:tab w:val="left" w:pos="900"/>
          <w:tab w:val="left" w:pos="108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开标一览表；</w:t>
      </w:r>
    </w:p>
    <w:p w14:paraId="188AC0E8">
      <w:pPr>
        <w:numPr>
          <w:ilvl w:val="0"/>
          <w:numId w:val="8"/>
        </w:numPr>
        <w:tabs>
          <w:tab w:val="left" w:pos="851"/>
          <w:tab w:val="left" w:pos="900"/>
          <w:tab w:val="left" w:pos="108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投标报价明细表；</w:t>
      </w:r>
    </w:p>
    <w:p w14:paraId="64C9C7C0">
      <w:pPr>
        <w:numPr>
          <w:ilvl w:val="0"/>
          <w:numId w:val="8"/>
        </w:numPr>
        <w:tabs>
          <w:tab w:val="left" w:pos="851"/>
          <w:tab w:val="left" w:pos="900"/>
          <w:tab w:val="left" w:pos="108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中小企业声明函（如有）； </w:t>
      </w:r>
    </w:p>
    <w:p w14:paraId="513E3C92">
      <w:pPr>
        <w:numPr>
          <w:ilvl w:val="0"/>
          <w:numId w:val="8"/>
        </w:numPr>
        <w:tabs>
          <w:tab w:val="left" w:pos="851"/>
          <w:tab w:val="left" w:pos="900"/>
          <w:tab w:val="left" w:pos="108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投标人为监狱企业的证明文件：省级以上监狱管理局、戒毒管理局（含新疆生产建设兵团）出具（如有）；</w:t>
      </w:r>
    </w:p>
    <w:p w14:paraId="74C8E5A1">
      <w:pPr>
        <w:numPr>
          <w:ilvl w:val="0"/>
          <w:numId w:val="8"/>
        </w:numPr>
        <w:tabs>
          <w:tab w:val="left" w:pos="851"/>
          <w:tab w:val="left" w:pos="900"/>
          <w:tab w:val="left" w:pos="108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投标人如符合《财政部、民政部、中国残疾人联合会关于促进残疾人就业政府采购政策的通知》（财库〔2017〕141号）政策规定的，须提供《残疾人福利性单位声明函》；（如有）  </w:t>
      </w:r>
    </w:p>
    <w:p w14:paraId="535FEE2B">
      <w:pPr>
        <w:numPr>
          <w:ilvl w:val="0"/>
          <w:numId w:val="8"/>
        </w:numPr>
        <w:tabs>
          <w:tab w:val="left" w:pos="851"/>
          <w:tab w:val="left" w:pos="900"/>
          <w:tab w:val="left" w:pos="1080"/>
        </w:tabs>
        <w:adjustRightInd w:val="0"/>
        <w:snapToGrid w:val="0"/>
        <w:spacing w:line="360" w:lineRule="auto"/>
        <w:ind w:left="0" w:firstLine="34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投标人认为针对报价需要说明的其他文件及资料。</w:t>
      </w:r>
    </w:p>
    <w:p w14:paraId="5CE144A2">
      <w:pPr>
        <w:adjustRightInd w:val="0"/>
        <w:snapToGrid w:val="0"/>
        <w:spacing w:line="360" w:lineRule="auto"/>
        <w:ind w:firstLine="422" w:firstLineChars="20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9.4陈述和答辩</w:t>
      </w:r>
    </w:p>
    <w:p w14:paraId="45F2F18C">
      <w:pPr>
        <w:spacing w:line="360" w:lineRule="auto"/>
        <w:ind w:firstLine="422" w:firstLineChars="200"/>
        <w:rPr>
          <w:b/>
          <w:color w:val="auto"/>
          <w:highlight w:val="none"/>
        </w:rPr>
      </w:pPr>
      <w:r>
        <w:rPr>
          <w:rFonts w:hint="eastAsia"/>
          <w:b/>
          <w:color w:val="auto"/>
          <w:highlight w:val="none"/>
        </w:rPr>
        <w:t>本项目设置现场演示讲解</w:t>
      </w:r>
      <w:r>
        <w:rPr>
          <w:rFonts w:hint="eastAsia"/>
          <w:b/>
          <w:color w:val="auto"/>
          <w:highlight w:val="none"/>
          <w:lang w:val="en-US" w:eastAsia="zh-CN"/>
        </w:rPr>
        <w:t>环节</w:t>
      </w:r>
      <w:r>
        <w:rPr>
          <w:rFonts w:hint="eastAsia"/>
          <w:b/>
          <w:color w:val="auto"/>
          <w:highlight w:val="none"/>
        </w:rPr>
        <w:t>，具体要求详见投标须知前附表。</w:t>
      </w:r>
    </w:p>
    <w:p w14:paraId="1746752A">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10．投标函</w:t>
      </w:r>
    </w:p>
    <w:p w14:paraId="7DEE8272">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10.1 投标人应完整地填写采购文件中提供的投标函和投标相关附件。</w:t>
      </w:r>
    </w:p>
    <w:p w14:paraId="7156CA7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10.2 投标文件应当对采购文件中有关投标有效期、采购需求等实质性内容作出响应。投标人在满足采购文件实质性要求的基础上，可以提出比采购文件要求更有利于采购人的承诺。</w:t>
      </w:r>
    </w:p>
    <w:p w14:paraId="07580A19">
      <w:pPr>
        <w:pStyle w:val="19"/>
        <w:snapToGrid w:val="0"/>
        <w:ind w:firstLine="422" w:firstLineChars="200"/>
        <w:rPr>
          <w:rFonts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11．投标报价</w:t>
      </w:r>
    </w:p>
    <w:p w14:paraId="374140DF">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11.</w:t>
      </w:r>
      <w:r>
        <w:rPr>
          <w:rFonts w:hint="eastAsia"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val="en-US" w:eastAsia="zh-CN"/>
        </w:rPr>
        <w:t xml:space="preserve"> </w:t>
      </w:r>
      <w:r>
        <w:rPr>
          <w:rFonts w:hint="eastAsia" w:ascii="宋体" w:hAnsi="宋体" w:cs="宋体"/>
          <w:snapToGrid w:val="0"/>
          <w:color w:val="auto"/>
          <w:kern w:val="0"/>
          <w:szCs w:val="21"/>
          <w:highlight w:val="none"/>
        </w:rPr>
        <w:t>本项目投标总价应是投标人履行合同所需的所有费用，报价必须包括</w:t>
      </w:r>
      <w:r>
        <w:rPr>
          <w:rFonts w:hint="eastAsia" w:ascii="宋体" w:hAnsi="宋体" w:cs="宋体"/>
          <w:snapToGrid w:val="0"/>
          <w:color w:val="auto"/>
          <w:kern w:val="0"/>
          <w:szCs w:val="21"/>
          <w:highlight w:val="none"/>
          <w:lang w:val="en-US" w:eastAsia="zh-CN"/>
        </w:rPr>
        <w:t>且不限于</w:t>
      </w:r>
      <w:r>
        <w:rPr>
          <w:rFonts w:hint="eastAsia" w:ascii="宋体" w:hAnsi="宋体" w:cs="Arial"/>
          <w:color w:val="auto"/>
          <w:szCs w:val="21"/>
          <w:highlight w:val="none"/>
          <w:lang w:val="en-US" w:eastAsia="zh-CN"/>
        </w:rPr>
        <w:t>展览</w:t>
      </w:r>
      <w:r>
        <w:rPr>
          <w:rFonts w:hint="eastAsia" w:ascii="宋体" w:hAnsi="宋体" w:cs="Arial"/>
          <w:color w:val="auto"/>
          <w:szCs w:val="21"/>
          <w:highlight w:val="none"/>
        </w:rPr>
        <w:t>内容</w:t>
      </w:r>
      <w:r>
        <w:rPr>
          <w:rFonts w:hint="eastAsia" w:ascii="宋体" w:hAnsi="宋体" w:cs="Arial"/>
          <w:color w:val="auto"/>
          <w:szCs w:val="21"/>
          <w:highlight w:val="none"/>
          <w:lang w:val="en-US" w:eastAsia="zh-CN"/>
        </w:rPr>
        <w:t>组织</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项目设计（包括</w:t>
      </w:r>
      <w:r>
        <w:rPr>
          <w:rFonts w:hint="eastAsia" w:ascii="宋体" w:hAnsi="宋体" w:cs="宋体"/>
          <w:snapToGrid w:val="0"/>
          <w:color w:val="auto"/>
          <w:kern w:val="0"/>
          <w:szCs w:val="21"/>
          <w:highlight w:val="none"/>
          <w:lang w:val="en-US" w:eastAsia="zh-CN"/>
        </w:rPr>
        <w:t>方案设计</w:t>
      </w:r>
      <w:r>
        <w:rPr>
          <w:rFonts w:hint="eastAsia" w:ascii="宋体" w:hAnsi="宋体" w:cs="宋体"/>
          <w:snapToGrid w:val="0"/>
          <w:color w:val="auto"/>
          <w:kern w:val="0"/>
          <w:szCs w:val="21"/>
          <w:highlight w:val="none"/>
        </w:rPr>
        <w:t>、深化设计、施工图设计</w:t>
      </w:r>
      <w:r>
        <w:rPr>
          <w:rFonts w:hint="eastAsia" w:ascii="宋体" w:hAnsi="宋体" w:cs="宋体"/>
          <w:snapToGrid w:val="0"/>
          <w:color w:val="auto"/>
          <w:kern w:val="0"/>
          <w:szCs w:val="21"/>
          <w:highlight w:val="none"/>
          <w:lang w:val="en-US" w:eastAsia="zh-CN"/>
        </w:rPr>
        <w:t>及审查</w:t>
      </w:r>
      <w:r>
        <w:rPr>
          <w:rFonts w:hint="eastAsia" w:ascii="宋体" w:hAnsi="宋体" w:cs="宋体"/>
          <w:snapToGrid w:val="0"/>
          <w:color w:val="auto"/>
          <w:kern w:val="0"/>
          <w:szCs w:val="21"/>
          <w:highlight w:val="none"/>
        </w:rPr>
        <w:t>，以及后续的相关服务</w:t>
      </w:r>
      <w:r>
        <w:rPr>
          <w:rFonts w:hint="eastAsia" w:ascii="宋体" w:hAnsi="宋体" w:cs="宋体"/>
          <w:snapToGrid w:val="0"/>
          <w:color w:val="auto"/>
          <w:kern w:val="0"/>
          <w:szCs w:val="21"/>
          <w:highlight w:val="none"/>
          <w:lang w:val="en-US" w:eastAsia="zh-CN"/>
        </w:rPr>
        <w:t>所需费用</w:t>
      </w:r>
      <w:r>
        <w:rPr>
          <w:rFonts w:hint="eastAsia" w:ascii="宋体" w:hAnsi="宋体" w:cs="宋体"/>
          <w:snapToGrid w:val="0"/>
          <w:color w:val="auto"/>
          <w:kern w:val="0"/>
          <w:szCs w:val="21"/>
          <w:highlight w:val="none"/>
        </w:rPr>
        <w:t>，设计图纸均达到国家规定的深度要求，并且满足采购人及相关职能部门的要求）、装饰装修、影片制作、数字硬软件、情景展示服务及配套设施设备、</w:t>
      </w:r>
      <w:r>
        <w:rPr>
          <w:rFonts w:hint="eastAsia" w:ascii="宋体" w:hAnsi="宋体" w:cs="宋体"/>
          <w:snapToGrid w:val="0"/>
          <w:color w:val="auto"/>
          <w:kern w:val="0"/>
          <w:szCs w:val="21"/>
          <w:highlight w:val="none"/>
          <w:lang w:val="en-US" w:eastAsia="zh-CN"/>
        </w:rPr>
        <w:t>地图审图、</w:t>
      </w:r>
      <w:r>
        <w:rPr>
          <w:rFonts w:hint="eastAsia" w:ascii="宋体" w:hAnsi="宋体" w:cs="宋体"/>
          <w:snapToGrid w:val="0"/>
          <w:color w:val="auto"/>
          <w:kern w:val="0"/>
          <w:szCs w:val="21"/>
          <w:highlight w:val="none"/>
        </w:rPr>
        <w:t>材料购买</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施工</w:t>
      </w:r>
      <w:r>
        <w:rPr>
          <w:rFonts w:hint="eastAsia" w:ascii="宋体" w:hAnsi="宋体" w:cs="宋体"/>
          <w:snapToGrid w:val="0"/>
          <w:color w:val="auto"/>
          <w:kern w:val="0"/>
          <w:szCs w:val="21"/>
          <w:highlight w:val="none"/>
        </w:rPr>
        <w:t>、安装、运输、辅料、调试、验收、保修</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缺陷修复</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、管理</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保险</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赶工措施</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质量检测</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税费</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包含双方印花税</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材料检测、环境检测、消防检测、软件测评</w:t>
      </w:r>
      <w:r>
        <w:rPr>
          <w:rFonts w:hint="eastAsia" w:ascii="宋体" w:hAnsi="宋体" w:cs="宋体"/>
          <w:snapToGrid w:val="0"/>
          <w:color w:val="auto"/>
          <w:kern w:val="0"/>
          <w:szCs w:val="21"/>
          <w:highlight w:val="none"/>
        </w:rPr>
        <w:t>等全部费用。项目中若发生类似知识产权归属、软件、专利费、翻译、专家咨询与评审等费用，应当一并包含在投标总价中。采购人不再承担总报价以外的其它任何费用。</w:t>
      </w:r>
    </w:p>
    <w:p w14:paraId="586D8B7C">
      <w:pPr>
        <w:pStyle w:val="19"/>
        <w:snapToGrid w:val="0"/>
        <w:ind w:firstLine="422" w:firstLineChars="200"/>
        <w:rPr>
          <w:rFonts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完成本项目服务所涉及的一切费用由</w:t>
      </w:r>
      <w:r>
        <w:rPr>
          <w:rFonts w:hint="eastAsia" w:ascii="宋体" w:hAnsi="宋体" w:eastAsia="宋体" w:cs="宋体"/>
          <w:b/>
          <w:bCs/>
          <w:snapToGrid w:val="0"/>
          <w:color w:val="auto"/>
          <w:kern w:val="0"/>
          <w:sz w:val="21"/>
          <w:szCs w:val="21"/>
          <w:highlight w:val="none"/>
          <w:lang w:val="en-US" w:eastAsia="zh-CN"/>
        </w:rPr>
        <w:t>中标人</w:t>
      </w:r>
      <w:r>
        <w:rPr>
          <w:rFonts w:hint="eastAsia" w:ascii="宋体" w:hAnsi="宋体" w:eastAsia="宋体" w:cs="宋体"/>
          <w:b/>
          <w:bCs/>
          <w:snapToGrid w:val="0"/>
          <w:color w:val="auto"/>
          <w:kern w:val="0"/>
          <w:sz w:val="21"/>
          <w:szCs w:val="21"/>
          <w:highlight w:val="none"/>
        </w:rPr>
        <w:t>承担。费用清单需详细列明，不详细的部分采购人有权按最好效果、最高标准执行。</w:t>
      </w:r>
    </w:p>
    <w:p w14:paraId="53EB9E52">
      <w:pPr>
        <w:pStyle w:val="19"/>
        <w:snapToGrid w:val="0"/>
        <w:ind w:firstLine="422" w:firstLineChars="200"/>
        <w:rPr>
          <w:rFonts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投标人应认真计算可能发生的各相关费用并计入报价内，在项目实施过程中不得藉此要求增加任何费用，并不得出现选择性的报价。</w:t>
      </w:r>
    </w:p>
    <w:p w14:paraId="7506CF23">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11.</w:t>
      </w:r>
      <w:r>
        <w:rPr>
          <w:rFonts w:hint="eastAsia" w:ascii="宋体" w:hAnsi="宋体" w:cs="宋体"/>
          <w:snapToGrid w:val="0"/>
          <w:color w:val="auto"/>
          <w:kern w:val="0"/>
          <w:szCs w:val="21"/>
          <w:highlight w:val="none"/>
        </w:rPr>
        <w:t>2</w:t>
      </w:r>
      <w:r>
        <w:rPr>
          <w:rFonts w:hint="eastAsia" w:ascii="宋体" w:hAnsi="宋体" w:cs="宋体"/>
          <w:snapToGrid w:val="0"/>
          <w:color w:val="auto"/>
          <w:kern w:val="0"/>
          <w:szCs w:val="21"/>
          <w:highlight w:val="none"/>
          <w:lang w:val="en-US" w:eastAsia="zh-CN"/>
        </w:rPr>
        <w:t xml:space="preserve"> </w:t>
      </w:r>
      <w:r>
        <w:rPr>
          <w:rFonts w:hint="eastAsia" w:ascii="宋体" w:hAnsi="宋体" w:cs="宋体"/>
          <w:snapToGrid w:val="0"/>
          <w:color w:val="auto"/>
          <w:kern w:val="0"/>
          <w:szCs w:val="21"/>
          <w:highlight w:val="none"/>
        </w:rPr>
        <w:t>投标人在投标文件中的分项报价必须包括：项目设计费、设备购置费（含硬件和软件设备）、装饰装修工程费、设备安装费、模型制作费、多媒体影片制作费（根据不同的应用场景分别报价）、其他费用。所有展示部分的设备测试与验收费用</w:t>
      </w:r>
      <w:r>
        <w:rPr>
          <w:rFonts w:hint="eastAsia" w:ascii="宋体" w:hAnsi="宋体" w:cs="宋体"/>
          <w:snapToGrid w:val="0"/>
          <w:color w:val="auto"/>
          <w:kern w:val="0"/>
          <w:szCs w:val="21"/>
          <w:highlight w:val="none"/>
          <w:lang w:val="en-US" w:eastAsia="zh-CN"/>
        </w:rPr>
        <w:t>等</w:t>
      </w:r>
      <w:r>
        <w:rPr>
          <w:rFonts w:hint="eastAsia" w:ascii="宋体" w:hAnsi="宋体" w:cs="宋体"/>
          <w:snapToGrid w:val="0"/>
          <w:color w:val="auto"/>
          <w:kern w:val="0"/>
          <w:szCs w:val="21"/>
          <w:highlight w:val="none"/>
        </w:rPr>
        <w:t>，应包括在投标总价中。采购人要求投标人按照上述要求分项报价，其目的是为了便于采购人对投标文件进行比较，但并不限制采购人以上述任何条件订立合同的权利。</w:t>
      </w:r>
    </w:p>
    <w:p w14:paraId="0DF3AAE5">
      <w:pPr>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11.3 各部分投标报价应有细目、单价和总价。细目报价应当说明所选用的材料、设备名称、品牌、规格、型号、数量，辅材品种、相关安装等费用。投标人如将多个设备、相关服务等以一项总额标价，采购人有权视情况要求投标人将每项单价分列表示。</w:t>
      </w:r>
    </w:p>
    <w:p w14:paraId="0A7B2DE9">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11.</w:t>
      </w:r>
      <w:r>
        <w:rPr>
          <w:rFonts w:hint="eastAsia" w:ascii="宋体" w:hAnsi="宋体" w:cs="宋体"/>
          <w:snapToGrid w:val="0"/>
          <w:color w:val="auto"/>
          <w:kern w:val="0"/>
          <w:szCs w:val="21"/>
          <w:highlight w:val="none"/>
        </w:rPr>
        <w:t>4</w:t>
      </w:r>
      <w:r>
        <w:rPr>
          <w:rFonts w:hint="eastAsia" w:ascii="宋体" w:hAnsi="宋体" w:cs="宋体"/>
          <w:snapToGrid w:val="0"/>
          <w:color w:val="auto"/>
          <w:kern w:val="0"/>
          <w:szCs w:val="21"/>
          <w:highlight w:val="none"/>
          <w:lang w:val="en-US" w:eastAsia="zh-CN"/>
        </w:rPr>
        <w:t xml:space="preserve"> </w:t>
      </w:r>
      <w:r>
        <w:rPr>
          <w:rFonts w:hint="eastAsia" w:ascii="宋体" w:hAnsi="宋体" w:cs="宋体"/>
          <w:snapToGrid w:val="0"/>
          <w:color w:val="auto"/>
          <w:kern w:val="0"/>
          <w:szCs w:val="21"/>
          <w:highlight w:val="none"/>
        </w:rPr>
        <w:t>装饰装修部分、安装部分的计价依据：《建设工程工程量清单计价规范》（GB50500-2013）文件中规定的计价办法、工程消耗量标准及配套文件、乌鲁木齐市财政资金综合评价中心的相关规定。</w:t>
      </w:r>
    </w:p>
    <w:p w14:paraId="2B706331">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11.</w:t>
      </w:r>
      <w:r>
        <w:rPr>
          <w:rFonts w:hint="eastAsia" w:ascii="宋体" w:hAnsi="宋体" w:cs="宋体"/>
          <w:snapToGrid w:val="0"/>
          <w:color w:val="auto"/>
          <w:kern w:val="0"/>
          <w:szCs w:val="21"/>
          <w:highlight w:val="none"/>
        </w:rPr>
        <w:t>5</w:t>
      </w:r>
      <w:r>
        <w:rPr>
          <w:rFonts w:hint="eastAsia" w:ascii="宋体" w:hAnsi="宋体" w:cs="宋体"/>
          <w:snapToGrid w:val="0"/>
          <w:color w:val="auto"/>
          <w:kern w:val="0"/>
          <w:szCs w:val="21"/>
          <w:highlight w:val="none"/>
          <w:lang w:val="en-US" w:eastAsia="zh-CN"/>
        </w:rPr>
        <w:t xml:space="preserve"> </w:t>
      </w:r>
      <w:r>
        <w:rPr>
          <w:rFonts w:hint="eastAsia" w:ascii="宋体" w:hAnsi="宋体" w:cs="宋体"/>
          <w:snapToGrid w:val="0"/>
          <w:color w:val="auto"/>
          <w:kern w:val="0"/>
          <w:szCs w:val="21"/>
          <w:highlight w:val="none"/>
        </w:rPr>
        <w:t>各投标人应认真阅读本项目招标文件及仔细了解项目需求，熟悉施工现场及周围环境条件等情况，以获得一切可能影响投标报价的直接资料，并将需要或可能发生的费用，如现场安全、文明施工措施费、技术措施费、吊装费、材料试验费、二次转运费、赶工措施费、特殊条件施工增加费、特殊产品保护费、项目保险费、竣工图编制费等，全部列入施工措施费中。无论是否开列费用，采购人将一律视为各投标人已确认所有现场条件和预计到了可能发生的异常情况。采购人将一律视为总报价已包括该项费用，并已承担所有采购人所要求的展陈总承包责任。</w:t>
      </w:r>
    </w:p>
    <w:p w14:paraId="34C5E3FF">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11.</w:t>
      </w:r>
      <w:r>
        <w:rPr>
          <w:rFonts w:hint="eastAsia" w:ascii="宋体" w:hAnsi="宋体" w:cs="宋体"/>
          <w:snapToGrid w:val="0"/>
          <w:color w:val="auto"/>
          <w:kern w:val="0"/>
          <w:szCs w:val="21"/>
          <w:highlight w:val="none"/>
        </w:rPr>
        <w:t>6</w:t>
      </w:r>
      <w:r>
        <w:rPr>
          <w:rFonts w:hint="eastAsia" w:ascii="宋体" w:hAnsi="宋体" w:cs="宋体"/>
          <w:snapToGrid w:val="0"/>
          <w:color w:val="auto"/>
          <w:kern w:val="0"/>
          <w:szCs w:val="21"/>
          <w:highlight w:val="none"/>
          <w:lang w:val="en-US" w:eastAsia="zh-CN"/>
        </w:rPr>
        <w:t xml:space="preserve"> </w:t>
      </w:r>
      <w:r>
        <w:rPr>
          <w:rFonts w:hint="eastAsia" w:ascii="宋体" w:hAnsi="宋体" w:cs="宋体"/>
          <w:snapToGrid w:val="0"/>
          <w:color w:val="auto"/>
          <w:kern w:val="0"/>
          <w:szCs w:val="21"/>
          <w:highlight w:val="none"/>
        </w:rPr>
        <w:t>投标人报价中人工工资、社会保障、社会管理等各类费用必须符合国家、地方相关管理部门的规定进行计费，并包括在总价中。</w:t>
      </w:r>
    </w:p>
    <w:p w14:paraId="15AD1B03">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11.</w:t>
      </w:r>
      <w:r>
        <w:rPr>
          <w:rFonts w:hint="eastAsia" w:ascii="宋体" w:hAnsi="宋体" w:cs="宋体"/>
          <w:snapToGrid w:val="0"/>
          <w:color w:val="auto"/>
          <w:kern w:val="0"/>
          <w:szCs w:val="21"/>
          <w:highlight w:val="none"/>
        </w:rPr>
        <w:t>7</w:t>
      </w:r>
      <w:r>
        <w:rPr>
          <w:rFonts w:hint="eastAsia" w:ascii="宋体" w:hAnsi="宋体" w:cs="宋体"/>
          <w:snapToGrid w:val="0"/>
          <w:color w:val="auto"/>
          <w:kern w:val="0"/>
          <w:szCs w:val="21"/>
          <w:highlight w:val="none"/>
          <w:lang w:val="en-US" w:eastAsia="zh-CN"/>
        </w:rPr>
        <w:t xml:space="preserve"> </w:t>
      </w:r>
      <w:r>
        <w:rPr>
          <w:rFonts w:hint="eastAsia" w:ascii="宋体" w:hAnsi="宋体" w:cs="宋体"/>
          <w:snapToGrid w:val="0"/>
          <w:color w:val="auto"/>
          <w:kern w:val="0"/>
          <w:szCs w:val="21"/>
          <w:highlight w:val="none"/>
        </w:rPr>
        <w:t>投标人提供的项目工作及相关服务，应当符合国家有关法律、法规和标准规范，满足合同约定的服务内容和质量等要求。投标人不得违反标准规范规定或合同约定，通过降低服务质量、减少服务内容等手段进行恶性低价竞争，扰乱正常市场秩序。</w:t>
      </w:r>
    </w:p>
    <w:p w14:paraId="6C02DAE0">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11.</w:t>
      </w:r>
      <w:r>
        <w:rPr>
          <w:rFonts w:hint="eastAsia" w:ascii="宋体" w:hAnsi="宋体" w:cs="宋体"/>
          <w:snapToGrid w:val="0"/>
          <w:color w:val="auto"/>
          <w:kern w:val="0"/>
          <w:szCs w:val="21"/>
          <w:highlight w:val="none"/>
        </w:rPr>
        <w:t>8</w:t>
      </w:r>
      <w:r>
        <w:rPr>
          <w:rFonts w:hint="eastAsia" w:ascii="宋体" w:hAnsi="宋体" w:cs="宋体"/>
          <w:snapToGrid w:val="0"/>
          <w:color w:val="auto"/>
          <w:kern w:val="0"/>
          <w:szCs w:val="21"/>
          <w:highlight w:val="none"/>
          <w:lang w:val="en-US" w:eastAsia="zh-CN"/>
        </w:rPr>
        <w:t xml:space="preserve"> </w:t>
      </w:r>
      <w:r>
        <w:rPr>
          <w:rFonts w:hint="eastAsia" w:ascii="宋体" w:hAnsi="宋体" w:cs="宋体"/>
          <w:snapToGrid w:val="0"/>
          <w:color w:val="auto"/>
          <w:kern w:val="0"/>
          <w:szCs w:val="21"/>
          <w:highlight w:val="none"/>
        </w:rPr>
        <w:t>项目结算</w:t>
      </w:r>
    </w:p>
    <w:p w14:paraId="25A2750A">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（1）本项目采用暂定合同总价，最终的结算</w:t>
      </w:r>
      <w:r>
        <w:rPr>
          <w:rFonts w:hint="eastAsia" w:ascii="宋体" w:hAnsi="宋体" w:cs="宋体"/>
          <w:snapToGrid w:val="0"/>
          <w:color w:val="auto"/>
          <w:kern w:val="0"/>
          <w:szCs w:val="21"/>
          <w:highlight w:val="none"/>
          <w:lang w:val="en-US" w:eastAsia="zh-CN"/>
        </w:rPr>
        <w:t>价</w:t>
      </w:r>
      <w:r>
        <w:rPr>
          <w:rFonts w:hint="eastAsia" w:ascii="宋体" w:hAnsi="宋体" w:cs="宋体"/>
          <w:snapToGrid w:val="0"/>
          <w:color w:val="auto"/>
          <w:kern w:val="0"/>
          <w:szCs w:val="21"/>
          <w:highlight w:val="none"/>
        </w:rPr>
        <w:t>不得超过</w:t>
      </w:r>
      <w:r>
        <w:rPr>
          <w:rFonts w:hint="eastAsia" w:ascii="宋体" w:hAnsi="宋体" w:cs="宋体"/>
          <w:snapToGrid w:val="0"/>
          <w:color w:val="auto"/>
          <w:kern w:val="0"/>
          <w:szCs w:val="21"/>
          <w:highlight w:val="none"/>
          <w:lang w:val="en-US" w:eastAsia="zh-CN"/>
        </w:rPr>
        <w:t>合同总</w:t>
      </w:r>
      <w:r>
        <w:rPr>
          <w:rFonts w:hint="eastAsia" w:ascii="宋体" w:hAnsi="宋体" w:cs="宋体"/>
          <w:snapToGrid w:val="0"/>
          <w:color w:val="auto"/>
          <w:kern w:val="0"/>
          <w:szCs w:val="21"/>
          <w:highlight w:val="none"/>
        </w:rPr>
        <w:t>价，按照最终审定的方案予以计量</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投标人应充分调查了解该项目并考虑所产生的风险</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结算价不因</w:t>
      </w:r>
      <w:r>
        <w:rPr>
          <w:rFonts w:hint="eastAsia" w:ascii="宋体" w:hAnsi="宋体" w:cs="宋体"/>
          <w:snapToGrid w:val="0"/>
          <w:color w:val="auto"/>
          <w:kern w:val="0"/>
          <w:szCs w:val="21"/>
          <w:highlight w:val="none"/>
          <w:lang w:val="en-US" w:eastAsia="zh-CN"/>
        </w:rPr>
        <w:t>工作</w:t>
      </w:r>
      <w:r>
        <w:rPr>
          <w:rFonts w:hint="eastAsia" w:ascii="宋体" w:hAnsi="宋体" w:cs="宋体"/>
          <w:snapToGrid w:val="0"/>
          <w:color w:val="auto"/>
          <w:kern w:val="0"/>
          <w:szCs w:val="21"/>
          <w:highlight w:val="none"/>
        </w:rPr>
        <w:t>量和项目的变化及其他因素而高于合同</w:t>
      </w:r>
      <w:r>
        <w:rPr>
          <w:rFonts w:hint="eastAsia" w:ascii="宋体" w:hAnsi="宋体" w:cs="宋体"/>
          <w:snapToGrid w:val="0"/>
          <w:color w:val="auto"/>
          <w:kern w:val="0"/>
          <w:szCs w:val="21"/>
          <w:highlight w:val="none"/>
          <w:lang w:val="en-US" w:eastAsia="zh-CN"/>
        </w:rPr>
        <w:t>总</w:t>
      </w:r>
      <w:r>
        <w:rPr>
          <w:rFonts w:hint="eastAsia" w:ascii="宋体" w:hAnsi="宋体" w:cs="宋体"/>
          <w:snapToGrid w:val="0"/>
          <w:color w:val="auto"/>
          <w:kern w:val="0"/>
          <w:szCs w:val="21"/>
          <w:highlight w:val="none"/>
        </w:rPr>
        <w:t>价，方案深化、实际施工过程中发生的调整、修改、变更、返工</w:t>
      </w:r>
      <w:r>
        <w:rPr>
          <w:rFonts w:hint="eastAsia" w:ascii="宋体" w:hAnsi="宋体" w:cs="宋体"/>
          <w:snapToGrid w:val="0"/>
          <w:color w:val="auto"/>
          <w:kern w:val="0"/>
          <w:szCs w:val="21"/>
          <w:highlight w:val="none"/>
          <w:lang w:val="en-US" w:eastAsia="zh-CN"/>
        </w:rPr>
        <w:t>等增加的工作量</w:t>
      </w:r>
      <w:r>
        <w:rPr>
          <w:rFonts w:hint="eastAsia" w:ascii="宋体" w:hAnsi="宋体" w:cs="宋体"/>
          <w:snapToGrid w:val="0"/>
          <w:color w:val="auto"/>
          <w:kern w:val="0"/>
          <w:szCs w:val="21"/>
          <w:highlight w:val="none"/>
        </w:rPr>
        <w:t>均不予计量。合同总价款不予上调</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最终以乌鲁木齐市财政资金综合评价中心出具的结算报告为准。</w:t>
      </w:r>
    </w:p>
    <w:p w14:paraId="1498A8BE">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在编制投标文件时，需要根据项目的要求和实际现场情况，详细列出所需的设备、材料以及所有的人工、管理、财务等费用。如果因中标人疏忽导致了任何项目所需费用的遗漏，均由中标人自行承担，采购人不会再支付额外的费用。</w:t>
      </w:r>
    </w:p>
    <w:p w14:paraId="6729707E">
      <w:pPr>
        <w:adjustRightInd w:val="0"/>
        <w:snapToGrid w:val="0"/>
        <w:spacing w:line="360" w:lineRule="auto"/>
        <w:ind w:firstLine="420" w:firstLineChars="200"/>
        <w:jc w:val="left"/>
        <w:rPr>
          <w:rFonts w:hint="eastAsia" w:ascii="宋体" w:hAnsi="宋体" w:cs="宋体"/>
          <w:snapToGrid w:val="0"/>
          <w:color w:val="auto"/>
          <w:kern w:val="0"/>
          <w:szCs w:val="21"/>
          <w:highlight w:val="yellow"/>
          <w:lang w:val="en-US" w:eastAsia="zh-CN"/>
        </w:rPr>
      </w:pPr>
      <w:r>
        <w:rPr>
          <w:rFonts w:hint="eastAsia" w:ascii="宋体" w:hAnsi="宋体" w:cs="宋体"/>
          <w:snapToGrid w:val="0"/>
          <w:color w:val="auto"/>
          <w:kern w:val="0"/>
          <w:szCs w:val="21"/>
          <w:highlight w:val="yellow"/>
          <w:lang w:eastAsia="zh-CN"/>
        </w:rPr>
        <w:t>（</w:t>
      </w:r>
      <w:r>
        <w:rPr>
          <w:rFonts w:hint="eastAsia" w:ascii="宋体" w:hAnsi="宋体" w:cs="宋体"/>
          <w:snapToGrid w:val="0"/>
          <w:color w:val="auto"/>
          <w:kern w:val="0"/>
          <w:szCs w:val="21"/>
          <w:highlight w:val="yellow"/>
          <w:lang w:val="en-US" w:eastAsia="zh-CN"/>
        </w:rPr>
        <w:t>2</w:t>
      </w:r>
      <w:r>
        <w:rPr>
          <w:rFonts w:hint="eastAsia" w:ascii="宋体" w:hAnsi="宋体" w:cs="宋体"/>
          <w:snapToGrid w:val="0"/>
          <w:color w:val="auto"/>
          <w:kern w:val="0"/>
          <w:szCs w:val="21"/>
          <w:highlight w:val="yellow"/>
          <w:lang w:eastAsia="zh-CN"/>
        </w:rPr>
        <w:t>）中标后，乙方应在甲方规定的时间内依据招标文件、投标文件、审定通过的设计方案与图纸，计算出该项目的全部费用。招标人将委托第三方造价咨询单位依据招标文件、投标文件、设计方案与图纸、建设工程工程量清单计价规范、乌市当季材料信息表等相关文件审核该项目的全部费用，审核后的工作量、价格作为结算依据，结算金额不得超过合同总价。</w:t>
      </w:r>
    </w:p>
    <w:p w14:paraId="3344008D">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3</w:t>
      </w:r>
      <w:r>
        <w:rPr>
          <w:rFonts w:hint="eastAsia" w:ascii="宋体" w:hAnsi="宋体" w:cs="宋体"/>
          <w:snapToGrid w:val="0"/>
          <w:color w:val="auto"/>
          <w:kern w:val="0"/>
          <w:szCs w:val="21"/>
          <w:highlight w:val="none"/>
        </w:rPr>
        <w:t>）项目完工后，双方应及时办理结算</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若未完成</w:t>
      </w:r>
      <w:r>
        <w:rPr>
          <w:rFonts w:hint="eastAsia" w:ascii="宋体" w:hAnsi="宋体" w:cs="宋体"/>
          <w:snapToGrid w:val="0"/>
          <w:color w:val="auto"/>
          <w:kern w:val="0"/>
          <w:szCs w:val="21"/>
          <w:highlight w:val="none"/>
        </w:rPr>
        <w:t>结算不支付相应项目款项，并不计算利息。</w:t>
      </w:r>
    </w:p>
    <w:p w14:paraId="57431C52">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eastAsia="宋体" w:cs="宋体"/>
          <w:b w:val="0"/>
          <w:bCs w:val="0"/>
          <w:snapToGrid w:val="0"/>
          <w:color w:val="auto"/>
          <w:kern w:val="0"/>
          <w:sz w:val="21"/>
          <w:szCs w:val="21"/>
          <w:highlight w:val="none"/>
          <w:lang w:val="en-US" w:eastAsia="zh-CN"/>
        </w:rPr>
        <w:t xml:space="preserve">11.9 </w:t>
      </w:r>
      <w:r>
        <w:rPr>
          <w:rFonts w:hint="eastAsia" w:ascii="宋体" w:hAnsi="宋体" w:cs="宋体"/>
          <w:snapToGrid w:val="0"/>
          <w:color w:val="auto"/>
          <w:kern w:val="0"/>
          <w:szCs w:val="21"/>
          <w:highlight w:val="none"/>
        </w:rPr>
        <w:t>本项目只允许一次报价，不允许以开标后调整的报价作为评标的依据（</w:t>
      </w:r>
      <w:r>
        <w:rPr>
          <w:rFonts w:hint="eastAsia" w:ascii="宋体" w:hAnsi="宋体" w:cs="宋体"/>
          <w:snapToGrid w:val="0"/>
          <w:color w:val="auto"/>
          <w:kern w:val="0"/>
          <w:szCs w:val="21"/>
          <w:highlight w:val="none"/>
          <w:lang w:val="en-US" w:eastAsia="zh-CN"/>
        </w:rPr>
        <w:t>符合</w:t>
      </w:r>
      <w:r>
        <w:rPr>
          <w:rFonts w:hint="eastAsia" w:ascii="宋体" w:hAnsi="宋体" w:cs="宋体"/>
          <w:snapToGrid w:val="0"/>
          <w:color w:val="auto"/>
          <w:kern w:val="0"/>
          <w:szCs w:val="21"/>
          <w:highlight w:val="none"/>
        </w:rPr>
        <w:t>本采购文件</w:t>
      </w:r>
      <w:r>
        <w:rPr>
          <w:rFonts w:hint="eastAsia" w:ascii="宋体" w:hAnsi="宋体" w:cs="宋体"/>
          <w:snapToGrid w:val="0"/>
          <w:color w:val="auto"/>
          <w:kern w:val="0"/>
          <w:szCs w:val="21"/>
          <w:highlight w:val="none"/>
          <w:lang w:val="en-US" w:eastAsia="zh-CN"/>
        </w:rPr>
        <w:t>中</w:t>
      </w:r>
      <w:r>
        <w:rPr>
          <w:rFonts w:hint="eastAsia" w:ascii="宋体" w:hAnsi="宋体" w:cs="宋体"/>
          <w:snapToGrid w:val="0"/>
          <w:color w:val="auto"/>
          <w:kern w:val="0"/>
          <w:szCs w:val="21"/>
          <w:highlight w:val="none"/>
        </w:rPr>
        <w:t>修正</w:t>
      </w:r>
      <w:r>
        <w:rPr>
          <w:rFonts w:hint="eastAsia" w:ascii="宋体" w:hAnsi="宋体" w:cs="宋体"/>
          <w:snapToGrid w:val="0"/>
          <w:color w:val="auto"/>
          <w:kern w:val="0"/>
          <w:szCs w:val="21"/>
          <w:highlight w:val="none"/>
          <w:lang w:val="en-US" w:eastAsia="zh-CN"/>
        </w:rPr>
        <w:t>原则，</w:t>
      </w:r>
      <w:r>
        <w:rPr>
          <w:rFonts w:hint="eastAsia" w:ascii="宋体" w:hAnsi="宋体" w:cs="宋体"/>
          <w:snapToGrid w:val="0"/>
          <w:color w:val="auto"/>
          <w:kern w:val="0"/>
          <w:szCs w:val="21"/>
          <w:highlight w:val="none"/>
        </w:rPr>
        <w:t>经评标委员会认定或经投标人确认同意的除外）。</w:t>
      </w:r>
    </w:p>
    <w:p w14:paraId="3D668FB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 xml:space="preserve">11.10 </w:t>
      </w:r>
      <w:r>
        <w:rPr>
          <w:rFonts w:hint="eastAsia" w:ascii="宋体" w:hAnsi="宋体" w:cs="宋体"/>
          <w:snapToGrid w:val="0"/>
          <w:color w:val="auto"/>
          <w:kern w:val="0"/>
          <w:szCs w:val="21"/>
          <w:highlight w:val="none"/>
        </w:rPr>
        <w:t>其它需在报价中考虑的因素：</w:t>
      </w:r>
    </w:p>
    <w:p w14:paraId="1635C13A">
      <w:pPr>
        <w:adjustRightInd w:val="0"/>
        <w:snapToGrid w:val="0"/>
        <w:spacing w:line="360" w:lineRule="auto"/>
        <w:ind w:firstLine="420" w:firstLineChars="200"/>
        <w:jc w:val="left"/>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（1）</w:t>
      </w:r>
      <w:r>
        <w:rPr>
          <w:rFonts w:hint="eastAsia" w:ascii="宋体" w:hAnsi="宋体" w:eastAsia="宋体" w:cs="宋体"/>
          <w:b w:val="0"/>
          <w:bCs w:val="0"/>
          <w:snapToGrid w:val="0"/>
          <w:color w:val="auto"/>
          <w:kern w:val="0"/>
          <w:sz w:val="21"/>
          <w:szCs w:val="21"/>
          <w:highlight w:val="none"/>
          <w:lang w:val="en-US" w:eastAsia="zh-CN"/>
        </w:rPr>
        <w:t>用户需求中明确的需供应商承担的费用均应含在投标总价中；</w:t>
      </w:r>
    </w:p>
    <w:p w14:paraId="6BCF7C0E">
      <w:pPr>
        <w:adjustRightInd w:val="0"/>
        <w:snapToGrid w:val="0"/>
        <w:spacing w:line="360" w:lineRule="auto"/>
        <w:ind w:firstLine="420" w:firstLineChars="200"/>
        <w:jc w:val="left"/>
        <w:rPr>
          <w:rFonts w:hint="default" w:ascii="宋体" w:hAnsi="宋体" w:eastAsia="宋体" w:cs="宋体"/>
          <w:b w:val="0"/>
          <w:bCs w:val="0"/>
          <w:snapToGrid w:val="0"/>
          <w:color w:val="auto"/>
          <w:kern w:val="0"/>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（2）</w:t>
      </w:r>
      <w:r>
        <w:rPr>
          <w:rFonts w:hint="eastAsia" w:ascii="宋体" w:hAnsi="宋体" w:eastAsia="宋体" w:cs="宋体"/>
          <w:b w:val="0"/>
          <w:bCs w:val="0"/>
          <w:snapToGrid w:val="0"/>
          <w:color w:val="auto"/>
          <w:kern w:val="0"/>
          <w:sz w:val="21"/>
          <w:szCs w:val="21"/>
          <w:highlight w:val="none"/>
          <w:lang w:val="en-US" w:eastAsia="zh-CN"/>
        </w:rPr>
        <w:t>采购文件未明示但投标人认为可能产生的潜在费用支出均需自行考虑并计入投标总价中；</w:t>
      </w:r>
    </w:p>
    <w:p w14:paraId="51CE393B">
      <w:pPr>
        <w:adjustRightInd w:val="0"/>
        <w:snapToGrid w:val="0"/>
        <w:spacing w:line="360" w:lineRule="auto"/>
        <w:ind w:firstLine="420" w:firstLineChars="200"/>
        <w:jc w:val="left"/>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（3）</w:t>
      </w:r>
      <w:r>
        <w:rPr>
          <w:rFonts w:hint="eastAsia" w:ascii="宋体" w:hAnsi="宋体" w:eastAsia="宋体" w:cs="宋体"/>
          <w:b w:val="0"/>
          <w:bCs w:val="0"/>
          <w:snapToGrid w:val="0"/>
          <w:color w:val="auto"/>
          <w:kern w:val="0"/>
          <w:sz w:val="21"/>
          <w:szCs w:val="21"/>
          <w:highlight w:val="none"/>
          <w:lang w:val="en-US" w:eastAsia="zh-CN"/>
        </w:rPr>
        <w:t>对于没有填报的项目，采购人将不再支付，并均认为已包含在报价内。</w:t>
      </w:r>
    </w:p>
    <w:p w14:paraId="2FE37285">
      <w:pPr>
        <w:pStyle w:val="19"/>
        <w:snapToGrid w:val="0"/>
        <w:ind w:firstLine="422" w:firstLineChars="200"/>
        <w:rPr>
          <w:rFonts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12．投标货币</w:t>
      </w:r>
    </w:p>
    <w:p w14:paraId="4DDDD8E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投标人用人民币报价。</w:t>
      </w:r>
    </w:p>
    <w:p w14:paraId="19702DFC">
      <w:pPr>
        <w:pStyle w:val="19"/>
        <w:numPr>
          <w:ilvl w:val="0"/>
          <w:numId w:val="9"/>
        </w:numPr>
        <w:snapToGrid w:val="0"/>
        <w:ind w:firstLine="422" w:firstLineChars="200"/>
        <w:rPr>
          <w:rFonts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投标保证金</w:t>
      </w:r>
    </w:p>
    <w:p w14:paraId="02C3A07F">
      <w:pPr>
        <w:shd w:val="clea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13.1 本项目收取投标保证金</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详见投标须知前附表</w:t>
      </w:r>
      <w:r>
        <w:rPr>
          <w:rFonts w:hint="eastAsia" w:ascii="宋体" w:hAnsi="宋体" w:cs="宋体"/>
          <w:snapToGrid w:val="0"/>
          <w:color w:val="auto"/>
          <w:kern w:val="0"/>
          <w:szCs w:val="21"/>
          <w:highlight w:val="none"/>
        </w:rPr>
        <w:t>。违反政府采购相关规定给采购人造成损失的，投标人应当承担赔偿责任。</w:t>
      </w:r>
    </w:p>
    <w:p w14:paraId="67CE822A">
      <w:pPr>
        <w:pStyle w:val="19"/>
        <w:snapToGrid w:val="0"/>
        <w:ind w:firstLine="422" w:firstLineChars="200"/>
        <w:rPr>
          <w:rFonts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14．投标有效期</w:t>
      </w:r>
    </w:p>
    <w:p w14:paraId="7AB706B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14.1 投标文件在开标之日起90个日历天内有效。</w:t>
      </w:r>
    </w:p>
    <w:p w14:paraId="4C60E31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14.2 在原定投标有效期满之前，如果出现特殊情况，采购人可以以书面形式向投标人提出延长投标有效期的要求。这种要求与答复均应采用书面形式如传真或信件等。投标人可以拒绝接受采购人的这种要求而放弃投标。接受延长投标有效期的投标人将不会被要求和允许修正其投标。</w:t>
      </w:r>
    </w:p>
    <w:p w14:paraId="7C37021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14.3 中标人的投标文件自开标之日起至合同履行完毕止均应保持有效。</w:t>
      </w:r>
    </w:p>
    <w:p w14:paraId="17773D13">
      <w:pPr>
        <w:pStyle w:val="19"/>
        <w:snapToGrid w:val="0"/>
        <w:ind w:firstLine="422" w:firstLineChars="200"/>
        <w:rPr>
          <w:rFonts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15．投标文件的式样</w:t>
      </w:r>
    </w:p>
    <w:p w14:paraId="0C87FFE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15.1 投标人通过“政采云”平台制作电子投标文件，投标文件制作详见“供应商-政府采购项目电子交易操作指南”。</w:t>
      </w:r>
    </w:p>
    <w:p w14:paraId="181656C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15.2 投标文件是电子投标文件，包括“电子加密投标文件”和“备份投标文件”，在投标文件编制完成后同时生成。</w:t>
      </w:r>
    </w:p>
    <w:p w14:paraId="771A0C0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（1）“电子加密投标文件”是指通过“政采云电子交易客户端”完成投标文件编制后生成并加密的数据电文形式的投标文件。</w:t>
      </w:r>
    </w:p>
    <w:p w14:paraId="39EBB58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（2）“备份投标文件”是指与“电子加密投标文件”同时生成的数据电文形式的电子文件（备份标书，用于供应商标书解密异常时应急使用），其他方式编制的备份投标文件视为无效备份投标文件。</w:t>
      </w:r>
    </w:p>
    <w:p w14:paraId="311B7CF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（3）一份电子加密标书（后缀格式为.jmbs），一份备份标书文件（后缀格式为.bfbs）</w:t>
      </w:r>
    </w:p>
    <w:p w14:paraId="55EDB49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（4）每份电子投标文件应包括资格文件、商务技术文件、报价文件三部分内容。</w:t>
      </w:r>
    </w:p>
    <w:p w14:paraId="4E24BBEA">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15.3 投标文件中投标函、法定代表人资格证明书及授权委托函的格式、签字、盖章及内容均应符合采购文件格式要求，否则投标文件无效。</w:t>
      </w:r>
    </w:p>
    <w:p w14:paraId="17BB1D0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15.4投标人应根据“政采云供应商项目采购-电子招投标操作指南”及本招标文件规定编制电子投标文件并进行关联定位，以便评标委员会在评标时，点击评分项，可直接定位到该评分项内容。</w:t>
      </w:r>
    </w:p>
    <w:p w14:paraId="424F67A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如对招标文件的某项要求，投标人的投标文件未能提供相应的内容与其对应，则评标委员会在评审时会提示投标人未对此项招标要求提供相应内容。由此产生的评分影响由投标人自行承担。</w:t>
      </w:r>
    </w:p>
    <w:p w14:paraId="229B838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投标文件内容不完整、编排混乱导致投标文件被误读、漏读，或者在按采购文件规定的部分查找不到相关内容的，是投标人的责任。</w:t>
      </w:r>
    </w:p>
    <w:p w14:paraId="5BD41749">
      <w:pPr>
        <w:pStyle w:val="5"/>
        <w:snapToGrid w:val="0"/>
        <w:spacing w:before="0" w:after="0" w:line="360" w:lineRule="auto"/>
        <w:rPr>
          <w:rFonts w:ascii="宋体" w:hAnsi="宋体" w:eastAsia="宋体" w:cs="宋体"/>
          <w:color w:val="auto"/>
          <w:sz w:val="21"/>
          <w:szCs w:val="21"/>
          <w:highlight w:val="none"/>
        </w:rPr>
      </w:pPr>
      <w:bookmarkStart w:id="45" w:name="_Toc11108"/>
      <w:bookmarkStart w:id="46" w:name="_Toc16868"/>
      <w:bookmarkStart w:id="47" w:name="_Toc1575"/>
      <w:bookmarkStart w:id="48" w:name="_Toc10376"/>
      <w:bookmarkStart w:id="49" w:name="_Toc240450080"/>
      <w:bookmarkStart w:id="50" w:name="_Toc85359509"/>
      <w:bookmarkStart w:id="51" w:name="_Toc251566653"/>
      <w:r>
        <w:rPr>
          <w:rFonts w:hint="eastAsia" w:ascii="宋体" w:hAnsi="宋体" w:eastAsia="宋体" w:cs="宋体"/>
          <w:color w:val="auto"/>
          <w:sz w:val="21"/>
          <w:szCs w:val="21"/>
          <w:highlight w:val="none"/>
        </w:rPr>
        <w:t>四、投标文件的递交</w:t>
      </w:r>
      <w:bookmarkEnd w:id="45"/>
      <w:bookmarkEnd w:id="46"/>
      <w:bookmarkEnd w:id="47"/>
      <w:bookmarkEnd w:id="48"/>
      <w:bookmarkEnd w:id="49"/>
      <w:bookmarkEnd w:id="50"/>
      <w:bookmarkEnd w:id="51"/>
    </w:p>
    <w:p w14:paraId="2B7571AB">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16．投标文件的递交</w:t>
      </w:r>
    </w:p>
    <w:p w14:paraId="7A83D078">
      <w:pPr>
        <w:pStyle w:val="24"/>
        <w:adjustRightInd w:val="0"/>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16.1 电子加密投标文件：投标文件制作完成并生成加密标书，在投标截止时间前，投标人需将加密的投标文件上传至政采云平台，到达开标时间后，解密投标文件。</w:t>
      </w:r>
    </w:p>
    <w:p w14:paraId="3C86D481">
      <w:pPr>
        <w:pStyle w:val="24"/>
        <w:adjustRightInd w:val="0"/>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a.投标人未能在投标截止时间前成功上传电子加密投标文件的投标无效。</w:t>
      </w:r>
    </w:p>
    <w:p w14:paraId="4113FF04">
      <w:pPr>
        <w:pStyle w:val="24"/>
        <w:adjustRightInd w:val="0"/>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b.投标人成功上传电子加密投标文件后，可自行打印投标文件接收回执。</w:t>
      </w:r>
    </w:p>
    <w:p w14:paraId="4071F239">
      <w:pPr>
        <w:pStyle w:val="24"/>
        <w:adjustRightInd w:val="0"/>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16.2备份投标文件：供应商确保在投标截止时间前，将备份投标文件通过快递形式寄达采购代理机构处，以便标书解密异常时应急使用。</w:t>
      </w:r>
    </w:p>
    <w:p w14:paraId="3DBA7CB4">
      <w:pPr>
        <w:pStyle w:val="24"/>
        <w:numPr>
          <w:ilvl w:val="0"/>
          <w:numId w:val="0"/>
        </w:numPr>
        <w:adjustRightInd w:val="0"/>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lang w:val="en-US" w:eastAsia="zh-CN"/>
        </w:rPr>
        <w:t>a.</w:t>
      </w:r>
      <w:r>
        <w:rPr>
          <w:rFonts w:hint="eastAsia" w:ascii="宋体" w:hAnsi="宋体" w:eastAsia="宋体" w:cs="宋体"/>
          <w:color w:val="auto"/>
          <w:highlight w:val="none"/>
        </w:rPr>
        <w:t>备份投标文件递交要求：投标人须将备份投标文件以光盘或U盘形式放在密封袋中，密封后并在密封袋上注明投标项目名称、投标单位名称并加盖公章。未密封包装或者逾期邮寄送达的“备份投标文件”将不予接收。</w:t>
      </w:r>
    </w:p>
    <w:p w14:paraId="550368BD">
      <w:pPr>
        <w:pStyle w:val="24"/>
        <w:numPr>
          <w:ilvl w:val="0"/>
          <w:numId w:val="0"/>
        </w:numPr>
        <w:adjustRightInd w:val="0"/>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lang w:val="en-US" w:eastAsia="zh-CN"/>
        </w:rPr>
        <w:t>b.</w:t>
      </w:r>
      <w:r>
        <w:rPr>
          <w:rFonts w:hint="eastAsia" w:ascii="宋体" w:hAnsi="宋体" w:eastAsia="宋体" w:cs="宋体"/>
          <w:color w:val="auto"/>
          <w:highlight w:val="none"/>
        </w:rPr>
        <w:t>投标人仅提交备份投标文件的，投标无效。</w:t>
      </w:r>
    </w:p>
    <w:p w14:paraId="6E2EC098">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17．投标截止期</w:t>
      </w:r>
    </w:p>
    <w:p w14:paraId="68CED87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17.1 投标人应按前附表规定的日期、时间和方式上传、递交投标文件。</w:t>
      </w:r>
    </w:p>
    <w:p w14:paraId="7712104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17.2 采购人可以按本须知第7条规定，通过修改采购文件适当延长投标截止日期。在此情况下，采购人与投标人受投标截止期制约的所有权利和义务均应延长至新的截止期。</w:t>
      </w:r>
    </w:p>
    <w:p w14:paraId="251544A2">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18．迟交的投标文件</w:t>
      </w:r>
    </w:p>
    <w:p w14:paraId="1CB84AA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在本须知第17条规定的截止期后收到的任何投标文件，采购人将不予接收。</w:t>
      </w:r>
    </w:p>
    <w:p w14:paraId="7A7D9360">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19．投标文件的修改与撤回</w:t>
      </w:r>
    </w:p>
    <w:p w14:paraId="792FFE93">
      <w:pPr>
        <w:pStyle w:val="24"/>
        <w:adjustRightInd w:val="0"/>
        <w:spacing w:line="360" w:lineRule="auto"/>
        <w:ind w:firstLine="420" w:firstLineChars="200"/>
        <w:rPr>
          <w:rFonts w:ascii="宋体" w:hAnsi="宋体" w:eastAsia="宋体" w:cs="宋体"/>
          <w:color w:val="auto"/>
          <w:highlight w:val="none"/>
        </w:rPr>
      </w:pPr>
      <w:r>
        <w:rPr>
          <w:rFonts w:hint="eastAsia" w:ascii="宋体" w:hAnsi="宋体" w:eastAsia="宋体" w:cs="宋体"/>
          <w:snapToGrid w:val="0"/>
          <w:color w:val="auto"/>
          <w:kern w:val="0"/>
          <w:highlight w:val="none"/>
        </w:rPr>
        <w:t>19.1 投标人在递交投标文件后，在规定的投标截止时间前，</w:t>
      </w:r>
      <w:r>
        <w:rPr>
          <w:rFonts w:hint="eastAsia" w:ascii="宋体" w:hAnsi="宋体" w:eastAsia="宋体" w:cs="宋体"/>
          <w:color w:val="auto"/>
          <w:highlight w:val="none"/>
        </w:rPr>
        <w:t>可以补充、修改或者撤回电子交易文件。补充或者修改电子交易文件的，应当先行撤回原文件，补充、修改后重新传输递交。投标截止时间前未完成传输的，视为投标文件撤回，投标无效。</w:t>
      </w:r>
    </w:p>
    <w:p w14:paraId="239F13D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19.2 在投标截止期之后，投标人不得对其投标作任何修改。</w:t>
      </w:r>
    </w:p>
    <w:p w14:paraId="259D97C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19.3 从投标截止期至投标人在投标函格式中确定的投标有效期期满这段时间内，投标人不得撤回其投标。</w:t>
      </w:r>
    </w:p>
    <w:p w14:paraId="488E2BC7">
      <w:pPr>
        <w:pStyle w:val="5"/>
        <w:snapToGrid w:val="0"/>
        <w:spacing w:before="0" w:after="0" w:line="360" w:lineRule="auto"/>
        <w:rPr>
          <w:rFonts w:ascii="宋体" w:hAnsi="宋体" w:eastAsia="宋体" w:cs="宋体"/>
          <w:color w:val="auto"/>
          <w:sz w:val="21"/>
          <w:szCs w:val="21"/>
          <w:highlight w:val="none"/>
        </w:rPr>
      </w:pPr>
      <w:bookmarkStart w:id="52" w:name="_Toc14566"/>
      <w:bookmarkStart w:id="53" w:name="_Toc251566654"/>
      <w:bookmarkStart w:id="54" w:name="_Toc7706"/>
      <w:bookmarkStart w:id="55" w:name="_Toc27759"/>
      <w:bookmarkStart w:id="56" w:name="_Toc240450081"/>
      <w:bookmarkStart w:id="57" w:name="_Toc85359510"/>
      <w:bookmarkStart w:id="58" w:name="_Toc13578"/>
      <w:r>
        <w:rPr>
          <w:rFonts w:hint="eastAsia" w:ascii="宋体" w:hAnsi="宋体" w:eastAsia="宋体" w:cs="宋体"/>
          <w:color w:val="auto"/>
          <w:sz w:val="21"/>
          <w:szCs w:val="21"/>
          <w:highlight w:val="none"/>
        </w:rPr>
        <w:t>五、开标与评标</w:t>
      </w:r>
      <w:bookmarkEnd w:id="52"/>
      <w:bookmarkEnd w:id="53"/>
      <w:bookmarkEnd w:id="54"/>
      <w:bookmarkEnd w:id="55"/>
      <w:bookmarkEnd w:id="56"/>
      <w:bookmarkEnd w:id="57"/>
      <w:bookmarkEnd w:id="58"/>
    </w:p>
    <w:p w14:paraId="4FF9B60D">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20．开标</w:t>
      </w:r>
    </w:p>
    <w:p w14:paraId="542BC0F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20.1 采购人将于前附表规定的时间和地点公开开标。若采购人按本须知第7条规定，通过修改采购文件更改了开标时间和地点的，以后者为准。</w:t>
      </w:r>
    </w:p>
    <w:p w14:paraId="4711DCC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20.2开评标期间，投标人代表应在线操作，并关注政采云有关信息公布、澄清等情况。投标人代表不参加开标程序的，事后不得对采购相关人员、开标过程和开标结果提出异议。</w:t>
      </w:r>
    </w:p>
    <w:p w14:paraId="6042BBB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20.3 开标程序</w:t>
      </w:r>
    </w:p>
    <w:p w14:paraId="781F69BB">
      <w:pPr>
        <w:adjustRightInd w:val="0"/>
        <w:snapToGrid w:val="0"/>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20.3.1开标第一阶段</w:t>
      </w:r>
    </w:p>
    <w:p w14:paraId="3BA85027">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向各投标人发出电子加密投标文件【开始解密】通知，由投标人按招标文件规定的时间内自行进行投标文件解密。投标人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0950913A">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（2）投标文件解密结束，通过邮件形式发送各投标人组织签署《政府采购活动现场确认声明书》；</w:t>
      </w:r>
    </w:p>
    <w:p w14:paraId="241327C5">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（3）开启投标文件，进入资格审查；</w:t>
      </w:r>
    </w:p>
    <w:p w14:paraId="4D9999E1">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（4）开启资格审查通过的投标供应商的商务技术文件进入符合性审查、商务技术评审；</w:t>
      </w:r>
    </w:p>
    <w:p w14:paraId="35B4E00E">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（5）第一阶段开标结束。</w:t>
      </w:r>
    </w:p>
    <w:p w14:paraId="45C968AF">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备注：开标程序的第一阶段结束后，采购人或采购代理机构将对依法对投标供应商的资格进行审查，资格审查结束后进入符合性审查和商务技术的评审工作。</w:t>
      </w:r>
    </w:p>
    <w:p w14:paraId="123611D0">
      <w:pPr>
        <w:adjustRightInd w:val="0"/>
        <w:snapToGrid w:val="0"/>
        <w:spacing w:line="360" w:lineRule="auto"/>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20.3.2开标第二阶段</w:t>
      </w:r>
    </w:p>
    <w:p w14:paraId="67AD44B9">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符合性审查、商务技术评审结束后，举行开标程序第二阶段会议。首先通过政采云平台公布符合性审查、商务技术评审无效投标人名称及理由；公布经商务技术评审后有效投标人的名单，同时公布其商务技术部分得分情况。</w:t>
      </w:r>
    </w:p>
    <w:p w14:paraId="32A7697E">
      <w:pPr>
        <w:tabs>
          <w:tab w:val="left" w:pos="6090"/>
        </w:tabs>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开启符合性审查、商务技术评审有效投标人的《报价文件》，代理机构点击“开启签字时段”，供应商对开标纪录进行在线签字确认（不予确认的应说明理由，否则视为无异议）。报价文件开标结束后，由评标委员会对报价的合理性、准确性等进行审查核实。</w:t>
      </w:r>
    </w:p>
    <w:p w14:paraId="7EF9334D">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（3）评审结束后，在线公布中标（成交）候选供应商名单，及采购人最终确定中标或成交供应商名单的时间和公告方式等。</w:t>
      </w:r>
    </w:p>
    <w:p w14:paraId="528EF030">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20.4如遇“政府采购云平台”电子化开标或评审程序调整的，或者政采云系统提供数据电文交互功能的，按其规定执行。</w:t>
      </w:r>
    </w:p>
    <w:p w14:paraId="41809338">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21．评标</w:t>
      </w:r>
    </w:p>
    <w:p w14:paraId="201A8AB5">
      <w:pPr>
        <w:adjustRightInd w:val="0"/>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21.1 评标组织</w:t>
      </w:r>
    </w:p>
    <w:p w14:paraId="066FF55E">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评标工作由招标采购单位负责组织，具体评标事务由招标采购单位依法组建的评标委员会负责。评标委员会由采购人代表和有关技术、经济等方面的专家组成，成员人数应当为</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人及以上单数。</w:t>
      </w:r>
    </w:p>
    <w:p w14:paraId="4F4D4289">
      <w:pPr>
        <w:adjustRightInd w:val="0"/>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21.2评标纪律</w:t>
      </w:r>
    </w:p>
    <w:p w14:paraId="6B4CABD1">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本次评标工作将在严格保密的情况下进行，评标委员会成员名单在定标前将保密。</w:t>
      </w:r>
    </w:p>
    <w:p w14:paraId="1C6E8D93">
      <w:pPr>
        <w:adjustRightInd w:val="0"/>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21.3评标办法</w:t>
      </w:r>
    </w:p>
    <w:p w14:paraId="6D8A0C2D">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采用综合评分法，详见采购文件第五部分“评标办法”。</w:t>
      </w:r>
    </w:p>
    <w:p w14:paraId="49570743">
      <w:pPr>
        <w:adjustRightInd w:val="0"/>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21.4 评标程序</w:t>
      </w:r>
    </w:p>
    <w:p w14:paraId="12E90C2E">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21.4.1投标文件初审。初审分为资格性检查和符合性检查。</w:t>
      </w:r>
    </w:p>
    <w:p w14:paraId="66BEF9C7">
      <w:pPr>
        <w:numPr>
          <w:ilvl w:val="0"/>
          <w:numId w:val="10"/>
        </w:num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资格性检查。</w:t>
      </w:r>
    </w:p>
    <w:p w14:paraId="7E0E5D1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开标后，采购人或采购代理机构将依据法律法规和本须知第9.1条规定对投标人的基本资格条件、特定资格条件进行审查。</w:t>
      </w:r>
    </w:p>
    <w:p w14:paraId="67D42B6A">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snapToGrid w:val="0"/>
          <w:color w:val="auto"/>
          <w:kern w:val="0"/>
          <w:szCs w:val="21"/>
          <w:highlight w:val="none"/>
        </w:rPr>
        <w:t>投标人未按照采购文件投标须知9.1条要求提供与基本资格条件、特定资格条件相应的有效资格证明材料的，视为投标人不具备采购文件中规定的资格要求，其资格审查不通过。</w:t>
      </w:r>
    </w:p>
    <w:p w14:paraId="6D28CE1E">
      <w:pPr>
        <w:numPr>
          <w:ilvl w:val="0"/>
          <w:numId w:val="10"/>
        </w:num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符合性检查。依据采购文件的规定，从投标文件的有效性、完整性和对采购文件的响应程度进行审查，以确定是否对采购文件的实质性要求作出响应。具体审查内容见投标须知22条“无效投标的认定”。</w:t>
      </w:r>
    </w:p>
    <w:p w14:paraId="76FC2583">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评标委员会决定投标文件的响应性只根据投标文件本身的内容，而不寻求外部证据。</w:t>
      </w:r>
    </w:p>
    <w:p w14:paraId="233D9AC3">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如果投标文件没有实质上响应采购文件的要求，评标委员会将判定无效，投标人不得通过修改或撤销不合要求的偏离或保留而使其投标成为实质性响应的投标。</w:t>
      </w:r>
    </w:p>
    <w:p w14:paraId="24295A10">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21.4.2澄清有关问题。在评标期间，对投标文件中含义不明确、同类问题表述不一致或者有明显文字和计算错误的内容，评标委员会可以书面形式（或有效电子数据电文）要求投标人作出必要的澄清、说明或者纠正。投标人的澄清、说明或者补正不得超出投标文件的范围或者改变投标文件的实质性内容。</w:t>
      </w:r>
    </w:p>
    <w:p w14:paraId="419804F9">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投标供应商的澄清、说明或者补正应当由法定代表人或其授权的代表签字（或加盖公章）后扫描上传提交。</w:t>
      </w:r>
    </w:p>
    <w:p w14:paraId="0CE4CCB5">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授权代表对澄清、说明或者补正内容未签字确认的，将自行承担由此可能导致的对其不利的评审结果，评标委员会按少数服从多数原则对相关内容进行评判。</w:t>
      </w:r>
    </w:p>
    <w:p w14:paraId="6CF9B4E5">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除邮件交互外，如政采云平台提供信息发布、澄清说明、数据交换等操作方式的，或者政采云系统平台有新的操作流程的，按其规定。</w:t>
      </w:r>
    </w:p>
    <w:p w14:paraId="36E388FC">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21.4.3修正原则</w:t>
      </w:r>
    </w:p>
    <w:p w14:paraId="289B8098">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投标文件报价出现前后不一致的，按照下列规定修正：</w:t>
      </w:r>
    </w:p>
    <w:p w14:paraId="42EDC3C3">
      <w:pPr>
        <w:numPr>
          <w:ilvl w:val="0"/>
          <w:numId w:val="11"/>
        </w:numPr>
        <w:tabs>
          <w:tab w:val="left" w:pos="630"/>
          <w:tab w:val="left" w:pos="840"/>
          <w:tab w:val="left" w:pos="1050"/>
        </w:tabs>
        <w:adjustRightInd w:val="0"/>
        <w:snapToGrid w:val="0"/>
        <w:spacing w:line="360" w:lineRule="auto"/>
        <w:ind w:left="0" w:firstLine="635"/>
        <w:jc w:val="left"/>
        <w:rPr>
          <w:rFonts w:ascii="宋体" w:hAnsi="宋体" w:cs="宋体"/>
          <w:color w:val="auto"/>
          <w:szCs w:val="21"/>
          <w:highlight w:val="none"/>
        </w:rPr>
      </w:pPr>
      <w:r>
        <w:rPr>
          <w:rFonts w:hint="eastAsia" w:ascii="宋体" w:hAnsi="宋体" w:cs="宋体"/>
          <w:color w:val="auto"/>
          <w:szCs w:val="21"/>
          <w:highlight w:val="none"/>
        </w:rPr>
        <w:t>投标文件中开标一览表(报价表)内容与投标文件中相应内容不一致的，以开标一览表(报价表)为准；</w:t>
      </w:r>
    </w:p>
    <w:p w14:paraId="22733E88">
      <w:pPr>
        <w:numPr>
          <w:ilvl w:val="0"/>
          <w:numId w:val="11"/>
        </w:numPr>
        <w:tabs>
          <w:tab w:val="left" w:pos="630"/>
          <w:tab w:val="left" w:pos="840"/>
          <w:tab w:val="left" w:pos="1050"/>
        </w:tabs>
        <w:adjustRightInd w:val="0"/>
        <w:snapToGrid w:val="0"/>
        <w:spacing w:line="360" w:lineRule="auto"/>
        <w:ind w:left="0" w:firstLine="635"/>
        <w:jc w:val="left"/>
        <w:rPr>
          <w:rFonts w:ascii="宋体" w:hAnsi="宋体" w:cs="宋体"/>
          <w:color w:val="auto"/>
          <w:szCs w:val="21"/>
          <w:highlight w:val="none"/>
        </w:rPr>
      </w:pPr>
      <w:r>
        <w:rPr>
          <w:rFonts w:hint="eastAsia" w:ascii="宋体" w:hAnsi="宋体" w:cs="宋体"/>
          <w:color w:val="auto"/>
          <w:szCs w:val="21"/>
          <w:highlight w:val="none"/>
        </w:rPr>
        <w:t>大写金额和小写金额不一致的，以大写金额为准；</w:t>
      </w:r>
    </w:p>
    <w:p w14:paraId="006E5F61">
      <w:pPr>
        <w:numPr>
          <w:ilvl w:val="0"/>
          <w:numId w:val="11"/>
        </w:numPr>
        <w:tabs>
          <w:tab w:val="left" w:pos="630"/>
          <w:tab w:val="left" w:pos="840"/>
          <w:tab w:val="left" w:pos="1050"/>
        </w:tabs>
        <w:adjustRightInd w:val="0"/>
        <w:snapToGrid w:val="0"/>
        <w:spacing w:line="360" w:lineRule="auto"/>
        <w:ind w:left="0" w:firstLine="635"/>
        <w:jc w:val="left"/>
        <w:rPr>
          <w:rFonts w:ascii="宋体" w:hAnsi="宋体" w:cs="宋体"/>
          <w:color w:val="auto"/>
          <w:szCs w:val="21"/>
          <w:highlight w:val="none"/>
        </w:rPr>
      </w:pPr>
      <w:r>
        <w:rPr>
          <w:rFonts w:hint="eastAsia" w:ascii="宋体" w:hAnsi="宋体" w:cs="宋体"/>
          <w:color w:val="auto"/>
          <w:szCs w:val="21"/>
          <w:highlight w:val="none"/>
        </w:rPr>
        <w:t>单价金额小数点或者百分比有明显错位的，以开标一览表的总价为准，并修改单价；</w:t>
      </w:r>
    </w:p>
    <w:p w14:paraId="607B4F92">
      <w:pPr>
        <w:numPr>
          <w:ilvl w:val="0"/>
          <w:numId w:val="11"/>
        </w:numPr>
        <w:tabs>
          <w:tab w:val="left" w:pos="630"/>
          <w:tab w:val="left" w:pos="840"/>
          <w:tab w:val="left" w:pos="1050"/>
        </w:tabs>
        <w:adjustRightInd w:val="0"/>
        <w:snapToGrid w:val="0"/>
        <w:spacing w:line="360" w:lineRule="auto"/>
        <w:ind w:left="0" w:firstLine="635"/>
        <w:jc w:val="left"/>
        <w:rPr>
          <w:rFonts w:ascii="宋体" w:hAnsi="宋体" w:cs="宋体"/>
          <w:color w:val="auto"/>
          <w:szCs w:val="21"/>
          <w:highlight w:val="none"/>
        </w:rPr>
      </w:pPr>
      <w:r>
        <w:rPr>
          <w:rFonts w:hint="eastAsia" w:ascii="宋体" w:hAnsi="宋体" w:cs="宋体"/>
          <w:color w:val="auto"/>
          <w:szCs w:val="21"/>
          <w:highlight w:val="none"/>
        </w:rPr>
        <w:t>总价金额与按单价汇总金额不一致的，以单价金额计算结果为准。</w:t>
      </w:r>
    </w:p>
    <w:p w14:paraId="2F80474B">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B8B1B0">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21.4.4比较与评价。</w:t>
      </w:r>
    </w:p>
    <w:p w14:paraId="4DEF6B9E">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按采购文件中规定的评标方法和标准，对资格性检查和符合性检查合格的投标文件进行商务和技术评估，综合比较与评价。</w:t>
      </w:r>
    </w:p>
    <w:p w14:paraId="53034D0F">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21.4.5按采购文件中规定的评标方法和标准，对投标人进行排序，并推荐中标候选人。</w:t>
      </w:r>
    </w:p>
    <w:p w14:paraId="77C89A09">
      <w:pPr>
        <w:adjustRightInd w:val="0"/>
        <w:snapToGrid w:val="0"/>
        <w:spacing w:line="360" w:lineRule="auto"/>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21.4.6编写评标报告</w:t>
      </w:r>
      <w:r>
        <w:rPr>
          <w:rFonts w:hint="eastAsia" w:ascii="宋体" w:hAnsi="宋体" w:cs="宋体"/>
          <w:b/>
          <w:color w:val="auto"/>
          <w:szCs w:val="21"/>
          <w:highlight w:val="none"/>
        </w:rPr>
        <w:t>。</w:t>
      </w:r>
    </w:p>
    <w:p w14:paraId="185770FF">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22．无效投标的认定</w:t>
      </w:r>
    </w:p>
    <w:p w14:paraId="2232DBB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评审时，对投标人的技术文件、商务</w:t>
      </w:r>
      <w:r>
        <w:rPr>
          <w:rFonts w:hint="eastAsia" w:ascii="宋体" w:hAnsi="宋体" w:cs="宋体"/>
          <w:snapToGrid w:val="0"/>
          <w:color w:val="auto"/>
          <w:kern w:val="0"/>
          <w:szCs w:val="21"/>
          <w:highlight w:val="none"/>
          <w:lang w:val="en-US" w:eastAsia="zh-CN"/>
        </w:rPr>
        <w:t>文件</w:t>
      </w:r>
      <w:r>
        <w:rPr>
          <w:rFonts w:hint="eastAsia" w:ascii="宋体" w:hAnsi="宋体" w:cs="宋体"/>
          <w:snapToGrid w:val="0"/>
          <w:color w:val="auto"/>
          <w:kern w:val="0"/>
          <w:szCs w:val="21"/>
          <w:highlight w:val="none"/>
        </w:rPr>
        <w:t>、报价和其他评审要求等，评标委员会将逐项进行审查、比较，对于实质性偏离或符合无效条款的，应当询问投标人，并允许投标人进行陈述申辩，但不允许其对偏离条款进行补充、修正或撤回。但经评标委员会认定属于投标人疏忽、笔误所造成的差错，应当允许其在评标结束之前进行修改或者补正（可以是复印件、传真件等）。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14:paraId="22D6B60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22.1如发现下列情形之一的，投标文件将被视为无效投标：</w:t>
      </w:r>
    </w:p>
    <w:p w14:paraId="1F740F66">
      <w:pPr>
        <w:numPr>
          <w:ilvl w:val="0"/>
          <w:numId w:val="12"/>
        </w:numPr>
        <w:tabs>
          <w:tab w:val="clear" w:pos="1273"/>
        </w:tabs>
        <w:adjustRightInd w:val="0"/>
        <w:snapToGrid w:val="0"/>
        <w:spacing w:line="360" w:lineRule="auto"/>
        <w:ind w:left="0" w:firstLine="36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未按时上传或规定时间内解密失败且备份投标文件未提交或备份投标文件已提交但解密失败的；</w:t>
      </w:r>
    </w:p>
    <w:p w14:paraId="4E6CDEBC">
      <w:pPr>
        <w:numPr>
          <w:ilvl w:val="0"/>
          <w:numId w:val="12"/>
        </w:numPr>
        <w:tabs>
          <w:tab w:val="clear" w:pos="1273"/>
        </w:tabs>
        <w:adjustRightInd w:val="0"/>
        <w:snapToGrid w:val="0"/>
        <w:spacing w:line="360" w:lineRule="auto"/>
        <w:ind w:left="0" w:firstLine="36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资格文件不全的或者不符合采购文件标明的资格要求的；</w:t>
      </w:r>
    </w:p>
    <w:p w14:paraId="70805EE8">
      <w:pPr>
        <w:numPr>
          <w:ilvl w:val="0"/>
          <w:numId w:val="12"/>
        </w:numPr>
        <w:tabs>
          <w:tab w:val="clear" w:pos="1273"/>
        </w:tabs>
        <w:adjustRightInd w:val="0"/>
        <w:snapToGrid w:val="0"/>
        <w:spacing w:line="360" w:lineRule="auto"/>
        <w:ind w:left="0" w:firstLine="36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投标文件中法定代表人授权书所载内容与本项目内容有异的或者法定代表人授权书未按照采购文件要求签署、盖章的；</w:t>
      </w:r>
    </w:p>
    <w:p w14:paraId="3E5E6027">
      <w:pPr>
        <w:numPr>
          <w:ilvl w:val="0"/>
          <w:numId w:val="12"/>
        </w:numPr>
        <w:tabs>
          <w:tab w:val="clear" w:pos="1273"/>
        </w:tabs>
        <w:adjustRightInd w:val="0"/>
        <w:snapToGrid w:val="0"/>
        <w:spacing w:line="360" w:lineRule="auto"/>
        <w:ind w:left="0" w:firstLine="36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投标文件内容弄虚作假的；</w:t>
      </w:r>
    </w:p>
    <w:p w14:paraId="318BCD93">
      <w:pPr>
        <w:numPr>
          <w:ilvl w:val="0"/>
          <w:numId w:val="12"/>
        </w:numPr>
        <w:tabs>
          <w:tab w:val="clear" w:pos="1273"/>
        </w:tabs>
        <w:adjustRightInd w:val="0"/>
        <w:snapToGrid w:val="0"/>
        <w:spacing w:line="360" w:lineRule="auto"/>
        <w:ind w:left="0" w:firstLine="36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未按采购文件中明确的要求签署、盖章的；</w:t>
      </w:r>
    </w:p>
    <w:p w14:paraId="6AD186F6">
      <w:pPr>
        <w:numPr>
          <w:ilvl w:val="0"/>
          <w:numId w:val="12"/>
        </w:numPr>
        <w:tabs>
          <w:tab w:val="clear" w:pos="1273"/>
        </w:tabs>
        <w:adjustRightInd w:val="0"/>
        <w:snapToGrid w:val="0"/>
        <w:spacing w:line="360" w:lineRule="auto"/>
        <w:ind w:left="0" w:firstLine="360"/>
        <w:jc w:val="left"/>
        <w:rPr>
          <w:rFonts w:ascii="宋体" w:hAnsi="宋体" w:cs="宋体"/>
          <w:b/>
          <w:snapToGrid w:val="0"/>
          <w:color w:val="auto"/>
          <w:kern w:val="0"/>
          <w:szCs w:val="21"/>
          <w:highlight w:val="none"/>
        </w:rPr>
      </w:pPr>
      <w:r>
        <w:rPr>
          <w:rFonts w:hint="eastAsia" w:ascii="宋体" w:hAnsi="宋体" w:cs="宋体"/>
          <w:b/>
          <w:bCs/>
          <w:color w:val="auto"/>
          <w:szCs w:val="21"/>
          <w:highlight w:val="none"/>
        </w:rPr>
        <w:t>不响应采购文件标注“▲”条款要求的；</w:t>
      </w:r>
    </w:p>
    <w:p w14:paraId="2307AF02">
      <w:pPr>
        <w:numPr>
          <w:ilvl w:val="0"/>
          <w:numId w:val="12"/>
        </w:numPr>
        <w:tabs>
          <w:tab w:val="clear" w:pos="1273"/>
        </w:tabs>
        <w:adjustRightInd w:val="0"/>
        <w:snapToGrid w:val="0"/>
        <w:spacing w:line="360" w:lineRule="auto"/>
        <w:ind w:left="0" w:firstLine="360"/>
        <w:jc w:val="left"/>
        <w:rPr>
          <w:rFonts w:ascii="宋体" w:hAnsi="宋体" w:cs="宋体"/>
          <w:b/>
          <w:bCs/>
          <w:color w:val="auto"/>
          <w:szCs w:val="21"/>
          <w:highlight w:val="none"/>
        </w:rPr>
      </w:pPr>
      <w:r>
        <w:rPr>
          <w:rFonts w:hint="eastAsia" w:ascii="宋体" w:hAnsi="宋体" w:cs="宋体"/>
          <w:b/>
          <w:bCs/>
          <w:color w:val="auto"/>
          <w:szCs w:val="21"/>
          <w:highlight w:val="none"/>
        </w:rPr>
        <w:t>投标有效期、服务期（交付期限）等条款不能满足采购文件要求的；</w:t>
      </w:r>
    </w:p>
    <w:p w14:paraId="7673F78A">
      <w:pPr>
        <w:numPr>
          <w:ilvl w:val="0"/>
          <w:numId w:val="12"/>
        </w:numPr>
        <w:tabs>
          <w:tab w:val="clear" w:pos="1273"/>
        </w:tabs>
        <w:adjustRightInd w:val="0"/>
        <w:snapToGrid w:val="0"/>
        <w:spacing w:line="360" w:lineRule="auto"/>
        <w:ind w:left="0" w:firstLine="360"/>
        <w:jc w:val="left"/>
        <w:rPr>
          <w:rFonts w:ascii="宋体" w:hAnsi="宋体" w:cs="宋体"/>
          <w:b/>
          <w:bCs/>
          <w:color w:val="auto"/>
          <w:szCs w:val="21"/>
          <w:highlight w:val="none"/>
        </w:rPr>
      </w:pPr>
      <w:r>
        <w:rPr>
          <w:rFonts w:hint="eastAsia" w:ascii="宋体" w:hAnsi="宋体" w:cs="宋体"/>
          <w:b/>
          <w:bCs/>
          <w:color w:val="auto"/>
          <w:szCs w:val="21"/>
          <w:highlight w:val="none"/>
        </w:rPr>
        <w:t>开标一览表投标报价为零的（包括投标文件中标明：免费或赠予）或其报价（大写）无法按正常书写方式进行报价唱标的或无投标报价的；</w:t>
      </w:r>
    </w:p>
    <w:p w14:paraId="38F8A843">
      <w:pPr>
        <w:numPr>
          <w:ilvl w:val="0"/>
          <w:numId w:val="12"/>
        </w:numPr>
        <w:tabs>
          <w:tab w:val="clear" w:pos="1273"/>
        </w:tabs>
        <w:adjustRightInd w:val="0"/>
        <w:snapToGrid w:val="0"/>
        <w:spacing w:line="360" w:lineRule="auto"/>
        <w:ind w:left="0" w:firstLine="360"/>
        <w:jc w:val="left"/>
        <w:rPr>
          <w:rFonts w:ascii="宋体" w:hAnsi="宋体" w:cs="宋体"/>
          <w:b/>
          <w:bCs/>
          <w:color w:val="auto"/>
          <w:szCs w:val="21"/>
          <w:highlight w:val="none"/>
        </w:rPr>
      </w:pPr>
      <w:r>
        <w:rPr>
          <w:rFonts w:hint="eastAsia" w:ascii="宋体" w:hAnsi="宋体" w:cs="宋体"/>
          <w:b/>
          <w:bCs/>
          <w:color w:val="auto"/>
          <w:szCs w:val="21"/>
          <w:highlight w:val="none"/>
        </w:rPr>
        <w:t>政采云平台填报的开标一览表中的价格与上传的报价文件中开标一览表的报价不一致的；</w:t>
      </w:r>
    </w:p>
    <w:p w14:paraId="4B51487E">
      <w:pPr>
        <w:numPr>
          <w:ilvl w:val="0"/>
          <w:numId w:val="12"/>
        </w:numPr>
        <w:tabs>
          <w:tab w:val="clear" w:pos="1273"/>
        </w:tabs>
        <w:adjustRightInd w:val="0"/>
        <w:snapToGrid w:val="0"/>
        <w:spacing w:line="360" w:lineRule="auto"/>
        <w:ind w:left="0" w:firstLine="360"/>
        <w:jc w:val="left"/>
        <w:rPr>
          <w:rFonts w:ascii="宋体" w:hAnsi="宋体" w:cs="宋体"/>
          <w:b/>
          <w:bCs/>
          <w:color w:val="auto"/>
          <w:szCs w:val="21"/>
          <w:highlight w:val="none"/>
        </w:rPr>
      </w:pPr>
      <w:r>
        <w:rPr>
          <w:rFonts w:hint="eastAsia" w:ascii="宋体" w:hAnsi="宋体" w:cs="宋体"/>
          <w:b/>
          <w:snapToGrid w:val="0"/>
          <w:color w:val="auto"/>
          <w:kern w:val="0"/>
          <w:highlight w:val="none"/>
        </w:rPr>
        <w:t>投标人提交两份或多份内容不同的报价文件，或在一份报价文件中对同一内容报有两个或多个报价，且未声明哪一个为最终报价的；</w:t>
      </w:r>
    </w:p>
    <w:p w14:paraId="4B4A1EA9">
      <w:pPr>
        <w:numPr>
          <w:ilvl w:val="0"/>
          <w:numId w:val="12"/>
        </w:numPr>
        <w:tabs>
          <w:tab w:val="clear" w:pos="1273"/>
        </w:tabs>
        <w:adjustRightInd w:val="0"/>
        <w:snapToGrid w:val="0"/>
        <w:spacing w:line="360" w:lineRule="auto"/>
        <w:ind w:left="0" w:firstLine="360"/>
        <w:jc w:val="left"/>
        <w:rPr>
          <w:rFonts w:ascii="宋体" w:hAnsi="宋体" w:cs="宋体"/>
          <w:b/>
          <w:snapToGrid w:val="0"/>
          <w:color w:val="auto"/>
          <w:kern w:val="0"/>
          <w:highlight w:val="none"/>
        </w:rPr>
      </w:pPr>
      <w:r>
        <w:rPr>
          <w:rFonts w:hint="eastAsia" w:ascii="宋体" w:hAnsi="宋体" w:cs="宋体"/>
          <w:b/>
          <w:snapToGrid w:val="0"/>
          <w:color w:val="auto"/>
          <w:kern w:val="0"/>
          <w:highlight w:val="none"/>
        </w:rPr>
        <w:t>投标人的报价明显低于其他通过符合性审查投标人的报价，有可能影响服务质量或者不能诚信履约，未能按评标委员会要求其在评标现场合理的时间内提供书面说明及相关证明材料以证明其报价合理性的；</w:t>
      </w:r>
    </w:p>
    <w:p w14:paraId="19951720">
      <w:pPr>
        <w:numPr>
          <w:ilvl w:val="0"/>
          <w:numId w:val="12"/>
        </w:numPr>
        <w:tabs>
          <w:tab w:val="clear" w:pos="1273"/>
        </w:tabs>
        <w:adjustRightInd w:val="0"/>
        <w:snapToGrid w:val="0"/>
        <w:spacing w:line="360" w:lineRule="auto"/>
        <w:ind w:left="0" w:firstLine="360"/>
        <w:jc w:val="left"/>
        <w:rPr>
          <w:rFonts w:ascii="宋体" w:hAnsi="宋体" w:cs="宋体"/>
          <w:b/>
          <w:snapToGrid w:val="0"/>
          <w:color w:val="auto"/>
          <w:kern w:val="0"/>
          <w:highlight w:val="none"/>
        </w:rPr>
      </w:pPr>
      <w:r>
        <w:rPr>
          <w:rFonts w:hint="eastAsia" w:ascii="宋体" w:hAnsi="宋体" w:cs="宋体"/>
          <w:b/>
          <w:snapToGrid w:val="0"/>
          <w:color w:val="auto"/>
          <w:kern w:val="0"/>
          <w:highlight w:val="none"/>
        </w:rPr>
        <w:t>投标报价超过采购文件中规定的预算金额的；</w:t>
      </w:r>
    </w:p>
    <w:p w14:paraId="5D588072">
      <w:pPr>
        <w:numPr>
          <w:ilvl w:val="0"/>
          <w:numId w:val="12"/>
        </w:numPr>
        <w:tabs>
          <w:tab w:val="clear" w:pos="1273"/>
        </w:tabs>
        <w:adjustRightInd w:val="0"/>
        <w:snapToGrid w:val="0"/>
        <w:spacing w:line="360" w:lineRule="auto"/>
        <w:ind w:left="0" w:firstLine="360"/>
        <w:jc w:val="left"/>
        <w:rPr>
          <w:rFonts w:ascii="宋体" w:hAnsi="宋体" w:cs="宋体"/>
          <w:b/>
          <w:bCs/>
          <w:snapToGrid w:val="0"/>
          <w:color w:val="auto"/>
          <w:kern w:val="0"/>
          <w:szCs w:val="21"/>
          <w:highlight w:val="none"/>
        </w:rPr>
      </w:pPr>
      <w:r>
        <w:rPr>
          <w:rFonts w:hint="eastAsia" w:ascii="宋体" w:hAnsi="宋体" w:cs="宋体"/>
          <w:b/>
          <w:bCs/>
          <w:color w:val="auto"/>
          <w:szCs w:val="21"/>
          <w:highlight w:val="none"/>
        </w:rPr>
        <w:t>存在法律、法规规定及采购文件规定的其它无效情形的。</w:t>
      </w:r>
    </w:p>
    <w:p w14:paraId="52743C1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22.2有下列情形之一的，视为投标人串通投标，其投标无效：</w:t>
      </w:r>
    </w:p>
    <w:p w14:paraId="57F6972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（1）不同投标人的投标文件由同一单位或者个人编制；</w:t>
      </w:r>
    </w:p>
    <w:p w14:paraId="4FCBDA2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（2）不同投标人委托同一单位或者个人办理投标事宜；</w:t>
      </w:r>
    </w:p>
    <w:p w14:paraId="6A9B335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（3）不同投标人的投标文件载明的项目管理成员或者联系人员为同一人；</w:t>
      </w:r>
    </w:p>
    <w:p w14:paraId="30344CD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（4）不同投标人的投标文件异常一致或者投标报价呈规律性差异；</w:t>
      </w:r>
    </w:p>
    <w:p w14:paraId="1984715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（5）不同投标人的投标文件相互混装。</w:t>
      </w:r>
    </w:p>
    <w:p w14:paraId="73893941">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23．废标</w:t>
      </w:r>
    </w:p>
    <w:p w14:paraId="02BA738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23.1根据《中华人民共和国政府采购法》第三十六条，出现下列情形之一的，应予以废标：</w:t>
      </w:r>
    </w:p>
    <w:p w14:paraId="7179D5F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（1）符合专业条件的供应商或者对采购文件作实质响应的供应商不足三家的；</w:t>
      </w:r>
    </w:p>
    <w:p w14:paraId="1ECD60F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（2）出现影响采购公正的违法、违规行为的；</w:t>
      </w:r>
    </w:p>
    <w:p w14:paraId="5DDB7B7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（3）所有投标人的报价均超过了采购预算，采购人不能支付的；</w:t>
      </w:r>
    </w:p>
    <w:p w14:paraId="090AA0B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（4）因重大变故，采购任务取消的。</w:t>
      </w:r>
    </w:p>
    <w:p w14:paraId="4390280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23.2采购过程中出现以下情形，导致电子交易平台无法正常运行，或者无法保证电子交易的公平、公正和安全时，采购组织机构可中止电子交易活动：</w:t>
      </w:r>
    </w:p>
    <w:p w14:paraId="7C80790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（1）电子交易平台发生故障而无法登录访问的； </w:t>
      </w:r>
    </w:p>
    <w:p w14:paraId="5177D04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（2）电子交易平台应用或数据库出现错误，不能进行正常操作的；</w:t>
      </w:r>
    </w:p>
    <w:p w14:paraId="50A1BA9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（3）电子交易平台发现严重安全漏洞，有潜在泄密危险的；</w:t>
      </w:r>
    </w:p>
    <w:p w14:paraId="4DB61A3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（4）病毒发作导致不能进行正常操作的； </w:t>
      </w:r>
    </w:p>
    <w:p w14:paraId="162A6AF1">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（5）其他无法保证电子交易的公平、公正和安全的情况。</w:t>
      </w:r>
    </w:p>
    <w:p w14:paraId="34DBBF7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573D11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23.3 废标后，采购人应当将废标理由通知所有投标人并重新组织招标；或者经主管部门批准，采取其他方式组织采购。</w:t>
      </w:r>
    </w:p>
    <w:p w14:paraId="559E71E1">
      <w:pPr>
        <w:pStyle w:val="5"/>
        <w:snapToGrid w:val="0"/>
        <w:spacing w:before="0" w:after="0" w:line="360" w:lineRule="auto"/>
        <w:rPr>
          <w:rFonts w:ascii="宋体" w:hAnsi="宋体" w:eastAsia="宋体" w:cs="宋体"/>
          <w:color w:val="auto"/>
          <w:sz w:val="21"/>
          <w:szCs w:val="21"/>
          <w:highlight w:val="none"/>
        </w:rPr>
      </w:pPr>
      <w:bookmarkStart w:id="59" w:name="_Toc240450082"/>
      <w:bookmarkStart w:id="60" w:name="_Toc85359511"/>
      <w:bookmarkStart w:id="61" w:name="_Toc251566655"/>
      <w:bookmarkStart w:id="62" w:name="_Toc29257"/>
      <w:bookmarkStart w:id="63" w:name="_Toc26186"/>
      <w:bookmarkStart w:id="64" w:name="_Toc22903"/>
      <w:r>
        <w:rPr>
          <w:rFonts w:hint="eastAsia" w:ascii="宋体" w:hAnsi="宋体" w:eastAsia="宋体" w:cs="宋体"/>
          <w:color w:val="auto"/>
          <w:sz w:val="21"/>
          <w:szCs w:val="21"/>
          <w:highlight w:val="none"/>
        </w:rPr>
        <w:t>六、确定中标人及授予合同</w:t>
      </w:r>
      <w:bookmarkEnd w:id="59"/>
      <w:bookmarkEnd w:id="60"/>
      <w:bookmarkEnd w:id="61"/>
      <w:bookmarkEnd w:id="62"/>
      <w:bookmarkEnd w:id="63"/>
      <w:bookmarkEnd w:id="64"/>
    </w:p>
    <w:p w14:paraId="39AB9D26">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24．中标人的确定</w:t>
      </w:r>
    </w:p>
    <w:p w14:paraId="15FE823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24.1 采购代理机构应当自评审结束之日起2个工作日内将评审报告送交采购人。</w:t>
      </w:r>
    </w:p>
    <w:p w14:paraId="44874FA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采购人应当自收到评标报告之日起</w:t>
      </w:r>
      <w:r>
        <w:rPr>
          <w:rFonts w:hint="eastAsia" w:ascii="仿宋_GB2312" w:hAnsi="宋体" w:eastAsia="仿宋_GB2312" w:cs="宋体"/>
          <w:snapToGrid w:val="0"/>
          <w:color w:val="auto"/>
          <w:kern w:val="0"/>
          <w:szCs w:val="21"/>
          <w:highlight w:val="none"/>
        </w:rPr>
        <w:t>５</w:t>
      </w:r>
      <w:r>
        <w:rPr>
          <w:rFonts w:hint="eastAsia" w:ascii="宋体" w:hAnsi="宋体" w:cs="宋体"/>
          <w:snapToGrid w:val="0"/>
          <w:color w:val="auto"/>
          <w:kern w:val="0"/>
          <w:szCs w:val="21"/>
          <w:highlight w:val="none"/>
        </w:rPr>
        <w:t>个工作日内，在评标报告确定的中标候选人名单中按顺序确定中标人。中标候选人并列的，由采购人或者采购人委托评标委员会按照采购文件规定的方式确定中标人；采购文件未规定的，采取随机抽取的方式确定。</w:t>
      </w:r>
    </w:p>
    <w:p w14:paraId="63F7BCC2">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5189583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采购人或者采购代理机构应当自中标人确定之日起2个工作日内，在省级以上财政部门指定的媒体上公告中标结果，采购文件应当随中标结果同时公告。</w:t>
      </w:r>
    </w:p>
    <w:p w14:paraId="3DD363A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公告期限为1个工作日。</w:t>
      </w:r>
    </w:p>
    <w:p w14:paraId="4986C5D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24.2 除国务院财政部门规定的情形外，采购人、采购代理机构不得以任何理由组织重新评审。采购人、采购代理机构按照国务院财政部门的规定组织重新评审的，应当书面报告本级人民政府财政部门。</w:t>
      </w:r>
    </w:p>
    <w:p w14:paraId="77AC7B21">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24.3中标通知书发出后，采购人不得违法改变中标结果，中标人无正当理由不得放弃中标。 </w:t>
      </w:r>
    </w:p>
    <w:p w14:paraId="76F3E402">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25．合同授予</w:t>
      </w:r>
    </w:p>
    <w:p w14:paraId="6D5B57C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25.1 本项目的合同将授予按本须知第24.1款所确定的中标人。</w:t>
      </w:r>
    </w:p>
    <w:p w14:paraId="52DC5A76">
      <w:pPr>
        <w:pStyle w:val="57"/>
        <w:ind w:right="0" w:firstLine="420"/>
        <w:rPr>
          <w:color w:val="auto"/>
          <w:highlight w:val="none"/>
        </w:rPr>
      </w:pPr>
      <w:r>
        <w:rPr>
          <w:rFonts w:hint="eastAsia"/>
          <w:color w:val="auto"/>
          <w:sz w:val="21"/>
          <w:szCs w:val="21"/>
          <w:highlight w:val="none"/>
        </w:rPr>
        <w:t>中标人按规定的日期、时间、地点，由法定代表人或其授权代表与采购人代表签订合同。</w:t>
      </w:r>
    </w:p>
    <w:p w14:paraId="68B7E9E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25.2 中标或者成交供应商拒绝与采购人签订合同的，采购人可以按照评审报告推荐的中标或者成交候选人名单排序，确定下一候选人为中标或者成交供应商，也可以重新开展政府采购活动。</w:t>
      </w:r>
    </w:p>
    <w:p w14:paraId="582898A2">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26．签订合同</w:t>
      </w:r>
    </w:p>
    <w:p w14:paraId="6062856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26.1 中标人应按中标通知书规定的时间与采购人签订合同。中标人在领取中标通知书时须向采购人提供一份关于本项目在实施过程中的相关人员的通讯录作为合同附件。</w:t>
      </w:r>
    </w:p>
    <w:p w14:paraId="4BA24F0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26.2 中标人如不遵守采购文件或投标文件各项条款的邀约与要约，或在接到中标通知书后借故拖延，拒签合同的，采购人将依据国家和采购文件有关规定要求中标人予以赔偿，同时采购人可根据25.2的原则另行选择中标人；</w:t>
      </w:r>
    </w:p>
    <w:p w14:paraId="44A19D4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26.3 采购文件、中标人的投标文件及投标修改文件、评标过程中有关澄清文件及经投标人法定代表人或授权代表签字确认的询标回复和承诺及中标通知书均作为合同组成部分。</w:t>
      </w:r>
    </w:p>
    <w:p w14:paraId="6FB0E986">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27．履约保证金</w:t>
      </w:r>
    </w:p>
    <w:p w14:paraId="33B08AD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27.1本项目履约保证金详见前附表，但投标人如有下列情况，投标人将承担赔偿责任，赔偿金额为项目预算金额的</w:t>
      </w:r>
      <w:r>
        <w:rPr>
          <w:rFonts w:hint="eastAsia" w:ascii="宋体" w:hAnsi="宋体" w:cs="宋体"/>
          <w:snapToGrid w:val="0"/>
          <w:color w:val="auto"/>
          <w:kern w:val="0"/>
          <w:szCs w:val="21"/>
          <w:highlight w:val="none"/>
          <w:lang w:val="en-US" w:eastAsia="zh-CN"/>
        </w:rPr>
        <w:t>2</w:t>
      </w:r>
      <w:r>
        <w:rPr>
          <w:rFonts w:hint="eastAsia" w:ascii="宋体" w:hAnsi="宋体" w:cs="宋体"/>
          <w:snapToGrid w:val="0"/>
          <w:color w:val="auto"/>
          <w:kern w:val="0"/>
          <w:szCs w:val="21"/>
          <w:highlight w:val="none"/>
        </w:rPr>
        <w:t>%，如实际损失超过前述金额的，投标人需赔偿超过前述金额部分的实际损失。</w:t>
      </w:r>
    </w:p>
    <w:p w14:paraId="410AF8B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（1）投标人在投标截止时间后撤销投标文件的；</w:t>
      </w:r>
    </w:p>
    <w:p w14:paraId="1662F32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（2）投标人未按规定签订合同或转让中标的；</w:t>
      </w:r>
    </w:p>
    <w:p w14:paraId="5415D89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（3）其他投标人违反《中华人民共和国政府采购法》等法律法规规定，给采购人造成损失的。</w:t>
      </w:r>
    </w:p>
    <w:p w14:paraId="471EA5B8">
      <w:pPr>
        <w:adjustRightInd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28.采购代理服务费</w:t>
      </w:r>
    </w:p>
    <w:p w14:paraId="733A5BD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snapToGrid w:val="0"/>
          <w:color w:val="auto"/>
          <w:kern w:val="0"/>
          <w:szCs w:val="21"/>
          <w:highlight w:val="none"/>
        </w:rPr>
        <w:t>本项目的采购代理费由中标人支付，</w:t>
      </w:r>
      <w:r>
        <w:rPr>
          <w:rFonts w:hint="eastAsia" w:ascii="宋体" w:hAnsi="宋体" w:cs="宋体"/>
          <w:color w:val="auto"/>
          <w:szCs w:val="21"/>
          <w:highlight w:val="none"/>
        </w:rPr>
        <w:t>收费标准</w:t>
      </w:r>
      <w:r>
        <w:rPr>
          <w:rFonts w:hint="eastAsia" w:ascii="宋体" w:hAnsi="宋体" w:cs="宋体"/>
          <w:color w:val="auto"/>
          <w:szCs w:val="21"/>
          <w:highlight w:val="none"/>
          <w:lang w:val="en-US" w:eastAsia="zh-CN"/>
        </w:rPr>
        <w:t>参照原国家计委2002【1980】号文件计取，由投标人计入总报价中</w:t>
      </w:r>
      <w:r>
        <w:rPr>
          <w:rFonts w:hint="eastAsia" w:ascii="宋体" w:hAnsi="宋体" w:cs="宋体"/>
          <w:color w:val="auto"/>
          <w:szCs w:val="21"/>
          <w:highlight w:val="none"/>
        </w:rPr>
        <w:t>。</w:t>
      </w:r>
    </w:p>
    <w:p w14:paraId="0E5DFBAF">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29.质疑与投诉</w:t>
      </w:r>
    </w:p>
    <w:p w14:paraId="7135984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根据《中华人民共和国政府采购法》、《财政部关于加强政府采购供应商投诉受理审查工作的通知》(财库〔2007〕1号)和《政府采购质疑和投诉办法》（财政部令第94号）的规定，政府采购供应商（投标人，下同）可以依法提起质疑和投诉。</w:t>
      </w:r>
    </w:p>
    <w:p w14:paraId="32CC153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质疑函范本、投诉书范本请到</w:t>
      </w:r>
      <w:r>
        <w:rPr>
          <w:rFonts w:hint="eastAsia" w:ascii="宋体" w:hAnsi="宋体" w:cs="宋体"/>
          <w:snapToGrid w:val="0"/>
          <w:color w:val="auto"/>
          <w:kern w:val="0"/>
          <w:szCs w:val="21"/>
          <w:highlight w:val="none"/>
          <w:lang w:eastAsia="zh-CN"/>
        </w:rPr>
        <w:t>新疆政府采购网</w:t>
      </w:r>
      <w:r>
        <w:rPr>
          <w:rFonts w:hint="eastAsia" w:ascii="宋体" w:hAnsi="宋体" w:cs="宋体"/>
          <w:snapToGrid w:val="0"/>
          <w:color w:val="auto"/>
          <w:kern w:val="0"/>
          <w:szCs w:val="21"/>
          <w:highlight w:val="none"/>
        </w:rPr>
        <w:t>下载专区下载。</w:t>
      </w:r>
    </w:p>
    <w:p w14:paraId="05D5D29D">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29.1供应商询问</w:t>
      </w:r>
    </w:p>
    <w:p w14:paraId="15FE2AE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供应商对政府采购活动事项有疑问的，可以向采购机构提出询问，采购人或者采购代理机构应当在3个工作日内对供应商依法提出的询问作出答复，但答复的内容不得涉及商业秘密。</w:t>
      </w:r>
    </w:p>
    <w:p w14:paraId="6C059385">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29.2供应商质疑</w:t>
      </w:r>
    </w:p>
    <w:p w14:paraId="0AEF683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29.2.1投标人认为采购文件、采购过程、中标或者成交结果使自己的权益受到损害的，可以在知道或者应知其权益受到损害之日起7个工作日内，以书面形式向采购人、采购代理机构提出质疑。</w:t>
      </w:r>
    </w:p>
    <w:p w14:paraId="02F3DBD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本项目要求投标人在法定质疑期内一次性提出针对同一采购程序环节的质疑。</w:t>
      </w:r>
    </w:p>
    <w:p w14:paraId="103B03F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29.2.2提出质疑的投标人（以下简称质疑人）应当是参与所质疑项目采购活动的投标人。</w:t>
      </w:r>
    </w:p>
    <w:p w14:paraId="3F5E9B2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潜在投标人已依法获取其可质疑的采购文件的，可以对该文件提出质疑。对采购文件提出质疑的，应当在获取采购文件或者采购文件公告期限届满之日起7个工作日内提出。</w:t>
      </w:r>
    </w:p>
    <w:p w14:paraId="019523E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29.2.3投标人提出质疑应当提交质疑函和必要的证明材料。质疑函应当包括下列内容：</w:t>
      </w:r>
    </w:p>
    <w:p w14:paraId="6E37DD8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（一）投标人的姓名或者名称、地址、邮编、联系人及联系电话；</w:t>
      </w:r>
    </w:p>
    <w:p w14:paraId="5F42648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（二）质疑项目的名称、编号；</w:t>
      </w:r>
    </w:p>
    <w:p w14:paraId="22CE5A3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（三）具体、明确的质疑事项和与质疑事项相关的请求；</w:t>
      </w:r>
    </w:p>
    <w:p w14:paraId="550061E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（四）事实依据；</w:t>
      </w:r>
    </w:p>
    <w:p w14:paraId="376294F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（五）必要的法律依据；</w:t>
      </w:r>
    </w:p>
    <w:p w14:paraId="277B393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（六）提出质疑的日期。</w:t>
      </w:r>
    </w:p>
    <w:p w14:paraId="391AF6B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投标人为自然人的，应当由本人签字；投标人为法人或者其他组织的，应当由法定代表人、主要负责人，或者其授权代表签字或者盖章，并加盖公章。</w:t>
      </w:r>
    </w:p>
    <w:p w14:paraId="2AD8758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29.2.4采购人、采购代理机构在收到法定质疑期内发出的质疑函后7个工作日内作出答复，并以书面形式通知质疑人和其他有关投标人。质疑答复的内容不得涉及商业秘密。</w:t>
      </w:r>
    </w:p>
    <w:p w14:paraId="73A2057F">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29.3供应商投诉</w:t>
      </w:r>
    </w:p>
    <w:p w14:paraId="3483188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质疑供应商对采购机构的答复不满意或者采购机构未在规定的时间内作出答复的，可以在答复期满后十五个工作日内向同级政府采购监督管理部门提出投诉。</w:t>
      </w:r>
    </w:p>
    <w:p w14:paraId="728F8DF3">
      <w:pPr>
        <w:adjustRightInd w:val="0"/>
        <w:snapToGrid w:val="0"/>
        <w:spacing w:line="360" w:lineRule="auto"/>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30．采购结束</w:t>
      </w:r>
    </w:p>
    <w:p w14:paraId="5B11DA6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30.1中标人与采购人签订合同生效后即为采购结束。</w:t>
      </w:r>
    </w:p>
    <w:p w14:paraId="56D601F2">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30.2本项目的投标文件不予退回。</w:t>
      </w:r>
    </w:p>
    <w:p w14:paraId="2399BF64">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23DE5C4F">
      <w:pPr>
        <w:pStyle w:val="4"/>
        <w:tabs>
          <w:tab w:val="right" w:leader="dot" w:pos="9000"/>
        </w:tabs>
        <w:snapToGrid w:val="0"/>
        <w:spacing w:before="0" w:after="0" w:line="360" w:lineRule="auto"/>
        <w:jc w:val="center"/>
        <w:rPr>
          <w:rFonts w:hint="eastAsia" w:ascii="宋体" w:hAnsi="宋体" w:cs="宋体"/>
          <w:color w:val="auto"/>
          <w:sz w:val="28"/>
          <w:szCs w:val="21"/>
          <w:highlight w:val="none"/>
        </w:rPr>
      </w:pPr>
      <w:r>
        <w:rPr>
          <w:rFonts w:hint="eastAsia" w:ascii="宋体" w:hAnsi="宋体" w:cs="宋体"/>
          <w:color w:val="auto"/>
          <w:sz w:val="28"/>
          <w:szCs w:val="21"/>
          <w:highlight w:val="none"/>
        </w:rPr>
        <w:br w:type="page"/>
      </w:r>
      <w:bookmarkStart w:id="65" w:name="_Toc83616202"/>
      <w:bookmarkStart w:id="66" w:name="_Toc242012796"/>
      <w:bookmarkStart w:id="67" w:name="_Toc19227"/>
      <w:bookmarkStart w:id="68" w:name="_Toc16886"/>
      <w:bookmarkStart w:id="69" w:name="_Toc31190"/>
      <w:bookmarkStart w:id="70" w:name="_Toc85359512"/>
    </w:p>
    <w:p w14:paraId="7DCAA456">
      <w:pPr>
        <w:pStyle w:val="4"/>
        <w:tabs>
          <w:tab w:val="right" w:leader="dot" w:pos="9000"/>
        </w:tabs>
        <w:snapToGrid w:val="0"/>
        <w:spacing w:before="0" w:after="0" w:line="360" w:lineRule="auto"/>
        <w:jc w:val="center"/>
        <w:rPr>
          <w:rFonts w:ascii="宋体" w:hAnsi="宋体" w:eastAsia="宋体"/>
          <w:color w:val="auto"/>
          <w:sz w:val="32"/>
          <w:highlight w:val="none"/>
        </w:rPr>
      </w:pPr>
      <w:r>
        <w:rPr>
          <w:rFonts w:hint="eastAsia" w:ascii="宋体" w:hAnsi="宋体" w:eastAsia="宋体"/>
          <w:color w:val="auto"/>
          <w:sz w:val="32"/>
          <w:highlight w:val="none"/>
        </w:rPr>
        <w:t>第三部分</w:t>
      </w:r>
      <w:bookmarkEnd w:id="65"/>
      <w:r>
        <w:rPr>
          <w:rFonts w:hint="eastAsia" w:ascii="宋体" w:hAnsi="宋体" w:eastAsia="宋体"/>
          <w:color w:val="auto"/>
          <w:sz w:val="32"/>
          <w:highlight w:val="none"/>
        </w:rPr>
        <w:t xml:space="preserve"> </w:t>
      </w:r>
      <w:bookmarkEnd w:id="66"/>
      <w:bookmarkEnd w:id="67"/>
      <w:bookmarkEnd w:id="68"/>
      <w:bookmarkEnd w:id="69"/>
      <w:bookmarkStart w:id="71" w:name="_Toc342633574"/>
      <w:bookmarkStart w:id="72" w:name="_Toc80695371"/>
      <w:bookmarkStart w:id="73" w:name="_Toc80792981"/>
      <w:r>
        <w:rPr>
          <w:rFonts w:hint="eastAsia" w:ascii="宋体" w:hAnsi="宋体" w:eastAsia="宋体"/>
          <w:color w:val="auto"/>
          <w:sz w:val="32"/>
          <w:highlight w:val="none"/>
        </w:rPr>
        <w:t>项目技术规范和服务要求</w:t>
      </w:r>
      <w:bookmarkEnd w:id="70"/>
    </w:p>
    <w:p w14:paraId="1D84DAB6">
      <w:pPr>
        <w:widowControl/>
        <w:jc w:val="left"/>
        <w:rPr>
          <w:color w:val="auto"/>
          <w:highlight w:val="none"/>
        </w:rPr>
      </w:pPr>
    </w:p>
    <w:p w14:paraId="1A5E69EE">
      <w:pPr>
        <w:adjustRightInd w:val="0"/>
        <w:snapToGrid w:val="0"/>
        <w:spacing w:line="360" w:lineRule="auto"/>
        <w:ind w:firstLine="482" w:firstLineChars="200"/>
        <w:jc w:val="center"/>
        <w:rPr>
          <w:rFonts w:hint="eastAsia" w:ascii="宋体" w:hAnsi="宋体" w:cs="宋体"/>
          <w:b/>
          <w:bCs/>
          <w:snapToGrid w:val="0"/>
          <w:color w:val="auto"/>
          <w:kern w:val="0"/>
          <w:sz w:val="24"/>
          <w:highlight w:val="none"/>
        </w:rPr>
      </w:pPr>
    </w:p>
    <w:p w14:paraId="5EC07474">
      <w:pPr>
        <w:adjustRightInd w:val="0"/>
        <w:snapToGrid w:val="0"/>
        <w:spacing w:line="360" w:lineRule="auto"/>
        <w:ind w:firstLine="482" w:firstLineChars="200"/>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第一节 总论</w:t>
      </w:r>
    </w:p>
    <w:p w14:paraId="240B1238">
      <w:pPr>
        <w:adjustRightInd w:val="0"/>
        <w:snapToGrid w:val="0"/>
        <w:spacing w:line="360" w:lineRule="auto"/>
        <w:ind w:firstLine="422" w:firstLineChars="200"/>
        <w:jc w:val="left"/>
        <w:rPr>
          <w:rFonts w:hint="eastAsia" w:ascii="宋体" w:hAnsi="宋体" w:cs="宋体"/>
          <w:b/>
          <w:bCs/>
          <w:snapToGrid w:val="0"/>
          <w:color w:val="auto"/>
          <w:kern w:val="0"/>
          <w:szCs w:val="21"/>
          <w:highlight w:val="none"/>
        </w:rPr>
      </w:pPr>
    </w:p>
    <w:p w14:paraId="0A124084">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一、项目名称</w:t>
      </w:r>
    </w:p>
    <w:p w14:paraId="20ADBF6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乌鲁木齐市城市规划馆展陈更新服务项目</w:t>
      </w:r>
    </w:p>
    <w:p w14:paraId="34ECDD5F">
      <w:pPr>
        <w:adjustRightInd w:val="0"/>
        <w:snapToGrid w:val="0"/>
        <w:spacing w:line="360" w:lineRule="auto"/>
        <w:ind w:firstLine="422" w:firstLineChars="200"/>
        <w:jc w:val="left"/>
        <w:rPr>
          <w:rFonts w:ascii="宋体" w:hAnsi="宋体" w:cs="宋体"/>
          <w:snapToGrid w:val="0"/>
          <w:color w:val="auto"/>
          <w:kern w:val="0"/>
          <w:szCs w:val="21"/>
          <w:highlight w:val="none"/>
        </w:rPr>
      </w:pPr>
      <w:r>
        <w:rPr>
          <w:rFonts w:hint="eastAsia" w:ascii="宋体" w:hAnsi="宋体" w:cs="宋体"/>
          <w:b/>
          <w:bCs/>
          <w:snapToGrid w:val="0"/>
          <w:color w:val="auto"/>
          <w:kern w:val="0"/>
          <w:szCs w:val="21"/>
          <w:highlight w:val="none"/>
        </w:rPr>
        <w:t>二、项目概况</w:t>
      </w:r>
    </w:p>
    <w:p w14:paraId="1E7F1C44">
      <w:pPr>
        <w:widowControl/>
        <w:adjustRightInd w:val="0"/>
        <w:snapToGrid w:val="0"/>
        <w:spacing w:line="360" w:lineRule="auto"/>
        <w:ind w:firstLine="420" w:firstLineChars="200"/>
        <w:jc w:val="left"/>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一</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项目基本情况</w:t>
      </w:r>
    </w:p>
    <w:p w14:paraId="6A9DD2A2">
      <w:pPr>
        <w:widowControl/>
        <w:adjustRightInd w:val="0"/>
        <w:snapToGrid w:val="0"/>
        <w:spacing w:line="360" w:lineRule="auto"/>
        <w:ind w:firstLine="420" w:firstLineChars="200"/>
        <w:jc w:val="left"/>
        <w:rPr>
          <w:rFonts w:hint="eastAsia" w:ascii="宋体" w:hAnsi="宋体" w:cs="宋体"/>
          <w:snapToGrid w:val="0"/>
          <w:color w:val="auto"/>
          <w:kern w:val="0"/>
          <w:szCs w:val="21"/>
          <w:highlight w:val="none"/>
          <w:lang w:eastAsia="zh-CN"/>
        </w:rPr>
      </w:pPr>
      <w:r>
        <w:rPr>
          <w:rFonts w:hint="eastAsia" w:ascii="宋体" w:hAnsi="宋体" w:cs="宋体"/>
          <w:snapToGrid w:val="0"/>
          <w:color w:val="auto"/>
          <w:kern w:val="0"/>
          <w:szCs w:val="21"/>
          <w:highlight w:val="none"/>
          <w:lang w:val="en-US" w:eastAsia="zh-CN"/>
        </w:rPr>
        <w:t>乌鲁木齐市城市</w:t>
      </w:r>
      <w:r>
        <w:rPr>
          <w:rFonts w:hint="eastAsia" w:ascii="宋体" w:hAnsi="宋体" w:cs="宋体"/>
          <w:snapToGrid w:val="0"/>
          <w:color w:val="auto"/>
          <w:kern w:val="0"/>
          <w:szCs w:val="21"/>
          <w:highlight w:val="none"/>
        </w:rPr>
        <w:t>规划馆</w:t>
      </w:r>
      <w:r>
        <w:rPr>
          <w:rFonts w:ascii="宋体" w:hAnsi="宋体" w:cs="宋体"/>
          <w:snapToGrid w:val="0"/>
          <w:color w:val="auto"/>
          <w:kern w:val="0"/>
          <w:szCs w:val="21"/>
          <w:highlight w:val="none"/>
        </w:rPr>
        <w:t>位于水磨沟</w:t>
      </w:r>
      <w:r>
        <w:rPr>
          <w:rFonts w:hint="eastAsia" w:ascii="宋体" w:hAnsi="宋体" w:cs="宋体"/>
          <w:snapToGrid w:val="0"/>
          <w:color w:val="auto"/>
          <w:kern w:val="0"/>
          <w:szCs w:val="21"/>
          <w:highlight w:val="none"/>
          <w:lang w:val="en-US" w:eastAsia="zh-CN"/>
        </w:rPr>
        <w:t>区凤起街以北</w:t>
      </w:r>
      <w:r>
        <w:rPr>
          <w:rFonts w:ascii="宋体" w:hAnsi="宋体" w:cs="宋体"/>
          <w:snapToGrid w:val="0"/>
          <w:color w:val="auto"/>
          <w:kern w:val="0"/>
          <w:szCs w:val="21"/>
          <w:highlight w:val="none"/>
        </w:rPr>
        <w:t>文化中心建筑群西北角，</w:t>
      </w:r>
      <w:r>
        <w:rPr>
          <w:rFonts w:hint="eastAsia" w:ascii="宋体" w:hAnsi="宋体" w:cs="宋体"/>
          <w:snapToGrid w:val="0"/>
          <w:color w:val="auto"/>
          <w:kern w:val="0"/>
          <w:szCs w:val="21"/>
          <w:highlight w:val="none"/>
          <w:lang w:val="en-US" w:eastAsia="zh-CN"/>
        </w:rPr>
        <w:t>共布展四</w:t>
      </w:r>
      <w:r>
        <w:rPr>
          <w:rFonts w:ascii="宋体" w:hAnsi="宋体" w:cs="宋体"/>
          <w:snapToGrid w:val="0"/>
          <w:color w:val="auto"/>
          <w:kern w:val="0"/>
          <w:szCs w:val="21"/>
          <w:highlight w:val="none"/>
        </w:rPr>
        <w:t>层</w:t>
      </w:r>
      <w:r>
        <w:rPr>
          <w:rFonts w:hint="eastAsia" w:ascii="宋体" w:hAnsi="宋体" w:cs="宋体"/>
          <w:snapToGrid w:val="0"/>
          <w:color w:val="auto"/>
          <w:kern w:val="0"/>
          <w:szCs w:val="21"/>
          <w:highlight w:val="none"/>
          <w:lang w:eastAsia="zh-CN"/>
        </w:rPr>
        <w:t>，</w:t>
      </w:r>
      <w:r>
        <w:rPr>
          <w:rFonts w:ascii="宋体" w:hAnsi="宋体" w:cs="宋体"/>
          <w:snapToGrid w:val="0"/>
          <w:color w:val="auto"/>
          <w:kern w:val="0"/>
          <w:szCs w:val="21"/>
          <w:highlight w:val="none"/>
        </w:rPr>
        <w:t>其中一层建筑面积</w:t>
      </w:r>
      <w:r>
        <w:rPr>
          <w:rFonts w:hint="eastAsia" w:ascii="宋体" w:hAnsi="宋体" w:cs="宋体"/>
          <w:snapToGrid w:val="0"/>
          <w:color w:val="auto"/>
          <w:kern w:val="0"/>
          <w:szCs w:val="21"/>
          <w:highlight w:val="none"/>
        </w:rPr>
        <w:t>4675.15</w:t>
      </w:r>
      <w:r>
        <w:rPr>
          <w:rFonts w:ascii="宋体" w:hAnsi="宋体" w:cs="宋体"/>
          <w:snapToGrid w:val="0"/>
          <w:color w:val="auto"/>
          <w:kern w:val="0"/>
          <w:szCs w:val="21"/>
          <w:highlight w:val="none"/>
        </w:rPr>
        <w:t>㎡、二层建筑面积</w:t>
      </w:r>
      <w:r>
        <w:rPr>
          <w:rFonts w:hint="eastAsia" w:ascii="宋体" w:hAnsi="宋体" w:cs="宋体"/>
          <w:snapToGrid w:val="0"/>
          <w:color w:val="auto"/>
          <w:kern w:val="0"/>
          <w:szCs w:val="21"/>
          <w:highlight w:val="none"/>
        </w:rPr>
        <w:t>3886.86</w:t>
      </w:r>
      <w:r>
        <w:rPr>
          <w:rFonts w:ascii="宋体" w:hAnsi="宋体" w:cs="宋体"/>
          <w:snapToGrid w:val="0"/>
          <w:color w:val="auto"/>
          <w:kern w:val="0"/>
          <w:szCs w:val="21"/>
          <w:highlight w:val="none"/>
        </w:rPr>
        <w:t>㎡、三层建筑面积</w:t>
      </w:r>
      <w:r>
        <w:rPr>
          <w:rFonts w:hint="eastAsia" w:ascii="宋体" w:hAnsi="宋体" w:cs="宋体"/>
          <w:snapToGrid w:val="0"/>
          <w:color w:val="auto"/>
          <w:kern w:val="0"/>
          <w:szCs w:val="21"/>
          <w:highlight w:val="none"/>
        </w:rPr>
        <w:t>5144.80</w:t>
      </w:r>
      <w:r>
        <w:rPr>
          <w:rFonts w:ascii="宋体" w:hAnsi="宋体" w:cs="宋体"/>
          <w:snapToGrid w:val="0"/>
          <w:color w:val="auto"/>
          <w:kern w:val="0"/>
          <w:szCs w:val="21"/>
          <w:highlight w:val="none"/>
        </w:rPr>
        <w:t>㎡、四层建筑面积</w:t>
      </w:r>
      <w:r>
        <w:rPr>
          <w:rFonts w:hint="eastAsia" w:ascii="宋体" w:hAnsi="宋体" w:cs="宋体"/>
          <w:snapToGrid w:val="0"/>
          <w:color w:val="auto"/>
          <w:kern w:val="0"/>
          <w:szCs w:val="21"/>
          <w:highlight w:val="none"/>
        </w:rPr>
        <w:t>4294.23</w:t>
      </w: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eastAsia="zh-CN"/>
        </w:rPr>
        <w:t>。</w:t>
      </w:r>
    </w:p>
    <w:p w14:paraId="4D34AB7A">
      <w:pPr>
        <w:widowControl/>
        <w:adjustRightInd w:val="0"/>
        <w:snapToGrid w:val="0"/>
        <w:spacing w:line="360" w:lineRule="auto"/>
        <w:ind w:firstLine="420" w:firstLineChars="200"/>
        <w:jc w:val="left"/>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按照市委、市政府工作部署，采用设计施工采购一体化对规划馆展陈内容进行全面系统的升级更新。</w:t>
      </w:r>
    </w:p>
    <w:p w14:paraId="07B7FB99">
      <w:pPr>
        <w:widowControl/>
        <w:adjustRightInd w:val="0"/>
        <w:snapToGrid w:val="0"/>
        <w:spacing w:line="360" w:lineRule="auto"/>
        <w:ind w:firstLine="420" w:firstLineChars="200"/>
        <w:jc w:val="left"/>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二</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规划馆现状</w:t>
      </w:r>
    </w:p>
    <w:p w14:paraId="11E355DD">
      <w:pPr>
        <w:widowControl/>
        <w:adjustRightInd w:val="0"/>
        <w:snapToGrid w:val="0"/>
        <w:spacing w:line="360" w:lineRule="auto"/>
        <w:ind w:firstLine="420" w:firstLineChars="200"/>
        <w:jc w:val="left"/>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目前布展空间如下图示意：</w:t>
      </w:r>
    </w:p>
    <w:p w14:paraId="5CE06B44">
      <w:pPr>
        <w:widowControl/>
        <w:adjustRightInd w:val="0"/>
        <w:snapToGrid w:val="0"/>
        <w:spacing w:line="360" w:lineRule="auto"/>
        <w:ind w:firstLine="420" w:firstLineChars="200"/>
        <w:jc w:val="left"/>
        <w:rPr>
          <w:rFonts w:hint="eastAsia" w:ascii="宋体" w:hAnsi="宋体" w:cs="Arial"/>
          <w:color w:val="auto"/>
          <w:szCs w:val="21"/>
          <w:highlight w:val="none"/>
          <w:lang w:val="en-US" w:eastAsia="zh-CN"/>
        </w:rPr>
      </w:pPr>
    </w:p>
    <w:p w14:paraId="582FEF3F">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18C3CE11">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5C3D238C">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4AFD8973">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2FB17852">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72ABA3E3">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473CABE7">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27A6C3EE">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1F7F54B8">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5248D532">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5285FACE">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2566B9B7">
      <w:pPr>
        <w:pStyle w:val="6"/>
        <w:rPr>
          <w:color w:val="auto"/>
          <w:highlight w:val="none"/>
        </w:rPr>
      </w:pPr>
    </w:p>
    <w:p w14:paraId="7FE79542">
      <w:pPr>
        <w:pStyle w:val="2"/>
        <w:rPr>
          <w:rFonts w:ascii="宋体" w:hAnsi="宋体" w:cs="宋体"/>
          <w:snapToGrid w:val="0"/>
          <w:color w:val="auto"/>
          <w:kern w:val="0"/>
          <w:szCs w:val="21"/>
          <w:highlight w:val="none"/>
        </w:rPr>
      </w:pPr>
    </w:p>
    <w:p w14:paraId="413CEBB8">
      <w:pPr>
        <w:pStyle w:val="2"/>
        <w:rPr>
          <w:rFonts w:ascii="宋体" w:hAnsi="宋体" w:cs="宋体"/>
          <w:snapToGrid w:val="0"/>
          <w:color w:val="auto"/>
          <w:kern w:val="0"/>
          <w:szCs w:val="21"/>
          <w:highlight w:val="none"/>
        </w:rPr>
      </w:pPr>
    </w:p>
    <w:p w14:paraId="70EEA5B9">
      <w:pPr>
        <w:pStyle w:val="2"/>
        <w:rPr>
          <w:rFonts w:ascii="宋体" w:hAnsi="宋体" w:cs="宋体"/>
          <w:snapToGrid w:val="0"/>
          <w:color w:val="auto"/>
          <w:kern w:val="0"/>
          <w:szCs w:val="21"/>
          <w:highlight w:val="none"/>
        </w:rPr>
      </w:pPr>
    </w:p>
    <w:p w14:paraId="520F7888">
      <w:pPr>
        <w:pStyle w:val="2"/>
        <w:rPr>
          <w:rFonts w:ascii="宋体" w:hAnsi="宋体" w:cs="宋体"/>
          <w:snapToGrid w:val="0"/>
          <w:color w:val="auto"/>
          <w:kern w:val="0"/>
          <w:szCs w:val="21"/>
          <w:highlight w:val="none"/>
        </w:rPr>
      </w:pPr>
    </w:p>
    <w:p w14:paraId="47AC6819">
      <w:pPr>
        <w:adjustRightInd w:val="0"/>
        <w:snapToGrid w:val="0"/>
        <w:spacing w:line="360" w:lineRule="auto"/>
        <w:ind w:firstLine="562" w:firstLineChars="200"/>
        <w:jc w:val="center"/>
        <w:rPr>
          <w:rFonts w:ascii="宋体" w:hAnsi="宋体" w:cs="宋体"/>
          <w:b/>
          <w:bCs/>
          <w:snapToGrid w:val="0"/>
          <w:color w:val="auto"/>
          <w:kern w:val="0"/>
          <w:sz w:val="28"/>
          <w:szCs w:val="28"/>
          <w:highlight w:val="none"/>
        </w:rPr>
      </w:pPr>
      <w:r>
        <w:rPr>
          <w:rFonts w:ascii="宋体" w:hAnsi="宋体" w:cs="宋体"/>
          <w:b/>
          <w:bCs/>
          <w:snapToGrid w:val="0"/>
          <w:color w:val="auto"/>
          <w:kern w:val="0"/>
          <w:sz w:val="28"/>
          <w:szCs w:val="28"/>
          <w:highlight w:val="none"/>
        </w:rPr>
        <w:t>规划展示馆总平面图</w:t>
      </w:r>
    </w:p>
    <w:p w14:paraId="34FCB91F">
      <w:pPr>
        <w:adjustRightInd w:val="0"/>
        <w:snapToGrid w:val="0"/>
        <w:spacing w:line="360" w:lineRule="auto"/>
        <w:ind w:firstLine="0" w:firstLineChars="0"/>
        <w:jc w:val="center"/>
        <w:rPr>
          <w:rFonts w:hint="eastAsia" w:ascii="宋体" w:hAnsi="宋体" w:eastAsia="宋体" w:cs="宋体"/>
          <w:b/>
          <w:bCs/>
          <w:snapToGrid w:val="0"/>
          <w:color w:val="auto"/>
          <w:kern w:val="0"/>
          <w:sz w:val="28"/>
          <w:szCs w:val="28"/>
          <w:highlight w:val="none"/>
          <w:lang w:eastAsia="zh-CN"/>
        </w:rPr>
      </w:pPr>
      <w:r>
        <w:rPr>
          <w:rFonts w:hint="eastAsia" w:ascii="宋体" w:hAnsi="宋体" w:eastAsia="宋体" w:cs="宋体"/>
          <w:b/>
          <w:bCs/>
          <w:snapToGrid w:val="0"/>
          <w:color w:val="auto"/>
          <w:kern w:val="0"/>
          <w:sz w:val="28"/>
          <w:szCs w:val="28"/>
          <w:highlight w:val="none"/>
          <w:lang w:eastAsia="zh-CN"/>
        </w:rPr>
        <w:drawing>
          <wp:inline distT="0" distB="0" distL="114300" distR="114300">
            <wp:extent cx="5257165" cy="4025265"/>
            <wp:effectExtent l="0" t="0" r="635" b="635"/>
            <wp:docPr id="5" name="图片 1" descr="39644f18832257dc1d66f1d963c9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39644f18832257dc1d66f1d963c99fa"/>
                    <pic:cNvPicPr>
                      <a:picLocks noChangeAspect="1"/>
                    </pic:cNvPicPr>
                  </pic:nvPicPr>
                  <pic:blipFill>
                    <a:blip r:embed="rId8"/>
                    <a:stretch>
                      <a:fillRect/>
                    </a:stretch>
                  </pic:blipFill>
                  <pic:spPr>
                    <a:xfrm>
                      <a:off x="0" y="0"/>
                      <a:ext cx="5257165" cy="4025265"/>
                    </a:xfrm>
                    <a:prstGeom prst="rect">
                      <a:avLst/>
                    </a:prstGeom>
                    <a:noFill/>
                    <a:ln>
                      <a:noFill/>
                    </a:ln>
                  </pic:spPr>
                </pic:pic>
              </a:graphicData>
            </a:graphic>
          </wp:inline>
        </w:drawing>
      </w:r>
    </w:p>
    <w:p w14:paraId="6EA136C3">
      <w:pPr>
        <w:adjustRightInd w:val="0"/>
        <w:snapToGrid w:val="0"/>
        <w:spacing w:line="360" w:lineRule="auto"/>
        <w:ind w:firstLine="420" w:firstLineChars="20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规划馆1层平面图</w:t>
      </w:r>
    </w:p>
    <w:p w14:paraId="75E7F5D6">
      <w:pPr>
        <w:pStyle w:val="2"/>
        <w:ind w:firstLine="0"/>
        <w:jc w:val="both"/>
        <w:rPr>
          <w:rFonts w:hint="eastAsia" w:ascii="宋体" w:hAnsi="宋体" w:eastAsia="宋体" w:cs="宋体"/>
          <w:snapToGrid w:val="0"/>
          <w:color w:val="auto"/>
          <w:kern w:val="0"/>
          <w:szCs w:val="21"/>
          <w:highlight w:val="none"/>
          <w:lang w:eastAsia="zh-CN"/>
        </w:rPr>
      </w:pPr>
      <w:r>
        <w:rPr>
          <w:rFonts w:hint="eastAsia" w:ascii="宋体" w:hAnsi="宋体" w:eastAsia="宋体" w:cs="宋体"/>
          <w:snapToGrid w:val="0"/>
          <w:color w:val="auto"/>
          <w:kern w:val="0"/>
          <w:szCs w:val="21"/>
          <w:highlight w:val="none"/>
          <w:lang w:eastAsia="zh-CN"/>
        </w:rPr>
        <w:drawing>
          <wp:inline distT="0" distB="0" distL="114300" distR="114300">
            <wp:extent cx="5387340" cy="4025265"/>
            <wp:effectExtent l="0" t="0" r="10160" b="635"/>
            <wp:docPr id="3" name="图片 2" descr="b6bf6e8dae93c540b4e0c309edaa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b6bf6e8dae93c540b4e0c309edaae7d"/>
                    <pic:cNvPicPr>
                      <a:picLocks noChangeAspect="1"/>
                    </pic:cNvPicPr>
                  </pic:nvPicPr>
                  <pic:blipFill>
                    <a:blip r:embed="rId9"/>
                    <a:stretch>
                      <a:fillRect/>
                    </a:stretch>
                  </pic:blipFill>
                  <pic:spPr>
                    <a:xfrm>
                      <a:off x="0" y="0"/>
                      <a:ext cx="5387340" cy="4025265"/>
                    </a:xfrm>
                    <a:prstGeom prst="rect">
                      <a:avLst/>
                    </a:prstGeom>
                    <a:noFill/>
                    <a:ln>
                      <a:noFill/>
                    </a:ln>
                  </pic:spPr>
                </pic:pic>
              </a:graphicData>
            </a:graphic>
          </wp:inline>
        </w:drawing>
      </w:r>
    </w:p>
    <w:p w14:paraId="04079763">
      <w:pPr>
        <w:adjustRightInd w:val="0"/>
        <w:snapToGrid w:val="0"/>
        <w:spacing w:line="360" w:lineRule="auto"/>
        <w:ind w:firstLine="420" w:firstLineChars="200"/>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规划馆2层平面图</w:t>
      </w:r>
    </w:p>
    <w:p w14:paraId="0B640437">
      <w:pPr>
        <w:pStyle w:val="2"/>
        <w:ind w:firstLine="0"/>
        <w:rPr>
          <w:rFonts w:ascii="宋体" w:hAnsi="宋体" w:cs="宋体"/>
          <w:snapToGrid w:val="0"/>
          <w:color w:val="auto"/>
          <w:kern w:val="0"/>
          <w:szCs w:val="21"/>
          <w:highlight w:val="none"/>
        </w:rPr>
      </w:pPr>
    </w:p>
    <w:p w14:paraId="358B6FEB">
      <w:pPr>
        <w:adjustRightInd w:val="0"/>
        <w:snapToGrid w:val="0"/>
        <w:spacing w:line="360" w:lineRule="auto"/>
        <w:ind w:firstLine="0" w:firstLineChars="0"/>
        <w:jc w:val="center"/>
        <w:rPr>
          <w:rFonts w:hint="eastAsia" w:ascii="宋体" w:hAnsi="宋体" w:eastAsia="宋体" w:cs="宋体"/>
          <w:snapToGrid w:val="0"/>
          <w:color w:val="auto"/>
          <w:kern w:val="0"/>
          <w:szCs w:val="21"/>
          <w:highlight w:val="none"/>
          <w:lang w:eastAsia="zh-CN"/>
        </w:rPr>
      </w:pPr>
      <w:r>
        <w:rPr>
          <w:rFonts w:hint="eastAsia" w:ascii="宋体" w:hAnsi="宋体" w:eastAsia="宋体" w:cs="宋体"/>
          <w:snapToGrid w:val="0"/>
          <w:color w:val="auto"/>
          <w:kern w:val="0"/>
          <w:szCs w:val="21"/>
          <w:highlight w:val="none"/>
          <w:lang w:eastAsia="zh-CN"/>
        </w:rPr>
        <w:drawing>
          <wp:inline distT="0" distB="0" distL="114300" distR="114300">
            <wp:extent cx="5265420" cy="4023995"/>
            <wp:effectExtent l="0" t="0" r="5080" b="1905"/>
            <wp:docPr id="4" name="图片 3" descr="d70b89331fd7baf2a4954f3fbb1b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70b89331fd7baf2a4954f3fbb1b0bf"/>
                    <pic:cNvPicPr>
                      <a:picLocks noChangeAspect="1"/>
                    </pic:cNvPicPr>
                  </pic:nvPicPr>
                  <pic:blipFill>
                    <a:blip r:embed="rId10"/>
                    <a:stretch>
                      <a:fillRect/>
                    </a:stretch>
                  </pic:blipFill>
                  <pic:spPr>
                    <a:xfrm>
                      <a:off x="0" y="0"/>
                      <a:ext cx="5265420" cy="4023995"/>
                    </a:xfrm>
                    <a:prstGeom prst="rect">
                      <a:avLst/>
                    </a:prstGeom>
                    <a:noFill/>
                    <a:ln>
                      <a:noFill/>
                    </a:ln>
                  </pic:spPr>
                </pic:pic>
              </a:graphicData>
            </a:graphic>
          </wp:inline>
        </w:drawing>
      </w:r>
    </w:p>
    <w:p w14:paraId="4DC5A141">
      <w:pPr>
        <w:adjustRightInd w:val="0"/>
        <w:snapToGrid w:val="0"/>
        <w:spacing w:line="360" w:lineRule="auto"/>
        <w:ind w:firstLine="0" w:firstLineChars="0"/>
        <w:jc w:val="center"/>
        <w:rPr>
          <w:rFonts w:hint="eastAsia" w:ascii="宋体" w:hAnsi="宋体" w:eastAsia="宋体" w:cs="宋体"/>
          <w:snapToGrid w:val="0"/>
          <w:color w:val="auto"/>
          <w:kern w:val="0"/>
          <w:szCs w:val="21"/>
          <w:highlight w:val="none"/>
          <w:lang w:eastAsia="zh-CN"/>
        </w:rPr>
      </w:pPr>
      <w:r>
        <w:rPr>
          <w:rFonts w:hint="eastAsia" w:ascii="宋体" w:hAnsi="宋体" w:eastAsia="宋体" w:cs="宋体"/>
          <w:snapToGrid w:val="0"/>
          <w:color w:val="auto"/>
          <w:kern w:val="0"/>
          <w:szCs w:val="21"/>
          <w:highlight w:val="none"/>
          <w:lang w:eastAsia="zh-CN"/>
        </w:rPr>
        <w:t>规划馆3层平面图</w:t>
      </w:r>
    </w:p>
    <w:p w14:paraId="1E48227A">
      <w:pPr>
        <w:adjustRightInd w:val="0"/>
        <w:snapToGrid w:val="0"/>
        <w:spacing w:line="360" w:lineRule="auto"/>
        <w:ind w:firstLine="0" w:firstLineChars="0"/>
        <w:jc w:val="left"/>
        <w:rPr>
          <w:rFonts w:ascii="宋体" w:hAnsi="宋体" w:cs="宋体"/>
          <w:snapToGrid w:val="0"/>
          <w:color w:val="auto"/>
          <w:kern w:val="0"/>
          <w:szCs w:val="21"/>
          <w:highlight w:val="none"/>
        </w:rPr>
      </w:pPr>
    </w:p>
    <w:p w14:paraId="72A9960A">
      <w:pPr>
        <w:adjustRightInd/>
        <w:snapToGrid/>
        <w:spacing w:line="240" w:lineRule="auto"/>
        <w:ind w:firstLine="0" w:firstLineChars="0"/>
        <w:jc w:val="left"/>
        <w:rPr>
          <w:rFonts w:ascii="宋体" w:hAnsi="宋体" w:cs="宋体"/>
          <w:snapToGrid w:val="0"/>
          <w:color w:val="auto"/>
          <w:kern w:val="0"/>
          <w:szCs w:val="21"/>
          <w:highlight w:val="none"/>
        </w:rPr>
      </w:pPr>
      <w:r>
        <w:rPr>
          <w:rFonts w:hint="eastAsia" w:ascii="宋体" w:hAnsi="宋体" w:eastAsia="宋体" w:cs="宋体"/>
          <w:snapToGrid w:val="0"/>
          <w:color w:val="auto"/>
          <w:kern w:val="0"/>
          <w:szCs w:val="21"/>
          <w:highlight w:val="none"/>
          <w:lang w:eastAsia="zh-CN"/>
        </w:rPr>
        <w:drawing>
          <wp:inline distT="0" distB="0" distL="114300" distR="114300">
            <wp:extent cx="5266055" cy="4023360"/>
            <wp:effectExtent l="0" t="0" r="4445" b="2540"/>
            <wp:docPr id="1" name="图片 4" descr="abf5242a704b34a4c49d24eccee9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abf5242a704b34a4c49d24eccee9c69"/>
                    <pic:cNvPicPr>
                      <a:picLocks noChangeAspect="1"/>
                    </pic:cNvPicPr>
                  </pic:nvPicPr>
                  <pic:blipFill>
                    <a:blip r:embed="rId11"/>
                    <a:stretch>
                      <a:fillRect/>
                    </a:stretch>
                  </pic:blipFill>
                  <pic:spPr>
                    <a:xfrm>
                      <a:off x="0" y="0"/>
                      <a:ext cx="5266055" cy="4023360"/>
                    </a:xfrm>
                    <a:prstGeom prst="rect">
                      <a:avLst/>
                    </a:prstGeom>
                    <a:noFill/>
                    <a:ln>
                      <a:noFill/>
                    </a:ln>
                  </pic:spPr>
                </pic:pic>
              </a:graphicData>
            </a:graphic>
          </wp:inline>
        </w:drawing>
      </w:r>
    </w:p>
    <w:p w14:paraId="4A75EB22">
      <w:pPr>
        <w:adjustRightInd w:val="0"/>
        <w:snapToGrid w:val="0"/>
        <w:spacing w:line="360" w:lineRule="auto"/>
        <w:ind w:firstLine="0" w:firstLineChars="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规划馆4层平面图</w:t>
      </w:r>
    </w:p>
    <w:p w14:paraId="6485FFCA">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三、指导思想</w:t>
      </w:r>
    </w:p>
    <w:p w14:paraId="6216AE06">
      <w:pPr>
        <w:adjustRightInd w:val="0"/>
        <w:snapToGrid w:val="0"/>
        <w:spacing w:line="360" w:lineRule="auto"/>
        <w:ind w:firstLine="420" w:firstLineChars="200"/>
        <w:jc w:val="left"/>
        <w:rPr>
          <w:rFonts w:hint="eastAsia" w:ascii="宋体" w:hAnsi="宋体" w:eastAsia="宋体" w:cs="Arial"/>
          <w:snapToGrid/>
          <w:color w:val="auto"/>
          <w:kern w:val="2"/>
          <w:szCs w:val="21"/>
          <w:highlight w:val="none"/>
          <w:lang w:val="en-US" w:eastAsia="zh-CN"/>
        </w:rPr>
      </w:pPr>
      <w:r>
        <w:rPr>
          <w:rFonts w:hint="eastAsia" w:ascii="宋体" w:hAnsi="宋体" w:eastAsia="宋体" w:cs="Arial"/>
          <w:snapToGrid/>
          <w:color w:val="auto"/>
          <w:kern w:val="2"/>
          <w:szCs w:val="21"/>
          <w:highlight w:val="none"/>
          <w:lang w:val="en-US" w:eastAsia="zh-CN"/>
        </w:rPr>
        <w:t>坚持以习近平新时代中国特色社会主义思想统领全馆，深入浅出的展现乌鲁木齐市完整准确全面贯彻新时代党的治疆方略，所取得的辉煌成就和规划蓝图。重点围绕“现代化国际城市”总体定位，集中全面展览城市规划，讲述乌鲁木齐故事。</w:t>
      </w:r>
    </w:p>
    <w:p w14:paraId="6ABCB909">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四、功能定位</w:t>
      </w:r>
    </w:p>
    <w:p w14:paraId="5A9E53A4">
      <w:pPr>
        <w:adjustRightInd w:val="0"/>
        <w:snapToGrid w:val="0"/>
        <w:spacing w:line="360" w:lineRule="auto"/>
        <w:ind w:firstLine="420" w:firstLineChars="200"/>
        <w:jc w:val="left"/>
        <w:rPr>
          <w:rFonts w:hint="eastAsia" w:ascii="宋体" w:hAnsi="宋体" w:eastAsia="宋体" w:cs="Arial"/>
          <w:snapToGrid/>
          <w:color w:val="auto"/>
          <w:kern w:val="2"/>
          <w:szCs w:val="21"/>
          <w:highlight w:val="none"/>
          <w:lang w:val="en-US" w:eastAsia="zh-CN"/>
        </w:rPr>
      </w:pPr>
      <w:bookmarkStart w:id="74" w:name="OLE_LINK2"/>
      <w:bookmarkStart w:id="75" w:name="OLE_LINK1"/>
      <w:r>
        <w:rPr>
          <w:rFonts w:hint="eastAsia" w:ascii="宋体" w:hAnsi="宋体" w:eastAsia="宋体" w:cs="Arial"/>
          <w:snapToGrid/>
          <w:color w:val="auto"/>
          <w:kern w:val="2"/>
          <w:szCs w:val="21"/>
          <w:highlight w:val="none"/>
          <w:lang w:val="en-US" w:eastAsia="zh-CN"/>
        </w:rPr>
        <w:t>城市规划馆是展览城市规划发展建设的重要文化设施，是展现城市整体形象的重要窗口和交流交往的重要平台。</w:t>
      </w:r>
      <w:bookmarkEnd w:id="74"/>
      <w:bookmarkEnd w:id="75"/>
    </w:p>
    <w:p w14:paraId="2BA59BD9">
      <w:pPr>
        <w:adjustRightInd w:val="0"/>
        <w:snapToGrid w:val="0"/>
        <w:spacing w:line="360" w:lineRule="auto"/>
        <w:ind w:firstLine="422" w:firstLineChars="200"/>
        <w:jc w:val="left"/>
        <w:rPr>
          <w:rFonts w:hint="eastAsia"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五、采购内容</w:t>
      </w:r>
    </w:p>
    <w:p w14:paraId="1204B4A0">
      <w:pPr>
        <w:widowControl/>
        <w:adjustRightInd w:val="0"/>
        <w:snapToGrid w:val="0"/>
        <w:spacing w:line="360" w:lineRule="auto"/>
        <w:ind w:firstLine="420" w:firstLineChars="200"/>
        <w:jc w:val="left"/>
        <w:rPr>
          <w:rFonts w:hint="eastAsia" w:ascii="宋体" w:hAnsi="宋体" w:eastAsia="宋体" w:cs="Arial"/>
          <w:color w:val="auto"/>
          <w:szCs w:val="21"/>
          <w:highlight w:val="none"/>
          <w:lang w:eastAsia="zh-CN"/>
        </w:rPr>
      </w:pPr>
      <w:r>
        <w:rPr>
          <w:rFonts w:hint="eastAsia" w:ascii="宋体" w:hAnsi="宋体" w:eastAsia="宋体" w:cs="Arial"/>
          <w:color w:val="auto"/>
          <w:szCs w:val="21"/>
          <w:highlight w:val="none"/>
          <w:lang w:eastAsia="zh-CN"/>
        </w:rPr>
        <w:t>按照</w:t>
      </w:r>
      <w:r>
        <w:rPr>
          <w:rFonts w:hint="eastAsia" w:ascii="宋体" w:hAnsi="宋体" w:eastAsia="宋体" w:cs="Arial"/>
          <w:color w:val="auto"/>
          <w:szCs w:val="21"/>
          <w:highlight w:val="none"/>
          <w:lang w:val="en-US" w:eastAsia="zh-CN"/>
        </w:rPr>
        <w:t>乌鲁木齐</w:t>
      </w:r>
      <w:r>
        <w:rPr>
          <w:rFonts w:hint="eastAsia" w:ascii="宋体" w:hAnsi="宋体" w:eastAsia="宋体" w:cs="Arial"/>
          <w:color w:val="auto"/>
          <w:szCs w:val="21"/>
          <w:highlight w:val="none"/>
          <w:lang w:eastAsia="zh-CN"/>
        </w:rPr>
        <w:t>市委、市政府重要工作部署，结合《乌鲁木齐市城市规划馆展陈更新大纲》，组织开展乌鲁木齐市城市规划馆展陈更新服务项目，主要包括</w:t>
      </w:r>
      <w:r>
        <w:rPr>
          <w:rFonts w:hint="eastAsia" w:ascii="宋体" w:hAnsi="宋体" w:eastAsia="宋体" w:cs="Arial"/>
          <w:color w:val="auto"/>
          <w:szCs w:val="21"/>
          <w:highlight w:val="none"/>
          <w:lang w:val="en-US" w:eastAsia="zh-CN"/>
        </w:rPr>
        <w:t>但不限于</w:t>
      </w:r>
      <w:r>
        <w:rPr>
          <w:rFonts w:hint="eastAsia" w:ascii="宋体" w:hAnsi="宋体" w:eastAsia="宋体" w:cs="Arial"/>
          <w:color w:val="auto"/>
          <w:szCs w:val="21"/>
          <w:highlight w:val="none"/>
          <w:lang w:eastAsia="zh-CN"/>
        </w:rPr>
        <w:t>展览内容组织、方案设计、施工图设计（包括深化设计及现场服务等）、视频影片制作、沙盘模型展品制作更新和替换、布展实施、装饰装修工程（包含各项专业工程）</w:t>
      </w:r>
      <w:r>
        <w:rPr>
          <w:rFonts w:hint="eastAsia" w:ascii="宋体" w:hAnsi="宋体" w:cs="Arial"/>
          <w:color w:val="auto"/>
          <w:szCs w:val="21"/>
          <w:highlight w:val="none"/>
          <w:lang w:val="en-US" w:eastAsia="zh-CN"/>
        </w:rPr>
        <w:t>、消防</w:t>
      </w:r>
      <w:r>
        <w:rPr>
          <w:rFonts w:hint="eastAsia" w:ascii="宋体" w:hAnsi="宋体" w:eastAsia="宋体" w:cs="Arial"/>
          <w:color w:val="auto"/>
          <w:szCs w:val="21"/>
          <w:highlight w:val="none"/>
          <w:lang w:eastAsia="zh-CN"/>
        </w:rPr>
        <w:t>、软硬件设施设备采购安装，试运行、竣工验收、售后服务（含质保期内的保修服务）等设计施工</w:t>
      </w:r>
      <w:r>
        <w:rPr>
          <w:rFonts w:hint="eastAsia" w:ascii="宋体" w:hAnsi="宋体" w:cs="Arial"/>
          <w:color w:val="auto"/>
          <w:szCs w:val="21"/>
          <w:highlight w:val="none"/>
          <w:lang w:val="en-US" w:eastAsia="zh-CN"/>
        </w:rPr>
        <w:t>采购</w:t>
      </w:r>
      <w:r>
        <w:rPr>
          <w:rFonts w:hint="eastAsia" w:ascii="宋体" w:hAnsi="宋体" w:eastAsia="宋体" w:cs="Arial"/>
          <w:color w:val="auto"/>
          <w:szCs w:val="21"/>
          <w:highlight w:val="none"/>
          <w:lang w:eastAsia="zh-CN"/>
        </w:rPr>
        <w:t>一体化的全部工作。具体详见采购文件第三章项目技术规范和服务要求。</w:t>
      </w:r>
    </w:p>
    <w:p w14:paraId="2D838FA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br w:type="page"/>
      </w:r>
    </w:p>
    <w:p w14:paraId="0455E098">
      <w:pPr>
        <w:adjustRightInd w:val="0"/>
        <w:snapToGrid w:val="0"/>
        <w:spacing w:line="360" w:lineRule="auto"/>
        <w:ind w:firstLine="482" w:firstLineChars="200"/>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第二节 设计要求</w:t>
      </w:r>
    </w:p>
    <w:p w14:paraId="7A95FEFC">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2FE10965">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一、工作内容</w:t>
      </w:r>
    </w:p>
    <w:p w14:paraId="30A4F4D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设计应依据《乌鲁木齐市城市规划馆展陈更新大纲》内容，</w:t>
      </w:r>
      <w:r>
        <w:rPr>
          <w:rFonts w:hint="eastAsia" w:ascii="宋体" w:hAnsi="宋体" w:cs="宋体"/>
          <w:snapToGrid w:val="0"/>
          <w:color w:val="auto"/>
          <w:kern w:val="0"/>
          <w:szCs w:val="21"/>
          <w:highlight w:val="none"/>
          <w:lang w:val="en-US" w:eastAsia="zh-CN"/>
        </w:rPr>
        <w:t>聚焦展览</w:t>
      </w:r>
      <w:r>
        <w:rPr>
          <w:rFonts w:hint="eastAsia" w:ascii="宋体" w:hAnsi="宋体" w:cs="宋体"/>
          <w:snapToGrid w:val="0"/>
          <w:color w:val="auto"/>
          <w:kern w:val="0"/>
          <w:szCs w:val="21"/>
          <w:highlight w:val="none"/>
        </w:rPr>
        <w:t>城市规划，凸显城市发展定位和目标愿景，充分</w:t>
      </w:r>
      <w:r>
        <w:rPr>
          <w:rFonts w:hint="eastAsia" w:ascii="宋体" w:hAnsi="宋体" w:cs="宋体"/>
          <w:snapToGrid w:val="0"/>
          <w:color w:val="auto"/>
          <w:kern w:val="0"/>
          <w:szCs w:val="21"/>
          <w:highlight w:val="none"/>
          <w:lang w:val="en-US" w:eastAsia="zh-CN"/>
        </w:rPr>
        <w:t>展示</w:t>
      </w:r>
      <w:r>
        <w:rPr>
          <w:rFonts w:hint="eastAsia" w:ascii="宋体" w:hAnsi="宋体" w:cs="宋体"/>
          <w:snapToGrid w:val="0"/>
          <w:color w:val="auto"/>
          <w:kern w:val="0"/>
          <w:szCs w:val="21"/>
          <w:highlight w:val="none"/>
        </w:rPr>
        <w:t>城市空间结构、产业格局、交通格局、生态格局、城市风貌、城市中心区、重点片区</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区（县）发展、专项支撑</w:t>
      </w:r>
      <w:r>
        <w:rPr>
          <w:rFonts w:hint="eastAsia" w:ascii="宋体" w:hAnsi="宋体" w:cs="宋体"/>
          <w:snapToGrid w:val="0"/>
          <w:color w:val="auto"/>
          <w:kern w:val="0"/>
          <w:szCs w:val="21"/>
          <w:highlight w:val="none"/>
        </w:rPr>
        <w:t>等相关规划，对规划馆进行整体策划设计</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指导</w:t>
      </w:r>
      <w:r>
        <w:rPr>
          <w:rFonts w:hint="eastAsia" w:ascii="宋体" w:hAnsi="宋体" w:cs="宋体"/>
          <w:snapToGrid w:val="0"/>
          <w:color w:val="auto"/>
          <w:kern w:val="0"/>
          <w:szCs w:val="21"/>
          <w:highlight w:val="none"/>
        </w:rPr>
        <w:t>布展施工。</w:t>
      </w:r>
    </w:p>
    <w:p w14:paraId="38C22F9D">
      <w:pPr>
        <w:adjustRightInd w:val="0"/>
        <w:snapToGrid w:val="0"/>
        <w:spacing w:line="360" w:lineRule="auto"/>
        <w:ind w:firstLine="420" w:firstLineChars="200"/>
        <w:jc w:val="left"/>
        <w:rPr>
          <w:rFonts w:hint="eastAsia" w:ascii="宋体" w:hAnsi="宋体" w:cs="宋体"/>
          <w:snapToGrid w:val="0"/>
          <w:color w:val="auto"/>
          <w:kern w:val="0"/>
          <w:szCs w:val="21"/>
          <w:highlight w:val="none"/>
          <w:lang w:eastAsia="zh-CN"/>
        </w:rPr>
      </w:pPr>
      <w:r>
        <w:rPr>
          <w:rFonts w:hint="eastAsia" w:ascii="宋体" w:hAnsi="宋体" w:cs="宋体"/>
          <w:snapToGrid w:val="0"/>
          <w:color w:val="auto"/>
          <w:kern w:val="0"/>
          <w:szCs w:val="21"/>
          <w:highlight w:val="none"/>
        </w:rPr>
        <w:t>需提出</w:t>
      </w:r>
      <w:r>
        <w:rPr>
          <w:rFonts w:hint="eastAsia" w:ascii="宋体" w:hAnsi="宋体" w:cs="宋体"/>
          <w:snapToGrid w:val="0"/>
          <w:color w:val="auto"/>
          <w:kern w:val="0"/>
          <w:szCs w:val="21"/>
          <w:highlight w:val="none"/>
          <w:lang w:eastAsia="zh-CN"/>
        </w:rPr>
        <w:t>项目整体设计</w:t>
      </w:r>
      <w:r>
        <w:rPr>
          <w:rFonts w:hint="eastAsia" w:ascii="宋体" w:hAnsi="宋体" w:cs="宋体"/>
          <w:snapToGrid w:val="0"/>
          <w:color w:val="auto"/>
          <w:kern w:val="0"/>
          <w:szCs w:val="21"/>
          <w:highlight w:val="none"/>
        </w:rPr>
        <w:t>方案，包括但不限于</w:t>
      </w:r>
      <w:r>
        <w:rPr>
          <w:rFonts w:hint="eastAsia" w:ascii="宋体" w:hAnsi="宋体" w:cs="宋体"/>
          <w:snapToGrid w:val="0"/>
          <w:color w:val="auto"/>
          <w:kern w:val="0"/>
          <w:szCs w:val="21"/>
          <w:highlight w:val="none"/>
          <w:lang w:val="en-US" w:eastAsia="zh-CN"/>
        </w:rPr>
        <w:t>内容组织、</w:t>
      </w:r>
      <w:r>
        <w:rPr>
          <w:rFonts w:hint="eastAsia" w:ascii="宋体" w:hAnsi="宋体" w:cs="宋体"/>
          <w:snapToGrid w:val="0"/>
          <w:color w:val="auto"/>
          <w:kern w:val="0"/>
          <w:szCs w:val="21"/>
          <w:highlight w:val="none"/>
        </w:rPr>
        <w:t>设计主题、设计思路、整体风格、展区布局、流线组织、展示手段、多媒体系统运用等内容</w:t>
      </w:r>
      <w:r>
        <w:rPr>
          <w:rFonts w:hint="eastAsia" w:ascii="宋体" w:hAnsi="宋体" w:cs="宋体"/>
          <w:snapToGrid w:val="0"/>
          <w:color w:val="auto"/>
          <w:kern w:val="0"/>
          <w:szCs w:val="21"/>
          <w:highlight w:val="none"/>
          <w:lang w:eastAsia="zh-CN"/>
        </w:rPr>
        <w:t>。</w:t>
      </w:r>
    </w:p>
    <w:p w14:paraId="5D73962F">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Arial"/>
          <w:color w:val="auto"/>
          <w:szCs w:val="21"/>
          <w:highlight w:val="none"/>
        </w:rPr>
        <w:t>具体内容包括但不限于：沙盘模型展品制作更新和替换、场景复原、互动展项设计采购安装、展板内容更新及造型背板更换、公共空间营造和局部装修改造、设备更新维修、展览导示系统更新、视频影片制作、数字化多媒体设计及制作、展陈流线优化、系统集成、平面制作及安装工程等</w:t>
      </w:r>
      <w:r>
        <w:rPr>
          <w:rFonts w:hint="eastAsia" w:ascii="宋体" w:hAnsi="宋体" w:cs="Arial"/>
          <w:color w:val="auto"/>
          <w:szCs w:val="21"/>
          <w:highlight w:val="none"/>
          <w:lang w:eastAsia="zh-CN"/>
        </w:rPr>
        <w:t>。</w:t>
      </w:r>
    </w:p>
    <w:p w14:paraId="7FA62623">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二、设计深度基本要求</w:t>
      </w:r>
    </w:p>
    <w:p w14:paraId="7951BE1D">
      <w:pPr>
        <w:adjustRightInd w:val="0"/>
        <w:snapToGrid w:val="0"/>
        <w:spacing w:line="360" w:lineRule="auto"/>
        <w:ind w:firstLine="420" w:firstLineChars="200"/>
        <w:jc w:val="left"/>
        <w:rPr>
          <w:rFonts w:hint="eastAsia" w:ascii="宋体" w:hAnsi="宋体" w:cs="Arial"/>
          <w:color w:val="auto"/>
          <w:szCs w:val="21"/>
          <w:highlight w:val="none"/>
        </w:rPr>
      </w:pPr>
      <w:r>
        <w:rPr>
          <w:rFonts w:hint="eastAsia" w:ascii="宋体" w:hAnsi="宋体" w:cs="Arial"/>
          <w:color w:val="auto"/>
          <w:szCs w:val="21"/>
          <w:highlight w:val="none"/>
        </w:rPr>
        <w:t>招标阶段设计成果须达到初步设计深度要求</w:t>
      </w:r>
      <w:r>
        <w:rPr>
          <w:rFonts w:hint="eastAsia" w:ascii="宋体" w:hAnsi="宋体" w:cs="Arial"/>
          <w:color w:val="auto"/>
          <w:szCs w:val="21"/>
          <w:highlight w:val="none"/>
          <w:lang w:eastAsia="zh-CN"/>
        </w:rPr>
        <w:t>，</w:t>
      </w:r>
      <w:r>
        <w:rPr>
          <w:rFonts w:hint="eastAsia" w:ascii="宋体" w:hAnsi="宋体" w:cs="Arial"/>
          <w:color w:val="auto"/>
          <w:szCs w:val="21"/>
          <w:highlight w:val="none"/>
          <w:lang w:val="en-US" w:eastAsia="zh-CN"/>
        </w:rPr>
        <w:t>符合行业相关规范标准</w:t>
      </w:r>
      <w:r>
        <w:rPr>
          <w:rFonts w:hint="eastAsia" w:ascii="宋体" w:hAnsi="宋体" w:cs="Arial"/>
          <w:color w:val="auto"/>
          <w:szCs w:val="21"/>
          <w:highlight w:val="none"/>
        </w:rPr>
        <w:t>。</w:t>
      </w:r>
    </w:p>
    <w:p w14:paraId="64C26EA4">
      <w:pPr>
        <w:adjustRightInd w:val="0"/>
        <w:snapToGrid w:val="0"/>
        <w:spacing w:line="360" w:lineRule="auto"/>
        <w:ind w:firstLine="422" w:firstLineChars="200"/>
        <w:jc w:val="left"/>
        <w:rPr>
          <w:rFonts w:hint="eastAsia" w:ascii="宋体" w:hAnsi="宋体" w:eastAsia="宋体" w:cs="宋体"/>
          <w:b/>
          <w:bCs/>
          <w:snapToGrid w:val="0"/>
          <w:color w:val="auto"/>
          <w:kern w:val="0"/>
          <w:szCs w:val="21"/>
          <w:highlight w:val="none"/>
          <w:lang w:eastAsia="zh-CN"/>
        </w:rPr>
      </w:pPr>
      <w:r>
        <w:rPr>
          <w:rFonts w:hint="eastAsia" w:ascii="宋体" w:hAnsi="宋体" w:cs="宋体"/>
          <w:b/>
          <w:bCs/>
          <w:snapToGrid w:val="0"/>
          <w:color w:val="auto"/>
          <w:kern w:val="0"/>
          <w:szCs w:val="21"/>
          <w:highlight w:val="none"/>
        </w:rPr>
        <w:t>三、总体要求</w:t>
      </w:r>
    </w:p>
    <w:p w14:paraId="1A2C135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将乌鲁木齐规划馆建设成一处突出规划属性</w:t>
      </w:r>
      <w:r>
        <w:rPr>
          <w:rFonts w:hint="eastAsia" w:ascii="宋体" w:hAnsi="宋体" w:cs="宋体"/>
          <w:snapToGrid w:val="0"/>
          <w:color w:val="auto"/>
          <w:kern w:val="0"/>
          <w:szCs w:val="21"/>
          <w:highlight w:val="none"/>
        </w:rPr>
        <w:t>、集中全面展现城市发展成就与未来蓝图的</w:t>
      </w:r>
      <w:r>
        <w:rPr>
          <w:rFonts w:ascii="宋体" w:hAnsi="宋体" w:cs="宋体"/>
          <w:snapToGrid w:val="0"/>
          <w:color w:val="auto"/>
          <w:kern w:val="0"/>
          <w:szCs w:val="21"/>
          <w:highlight w:val="none"/>
        </w:rPr>
        <w:t>展览馆。</w:t>
      </w:r>
    </w:p>
    <w:p w14:paraId="4AC0171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1.内容要求：主题突出，特色鲜明，内涵丰富，</w:t>
      </w:r>
      <w:r>
        <w:rPr>
          <w:rFonts w:hint="eastAsia" w:ascii="宋体" w:hAnsi="宋体" w:cs="宋体"/>
          <w:snapToGrid w:val="0"/>
          <w:color w:val="auto"/>
          <w:kern w:val="0"/>
          <w:szCs w:val="21"/>
          <w:highlight w:val="none"/>
          <w:lang w:val="en-US" w:eastAsia="zh-CN"/>
        </w:rPr>
        <w:t>通俗生动，</w:t>
      </w:r>
      <w:r>
        <w:rPr>
          <w:rFonts w:ascii="宋体" w:hAnsi="宋体" w:cs="宋体"/>
          <w:snapToGrid w:val="0"/>
          <w:color w:val="auto"/>
          <w:kern w:val="0"/>
          <w:szCs w:val="21"/>
          <w:highlight w:val="none"/>
        </w:rPr>
        <w:t>避免雷同。</w:t>
      </w:r>
    </w:p>
    <w:p w14:paraId="55CFFBA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2.总体布展设计：展陈</w:t>
      </w:r>
      <w:r>
        <w:rPr>
          <w:rFonts w:hint="eastAsia" w:ascii="宋体" w:hAnsi="宋体" w:cs="宋体"/>
          <w:snapToGrid w:val="0"/>
          <w:color w:val="auto"/>
          <w:kern w:val="0"/>
          <w:szCs w:val="21"/>
          <w:highlight w:val="none"/>
          <w:lang w:val="en-US" w:eastAsia="zh-CN"/>
        </w:rPr>
        <w:t>技术</w:t>
      </w:r>
      <w:r>
        <w:rPr>
          <w:rFonts w:ascii="宋体" w:hAnsi="宋体" w:cs="宋体"/>
          <w:snapToGrid w:val="0"/>
          <w:color w:val="auto"/>
          <w:kern w:val="0"/>
          <w:szCs w:val="21"/>
          <w:highlight w:val="none"/>
        </w:rPr>
        <w:t>有效服务于展陈内容，做到</w:t>
      </w:r>
      <w:r>
        <w:rPr>
          <w:rFonts w:hint="eastAsia" w:ascii="宋体" w:hAnsi="宋体" w:cs="宋体"/>
          <w:snapToGrid w:val="0"/>
          <w:color w:val="auto"/>
          <w:kern w:val="0"/>
          <w:szCs w:val="21"/>
          <w:highlight w:val="none"/>
        </w:rPr>
        <w:t>疏朗有致、</w:t>
      </w:r>
      <w:r>
        <w:rPr>
          <w:rFonts w:ascii="宋体" w:hAnsi="宋体" w:cs="宋体"/>
          <w:snapToGrid w:val="0"/>
          <w:color w:val="auto"/>
          <w:kern w:val="0"/>
          <w:szCs w:val="21"/>
          <w:highlight w:val="none"/>
        </w:rPr>
        <w:t>创意新颖、大气简洁、形式多样、功能完备，确保布展设计整体和谐、富有节奏感、留下记忆点。</w:t>
      </w:r>
    </w:p>
    <w:p w14:paraId="513446F4">
      <w:pPr>
        <w:adjustRightInd w:val="0"/>
        <w:snapToGrid w:val="0"/>
        <w:spacing w:line="360" w:lineRule="auto"/>
        <w:ind w:firstLine="420" w:firstLineChars="200"/>
        <w:jc w:val="left"/>
        <w:rPr>
          <w:rFonts w:hint="default" w:ascii="宋体" w:hAnsi="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3.坚持节约集约的原则，对</w:t>
      </w:r>
      <w:r>
        <w:rPr>
          <w:rFonts w:ascii="宋体" w:hAnsi="宋体" w:cs="宋体"/>
          <w:snapToGrid w:val="0"/>
          <w:color w:val="auto"/>
          <w:kern w:val="0"/>
          <w:szCs w:val="22"/>
          <w:highlight w:val="none"/>
        </w:rPr>
        <w:t>现状进行评估</w:t>
      </w:r>
      <w:r>
        <w:rPr>
          <w:rFonts w:hint="eastAsia" w:ascii="宋体" w:hAnsi="宋体" w:cs="宋体"/>
          <w:snapToGrid w:val="0"/>
          <w:color w:val="auto"/>
          <w:kern w:val="0"/>
          <w:szCs w:val="22"/>
          <w:highlight w:val="none"/>
          <w:lang w:eastAsia="zh-CN"/>
        </w:rPr>
        <w:t>，</w:t>
      </w:r>
      <w:r>
        <w:rPr>
          <w:rFonts w:ascii="宋体" w:hAnsi="宋体" w:cs="宋体"/>
          <w:snapToGrid w:val="0"/>
          <w:color w:val="auto"/>
          <w:kern w:val="0"/>
          <w:szCs w:val="22"/>
          <w:highlight w:val="none"/>
        </w:rPr>
        <w:t>分析</w:t>
      </w:r>
      <w:r>
        <w:rPr>
          <w:rFonts w:hint="eastAsia" w:ascii="宋体" w:hAnsi="宋体" w:cs="宋体"/>
          <w:snapToGrid w:val="0"/>
          <w:color w:val="auto"/>
          <w:kern w:val="0"/>
          <w:szCs w:val="22"/>
          <w:highlight w:val="none"/>
        </w:rPr>
        <w:t>展馆现有空间利用情况、设施利</w:t>
      </w:r>
      <w:r>
        <w:rPr>
          <w:rFonts w:hint="eastAsia" w:ascii="宋体" w:hAnsi="宋体" w:cs="宋体"/>
          <w:snapToGrid w:val="0"/>
          <w:color w:val="auto"/>
          <w:kern w:val="0"/>
          <w:szCs w:val="22"/>
          <w:highlight w:val="none"/>
          <w:lang w:val="en-US" w:eastAsia="zh-CN"/>
        </w:rPr>
        <w:t>用情况，在设备清单的基础上进一步明确利旧方案。</w:t>
      </w:r>
    </w:p>
    <w:p w14:paraId="06D0C05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4</w:t>
      </w: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各楼层</w:t>
      </w:r>
      <w:r>
        <w:rPr>
          <w:rFonts w:ascii="宋体" w:hAnsi="宋体" w:cs="宋体"/>
          <w:snapToGrid w:val="0"/>
          <w:color w:val="auto"/>
          <w:kern w:val="0"/>
          <w:szCs w:val="21"/>
          <w:highlight w:val="none"/>
        </w:rPr>
        <w:t>展区设计：充分考虑</w:t>
      </w:r>
      <w:r>
        <w:rPr>
          <w:rFonts w:hint="eastAsia" w:ascii="宋体" w:hAnsi="宋体" w:cs="宋体"/>
          <w:snapToGrid w:val="0"/>
          <w:color w:val="auto"/>
          <w:kern w:val="0"/>
          <w:szCs w:val="21"/>
          <w:highlight w:val="none"/>
          <w:lang w:val="en-US" w:eastAsia="zh-CN"/>
        </w:rPr>
        <w:t>展馆空间布局和建筑特点</w:t>
      </w:r>
      <w:r>
        <w:rPr>
          <w:rFonts w:ascii="宋体" w:hAnsi="宋体" w:cs="宋体"/>
          <w:snapToGrid w:val="0"/>
          <w:color w:val="auto"/>
          <w:kern w:val="0"/>
          <w:szCs w:val="21"/>
          <w:highlight w:val="none"/>
        </w:rPr>
        <w:t>，形成开合有致的空间序列、疏密结合的展览布局。在遵循总体布展设计原则的前提下，突出各展区特色。</w:t>
      </w:r>
    </w:p>
    <w:p w14:paraId="60E35476">
      <w:pPr>
        <w:adjustRightInd w:val="0"/>
        <w:snapToGrid w:val="0"/>
        <w:spacing w:line="360" w:lineRule="auto"/>
        <w:ind w:firstLine="420" w:firstLineChars="200"/>
        <w:jc w:val="left"/>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5.各楼层展览主题：一层原则保留原“一带一路”主题，补充完善新疆和乌鲁木齐融入“一带一路”倡议的具体行动举措和建设成就；二层重点展览城市总体规划与发展愿景，集中全面展示总体定位、空间布局、交通布局、产业布局、城市风貌、生态布局、城市中心区等内容；三层重点展览八大重点片区规划等；四层重点通过沙盘和影片立体展示城市蓝图与未来愿景，在其他区域展览区(县)规划和专项规划。</w:t>
      </w:r>
      <w:r>
        <w:rPr>
          <w:rFonts w:ascii="宋体" w:hAnsi="宋体" w:eastAsia="宋体" w:cs="宋体"/>
          <w:snapToGrid w:val="0"/>
          <w:color w:val="auto"/>
          <w:kern w:val="0"/>
          <w:szCs w:val="21"/>
          <w:highlight w:val="none"/>
        </w:rPr>
        <w:t>针对</w:t>
      </w:r>
      <w:r>
        <w:rPr>
          <w:rFonts w:hint="default" w:ascii="宋体" w:hAnsi="宋体" w:eastAsia="宋体" w:cs="宋体"/>
          <w:snapToGrid w:val="0"/>
          <w:color w:val="auto"/>
          <w:kern w:val="0"/>
          <w:szCs w:val="21"/>
          <w:highlight w:val="none"/>
        </w:rPr>
        <w:t>政务接待、商务考察、公众游览等</w:t>
      </w:r>
      <w:r>
        <w:rPr>
          <w:rFonts w:ascii="宋体" w:hAnsi="宋体" w:eastAsia="宋体" w:cs="宋体"/>
          <w:snapToGrid w:val="0"/>
          <w:color w:val="auto"/>
          <w:kern w:val="0"/>
          <w:szCs w:val="21"/>
          <w:highlight w:val="none"/>
        </w:rPr>
        <w:t>不同的</w:t>
      </w:r>
      <w:r>
        <w:rPr>
          <w:rFonts w:hint="default" w:ascii="宋体" w:hAnsi="宋体" w:eastAsia="宋体" w:cs="宋体"/>
          <w:snapToGrid w:val="0"/>
          <w:color w:val="auto"/>
          <w:kern w:val="0"/>
          <w:szCs w:val="21"/>
          <w:highlight w:val="none"/>
        </w:rPr>
        <w:t>观展场景</w:t>
      </w:r>
      <w:r>
        <w:rPr>
          <w:rFonts w:ascii="宋体" w:hAnsi="宋体" w:eastAsia="宋体" w:cs="宋体"/>
          <w:snapToGrid w:val="0"/>
          <w:color w:val="auto"/>
          <w:kern w:val="0"/>
          <w:szCs w:val="21"/>
          <w:highlight w:val="none"/>
        </w:rPr>
        <w:t>，合理安排重点展项。对承载重要导览内容的展项应进行重点设计，保障良好的展示氛围、完善的内容表达、新颖的设计形式</w:t>
      </w:r>
      <w:r>
        <w:rPr>
          <w:rFonts w:hint="eastAsia" w:ascii="宋体" w:hAnsi="宋体" w:eastAsia="宋体" w:cs="宋体"/>
          <w:snapToGrid w:val="0"/>
          <w:color w:val="auto"/>
          <w:kern w:val="0"/>
          <w:szCs w:val="21"/>
          <w:highlight w:val="none"/>
          <w:lang w:eastAsia="zh-CN"/>
        </w:rPr>
        <w:t>，</w:t>
      </w:r>
      <w:r>
        <w:rPr>
          <w:rFonts w:ascii="宋体" w:hAnsi="宋体" w:eastAsia="宋体" w:cs="宋体"/>
          <w:snapToGrid w:val="0"/>
          <w:color w:val="auto"/>
          <w:kern w:val="0"/>
          <w:szCs w:val="21"/>
          <w:highlight w:val="none"/>
        </w:rPr>
        <w:t>合理安排体验性和交互性展项，调节观展体验和节奏。</w:t>
      </w:r>
    </w:p>
    <w:p w14:paraId="54DDC44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6</w:t>
      </w:r>
      <w:r>
        <w:rPr>
          <w:rFonts w:ascii="宋体" w:hAnsi="宋体" w:cs="宋体"/>
          <w:snapToGrid w:val="0"/>
          <w:color w:val="auto"/>
          <w:kern w:val="0"/>
          <w:szCs w:val="21"/>
          <w:highlight w:val="none"/>
        </w:rPr>
        <w:t>.功能分区：合理布局展示区域、临展区域、公众参与空间、设备机房、配套空间等，确保符合规范要求且使用便利。</w:t>
      </w:r>
    </w:p>
    <w:p w14:paraId="3F396525">
      <w:pPr>
        <w:adjustRightInd w:val="0"/>
        <w:snapToGrid w:val="0"/>
        <w:spacing w:line="360" w:lineRule="auto"/>
        <w:ind w:firstLine="420" w:firstLineChars="200"/>
        <w:jc w:val="left"/>
        <w:rPr>
          <w:rFonts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lang w:eastAsia="zh-CN"/>
        </w:rPr>
        <w:t>7</w:t>
      </w:r>
      <w:r>
        <w:rPr>
          <w:rFonts w:ascii="宋体" w:hAnsi="宋体" w:eastAsia="宋体" w:cs="宋体"/>
          <w:snapToGrid w:val="0"/>
          <w:color w:val="auto"/>
          <w:kern w:val="0"/>
          <w:szCs w:val="21"/>
          <w:highlight w:val="none"/>
        </w:rPr>
        <w:t>.参观流线：逻辑合理、流线清晰、标识明确，根据不同参观需求，</w:t>
      </w:r>
      <w:r>
        <w:rPr>
          <w:rFonts w:hint="eastAsia" w:ascii="宋体" w:hAnsi="宋体" w:cs="宋体"/>
          <w:snapToGrid w:val="0"/>
          <w:color w:val="auto"/>
          <w:kern w:val="0"/>
          <w:szCs w:val="21"/>
          <w:highlight w:val="none"/>
          <w:lang w:val="en-US" w:eastAsia="zh-CN"/>
        </w:rPr>
        <w:t>结合</w:t>
      </w:r>
      <w:r>
        <w:rPr>
          <w:rFonts w:hint="eastAsia" w:ascii="宋体" w:hAnsi="宋体" w:cs="宋体"/>
          <w:snapToGrid w:val="0"/>
          <w:color w:val="auto"/>
          <w:kern w:val="0"/>
          <w:szCs w:val="21"/>
          <w:highlight w:val="none"/>
        </w:rPr>
        <w:t>《乌鲁木齐市城市规划馆展陈更新大纲》</w:t>
      </w:r>
      <w:r>
        <w:rPr>
          <w:rFonts w:ascii="宋体" w:hAnsi="宋体" w:eastAsia="宋体" w:cs="宋体"/>
          <w:snapToGrid w:val="0"/>
          <w:color w:val="auto"/>
          <w:kern w:val="0"/>
          <w:szCs w:val="21"/>
          <w:highlight w:val="none"/>
        </w:rPr>
        <w:t>设置</w:t>
      </w:r>
      <w:r>
        <w:rPr>
          <w:rFonts w:hint="default" w:ascii="宋体" w:hAnsi="宋体" w:eastAsia="宋体" w:cs="宋体"/>
          <w:snapToGrid w:val="0"/>
          <w:color w:val="auto"/>
          <w:kern w:val="0"/>
          <w:szCs w:val="21"/>
          <w:highlight w:val="none"/>
        </w:rPr>
        <w:t>多条</w:t>
      </w:r>
      <w:r>
        <w:rPr>
          <w:rFonts w:ascii="宋体" w:hAnsi="宋体" w:eastAsia="宋体" w:cs="宋体"/>
          <w:snapToGrid w:val="0"/>
          <w:color w:val="auto"/>
          <w:kern w:val="0"/>
          <w:szCs w:val="21"/>
          <w:highlight w:val="none"/>
        </w:rPr>
        <w:t>参观流线，以及无障碍流线。</w:t>
      </w:r>
    </w:p>
    <w:p w14:paraId="69681FC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8</w:t>
      </w:r>
      <w:r>
        <w:rPr>
          <w:rFonts w:ascii="宋体" w:hAnsi="宋体" w:cs="宋体"/>
          <w:snapToGrid w:val="0"/>
          <w:color w:val="auto"/>
          <w:kern w:val="0"/>
          <w:szCs w:val="21"/>
          <w:highlight w:val="none"/>
        </w:rPr>
        <w:t>.装饰风格：配色雅致，高级简约。</w:t>
      </w:r>
    </w:p>
    <w:p w14:paraId="63F613B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9</w:t>
      </w:r>
      <w:r>
        <w:rPr>
          <w:rFonts w:ascii="宋体" w:hAnsi="宋体" w:cs="宋体"/>
          <w:snapToGrid w:val="0"/>
          <w:color w:val="auto"/>
          <w:kern w:val="0"/>
          <w:szCs w:val="21"/>
          <w:highlight w:val="none"/>
        </w:rPr>
        <w:t>.景观设计：考虑单层面积较大的现状，应结合功能分区加强对关键节点的空间优化和设计，以避免观赏疲劳。</w:t>
      </w:r>
    </w:p>
    <w:p w14:paraId="2A01F0B9">
      <w:pPr>
        <w:adjustRightInd w:val="0"/>
        <w:snapToGrid w:val="0"/>
        <w:spacing w:line="360" w:lineRule="auto"/>
        <w:ind w:firstLine="420" w:firstLineChars="200"/>
        <w:jc w:val="left"/>
        <w:rPr>
          <w:rFonts w:ascii="宋体" w:hAnsi="宋体" w:eastAsia="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10</w:t>
      </w:r>
      <w:r>
        <w:rPr>
          <w:rFonts w:ascii="宋体" w:hAnsi="宋体" w:cs="宋体"/>
          <w:snapToGrid w:val="0"/>
          <w:color w:val="auto"/>
          <w:kern w:val="0"/>
          <w:szCs w:val="21"/>
          <w:highlight w:val="none"/>
        </w:rPr>
        <w:t>.多媒体互动展示：有效运用机械装置+投影、AR、RFID</w:t>
      </w:r>
      <w:r>
        <w:rPr>
          <w:rFonts w:hint="eastAsia" w:ascii="宋体" w:hAnsi="宋体" w:cs="宋体"/>
          <w:snapToGrid w:val="0"/>
          <w:color w:val="auto"/>
          <w:kern w:val="0"/>
          <w:szCs w:val="21"/>
          <w:highlight w:val="none"/>
        </w:rPr>
        <w:t>、</w:t>
      </w:r>
      <w:r>
        <w:rPr>
          <w:rFonts w:ascii="宋体" w:hAnsi="宋体" w:cs="宋体"/>
          <w:snapToGrid w:val="0"/>
          <w:color w:val="auto"/>
          <w:kern w:val="0"/>
          <w:szCs w:val="21"/>
          <w:highlight w:val="none"/>
        </w:rPr>
        <w:t>滑轨屏、人体感应、全景图、场景模拟（VR）等高科技互动手段和多媒体技术设备，并使之深度服务于展陈内容，打造沉浸式、互动</w:t>
      </w:r>
      <w:r>
        <w:rPr>
          <w:rFonts w:ascii="宋体" w:hAnsi="宋体" w:eastAsia="宋体" w:cs="宋体"/>
          <w:snapToGrid w:val="0"/>
          <w:color w:val="auto"/>
          <w:kern w:val="0"/>
          <w:szCs w:val="21"/>
          <w:highlight w:val="none"/>
        </w:rPr>
        <w:t>体验式的参观模式。</w:t>
      </w:r>
    </w:p>
    <w:p w14:paraId="0A495889">
      <w:pPr>
        <w:adjustRightInd w:val="0"/>
        <w:snapToGrid w:val="0"/>
        <w:spacing w:line="360" w:lineRule="auto"/>
        <w:ind w:firstLine="420" w:firstLineChars="200"/>
        <w:jc w:val="left"/>
        <w:rPr>
          <w:rFonts w:hint="default"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11.</w:t>
      </w:r>
      <w:r>
        <w:rPr>
          <w:rFonts w:hint="default" w:ascii="宋体" w:hAnsi="宋体" w:eastAsia="宋体" w:cs="宋体"/>
          <w:snapToGrid w:val="0"/>
          <w:color w:val="auto"/>
          <w:kern w:val="0"/>
          <w:szCs w:val="21"/>
          <w:highlight w:val="none"/>
          <w:lang w:val="en-US" w:eastAsia="zh-CN"/>
        </w:rPr>
        <w:t>序厅</w:t>
      </w:r>
      <w:r>
        <w:rPr>
          <w:rFonts w:hint="eastAsia" w:ascii="宋体" w:hAnsi="宋体" w:cs="宋体"/>
          <w:snapToGrid w:val="0"/>
          <w:color w:val="auto"/>
          <w:kern w:val="0"/>
          <w:szCs w:val="21"/>
          <w:highlight w:val="none"/>
          <w:lang w:val="en-US" w:eastAsia="zh-CN"/>
        </w:rPr>
        <w:t>及影片</w:t>
      </w:r>
      <w:r>
        <w:rPr>
          <w:rFonts w:hint="default" w:ascii="宋体" w:hAnsi="宋体" w:eastAsia="宋体" w:cs="宋体"/>
          <w:snapToGrid w:val="0"/>
          <w:color w:val="auto"/>
          <w:kern w:val="0"/>
          <w:szCs w:val="21"/>
          <w:highlight w:val="none"/>
          <w:lang w:val="en-US" w:eastAsia="zh-CN"/>
        </w:rPr>
        <w:t>：</w:t>
      </w:r>
      <w:r>
        <w:rPr>
          <w:rFonts w:hint="eastAsia" w:ascii="宋体" w:hAnsi="宋体" w:eastAsia="宋体" w:cs="宋体"/>
          <w:snapToGrid w:val="0"/>
          <w:color w:val="auto"/>
          <w:kern w:val="0"/>
          <w:szCs w:val="21"/>
          <w:highlight w:val="none"/>
          <w:lang w:val="en-US" w:eastAsia="zh-CN"/>
        </w:rPr>
        <w:t>整体要</w:t>
      </w:r>
      <w:r>
        <w:rPr>
          <w:rFonts w:hint="default" w:ascii="宋体" w:hAnsi="宋体" w:eastAsia="宋体" w:cs="宋体"/>
          <w:snapToGrid w:val="0"/>
          <w:color w:val="auto"/>
          <w:kern w:val="0"/>
          <w:szCs w:val="21"/>
          <w:highlight w:val="none"/>
        </w:rPr>
        <w:t>体现现代感与震撼感</w:t>
      </w:r>
      <w:r>
        <w:rPr>
          <w:rFonts w:hint="eastAsia" w:ascii="宋体" w:hAnsi="宋体" w:eastAsia="宋体" w:cs="宋体"/>
          <w:snapToGrid w:val="0"/>
          <w:color w:val="auto"/>
          <w:kern w:val="0"/>
          <w:szCs w:val="21"/>
          <w:highlight w:val="none"/>
          <w:lang w:eastAsia="zh-CN"/>
        </w:rPr>
        <w:t>。</w:t>
      </w:r>
      <w:r>
        <w:rPr>
          <w:rFonts w:hint="default" w:ascii="宋体" w:hAnsi="宋体" w:eastAsia="宋体" w:cs="宋体"/>
          <w:snapToGrid w:val="0"/>
          <w:color w:val="auto"/>
          <w:kern w:val="0"/>
          <w:szCs w:val="21"/>
          <w:highlight w:val="none"/>
        </w:rPr>
        <w:t>更新提升序厅空间品质，使之成为进入规划馆第一印象空间，具有简约大气、不失亲切舒适的氛围效果</w:t>
      </w:r>
      <w:r>
        <w:rPr>
          <w:rFonts w:hint="default" w:ascii="宋体" w:hAnsi="宋体" w:eastAsia="宋体" w:cs="宋体"/>
          <w:snapToGrid w:val="0"/>
          <w:color w:val="auto"/>
          <w:kern w:val="0"/>
          <w:szCs w:val="21"/>
          <w:highlight w:val="none"/>
          <w:lang w:eastAsia="zh-CN"/>
        </w:rPr>
        <w:t>；</w:t>
      </w:r>
      <w:r>
        <w:rPr>
          <w:rFonts w:hint="default" w:ascii="宋体" w:hAnsi="宋体" w:eastAsia="宋体" w:cs="宋体"/>
          <w:snapToGrid w:val="0"/>
          <w:color w:val="auto"/>
          <w:kern w:val="0"/>
          <w:szCs w:val="21"/>
          <w:highlight w:val="none"/>
          <w:lang w:val="en-US" w:eastAsia="zh-CN"/>
        </w:rPr>
        <w:t>拍摄制作</w:t>
      </w:r>
      <w:r>
        <w:rPr>
          <w:rFonts w:hint="default" w:ascii="宋体" w:hAnsi="宋体" w:eastAsia="宋体" w:cs="宋体"/>
          <w:snapToGrid w:val="0"/>
          <w:color w:val="auto"/>
          <w:kern w:val="0"/>
          <w:szCs w:val="21"/>
          <w:highlight w:val="none"/>
        </w:rPr>
        <w:t>序厅影片</w:t>
      </w:r>
      <w:r>
        <w:rPr>
          <w:rFonts w:hint="default" w:ascii="宋体" w:hAnsi="宋体" w:eastAsia="宋体" w:cs="宋体"/>
          <w:snapToGrid w:val="0"/>
          <w:color w:val="auto"/>
          <w:kern w:val="0"/>
          <w:szCs w:val="21"/>
          <w:highlight w:val="none"/>
          <w:lang w:val="en-US" w:eastAsia="zh-CN"/>
        </w:rPr>
        <w:t>专业版影片1-2个，要求</w:t>
      </w:r>
      <w:r>
        <w:rPr>
          <w:rFonts w:hint="eastAsia" w:ascii="宋体" w:hAnsi="宋体" w:eastAsia="宋体" w:cs="宋体"/>
          <w:snapToGrid w:val="0"/>
          <w:color w:val="auto"/>
          <w:kern w:val="0"/>
          <w:szCs w:val="21"/>
          <w:highlight w:val="none"/>
          <w:lang w:val="en-US" w:eastAsia="zh-CN"/>
        </w:rPr>
        <w:t>单个</w:t>
      </w:r>
      <w:r>
        <w:rPr>
          <w:rFonts w:hint="default" w:ascii="宋体" w:hAnsi="宋体" w:eastAsia="宋体" w:cs="宋体"/>
          <w:snapToGrid w:val="0"/>
          <w:color w:val="auto"/>
          <w:kern w:val="0"/>
          <w:szCs w:val="21"/>
          <w:highlight w:val="none"/>
          <w:lang w:val="en-US" w:eastAsia="zh-CN"/>
        </w:rPr>
        <w:t>影片时长</w:t>
      </w:r>
      <w:r>
        <w:rPr>
          <w:rFonts w:hint="eastAsia" w:ascii="宋体" w:hAnsi="宋体" w:cs="宋体"/>
          <w:snapToGrid w:val="0"/>
          <w:color w:val="auto"/>
          <w:kern w:val="0"/>
          <w:szCs w:val="21"/>
          <w:highlight w:val="none"/>
          <w:lang w:val="en-US" w:eastAsia="zh-CN"/>
        </w:rPr>
        <w:t>2</w:t>
      </w:r>
      <w:r>
        <w:rPr>
          <w:rFonts w:hint="default" w:ascii="宋体" w:hAnsi="宋体" w:eastAsia="宋体" w:cs="宋体"/>
          <w:snapToGrid w:val="0"/>
          <w:color w:val="auto"/>
          <w:kern w:val="0"/>
          <w:szCs w:val="21"/>
          <w:highlight w:val="none"/>
          <w:lang w:val="en-US" w:eastAsia="zh-CN"/>
        </w:rPr>
        <w:t>-</w:t>
      </w:r>
      <w:r>
        <w:rPr>
          <w:rFonts w:hint="eastAsia" w:ascii="宋体" w:hAnsi="宋体" w:cs="宋体"/>
          <w:snapToGrid w:val="0"/>
          <w:color w:val="auto"/>
          <w:kern w:val="0"/>
          <w:szCs w:val="21"/>
          <w:highlight w:val="none"/>
          <w:lang w:val="en-US" w:eastAsia="zh-CN"/>
        </w:rPr>
        <w:t>3</w:t>
      </w:r>
      <w:r>
        <w:rPr>
          <w:rFonts w:hint="default" w:ascii="宋体" w:hAnsi="宋体" w:eastAsia="宋体" w:cs="宋体"/>
          <w:snapToGrid w:val="0"/>
          <w:color w:val="auto"/>
          <w:kern w:val="0"/>
          <w:szCs w:val="21"/>
          <w:highlight w:val="none"/>
          <w:lang w:val="en-US" w:eastAsia="zh-CN"/>
        </w:rPr>
        <w:t>分钟</w:t>
      </w:r>
      <w:r>
        <w:rPr>
          <w:rFonts w:hint="eastAsia" w:ascii="宋体" w:hAnsi="宋体" w:cs="宋体"/>
          <w:snapToGrid w:val="0"/>
          <w:color w:val="auto"/>
          <w:kern w:val="0"/>
          <w:szCs w:val="21"/>
          <w:highlight w:val="none"/>
          <w:lang w:val="en-US" w:eastAsia="zh-CN"/>
        </w:rPr>
        <w:t>，需</w:t>
      </w:r>
      <w:r>
        <w:rPr>
          <w:rFonts w:hint="eastAsia" w:ascii="宋体" w:hAnsi="宋体" w:eastAsia="宋体" w:cs="宋体"/>
          <w:snapToGrid w:val="0"/>
          <w:color w:val="auto"/>
          <w:kern w:val="0"/>
          <w:szCs w:val="21"/>
          <w:highlight w:val="none"/>
          <w:lang w:val="en-US" w:eastAsia="zh-CN"/>
        </w:rPr>
        <w:t>在《乌鲁木齐市城市规划馆展陈更新大纲》的基础上进一步深化，</w:t>
      </w:r>
      <w:r>
        <w:rPr>
          <w:rFonts w:hint="default" w:ascii="宋体" w:hAnsi="宋体" w:eastAsia="宋体" w:cs="宋体"/>
          <w:snapToGrid w:val="0"/>
          <w:color w:val="auto"/>
          <w:kern w:val="0"/>
          <w:szCs w:val="21"/>
          <w:highlight w:val="none"/>
          <w:lang w:val="en-US" w:eastAsia="zh-CN"/>
        </w:rPr>
        <w:t>从形式上和内容上</w:t>
      </w:r>
      <w:r>
        <w:rPr>
          <w:rFonts w:hint="default" w:ascii="宋体" w:hAnsi="宋体" w:eastAsia="宋体" w:cs="宋体"/>
          <w:snapToGrid w:val="0"/>
          <w:color w:val="auto"/>
          <w:kern w:val="0"/>
          <w:szCs w:val="21"/>
          <w:highlight w:val="none"/>
        </w:rPr>
        <w:t>展现</w:t>
      </w:r>
      <w:r>
        <w:rPr>
          <w:rFonts w:hint="eastAsia" w:ascii="宋体" w:hAnsi="宋体" w:eastAsia="宋体" w:cs="宋体"/>
          <w:snapToGrid w:val="0"/>
          <w:color w:val="auto"/>
          <w:kern w:val="0"/>
          <w:szCs w:val="21"/>
          <w:highlight w:val="none"/>
          <w:lang w:val="en-US" w:eastAsia="zh-CN"/>
        </w:rPr>
        <w:t>新时代党的治疆方略下的乌鲁木齐实践与成就</w:t>
      </w:r>
      <w:r>
        <w:rPr>
          <w:rFonts w:hint="eastAsia" w:ascii="宋体" w:hAnsi="宋体" w:cs="宋体"/>
          <w:snapToGrid w:val="0"/>
          <w:color w:val="auto"/>
          <w:kern w:val="0"/>
          <w:szCs w:val="21"/>
          <w:highlight w:val="none"/>
          <w:lang w:val="en-US" w:eastAsia="zh-CN"/>
        </w:rPr>
        <w:t>。</w:t>
      </w:r>
    </w:p>
    <w:p w14:paraId="4523EF0C">
      <w:pPr>
        <w:adjustRightInd w:val="0"/>
        <w:snapToGrid w:val="0"/>
        <w:spacing w:line="360" w:lineRule="auto"/>
        <w:ind w:firstLine="420" w:firstLineChars="200"/>
        <w:jc w:val="left"/>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2</w:t>
      </w: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lang w:val="en-US" w:eastAsia="zh-CN"/>
        </w:rPr>
        <w:t>城市</w:t>
      </w:r>
      <w:r>
        <w:rPr>
          <w:rFonts w:hint="eastAsia" w:ascii="宋体" w:hAnsi="宋体" w:eastAsia="宋体" w:cs="宋体"/>
          <w:snapToGrid w:val="0"/>
          <w:color w:val="auto"/>
          <w:kern w:val="0"/>
          <w:szCs w:val="21"/>
          <w:highlight w:val="none"/>
        </w:rPr>
        <w:t>沙盘</w:t>
      </w:r>
      <w:r>
        <w:rPr>
          <w:rFonts w:hint="eastAsia" w:ascii="宋体" w:hAnsi="宋体" w:eastAsia="宋体" w:cs="宋体"/>
          <w:snapToGrid w:val="0"/>
          <w:color w:val="auto"/>
          <w:kern w:val="0"/>
          <w:szCs w:val="21"/>
          <w:highlight w:val="none"/>
          <w:lang w:val="en-US" w:eastAsia="zh-CN"/>
        </w:rPr>
        <w:t>及影片</w:t>
      </w: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 w:val="21"/>
          <w:szCs w:val="21"/>
          <w:highlight w:val="none"/>
        </w:rPr>
        <w:t>制作市域沙盘模型，外围小比例表现全域地形地貌特征，中部大比例细腻表现中心城区，着重展现空间格局、产业布局、交通布局、生态布局、城市风貌、城市中心</w:t>
      </w:r>
      <w:r>
        <w:rPr>
          <w:rFonts w:hint="eastAsia" w:ascii="宋体" w:hAnsi="宋体" w:eastAsia="宋体" w:cs="宋体"/>
          <w:snapToGrid w:val="0"/>
          <w:color w:val="auto"/>
          <w:kern w:val="0"/>
          <w:sz w:val="21"/>
          <w:szCs w:val="21"/>
          <w:highlight w:val="none"/>
          <w:lang w:val="en-US" w:eastAsia="zh-CN"/>
        </w:rPr>
        <w:t>区</w:t>
      </w:r>
      <w:r>
        <w:rPr>
          <w:rFonts w:hint="eastAsia" w:ascii="宋体" w:hAnsi="宋体" w:eastAsia="宋体" w:cs="宋体"/>
          <w:snapToGrid w:val="0"/>
          <w:color w:val="auto"/>
          <w:kern w:val="0"/>
          <w:sz w:val="21"/>
          <w:szCs w:val="21"/>
          <w:highlight w:val="none"/>
        </w:rPr>
        <w:t>等，体现现代化国际城市整体形象</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Cs w:val="21"/>
          <w:highlight w:val="none"/>
        </w:rPr>
        <w:t>沙盘外围</w:t>
      </w:r>
      <w:r>
        <w:rPr>
          <w:rFonts w:hint="eastAsia" w:ascii="宋体" w:hAnsi="宋体" w:eastAsia="宋体" w:cs="宋体"/>
          <w:snapToGrid w:val="0"/>
          <w:color w:val="auto"/>
          <w:kern w:val="0"/>
          <w:szCs w:val="21"/>
          <w:highlight w:val="none"/>
          <w:lang w:val="en-US" w:eastAsia="zh-CN"/>
        </w:rPr>
        <w:t>可</w:t>
      </w:r>
      <w:r>
        <w:rPr>
          <w:rFonts w:hint="eastAsia" w:ascii="宋体" w:hAnsi="宋体" w:eastAsia="宋体" w:cs="宋体"/>
          <w:snapToGrid w:val="0"/>
          <w:color w:val="auto"/>
          <w:kern w:val="0"/>
          <w:szCs w:val="21"/>
          <w:highlight w:val="none"/>
        </w:rPr>
        <w:t>配置触控设备或AR供观众在观看沙盘时自由探索，内容兼顾趣味性和信息的有效性。影片在《乌鲁木齐市城市规划馆展陈更新大纲》基础上进一步</w:t>
      </w:r>
      <w:r>
        <w:rPr>
          <w:rFonts w:hint="eastAsia" w:ascii="宋体" w:hAnsi="宋体" w:eastAsia="宋体" w:cs="宋体"/>
          <w:snapToGrid w:val="0"/>
          <w:color w:val="auto"/>
          <w:kern w:val="0"/>
          <w:szCs w:val="21"/>
          <w:highlight w:val="none"/>
          <w:lang w:val="en-US" w:eastAsia="zh-CN"/>
        </w:rPr>
        <w:t>深化</w:t>
      </w: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lang w:val="en-US" w:eastAsia="zh-CN"/>
        </w:rPr>
        <w:t>展现乌鲁木齐市建设现代化国际城市的蓝图与未来愿景。</w:t>
      </w:r>
    </w:p>
    <w:p w14:paraId="4CA4F8B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val="en-US" w:eastAsia="zh-CN"/>
        </w:rPr>
        <w:t>3</w:t>
      </w:r>
      <w:r>
        <w:rPr>
          <w:rFonts w:ascii="宋体" w:hAnsi="宋体" w:cs="宋体"/>
          <w:snapToGrid w:val="0"/>
          <w:color w:val="auto"/>
          <w:kern w:val="0"/>
          <w:szCs w:val="21"/>
          <w:highlight w:val="none"/>
        </w:rPr>
        <w:t>.三维数字模型：通过地理空间数据的可视化，</w:t>
      </w:r>
      <w:r>
        <w:rPr>
          <w:rFonts w:hint="eastAsia" w:ascii="宋体" w:hAnsi="宋体" w:cs="宋体"/>
          <w:snapToGrid w:val="0"/>
          <w:color w:val="auto"/>
          <w:kern w:val="0"/>
          <w:szCs w:val="21"/>
          <w:highlight w:val="none"/>
        </w:rPr>
        <w:t>形成</w:t>
      </w:r>
      <w:r>
        <w:rPr>
          <w:rFonts w:ascii="宋体" w:hAnsi="宋体" w:cs="宋体"/>
          <w:snapToGrid w:val="0"/>
          <w:color w:val="auto"/>
          <w:kern w:val="0"/>
          <w:szCs w:val="21"/>
          <w:highlight w:val="none"/>
        </w:rPr>
        <w:t>乌鲁木齐市</w:t>
      </w:r>
      <w:r>
        <w:rPr>
          <w:rFonts w:hint="eastAsia" w:ascii="宋体" w:hAnsi="宋体" w:cs="宋体"/>
          <w:snapToGrid w:val="0"/>
          <w:color w:val="auto"/>
          <w:kern w:val="0"/>
          <w:szCs w:val="21"/>
          <w:highlight w:val="none"/>
        </w:rPr>
        <w:t>全域</w:t>
      </w:r>
      <w:r>
        <w:rPr>
          <w:rFonts w:ascii="宋体" w:hAnsi="宋体" w:cs="宋体"/>
          <w:snapToGrid w:val="0"/>
          <w:color w:val="auto"/>
          <w:kern w:val="0"/>
          <w:szCs w:val="21"/>
          <w:highlight w:val="none"/>
        </w:rPr>
        <w:t>三维数字模型，</w:t>
      </w:r>
      <w:r>
        <w:rPr>
          <w:rFonts w:hint="eastAsia" w:ascii="宋体" w:hAnsi="宋体" w:cs="宋体"/>
          <w:snapToGrid w:val="0"/>
          <w:color w:val="auto"/>
          <w:kern w:val="0"/>
          <w:szCs w:val="21"/>
          <w:highlight w:val="none"/>
        </w:rPr>
        <w:t>重点展示中心城区，要求</w:t>
      </w:r>
      <w:r>
        <w:rPr>
          <w:rFonts w:ascii="宋体" w:hAnsi="宋体" w:cs="宋体"/>
          <w:snapToGrid w:val="0"/>
          <w:color w:val="auto"/>
          <w:kern w:val="0"/>
          <w:szCs w:val="21"/>
          <w:highlight w:val="none"/>
        </w:rPr>
        <w:t>内容丰富、视觉震撼</w:t>
      </w:r>
      <w:r>
        <w:rPr>
          <w:rFonts w:hint="eastAsia" w:ascii="宋体" w:hAnsi="宋体" w:cs="宋体"/>
          <w:snapToGrid w:val="0"/>
          <w:color w:val="auto"/>
          <w:kern w:val="0"/>
          <w:szCs w:val="21"/>
          <w:highlight w:val="none"/>
        </w:rPr>
        <w:t>、播放流畅</w:t>
      </w:r>
      <w:r>
        <w:rPr>
          <w:rFonts w:ascii="宋体" w:hAnsi="宋体" w:cs="宋体"/>
          <w:snapToGrid w:val="0"/>
          <w:color w:val="auto"/>
          <w:kern w:val="0"/>
          <w:szCs w:val="21"/>
          <w:highlight w:val="none"/>
        </w:rPr>
        <w:t>。</w:t>
      </w:r>
    </w:p>
    <w:p w14:paraId="28C74F7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val="en-US" w:eastAsia="zh-CN"/>
        </w:rPr>
        <w:t>4</w:t>
      </w: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rPr>
        <w:t>其他</w:t>
      </w:r>
      <w:r>
        <w:rPr>
          <w:rFonts w:ascii="宋体" w:hAnsi="宋体" w:cs="宋体"/>
          <w:snapToGrid w:val="0"/>
          <w:color w:val="auto"/>
          <w:kern w:val="0"/>
          <w:szCs w:val="21"/>
          <w:highlight w:val="none"/>
        </w:rPr>
        <w:t>各类模型：</w:t>
      </w:r>
      <w:r>
        <w:rPr>
          <w:rFonts w:hint="eastAsia" w:ascii="宋体" w:hAnsi="宋体" w:cs="宋体"/>
          <w:snapToGrid w:val="0"/>
          <w:color w:val="auto"/>
          <w:kern w:val="0"/>
          <w:szCs w:val="21"/>
          <w:highlight w:val="none"/>
        </w:rPr>
        <w:t>包含且不限于实体模型、场景复原等，</w:t>
      </w:r>
      <w:r>
        <w:rPr>
          <w:rFonts w:ascii="宋体" w:hAnsi="宋体" w:cs="宋体"/>
          <w:snapToGrid w:val="0"/>
          <w:color w:val="auto"/>
          <w:kern w:val="0"/>
          <w:szCs w:val="21"/>
          <w:highlight w:val="none"/>
        </w:rPr>
        <w:t>模型设计制作要求符合不同场景的展示要求，富有时代气息和城市规划理念（涉及数字化的展示模块需提供具体实施方案和演绎脚本）。需标明模型制作的大小、精致程度、材质和更新措施</w:t>
      </w:r>
      <w:r>
        <w:rPr>
          <w:rFonts w:hint="eastAsia" w:ascii="宋体" w:hAnsi="宋体" w:cs="宋体"/>
          <w:snapToGrid w:val="0"/>
          <w:color w:val="auto"/>
          <w:kern w:val="0"/>
          <w:szCs w:val="21"/>
          <w:highlight w:val="none"/>
        </w:rPr>
        <w:t>等</w:t>
      </w:r>
      <w:r>
        <w:rPr>
          <w:rFonts w:ascii="宋体" w:hAnsi="宋体" w:cs="宋体"/>
          <w:snapToGrid w:val="0"/>
          <w:color w:val="auto"/>
          <w:kern w:val="0"/>
          <w:szCs w:val="21"/>
          <w:highlight w:val="none"/>
        </w:rPr>
        <w:t>。</w:t>
      </w:r>
    </w:p>
    <w:p w14:paraId="04967303">
      <w:pPr>
        <w:adjustRightInd w:val="0"/>
        <w:snapToGrid w:val="0"/>
        <w:spacing w:line="360" w:lineRule="auto"/>
        <w:ind w:firstLine="420" w:firstLineChars="200"/>
        <w:jc w:val="left"/>
        <w:rPr>
          <w:rFonts w:ascii="宋体" w:hAnsi="宋体" w:eastAsia="宋体" w:cs="宋体"/>
          <w:snapToGrid w:val="0"/>
          <w:color w:val="auto"/>
          <w:kern w:val="0"/>
          <w:szCs w:val="21"/>
          <w:highlight w:val="none"/>
        </w:rPr>
      </w:pPr>
      <w:r>
        <w:rPr>
          <w:rFonts w:hint="default"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val="en-US" w:eastAsia="zh-CN"/>
        </w:rPr>
        <w:t>5</w:t>
      </w:r>
      <w:r>
        <w:rPr>
          <w:rFonts w:ascii="宋体" w:hAnsi="宋体" w:eastAsia="宋体" w:cs="宋体"/>
          <w:snapToGrid w:val="0"/>
          <w:color w:val="auto"/>
          <w:kern w:val="0"/>
          <w:szCs w:val="21"/>
          <w:highlight w:val="none"/>
        </w:rPr>
        <w:t>.</w:t>
      </w:r>
      <w:r>
        <w:rPr>
          <w:rFonts w:hint="default" w:ascii="宋体" w:hAnsi="宋体" w:eastAsia="宋体" w:cs="宋体"/>
          <w:snapToGrid w:val="0"/>
          <w:color w:val="auto"/>
          <w:kern w:val="0"/>
          <w:szCs w:val="21"/>
          <w:highlight w:val="none"/>
        </w:rPr>
        <w:t>公共</w:t>
      </w:r>
      <w:r>
        <w:rPr>
          <w:rFonts w:ascii="宋体" w:hAnsi="宋体" w:eastAsia="宋体" w:cs="宋体"/>
          <w:snapToGrid w:val="0"/>
          <w:color w:val="auto"/>
          <w:kern w:val="0"/>
          <w:szCs w:val="21"/>
          <w:highlight w:val="none"/>
        </w:rPr>
        <w:t>空间设计：</w:t>
      </w:r>
      <w:r>
        <w:rPr>
          <w:rFonts w:hint="default" w:ascii="宋体" w:hAnsi="宋体" w:eastAsia="宋体" w:cs="宋体"/>
          <w:snapToGrid w:val="0"/>
          <w:color w:val="auto"/>
          <w:kern w:val="0"/>
          <w:szCs w:val="21"/>
          <w:highlight w:val="none"/>
        </w:rPr>
        <w:t>更新提升现有贵宾接待室，增设屏幕及会议设备，使其兼具接待和会议功能。结合馆内重要公共空间如两侧扶梯通高空间、</w:t>
      </w:r>
      <w:r>
        <w:rPr>
          <w:rFonts w:ascii="宋体" w:hAnsi="宋体" w:eastAsia="宋体" w:cs="宋体"/>
          <w:snapToGrid w:val="0"/>
          <w:color w:val="auto"/>
          <w:kern w:val="0"/>
          <w:szCs w:val="21"/>
          <w:highlight w:val="none"/>
        </w:rPr>
        <w:t>1</w:t>
      </w:r>
      <w:r>
        <w:rPr>
          <w:rFonts w:hint="default" w:ascii="宋体" w:hAnsi="宋体" w:eastAsia="宋体" w:cs="宋体"/>
          <w:snapToGrid w:val="0"/>
          <w:color w:val="auto"/>
          <w:kern w:val="0"/>
          <w:szCs w:val="21"/>
          <w:highlight w:val="none"/>
        </w:rPr>
        <w:t>层贵宾接待室外通廊、</w:t>
      </w:r>
      <w:r>
        <w:rPr>
          <w:rFonts w:ascii="宋体" w:hAnsi="宋体" w:eastAsia="宋体" w:cs="宋体"/>
          <w:snapToGrid w:val="0"/>
          <w:color w:val="auto"/>
          <w:kern w:val="0"/>
          <w:szCs w:val="21"/>
          <w:highlight w:val="none"/>
        </w:rPr>
        <w:t>4层沙盘观影区后侧</w:t>
      </w:r>
      <w:r>
        <w:rPr>
          <w:rFonts w:hint="default" w:ascii="宋体" w:hAnsi="宋体" w:eastAsia="宋体" w:cs="宋体"/>
          <w:snapToGrid w:val="0"/>
          <w:color w:val="auto"/>
          <w:kern w:val="0"/>
          <w:szCs w:val="21"/>
          <w:highlight w:val="none"/>
        </w:rPr>
        <w:t>墙壁等，结合</w:t>
      </w:r>
      <w:r>
        <w:rPr>
          <w:rFonts w:hint="eastAsia" w:ascii="宋体" w:hAnsi="宋体" w:cs="宋体"/>
          <w:snapToGrid w:val="0"/>
          <w:color w:val="auto"/>
          <w:kern w:val="0"/>
          <w:szCs w:val="21"/>
          <w:highlight w:val="none"/>
          <w:lang w:val="en-US" w:eastAsia="zh-CN"/>
        </w:rPr>
        <w:t>展览</w:t>
      </w:r>
      <w:r>
        <w:rPr>
          <w:rFonts w:hint="default" w:ascii="宋体" w:hAnsi="宋体" w:eastAsia="宋体" w:cs="宋体"/>
          <w:snapToGrid w:val="0"/>
          <w:color w:val="auto"/>
          <w:kern w:val="0"/>
          <w:szCs w:val="21"/>
          <w:highlight w:val="none"/>
        </w:rPr>
        <w:t>主题和服务功能进行公共空间设计。</w:t>
      </w:r>
      <w:r>
        <w:rPr>
          <w:rFonts w:ascii="宋体" w:hAnsi="宋体" w:eastAsia="宋体" w:cs="宋体"/>
          <w:snapToGrid w:val="0"/>
          <w:color w:val="auto"/>
          <w:kern w:val="0"/>
          <w:szCs w:val="21"/>
          <w:highlight w:val="none"/>
        </w:rPr>
        <w:t>统筹</w:t>
      </w:r>
      <w:r>
        <w:rPr>
          <w:rFonts w:hint="default" w:ascii="宋体" w:hAnsi="宋体" w:eastAsia="宋体" w:cs="宋体"/>
          <w:snapToGrid w:val="0"/>
          <w:color w:val="auto"/>
          <w:kern w:val="0"/>
          <w:szCs w:val="21"/>
          <w:highlight w:val="none"/>
        </w:rPr>
        <w:t>布局</w:t>
      </w:r>
      <w:r>
        <w:rPr>
          <w:rFonts w:ascii="宋体" w:hAnsi="宋体" w:eastAsia="宋体" w:cs="宋体"/>
          <w:snapToGrid w:val="0"/>
          <w:color w:val="auto"/>
          <w:kern w:val="0"/>
          <w:szCs w:val="21"/>
          <w:highlight w:val="none"/>
        </w:rPr>
        <w:t>公众</w:t>
      </w:r>
      <w:r>
        <w:rPr>
          <w:rFonts w:hint="default" w:ascii="宋体" w:hAnsi="宋体" w:eastAsia="宋体" w:cs="宋体"/>
          <w:snapToGrid w:val="0"/>
          <w:color w:val="auto"/>
          <w:kern w:val="0"/>
          <w:szCs w:val="21"/>
          <w:highlight w:val="none"/>
          <w:lang w:val="en-US" w:eastAsia="zh-CN"/>
        </w:rPr>
        <w:t>休憩</w:t>
      </w:r>
      <w:r>
        <w:rPr>
          <w:rFonts w:ascii="宋体" w:hAnsi="宋体" w:eastAsia="宋体" w:cs="宋体"/>
          <w:snapToGrid w:val="0"/>
          <w:color w:val="auto"/>
          <w:kern w:val="0"/>
          <w:szCs w:val="21"/>
          <w:highlight w:val="none"/>
        </w:rPr>
        <w:t>空间</w:t>
      </w:r>
      <w:r>
        <w:rPr>
          <w:rFonts w:hint="eastAsia" w:ascii="宋体" w:hAnsi="宋体" w:cs="宋体"/>
          <w:snapToGrid w:val="0"/>
          <w:color w:val="auto"/>
          <w:kern w:val="0"/>
          <w:szCs w:val="21"/>
          <w:highlight w:val="none"/>
          <w:lang w:val="en-US" w:eastAsia="zh-CN"/>
        </w:rPr>
        <w:t>、文创售卖等经营空间</w:t>
      </w:r>
      <w:r>
        <w:rPr>
          <w:rFonts w:ascii="宋体" w:hAnsi="宋体" w:eastAsia="宋体" w:cs="宋体"/>
          <w:snapToGrid w:val="0"/>
          <w:color w:val="auto"/>
          <w:kern w:val="0"/>
          <w:szCs w:val="21"/>
          <w:highlight w:val="none"/>
        </w:rPr>
        <w:t>。结合先进理念及展陈技术，创新打造独具特色</w:t>
      </w:r>
      <w:r>
        <w:rPr>
          <w:rFonts w:hint="default" w:ascii="宋体" w:hAnsi="宋体" w:eastAsia="宋体" w:cs="宋体"/>
          <w:snapToGrid w:val="0"/>
          <w:color w:val="auto"/>
          <w:kern w:val="0"/>
          <w:szCs w:val="21"/>
          <w:highlight w:val="none"/>
        </w:rPr>
        <w:t>的</w:t>
      </w:r>
      <w:r>
        <w:rPr>
          <w:rFonts w:ascii="宋体" w:hAnsi="宋体" w:eastAsia="宋体" w:cs="宋体"/>
          <w:snapToGrid w:val="0"/>
          <w:color w:val="auto"/>
          <w:kern w:val="0"/>
          <w:szCs w:val="21"/>
          <w:highlight w:val="none"/>
        </w:rPr>
        <w:t>公众参与展项。</w:t>
      </w:r>
    </w:p>
    <w:p w14:paraId="6D542FA1">
      <w:pPr>
        <w:adjustRightInd w:val="0"/>
        <w:snapToGrid w:val="0"/>
        <w:spacing w:line="360" w:lineRule="auto"/>
        <w:ind w:firstLine="420" w:firstLineChars="200"/>
        <w:jc w:val="left"/>
        <w:rPr>
          <w:rFonts w:ascii="宋体" w:hAnsi="宋体" w:eastAsia="宋体" w:cs="宋体"/>
          <w:snapToGrid w:val="0"/>
          <w:color w:val="auto"/>
          <w:kern w:val="0"/>
          <w:szCs w:val="21"/>
          <w:highlight w:val="none"/>
        </w:rPr>
      </w:pPr>
      <w:r>
        <w:rPr>
          <w:rFonts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val="en-US" w:eastAsia="zh-CN"/>
        </w:rPr>
        <w:t>6</w:t>
      </w:r>
      <w:r>
        <w:rPr>
          <w:rFonts w:ascii="宋体" w:hAnsi="宋体" w:eastAsia="宋体" w:cs="宋体"/>
          <w:snapToGrid w:val="0"/>
          <w:color w:val="auto"/>
          <w:kern w:val="0"/>
          <w:szCs w:val="21"/>
          <w:highlight w:val="none"/>
        </w:rPr>
        <w:t>.配套空间设计：配套空间根据整体运行实际情况，按规范要求在相应的区域设置导向标识和公共标识。</w:t>
      </w:r>
      <w:r>
        <w:rPr>
          <w:rFonts w:hint="default" w:ascii="宋体" w:hAnsi="宋体" w:eastAsia="宋体" w:cs="宋体"/>
          <w:snapToGrid w:val="0"/>
          <w:color w:val="auto"/>
          <w:kern w:val="0"/>
          <w:szCs w:val="21"/>
          <w:highlight w:val="none"/>
        </w:rPr>
        <w:t>充分利用现有设施，</w:t>
      </w:r>
      <w:r>
        <w:rPr>
          <w:rFonts w:ascii="宋体" w:hAnsi="宋体" w:eastAsia="宋体" w:cs="宋体"/>
          <w:snapToGrid w:val="0"/>
          <w:color w:val="auto"/>
          <w:kern w:val="0"/>
          <w:szCs w:val="21"/>
          <w:highlight w:val="none"/>
        </w:rPr>
        <w:t>合理设置休憩区、母婴室、儿童卫生间、无障碍卫生间、参观者物品寄存区等</w:t>
      </w:r>
      <w:r>
        <w:rPr>
          <w:rFonts w:hint="default" w:ascii="宋体" w:hAnsi="宋体" w:eastAsia="宋体" w:cs="宋体"/>
          <w:snapToGrid w:val="0"/>
          <w:color w:val="auto"/>
          <w:kern w:val="0"/>
          <w:szCs w:val="21"/>
          <w:highlight w:val="none"/>
          <w:lang w:val="en-US" w:eastAsia="zh-CN"/>
        </w:rPr>
        <w:t>其他</w:t>
      </w:r>
      <w:r>
        <w:rPr>
          <w:rFonts w:ascii="宋体" w:hAnsi="宋体" w:eastAsia="宋体" w:cs="宋体"/>
          <w:snapToGrid w:val="0"/>
          <w:color w:val="auto"/>
          <w:kern w:val="0"/>
          <w:szCs w:val="21"/>
          <w:highlight w:val="none"/>
        </w:rPr>
        <w:t>空间。遵循儿童友好、老年关爱等理念，构建全龄友好的无障碍环境。</w:t>
      </w:r>
    </w:p>
    <w:p w14:paraId="03BFEC0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val="en-US" w:eastAsia="zh-CN"/>
        </w:rPr>
        <w:t>7</w:t>
      </w:r>
      <w:r>
        <w:rPr>
          <w:rFonts w:ascii="宋体" w:hAnsi="宋体" w:cs="宋体"/>
          <w:snapToGrid w:val="0"/>
          <w:color w:val="auto"/>
          <w:kern w:val="0"/>
          <w:szCs w:val="21"/>
          <w:highlight w:val="none"/>
        </w:rPr>
        <w:t>.信息化提升：综合打造信息化、智能化规划馆，</w:t>
      </w:r>
      <w:r>
        <w:rPr>
          <w:rFonts w:hint="eastAsia" w:ascii="宋体" w:hAnsi="宋体" w:cs="宋体"/>
          <w:snapToGrid w:val="0"/>
          <w:color w:val="auto"/>
          <w:kern w:val="0"/>
          <w:szCs w:val="21"/>
          <w:highlight w:val="none"/>
          <w:lang w:val="en-US" w:eastAsia="zh-CN"/>
        </w:rPr>
        <w:t>包括但不限于</w:t>
      </w:r>
      <w:r>
        <w:rPr>
          <w:rFonts w:hint="default" w:ascii="宋体" w:hAnsi="宋体" w:cs="宋体"/>
          <w:snapToGrid w:val="0"/>
          <w:color w:val="auto"/>
          <w:kern w:val="0"/>
          <w:szCs w:val="21"/>
          <w:highlight w:val="none"/>
        </w:rPr>
        <w:t>综合管理平台</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网络安全系统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中央控制系统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投影系统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会议系统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安全防范系统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广播系统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查询导览系统</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智能照明系统、</w:t>
      </w:r>
      <w:r>
        <w:rPr>
          <w:rFonts w:hint="eastAsia" w:ascii="宋体" w:hAnsi="宋体" w:cs="宋体"/>
          <w:snapToGrid w:val="0"/>
          <w:color w:val="auto"/>
          <w:kern w:val="0"/>
          <w:szCs w:val="21"/>
          <w:highlight w:val="none"/>
        </w:rPr>
        <w:t>楼宇自控系统</w:t>
      </w:r>
      <w:r>
        <w:rPr>
          <w:rFonts w:hint="eastAsia" w:ascii="宋体" w:hAnsi="宋体" w:cs="宋体"/>
          <w:snapToGrid w:val="0"/>
          <w:color w:val="auto"/>
          <w:kern w:val="0"/>
          <w:szCs w:val="21"/>
          <w:highlight w:val="none"/>
          <w:lang w:eastAsia="zh-CN"/>
        </w:rPr>
        <w:t>、</w:t>
      </w:r>
      <w:r>
        <w:rPr>
          <w:rFonts w:hint="eastAsia" w:ascii="宋体" w:hAnsi="宋体" w:eastAsia="宋体" w:cs="宋体"/>
          <w:bCs w:val="0"/>
          <w:caps w:val="0"/>
          <w:snapToGrid w:val="0"/>
          <w:color w:val="auto"/>
          <w:kern w:val="0"/>
          <w:sz w:val="21"/>
          <w:szCs w:val="21"/>
          <w:highlight w:val="none"/>
          <w:lang w:val="en-US" w:eastAsia="zh-CN" w:bidi="ar-SA"/>
        </w:rPr>
        <w:t>线上展馆</w:t>
      </w:r>
      <w:r>
        <w:rPr>
          <w:rFonts w:hint="eastAsia" w:ascii="宋体" w:hAnsi="宋体" w:cs="宋体"/>
          <w:snapToGrid w:val="0"/>
          <w:color w:val="auto"/>
          <w:kern w:val="0"/>
          <w:szCs w:val="21"/>
          <w:highlight w:val="none"/>
          <w:lang w:val="en-US" w:eastAsia="zh-CN"/>
        </w:rPr>
        <w:t>等，以甲方确认的具体需求为准。</w:t>
      </w:r>
    </w:p>
    <w:p w14:paraId="07A0404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val="en-US" w:eastAsia="zh-CN"/>
        </w:rPr>
        <w:t>8</w:t>
      </w:r>
      <w:r>
        <w:rPr>
          <w:rFonts w:ascii="宋体" w:hAnsi="宋体" w:cs="宋体"/>
          <w:snapToGrid w:val="0"/>
          <w:color w:val="auto"/>
          <w:kern w:val="0"/>
          <w:szCs w:val="21"/>
          <w:highlight w:val="none"/>
        </w:rPr>
        <w:t>.参观管理及安检：满足参观预约、人员流量监控等展馆日常运行和安全管理需要，实现展馆面向公众的全方位服务。</w:t>
      </w:r>
    </w:p>
    <w:p w14:paraId="183A0A3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val="en-US" w:eastAsia="zh-CN"/>
        </w:rPr>
        <w:t>9</w:t>
      </w:r>
      <w:r>
        <w:rPr>
          <w:rFonts w:ascii="宋体" w:hAnsi="宋体" w:cs="宋体"/>
          <w:snapToGrid w:val="0"/>
          <w:color w:val="auto"/>
          <w:kern w:val="0"/>
          <w:szCs w:val="21"/>
          <w:highlight w:val="none"/>
        </w:rPr>
        <w:t>.施工工艺：明确标示各展区采用的结构、材料及工艺，做到绿色、环保、安全，符合各级相关规范和要求。</w:t>
      </w:r>
    </w:p>
    <w:p w14:paraId="4F5EFA1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20</w:t>
      </w:r>
      <w:r>
        <w:rPr>
          <w:rFonts w:ascii="宋体" w:hAnsi="宋体" w:cs="宋体"/>
          <w:snapToGrid w:val="0"/>
          <w:color w:val="auto"/>
          <w:kern w:val="0"/>
          <w:szCs w:val="21"/>
          <w:highlight w:val="none"/>
        </w:rPr>
        <w:t>.消防暖通：根据装饰平面布局调整，对消防、空调、通风、排烟等末端进行适应性调整及优化，确保符合现有消防要求和规范。</w:t>
      </w:r>
    </w:p>
    <w:p w14:paraId="2047E5D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21</w:t>
      </w:r>
      <w:r>
        <w:rPr>
          <w:rFonts w:ascii="宋体" w:hAnsi="宋体" w:cs="宋体"/>
          <w:snapToGrid w:val="0"/>
          <w:color w:val="auto"/>
          <w:kern w:val="0"/>
          <w:szCs w:val="21"/>
          <w:highlight w:val="none"/>
        </w:rPr>
        <w:t>.其他：强电配电间和弱电机房设计需满足各级规范和要求。</w:t>
      </w:r>
    </w:p>
    <w:p w14:paraId="552CD212">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四、</w:t>
      </w:r>
      <w:r>
        <w:rPr>
          <w:rFonts w:hint="eastAsia" w:ascii="宋体" w:hAnsi="宋体" w:cs="宋体"/>
          <w:b/>
          <w:bCs/>
          <w:snapToGrid w:val="0"/>
          <w:color w:val="auto"/>
          <w:kern w:val="0"/>
          <w:szCs w:val="21"/>
          <w:highlight w:val="none"/>
          <w:lang w:val="en-US" w:eastAsia="zh-CN"/>
        </w:rPr>
        <w:t>城市</w:t>
      </w:r>
      <w:r>
        <w:rPr>
          <w:rFonts w:hint="eastAsia" w:ascii="宋体" w:hAnsi="宋体" w:cs="宋体"/>
          <w:b/>
          <w:bCs/>
          <w:snapToGrid w:val="0"/>
          <w:color w:val="auto"/>
          <w:kern w:val="0"/>
          <w:szCs w:val="21"/>
          <w:highlight w:val="none"/>
        </w:rPr>
        <w:t>沙盘技术要求</w:t>
      </w:r>
    </w:p>
    <w:p w14:paraId="30E57077">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（一）建设条件</w:t>
      </w:r>
    </w:p>
    <w:p w14:paraId="2A6D13E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城市</w:t>
      </w:r>
      <w:r>
        <w:rPr>
          <w:rFonts w:ascii="宋体" w:hAnsi="宋体" w:cs="宋体"/>
          <w:snapToGrid w:val="0"/>
          <w:color w:val="auto"/>
          <w:kern w:val="0"/>
          <w:szCs w:val="21"/>
          <w:highlight w:val="none"/>
        </w:rPr>
        <w:t>沙盘区域长约</w:t>
      </w:r>
      <w:r>
        <w:rPr>
          <w:rFonts w:hint="eastAsia" w:ascii="宋体" w:hAnsi="宋体" w:cs="宋体"/>
          <w:snapToGrid w:val="0"/>
          <w:color w:val="auto"/>
          <w:kern w:val="0"/>
          <w:szCs w:val="21"/>
          <w:highlight w:val="none"/>
        </w:rPr>
        <w:t>34.7</w:t>
      </w:r>
      <w:r>
        <w:rPr>
          <w:rFonts w:ascii="宋体" w:hAnsi="宋体" w:cs="宋体"/>
          <w:snapToGrid w:val="0"/>
          <w:color w:val="auto"/>
          <w:kern w:val="0"/>
          <w:szCs w:val="21"/>
          <w:highlight w:val="none"/>
        </w:rPr>
        <w:t>米、宽约</w:t>
      </w:r>
      <w:r>
        <w:rPr>
          <w:rFonts w:hint="eastAsia" w:ascii="宋体" w:hAnsi="宋体" w:cs="宋体"/>
          <w:snapToGrid w:val="0"/>
          <w:color w:val="auto"/>
          <w:kern w:val="0"/>
          <w:szCs w:val="21"/>
          <w:highlight w:val="none"/>
        </w:rPr>
        <w:t>31.9</w:t>
      </w:r>
      <w:r>
        <w:rPr>
          <w:rFonts w:ascii="宋体" w:hAnsi="宋体" w:cs="宋体"/>
          <w:snapToGrid w:val="0"/>
          <w:color w:val="auto"/>
          <w:kern w:val="0"/>
          <w:szCs w:val="21"/>
          <w:highlight w:val="none"/>
        </w:rPr>
        <w:t>米、层高约</w:t>
      </w:r>
      <w:r>
        <w:rPr>
          <w:rFonts w:hint="eastAsia" w:ascii="宋体" w:hAnsi="宋体" w:cs="宋体"/>
          <w:snapToGrid w:val="0"/>
          <w:color w:val="auto"/>
          <w:kern w:val="0"/>
          <w:szCs w:val="21"/>
          <w:highlight w:val="none"/>
        </w:rPr>
        <w:t>19.55</w:t>
      </w:r>
      <w:r>
        <w:rPr>
          <w:rFonts w:ascii="宋体" w:hAnsi="宋体" w:cs="宋体"/>
          <w:snapToGrid w:val="0"/>
          <w:color w:val="auto"/>
          <w:kern w:val="0"/>
          <w:szCs w:val="21"/>
          <w:highlight w:val="none"/>
        </w:rPr>
        <w:t>米（含基坑深度且原基坑不可向下拓展）。</w:t>
      </w:r>
    </w:p>
    <w:p w14:paraId="46DF5F3F">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（二）设计目标</w:t>
      </w:r>
    </w:p>
    <w:p w14:paraId="4A00F1A8">
      <w:pPr>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制作市域沙盘模型，外围小比例表现全域地形地貌特征，中部大比例细腻表现中心城区</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明确沙盘的面积、比例及所表现的方式，充分考虑该部分的消防要求。模型应能详尽地表达乌鲁木齐复杂的城市地理空间、交通线网以及城市整体空间架构，精细表现中心城区和重点片区。模型运用现代技术，采用声、光、电、数字化手段制作与表现，体现城市现代发展变化的现状成就和未来的宏伟蓝图。</w:t>
      </w:r>
    </w:p>
    <w:p w14:paraId="3B3879F8">
      <w:pPr>
        <w:pStyle w:val="31"/>
        <w:rPr>
          <w:rFonts w:hint="default" w:eastAsia="宋体"/>
          <w:color w:val="auto"/>
          <w:highlight w:val="none"/>
          <w:lang w:val="en-US" w:eastAsia="zh-CN"/>
        </w:rPr>
      </w:pPr>
      <w:r>
        <w:rPr>
          <w:rFonts w:hint="eastAsia" w:ascii="宋体" w:hAnsi="宋体" w:cs="宋体"/>
          <w:snapToGrid w:val="0"/>
          <w:color w:val="auto"/>
          <w:kern w:val="0"/>
          <w:szCs w:val="21"/>
          <w:highlight w:val="none"/>
          <w:lang w:val="en-US" w:eastAsia="zh-CN"/>
        </w:rPr>
        <w:t xml:space="preserve">   </w:t>
      </w:r>
      <w:r>
        <w:rPr>
          <w:rFonts w:hint="eastAsia" w:ascii="宋体" w:hAnsi="宋体" w:eastAsia="宋体" w:cs="宋体"/>
          <w:bCs w:val="0"/>
          <w:caps w:val="0"/>
          <w:snapToGrid w:val="0"/>
          <w:color w:val="auto"/>
          <w:kern w:val="0"/>
          <w:sz w:val="21"/>
          <w:szCs w:val="21"/>
          <w:highlight w:val="none"/>
          <w:lang w:val="en-US" w:eastAsia="zh-CN" w:bidi="ar-SA"/>
        </w:rPr>
        <w:t xml:space="preserve"> 具体详见《乌鲁木齐市城市规划馆展陈更新大纲》。</w:t>
      </w:r>
    </w:p>
    <w:p w14:paraId="2C291223">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（三）基本内容</w:t>
      </w:r>
    </w:p>
    <w:p w14:paraId="62DCB12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充分展现城市</w:t>
      </w:r>
      <w:r>
        <w:rPr>
          <w:rFonts w:ascii="宋体" w:hAnsi="宋体" w:cs="宋体"/>
          <w:snapToGrid w:val="0"/>
          <w:color w:val="auto"/>
          <w:kern w:val="0"/>
          <w:szCs w:val="21"/>
          <w:highlight w:val="none"/>
        </w:rPr>
        <w:t>地形地貌</w:t>
      </w:r>
      <w:r>
        <w:rPr>
          <w:rFonts w:hint="eastAsia" w:ascii="宋体" w:hAnsi="宋体" w:cs="宋体"/>
          <w:snapToGrid w:val="0"/>
          <w:color w:val="auto"/>
          <w:kern w:val="0"/>
          <w:szCs w:val="21"/>
          <w:highlight w:val="none"/>
        </w:rPr>
        <w:t>、行政区划、</w:t>
      </w:r>
      <w:r>
        <w:rPr>
          <w:rFonts w:ascii="宋体" w:hAnsi="宋体" w:cs="宋体"/>
          <w:snapToGrid w:val="0"/>
          <w:color w:val="auto"/>
          <w:kern w:val="0"/>
          <w:szCs w:val="21"/>
          <w:highlight w:val="none"/>
        </w:rPr>
        <w:t>生态</w:t>
      </w:r>
      <w:r>
        <w:rPr>
          <w:rFonts w:hint="eastAsia" w:ascii="宋体" w:hAnsi="宋体" w:cs="宋体"/>
          <w:snapToGrid w:val="0"/>
          <w:color w:val="auto"/>
          <w:kern w:val="0"/>
          <w:szCs w:val="21"/>
          <w:highlight w:val="none"/>
        </w:rPr>
        <w:t>格局、空间格局、产业格局、</w:t>
      </w:r>
      <w:r>
        <w:rPr>
          <w:rFonts w:ascii="宋体" w:hAnsi="宋体" w:cs="宋体"/>
          <w:snapToGrid w:val="0"/>
          <w:color w:val="auto"/>
          <w:kern w:val="0"/>
          <w:szCs w:val="21"/>
          <w:highlight w:val="none"/>
        </w:rPr>
        <w:t>交通格局</w:t>
      </w:r>
      <w:r>
        <w:rPr>
          <w:rFonts w:hint="eastAsia" w:ascii="宋体" w:hAnsi="宋体" w:cs="宋体"/>
          <w:snapToGrid w:val="0"/>
          <w:color w:val="auto"/>
          <w:kern w:val="0"/>
          <w:szCs w:val="21"/>
          <w:highlight w:val="none"/>
        </w:rPr>
        <w:t>、</w:t>
      </w:r>
      <w:r>
        <w:rPr>
          <w:rFonts w:ascii="宋体" w:hAnsi="宋体" w:cs="宋体"/>
          <w:snapToGrid w:val="0"/>
          <w:color w:val="auto"/>
          <w:kern w:val="0"/>
          <w:szCs w:val="21"/>
          <w:highlight w:val="none"/>
        </w:rPr>
        <w:t>重点片区</w:t>
      </w:r>
      <w:r>
        <w:rPr>
          <w:rFonts w:hint="eastAsia" w:ascii="宋体" w:hAnsi="宋体" w:cs="宋体"/>
          <w:snapToGrid w:val="0"/>
          <w:color w:val="auto"/>
          <w:kern w:val="0"/>
          <w:szCs w:val="21"/>
          <w:highlight w:val="none"/>
        </w:rPr>
        <w:t>、城市中心、</w:t>
      </w:r>
      <w:r>
        <w:rPr>
          <w:rFonts w:ascii="宋体" w:hAnsi="宋体" w:cs="宋体"/>
          <w:snapToGrid w:val="0"/>
          <w:color w:val="auto"/>
          <w:kern w:val="0"/>
          <w:szCs w:val="21"/>
          <w:highlight w:val="none"/>
        </w:rPr>
        <w:t>重大</w:t>
      </w:r>
      <w:r>
        <w:rPr>
          <w:rFonts w:hint="eastAsia" w:ascii="宋体" w:hAnsi="宋体" w:cs="宋体"/>
          <w:snapToGrid w:val="0"/>
          <w:color w:val="auto"/>
          <w:kern w:val="0"/>
          <w:szCs w:val="21"/>
          <w:highlight w:val="none"/>
        </w:rPr>
        <w:t>设施、</w:t>
      </w:r>
      <w:r>
        <w:rPr>
          <w:rFonts w:ascii="宋体" w:hAnsi="宋体" w:cs="宋体"/>
          <w:snapToGrid w:val="0"/>
          <w:color w:val="auto"/>
          <w:kern w:val="0"/>
          <w:szCs w:val="21"/>
          <w:highlight w:val="none"/>
        </w:rPr>
        <w:t>地标建筑</w:t>
      </w:r>
      <w:r>
        <w:rPr>
          <w:rFonts w:hint="eastAsia" w:ascii="宋体" w:hAnsi="宋体" w:cs="宋体"/>
          <w:snapToGrid w:val="0"/>
          <w:color w:val="auto"/>
          <w:kern w:val="0"/>
          <w:szCs w:val="21"/>
          <w:highlight w:val="none"/>
        </w:rPr>
        <w:t>以及</w:t>
      </w:r>
      <w:r>
        <w:rPr>
          <w:rFonts w:ascii="宋体" w:hAnsi="宋体" w:cs="宋体"/>
          <w:snapToGrid w:val="0"/>
          <w:color w:val="auto"/>
          <w:kern w:val="0"/>
          <w:szCs w:val="21"/>
          <w:highlight w:val="none"/>
        </w:rPr>
        <w:t>采购人要求反映的其他内容</w:t>
      </w:r>
      <w:r>
        <w:rPr>
          <w:rFonts w:hint="eastAsia" w:ascii="宋体" w:hAnsi="宋体" w:cs="宋体"/>
          <w:snapToGrid w:val="0"/>
          <w:color w:val="auto"/>
          <w:kern w:val="0"/>
          <w:szCs w:val="21"/>
          <w:highlight w:val="none"/>
        </w:rPr>
        <w:t>等，能够</w:t>
      </w:r>
      <w:r>
        <w:rPr>
          <w:rFonts w:ascii="宋体" w:hAnsi="宋体" w:cs="宋体"/>
          <w:snapToGrid w:val="0"/>
          <w:color w:val="auto"/>
          <w:kern w:val="0"/>
          <w:szCs w:val="21"/>
          <w:highlight w:val="none"/>
        </w:rPr>
        <w:t>呈现立体化、多维度的乌鲁木齐市全域城市景观和城市信息。</w:t>
      </w:r>
      <w:r>
        <w:rPr>
          <w:rFonts w:hint="eastAsia" w:ascii="宋体" w:hAnsi="宋体" w:cs="宋体"/>
          <w:snapToGrid w:val="0"/>
          <w:color w:val="auto"/>
          <w:kern w:val="0"/>
          <w:szCs w:val="21"/>
          <w:highlight w:val="none"/>
        </w:rPr>
        <w:t>其中，重点表达的内容包括且不限于：</w:t>
      </w:r>
    </w:p>
    <w:p w14:paraId="414EA6F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空间格局：表现南部博格达峰、天山山脉；北部古尔班通古特沙漠；中部平原绿洲和城市八区一县区划分布，体现生态、生产、生活空间布局。</w:t>
      </w:r>
    </w:p>
    <w:p w14:paraId="03CFAE5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产业格局：</w:t>
      </w:r>
      <w:r>
        <w:rPr>
          <w:rFonts w:hint="eastAsia"/>
          <w:snapToGrid w:val="0"/>
          <w:color w:val="auto"/>
          <w:szCs w:val="21"/>
          <w:highlight w:val="none"/>
        </w:rPr>
        <w:t>沙盘模型展现</w:t>
      </w:r>
      <w:r>
        <w:rPr>
          <w:rFonts w:hint="eastAsia"/>
          <w:b/>
          <w:bCs/>
          <w:snapToGrid w:val="0"/>
          <w:color w:val="auto"/>
          <w:szCs w:val="21"/>
          <w:highlight w:val="none"/>
        </w:rPr>
        <w:t>“</w:t>
      </w:r>
      <w:r>
        <w:rPr>
          <w:b w:val="0"/>
          <w:bCs w:val="0"/>
          <w:snapToGrid w:val="0"/>
          <w:color w:val="auto"/>
          <w:szCs w:val="21"/>
          <w:highlight w:val="none"/>
        </w:rPr>
        <w:t>5+2</w:t>
      </w:r>
      <w:r>
        <w:rPr>
          <w:rFonts w:hint="eastAsia"/>
          <w:b w:val="0"/>
          <w:bCs w:val="0"/>
          <w:snapToGrid w:val="0"/>
          <w:color w:val="auto"/>
          <w:szCs w:val="21"/>
          <w:highlight w:val="none"/>
        </w:rPr>
        <w:t>”</w:t>
      </w:r>
      <w:r>
        <w:rPr>
          <w:rFonts w:hint="eastAsia"/>
          <w:snapToGrid w:val="0"/>
          <w:color w:val="auto"/>
          <w:szCs w:val="21"/>
          <w:highlight w:val="none"/>
        </w:rPr>
        <w:t>先进制造业在全市的分布，以及</w:t>
      </w:r>
      <w:r>
        <w:rPr>
          <w:rFonts w:hint="eastAsia"/>
          <w:b w:val="0"/>
          <w:bCs w:val="0"/>
          <w:snapToGrid w:val="0"/>
          <w:color w:val="auto"/>
          <w:szCs w:val="21"/>
          <w:highlight w:val="none"/>
        </w:rPr>
        <w:t>“</w:t>
      </w:r>
      <w:r>
        <w:rPr>
          <w:b w:val="0"/>
          <w:bCs w:val="0"/>
          <w:snapToGrid w:val="0"/>
          <w:color w:val="auto"/>
          <w:szCs w:val="21"/>
          <w:highlight w:val="none"/>
        </w:rPr>
        <w:t>6+8</w:t>
      </w:r>
      <w:r>
        <w:rPr>
          <w:rFonts w:hint="eastAsia"/>
          <w:b w:val="0"/>
          <w:bCs w:val="0"/>
          <w:snapToGrid w:val="0"/>
          <w:color w:val="auto"/>
          <w:szCs w:val="21"/>
          <w:highlight w:val="none"/>
        </w:rPr>
        <w:t>”</w:t>
      </w:r>
      <w:r>
        <w:rPr>
          <w:rFonts w:hint="eastAsia"/>
          <w:snapToGrid w:val="0"/>
          <w:color w:val="auto"/>
          <w:szCs w:val="21"/>
          <w:highlight w:val="none"/>
        </w:rPr>
        <w:t>现代服务业等重要承载区域的分布。</w:t>
      </w:r>
    </w:p>
    <w:p w14:paraId="141EE082">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交通布局：通过不同宽度组合、虚实线组合、色彩对比的灯带，表现现状及规划路网、铁路枢纽体系，以及陆港、空港等重要枢纽。</w:t>
      </w:r>
    </w:p>
    <w:p w14:paraId="501410E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城市风貌：沙盘</w:t>
      </w:r>
      <w:bookmarkStart w:id="76" w:name="OLE_LINK4"/>
      <w:r>
        <w:rPr>
          <w:rFonts w:hint="eastAsia" w:ascii="宋体" w:hAnsi="宋体" w:cs="宋体"/>
          <w:snapToGrid w:val="0"/>
          <w:color w:val="auto"/>
          <w:kern w:val="0"/>
          <w:szCs w:val="21"/>
          <w:highlight w:val="none"/>
        </w:rPr>
        <w:t>模型</w:t>
      </w:r>
      <w:bookmarkEnd w:id="76"/>
      <w:r>
        <w:rPr>
          <w:rFonts w:hint="eastAsia" w:ascii="宋体" w:hAnsi="宋体" w:cs="宋体"/>
          <w:snapToGrid w:val="0"/>
          <w:color w:val="auto"/>
          <w:kern w:val="0"/>
          <w:szCs w:val="21"/>
          <w:highlight w:val="none"/>
        </w:rPr>
        <w:t>展现天山环抱</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雅山、红山等多山缀城</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水系穿城的风貌格局，以及城市“</w:t>
      </w:r>
      <w:r>
        <w:rPr>
          <w:rFonts w:hint="eastAsia" w:ascii="宋体" w:hAnsi="宋体" w:cs="宋体"/>
          <w:b w:val="0"/>
          <w:bCs w:val="0"/>
          <w:snapToGrid w:val="0"/>
          <w:color w:val="auto"/>
          <w:kern w:val="0"/>
          <w:szCs w:val="21"/>
          <w:highlight w:val="none"/>
        </w:rPr>
        <w:t>因山就势、十字拓展</w:t>
      </w:r>
      <w:r>
        <w:rPr>
          <w:rFonts w:hint="eastAsia" w:ascii="宋体" w:hAnsi="宋体" w:cs="宋体"/>
          <w:snapToGrid w:val="0"/>
          <w:color w:val="auto"/>
          <w:kern w:val="0"/>
          <w:szCs w:val="21"/>
          <w:highlight w:val="none"/>
        </w:rPr>
        <w:t>、</w:t>
      </w:r>
      <w:r>
        <w:rPr>
          <w:rFonts w:hint="eastAsia" w:ascii="宋体" w:hAnsi="宋体" w:cs="宋体"/>
          <w:b w:val="0"/>
          <w:bCs w:val="0"/>
          <w:snapToGrid w:val="0"/>
          <w:color w:val="auto"/>
          <w:kern w:val="0"/>
          <w:szCs w:val="21"/>
          <w:highlight w:val="none"/>
        </w:rPr>
        <w:t>多元一体、现代风范</w:t>
      </w:r>
      <w:r>
        <w:rPr>
          <w:rFonts w:hint="eastAsia" w:ascii="宋体" w:hAnsi="宋体" w:cs="宋体"/>
          <w:snapToGrid w:val="0"/>
          <w:color w:val="auto"/>
          <w:kern w:val="0"/>
          <w:szCs w:val="21"/>
          <w:highlight w:val="none"/>
        </w:rPr>
        <w:t>”的风貌特征。</w:t>
      </w:r>
    </w:p>
    <w:p w14:paraId="44A3F52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生态布局：沙盘模型展现一屏一带、多廊多点的绿洲生态保护格局，以及“六主七支”水系水网、以及全市绿地系统分布。</w:t>
      </w:r>
    </w:p>
    <w:p w14:paraId="21022E2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城市中心：放大中心区模型建筑，精细塑造塑造城市中心区域模型，体现现代化国际城市形象。</w:t>
      </w:r>
    </w:p>
    <w:p w14:paraId="077E6C1F">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其他：重点片区、重大项目、市政设施、公共服务设施及采购人要求反映的其他内容。</w:t>
      </w:r>
    </w:p>
    <w:p w14:paraId="2ED7CAE3">
      <w:pPr>
        <w:ind w:firstLine="0"/>
        <w:rPr>
          <w:rFonts w:ascii="Calibri" w:hAnsi="Calibri" w:cs="Calibri"/>
          <w:snapToGrid/>
          <w:color w:val="auto"/>
          <w:kern w:val="2"/>
          <w:szCs w:val="24"/>
          <w:highlight w:val="none"/>
        </w:rPr>
      </w:pPr>
    </w:p>
    <w:p w14:paraId="5CBFFA42">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（四）沙盘总体效果</w:t>
      </w:r>
    </w:p>
    <w:p w14:paraId="3E22B10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w:t>
      </w:r>
      <w:r>
        <w:rPr>
          <w:rFonts w:hint="eastAsia" w:ascii="宋体" w:hAnsi="宋体" w:cs="宋体"/>
          <w:snapToGrid w:val="0"/>
          <w:color w:val="auto"/>
          <w:kern w:val="0"/>
          <w:szCs w:val="21"/>
          <w:highlight w:val="none"/>
        </w:rPr>
        <w:t>制作精良、形式创新、效果震撼，达到国内领先水平。</w:t>
      </w:r>
    </w:p>
    <w:p w14:paraId="4A1FDBF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2.需充分结合规划馆展陈实际，具有较强的可操作性和实施性</w:t>
      </w:r>
      <w:r>
        <w:rPr>
          <w:rFonts w:ascii="宋体" w:hAnsi="宋体" w:cs="宋体"/>
          <w:snapToGrid w:val="0"/>
          <w:color w:val="auto"/>
          <w:kern w:val="0"/>
          <w:szCs w:val="21"/>
          <w:highlight w:val="none"/>
        </w:rPr>
        <w:t>。</w:t>
      </w:r>
    </w:p>
    <w:p w14:paraId="29B8427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w:t>
      </w:r>
      <w:r>
        <w:rPr>
          <w:rFonts w:ascii="宋体" w:hAnsi="宋体" w:cs="宋体"/>
          <w:snapToGrid w:val="0"/>
          <w:color w:val="auto"/>
          <w:kern w:val="0"/>
          <w:szCs w:val="21"/>
          <w:highlight w:val="none"/>
        </w:rPr>
        <w:t xml:space="preserve">.需满足分区域、分模块、分类型展示的要求，声、光、电设备能与屏幕的展示内容进行联动，能进行快捷的互动操控。 </w:t>
      </w:r>
    </w:p>
    <w:p w14:paraId="0C94D7A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4.采用LED显示屏进行多媒体演示，拍摄制作专业版影片1-2个，要求</w:t>
      </w:r>
      <w:r>
        <w:rPr>
          <w:rFonts w:hint="eastAsia" w:ascii="宋体" w:hAnsi="宋体" w:cs="宋体"/>
          <w:snapToGrid w:val="0"/>
          <w:color w:val="auto"/>
          <w:kern w:val="0"/>
          <w:szCs w:val="21"/>
          <w:highlight w:val="none"/>
        </w:rPr>
        <w:t>单个</w:t>
      </w:r>
      <w:r>
        <w:rPr>
          <w:rFonts w:ascii="宋体" w:hAnsi="宋体" w:cs="宋体"/>
          <w:snapToGrid w:val="0"/>
          <w:color w:val="auto"/>
          <w:kern w:val="0"/>
          <w:szCs w:val="21"/>
          <w:highlight w:val="none"/>
        </w:rPr>
        <w:t>影片时长5-6分钟</w:t>
      </w:r>
      <w:r>
        <w:rPr>
          <w:rFonts w:hint="eastAsia" w:ascii="宋体" w:hAnsi="宋体" w:cs="宋体"/>
          <w:snapToGrid w:val="0"/>
          <w:color w:val="auto"/>
          <w:kern w:val="0"/>
          <w:szCs w:val="21"/>
          <w:highlight w:val="none"/>
        </w:rPr>
        <w:t>，影片主题在《乌鲁木齐市城市规划馆展陈更新大纲》基础上进行进一步拓展演绎，影片应制作精良，气势恢弘、场景大气、画面精美，影片叙事富有节奏感，表现乌鲁木齐建设现代化国际城市的雄心与愿景。</w:t>
      </w:r>
    </w:p>
    <w:p w14:paraId="4D5C4E58">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lang w:eastAsia="zh-CN"/>
        </w:rPr>
        <w:t>（</w:t>
      </w:r>
      <w:r>
        <w:rPr>
          <w:rFonts w:hint="eastAsia" w:ascii="宋体" w:hAnsi="宋体" w:cs="宋体"/>
          <w:b/>
          <w:bCs/>
          <w:snapToGrid w:val="0"/>
          <w:color w:val="auto"/>
          <w:kern w:val="0"/>
          <w:szCs w:val="21"/>
          <w:highlight w:val="none"/>
          <w:lang w:val="en-US" w:eastAsia="zh-CN"/>
        </w:rPr>
        <w:t>五</w:t>
      </w:r>
      <w:r>
        <w:rPr>
          <w:rFonts w:hint="eastAsia" w:ascii="宋体" w:hAnsi="宋体" w:cs="宋体"/>
          <w:b/>
          <w:bCs/>
          <w:snapToGrid w:val="0"/>
          <w:color w:val="auto"/>
          <w:kern w:val="0"/>
          <w:szCs w:val="21"/>
          <w:highlight w:val="none"/>
          <w:lang w:eastAsia="zh-CN"/>
        </w:rPr>
        <w:t>）</w:t>
      </w:r>
      <w:r>
        <w:rPr>
          <w:rFonts w:hint="eastAsia" w:ascii="宋体" w:hAnsi="宋体" w:cs="宋体"/>
          <w:b/>
          <w:bCs/>
          <w:snapToGrid w:val="0"/>
          <w:color w:val="auto"/>
          <w:kern w:val="0"/>
          <w:szCs w:val="21"/>
          <w:highlight w:val="none"/>
        </w:rPr>
        <w:t>规划导航台</w:t>
      </w:r>
    </w:p>
    <w:p w14:paraId="718175AE">
      <w:pPr>
        <w:tabs>
          <w:tab w:val="right" w:leader="dot" w:pos="8720"/>
        </w:tabs>
        <w:adjustRightInd w:val="0"/>
        <w:snapToGrid w:val="0"/>
        <w:spacing w:line="360" w:lineRule="auto"/>
        <w:ind w:firstLine="420" w:firstLineChars="200"/>
        <w:rPr>
          <w:rFonts w:hint="eastAsia" w:ascii="宋体" w:hAnsi="宋体" w:cs="宋体"/>
          <w:snapToGrid w:val="0"/>
          <w:color w:val="auto"/>
          <w:kern w:val="0"/>
          <w:szCs w:val="21"/>
          <w:highlight w:val="none"/>
          <w:lang w:val="en-US" w:eastAsia="zh-CN"/>
        </w:rPr>
      </w:pPr>
      <w:r>
        <w:rPr>
          <w:rFonts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val="en-US" w:eastAsia="zh-CN"/>
        </w:rPr>
        <w:t>展示城市基本信息及各类规划，包括且不限于：行政区划、城镇开发边界、中心城区边界、重点片区、生态空间、农业空间、城乡空间、产业布局、交通网络、水系布局、山体布局、城市中心区三维场景、重点发展任务及举措、生态保护项目、城市更新项目、三维数字模型等。</w:t>
      </w:r>
    </w:p>
    <w:p w14:paraId="52012E8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2.规划导航台系统语言为中文，操作界面、UI设计、功能菜单布局必须符合采购方需求。支持操纵三楼城市沙盘模型，可与大屏幕互动、支持汇报模式，</w:t>
      </w:r>
      <w:r>
        <w:rPr>
          <w:rFonts w:ascii="宋体" w:hAnsi="宋体" w:cs="宋体"/>
          <w:snapToGrid w:val="0"/>
          <w:color w:val="auto"/>
          <w:kern w:val="0"/>
          <w:szCs w:val="21"/>
          <w:highlight w:val="none"/>
        </w:rPr>
        <w:t>支持三维场景浏览交互功能，且需要可定制进行不同视角漫游、快速定位视点等基础功能。</w:t>
      </w:r>
    </w:p>
    <w:p w14:paraId="396907A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3</w:t>
      </w:r>
      <w:r>
        <w:rPr>
          <w:rFonts w:ascii="宋体" w:hAnsi="宋体" w:cs="宋体"/>
          <w:snapToGrid w:val="0"/>
          <w:color w:val="auto"/>
          <w:kern w:val="0"/>
          <w:szCs w:val="21"/>
          <w:highlight w:val="none"/>
        </w:rPr>
        <w:t>.支持多源数据格式以及多种GIS数据展示及可视化，如高清遥感影像、DEM、XML、Json、shp</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OBJ、OSGB、3dtiles</w:t>
      </w:r>
      <w:r>
        <w:rPr>
          <w:rFonts w:ascii="宋体" w:hAnsi="宋体" w:cs="宋体"/>
          <w:snapToGrid w:val="0"/>
          <w:color w:val="auto"/>
          <w:kern w:val="0"/>
          <w:szCs w:val="21"/>
          <w:highlight w:val="none"/>
        </w:rPr>
        <w:t>格式等，系统更新维护设计需快捷方便，安全，稳定，可实现对原有场景数据的增加、删除、更新与修改。系统整体架构设计合理，功能需考虑可扩展性</w:t>
      </w:r>
      <w:r>
        <w:rPr>
          <w:rFonts w:hint="eastAsia" w:ascii="宋体" w:hAnsi="宋体" w:cs="宋体"/>
          <w:snapToGrid w:val="0"/>
          <w:color w:val="auto"/>
          <w:kern w:val="0"/>
          <w:szCs w:val="21"/>
          <w:highlight w:val="none"/>
          <w:lang w:eastAsia="zh-CN"/>
        </w:rPr>
        <w:t>。</w:t>
      </w:r>
    </w:p>
    <w:p w14:paraId="3B74D7B3">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w:t>
      </w:r>
      <w:r>
        <w:rPr>
          <w:rFonts w:hint="eastAsia" w:ascii="宋体" w:hAnsi="宋体" w:cs="宋体"/>
          <w:b/>
          <w:bCs/>
          <w:snapToGrid w:val="0"/>
          <w:color w:val="auto"/>
          <w:kern w:val="0"/>
          <w:szCs w:val="21"/>
          <w:highlight w:val="none"/>
          <w:lang w:val="en-US" w:eastAsia="zh-CN"/>
        </w:rPr>
        <w:t>六</w:t>
      </w:r>
      <w:r>
        <w:rPr>
          <w:rFonts w:hint="eastAsia" w:ascii="宋体" w:hAnsi="宋体" w:cs="宋体"/>
          <w:b/>
          <w:bCs/>
          <w:snapToGrid w:val="0"/>
          <w:color w:val="auto"/>
          <w:kern w:val="0"/>
          <w:szCs w:val="21"/>
          <w:highlight w:val="none"/>
        </w:rPr>
        <w:t>）模型制作技术要求</w:t>
      </w:r>
    </w:p>
    <w:p w14:paraId="348D029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1.模型应方便安装、维修、更新，且不易损坏，规划建筑应考虑可以更换，同时确保电器、电路的安全、散热要求。</w:t>
      </w:r>
    </w:p>
    <w:p w14:paraId="6CBF3DEF">
      <w:pPr>
        <w:adjustRightInd w:val="0"/>
        <w:snapToGrid w:val="0"/>
        <w:spacing w:line="360" w:lineRule="auto"/>
        <w:ind w:firstLine="420" w:firstLineChars="200"/>
        <w:jc w:val="left"/>
        <w:rPr>
          <w:rFonts w:hint="default" w:eastAsia="宋体"/>
          <w:color w:val="auto"/>
          <w:highlight w:val="none"/>
          <w:lang w:val="en-US" w:eastAsia="zh-CN"/>
        </w:rPr>
      </w:pPr>
      <w:r>
        <w:rPr>
          <w:rFonts w:ascii="宋体" w:hAnsi="宋体" w:cs="宋体"/>
          <w:snapToGrid w:val="0"/>
          <w:color w:val="auto"/>
          <w:kern w:val="0"/>
          <w:szCs w:val="21"/>
          <w:highlight w:val="none"/>
        </w:rPr>
        <w:t>2.互动内容需充分考虑城市未来的发展，满足更新需求。</w:t>
      </w:r>
    </w:p>
    <w:p w14:paraId="5BEECD03">
      <w:pPr>
        <w:adjustRightInd w:val="0"/>
        <w:snapToGrid w:val="0"/>
        <w:spacing w:line="360" w:lineRule="auto"/>
        <w:ind w:firstLine="422" w:firstLineChars="200"/>
        <w:jc w:val="left"/>
        <w:rPr>
          <w:rFonts w:hint="eastAsia"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lang w:val="en-US" w:eastAsia="zh-CN"/>
        </w:rPr>
        <w:t>五</w:t>
      </w:r>
      <w:r>
        <w:rPr>
          <w:rFonts w:hint="eastAsia" w:ascii="宋体" w:hAnsi="宋体" w:cs="宋体"/>
          <w:b/>
          <w:bCs/>
          <w:snapToGrid w:val="0"/>
          <w:color w:val="auto"/>
          <w:kern w:val="0"/>
          <w:szCs w:val="21"/>
          <w:highlight w:val="none"/>
        </w:rPr>
        <w:t>、成果要求</w:t>
      </w:r>
    </w:p>
    <w:p w14:paraId="7CBBF7DF">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投标人须在投标文件中提供以下成果文件：</w:t>
      </w:r>
    </w:p>
    <w:p w14:paraId="5DA88BBC">
      <w:pPr>
        <w:adjustRightInd w:val="0"/>
        <w:snapToGrid w:val="0"/>
        <w:spacing w:line="360" w:lineRule="auto"/>
        <w:ind w:firstLine="420" w:firstLineChars="200"/>
        <w:jc w:val="left"/>
        <w:rPr>
          <w:rFonts w:hint="default" w:ascii="宋体" w:hAnsi="宋体" w:cs="宋体"/>
          <w:snapToGrid w:val="0"/>
          <w:color w:val="auto"/>
          <w:kern w:val="0"/>
          <w:szCs w:val="21"/>
          <w:highlight w:val="none"/>
          <w:lang w:val="en-US"/>
        </w:rPr>
      </w:pPr>
      <w:r>
        <w:rPr>
          <w:rFonts w:hint="eastAsia" w:ascii="宋体" w:hAnsi="宋体" w:cs="宋体"/>
          <w:b w:val="0"/>
          <w:bCs w:val="0"/>
          <w:snapToGrid w:val="0"/>
          <w:color w:val="auto"/>
          <w:kern w:val="0"/>
          <w:szCs w:val="21"/>
          <w:highlight w:val="none"/>
          <w:lang w:eastAsia="zh-CN"/>
        </w:rPr>
        <w:t>（</w:t>
      </w:r>
      <w:r>
        <w:rPr>
          <w:rFonts w:hint="eastAsia" w:ascii="宋体" w:hAnsi="宋体" w:cs="宋体"/>
          <w:b w:val="0"/>
          <w:bCs w:val="0"/>
          <w:snapToGrid w:val="0"/>
          <w:color w:val="auto"/>
          <w:kern w:val="0"/>
          <w:szCs w:val="21"/>
          <w:highlight w:val="none"/>
          <w:lang w:val="en-US" w:eastAsia="zh-CN"/>
        </w:rPr>
        <w:t>一</w:t>
      </w:r>
      <w:r>
        <w:rPr>
          <w:rFonts w:hint="eastAsia" w:ascii="宋体" w:hAnsi="宋体" w:cs="宋体"/>
          <w:b w:val="0"/>
          <w:bCs w:val="0"/>
          <w:snapToGrid w:val="0"/>
          <w:color w:val="auto"/>
          <w:kern w:val="0"/>
          <w:szCs w:val="21"/>
          <w:highlight w:val="none"/>
          <w:lang w:eastAsia="zh-CN"/>
        </w:rPr>
        <w:t>）</w:t>
      </w:r>
      <w:r>
        <w:rPr>
          <w:rFonts w:hint="eastAsia" w:ascii="宋体" w:hAnsi="宋体" w:cs="宋体"/>
          <w:b w:val="0"/>
          <w:bCs w:val="0"/>
          <w:snapToGrid w:val="0"/>
          <w:color w:val="auto"/>
          <w:kern w:val="0"/>
          <w:szCs w:val="21"/>
          <w:highlight w:val="none"/>
          <w:lang w:val="en-US" w:eastAsia="zh-CN"/>
        </w:rPr>
        <w:t>设计方案</w:t>
      </w:r>
    </w:p>
    <w:p w14:paraId="6704F289">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设计方案须紧密结合采购人提供的《乌鲁木齐市城市规划馆展陈更新大纲》，充分体现展示逻辑和内容，不得生搬硬套其他城市模板，细节可结合设计需求进行优化创新。</w:t>
      </w:r>
    </w:p>
    <w:p w14:paraId="2CA90E42">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设计方案包含：设计说明、设施利旧专篇、重点展项专篇、高科技技术应用专篇、</w:t>
      </w:r>
      <w:r>
        <w:rPr>
          <w:rFonts w:hint="eastAsia" w:ascii="宋体" w:hAnsi="宋体" w:cs="宋体"/>
          <w:snapToGrid w:val="0"/>
          <w:color w:val="auto"/>
          <w:kern w:val="0"/>
          <w:szCs w:val="21"/>
          <w:highlight w:val="none"/>
          <w:lang w:val="en-US" w:eastAsia="zh-CN"/>
        </w:rPr>
        <w:t>序厅设计专篇、</w:t>
      </w:r>
      <w:r>
        <w:rPr>
          <w:rFonts w:hint="default" w:ascii="宋体" w:hAnsi="宋体" w:cs="宋体"/>
          <w:snapToGrid w:val="0"/>
          <w:color w:val="auto"/>
          <w:kern w:val="0"/>
          <w:szCs w:val="21"/>
          <w:highlight w:val="none"/>
          <w:lang w:val="en-US" w:eastAsia="zh-CN"/>
        </w:rPr>
        <w:t>城市沙盘专篇、公共空间设计专篇、展馆标识系统设计专篇、设计图纸、投资概算、项目整体进度计划等。</w:t>
      </w:r>
    </w:p>
    <w:p w14:paraId="235BAFB8">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1）</w:t>
      </w:r>
      <w:r>
        <w:rPr>
          <w:rFonts w:hint="default" w:ascii="宋体" w:hAnsi="宋体" w:cs="宋体"/>
          <w:snapToGrid w:val="0"/>
          <w:color w:val="auto"/>
          <w:kern w:val="0"/>
          <w:szCs w:val="21"/>
          <w:highlight w:val="none"/>
          <w:lang w:val="en-US" w:eastAsia="zh-CN"/>
        </w:rPr>
        <w:t>设计说明</w:t>
      </w:r>
      <w:r>
        <w:rPr>
          <w:rFonts w:hint="eastAsia" w:ascii="宋体" w:hAnsi="宋体" w:cs="宋体"/>
          <w:snapToGrid w:val="0"/>
          <w:color w:val="auto"/>
          <w:kern w:val="0"/>
          <w:szCs w:val="21"/>
          <w:highlight w:val="none"/>
          <w:lang w:val="en-US" w:eastAsia="zh-CN"/>
        </w:rPr>
        <w:t>：</w:t>
      </w:r>
    </w:p>
    <w:p w14:paraId="69E73CA2">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①</w:t>
      </w:r>
      <w:r>
        <w:rPr>
          <w:rFonts w:hint="default" w:ascii="宋体" w:hAnsi="宋体" w:cs="宋体"/>
          <w:snapToGrid w:val="0"/>
          <w:color w:val="auto"/>
          <w:kern w:val="0"/>
          <w:szCs w:val="21"/>
          <w:highlight w:val="none"/>
          <w:lang w:val="en-US" w:eastAsia="zh-CN"/>
        </w:rPr>
        <w:t>总体设计构想和理念（至少包括现状评估、项目构成及总体构想）；</w:t>
      </w:r>
    </w:p>
    <w:p w14:paraId="25F56D74">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②</w:t>
      </w:r>
      <w:r>
        <w:rPr>
          <w:rFonts w:hint="default" w:ascii="宋体" w:hAnsi="宋体" w:cs="宋体"/>
          <w:snapToGrid w:val="0"/>
          <w:color w:val="auto"/>
          <w:kern w:val="0"/>
          <w:szCs w:val="21"/>
          <w:highlight w:val="none"/>
          <w:lang w:val="en-US" w:eastAsia="zh-CN"/>
        </w:rPr>
        <w:t>功能分区和空间布局说明；</w:t>
      </w:r>
    </w:p>
    <w:p w14:paraId="0A3F6B74">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③</w:t>
      </w:r>
      <w:r>
        <w:rPr>
          <w:rFonts w:hint="default" w:ascii="宋体" w:hAnsi="宋体" w:cs="宋体"/>
          <w:snapToGrid w:val="0"/>
          <w:color w:val="auto"/>
          <w:kern w:val="0"/>
          <w:szCs w:val="21"/>
          <w:highlight w:val="none"/>
          <w:lang w:val="en-US" w:eastAsia="zh-CN"/>
        </w:rPr>
        <w:t>根据不同参观类型提出参观流线及接待方案；</w:t>
      </w:r>
    </w:p>
    <w:p w14:paraId="01135AEB">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④</w:t>
      </w:r>
      <w:r>
        <w:rPr>
          <w:rFonts w:hint="default" w:ascii="宋体" w:hAnsi="宋体" w:cs="宋体"/>
          <w:snapToGrid w:val="0"/>
          <w:color w:val="auto"/>
          <w:kern w:val="0"/>
          <w:szCs w:val="21"/>
          <w:highlight w:val="none"/>
          <w:lang w:val="en-US" w:eastAsia="zh-CN"/>
        </w:rPr>
        <w:t>展品展项的展示方案、展示表现手法、技术措施及数字多媒体系统方案（文字说明+效果图）；</w:t>
      </w:r>
    </w:p>
    <w:p w14:paraId="2859B8F6">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⑤</w:t>
      </w:r>
      <w:r>
        <w:rPr>
          <w:rFonts w:hint="default" w:ascii="宋体" w:hAnsi="宋体" w:cs="宋体"/>
          <w:snapToGrid w:val="0"/>
          <w:color w:val="auto"/>
          <w:kern w:val="0"/>
          <w:szCs w:val="21"/>
          <w:highlight w:val="none"/>
          <w:lang w:val="en-US" w:eastAsia="zh-CN"/>
        </w:rPr>
        <w:t>分层的设计构想和理念；</w:t>
      </w:r>
    </w:p>
    <w:p w14:paraId="1A6FAA0B">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⑥</w:t>
      </w:r>
      <w:r>
        <w:rPr>
          <w:rFonts w:hint="default" w:ascii="宋体" w:hAnsi="宋体" w:cs="宋体"/>
          <w:snapToGrid w:val="0"/>
          <w:color w:val="auto"/>
          <w:kern w:val="0"/>
          <w:szCs w:val="21"/>
          <w:highlight w:val="none"/>
          <w:lang w:val="en-US" w:eastAsia="zh-CN"/>
        </w:rPr>
        <w:t>布展设计特点及亮点；</w:t>
      </w:r>
    </w:p>
    <w:p w14:paraId="43A14022">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⑦</w:t>
      </w:r>
      <w:r>
        <w:rPr>
          <w:rFonts w:hint="default" w:ascii="宋体" w:hAnsi="宋体" w:cs="宋体"/>
          <w:snapToGrid w:val="0"/>
          <w:color w:val="auto"/>
          <w:kern w:val="0"/>
          <w:szCs w:val="21"/>
          <w:highlight w:val="none"/>
          <w:lang w:val="en-US" w:eastAsia="zh-CN"/>
        </w:rPr>
        <w:t>所提交的成果应保持原创性，不得任何侵犯第三方知识产权，否则由此产生的后果由投标单位承担，招标单位保留追责、索赔的权利</w:t>
      </w:r>
      <w:r>
        <w:rPr>
          <w:rFonts w:hint="eastAsia" w:ascii="宋体" w:hAnsi="宋体" w:cs="宋体"/>
          <w:snapToGrid w:val="0"/>
          <w:color w:val="auto"/>
          <w:kern w:val="0"/>
          <w:szCs w:val="21"/>
          <w:highlight w:val="none"/>
          <w:lang w:val="en-US" w:eastAsia="zh-CN"/>
        </w:rPr>
        <w:t>；</w:t>
      </w:r>
    </w:p>
    <w:p w14:paraId="58CA6329">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2）</w:t>
      </w:r>
      <w:r>
        <w:rPr>
          <w:rFonts w:hint="default" w:ascii="宋体" w:hAnsi="宋体" w:cs="宋体"/>
          <w:snapToGrid w:val="0"/>
          <w:color w:val="auto"/>
          <w:kern w:val="0"/>
          <w:szCs w:val="21"/>
          <w:highlight w:val="none"/>
          <w:lang w:val="en-US" w:eastAsia="zh-CN"/>
        </w:rPr>
        <w:t>设施利旧专篇</w:t>
      </w:r>
      <w:r>
        <w:rPr>
          <w:rFonts w:hint="eastAsia" w:ascii="宋体" w:hAnsi="宋体" w:cs="宋体"/>
          <w:snapToGrid w:val="0"/>
          <w:color w:val="auto"/>
          <w:kern w:val="0"/>
          <w:szCs w:val="21"/>
          <w:highlight w:val="none"/>
          <w:lang w:val="en-US" w:eastAsia="zh-CN"/>
        </w:rPr>
        <w:t>；</w:t>
      </w:r>
    </w:p>
    <w:p w14:paraId="0DD7E33F">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3）</w:t>
      </w:r>
      <w:r>
        <w:rPr>
          <w:rFonts w:hint="default" w:ascii="宋体" w:hAnsi="宋体" w:cs="宋体"/>
          <w:snapToGrid w:val="0"/>
          <w:color w:val="auto"/>
          <w:kern w:val="0"/>
          <w:szCs w:val="21"/>
          <w:highlight w:val="none"/>
          <w:lang w:val="en-US" w:eastAsia="zh-CN"/>
        </w:rPr>
        <w:t>重点展项专篇，由投标人综合考虑，自主设计。需附采用的展示技术及主要设备的说明（含品牌、规格型号、价格等）</w:t>
      </w:r>
      <w:r>
        <w:rPr>
          <w:rFonts w:hint="eastAsia" w:ascii="宋体" w:hAnsi="宋体" w:cs="宋体"/>
          <w:snapToGrid w:val="0"/>
          <w:color w:val="auto"/>
          <w:kern w:val="0"/>
          <w:szCs w:val="21"/>
          <w:highlight w:val="none"/>
          <w:lang w:val="en-US" w:eastAsia="zh-CN"/>
        </w:rPr>
        <w:t>；</w:t>
      </w:r>
    </w:p>
    <w:p w14:paraId="57EFCDDD">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4）</w:t>
      </w:r>
      <w:r>
        <w:rPr>
          <w:rFonts w:hint="default" w:ascii="宋体" w:hAnsi="宋体" w:cs="宋体"/>
          <w:snapToGrid w:val="0"/>
          <w:color w:val="auto"/>
          <w:kern w:val="0"/>
          <w:szCs w:val="21"/>
          <w:highlight w:val="none"/>
          <w:lang w:val="en-US" w:eastAsia="zh-CN"/>
        </w:rPr>
        <w:t>高科技技术应用专篇，要求提供多媒体硬件、软件、内容构想和维护方案</w:t>
      </w:r>
      <w:r>
        <w:rPr>
          <w:rFonts w:hint="eastAsia" w:ascii="宋体" w:hAnsi="宋体" w:cs="宋体"/>
          <w:snapToGrid w:val="0"/>
          <w:color w:val="auto"/>
          <w:kern w:val="0"/>
          <w:szCs w:val="21"/>
          <w:highlight w:val="none"/>
          <w:lang w:val="en-US" w:eastAsia="zh-CN"/>
        </w:rPr>
        <w:t>；</w:t>
      </w:r>
    </w:p>
    <w:p w14:paraId="4DE8677E">
      <w:pPr>
        <w:spacing w:line="360" w:lineRule="auto"/>
        <w:ind w:left="218" w:leftChars="104" w:firstLine="420" w:firstLineChars="200"/>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5）序厅设计专篇</w:t>
      </w:r>
      <w:r>
        <w:rPr>
          <w:rFonts w:hint="default" w:ascii="宋体" w:hAnsi="宋体" w:cs="宋体"/>
          <w:snapToGrid w:val="0"/>
          <w:color w:val="auto"/>
          <w:kern w:val="0"/>
          <w:szCs w:val="21"/>
          <w:highlight w:val="none"/>
          <w:lang w:val="en-US" w:eastAsia="zh-CN"/>
        </w:rPr>
        <w:t>，具体内容要求如下</w:t>
      </w:r>
      <w:r>
        <w:rPr>
          <w:rFonts w:hint="eastAsia" w:ascii="宋体" w:hAnsi="宋体" w:cs="宋体"/>
          <w:snapToGrid w:val="0"/>
          <w:color w:val="auto"/>
          <w:kern w:val="0"/>
          <w:szCs w:val="21"/>
          <w:highlight w:val="none"/>
          <w:lang w:val="en-US" w:eastAsia="zh-CN"/>
        </w:rPr>
        <w:t>：</w:t>
      </w:r>
    </w:p>
    <w:p w14:paraId="132D125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①设计方案；</w:t>
      </w:r>
    </w:p>
    <w:p w14:paraId="38D185C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②序厅影片脚本。</w:t>
      </w:r>
    </w:p>
    <w:p w14:paraId="6B585FAB">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6）</w:t>
      </w:r>
      <w:r>
        <w:rPr>
          <w:rFonts w:hint="default" w:ascii="宋体" w:hAnsi="宋体" w:cs="宋体"/>
          <w:snapToGrid w:val="0"/>
          <w:color w:val="auto"/>
          <w:kern w:val="0"/>
          <w:szCs w:val="21"/>
          <w:highlight w:val="none"/>
          <w:lang w:val="en-US" w:eastAsia="zh-CN"/>
        </w:rPr>
        <w:t>城市沙盘专篇，具体内容要求如下</w:t>
      </w:r>
      <w:r>
        <w:rPr>
          <w:rFonts w:hint="eastAsia" w:ascii="宋体" w:hAnsi="宋体" w:cs="宋体"/>
          <w:snapToGrid w:val="0"/>
          <w:color w:val="auto"/>
          <w:kern w:val="0"/>
          <w:szCs w:val="21"/>
          <w:highlight w:val="none"/>
          <w:lang w:val="en-US" w:eastAsia="zh-CN"/>
        </w:rPr>
        <w:t>：</w:t>
      </w:r>
    </w:p>
    <w:p w14:paraId="3F678E96">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①</w:t>
      </w:r>
      <w:r>
        <w:rPr>
          <w:rFonts w:hint="default" w:ascii="宋体" w:hAnsi="宋体" w:cs="宋体"/>
          <w:snapToGrid w:val="0"/>
          <w:color w:val="auto"/>
          <w:kern w:val="0"/>
          <w:szCs w:val="21"/>
          <w:highlight w:val="none"/>
          <w:lang w:val="en-US" w:eastAsia="zh-CN"/>
        </w:rPr>
        <w:t>城市沙盘影片脚本；</w:t>
      </w:r>
    </w:p>
    <w:p w14:paraId="61C035C8">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②沙盘设计方案</w:t>
      </w:r>
      <w:r>
        <w:rPr>
          <w:rFonts w:hint="default" w:ascii="宋体" w:hAnsi="宋体" w:cs="宋体"/>
          <w:snapToGrid w:val="0"/>
          <w:color w:val="auto"/>
          <w:kern w:val="0"/>
          <w:szCs w:val="21"/>
          <w:highlight w:val="none"/>
          <w:lang w:val="en-US" w:eastAsia="zh-CN"/>
        </w:rPr>
        <w:t>说明及效果演示；</w:t>
      </w:r>
    </w:p>
    <w:p w14:paraId="6CF512D0">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③</w:t>
      </w:r>
      <w:r>
        <w:rPr>
          <w:rFonts w:hint="default" w:ascii="宋体" w:hAnsi="宋体" w:cs="宋体"/>
          <w:snapToGrid w:val="0"/>
          <w:color w:val="auto"/>
          <w:kern w:val="0"/>
          <w:szCs w:val="21"/>
          <w:highlight w:val="none"/>
          <w:lang w:val="en-US" w:eastAsia="zh-CN"/>
        </w:rPr>
        <w:t>采用主要设备说明（含品牌、规格型号、价格）；</w:t>
      </w:r>
    </w:p>
    <w:p w14:paraId="309E82D6">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④</w:t>
      </w:r>
      <w:r>
        <w:rPr>
          <w:rFonts w:hint="default" w:ascii="宋体" w:hAnsi="宋体" w:cs="宋体"/>
          <w:snapToGrid w:val="0"/>
          <w:color w:val="auto"/>
          <w:kern w:val="0"/>
          <w:szCs w:val="21"/>
          <w:highlight w:val="none"/>
          <w:lang w:val="en-US" w:eastAsia="zh-CN"/>
        </w:rPr>
        <w:t>与模型相关的图纸（含观看效果视线分析、空间关系、结构安全等）。</w:t>
      </w:r>
    </w:p>
    <w:p w14:paraId="4734F3F6">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7）</w:t>
      </w:r>
      <w:r>
        <w:rPr>
          <w:rFonts w:hint="default" w:ascii="宋体" w:hAnsi="宋体" w:cs="宋体"/>
          <w:snapToGrid w:val="0"/>
          <w:color w:val="auto"/>
          <w:kern w:val="0"/>
          <w:szCs w:val="21"/>
          <w:highlight w:val="none"/>
          <w:lang w:val="en-US" w:eastAsia="zh-CN"/>
        </w:rPr>
        <w:t>公共空间设计专篇</w:t>
      </w:r>
      <w:r>
        <w:rPr>
          <w:rFonts w:hint="eastAsia" w:ascii="宋体" w:hAnsi="宋体" w:cs="宋体"/>
          <w:snapToGrid w:val="0"/>
          <w:color w:val="auto"/>
          <w:kern w:val="0"/>
          <w:szCs w:val="21"/>
          <w:highlight w:val="none"/>
          <w:lang w:val="en-US" w:eastAsia="zh-CN"/>
        </w:rPr>
        <w:t>；</w:t>
      </w:r>
    </w:p>
    <w:p w14:paraId="63B442DB">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8）</w:t>
      </w:r>
      <w:r>
        <w:rPr>
          <w:rFonts w:hint="default" w:ascii="宋体" w:hAnsi="宋体" w:cs="宋体"/>
          <w:snapToGrid w:val="0"/>
          <w:color w:val="auto"/>
          <w:kern w:val="0"/>
          <w:szCs w:val="21"/>
          <w:highlight w:val="none"/>
          <w:lang w:val="en-US" w:eastAsia="zh-CN"/>
        </w:rPr>
        <w:t>展馆标识系统设计专篇，在六馆一心现有标识系统的基础上，提取乌鲁木齐自然资源及城市特色要素，归纳视觉应用和色彩体系，设计规划馆的导视标识系统</w:t>
      </w:r>
      <w:r>
        <w:rPr>
          <w:rFonts w:hint="eastAsia" w:ascii="宋体" w:hAnsi="宋体" w:cs="宋体"/>
          <w:snapToGrid w:val="0"/>
          <w:color w:val="auto"/>
          <w:kern w:val="0"/>
          <w:szCs w:val="21"/>
          <w:highlight w:val="none"/>
          <w:lang w:val="en-US" w:eastAsia="zh-CN"/>
        </w:rPr>
        <w:t>；</w:t>
      </w:r>
    </w:p>
    <w:p w14:paraId="11BB62DF">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9）</w:t>
      </w:r>
      <w:r>
        <w:rPr>
          <w:rFonts w:hint="default" w:ascii="宋体" w:hAnsi="宋体" w:cs="宋体"/>
          <w:snapToGrid w:val="0"/>
          <w:color w:val="auto"/>
          <w:kern w:val="0"/>
          <w:szCs w:val="21"/>
          <w:highlight w:val="none"/>
          <w:lang w:val="en-US" w:eastAsia="zh-CN"/>
        </w:rPr>
        <w:t>设计图纸应充分表达设计理念，重点部位应加以说明，能明确表示设计意图，标注主要部位的设备和材料、各展区展示方式</w:t>
      </w:r>
      <w:r>
        <w:rPr>
          <w:rFonts w:hint="eastAsia" w:ascii="宋体" w:hAnsi="宋体" w:cs="宋体"/>
          <w:snapToGrid w:val="0"/>
          <w:color w:val="auto"/>
          <w:kern w:val="0"/>
          <w:szCs w:val="21"/>
          <w:highlight w:val="none"/>
          <w:lang w:val="en-US" w:eastAsia="zh-CN"/>
        </w:rPr>
        <w:t>；</w:t>
      </w:r>
    </w:p>
    <w:p w14:paraId="482D40D3">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①</w:t>
      </w:r>
      <w:r>
        <w:rPr>
          <w:rFonts w:hint="default" w:ascii="宋体" w:hAnsi="宋体" w:cs="宋体"/>
          <w:snapToGrid w:val="0"/>
          <w:color w:val="auto"/>
          <w:kern w:val="0"/>
          <w:szCs w:val="21"/>
          <w:highlight w:val="none"/>
          <w:lang w:val="en-US" w:eastAsia="zh-CN"/>
        </w:rPr>
        <w:t>建筑结构改造工程图（若有）；</w:t>
      </w:r>
    </w:p>
    <w:p w14:paraId="41CFE2CC">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②</w:t>
      </w:r>
      <w:r>
        <w:rPr>
          <w:rFonts w:hint="default" w:ascii="宋体" w:hAnsi="宋体" w:cs="宋体"/>
          <w:snapToGrid w:val="0"/>
          <w:color w:val="auto"/>
          <w:kern w:val="0"/>
          <w:szCs w:val="21"/>
          <w:highlight w:val="none"/>
          <w:lang w:val="en-US" w:eastAsia="zh-CN"/>
        </w:rPr>
        <w:t>建筑内部空间改造图；</w:t>
      </w:r>
    </w:p>
    <w:p w14:paraId="6DB7C9FB">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③</w:t>
      </w:r>
      <w:r>
        <w:rPr>
          <w:rFonts w:hint="default" w:ascii="宋体" w:hAnsi="宋体" w:cs="宋体"/>
          <w:snapToGrid w:val="0"/>
          <w:color w:val="auto"/>
          <w:kern w:val="0"/>
          <w:szCs w:val="21"/>
          <w:highlight w:val="none"/>
          <w:lang w:val="en-US" w:eastAsia="zh-CN"/>
        </w:rPr>
        <w:t>布展设计效果图；</w:t>
      </w:r>
    </w:p>
    <w:p w14:paraId="4C92142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④</w:t>
      </w:r>
      <w:r>
        <w:rPr>
          <w:rFonts w:hint="default" w:ascii="宋体" w:hAnsi="宋体" w:cs="宋体"/>
          <w:snapToGrid w:val="0"/>
          <w:color w:val="auto"/>
          <w:kern w:val="0"/>
          <w:szCs w:val="21"/>
          <w:highlight w:val="none"/>
          <w:lang w:val="en-US" w:eastAsia="zh-CN"/>
        </w:rPr>
        <w:t>布展设计立体透视图；</w:t>
      </w:r>
    </w:p>
    <w:p w14:paraId="1CCAA0B5">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⑤</w:t>
      </w:r>
      <w:r>
        <w:rPr>
          <w:rFonts w:hint="default" w:ascii="宋体" w:hAnsi="宋体" w:cs="宋体"/>
          <w:snapToGrid w:val="0"/>
          <w:color w:val="auto"/>
          <w:kern w:val="0"/>
          <w:szCs w:val="21"/>
          <w:highlight w:val="none"/>
          <w:lang w:val="en-US" w:eastAsia="zh-CN"/>
        </w:rPr>
        <w:t>布展设计平面图；</w:t>
      </w:r>
    </w:p>
    <w:p w14:paraId="3E260D37">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⑥</w:t>
      </w:r>
      <w:r>
        <w:rPr>
          <w:rFonts w:hint="default" w:ascii="宋体" w:hAnsi="宋体" w:cs="宋体"/>
          <w:snapToGrid w:val="0"/>
          <w:color w:val="auto"/>
          <w:kern w:val="0"/>
          <w:szCs w:val="21"/>
          <w:highlight w:val="none"/>
          <w:lang w:val="en-US" w:eastAsia="zh-CN"/>
        </w:rPr>
        <w:t>展区平面图；</w:t>
      </w:r>
    </w:p>
    <w:p w14:paraId="4D353EE2">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⑦</w:t>
      </w:r>
      <w:r>
        <w:rPr>
          <w:rFonts w:hint="default" w:ascii="宋体" w:hAnsi="宋体" w:cs="宋体"/>
          <w:snapToGrid w:val="0"/>
          <w:color w:val="auto"/>
          <w:kern w:val="0"/>
          <w:szCs w:val="21"/>
          <w:highlight w:val="none"/>
          <w:lang w:val="en-US" w:eastAsia="zh-CN"/>
        </w:rPr>
        <w:t>单个展区立体透视图；</w:t>
      </w:r>
    </w:p>
    <w:p w14:paraId="5AE9C0AB">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⑧</w:t>
      </w:r>
      <w:r>
        <w:rPr>
          <w:rFonts w:hint="default" w:ascii="宋体" w:hAnsi="宋体" w:cs="宋体"/>
          <w:snapToGrid w:val="0"/>
          <w:color w:val="auto"/>
          <w:kern w:val="0"/>
          <w:szCs w:val="21"/>
          <w:highlight w:val="none"/>
          <w:lang w:val="en-US" w:eastAsia="zh-CN"/>
        </w:rPr>
        <w:t>流线组织分析图；</w:t>
      </w:r>
    </w:p>
    <w:p w14:paraId="1B7FC5D3">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⑨</w:t>
      </w:r>
      <w:r>
        <w:rPr>
          <w:rFonts w:hint="default" w:ascii="宋体" w:hAnsi="宋体" w:cs="宋体"/>
          <w:snapToGrid w:val="0"/>
          <w:color w:val="auto"/>
          <w:kern w:val="0"/>
          <w:szCs w:val="21"/>
          <w:highlight w:val="none"/>
          <w:lang w:val="en-US" w:eastAsia="zh-CN"/>
        </w:rPr>
        <w:t>功能分区分析图；</w:t>
      </w:r>
    </w:p>
    <w:p w14:paraId="63E018A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⑩</w:t>
      </w:r>
      <w:r>
        <w:rPr>
          <w:rFonts w:hint="default" w:ascii="宋体" w:hAnsi="宋体" w:cs="宋体"/>
          <w:snapToGrid w:val="0"/>
          <w:color w:val="auto"/>
          <w:kern w:val="0"/>
          <w:szCs w:val="21"/>
          <w:highlight w:val="none"/>
          <w:lang w:val="en-US" w:eastAsia="zh-CN"/>
        </w:rPr>
        <w:t>装修、装饰图纸效果图；</w:t>
      </w:r>
    </w:p>
    <w:p w14:paraId="0A594C08">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default" w:ascii="宋体" w:hAnsi="宋体" w:cs="宋体"/>
          <w:snapToGrid w:val="0"/>
          <w:color w:val="auto"/>
          <w:kern w:val="0"/>
          <w:szCs w:val="21"/>
          <w:highlight w:val="none"/>
          <w:lang w:val="en-US" w:eastAsia="zh-CN"/>
        </w:rPr>
        <w:t>⑪各楼层及各分展区立体剖析效果图；</w:t>
      </w:r>
    </w:p>
    <w:p w14:paraId="26D4AE53">
      <w:pPr>
        <w:spacing w:line="360" w:lineRule="auto"/>
        <w:ind w:left="218" w:leftChars="104" w:firstLine="420" w:firstLineChars="200"/>
        <w:rPr>
          <w:rFonts w:hint="default" w:ascii="宋体" w:hAnsi="宋体" w:eastAsia="宋体" w:cs="宋体"/>
          <w:snapToGrid w:val="0"/>
          <w:color w:val="auto"/>
          <w:kern w:val="0"/>
          <w:szCs w:val="21"/>
          <w:highlight w:val="none"/>
          <w:lang w:val="en-US" w:eastAsia="zh-CN"/>
        </w:rPr>
      </w:pPr>
      <w:r>
        <w:rPr>
          <w:rFonts w:hint="default" w:ascii="宋体" w:hAnsi="宋体" w:eastAsia="宋体" w:cs="宋体"/>
          <w:snapToGrid w:val="0"/>
          <w:color w:val="auto"/>
          <w:kern w:val="0"/>
          <w:szCs w:val="21"/>
          <w:highlight w:val="none"/>
          <w:lang w:val="en-US" w:eastAsia="zh-CN"/>
        </w:rPr>
        <w:t>⑫能反映建筑物内各空间相互关系的设计示意图；</w:t>
      </w:r>
    </w:p>
    <w:p w14:paraId="769B4C75">
      <w:pPr>
        <w:spacing w:line="360" w:lineRule="auto"/>
        <w:ind w:left="218" w:leftChars="104" w:firstLine="420" w:firstLineChars="200"/>
        <w:rPr>
          <w:rFonts w:hint="default" w:ascii="宋体" w:hAnsi="宋体" w:eastAsia="宋体" w:cs="宋体"/>
          <w:snapToGrid w:val="0"/>
          <w:color w:val="auto"/>
          <w:kern w:val="0"/>
          <w:szCs w:val="21"/>
          <w:highlight w:val="none"/>
          <w:lang w:val="en-US" w:eastAsia="zh-CN"/>
        </w:rPr>
      </w:pPr>
      <w:r>
        <w:rPr>
          <w:rFonts w:hint="default" w:ascii="宋体" w:hAnsi="宋体" w:eastAsia="宋体" w:cs="宋体"/>
          <w:snapToGrid w:val="0"/>
          <w:color w:val="auto"/>
          <w:kern w:val="0"/>
          <w:szCs w:val="21"/>
          <w:highlight w:val="none"/>
          <w:lang w:val="en-US" w:eastAsia="zh-CN"/>
        </w:rPr>
        <w:t>⑬天花图；</w:t>
      </w:r>
    </w:p>
    <w:p w14:paraId="6AC8A9A9">
      <w:pPr>
        <w:spacing w:line="360" w:lineRule="auto"/>
        <w:ind w:left="218" w:leftChars="104" w:firstLine="420" w:firstLineChars="200"/>
        <w:rPr>
          <w:rFonts w:hint="default" w:ascii="宋体" w:hAnsi="宋体" w:eastAsia="宋体" w:cs="宋体"/>
          <w:snapToGrid w:val="0"/>
          <w:color w:val="auto"/>
          <w:kern w:val="0"/>
          <w:szCs w:val="21"/>
          <w:highlight w:val="none"/>
          <w:lang w:val="en-US" w:eastAsia="zh-CN"/>
        </w:rPr>
      </w:pPr>
      <w:r>
        <w:rPr>
          <w:rFonts w:hint="default" w:ascii="宋体" w:hAnsi="宋体" w:eastAsia="宋体" w:cs="宋体"/>
          <w:snapToGrid w:val="0"/>
          <w:color w:val="auto"/>
          <w:kern w:val="0"/>
          <w:szCs w:val="21"/>
          <w:highlight w:val="none"/>
          <w:lang w:val="en-US" w:eastAsia="zh-CN"/>
        </w:rPr>
        <w:t>⑭沙盘及模型表达效果图等相关图纸；</w:t>
      </w:r>
    </w:p>
    <w:p w14:paraId="26C900BF">
      <w:pPr>
        <w:spacing w:line="360" w:lineRule="auto"/>
        <w:ind w:left="218" w:leftChars="104" w:firstLine="420" w:firstLineChars="200"/>
        <w:rPr>
          <w:rFonts w:hint="default" w:ascii="宋体" w:hAnsi="宋体" w:eastAsia="宋体" w:cs="宋体"/>
          <w:snapToGrid w:val="0"/>
          <w:color w:val="auto"/>
          <w:kern w:val="0"/>
          <w:szCs w:val="21"/>
          <w:highlight w:val="none"/>
          <w:lang w:val="en-US" w:eastAsia="zh-CN"/>
        </w:rPr>
      </w:pPr>
      <w:r>
        <w:rPr>
          <w:rFonts w:hint="default" w:ascii="宋体" w:hAnsi="宋体" w:eastAsia="宋体" w:cs="宋体"/>
          <w:snapToGrid w:val="0"/>
          <w:color w:val="auto"/>
          <w:kern w:val="0"/>
          <w:szCs w:val="21"/>
          <w:highlight w:val="none"/>
          <w:lang w:val="en-US" w:eastAsia="zh-CN"/>
        </w:rPr>
        <w:t>⑮专项分析示意图：如功能布局图、交通组织、视点分析等；</w:t>
      </w:r>
    </w:p>
    <w:p w14:paraId="36C6609B">
      <w:pPr>
        <w:spacing w:line="360" w:lineRule="auto"/>
        <w:ind w:left="218" w:leftChars="104" w:firstLine="420" w:firstLineChars="200"/>
        <w:rPr>
          <w:rFonts w:hint="default" w:ascii="宋体" w:hAnsi="宋体" w:eastAsia="宋体" w:cs="宋体"/>
          <w:snapToGrid w:val="0"/>
          <w:color w:val="auto"/>
          <w:kern w:val="0"/>
          <w:szCs w:val="21"/>
          <w:highlight w:val="none"/>
          <w:lang w:val="en-US" w:eastAsia="zh-CN"/>
        </w:rPr>
      </w:pPr>
      <w:r>
        <w:rPr>
          <w:rFonts w:hint="default" w:ascii="宋体" w:hAnsi="宋体" w:eastAsia="宋体" w:cs="宋体"/>
          <w:snapToGrid w:val="0"/>
          <w:color w:val="auto"/>
          <w:kern w:val="0"/>
          <w:szCs w:val="21"/>
          <w:highlight w:val="none"/>
          <w:lang w:val="en-US" w:eastAsia="zh-CN"/>
        </w:rPr>
        <w:t>⑯其他需要表达布展设计意图的图纸。</w:t>
      </w:r>
    </w:p>
    <w:p w14:paraId="759B7D8A">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10）</w:t>
      </w:r>
      <w:r>
        <w:rPr>
          <w:rFonts w:hint="default" w:ascii="宋体" w:hAnsi="宋体" w:cs="宋体"/>
          <w:snapToGrid w:val="0"/>
          <w:color w:val="auto"/>
          <w:kern w:val="0"/>
          <w:szCs w:val="21"/>
          <w:highlight w:val="none"/>
          <w:lang w:val="en-US" w:eastAsia="zh-CN"/>
        </w:rPr>
        <w:t>所需设备、材料、元器件明细清单，包括但不限于：硬件和软件设备的价格、品牌、规格型号、技术参数、产地、制造商等；材料明细表，包含价格、种类、技术规格、品牌、产地、制造商等；硬件、软件、系统的价格分析表；需要的备品、备件等</w:t>
      </w:r>
      <w:r>
        <w:rPr>
          <w:rFonts w:hint="eastAsia" w:ascii="宋体" w:hAnsi="宋体" w:cs="宋体"/>
          <w:snapToGrid w:val="0"/>
          <w:color w:val="auto"/>
          <w:kern w:val="0"/>
          <w:szCs w:val="21"/>
          <w:highlight w:val="none"/>
          <w:lang w:val="en-US" w:eastAsia="zh-CN"/>
        </w:rPr>
        <w:t>；</w:t>
      </w:r>
    </w:p>
    <w:p w14:paraId="2100156F">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11）</w:t>
      </w:r>
      <w:r>
        <w:rPr>
          <w:rFonts w:hint="default" w:ascii="宋体" w:hAnsi="宋体" w:cs="宋体"/>
          <w:snapToGrid w:val="0"/>
          <w:color w:val="auto"/>
          <w:kern w:val="0"/>
          <w:szCs w:val="21"/>
          <w:highlight w:val="none"/>
          <w:lang w:val="en-US" w:eastAsia="zh-CN"/>
        </w:rPr>
        <w:t>投资概算</w:t>
      </w:r>
      <w:r>
        <w:rPr>
          <w:rFonts w:hint="eastAsia" w:ascii="宋体" w:hAnsi="宋体" w:cs="宋体"/>
          <w:snapToGrid w:val="0"/>
          <w:color w:val="auto"/>
          <w:kern w:val="0"/>
          <w:szCs w:val="21"/>
          <w:highlight w:val="none"/>
          <w:lang w:val="en-US" w:eastAsia="zh-CN"/>
        </w:rPr>
        <w:t>；</w:t>
      </w:r>
    </w:p>
    <w:p w14:paraId="34DB3D45">
      <w:pPr>
        <w:spacing w:line="360" w:lineRule="auto"/>
        <w:ind w:left="218" w:leftChars="104" w:firstLine="420" w:firstLineChars="200"/>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12）</w:t>
      </w:r>
      <w:r>
        <w:rPr>
          <w:rFonts w:hint="default" w:ascii="宋体" w:hAnsi="宋体" w:cs="宋体"/>
          <w:snapToGrid w:val="0"/>
          <w:color w:val="auto"/>
          <w:kern w:val="0"/>
          <w:szCs w:val="21"/>
          <w:highlight w:val="none"/>
          <w:lang w:val="en-US" w:eastAsia="zh-CN"/>
        </w:rPr>
        <w:t>项目整体进度计划</w:t>
      </w:r>
      <w:r>
        <w:rPr>
          <w:rFonts w:hint="eastAsia" w:ascii="宋体" w:hAnsi="宋体" w:cs="宋体"/>
          <w:snapToGrid w:val="0"/>
          <w:color w:val="auto"/>
          <w:kern w:val="0"/>
          <w:szCs w:val="21"/>
          <w:highlight w:val="none"/>
          <w:lang w:val="en-US" w:eastAsia="zh-CN"/>
        </w:rPr>
        <w:t>。</w:t>
      </w:r>
    </w:p>
    <w:p w14:paraId="619A4EF3">
      <w:pPr>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（二）方案成果递交</w:t>
      </w:r>
    </w:p>
    <w:p w14:paraId="491B022F">
      <w:pPr>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本项目为电子投标，招标阶段的方案成果在电子投标文件中提供。中标后，中标人须向采购人提供纸质A3方案文本6套。</w:t>
      </w:r>
    </w:p>
    <w:p w14:paraId="48F7AD97">
      <w:pPr>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（三）投标人现场演示讲解：</w:t>
      </w:r>
    </w:p>
    <w:p w14:paraId="0A9FAC21">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以多媒体演示视频形式，讲解项目整体设计方案，时长不超过20分钟。其中需包含：围绕序厅影片主题，提供不超过1分钟的影片片段演示；围绕四楼沙盘影片主题，提供不超过2分钟的影片片段演示；围绕</w:t>
      </w:r>
      <w:r>
        <w:rPr>
          <w:rFonts w:hint="eastAsia" w:ascii="宋体" w:hAnsi="宋体" w:cs="宋体"/>
          <w:snapToGrid w:val="0"/>
          <w:color w:val="auto"/>
          <w:kern w:val="0"/>
          <w:szCs w:val="21"/>
          <w:highlight w:val="none"/>
          <w:lang w:val="en-US" w:eastAsia="zh-CN"/>
        </w:rPr>
        <w:t>其他重点展项</w:t>
      </w:r>
      <w:r>
        <w:rPr>
          <w:rFonts w:hint="eastAsia" w:ascii="宋体" w:hAnsi="宋体" w:cs="宋体"/>
          <w:snapToGrid w:val="0"/>
          <w:color w:val="auto"/>
          <w:kern w:val="0"/>
          <w:szCs w:val="21"/>
          <w:highlight w:val="none"/>
        </w:rPr>
        <w:t>，自定主题提供不超过1分钟的影片片段演示。要求能体现投标人三维动画与影片拍摄制作水平。</w:t>
      </w:r>
    </w:p>
    <w:p w14:paraId="11F88FDB">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演示结束后，可进行不超过5分钟的补充汇报；汇报后安排不超过5分钟的评委提问环节。</w:t>
      </w:r>
    </w:p>
    <w:p w14:paraId="33C1C01A">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其他要求：</w:t>
      </w:r>
    </w:p>
    <w:p w14:paraId="08E391DF">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①</w:t>
      </w:r>
      <w:r>
        <w:rPr>
          <w:rFonts w:hint="eastAsia" w:ascii="宋体" w:hAnsi="宋体" w:cs="宋体"/>
          <w:snapToGrid w:val="0"/>
          <w:color w:val="auto"/>
          <w:kern w:val="0"/>
          <w:szCs w:val="21"/>
          <w:highlight w:val="none"/>
        </w:rPr>
        <w:t>由投标人自行安排述标讲解人员，并自行准备述标所需的设备、材料等。</w:t>
      </w:r>
    </w:p>
    <w:p w14:paraId="4E56F658">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②</w:t>
      </w:r>
      <w:r>
        <w:rPr>
          <w:rFonts w:hint="eastAsia" w:ascii="宋体" w:hAnsi="宋体" w:cs="宋体"/>
          <w:snapToGrid w:val="0"/>
          <w:color w:val="auto"/>
          <w:kern w:val="0"/>
          <w:szCs w:val="21"/>
          <w:highlight w:val="none"/>
        </w:rPr>
        <w:t>投标人将视频演示内容拷贝至U盘一份（内容一致，采用MP4等常见视频格式）演示后交采购人存档。</w:t>
      </w:r>
    </w:p>
    <w:p w14:paraId="1ABC5E1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③</w:t>
      </w:r>
      <w:r>
        <w:rPr>
          <w:rFonts w:hint="eastAsia" w:ascii="宋体" w:hAnsi="宋体" w:cs="宋体"/>
          <w:snapToGrid w:val="0"/>
          <w:color w:val="auto"/>
          <w:kern w:val="0"/>
          <w:szCs w:val="21"/>
          <w:highlight w:val="none"/>
        </w:rPr>
        <w:t>未按要求递交视频演示U盘或提供的演示视频无法打开或不清晰的，在评审时均不计分。</w:t>
      </w:r>
      <w:r>
        <w:rPr>
          <w:rFonts w:hint="eastAsia" w:ascii="宋体" w:hAnsi="宋体" w:cs="宋体"/>
          <w:snapToGrid w:val="0"/>
          <w:color w:val="auto"/>
          <w:kern w:val="0"/>
          <w:szCs w:val="21"/>
          <w:highlight w:val="none"/>
        </w:rPr>
        <w:br w:type="page"/>
      </w:r>
    </w:p>
    <w:p w14:paraId="72EF53F7">
      <w:pPr>
        <w:adjustRightInd w:val="0"/>
        <w:snapToGrid w:val="0"/>
        <w:spacing w:line="360" w:lineRule="auto"/>
        <w:ind w:firstLine="482" w:firstLineChars="200"/>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第三节 项目实施要求</w:t>
      </w:r>
    </w:p>
    <w:p w14:paraId="3EC69392">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46D0672A">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一、中标后工作安排</w:t>
      </w:r>
    </w:p>
    <w:p w14:paraId="7D9C597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1.修改方案、优化设计；</w:t>
      </w:r>
    </w:p>
    <w:p w14:paraId="576D360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2.整理资料、完善文案；</w:t>
      </w:r>
    </w:p>
    <w:p w14:paraId="532B4A91">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3.按要求完成深化设计；</w:t>
      </w:r>
    </w:p>
    <w:p w14:paraId="346FF18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4.完成施工图深化设计；</w:t>
      </w:r>
    </w:p>
    <w:p w14:paraId="00BCDB2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w:t>
      </w:r>
      <w:r>
        <w:rPr>
          <w:rFonts w:hint="eastAsia" w:ascii="宋体" w:hAnsi="宋体" w:cs="宋体"/>
          <w:snapToGrid w:val="0"/>
          <w:color w:val="auto"/>
          <w:kern w:val="0"/>
          <w:szCs w:val="21"/>
          <w:highlight w:val="none"/>
          <w:lang w:val="en-US" w:eastAsia="zh-CN"/>
        </w:rPr>
        <w:t>组织</w:t>
      </w:r>
      <w:r>
        <w:rPr>
          <w:rFonts w:hint="eastAsia" w:ascii="宋体" w:hAnsi="宋体" w:cs="宋体"/>
          <w:snapToGrid w:val="0"/>
          <w:color w:val="auto"/>
          <w:kern w:val="0"/>
          <w:szCs w:val="21"/>
          <w:highlight w:val="none"/>
        </w:rPr>
        <w:t>项目</w:t>
      </w:r>
      <w:r>
        <w:rPr>
          <w:rFonts w:hint="eastAsia" w:ascii="宋体" w:hAnsi="宋体" w:cs="宋体"/>
          <w:snapToGrid w:val="0"/>
          <w:color w:val="auto"/>
          <w:kern w:val="0"/>
          <w:szCs w:val="21"/>
          <w:highlight w:val="none"/>
          <w:lang w:val="en-US" w:eastAsia="zh-CN"/>
        </w:rPr>
        <w:t>实施</w:t>
      </w:r>
      <w:r>
        <w:rPr>
          <w:rFonts w:hint="eastAsia" w:ascii="宋体" w:hAnsi="宋体" w:cs="宋体"/>
          <w:snapToGrid w:val="0"/>
          <w:color w:val="auto"/>
          <w:kern w:val="0"/>
          <w:szCs w:val="21"/>
          <w:highlight w:val="none"/>
        </w:rPr>
        <w:t>；</w:t>
      </w:r>
    </w:p>
    <w:p w14:paraId="1CAD1C68">
      <w:pPr>
        <w:adjustRightInd w:val="0"/>
        <w:snapToGrid w:val="0"/>
        <w:spacing w:line="360" w:lineRule="auto"/>
        <w:ind w:firstLine="420" w:firstLineChars="200"/>
        <w:jc w:val="left"/>
        <w:rPr>
          <w:rFonts w:hint="eastAsia" w:ascii="宋体" w:hAnsi="宋体" w:cs="宋体"/>
          <w:snapToGrid w:val="0"/>
          <w:color w:val="auto"/>
          <w:kern w:val="0"/>
          <w:szCs w:val="21"/>
          <w:highlight w:val="none"/>
          <w:lang w:eastAsia="zh-CN"/>
        </w:rPr>
      </w:pPr>
      <w:r>
        <w:rPr>
          <w:rFonts w:hint="eastAsia" w:ascii="宋体" w:hAnsi="宋体" w:cs="宋体"/>
          <w:snapToGrid w:val="0"/>
          <w:color w:val="auto"/>
          <w:kern w:val="0"/>
          <w:szCs w:val="21"/>
          <w:highlight w:val="none"/>
        </w:rPr>
        <w:t>6.完成竣工验收工作</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及消防验收</w:t>
      </w:r>
      <w:r>
        <w:rPr>
          <w:rFonts w:hint="eastAsia" w:ascii="宋体" w:hAnsi="宋体" w:cs="宋体"/>
          <w:snapToGrid w:val="0"/>
          <w:color w:val="auto"/>
          <w:kern w:val="0"/>
          <w:szCs w:val="21"/>
          <w:highlight w:val="none"/>
          <w:lang w:eastAsia="zh-CN"/>
        </w:rPr>
        <w:t>；</w:t>
      </w:r>
    </w:p>
    <w:p w14:paraId="545DD2D6">
      <w:pPr>
        <w:pStyle w:val="2"/>
        <w:rPr>
          <w:rFonts w:hint="default"/>
          <w:color w:val="auto"/>
          <w:highlight w:val="none"/>
          <w:lang w:val="en-US" w:eastAsia="zh-CN"/>
        </w:rPr>
      </w:pPr>
      <w:r>
        <w:rPr>
          <w:rFonts w:hint="eastAsia" w:ascii="宋体" w:hAnsi="宋体" w:cs="宋体"/>
          <w:snapToGrid w:val="0"/>
          <w:color w:val="auto"/>
          <w:kern w:val="0"/>
          <w:szCs w:val="21"/>
          <w:highlight w:val="none"/>
          <w:lang w:val="en-US" w:eastAsia="zh-CN"/>
        </w:rPr>
        <w:t>7.完成所需的其他工作。</w:t>
      </w:r>
    </w:p>
    <w:p w14:paraId="74F82FF2">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二、改造执行的技术标准</w:t>
      </w:r>
    </w:p>
    <w:p w14:paraId="5268F28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1.质量标准：本项目实施质量、设备安装调试、验收标准、竣工备案等参照国家、地方现行的标准、规范等执行。</w:t>
      </w:r>
    </w:p>
    <w:p w14:paraId="7132F7B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2.各投标人应充分注意，凡涉及本项目适用的现行国家、行业和地方规范、标准和规程、条例、规定等，中标人应严格遵照执行。</w:t>
      </w:r>
    </w:p>
    <w:p w14:paraId="16B7717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3.涉及本项目的设备、材料、施工工艺等标准、规范等都应依照现行规范、标准和规程的最新版本执行。</w:t>
      </w:r>
    </w:p>
    <w:p w14:paraId="3B89D04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4.设计、施工、展馆空间布局、装饰装修材料，必须符合现行消防标准，满足消防报建和验收的要求。</w:t>
      </w:r>
    </w:p>
    <w:p w14:paraId="42531B7A">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三、施工要求</w:t>
      </w:r>
    </w:p>
    <w:p w14:paraId="2D9B70E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中标人应根据有关规范标准，严密组织，精心布展与施工，</w:t>
      </w:r>
      <w:r>
        <w:rPr>
          <w:rFonts w:hint="eastAsia" w:ascii="宋体" w:hAnsi="宋体" w:cs="宋体"/>
          <w:snapToGrid w:val="0"/>
          <w:color w:val="auto"/>
          <w:kern w:val="0"/>
          <w:szCs w:val="21"/>
          <w:highlight w:val="none"/>
          <w:lang w:val="en-US" w:eastAsia="zh-CN"/>
        </w:rPr>
        <w:t>于2025年7月31日前完工并具备初步验收条件，需</w:t>
      </w:r>
      <w:r>
        <w:rPr>
          <w:rFonts w:hint="eastAsia" w:ascii="宋体" w:hAnsi="宋体" w:cs="宋体"/>
          <w:snapToGrid w:val="0"/>
          <w:color w:val="auto"/>
          <w:kern w:val="0"/>
          <w:szCs w:val="21"/>
          <w:highlight w:val="none"/>
        </w:rPr>
        <w:t>做到以下要求：</w:t>
      </w:r>
    </w:p>
    <w:p w14:paraId="269EA19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1.设计团队全程指导施工全过程，确保项目实施能充分体现设计意图。</w:t>
      </w:r>
    </w:p>
    <w:p w14:paraId="240294F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设备拆除：在拆除原设备前，需提前提交拆除方案，确保施工区域的安全，设置必要的警示标志和防护措施，为施工人员提供必要的个人防护装备。根据不同设备的特点和结构，选择合适的拆卸方法。在拆除后，按类别区分，对拆下来可二次利用的部件和设备妥善处理。</w:t>
      </w:r>
    </w:p>
    <w:p w14:paraId="34887C4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环境保护：在施工过程中，采取相应的环境保护措施，如：降尘消尘、噪音控制等；减少对周围环境的影响，做好垃圾清运和处理，合理处理废弃料；布展施工所使用的材料在运输、储存和施工过程中，必须采取有效保护措施防止损坏其它工种的成品或半成品和变质污染环境。</w:t>
      </w:r>
    </w:p>
    <w:p w14:paraId="286F129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4.施工安全：施工安全须严格落实国家和地方有关要求。布展施工中，严禁擅自改动建筑主体、承重结构，施工不能超出结构的承载力。布展期间无安全事故。</w:t>
      </w:r>
    </w:p>
    <w:p w14:paraId="2A69DF7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5.文明施工：布展期间不影响自身和周边单位的正常工作和交通需要；满足市文明工地要求，服从采购人的统一协调，做到文明布展、安全管理。</w:t>
      </w:r>
    </w:p>
    <w:p w14:paraId="5DE411D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施工管理：中标人必须严格履行采购人关于现场临设及施工区域企业标识要求，布展区域与非布展区域必须分隔，工地醒目处必须设置布展施工铭牌，管理人员必须佩卡上岗。中标人在组织项目实施时必须向采购人提供施工人员名单，严格按施工计划协调好现场布展工作。</w:t>
      </w:r>
    </w:p>
    <w:p w14:paraId="575F9343">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四、主要配套软、硬件设施设备要求</w:t>
      </w:r>
    </w:p>
    <w:p w14:paraId="5A316009">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（一）总体要求</w:t>
      </w:r>
    </w:p>
    <w:p w14:paraId="46324DB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1.布展和装修装饰施工所使用的设备、材料的品种、规格和质量应符合设计和现行的国家标准的规定。</w:t>
      </w:r>
    </w:p>
    <w:p w14:paraId="650D1B6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2.本项目所需的所有设施设备和材料的技术参数性能均须符合设计要求，充分考虑设备的通用选型，主要产品应选择一线品牌，达到一流标准，运行稳定、不卡顿，不低于采购人提供的产品技术性能参数要求。</w:t>
      </w:r>
    </w:p>
    <w:p w14:paraId="5F7F135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投标人新增的配套设备是列入财政部、国家发展改革委发布的《节能产品政府采购品目清单》且属于应当强制采购的（品目清单标注符号产品）节能产品，必须按其规定实行强制采购，并在投标文件中提供相应产品取得国家确定的认证机构出具的、处于有效期之内的节能产品认证证书，否则其投标无效。</w:t>
      </w:r>
    </w:p>
    <w:p w14:paraId="16636179">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（二）信息化建设原则</w:t>
      </w:r>
    </w:p>
    <w:p w14:paraId="56AEF40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安全性原则：可适应软硬件环境的变化，外界不容易对系统及数据的安全造成威胁和破坏；需对系统数据有完整的备份和恢复措施，并具有一定的容错和容灾能力，在系统受到干扰或人为破坏时能够保证数据的安全性和一致性。</w:t>
      </w:r>
    </w:p>
    <w:p w14:paraId="1452623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2.可持续原则：从系统稳定长期使用考虑，确保系统未来的低投入，保证系统能够平滑升级，供应商应有成功升级的能力和保证。</w:t>
      </w:r>
    </w:p>
    <w:p w14:paraId="4ACFAAB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3.先进性原则：信息技术的发展日新月异，为确保系统在未来5-8年内不落后，持续保持较强的生命力，设计中应适度超前，在兼顾目前应用现状的前提下，采用先进、成熟的技术，使系统各项功能得到可靠执行。</w:t>
      </w:r>
    </w:p>
    <w:p w14:paraId="7F2E942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4.实用性原则：系统设计应充分考虑目前及今后5-8年可能的业务需要，开发贴近现实需求的功能模块。以达到提高管理效率和工作效率的目的。</w:t>
      </w:r>
    </w:p>
    <w:p w14:paraId="7690423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5.易用性原则：为确保具有不同计算机应用水平的人员均能够快速操作系统，要重视用户界面的友好性，做到人性化设计，简单易用，便于操作。</w:t>
      </w:r>
    </w:p>
    <w:p w14:paraId="5E9EC7C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6.标准化原则：在系统设计和开发过程中，严格执行软件开发规范。</w:t>
      </w:r>
    </w:p>
    <w:p w14:paraId="05CEC33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7.可扩展性原则：系统设计要全面、科学、合理，具有良好的可扩展性，允许扩充新的功能模块，以适应发展的要求，避免随着应用规模（数据量、用户数等）的不断增长，导致系统响应变慢，性能下降而无法有效扩展的问题。</w:t>
      </w:r>
    </w:p>
    <w:p w14:paraId="389AA5A8">
      <w:pPr>
        <w:adjustRightInd w:val="0"/>
        <w:snapToGrid w:val="0"/>
        <w:spacing w:line="360" w:lineRule="auto"/>
        <w:ind w:firstLine="422" w:firstLineChars="200"/>
        <w:jc w:val="left"/>
        <w:rPr>
          <w:rFonts w:hint="eastAsia"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（三）信息化建设要求</w:t>
      </w:r>
    </w:p>
    <w:p w14:paraId="42C07D94">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更新改造或新增信息化系统建设，包括但不限于</w:t>
      </w:r>
      <w:r>
        <w:rPr>
          <w:rFonts w:hint="default" w:ascii="宋体" w:hAnsi="宋体" w:cs="宋体"/>
          <w:snapToGrid w:val="0"/>
          <w:color w:val="auto"/>
          <w:kern w:val="0"/>
          <w:szCs w:val="21"/>
          <w:highlight w:val="none"/>
        </w:rPr>
        <w:t>综合管理平台</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网络安全系统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中央控制系统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投影系统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会议系统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安全防范系统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广播系统</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查询导览系统</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客流及满意度统计系统</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智能照明系统、</w:t>
      </w:r>
      <w:r>
        <w:rPr>
          <w:rFonts w:hint="eastAsia" w:ascii="宋体" w:hAnsi="宋体" w:cs="宋体"/>
          <w:snapToGrid w:val="0"/>
          <w:color w:val="auto"/>
          <w:kern w:val="0"/>
          <w:szCs w:val="21"/>
          <w:highlight w:val="none"/>
        </w:rPr>
        <w:t>楼宇自控系统</w:t>
      </w:r>
      <w:r>
        <w:rPr>
          <w:rFonts w:hint="eastAsia" w:ascii="宋体" w:hAnsi="宋体" w:cs="宋体"/>
          <w:snapToGrid w:val="0"/>
          <w:color w:val="auto"/>
          <w:kern w:val="0"/>
          <w:szCs w:val="21"/>
          <w:highlight w:val="none"/>
          <w:lang w:eastAsia="zh-CN"/>
        </w:rPr>
        <w:t>、</w:t>
      </w:r>
      <w:r>
        <w:rPr>
          <w:rFonts w:hint="eastAsia" w:ascii="宋体" w:hAnsi="宋体" w:eastAsia="宋体" w:cs="宋体"/>
          <w:bCs w:val="0"/>
          <w:caps w:val="0"/>
          <w:snapToGrid w:val="0"/>
          <w:color w:val="auto"/>
          <w:kern w:val="0"/>
          <w:sz w:val="21"/>
          <w:szCs w:val="21"/>
          <w:highlight w:val="none"/>
          <w:lang w:val="en-US" w:eastAsia="zh-CN" w:bidi="ar-SA"/>
        </w:rPr>
        <w:t>线上展馆</w:t>
      </w:r>
      <w:r>
        <w:rPr>
          <w:rFonts w:hint="eastAsia" w:ascii="宋体" w:hAnsi="宋体" w:cs="宋体"/>
          <w:bCs w:val="0"/>
          <w:caps w:val="0"/>
          <w:snapToGrid w:val="0"/>
          <w:color w:val="auto"/>
          <w:kern w:val="0"/>
          <w:sz w:val="21"/>
          <w:szCs w:val="21"/>
          <w:highlight w:val="none"/>
          <w:lang w:val="en-US" w:eastAsia="zh-CN" w:bidi="ar-SA"/>
        </w:rPr>
        <w:t>、</w:t>
      </w:r>
      <w:r>
        <w:rPr>
          <w:rFonts w:hint="eastAsia" w:ascii="宋体" w:hAnsi="宋体" w:eastAsia="宋体" w:cs="Times New Roman"/>
          <w:color w:val="auto"/>
          <w:szCs w:val="21"/>
          <w:highlight w:val="none"/>
        </w:rPr>
        <w:t>综合布线系统</w:t>
      </w:r>
      <w:r>
        <w:rPr>
          <w:rFonts w:hint="eastAsia" w:ascii="宋体" w:hAnsi="宋体" w:eastAsia="宋体" w:cs="Times New Roman"/>
          <w:color w:val="auto"/>
          <w:szCs w:val="21"/>
          <w:highlight w:val="none"/>
          <w:lang w:val="en-US" w:eastAsia="zh-CN"/>
        </w:rPr>
        <w:t>及</w:t>
      </w:r>
      <w:r>
        <w:rPr>
          <w:rFonts w:hint="default" w:ascii="宋体" w:hAnsi="宋体" w:cs="宋体"/>
          <w:snapToGrid w:val="0"/>
          <w:color w:val="auto"/>
          <w:kern w:val="0"/>
          <w:szCs w:val="21"/>
          <w:highlight w:val="none"/>
        </w:rPr>
        <w:t>机房部署建设要求</w:t>
      </w:r>
      <w:r>
        <w:rPr>
          <w:rFonts w:hint="eastAsia" w:ascii="宋体" w:hAnsi="宋体" w:cs="宋体"/>
          <w:snapToGrid w:val="0"/>
          <w:color w:val="auto"/>
          <w:kern w:val="0"/>
          <w:szCs w:val="21"/>
          <w:highlight w:val="none"/>
          <w:lang w:val="en-US" w:eastAsia="zh-CN"/>
        </w:rPr>
        <w:t>等，以甲方确认的具体需求为准。</w:t>
      </w:r>
      <w:r>
        <w:rPr>
          <w:rFonts w:hint="default" w:ascii="宋体" w:hAnsi="宋体" w:cs="宋体"/>
          <w:snapToGrid w:val="0"/>
          <w:color w:val="auto"/>
          <w:kern w:val="0"/>
          <w:szCs w:val="21"/>
          <w:highlight w:val="none"/>
        </w:rPr>
        <w:t>各信息化</w:t>
      </w:r>
      <w:r>
        <w:rPr>
          <w:rFonts w:hint="eastAsia" w:ascii="宋体" w:hAnsi="宋体" w:cs="宋体"/>
          <w:snapToGrid w:val="0"/>
          <w:color w:val="auto"/>
          <w:kern w:val="0"/>
          <w:szCs w:val="21"/>
          <w:highlight w:val="none"/>
          <w:lang w:val="en-US" w:eastAsia="zh-CN"/>
        </w:rPr>
        <w:t>系统</w:t>
      </w:r>
      <w:r>
        <w:rPr>
          <w:rFonts w:hint="default" w:ascii="宋体" w:hAnsi="宋体" w:cs="宋体"/>
          <w:snapToGrid w:val="0"/>
          <w:color w:val="auto"/>
          <w:kern w:val="0"/>
          <w:szCs w:val="21"/>
          <w:highlight w:val="none"/>
        </w:rPr>
        <w:t>建设要求如下：</w:t>
      </w:r>
    </w:p>
    <w:p w14:paraId="67CB4D38">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1.综合管理平台</w:t>
      </w:r>
    </w:p>
    <w:p w14:paraId="4A0E37CA">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在一个平台全面了解全馆运行状态</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具有</w:t>
      </w:r>
      <w:r>
        <w:rPr>
          <w:rFonts w:hint="default" w:ascii="宋体" w:hAnsi="宋体" w:cs="宋体"/>
          <w:snapToGrid w:val="0"/>
          <w:color w:val="auto"/>
          <w:kern w:val="0"/>
          <w:szCs w:val="21"/>
          <w:highlight w:val="none"/>
        </w:rPr>
        <w:t>支持移动终端</w:t>
      </w:r>
      <w:r>
        <w:rPr>
          <w:rFonts w:hint="eastAsia" w:ascii="宋体" w:hAnsi="宋体" w:cs="宋体"/>
          <w:snapToGrid w:val="0"/>
          <w:color w:val="auto"/>
          <w:kern w:val="0"/>
          <w:szCs w:val="21"/>
          <w:highlight w:val="none"/>
          <w:lang w:val="en-US" w:eastAsia="zh-CN"/>
        </w:rPr>
        <w:t>功能，</w:t>
      </w:r>
      <w:r>
        <w:rPr>
          <w:rFonts w:hint="default" w:ascii="宋体" w:hAnsi="宋体" w:cs="宋体"/>
          <w:snapToGrid w:val="0"/>
          <w:color w:val="auto"/>
          <w:kern w:val="0"/>
          <w:szCs w:val="21"/>
          <w:highlight w:val="none"/>
        </w:rPr>
        <w:t>运维小程序可安装于手机、平板等设备，便于使用</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具有智能联动功能</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实现各子系统间的联动</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具有</w:t>
      </w:r>
      <w:r>
        <w:rPr>
          <w:rFonts w:hint="default" w:ascii="宋体" w:hAnsi="宋体" w:cs="宋体"/>
          <w:snapToGrid w:val="0"/>
          <w:color w:val="auto"/>
          <w:kern w:val="0"/>
          <w:szCs w:val="21"/>
          <w:highlight w:val="none"/>
        </w:rPr>
        <w:t>开放的端口</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支持后续新技术、新系统的接入。</w:t>
      </w:r>
    </w:p>
    <w:p w14:paraId="635D6D36">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2.网络安全系统</w:t>
      </w:r>
    </w:p>
    <w:p w14:paraId="25CAFC0B">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采取多种网络安全技术，如：数据恢复、设置防火墙、认证等多种技术手段，进行密码测评、等保测评等相关测评，加强网络安全，抵制网络黑客，确保展馆整体的网络安全。</w:t>
      </w:r>
    </w:p>
    <w:p w14:paraId="28FCFF61">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3.中央控制系统</w:t>
      </w:r>
    </w:p>
    <w:p w14:paraId="5A0587C1">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中央控制系统集中对展馆中的各类多媒体设备软硬件、灯光系统、机械系统、强弱电系统等进行集中管理和控制，实现对展馆可视化的智能化管理。</w:t>
      </w:r>
    </w:p>
    <w:p w14:paraId="5E8CD5A5">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4.投影系统</w:t>
      </w:r>
    </w:p>
    <w:p w14:paraId="0DBEB859">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突出“环保节能、先进、实用、可靠”系统特点，能达到数字化的高集成度、可控能力，系统可扩展性，具有完善的售后服务保障体系。</w:t>
      </w:r>
    </w:p>
    <w:p w14:paraId="2558C443">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5.会议系统</w:t>
      </w:r>
    </w:p>
    <w:p w14:paraId="1BCB4F37">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会议系统包括高清LED显示系统（可接收有线电视信号、各类多媒体高清信号输入输出、切换、内外网点）</w:t>
      </w:r>
      <w:r>
        <w:rPr>
          <w:rFonts w:hint="eastAsia" w:ascii="宋体" w:hAnsi="宋体" w:cs="宋体"/>
          <w:snapToGrid w:val="0"/>
          <w:color w:val="auto"/>
          <w:kern w:val="0"/>
          <w:szCs w:val="21"/>
          <w:highlight w:val="none"/>
          <w:lang w:eastAsia="zh-CN"/>
        </w:rPr>
        <w:t>，</w:t>
      </w:r>
      <w:r>
        <w:rPr>
          <w:rFonts w:hint="default" w:ascii="宋体" w:hAnsi="宋体" w:cs="宋体"/>
          <w:snapToGrid w:val="0"/>
          <w:color w:val="auto"/>
          <w:kern w:val="0"/>
          <w:szCs w:val="21"/>
          <w:highlight w:val="none"/>
        </w:rPr>
        <w:t>数字扩声系统（声场均匀覆盖、无干扰、无杂音、回声等）、高清视频会议系统、网络系统、录音录像系统、灯光系统、无纸化办公系统、中控系统（具有较强的分布式开发能力软件架构，控制功能强大，可以根据设备的增加而扩展），为各类电子会议、领导及专家会议、技术研讨等提供不同的会议环境。</w:t>
      </w:r>
    </w:p>
    <w:p w14:paraId="790AFF16">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6.安全防范系统</w:t>
      </w:r>
    </w:p>
    <w:p w14:paraId="6803BFE5">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建立一套以视频监控系统为主的安全防范系统，系统宜包括视频监控系统、出入口控制系统等子系统的建设，所有技防系统应契合规划馆建筑特点及本馆管理流程，使物防、技防、人防三防合一，做到报警及时、处置迅捷、取证全面的效果。</w:t>
      </w:r>
    </w:p>
    <w:p w14:paraId="3D1EEFC6">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6.1视频监控系统组成及功能</w:t>
      </w:r>
    </w:p>
    <w:p w14:paraId="0B52A82A">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（1）实时监控功能：能24小时不间断进行无盲区监控和数字化录像，通过监控中心电视墙显示。</w:t>
      </w:r>
    </w:p>
    <w:p w14:paraId="498E7647">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（2）图像记录回放功能：通过硬盘录像机对所有摄像机图像进行显示和记录，保证重要图像信息不会丢失，并可随时方便地进行历史图像的查找、回放；录像资料保存期限需满足各级规范和要求。</w:t>
      </w:r>
    </w:p>
    <w:p w14:paraId="14DF0331">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6.2出入口控制系统</w:t>
      </w:r>
    </w:p>
    <w:p w14:paraId="3D03AC04">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在展馆出入口设置进出闸机、安检门，在展厅应急出入口、办公区等通道设置门禁。</w:t>
      </w:r>
    </w:p>
    <w:p w14:paraId="6496ABC3">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7.广播系统</w:t>
      </w:r>
    </w:p>
    <w:p w14:paraId="7773477F">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系统控制功能齐全、操作简便，可灵活地控制不同的广播内容，系统应具备良好的兼容性、可扩充性以及自检功能。</w:t>
      </w:r>
    </w:p>
    <w:p w14:paraId="542AC468">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8.查询导览系统</w:t>
      </w:r>
    </w:p>
    <w:p w14:paraId="2BC3ADDE">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查询导览系统具备多终端的数据传输查询，可多语言语音播报、文字介绍本馆信息，图像导览、展项定位功能。</w:t>
      </w:r>
    </w:p>
    <w:p w14:paraId="64C834A5">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9.</w:t>
      </w:r>
      <w:r>
        <w:rPr>
          <w:rFonts w:hint="eastAsia" w:ascii="宋体" w:hAnsi="宋体" w:cs="宋体"/>
          <w:snapToGrid w:val="0"/>
          <w:color w:val="auto"/>
          <w:kern w:val="0"/>
          <w:szCs w:val="21"/>
          <w:highlight w:val="none"/>
        </w:rPr>
        <w:t>客流及满意度统计系统：实现游客不同人群、不同展区、不同时间段等各类条件下的灵活统计、分析并提供丰富详细的数据报表及现场展示。</w:t>
      </w:r>
    </w:p>
    <w:p w14:paraId="0FCCBFFC">
      <w:pPr>
        <w:adjustRightInd w:val="0"/>
        <w:snapToGrid w:val="0"/>
        <w:spacing w:line="360" w:lineRule="auto"/>
        <w:ind w:firstLine="420" w:firstLineChars="200"/>
        <w:jc w:val="left"/>
        <w:rPr>
          <w:rFonts w:hint="eastAsia"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10.智能照明系统；</w:t>
      </w:r>
    </w:p>
    <w:p w14:paraId="39BEE66E">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11.</w:t>
      </w:r>
      <w:r>
        <w:rPr>
          <w:rFonts w:hint="eastAsia" w:ascii="宋体" w:hAnsi="宋体" w:cs="宋体"/>
          <w:snapToGrid w:val="0"/>
          <w:color w:val="auto"/>
          <w:kern w:val="0"/>
          <w:szCs w:val="21"/>
          <w:highlight w:val="none"/>
        </w:rPr>
        <w:t>楼宇自控系统：设备管理与控制子系统（暖通空调系统、通风、照明系统、电力温度等）进行分散控制、集中监视、管理，实现了一体化监测和管理系统，从而提供一个舒适、安全的工作环境。通过优化控制提高管理水平，达到节约能源和人工成本，并能方便地实现物业管理自动化。</w:t>
      </w:r>
    </w:p>
    <w:p w14:paraId="0256B5E2">
      <w:pPr>
        <w:spacing w:line="360" w:lineRule="auto"/>
        <w:ind w:firstLine="420" w:firstLineChars="200"/>
        <w:rPr>
          <w:rFonts w:hint="eastAsia" w:ascii="宋体" w:hAnsi="宋体" w:eastAsia="宋体" w:cs="宋体"/>
          <w:bCs w:val="0"/>
          <w:caps w:val="0"/>
          <w:snapToGrid w:val="0"/>
          <w:color w:val="auto"/>
          <w:kern w:val="0"/>
          <w:sz w:val="21"/>
          <w:szCs w:val="21"/>
          <w:highlight w:val="none"/>
          <w:lang w:val="en-US" w:eastAsia="zh-CN" w:bidi="ar-SA"/>
        </w:rPr>
      </w:pPr>
      <w:r>
        <w:rPr>
          <w:rFonts w:hint="eastAsia" w:ascii="宋体" w:hAnsi="宋体" w:cs="宋体"/>
          <w:bCs w:val="0"/>
          <w:caps w:val="0"/>
          <w:snapToGrid w:val="0"/>
          <w:color w:val="auto"/>
          <w:kern w:val="0"/>
          <w:sz w:val="21"/>
          <w:szCs w:val="21"/>
          <w:highlight w:val="none"/>
          <w:lang w:val="en-US" w:eastAsia="zh-CN" w:bidi="ar-SA"/>
        </w:rPr>
        <w:t>12</w:t>
      </w:r>
      <w:r>
        <w:rPr>
          <w:rFonts w:hint="eastAsia" w:ascii="宋体" w:hAnsi="宋体" w:eastAsia="宋体" w:cs="宋体"/>
          <w:bCs w:val="0"/>
          <w:caps w:val="0"/>
          <w:snapToGrid w:val="0"/>
          <w:color w:val="auto"/>
          <w:kern w:val="0"/>
          <w:sz w:val="21"/>
          <w:szCs w:val="21"/>
          <w:highlight w:val="none"/>
          <w:lang w:val="en-US" w:eastAsia="zh-CN" w:bidi="ar-SA"/>
        </w:rPr>
        <w:t>.线上展馆：实现线上展览、线上发布、线上交互、多语言转化、留言功能、后台管理（含阅读区、满意度统计）等功能。</w:t>
      </w:r>
    </w:p>
    <w:p w14:paraId="1F735879">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13.</w:t>
      </w:r>
      <w:r>
        <w:rPr>
          <w:rFonts w:hint="eastAsia" w:ascii="宋体" w:hAnsi="宋体" w:eastAsia="宋体" w:cs="Times New Roman"/>
          <w:color w:val="auto"/>
          <w:szCs w:val="21"/>
          <w:highlight w:val="none"/>
        </w:rPr>
        <w:t>综合布线系统：本系统是整个建筑的各智能化系统的通用平台，是向所有具有通讯要求的设备提供通讯线路的最底层的系统，主要包含语音点布线（支持有线电话）和数据点布线（支持数据网络应用）。布线系统应具有先进性、灵活性、实用性和可扩充性，标识清晰明了。</w:t>
      </w:r>
    </w:p>
    <w:p w14:paraId="0A78B2DB">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（1）支持大容量信息传输且系统并易于灵活调整和增容；</w:t>
      </w:r>
    </w:p>
    <w:p w14:paraId="12110F3B">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（2）数据和语音应用可以便捷互换；</w:t>
      </w:r>
    </w:p>
    <w:p w14:paraId="572E5FE4">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（3）支持高质量语音通信服务；</w:t>
      </w:r>
    </w:p>
    <w:p w14:paraId="5E43B0DA">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（4）支持5G等高速数据通信服务；</w:t>
      </w:r>
    </w:p>
    <w:p w14:paraId="189A8126">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（5）支持实时高清视频及图像传送服务；</w:t>
      </w:r>
    </w:p>
    <w:p w14:paraId="775F1125">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（6）支持多媒体通信服务。</w:t>
      </w:r>
    </w:p>
    <w:p w14:paraId="5AA52A16">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（7）开放式结构、容易扩展、变更。</w:t>
      </w:r>
    </w:p>
    <w:p w14:paraId="10312319">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（8）良好的安全性和可靠性。</w:t>
      </w:r>
    </w:p>
    <w:p w14:paraId="07522FD0">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（9）良好的经济性和适应未来的先进性。</w:t>
      </w:r>
      <w:r>
        <w:rPr>
          <w:rFonts w:hint="eastAsia" w:ascii="宋体" w:hAnsi="宋体" w:eastAsia="宋体" w:cs="Times New Roman"/>
          <w:color w:val="auto"/>
          <w:szCs w:val="21"/>
          <w:highlight w:val="none"/>
        </w:rPr>
        <w:tab/>
      </w:r>
    </w:p>
    <w:p w14:paraId="7ED6A408">
      <w:pPr>
        <w:spacing w:line="360" w:lineRule="auto"/>
        <w:ind w:firstLine="555"/>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整个系统要求配置端到端的全部布线设备，并配备必要的理线设备、跳线、色标设备、网络管理软件等；</w:t>
      </w:r>
    </w:p>
    <w:p w14:paraId="7325EDB9">
      <w:pPr>
        <w:spacing w:line="360" w:lineRule="auto"/>
        <w:ind w:firstLine="555"/>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语音电话系统应具备高质量、操作便捷、易扩容更新等要求。</w:t>
      </w:r>
    </w:p>
    <w:p w14:paraId="27CFF722">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14</w:t>
      </w:r>
      <w:r>
        <w:rPr>
          <w:rFonts w:hint="default" w:ascii="宋体" w:hAnsi="宋体" w:cs="宋体"/>
          <w:snapToGrid w:val="0"/>
          <w:color w:val="auto"/>
          <w:kern w:val="0"/>
          <w:szCs w:val="21"/>
          <w:highlight w:val="none"/>
        </w:rPr>
        <w:t>.机房部署建设要求</w:t>
      </w:r>
    </w:p>
    <w:p w14:paraId="4FEEA3A6">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保障机房设备安全可靠的正常运行，延长计算机系统使用寿命。</w:t>
      </w:r>
    </w:p>
    <w:p w14:paraId="3841FD9B">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（1）布局装修需要满足防火、防静电、防尘、防盗、防噪音等需求。</w:t>
      </w:r>
    </w:p>
    <w:p w14:paraId="080197D7">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（2）空调应满足机房里面计算机系统对温度、湿度等要求。</w:t>
      </w:r>
    </w:p>
    <w:p w14:paraId="37B54A37">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（四）主要设备及材料技术参数要求</w:t>
      </w:r>
    </w:p>
    <w:p w14:paraId="058D7A0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新增计算机终端和服务器需</w:t>
      </w:r>
      <w:r>
        <w:rPr>
          <w:rFonts w:hint="eastAsia" w:ascii="宋体" w:hAnsi="宋体" w:cs="宋体"/>
          <w:snapToGrid w:val="0"/>
          <w:color w:val="auto"/>
          <w:kern w:val="0"/>
          <w:szCs w:val="21"/>
          <w:highlight w:val="none"/>
        </w:rPr>
        <w:t>按照相关规范要求采购</w:t>
      </w:r>
      <w:r>
        <w:rPr>
          <w:rFonts w:ascii="宋体" w:hAnsi="宋体" w:cs="宋体"/>
          <w:snapToGrid w:val="0"/>
          <w:color w:val="auto"/>
          <w:kern w:val="0"/>
          <w:szCs w:val="21"/>
          <w:highlight w:val="none"/>
        </w:rPr>
        <w:t>CPU</w:t>
      </w:r>
      <w:r>
        <w:rPr>
          <w:rFonts w:hint="eastAsia" w:ascii="宋体" w:hAnsi="宋体" w:cs="宋体"/>
          <w:snapToGrid w:val="0"/>
          <w:color w:val="auto"/>
          <w:kern w:val="0"/>
          <w:szCs w:val="21"/>
          <w:highlight w:val="none"/>
        </w:rPr>
        <w:t>、</w:t>
      </w:r>
      <w:r>
        <w:rPr>
          <w:rFonts w:ascii="宋体" w:hAnsi="宋体" w:cs="宋体"/>
          <w:snapToGrid w:val="0"/>
          <w:color w:val="auto"/>
          <w:kern w:val="0"/>
          <w:szCs w:val="21"/>
          <w:highlight w:val="none"/>
        </w:rPr>
        <w:t>操作系统</w:t>
      </w:r>
      <w:r>
        <w:rPr>
          <w:rFonts w:hint="eastAsia" w:ascii="宋体" w:hAnsi="宋体" w:cs="宋体"/>
          <w:snapToGrid w:val="0"/>
          <w:color w:val="auto"/>
          <w:kern w:val="0"/>
          <w:szCs w:val="21"/>
          <w:highlight w:val="none"/>
        </w:rPr>
        <w:t>、</w:t>
      </w:r>
      <w:r>
        <w:rPr>
          <w:rFonts w:ascii="宋体" w:hAnsi="宋体" w:cs="宋体"/>
          <w:snapToGrid w:val="0"/>
          <w:color w:val="auto"/>
          <w:kern w:val="0"/>
          <w:szCs w:val="21"/>
          <w:highlight w:val="none"/>
        </w:rPr>
        <w:t>数据库</w:t>
      </w:r>
      <w:r>
        <w:rPr>
          <w:rFonts w:hint="eastAsia" w:ascii="宋体" w:hAnsi="宋体" w:cs="宋体"/>
          <w:snapToGrid w:val="0"/>
          <w:color w:val="auto"/>
          <w:kern w:val="0"/>
          <w:szCs w:val="21"/>
          <w:highlight w:val="none"/>
        </w:rPr>
        <w:t>等</w:t>
      </w:r>
      <w:r>
        <w:rPr>
          <w:rFonts w:ascii="宋体" w:hAnsi="宋体" w:cs="宋体"/>
          <w:snapToGrid w:val="0"/>
          <w:color w:val="auto"/>
          <w:kern w:val="0"/>
          <w:szCs w:val="21"/>
          <w:highlight w:val="none"/>
        </w:rPr>
        <w:t>，开发的应用软件和程序需在上述设备上稳定运行。</w:t>
      </w:r>
    </w:p>
    <w:p w14:paraId="7A6D6B6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w:t>
      </w:r>
      <w:r>
        <w:rPr>
          <w:rFonts w:ascii="宋体" w:hAnsi="宋体" w:cs="宋体"/>
          <w:snapToGrid w:val="0"/>
          <w:color w:val="auto"/>
          <w:kern w:val="0"/>
          <w:szCs w:val="21"/>
          <w:highlight w:val="none"/>
        </w:rPr>
        <w:t>.网络</w:t>
      </w:r>
    </w:p>
    <w:p w14:paraId="3B4F9F7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接入外部互联网络，保障联网展项流畅使用、无网络延迟卡顿现象，配备防火墙和网络安全设备，保障互联网络安全运行。对展馆进行无线网络全覆盖，满足参观游客并发上网的接入需求，配备网络安全设备、上网行为审计设备，使用手机认证等方式接入网络。</w:t>
      </w:r>
    </w:p>
    <w:p w14:paraId="6102AB7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2</w:t>
      </w:r>
      <w:r>
        <w:rPr>
          <w:rFonts w:ascii="宋体" w:hAnsi="宋体" w:cs="宋体"/>
          <w:snapToGrid w:val="0"/>
          <w:color w:val="auto"/>
          <w:kern w:val="0"/>
          <w:szCs w:val="21"/>
          <w:highlight w:val="none"/>
        </w:rPr>
        <w:t>.多媒体展陈设备</w:t>
      </w:r>
    </w:p>
    <w:p w14:paraId="21E1636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（1）无缝液晶拼接屏</w:t>
      </w:r>
    </w:p>
    <w:p w14:paraId="5E77B1F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根据展示区域尺寸选择46英寸及以上无缝液晶拼接屏，拼接缝隙≤3.5mm。</w:t>
      </w:r>
    </w:p>
    <w:p w14:paraId="4918D2A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（2）全彩LED点阵显示屏</w:t>
      </w:r>
    </w:p>
    <w:p w14:paraId="698955F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选择市场主流的点阵拼接屏，确保距离和清晰度满足展示效果。</w:t>
      </w:r>
    </w:p>
    <w:p w14:paraId="66B03F9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（3）投影机</w:t>
      </w:r>
    </w:p>
    <w:p w14:paraId="31BDEFA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清晰度和分辨率须满足展示需求，后期维护成本低。</w:t>
      </w:r>
    </w:p>
    <w:p w14:paraId="7FACEB51">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（4）触控一体机</w:t>
      </w:r>
    </w:p>
    <w:p w14:paraId="61F197A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要求散热性能好、运行稳定、不卡顿。</w:t>
      </w:r>
    </w:p>
    <w:p w14:paraId="2C10C54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（5）备件</w:t>
      </w:r>
    </w:p>
    <w:p w14:paraId="7F26B33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各种类型的显示屏设备尤其是全彩LED点阵显示屏均按一定比例加购备用机或同批次备件以保障最佳展陈效果。</w:t>
      </w:r>
    </w:p>
    <w:p w14:paraId="70453A46">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（五）设备质量要求</w:t>
      </w:r>
    </w:p>
    <w:p w14:paraId="24F33AE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1.中标人提供的所有</w:t>
      </w:r>
      <w:r>
        <w:rPr>
          <w:rFonts w:hint="eastAsia" w:ascii="宋体" w:hAnsi="宋体" w:cs="宋体"/>
          <w:snapToGrid w:val="0"/>
          <w:color w:val="auto"/>
          <w:kern w:val="0"/>
          <w:szCs w:val="21"/>
          <w:highlight w:val="none"/>
        </w:rPr>
        <w:t>新增</w:t>
      </w:r>
      <w:r>
        <w:rPr>
          <w:rFonts w:ascii="宋体" w:hAnsi="宋体" w:cs="宋体"/>
          <w:snapToGrid w:val="0"/>
          <w:color w:val="auto"/>
          <w:kern w:val="0"/>
          <w:szCs w:val="21"/>
          <w:highlight w:val="none"/>
        </w:rPr>
        <w:t>设备须是原装正品，符合国家质量检测标准，具有出厂合格证或国家鉴定合格证，并在验收时提供给采购人。</w:t>
      </w:r>
    </w:p>
    <w:p w14:paraId="35D4FBD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2.中标人应保证提供的所有</w:t>
      </w:r>
      <w:r>
        <w:rPr>
          <w:rFonts w:hint="eastAsia" w:ascii="宋体" w:hAnsi="宋体" w:cs="宋体"/>
          <w:snapToGrid w:val="0"/>
          <w:color w:val="auto"/>
          <w:kern w:val="0"/>
          <w:szCs w:val="21"/>
          <w:highlight w:val="none"/>
        </w:rPr>
        <w:t>新增</w:t>
      </w:r>
      <w:r>
        <w:rPr>
          <w:rFonts w:ascii="宋体" w:hAnsi="宋体" w:cs="宋体"/>
          <w:snapToGrid w:val="0"/>
          <w:color w:val="auto"/>
          <w:kern w:val="0"/>
          <w:szCs w:val="21"/>
          <w:highlight w:val="none"/>
        </w:rPr>
        <w:t>货物是全新、未使用过的，所有货物的设计、制造都应按先进的工艺技术进行，无材料设计或制造工艺上的缺陷，并完全符合设计要求和相应的现行国家标准及规范规定的质量、规格和性能的要求。产品质量必须达到国家规定的合格标准。所有安装、调试所需的工具、材料、仪器等由中标人自行准备。</w:t>
      </w:r>
    </w:p>
    <w:p w14:paraId="781D228B">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五、人员配备</w:t>
      </w:r>
    </w:p>
    <w:p w14:paraId="4561F69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w:t>
      </w:r>
      <w:r>
        <w:rPr>
          <w:rFonts w:hint="eastAsia" w:ascii="宋体" w:hAnsi="宋体" w:cs="宋体"/>
          <w:snapToGrid w:val="0"/>
          <w:color w:val="auto"/>
          <w:kern w:val="0"/>
          <w:szCs w:val="21"/>
          <w:highlight w:val="none"/>
        </w:rPr>
        <w:t>投标人必须提供以下人员配置</w:t>
      </w:r>
      <w:r>
        <w:rPr>
          <w:rFonts w:ascii="宋体" w:hAnsi="宋体" w:cs="宋体"/>
          <w:snapToGrid w:val="0"/>
          <w:color w:val="auto"/>
          <w:kern w:val="0"/>
          <w:szCs w:val="21"/>
          <w:highlight w:val="none"/>
        </w:rPr>
        <w:t>情况：</w:t>
      </w:r>
    </w:p>
    <w:tbl>
      <w:tblPr>
        <w:tblStyle w:val="43"/>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388"/>
        <w:gridCol w:w="935"/>
        <w:gridCol w:w="4541"/>
        <w:gridCol w:w="1260"/>
      </w:tblGrid>
      <w:tr w14:paraId="67B8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74" w:type="dxa"/>
            <w:noWrap w:val="0"/>
            <w:vAlign w:val="center"/>
          </w:tcPr>
          <w:p w14:paraId="0FEA77D0">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序号</w:t>
            </w:r>
          </w:p>
        </w:tc>
        <w:tc>
          <w:tcPr>
            <w:tcW w:w="1388" w:type="dxa"/>
            <w:noWrap w:val="0"/>
            <w:vAlign w:val="center"/>
          </w:tcPr>
          <w:p w14:paraId="16CF52D7">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岗位</w:t>
            </w:r>
          </w:p>
        </w:tc>
        <w:tc>
          <w:tcPr>
            <w:tcW w:w="935" w:type="dxa"/>
            <w:noWrap w:val="0"/>
            <w:vAlign w:val="center"/>
          </w:tcPr>
          <w:p w14:paraId="0E0E5046">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人数</w:t>
            </w:r>
          </w:p>
        </w:tc>
        <w:tc>
          <w:tcPr>
            <w:tcW w:w="4541" w:type="dxa"/>
            <w:noWrap w:val="0"/>
            <w:vAlign w:val="center"/>
          </w:tcPr>
          <w:p w14:paraId="2315B160">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具体要求</w:t>
            </w:r>
          </w:p>
        </w:tc>
        <w:tc>
          <w:tcPr>
            <w:tcW w:w="1260" w:type="dxa"/>
            <w:noWrap w:val="0"/>
            <w:vAlign w:val="center"/>
          </w:tcPr>
          <w:p w14:paraId="77B56A83">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备注</w:t>
            </w:r>
          </w:p>
        </w:tc>
      </w:tr>
      <w:tr w14:paraId="4E50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74" w:type="dxa"/>
            <w:noWrap w:val="0"/>
            <w:vAlign w:val="center"/>
          </w:tcPr>
          <w:p w14:paraId="5E6FE570">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w:t>
            </w:r>
          </w:p>
        </w:tc>
        <w:tc>
          <w:tcPr>
            <w:tcW w:w="1388" w:type="dxa"/>
            <w:noWrap w:val="0"/>
            <w:vAlign w:val="center"/>
          </w:tcPr>
          <w:p w14:paraId="26279BD1">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项目负责人</w:t>
            </w:r>
          </w:p>
        </w:tc>
        <w:tc>
          <w:tcPr>
            <w:tcW w:w="935" w:type="dxa"/>
            <w:noWrap w:val="0"/>
            <w:vAlign w:val="center"/>
          </w:tcPr>
          <w:p w14:paraId="72C3DDDC">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541" w:type="dxa"/>
            <w:noWrap w:val="0"/>
            <w:vAlign w:val="center"/>
          </w:tcPr>
          <w:p w14:paraId="6E66D841">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具备建筑工程专业一级注册建造师执业资格</w:t>
            </w:r>
          </w:p>
        </w:tc>
        <w:tc>
          <w:tcPr>
            <w:tcW w:w="1260" w:type="dxa"/>
            <w:shd w:val="clear" w:color="auto" w:fill="auto"/>
            <w:noWrap w:val="0"/>
            <w:vAlign w:val="center"/>
          </w:tcPr>
          <w:p w14:paraId="1203BE42">
            <w:pPr>
              <w:adjustRightInd w:val="0"/>
              <w:snapToGrid w:val="0"/>
              <w:spacing w:line="360" w:lineRule="auto"/>
              <w:jc w:val="center"/>
              <w:rPr>
                <w:rFonts w:hint="default" w:ascii="宋体" w:hAnsi="宋体" w:eastAsia="宋体" w:cs="宋体"/>
                <w:snapToGrid w:val="0"/>
                <w:color w:val="auto"/>
                <w:kern w:val="0"/>
                <w:sz w:val="21"/>
                <w:szCs w:val="21"/>
                <w:highlight w:val="none"/>
                <w:lang w:val="en-US" w:eastAsia="zh-CN" w:bidi="ar-SA"/>
              </w:rPr>
            </w:pPr>
            <w:r>
              <w:rPr>
                <w:rFonts w:hint="default" w:ascii="宋体" w:hAnsi="宋体" w:cs="宋体"/>
                <w:snapToGrid w:val="0"/>
                <w:color w:val="auto"/>
                <w:kern w:val="0"/>
                <w:szCs w:val="21"/>
                <w:highlight w:val="none"/>
              </w:rPr>
              <w:t>可以兼任施工项目负责人</w:t>
            </w:r>
          </w:p>
        </w:tc>
      </w:tr>
      <w:tr w14:paraId="233F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74" w:type="dxa"/>
            <w:noWrap w:val="0"/>
            <w:vAlign w:val="center"/>
          </w:tcPr>
          <w:p w14:paraId="576E5479">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2</w:t>
            </w:r>
          </w:p>
        </w:tc>
        <w:tc>
          <w:tcPr>
            <w:tcW w:w="1388" w:type="dxa"/>
            <w:noWrap w:val="0"/>
            <w:vAlign w:val="center"/>
          </w:tcPr>
          <w:p w14:paraId="0EF3A2FD">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设计负责人</w:t>
            </w:r>
          </w:p>
        </w:tc>
        <w:tc>
          <w:tcPr>
            <w:tcW w:w="935" w:type="dxa"/>
            <w:noWrap w:val="0"/>
            <w:vAlign w:val="center"/>
          </w:tcPr>
          <w:p w14:paraId="4FE954B8">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541" w:type="dxa"/>
            <w:noWrap w:val="0"/>
            <w:vAlign w:val="center"/>
          </w:tcPr>
          <w:p w14:paraId="5D5A46C5">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具备高级及以上专业技术职称</w:t>
            </w:r>
          </w:p>
        </w:tc>
        <w:tc>
          <w:tcPr>
            <w:tcW w:w="1260" w:type="dxa"/>
            <w:noWrap w:val="0"/>
            <w:vAlign w:val="center"/>
          </w:tcPr>
          <w:p w14:paraId="30E69392">
            <w:pPr>
              <w:adjustRightInd w:val="0"/>
              <w:snapToGrid w:val="0"/>
              <w:spacing w:line="360" w:lineRule="auto"/>
              <w:ind w:firstLine="420" w:firstLineChars="200"/>
              <w:jc w:val="center"/>
              <w:rPr>
                <w:rFonts w:ascii="宋体" w:hAnsi="宋体" w:cs="宋体"/>
                <w:snapToGrid w:val="0"/>
                <w:color w:val="auto"/>
                <w:kern w:val="0"/>
                <w:szCs w:val="21"/>
                <w:highlight w:val="none"/>
              </w:rPr>
            </w:pPr>
          </w:p>
        </w:tc>
      </w:tr>
      <w:tr w14:paraId="5C80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vAlign w:val="center"/>
          </w:tcPr>
          <w:p w14:paraId="3920AB11">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3</w:t>
            </w:r>
          </w:p>
        </w:tc>
        <w:tc>
          <w:tcPr>
            <w:tcW w:w="1388" w:type="dxa"/>
            <w:noWrap w:val="0"/>
            <w:vAlign w:val="center"/>
          </w:tcPr>
          <w:p w14:paraId="74331C67">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施工项目负责人</w:t>
            </w:r>
          </w:p>
        </w:tc>
        <w:tc>
          <w:tcPr>
            <w:tcW w:w="935" w:type="dxa"/>
            <w:noWrap w:val="0"/>
            <w:vAlign w:val="center"/>
          </w:tcPr>
          <w:p w14:paraId="7DDE6186">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541" w:type="dxa"/>
            <w:noWrap w:val="0"/>
            <w:vAlign w:val="center"/>
          </w:tcPr>
          <w:p w14:paraId="2C8BFB2C">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具备建筑工程专业一级注册建造师执业资格和项目负责人安全生产考核合格证书</w:t>
            </w:r>
          </w:p>
        </w:tc>
        <w:tc>
          <w:tcPr>
            <w:tcW w:w="1260" w:type="dxa"/>
            <w:noWrap w:val="0"/>
            <w:vAlign w:val="center"/>
          </w:tcPr>
          <w:p w14:paraId="4894A0DB">
            <w:pPr>
              <w:adjustRightInd w:val="0"/>
              <w:snapToGrid w:val="0"/>
              <w:spacing w:line="360" w:lineRule="auto"/>
              <w:ind w:firstLine="420" w:firstLineChars="200"/>
              <w:jc w:val="center"/>
              <w:rPr>
                <w:rFonts w:ascii="宋体" w:hAnsi="宋体" w:cs="宋体"/>
                <w:snapToGrid w:val="0"/>
                <w:color w:val="auto"/>
                <w:kern w:val="0"/>
                <w:szCs w:val="21"/>
                <w:highlight w:val="none"/>
              </w:rPr>
            </w:pPr>
          </w:p>
        </w:tc>
      </w:tr>
      <w:tr w14:paraId="0436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vAlign w:val="center"/>
          </w:tcPr>
          <w:p w14:paraId="3B0B6CF4">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4</w:t>
            </w:r>
          </w:p>
        </w:tc>
        <w:tc>
          <w:tcPr>
            <w:tcW w:w="1388" w:type="dxa"/>
            <w:noWrap w:val="0"/>
            <w:vAlign w:val="center"/>
          </w:tcPr>
          <w:p w14:paraId="2536D55D">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施工技术负责人</w:t>
            </w:r>
          </w:p>
        </w:tc>
        <w:tc>
          <w:tcPr>
            <w:tcW w:w="935" w:type="dxa"/>
            <w:noWrap w:val="0"/>
            <w:vAlign w:val="center"/>
          </w:tcPr>
          <w:p w14:paraId="5FD6ACE0">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541" w:type="dxa"/>
            <w:noWrap w:val="0"/>
            <w:vAlign w:val="center"/>
          </w:tcPr>
          <w:p w14:paraId="64B15428">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具备建筑工程相关专业高级及以上专业技术职称</w:t>
            </w:r>
          </w:p>
        </w:tc>
        <w:tc>
          <w:tcPr>
            <w:tcW w:w="1260" w:type="dxa"/>
            <w:noWrap w:val="0"/>
            <w:vAlign w:val="center"/>
          </w:tcPr>
          <w:p w14:paraId="18CE618F">
            <w:pPr>
              <w:adjustRightInd w:val="0"/>
              <w:snapToGrid w:val="0"/>
              <w:spacing w:line="360" w:lineRule="auto"/>
              <w:ind w:firstLine="420" w:firstLineChars="200"/>
              <w:jc w:val="center"/>
              <w:rPr>
                <w:rFonts w:ascii="宋体" w:hAnsi="宋体" w:cs="宋体"/>
                <w:snapToGrid w:val="0"/>
                <w:color w:val="auto"/>
                <w:kern w:val="0"/>
                <w:szCs w:val="21"/>
                <w:highlight w:val="none"/>
              </w:rPr>
            </w:pPr>
          </w:p>
        </w:tc>
      </w:tr>
    </w:tbl>
    <w:p w14:paraId="1CE233A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除上述人员外，投标人应当根据本项目实际情况，配备中级及以上职称的室内装饰、电气工程、计算机应用技术、工艺美术、空调通风采暖等专业技术团队人员。投标人须在投标文件中提供施工项目部关键岗位人员配备（至少</w:t>
      </w:r>
      <w:r>
        <w:rPr>
          <w:rFonts w:hint="eastAsia" w:ascii="宋体" w:hAnsi="宋体" w:cs="宋体"/>
          <w:snapToGrid w:val="0"/>
          <w:color w:val="auto"/>
          <w:kern w:val="0"/>
          <w:szCs w:val="21"/>
          <w:highlight w:val="none"/>
          <w:lang w:val="en-US" w:eastAsia="zh-CN"/>
        </w:rPr>
        <w:t>4</w:t>
      </w:r>
      <w:r>
        <w:rPr>
          <w:rFonts w:ascii="宋体" w:hAnsi="宋体" w:cs="宋体"/>
          <w:snapToGrid w:val="0"/>
          <w:color w:val="auto"/>
          <w:kern w:val="0"/>
          <w:szCs w:val="21"/>
          <w:highlight w:val="none"/>
        </w:rPr>
        <w:t xml:space="preserve">人，含施工项目负责人、施工技术负责人）的书面承诺（格式自拟），在工程实施时根据项目需要配备到位，并及时到建设行政主管部门备案。 </w:t>
      </w:r>
    </w:p>
    <w:p w14:paraId="64BAA24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3.投标人在投标文件中承诺配备的服务团队人员必须与实际到岗服务人员一致，否则视为虚假应标，采购人有权取消其中标资格而不承担违约责任，并依法追究其造成的经济损失和责任。</w:t>
      </w:r>
    </w:p>
    <w:p w14:paraId="0965478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4.投标人中标后需全过程、全流程在地驻场服务，人员配备需满足采购人实际要求。</w:t>
      </w:r>
    </w:p>
    <w:p w14:paraId="395636E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在本项目服务期限内，中标人原则上不得变更服务团队人员，如因不可抗力，确需变更服务团队人员的，中标人应当提前30天（日历天）以书面形式报告采购人，经采购人书面同意后方可变更，并委派同等专业资质和工作经验的员工替代，否则视为中标人违约，采购人有权解除合同并依法追究其造成的经济损失和责任。</w:t>
      </w:r>
    </w:p>
    <w:p w14:paraId="7C85BCE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在本项目服务期限内，采购人有权要求中标人更换不符合项目实施要求的服务团队人员，且中标人在接到采购人通知后5天内须委派同等专业资质和工作经验的员工替代。否则视为中标人违约，采购人有权解除合同并依法追究其造成的经济损失和责任。</w:t>
      </w:r>
    </w:p>
    <w:p w14:paraId="7F38E504">
      <w:pPr>
        <w:adjustRightInd w:val="0"/>
        <w:snapToGrid w:val="0"/>
        <w:spacing w:line="360" w:lineRule="auto"/>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br w:type="page"/>
      </w:r>
    </w:p>
    <w:p w14:paraId="2831BB95">
      <w:pPr>
        <w:adjustRightInd w:val="0"/>
        <w:snapToGrid w:val="0"/>
        <w:spacing w:line="360" w:lineRule="auto"/>
        <w:ind w:firstLine="482" w:firstLineChars="200"/>
        <w:jc w:val="center"/>
        <w:rPr>
          <w:rFonts w:ascii="宋体" w:hAnsi="宋体" w:cs="宋体"/>
          <w:b/>
          <w:bCs/>
          <w:snapToGrid w:val="0"/>
          <w:color w:val="auto"/>
          <w:kern w:val="0"/>
          <w:sz w:val="24"/>
          <w:highlight w:val="none"/>
        </w:rPr>
      </w:pPr>
      <w:r>
        <w:rPr>
          <w:rFonts w:hint="eastAsia" w:ascii="宋体" w:hAnsi="宋体" w:cs="宋体"/>
          <w:b/>
          <w:bCs/>
          <w:snapToGrid w:val="0"/>
          <w:color w:val="auto"/>
          <w:kern w:val="0"/>
          <w:sz w:val="24"/>
          <w:highlight w:val="none"/>
        </w:rPr>
        <w:t>第四节 商务要求</w:t>
      </w:r>
    </w:p>
    <w:p w14:paraId="12102673">
      <w:pPr>
        <w:adjustRightInd w:val="0"/>
        <w:snapToGrid w:val="0"/>
        <w:spacing w:line="360" w:lineRule="auto"/>
        <w:ind w:firstLine="420" w:firstLineChars="200"/>
        <w:jc w:val="left"/>
        <w:rPr>
          <w:rFonts w:ascii="宋体" w:hAnsi="宋体" w:cs="宋体"/>
          <w:snapToGrid w:val="0"/>
          <w:color w:val="auto"/>
          <w:kern w:val="0"/>
          <w:szCs w:val="21"/>
          <w:highlight w:val="none"/>
        </w:rPr>
      </w:pPr>
    </w:p>
    <w:p w14:paraId="528C5169">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一、合同履行期限及实施地点</w:t>
      </w:r>
    </w:p>
    <w:p w14:paraId="229F87AD">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ascii="宋体" w:hAnsi="宋体" w:cs="宋体"/>
          <w:snapToGrid w:val="0"/>
          <w:color w:val="auto"/>
          <w:kern w:val="0"/>
          <w:szCs w:val="21"/>
          <w:highlight w:val="none"/>
        </w:rPr>
        <w:t>★1.</w:t>
      </w:r>
      <w:r>
        <w:rPr>
          <w:rFonts w:hint="eastAsia" w:ascii="宋体" w:hAnsi="宋体" w:cs="宋体"/>
          <w:snapToGrid w:val="0"/>
          <w:color w:val="auto"/>
          <w:kern w:val="0"/>
          <w:szCs w:val="21"/>
          <w:highlight w:val="none"/>
        </w:rPr>
        <w:t>合同履行期限：直至合同质保期满。</w:t>
      </w:r>
    </w:p>
    <w:p w14:paraId="67FFFE1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项目工期：最晚于2025年7月31日前完工并具备初步验收条件。</w:t>
      </w:r>
    </w:p>
    <w:p w14:paraId="287CCD4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2.实施地点：</w:t>
      </w:r>
      <w:r>
        <w:rPr>
          <w:rFonts w:hint="eastAsia" w:ascii="宋体" w:hAnsi="宋体" w:cs="宋体"/>
          <w:snapToGrid w:val="0"/>
          <w:color w:val="auto"/>
          <w:kern w:val="0"/>
          <w:szCs w:val="21"/>
          <w:highlight w:val="none"/>
          <w:lang w:eastAsia="zh-CN"/>
        </w:rPr>
        <w:t>乌鲁木齐市城市规划馆</w:t>
      </w:r>
      <w:r>
        <w:rPr>
          <w:rFonts w:hint="eastAsia" w:ascii="宋体" w:hAnsi="宋体" w:cs="宋体"/>
          <w:snapToGrid w:val="0"/>
          <w:color w:val="auto"/>
          <w:kern w:val="0"/>
          <w:szCs w:val="21"/>
          <w:highlight w:val="none"/>
        </w:rPr>
        <w:t>,位于水磨沟区凤起街以北文化中心建筑群西北角</w:t>
      </w:r>
      <w:r>
        <w:rPr>
          <w:rFonts w:ascii="宋体" w:hAnsi="宋体" w:cs="宋体"/>
          <w:snapToGrid w:val="0"/>
          <w:color w:val="auto"/>
          <w:kern w:val="0"/>
          <w:szCs w:val="21"/>
          <w:highlight w:val="none"/>
        </w:rPr>
        <w:t>。</w:t>
      </w:r>
    </w:p>
    <w:p w14:paraId="176E58B2">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二、售后服务及培训</w:t>
      </w:r>
    </w:p>
    <w:p w14:paraId="4D57FBDB">
      <w:pPr>
        <w:adjustRightInd w:val="0"/>
        <w:snapToGrid w:val="0"/>
        <w:spacing w:line="360" w:lineRule="auto"/>
        <w:ind w:firstLine="420" w:firstLineChars="200"/>
        <w:jc w:val="left"/>
        <w:rPr>
          <w:rFonts w:hint="eastAsia" w:ascii="宋体" w:hAnsi="宋体" w:cs="宋体"/>
          <w:snapToGrid w:val="0"/>
          <w:color w:val="auto"/>
          <w:kern w:val="0"/>
          <w:szCs w:val="21"/>
          <w:highlight w:val="yellow"/>
        </w:rPr>
      </w:pPr>
      <w:r>
        <w:rPr>
          <w:rFonts w:hint="eastAsia" w:ascii="宋体" w:hAnsi="宋体" w:cs="宋体"/>
          <w:snapToGrid w:val="0"/>
          <w:color w:val="auto"/>
          <w:kern w:val="0"/>
          <w:szCs w:val="21"/>
          <w:highlight w:val="yellow"/>
        </w:rPr>
        <w:t>★1.本项目整体（含利旧设备）质保期不少于3年，项目中若涉及到防水的，防水部分保修5年。质保期从正式验收合格并交付使用之日开始计算，质保期内出现质量问题，由中标人负责维修并承担维修费用。</w:t>
      </w:r>
    </w:p>
    <w:p w14:paraId="14BC3C85">
      <w:pPr>
        <w:adjustRightInd w:val="0"/>
        <w:snapToGrid w:val="0"/>
        <w:spacing w:line="360" w:lineRule="auto"/>
        <w:ind w:firstLine="420" w:firstLineChars="200"/>
        <w:jc w:val="left"/>
        <w:rPr>
          <w:rFonts w:hint="eastAsia" w:ascii="宋体" w:hAnsi="宋体" w:cs="宋体"/>
          <w:snapToGrid w:val="0"/>
          <w:color w:val="auto"/>
          <w:kern w:val="0"/>
          <w:szCs w:val="21"/>
          <w:highlight w:val="yellow"/>
        </w:rPr>
      </w:pPr>
      <w:r>
        <w:rPr>
          <w:rFonts w:hint="eastAsia" w:ascii="宋体" w:hAnsi="宋体" w:cs="宋体"/>
          <w:snapToGrid w:val="0"/>
          <w:color w:val="auto"/>
          <w:kern w:val="0"/>
          <w:szCs w:val="21"/>
          <w:highlight w:val="yellow"/>
        </w:rPr>
        <w:t>★2.对多媒体内容（包括但不限于三维数字模型、影片、动画、图片、文字、软件等）以及实体沙盘、模型、展板等提供为期不少于3年</w:t>
      </w:r>
      <w:r>
        <w:rPr>
          <w:rFonts w:hint="eastAsia" w:ascii="宋体" w:hAnsi="宋体" w:cs="宋体"/>
          <w:snapToGrid w:val="0"/>
          <w:color w:val="auto"/>
          <w:kern w:val="0"/>
          <w:szCs w:val="21"/>
          <w:highlight w:val="yellow"/>
          <w:lang w:val="en-US" w:eastAsia="zh-CN"/>
        </w:rPr>
        <w:t>全免费</w:t>
      </w:r>
      <w:r>
        <w:rPr>
          <w:rFonts w:hint="eastAsia" w:ascii="宋体" w:hAnsi="宋体" w:cs="宋体"/>
          <w:snapToGrid w:val="0"/>
          <w:color w:val="auto"/>
          <w:kern w:val="0"/>
          <w:szCs w:val="21"/>
          <w:highlight w:val="yellow"/>
        </w:rPr>
        <w:t>的修改、更新、更替、升级等服务，3年后按成本价格提供服务（在本次投标中作出承诺即可）。从项目试运行开始，提供上述所有内容的可编辑源文件，去除演示水印及加密措施。若影片发生修改，需在修改后的10个工作日内提供可编辑的源文件。</w:t>
      </w:r>
    </w:p>
    <w:p w14:paraId="2E9E79C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从项目试运行阶段至整体质保期满，中标人须安排至少2名驻场技术人员在规划馆协助维护设备，并迅速完成采购人有关售后服务的工作要求。驻场技术人员须满足：同类型场馆三年及以上维保工作经验，具备承担项目必需的专业技能，保障各类展项的可靠、高效、安全、持续的运行，确保展馆的正常开放，按照相关保密要求做好保密工作。</w:t>
      </w:r>
    </w:p>
    <w:p w14:paraId="4EAC91C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4.项目售后服务要求：</w:t>
      </w:r>
    </w:p>
    <w:p w14:paraId="720513A2">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（1）提供7×24小时的故障服务受理，接到故障报修后，应在2小时内到达现场解决，无法立即解决的问题应在4小时内给出解决方案并于24小时内解决，重点展项</w:t>
      </w:r>
      <w:r>
        <w:rPr>
          <w:rFonts w:hint="eastAsia" w:ascii="宋体" w:hAnsi="宋体" w:cs="宋体"/>
          <w:snapToGrid w:val="0"/>
          <w:color w:val="auto"/>
          <w:kern w:val="0"/>
          <w:szCs w:val="21"/>
          <w:highlight w:val="none"/>
          <w:lang w:val="en-US" w:eastAsia="zh-CN"/>
        </w:rPr>
        <w:t>须</w:t>
      </w:r>
      <w:r>
        <w:rPr>
          <w:rFonts w:ascii="宋体" w:hAnsi="宋体" w:cs="宋体"/>
          <w:snapToGrid w:val="0"/>
          <w:color w:val="auto"/>
          <w:kern w:val="0"/>
          <w:szCs w:val="21"/>
          <w:highlight w:val="none"/>
        </w:rPr>
        <w:t>在6小时内解决。</w:t>
      </w:r>
    </w:p>
    <w:p w14:paraId="18212AB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（2）中标人未能在规定时限内解决故障问题的，则无偿提供备选设施设备供采购人使用，以确保规划馆的正常运行。</w:t>
      </w:r>
    </w:p>
    <w:p w14:paraId="56D642B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（3）备件服务：遇到重大故障，提供所需更换的任何备件。</w:t>
      </w:r>
    </w:p>
    <w:p w14:paraId="7DF4F94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质保期内出现任何质量问题（人为破坏或自然灾害等不可抗力除外），由中标人负责全免费（免全部工时费、材料费、管理费、财务费等等）更换或维修。质保期满后，无论采购人是否另行选择维保供应商，中标人应及时优惠提供所需的备品备件。</w:t>
      </w:r>
    </w:p>
    <w:p w14:paraId="572606F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（5）在质保期内，产品如有制造质量问题或技术缺陷，中标人应予免费更换，以保证展馆正常运行；在采购人使用的前三个月，同一产品出现第二次质量问题时，中标人应予免费整体更换。</w:t>
      </w:r>
    </w:p>
    <w:p w14:paraId="678102B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（6）软硬件升级服务：当产品厂商发布新的软件升级时，提供与系统升级有关的安装、调试等服务，</w:t>
      </w:r>
      <w:r>
        <w:rPr>
          <w:rFonts w:hint="eastAsia" w:ascii="宋体" w:hAnsi="宋体" w:cs="宋体"/>
          <w:snapToGrid w:val="0"/>
          <w:color w:val="auto"/>
          <w:kern w:val="0"/>
          <w:szCs w:val="21"/>
          <w:highlight w:val="none"/>
          <w:lang w:val="en-US" w:eastAsia="zh-CN"/>
        </w:rPr>
        <w:t>质保期内提供免费的软件升级服务，质保期后提供</w:t>
      </w:r>
      <w:r>
        <w:rPr>
          <w:rFonts w:ascii="宋体" w:hAnsi="宋体" w:cs="宋体"/>
          <w:snapToGrid w:val="0"/>
          <w:color w:val="auto"/>
          <w:kern w:val="0"/>
          <w:szCs w:val="21"/>
          <w:highlight w:val="none"/>
        </w:rPr>
        <w:t>软件终身升级。</w:t>
      </w:r>
    </w:p>
    <w:p w14:paraId="05E0F10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5.项目在通过正式验收后，被发现存在安全隐患或设计缺陷的，中标人须无条件修改、改进直至重新设计制作，本条款的时限不受质保期时间的限制。</w:t>
      </w:r>
    </w:p>
    <w:p w14:paraId="1C42851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6.技术支持与培训</w:t>
      </w:r>
    </w:p>
    <w:p w14:paraId="36EA475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中标人应按采购人要求负责培训管理及使用人员，达到熟练掌握产品性能、操作技能及排除一般故障的程度。投标人应按下列要求制定详细的培训方案及计划：</w:t>
      </w:r>
    </w:p>
    <w:p w14:paraId="3A93BD0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（1）培训内容：产品的性能、设备介绍、操作及相关的维修方法，使受培训人员能正确进行操作和排除处理常见故障，以及本次采购涉及的技术内容。</w:t>
      </w:r>
    </w:p>
    <w:p w14:paraId="304D84F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（2）培训地点：</w:t>
      </w:r>
      <w:r>
        <w:rPr>
          <w:rFonts w:hint="eastAsia" w:ascii="宋体" w:hAnsi="宋体" w:cs="宋体"/>
          <w:snapToGrid w:val="0"/>
          <w:color w:val="auto"/>
          <w:kern w:val="0"/>
          <w:szCs w:val="21"/>
          <w:highlight w:val="none"/>
          <w:lang w:val="en-US" w:eastAsia="zh-CN"/>
        </w:rPr>
        <w:t>采购人</w:t>
      </w:r>
      <w:r>
        <w:rPr>
          <w:rFonts w:ascii="宋体" w:hAnsi="宋体" w:cs="宋体"/>
          <w:snapToGrid w:val="0"/>
          <w:color w:val="auto"/>
          <w:kern w:val="0"/>
          <w:szCs w:val="21"/>
          <w:highlight w:val="none"/>
        </w:rPr>
        <w:t>根据</w:t>
      </w:r>
      <w:r>
        <w:rPr>
          <w:rFonts w:hint="eastAsia" w:ascii="宋体" w:hAnsi="宋体" w:cs="宋体"/>
          <w:snapToGrid w:val="0"/>
          <w:color w:val="auto"/>
          <w:kern w:val="0"/>
          <w:szCs w:val="21"/>
          <w:highlight w:val="none"/>
        </w:rPr>
        <w:t>实际</w:t>
      </w:r>
      <w:r>
        <w:rPr>
          <w:rFonts w:ascii="宋体" w:hAnsi="宋体" w:cs="宋体"/>
          <w:snapToGrid w:val="0"/>
          <w:color w:val="auto"/>
          <w:kern w:val="0"/>
          <w:szCs w:val="21"/>
          <w:highlight w:val="none"/>
        </w:rPr>
        <w:t>情况决定。</w:t>
      </w:r>
    </w:p>
    <w:p w14:paraId="6E04BBD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（3）培训人数：采购人的使用操作人员10人以上、维修管理人员3人以上。</w:t>
      </w:r>
    </w:p>
    <w:p w14:paraId="7DE635D1">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三、保密要求</w:t>
      </w:r>
    </w:p>
    <w:p w14:paraId="619FBF7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采购人向投标人提供的图纸等附件资料，投标人应对其保密。除采购人同意，投标人不得向第三方透露或将其用于本次招标以外的任何用途。应采购人的要求，投标人须归还采购人认为需保密的文件和资料，并销毁所有需保密的备份文件和资料。</w:t>
      </w:r>
    </w:p>
    <w:p w14:paraId="32AA53AD">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四、知识产权相关要求</w:t>
      </w:r>
    </w:p>
    <w:p w14:paraId="1085B7C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1.投标人须保证投标文件及资料均未侵犯他人的知识产权。</w:t>
      </w:r>
    </w:p>
    <w:p w14:paraId="1A87BBD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2.本项目中标人全部成果的知识产权和其他有关权益归采购人所有。</w:t>
      </w:r>
    </w:p>
    <w:p w14:paraId="75CB3D5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3.</w:t>
      </w:r>
      <w:r>
        <w:rPr>
          <w:rFonts w:ascii="宋体" w:hAnsi="宋体" w:cs="宋体"/>
          <w:snapToGrid w:val="0"/>
          <w:color w:val="auto"/>
          <w:kern w:val="0"/>
          <w:szCs w:val="21"/>
          <w:highlight w:val="none"/>
        </w:rPr>
        <w:t>采购人有权在评标结束后公开展示中标人的方案成果，且不再向中标人支付费用。</w:t>
      </w:r>
    </w:p>
    <w:p w14:paraId="52803BA9">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 xml:space="preserve">五、验收标准及要求 </w:t>
      </w:r>
    </w:p>
    <w:p w14:paraId="40ECB62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本项目分为初步验收阶段、试运行阶段、正式验收阶段。</w:t>
      </w:r>
    </w:p>
    <w:p w14:paraId="1A34FE74">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（一）初步验收阶段</w:t>
      </w:r>
    </w:p>
    <w:p w14:paraId="4038DE82">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1.本项目合同范围内工作全部完成且达到交付使用条件后，由中标人向采购人提出初验申请并组织实施。</w:t>
      </w:r>
    </w:p>
    <w:p w14:paraId="0D97393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2.初验合格条件</w:t>
      </w:r>
    </w:p>
    <w:p w14:paraId="1BECE85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（1）投标人已按合同规定，全部提供了合同规定的所有货物和资料，并完成所有布展装饰、设备的安装和调试以及与其他系统的配合调试工作。</w:t>
      </w:r>
    </w:p>
    <w:p w14:paraId="4D0FDC61">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（2）设备性能和功能等完全满足合同要求。</w:t>
      </w:r>
    </w:p>
    <w:p w14:paraId="1C7AFC4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（3）初验及整改结束后经采购人认可。</w:t>
      </w:r>
    </w:p>
    <w:p w14:paraId="0D1F8862">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（4）投标人按照合同相关要求提交本项目开始至初验结束之前的所有资料。</w:t>
      </w:r>
    </w:p>
    <w:p w14:paraId="4229ACD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完成相关配套服务：包括讲解词撰写、宣传资料设计制作、文创产品开发制作不少于5种、VI系统设计制作、开馆活动策划执行等内容。根据布展要求收集整理或购买影像素材（乌鲁木齐现状照片、历史照片、历史影片等）、</w:t>
      </w:r>
      <w:r>
        <w:rPr>
          <w:rFonts w:hint="eastAsia" w:ascii="宋体" w:hAnsi="宋体" w:cs="宋体"/>
          <w:snapToGrid w:val="0"/>
          <w:color w:val="auto"/>
          <w:kern w:val="0"/>
          <w:szCs w:val="21"/>
          <w:highlight w:val="none"/>
        </w:rPr>
        <w:t>艺术品、</w:t>
      </w:r>
      <w:r>
        <w:rPr>
          <w:rFonts w:ascii="宋体" w:hAnsi="宋体" w:cs="宋体"/>
          <w:snapToGrid w:val="0"/>
          <w:color w:val="auto"/>
          <w:kern w:val="0"/>
          <w:szCs w:val="21"/>
          <w:highlight w:val="none"/>
        </w:rPr>
        <w:t>老物件等展陈资料。</w:t>
      </w:r>
    </w:p>
    <w:p w14:paraId="5A51CA9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3.由采购人组织初步验收，验收合格后，采购人出具《初验完成证明》。</w:t>
      </w:r>
    </w:p>
    <w:p w14:paraId="3C21C6A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4.《初验完成证明》仅确认工作量，不视为对本项目质量的验收，不能免除投标人在本合同项下的质量保证责任。</w:t>
      </w:r>
    </w:p>
    <w:p w14:paraId="6FBE0C9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5.隐蔽工程经中标人自检确认具备覆盖条件的，中标人应在覆盖前48小时以书面形式通知采购人</w:t>
      </w:r>
      <w:r>
        <w:rPr>
          <w:rFonts w:hint="eastAsia" w:ascii="宋体" w:hAnsi="宋体" w:cs="宋体"/>
          <w:snapToGrid w:val="0"/>
          <w:color w:val="auto"/>
          <w:kern w:val="0"/>
          <w:szCs w:val="21"/>
          <w:highlight w:val="none"/>
          <w:lang w:val="en-US" w:eastAsia="zh-CN"/>
        </w:rPr>
        <w:t>及监理机构</w:t>
      </w:r>
      <w:r>
        <w:rPr>
          <w:rFonts w:ascii="宋体" w:hAnsi="宋体" w:cs="宋体"/>
          <w:snapToGrid w:val="0"/>
          <w:color w:val="auto"/>
          <w:kern w:val="0"/>
          <w:szCs w:val="21"/>
          <w:highlight w:val="none"/>
        </w:rPr>
        <w:t>验收，通知中应载明隐蔽检查的内容、时间和地点，并应附有自检记录和必要的检查资料。验收合格的，中标人可进行隐蔽和继续施工；验收不合格的，中标人应在采购人限定的时间内修改后重新申请验收。</w:t>
      </w:r>
    </w:p>
    <w:p w14:paraId="2708ADD2">
      <w:pPr>
        <w:adjustRightInd w:val="0"/>
        <w:snapToGrid w:val="0"/>
        <w:spacing w:line="360" w:lineRule="auto"/>
        <w:ind w:firstLine="422" w:firstLineChars="200"/>
        <w:jc w:val="left"/>
        <w:rPr>
          <w:rFonts w:hint="default" w:ascii="宋体" w:hAnsi="宋体" w:eastAsia="宋体" w:cs="宋体"/>
          <w:b/>
          <w:bCs/>
          <w:snapToGrid w:val="0"/>
          <w:color w:val="auto"/>
          <w:kern w:val="0"/>
          <w:szCs w:val="21"/>
          <w:highlight w:val="none"/>
          <w:lang w:val="en-US" w:eastAsia="zh-CN"/>
        </w:rPr>
      </w:pPr>
      <w:r>
        <w:rPr>
          <w:rFonts w:hint="eastAsia" w:ascii="宋体" w:hAnsi="宋体" w:cs="宋体"/>
          <w:b/>
          <w:bCs/>
          <w:snapToGrid w:val="0"/>
          <w:color w:val="auto"/>
          <w:kern w:val="0"/>
          <w:szCs w:val="21"/>
          <w:highlight w:val="none"/>
        </w:rPr>
        <w:t>（二）试运行阶段</w:t>
      </w:r>
    </w:p>
    <w:p w14:paraId="744B923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w:t>
      </w:r>
      <w:r>
        <w:rPr>
          <w:rFonts w:ascii="宋体" w:hAnsi="宋体" w:cs="宋体"/>
          <w:snapToGrid w:val="0"/>
          <w:color w:val="auto"/>
          <w:kern w:val="0"/>
          <w:szCs w:val="21"/>
          <w:highlight w:val="none"/>
        </w:rPr>
        <w:t>.初步验收合格后，进入试运行阶段。</w:t>
      </w:r>
    </w:p>
    <w:p w14:paraId="0F4C730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2</w:t>
      </w:r>
      <w:r>
        <w:rPr>
          <w:rFonts w:ascii="宋体" w:hAnsi="宋体" w:cs="宋体"/>
          <w:snapToGrid w:val="0"/>
          <w:color w:val="auto"/>
          <w:kern w:val="0"/>
          <w:szCs w:val="21"/>
          <w:highlight w:val="none"/>
        </w:rPr>
        <w:t>.整体试运行稳定不少于6个月。</w:t>
      </w:r>
    </w:p>
    <w:p w14:paraId="3F44F68B">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（三）正式验收阶段</w:t>
      </w:r>
    </w:p>
    <w:p w14:paraId="64AB5108">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1.中标人需负责对所供设施设备的保护工作至项目正式验收合格，在此期间，设施设备丢失的费用由中标人负责。若因第三方原因损坏的设施设备，中标人须负责修理或给予赔偿。</w:t>
      </w:r>
    </w:p>
    <w:p w14:paraId="744DCBF4">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2.项目涉及到必须由住建、消防、环保等行政主管部门进行验收的，以上述部门通过验收为准。</w:t>
      </w:r>
    </w:p>
    <w:p w14:paraId="28D3F7D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3.投标人应按照政府档案管理机构要求向其提供竣工资料。</w:t>
      </w:r>
    </w:p>
    <w:p w14:paraId="56BFC1F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4.投标人提出项目竣工验收申请前，应至少完成如下竣工资料:</w:t>
      </w:r>
    </w:p>
    <w:p w14:paraId="3D8C31F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（1）展示系统各设备之间的网络拓扑结构</w:t>
      </w:r>
    </w:p>
    <w:p w14:paraId="3F8F0E6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（2）展示系统操作使用说明</w:t>
      </w:r>
    </w:p>
    <w:p w14:paraId="169BB56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（3）展示系统数据维护操作说明</w:t>
      </w:r>
    </w:p>
    <w:p w14:paraId="5946DB8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（4）本项目中制作的三维成果数据与场景数据文件</w:t>
      </w:r>
    </w:p>
    <w:p w14:paraId="6AEAC94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（5）展示系统二次开发接口说明文档及示例程序</w:t>
      </w:r>
    </w:p>
    <w:p w14:paraId="420EEBD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（6）用户需求文档、设计文档、总结报告、测试报告等展示系统运行所需的各类软件及系统软件、及运行所需的许可文件（不接受任何绑定硬件形式的许可）。</w:t>
      </w:r>
    </w:p>
    <w:p w14:paraId="6F3F958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（7）涉及到必须由住建、消防、环保等行政主管部门进行验收的，按相关主管部门要求提供竣工验收资料。</w:t>
      </w:r>
    </w:p>
    <w:p w14:paraId="0B3CC06F">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（8）布展相关的所有平面、文案、多媒体内容、影片、模型</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软件等</w:t>
      </w:r>
      <w:r>
        <w:rPr>
          <w:rFonts w:ascii="宋体" w:hAnsi="宋体" w:cs="宋体"/>
          <w:snapToGrid w:val="0"/>
          <w:color w:val="auto"/>
          <w:kern w:val="0"/>
          <w:szCs w:val="21"/>
          <w:highlight w:val="none"/>
        </w:rPr>
        <w:t>均需提供可编辑源文件及成品文件备份，且需分类整理好，并以硬盘的方式提供给采购人。</w:t>
      </w:r>
    </w:p>
    <w:p w14:paraId="048CFEE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工程竣工验收后，中标人应在30天内将完整齐备的工程竣工资料和验收资料装整成册并提交给采购人存档，必须保证所有归档资料的真实性和完整性。对于工程竣工资料，中标人须提供2套光盘电子文件，10套图纸及文本文件。</w:t>
      </w:r>
    </w:p>
    <w:p w14:paraId="55D17B2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6.验收合格条件</w:t>
      </w:r>
    </w:p>
    <w:p w14:paraId="281C1061">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（1）已提供了合同规定的布展装饰、全部货物、服务和资料。</w:t>
      </w:r>
    </w:p>
    <w:p w14:paraId="6E64684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（2）达到初验要求，完成试运行。</w:t>
      </w:r>
    </w:p>
    <w:p w14:paraId="4E8DDCD1">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（3）已完成合同要求的培训。</w:t>
      </w:r>
    </w:p>
    <w:p w14:paraId="6182D10D">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（4）试运行时及初验后的功能和性能满足合同要求。</w:t>
      </w:r>
    </w:p>
    <w:p w14:paraId="2F0A4E6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（5）试运行期间出现的问题已解决到位并获采购人认可。</w:t>
      </w:r>
    </w:p>
    <w:p w14:paraId="0A83DE0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7.项目验收</w:t>
      </w:r>
      <w:r>
        <w:rPr>
          <w:rFonts w:hint="eastAsia" w:ascii="宋体" w:hAnsi="宋体" w:cs="宋体"/>
          <w:snapToGrid w:val="0"/>
          <w:color w:val="auto"/>
          <w:kern w:val="0"/>
          <w:szCs w:val="21"/>
          <w:highlight w:val="none"/>
        </w:rPr>
        <w:t>若涉及</w:t>
      </w:r>
      <w:r>
        <w:rPr>
          <w:rFonts w:ascii="宋体" w:hAnsi="宋体" w:cs="宋体"/>
          <w:snapToGrid w:val="0"/>
          <w:color w:val="auto"/>
          <w:kern w:val="0"/>
          <w:szCs w:val="21"/>
          <w:highlight w:val="none"/>
        </w:rPr>
        <w:t>国家强制性规定的，按国家规定执行，验收报告作为申请付款的凭证之一。</w:t>
      </w:r>
    </w:p>
    <w:p w14:paraId="60775A34">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六、报价及结算要求</w:t>
      </w:r>
    </w:p>
    <w:p w14:paraId="1EE9F0B0">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w:t>
      </w:r>
      <w:r>
        <w:rPr>
          <w:rFonts w:hint="eastAsia" w:ascii="宋体" w:hAnsi="宋体" w:cs="宋体"/>
          <w:snapToGrid w:val="0"/>
          <w:color w:val="auto"/>
          <w:kern w:val="0"/>
          <w:szCs w:val="21"/>
          <w:highlight w:val="none"/>
        </w:rPr>
        <w:t>本项目投标总价应是投标人履行合同所需的所有费用，报价必须包括</w:t>
      </w:r>
      <w:r>
        <w:rPr>
          <w:rFonts w:hint="eastAsia" w:ascii="宋体" w:hAnsi="宋体" w:cs="宋体"/>
          <w:snapToGrid w:val="0"/>
          <w:color w:val="auto"/>
          <w:kern w:val="0"/>
          <w:szCs w:val="21"/>
          <w:highlight w:val="none"/>
          <w:lang w:val="en-US" w:eastAsia="zh-CN"/>
        </w:rPr>
        <w:t>且不限于</w:t>
      </w:r>
      <w:r>
        <w:rPr>
          <w:rFonts w:hint="eastAsia" w:ascii="宋体" w:hAnsi="宋体" w:cs="Arial"/>
          <w:color w:val="auto"/>
          <w:szCs w:val="21"/>
          <w:highlight w:val="none"/>
          <w:lang w:val="en-US" w:eastAsia="zh-CN"/>
        </w:rPr>
        <w:t>展览</w:t>
      </w:r>
      <w:r>
        <w:rPr>
          <w:rFonts w:hint="eastAsia" w:ascii="宋体" w:hAnsi="宋体" w:cs="Arial"/>
          <w:color w:val="auto"/>
          <w:szCs w:val="21"/>
          <w:highlight w:val="none"/>
        </w:rPr>
        <w:t>内容</w:t>
      </w:r>
      <w:r>
        <w:rPr>
          <w:rFonts w:hint="eastAsia" w:ascii="宋体" w:hAnsi="宋体" w:cs="Arial"/>
          <w:color w:val="auto"/>
          <w:szCs w:val="21"/>
          <w:highlight w:val="none"/>
          <w:lang w:val="en-US" w:eastAsia="zh-CN"/>
        </w:rPr>
        <w:t>组织</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项目设计（包括</w:t>
      </w:r>
      <w:r>
        <w:rPr>
          <w:rFonts w:hint="eastAsia" w:ascii="宋体" w:hAnsi="宋体" w:cs="宋体"/>
          <w:snapToGrid w:val="0"/>
          <w:color w:val="auto"/>
          <w:kern w:val="0"/>
          <w:szCs w:val="21"/>
          <w:highlight w:val="none"/>
          <w:lang w:val="en-US" w:eastAsia="zh-CN"/>
        </w:rPr>
        <w:t>方案设计</w:t>
      </w:r>
      <w:r>
        <w:rPr>
          <w:rFonts w:hint="eastAsia" w:ascii="宋体" w:hAnsi="宋体" w:cs="宋体"/>
          <w:snapToGrid w:val="0"/>
          <w:color w:val="auto"/>
          <w:kern w:val="0"/>
          <w:szCs w:val="21"/>
          <w:highlight w:val="none"/>
        </w:rPr>
        <w:t>、深化设计、施工图设计</w:t>
      </w:r>
      <w:r>
        <w:rPr>
          <w:rFonts w:hint="eastAsia" w:ascii="宋体" w:hAnsi="宋体" w:cs="宋体"/>
          <w:snapToGrid w:val="0"/>
          <w:color w:val="auto"/>
          <w:kern w:val="0"/>
          <w:szCs w:val="21"/>
          <w:highlight w:val="none"/>
          <w:lang w:val="en-US" w:eastAsia="zh-CN"/>
        </w:rPr>
        <w:t>及审查</w:t>
      </w:r>
      <w:r>
        <w:rPr>
          <w:rFonts w:hint="eastAsia" w:ascii="宋体" w:hAnsi="宋体" w:cs="宋体"/>
          <w:snapToGrid w:val="0"/>
          <w:color w:val="auto"/>
          <w:kern w:val="0"/>
          <w:szCs w:val="21"/>
          <w:highlight w:val="none"/>
        </w:rPr>
        <w:t>，以及后续的相关服务</w:t>
      </w:r>
      <w:r>
        <w:rPr>
          <w:rFonts w:hint="eastAsia" w:ascii="宋体" w:hAnsi="宋体" w:cs="宋体"/>
          <w:snapToGrid w:val="0"/>
          <w:color w:val="auto"/>
          <w:kern w:val="0"/>
          <w:szCs w:val="21"/>
          <w:highlight w:val="none"/>
          <w:lang w:val="en-US" w:eastAsia="zh-CN"/>
        </w:rPr>
        <w:t>所需费用</w:t>
      </w:r>
      <w:r>
        <w:rPr>
          <w:rFonts w:hint="eastAsia" w:ascii="宋体" w:hAnsi="宋体" w:cs="宋体"/>
          <w:snapToGrid w:val="0"/>
          <w:color w:val="auto"/>
          <w:kern w:val="0"/>
          <w:szCs w:val="21"/>
          <w:highlight w:val="none"/>
        </w:rPr>
        <w:t>，设计图纸均达到国家规定的深度要求，并且满足采购人及相关职能部门的要求）、装饰装修、影片制作、数字硬软件、情景展示服务及配套设施设备、</w:t>
      </w:r>
      <w:r>
        <w:rPr>
          <w:rFonts w:hint="eastAsia" w:ascii="宋体" w:hAnsi="宋体" w:cs="宋体"/>
          <w:snapToGrid w:val="0"/>
          <w:color w:val="auto"/>
          <w:kern w:val="0"/>
          <w:szCs w:val="21"/>
          <w:highlight w:val="none"/>
          <w:lang w:val="en-US" w:eastAsia="zh-CN"/>
        </w:rPr>
        <w:t>地图审图、</w:t>
      </w:r>
      <w:r>
        <w:rPr>
          <w:rFonts w:hint="eastAsia" w:ascii="宋体" w:hAnsi="宋体" w:cs="宋体"/>
          <w:snapToGrid w:val="0"/>
          <w:color w:val="auto"/>
          <w:kern w:val="0"/>
          <w:szCs w:val="21"/>
          <w:highlight w:val="none"/>
        </w:rPr>
        <w:t>材料购买</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施工</w:t>
      </w:r>
      <w:r>
        <w:rPr>
          <w:rFonts w:hint="eastAsia" w:ascii="宋体" w:hAnsi="宋体" w:cs="宋体"/>
          <w:snapToGrid w:val="0"/>
          <w:color w:val="auto"/>
          <w:kern w:val="0"/>
          <w:szCs w:val="21"/>
          <w:highlight w:val="none"/>
        </w:rPr>
        <w:t>、安装、运输、辅料、调试、验收、保修</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缺陷修复</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、管理</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保险</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赶工措施</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质量检测</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税费</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包含双方印花税</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材料检测、环境检测、消防检测、软件测评</w:t>
      </w:r>
      <w:r>
        <w:rPr>
          <w:rFonts w:hint="eastAsia" w:ascii="宋体" w:hAnsi="宋体" w:cs="宋体"/>
          <w:snapToGrid w:val="0"/>
          <w:color w:val="auto"/>
          <w:kern w:val="0"/>
          <w:szCs w:val="21"/>
          <w:highlight w:val="none"/>
        </w:rPr>
        <w:t>等全部费用。项目中若发生类似知识产权归属、软件、专利费、翻译、专家咨询与评审等费用，应当一并包含在投标总价中。采购人不再承担总报价以外的其它任何费用。</w:t>
      </w:r>
    </w:p>
    <w:p w14:paraId="6EF25E78">
      <w:pPr>
        <w:pStyle w:val="19"/>
        <w:snapToGrid w:val="0"/>
        <w:ind w:firstLine="422" w:firstLineChars="200"/>
        <w:rPr>
          <w:rFonts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完成本项目服务所涉及的一切费用由</w:t>
      </w:r>
      <w:r>
        <w:rPr>
          <w:rFonts w:hint="eastAsia" w:ascii="宋体" w:hAnsi="宋体" w:eastAsia="宋体" w:cs="宋体"/>
          <w:b/>
          <w:bCs/>
          <w:snapToGrid w:val="0"/>
          <w:color w:val="auto"/>
          <w:kern w:val="0"/>
          <w:sz w:val="21"/>
          <w:szCs w:val="21"/>
          <w:highlight w:val="none"/>
          <w:lang w:val="en-US" w:eastAsia="zh-CN"/>
        </w:rPr>
        <w:t>中标人</w:t>
      </w:r>
      <w:r>
        <w:rPr>
          <w:rFonts w:hint="eastAsia" w:ascii="宋体" w:hAnsi="宋体" w:eastAsia="宋体" w:cs="宋体"/>
          <w:b/>
          <w:bCs/>
          <w:snapToGrid w:val="0"/>
          <w:color w:val="auto"/>
          <w:kern w:val="0"/>
          <w:sz w:val="21"/>
          <w:szCs w:val="21"/>
          <w:highlight w:val="none"/>
        </w:rPr>
        <w:t>承担。费用清单需详细列明，不详细的部分采购人有权按最好效果、最高标准执行。</w:t>
      </w:r>
    </w:p>
    <w:p w14:paraId="48436443">
      <w:pPr>
        <w:pStyle w:val="19"/>
        <w:snapToGrid w:val="0"/>
        <w:ind w:firstLine="422" w:firstLineChars="200"/>
        <w:rPr>
          <w:rFonts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投标人应认真计算可能发生的各相关费用并计入报价内，在项目实施过程中不得藉此要求增加任何费用，并不得出现选择性的报价。</w:t>
      </w:r>
    </w:p>
    <w:p w14:paraId="0B20CF6C">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2.</w:t>
      </w:r>
      <w:r>
        <w:rPr>
          <w:rFonts w:hint="eastAsia" w:ascii="宋体" w:hAnsi="宋体" w:cs="宋体"/>
          <w:snapToGrid w:val="0"/>
          <w:color w:val="auto"/>
          <w:kern w:val="0"/>
          <w:szCs w:val="21"/>
          <w:highlight w:val="none"/>
        </w:rPr>
        <w:t>投标人在投标文件中的分项报价必须包括：项目设计费、设备购置费（含硬件和软件设备）、装饰装修工程费、设备安装费、模型制作费、多媒体影片制作费（根据不同的应用场景分别报价）、其他费用。所有展示部分的设备测试与验收费用</w:t>
      </w:r>
      <w:r>
        <w:rPr>
          <w:rFonts w:hint="eastAsia" w:ascii="宋体" w:hAnsi="宋体" w:cs="宋体"/>
          <w:snapToGrid w:val="0"/>
          <w:color w:val="auto"/>
          <w:kern w:val="0"/>
          <w:szCs w:val="21"/>
          <w:highlight w:val="none"/>
          <w:lang w:val="en-US" w:eastAsia="zh-CN"/>
        </w:rPr>
        <w:t>等</w:t>
      </w:r>
      <w:r>
        <w:rPr>
          <w:rFonts w:hint="eastAsia" w:ascii="宋体" w:hAnsi="宋体" w:cs="宋体"/>
          <w:snapToGrid w:val="0"/>
          <w:color w:val="auto"/>
          <w:kern w:val="0"/>
          <w:szCs w:val="21"/>
          <w:highlight w:val="none"/>
        </w:rPr>
        <w:t>，应包括在投标总价中。采购人要求投标人按照上述要求分项报价，其目的是为了便于采购人对投标文件进行比较，但并不限制采购人以上述任何条件订立合同的权利。</w:t>
      </w:r>
    </w:p>
    <w:p w14:paraId="0E93BECF">
      <w:pPr>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3. 各部分投标报价应有细目、单价和总价。细目报价应当说明所选用的材料、设备名称、品牌、规格、型号、数量，辅材品种、相关安装等费用。投标人如将多个设备、相关服务等以一项总额标价，采购人有权视情况要求投标人将每项单价分列表示。</w:t>
      </w:r>
    </w:p>
    <w:p w14:paraId="00429CBE">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4.</w:t>
      </w:r>
      <w:r>
        <w:rPr>
          <w:rFonts w:hint="eastAsia" w:ascii="宋体" w:hAnsi="宋体" w:cs="宋体"/>
          <w:snapToGrid w:val="0"/>
          <w:color w:val="auto"/>
          <w:kern w:val="0"/>
          <w:szCs w:val="21"/>
          <w:highlight w:val="none"/>
        </w:rPr>
        <w:t>装饰装修部分、安装部分的计价依据：《建设工程工程量清单计价规范》（GB50500-2013）文件中规定的计价办法、工程消耗量标准及配套文件、乌鲁木齐市财政资金综合评价中心的相关规定。</w:t>
      </w:r>
    </w:p>
    <w:p w14:paraId="3CD9378D">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5.</w:t>
      </w:r>
      <w:r>
        <w:rPr>
          <w:rFonts w:hint="eastAsia" w:ascii="宋体" w:hAnsi="宋体" w:cs="宋体"/>
          <w:snapToGrid w:val="0"/>
          <w:color w:val="auto"/>
          <w:kern w:val="0"/>
          <w:szCs w:val="21"/>
          <w:highlight w:val="none"/>
        </w:rPr>
        <w:t>各投标人应认真阅读本项目招标文件及仔细了解项目需求，熟悉施工现场及周围环境条件等情况，以获得一切可能影响投标报价的直接资料，并将需要或可能发生的费用，如现场安全、文明施工措施费、技术措施费、吊装费、材料试验费、二次转运费、赶工措施费、特殊条件施工增加费、特殊产品保护费、项目保险费、竣工图编制费等，全部列入施工措施费中。无论是否开列费用，采购人将一律视为各投标人已确认所有现场条件和预计到了可能发生的异常情况。采购人将一律视为总报价已包括该项费用，并已承担所有采购人所要求的展陈总承包责任。</w:t>
      </w:r>
    </w:p>
    <w:p w14:paraId="27F1FADC">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6.</w:t>
      </w:r>
      <w:r>
        <w:rPr>
          <w:rFonts w:hint="eastAsia" w:ascii="宋体" w:hAnsi="宋体" w:cs="宋体"/>
          <w:snapToGrid w:val="0"/>
          <w:color w:val="auto"/>
          <w:kern w:val="0"/>
          <w:szCs w:val="21"/>
          <w:highlight w:val="none"/>
        </w:rPr>
        <w:t>投标人报价中人工工资、社会保障、社会管理等各类费用必须符合国家、地方相关管理部门的规定进行计费，并包括在总价中。</w:t>
      </w:r>
    </w:p>
    <w:p w14:paraId="06852A7A">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7.</w:t>
      </w:r>
      <w:r>
        <w:rPr>
          <w:rFonts w:hint="eastAsia" w:ascii="宋体" w:hAnsi="宋体" w:cs="宋体"/>
          <w:snapToGrid w:val="0"/>
          <w:color w:val="auto"/>
          <w:kern w:val="0"/>
          <w:szCs w:val="21"/>
          <w:highlight w:val="none"/>
        </w:rPr>
        <w:t>投标人提供的项目工作及相关服务，应当符合国家有关法律、法规和标准规范，满足合同约定的服务内容和质量等要求。投标人不得违反标准规范规定或合同约定，通过降低服务质量、减少服务内容等手段进行恶性低价竞争，扰乱正常市场秩序。</w:t>
      </w:r>
    </w:p>
    <w:p w14:paraId="7C9E8BA0">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8.</w:t>
      </w:r>
      <w:r>
        <w:rPr>
          <w:rFonts w:hint="eastAsia" w:ascii="宋体" w:hAnsi="宋体" w:cs="宋体"/>
          <w:snapToGrid w:val="0"/>
          <w:color w:val="auto"/>
          <w:kern w:val="0"/>
          <w:szCs w:val="21"/>
          <w:highlight w:val="none"/>
        </w:rPr>
        <w:t>项目结算</w:t>
      </w:r>
    </w:p>
    <w:p w14:paraId="15D06C78">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（1）本项目采用暂定合同总价，最终的结算</w:t>
      </w:r>
      <w:r>
        <w:rPr>
          <w:rFonts w:hint="eastAsia" w:ascii="宋体" w:hAnsi="宋体" w:cs="宋体"/>
          <w:snapToGrid w:val="0"/>
          <w:color w:val="auto"/>
          <w:kern w:val="0"/>
          <w:szCs w:val="21"/>
          <w:highlight w:val="none"/>
          <w:lang w:val="en-US" w:eastAsia="zh-CN"/>
        </w:rPr>
        <w:t>价</w:t>
      </w:r>
      <w:r>
        <w:rPr>
          <w:rFonts w:hint="eastAsia" w:ascii="宋体" w:hAnsi="宋体" w:cs="宋体"/>
          <w:snapToGrid w:val="0"/>
          <w:color w:val="auto"/>
          <w:kern w:val="0"/>
          <w:szCs w:val="21"/>
          <w:highlight w:val="none"/>
        </w:rPr>
        <w:t>不得超过</w:t>
      </w:r>
      <w:r>
        <w:rPr>
          <w:rFonts w:hint="eastAsia" w:ascii="宋体" w:hAnsi="宋体" w:cs="宋体"/>
          <w:snapToGrid w:val="0"/>
          <w:color w:val="auto"/>
          <w:kern w:val="0"/>
          <w:szCs w:val="21"/>
          <w:highlight w:val="none"/>
          <w:lang w:val="en-US" w:eastAsia="zh-CN"/>
        </w:rPr>
        <w:t>合同总</w:t>
      </w:r>
      <w:r>
        <w:rPr>
          <w:rFonts w:hint="eastAsia" w:ascii="宋体" w:hAnsi="宋体" w:cs="宋体"/>
          <w:snapToGrid w:val="0"/>
          <w:color w:val="auto"/>
          <w:kern w:val="0"/>
          <w:szCs w:val="21"/>
          <w:highlight w:val="none"/>
        </w:rPr>
        <w:t>价，按照最终审定的方案予以计量</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投标人应充分调查了解该项目并考虑所产生的风险</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结算价不因</w:t>
      </w:r>
      <w:r>
        <w:rPr>
          <w:rFonts w:hint="eastAsia" w:ascii="宋体" w:hAnsi="宋体" w:cs="宋体"/>
          <w:snapToGrid w:val="0"/>
          <w:color w:val="auto"/>
          <w:kern w:val="0"/>
          <w:szCs w:val="21"/>
          <w:highlight w:val="none"/>
          <w:lang w:val="en-US" w:eastAsia="zh-CN"/>
        </w:rPr>
        <w:t>工作</w:t>
      </w:r>
      <w:r>
        <w:rPr>
          <w:rFonts w:hint="eastAsia" w:ascii="宋体" w:hAnsi="宋体" w:cs="宋体"/>
          <w:snapToGrid w:val="0"/>
          <w:color w:val="auto"/>
          <w:kern w:val="0"/>
          <w:szCs w:val="21"/>
          <w:highlight w:val="none"/>
        </w:rPr>
        <w:t>量和项目的变化及其他因素而高于合同</w:t>
      </w:r>
      <w:r>
        <w:rPr>
          <w:rFonts w:hint="eastAsia" w:ascii="宋体" w:hAnsi="宋体" w:cs="宋体"/>
          <w:snapToGrid w:val="0"/>
          <w:color w:val="auto"/>
          <w:kern w:val="0"/>
          <w:szCs w:val="21"/>
          <w:highlight w:val="none"/>
          <w:lang w:val="en-US" w:eastAsia="zh-CN"/>
        </w:rPr>
        <w:t>总</w:t>
      </w:r>
      <w:r>
        <w:rPr>
          <w:rFonts w:hint="eastAsia" w:ascii="宋体" w:hAnsi="宋体" w:cs="宋体"/>
          <w:snapToGrid w:val="0"/>
          <w:color w:val="auto"/>
          <w:kern w:val="0"/>
          <w:szCs w:val="21"/>
          <w:highlight w:val="none"/>
        </w:rPr>
        <w:t>价，方案深化、实际施工过程中发生的调整、修改、变更、返工</w:t>
      </w:r>
      <w:r>
        <w:rPr>
          <w:rFonts w:hint="eastAsia" w:ascii="宋体" w:hAnsi="宋体" w:cs="宋体"/>
          <w:snapToGrid w:val="0"/>
          <w:color w:val="auto"/>
          <w:kern w:val="0"/>
          <w:szCs w:val="21"/>
          <w:highlight w:val="none"/>
          <w:lang w:val="en-US" w:eastAsia="zh-CN"/>
        </w:rPr>
        <w:t>等增加的工作量</w:t>
      </w:r>
      <w:r>
        <w:rPr>
          <w:rFonts w:hint="eastAsia" w:ascii="宋体" w:hAnsi="宋体" w:cs="宋体"/>
          <w:snapToGrid w:val="0"/>
          <w:color w:val="auto"/>
          <w:kern w:val="0"/>
          <w:szCs w:val="21"/>
          <w:highlight w:val="none"/>
        </w:rPr>
        <w:t>均不予计量。合同总价款不予上调</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最终以乌鲁木齐市财政资金综合评价中心出具的结算报告为准。</w:t>
      </w:r>
    </w:p>
    <w:p w14:paraId="3AD9DD91">
      <w:pPr>
        <w:adjustRightInd w:val="0"/>
        <w:snapToGrid w:val="0"/>
        <w:spacing w:line="360" w:lineRule="auto"/>
        <w:ind w:firstLine="420" w:firstLineChars="200"/>
        <w:jc w:val="left"/>
        <w:rPr>
          <w:rFonts w:hint="eastAsia"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rPr>
        <w:t>投标人在编制投标文件时，需要根据项目的要求和实际现场情况，详细列出所需的设备、材料以及所有的人工、管理、财务等费用。如果因中标人疏忽导致了任何项目所需费用的遗漏，均由中标人自行承担，采购人不会再支付额外的费用。</w:t>
      </w:r>
    </w:p>
    <w:p w14:paraId="0A7E9701">
      <w:pPr>
        <w:adjustRightInd w:val="0"/>
        <w:snapToGrid w:val="0"/>
        <w:spacing w:line="360" w:lineRule="auto"/>
        <w:ind w:firstLine="420" w:firstLineChars="200"/>
        <w:jc w:val="left"/>
        <w:rPr>
          <w:rFonts w:hint="eastAsia" w:ascii="宋体" w:hAnsi="宋体" w:cs="宋体"/>
          <w:snapToGrid w:val="0"/>
          <w:color w:val="auto"/>
          <w:kern w:val="0"/>
          <w:szCs w:val="21"/>
          <w:highlight w:val="yellow"/>
          <w:lang w:val="en-US" w:eastAsia="zh-CN"/>
        </w:rPr>
      </w:pPr>
      <w:r>
        <w:rPr>
          <w:rFonts w:hint="eastAsia" w:ascii="宋体" w:hAnsi="宋体" w:cs="宋体"/>
          <w:snapToGrid w:val="0"/>
          <w:color w:val="auto"/>
          <w:kern w:val="0"/>
          <w:szCs w:val="21"/>
          <w:highlight w:val="yellow"/>
          <w:lang w:eastAsia="zh-CN"/>
        </w:rPr>
        <w:t>（</w:t>
      </w:r>
      <w:r>
        <w:rPr>
          <w:rFonts w:hint="eastAsia" w:ascii="宋体" w:hAnsi="宋体" w:cs="宋体"/>
          <w:snapToGrid w:val="0"/>
          <w:color w:val="auto"/>
          <w:kern w:val="0"/>
          <w:szCs w:val="21"/>
          <w:highlight w:val="yellow"/>
          <w:lang w:val="en-US" w:eastAsia="zh-CN"/>
        </w:rPr>
        <w:t>2</w:t>
      </w:r>
      <w:r>
        <w:rPr>
          <w:rFonts w:hint="eastAsia" w:ascii="宋体" w:hAnsi="宋体" w:cs="宋体"/>
          <w:snapToGrid w:val="0"/>
          <w:color w:val="auto"/>
          <w:kern w:val="0"/>
          <w:szCs w:val="21"/>
          <w:highlight w:val="yellow"/>
          <w:lang w:eastAsia="zh-CN"/>
        </w:rPr>
        <w:t>）中标后，乙方应在甲方规定的时间内依据招标文件、投标文件、审定通过的设计方案与图纸，计算出该项目的全部费用。招标人将委托第三方造价咨询单位依据招标文件、投标文件、设计方案与图纸、建设工程工程量清单计价规范、乌市当季材料信息表等相关文件审核该项目的全部费用，审核后的工作量、价格作为结算依据，结算金额不得超过合同总价。</w:t>
      </w:r>
    </w:p>
    <w:p w14:paraId="0912714E">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3</w:t>
      </w:r>
      <w:r>
        <w:rPr>
          <w:rFonts w:hint="eastAsia" w:ascii="宋体" w:hAnsi="宋体" w:cs="宋体"/>
          <w:snapToGrid w:val="0"/>
          <w:color w:val="auto"/>
          <w:kern w:val="0"/>
          <w:szCs w:val="21"/>
          <w:highlight w:val="none"/>
        </w:rPr>
        <w:t>）项目完工后，双方应及时办理结算</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若未完成</w:t>
      </w:r>
      <w:r>
        <w:rPr>
          <w:rFonts w:hint="eastAsia" w:ascii="宋体" w:hAnsi="宋体" w:cs="宋体"/>
          <w:snapToGrid w:val="0"/>
          <w:color w:val="auto"/>
          <w:kern w:val="0"/>
          <w:szCs w:val="21"/>
          <w:highlight w:val="none"/>
        </w:rPr>
        <w:t>结算不支付相应项目款项，并不计算利息。</w:t>
      </w:r>
    </w:p>
    <w:p w14:paraId="5B2DE8E1">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eastAsia="宋体" w:cs="宋体"/>
          <w:b w:val="0"/>
          <w:bCs w:val="0"/>
          <w:snapToGrid w:val="0"/>
          <w:color w:val="auto"/>
          <w:kern w:val="0"/>
          <w:sz w:val="21"/>
          <w:szCs w:val="21"/>
          <w:highlight w:val="none"/>
          <w:lang w:val="en-US" w:eastAsia="zh-CN"/>
        </w:rPr>
        <w:t>9.</w:t>
      </w:r>
      <w:r>
        <w:rPr>
          <w:rFonts w:hint="eastAsia" w:ascii="宋体" w:hAnsi="宋体" w:cs="宋体"/>
          <w:snapToGrid w:val="0"/>
          <w:color w:val="auto"/>
          <w:kern w:val="0"/>
          <w:szCs w:val="21"/>
          <w:highlight w:val="none"/>
        </w:rPr>
        <w:t>本项目只允许一次报价，不允许以开标后调整的报价作为评标的依据（</w:t>
      </w:r>
      <w:r>
        <w:rPr>
          <w:rFonts w:hint="eastAsia" w:ascii="宋体" w:hAnsi="宋体" w:cs="宋体"/>
          <w:snapToGrid w:val="0"/>
          <w:color w:val="auto"/>
          <w:kern w:val="0"/>
          <w:szCs w:val="21"/>
          <w:highlight w:val="none"/>
          <w:lang w:val="en-US" w:eastAsia="zh-CN"/>
        </w:rPr>
        <w:t>符合</w:t>
      </w:r>
      <w:r>
        <w:rPr>
          <w:rFonts w:hint="eastAsia" w:ascii="宋体" w:hAnsi="宋体" w:cs="宋体"/>
          <w:snapToGrid w:val="0"/>
          <w:color w:val="auto"/>
          <w:kern w:val="0"/>
          <w:szCs w:val="21"/>
          <w:highlight w:val="none"/>
        </w:rPr>
        <w:t>本采购文件</w:t>
      </w:r>
      <w:r>
        <w:rPr>
          <w:rFonts w:hint="eastAsia" w:ascii="宋体" w:hAnsi="宋体" w:cs="宋体"/>
          <w:snapToGrid w:val="0"/>
          <w:color w:val="auto"/>
          <w:kern w:val="0"/>
          <w:szCs w:val="21"/>
          <w:highlight w:val="none"/>
          <w:lang w:val="en-US" w:eastAsia="zh-CN"/>
        </w:rPr>
        <w:t>中</w:t>
      </w:r>
      <w:r>
        <w:rPr>
          <w:rFonts w:hint="eastAsia" w:ascii="宋体" w:hAnsi="宋体" w:cs="宋体"/>
          <w:snapToGrid w:val="0"/>
          <w:color w:val="auto"/>
          <w:kern w:val="0"/>
          <w:szCs w:val="21"/>
          <w:highlight w:val="none"/>
        </w:rPr>
        <w:t>修正</w:t>
      </w:r>
      <w:r>
        <w:rPr>
          <w:rFonts w:hint="eastAsia" w:ascii="宋体" w:hAnsi="宋体" w:cs="宋体"/>
          <w:snapToGrid w:val="0"/>
          <w:color w:val="auto"/>
          <w:kern w:val="0"/>
          <w:szCs w:val="21"/>
          <w:highlight w:val="none"/>
          <w:lang w:val="en-US" w:eastAsia="zh-CN"/>
        </w:rPr>
        <w:t>原则，</w:t>
      </w:r>
      <w:r>
        <w:rPr>
          <w:rFonts w:hint="eastAsia" w:ascii="宋体" w:hAnsi="宋体" w:cs="宋体"/>
          <w:snapToGrid w:val="0"/>
          <w:color w:val="auto"/>
          <w:kern w:val="0"/>
          <w:szCs w:val="21"/>
          <w:highlight w:val="none"/>
        </w:rPr>
        <w:t>经评标委员会认定或经投标人确认同意的除外）。</w:t>
      </w:r>
    </w:p>
    <w:p w14:paraId="02F94452">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10.</w:t>
      </w:r>
      <w:r>
        <w:rPr>
          <w:rFonts w:hint="eastAsia" w:ascii="宋体" w:hAnsi="宋体" w:cs="宋体"/>
          <w:snapToGrid w:val="0"/>
          <w:color w:val="auto"/>
          <w:kern w:val="0"/>
          <w:szCs w:val="21"/>
          <w:highlight w:val="none"/>
        </w:rPr>
        <w:t>其它需在报价中考虑的因素：</w:t>
      </w:r>
    </w:p>
    <w:p w14:paraId="3AC3711A">
      <w:pPr>
        <w:adjustRightInd w:val="0"/>
        <w:snapToGrid w:val="0"/>
        <w:spacing w:line="360" w:lineRule="auto"/>
        <w:ind w:firstLine="420" w:firstLineChars="200"/>
        <w:jc w:val="left"/>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（1）</w:t>
      </w:r>
      <w:r>
        <w:rPr>
          <w:rFonts w:hint="eastAsia" w:ascii="宋体" w:hAnsi="宋体" w:eastAsia="宋体" w:cs="宋体"/>
          <w:b w:val="0"/>
          <w:bCs w:val="0"/>
          <w:snapToGrid w:val="0"/>
          <w:color w:val="auto"/>
          <w:kern w:val="0"/>
          <w:sz w:val="21"/>
          <w:szCs w:val="21"/>
          <w:highlight w:val="none"/>
          <w:lang w:val="en-US" w:eastAsia="zh-CN"/>
        </w:rPr>
        <w:t>用户需求中明确的需供应商承担的费用均应含在投标总价中；</w:t>
      </w:r>
    </w:p>
    <w:p w14:paraId="2210E5B3">
      <w:pPr>
        <w:adjustRightInd w:val="0"/>
        <w:snapToGrid w:val="0"/>
        <w:spacing w:line="360" w:lineRule="auto"/>
        <w:ind w:firstLine="420" w:firstLineChars="200"/>
        <w:jc w:val="left"/>
        <w:rPr>
          <w:rFonts w:hint="default" w:ascii="宋体" w:hAnsi="宋体" w:eastAsia="宋体" w:cs="宋体"/>
          <w:b w:val="0"/>
          <w:bCs w:val="0"/>
          <w:snapToGrid w:val="0"/>
          <w:color w:val="auto"/>
          <w:kern w:val="0"/>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（2）</w:t>
      </w:r>
      <w:r>
        <w:rPr>
          <w:rFonts w:hint="eastAsia" w:ascii="宋体" w:hAnsi="宋体" w:eastAsia="宋体" w:cs="宋体"/>
          <w:b w:val="0"/>
          <w:bCs w:val="0"/>
          <w:snapToGrid w:val="0"/>
          <w:color w:val="auto"/>
          <w:kern w:val="0"/>
          <w:sz w:val="21"/>
          <w:szCs w:val="21"/>
          <w:highlight w:val="none"/>
          <w:lang w:val="en-US" w:eastAsia="zh-CN"/>
        </w:rPr>
        <w:t>采购文件未明示但投标人认为可能产生的潜在费用支出均需自行考虑并计入投标总价中；</w:t>
      </w:r>
    </w:p>
    <w:p w14:paraId="4B8616B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b w:val="0"/>
          <w:bCs w:val="0"/>
          <w:snapToGrid w:val="0"/>
          <w:color w:val="auto"/>
          <w:kern w:val="0"/>
          <w:sz w:val="21"/>
          <w:szCs w:val="21"/>
          <w:highlight w:val="none"/>
          <w:lang w:val="en-US" w:eastAsia="zh-CN"/>
        </w:rPr>
        <w:t>（3）</w:t>
      </w:r>
      <w:r>
        <w:rPr>
          <w:rFonts w:hint="eastAsia" w:ascii="宋体" w:hAnsi="宋体" w:eastAsia="宋体" w:cs="宋体"/>
          <w:b w:val="0"/>
          <w:bCs w:val="0"/>
          <w:snapToGrid w:val="0"/>
          <w:color w:val="auto"/>
          <w:kern w:val="0"/>
          <w:sz w:val="21"/>
          <w:szCs w:val="21"/>
          <w:highlight w:val="none"/>
          <w:lang w:val="en-US" w:eastAsia="zh-CN"/>
        </w:rPr>
        <w:t>对于没有填报的项目，采购人将不再支付，并均认为已包含在报价内。</w:t>
      </w:r>
    </w:p>
    <w:p w14:paraId="4C73506C">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七、付款方式</w:t>
      </w:r>
    </w:p>
    <w:p w14:paraId="6E0C4DF2">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1.付款人：</w:t>
      </w:r>
      <w:r>
        <w:rPr>
          <w:rFonts w:hint="eastAsia" w:ascii="宋体" w:hAnsi="宋体" w:cs="宋体"/>
          <w:snapToGrid w:val="0"/>
          <w:color w:val="auto"/>
          <w:kern w:val="0"/>
          <w:szCs w:val="21"/>
          <w:highlight w:val="none"/>
        </w:rPr>
        <w:t>乌鲁木齐市自然资源局</w:t>
      </w:r>
      <w:r>
        <w:rPr>
          <w:rFonts w:ascii="宋体" w:hAnsi="宋体" w:cs="宋体"/>
          <w:snapToGrid w:val="0"/>
          <w:color w:val="auto"/>
          <w:kern w:val="0"/>
          <w:szCs w:val="21"/>
          <w:highlight w:val="none"/>
        </w:rPr>
        <w:t>（通过国库集中支付）。</w:t>
      </w:r>
    </w:p>
    <w:p w14:paraId="4986745C">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2.付款方式：</w:t>
      </w:r>
    </w:p>
    <w:p w14:paraId="2F2AAD8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（1）合同签订</w:t>
      </w:r>
      <w:r>
        <w:rPr>
          <w:rFonts w:hint="eastAsia" w:ascii="宋体" w:hAnsi="宋体" w:cs="宋体"/>
          <w:snapToGrid w:val="0"/>
          <w:color w:val="auto"/>
          <w:kern w:val="0"/>
          <w:szCs w:val="21"/>
          <w:highlight w:val="none"/>
          <w:lang w:val="en-US" w:eastAsia="zh-CN"/>
        </w:rPr>
        <w:t>当日，设计人员进场，合同签订5日内，施工人员进场。施工人员进场后，</w:t>
      </w:r>
      <w:r>
        <w:rPr>
          <w:rFonts w:ascii="宋体" w:hAnsi="宋体" w:cs="宋体"/>
          <w:snapToGrid w:val="0"/>
          <w:color w:val="auto"/>
          <w:kern w:val="0"/>
          <w:szCs w:val="21"/>
          <w:highlight w:val="none"/>
        </w:rPr>
        <w:t>采购人在</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个工作日内支付至合同金额的</w:t>
      </w:r>
      <w:r>
        <w:rPr>
          <w:rFonts w:hint="eastAsia" w:ascii="宋体" w:hAnsi="宋体" w:cs="宋体"/>
          <w:snapToGrid w:val="0"/>
          <w:color w:val="auto"/>
          <w:kern w:val="0"/>
          <w:szCs w:val="21"/>
          <w:highlight w:val="none"/>
          <w:lang w:val="en-US" w:eastAsia="zh-CN"/>
        </w:rPr>
        <w:t>10</w:t>
      </w:r>
      <w:r>
        <w:rPr>
          <w:rFonts w:ascii="宋体" w:hAnsi="宋体" w:cs="宋体"/>
          <w:snapToGrid w:val="0"/>
          <w:color w:val="auto"/>
          <w:kern w:val="0"/>
          <w:szCs w:val="21"/>
          <w:highlight w:val="none"/>
        </w:rPr>
        <w:t>%；</w:t>
      </w:r>
    </w:p>
    <w:p w14:paraId="1A50AABD">
      <w:pPr>
        <w:adjustRightInd w:val="0"/>
        <w:snapToGrid w:val="0"/>
        <w:spacing w:line="360" w:lineRule="auto"/>
        <w:ind w:firstLine="420" w:firstLineChars="200"/>
        <w:jc w:val="left"/>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2</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合同签订后15日内，中标人完成设计方案深化（中标人同步开展其余可并行工作），设计方案经审定后，采购人在10个工作日内支付至合同金额的30%；</w:t>
      </w:r>
    </w:p>
    <w:p w14:paraId="4AE2904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3</w:t>
      </w:r>
      <w:r>
        <w:rPr>
          <w:rFonts w:ascii="宋体" w:hAnsi="宋体" w:cs="宋体"/>
          <w:snapToGrid w:val="0"/>
          <w:color w:val="auto"/>
          <w:kern w:val="0"/>
          <w:szCs w:val="21"/>
          <w:highlight w:val="none"/>
        </w:rPr>
        <w:t>）项目</w:t>
      </w:r>
      <w:r>
        <w:rPr>
          <w:rFonts w:hint="eastAsia" w:ascii="宋体" w:hAnsi="宋体" w:cs="宋体"/>
          <w:snapToGrid w:val="0"/>
          <w:color w:val="auto"/>
          <w:kern w:val="0"/>
          <w:szCs w:val="21"/>
          <w:highlight w:val="none"/>
          <w:lang w:val="en-US" w:eastAsia="zh-CN"/>
        </w:rPr>
        <w:t>展陈平面部分</w:t>
      </w:r>
      <w:r>
        <w:rPr>
          <w:rFonts w:ascii="宋体" w:hAnsi="宋体" w:cs="宋体"/>
          <w:snapToGrid w:val="0"/>
          <w:color w:val="auto"/>
          <w:kern w:val="0"/>
          <w:szCs w:val="21"/>
          <w:highlight w:val="none"/>
        </w:rPr>
        <w:t>完成</w:t>
      </w:r>
      <w:r>
        <w:rPr>
          <w:rFonts w:hint="eastAsia" w:ascii="宋体" w:hAnsi="宋体" w:cs="宋体"/>
          <w:snapToGrid w:val="0"/>
          <w:color w:val="auto"/>
          <w:kern w:val="0"/>
          <w:szCs w:val="21"/>
          <w:highlight w:val="none"/>
          <w:lang w:val="en-US" w:eastAsia="zh-CN"/>
        </w:rPr>
        <w:t>且</w:t>
      </w:r>
      <w:r>
        <w:rPr>
          <w:rFonts w:hint="eastAsia" w:ascii="宋体" w:hAnsi="宋体" w:cs="宋体"/>
          <w:snapToGrid w:val="0"/>
          <w:color w:val="auto"/>
          <w:kern w:val="0"/>
          <w:szCs w:val="21"/>
          <w:highlight w:val="none"/>
          <w:lang w:eastAsia="zh-CN"/>
        </w:rPr>
        <w:t>城市沙盘</w:t>
      </w:r>
      <w:r>
        <w:rPr>
          <w:rFonts w:ascii="宋体" w:hAnsi="宋体" w:cs="宋体"/>
          <w:snapToGrid w:val="0"/>
          <w:color w:val="auto"/>
          <w:kern w:val="0"/>
          <w:szCs w:val="21"/>
          <w:highlight w:val="none"/>
        </w:rPr>
        <w:t>展项制作</w:t>
      </w:r>
      <w:r>
        <w:rPr>
          <w:rFonts w:hint="eastAsia" w:ascii="宋体" w:hAnsi="宋体" w:cs="宋体"/>
          <w:snapToGrid w:val="0"/>
          <w:color w:val="auto"/>
          <w:kern w:val="0"/>
          <w:szCs w:val="21"/>
          <w:highlight w:val="none"/>
          <w:lang w:val="en-US" w:eastAsia="zh-CN"/>
        </w:rPr>
        <w:t>安装初步验收</w:t>
      </w:r>
      <w:r>
        <w:rPr>
          <w:rFonts w:ascii="宋体" w:hAnsi="宋体" w:cs="宋体"/>
          <w:snapToGrid w:val="0"/>
          <w:color w:val="auto"/>
          <w:kern w:val="0"/>
          <w:szCs w:val="21"/>
          <w:highlight w:val="none"/>
        </w:rPr>
        <w:t>合格后，采购人在</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个工作日内支付至合同金额的50%；</w:t>
      </w:r>
    </w:p>
    <w:p w14:paraId="1EFA4AF7">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4</w:t>
      </w:r>
      <w:r>
        <w:rPr>
          <w:rFonts w:ascii="宋体" w:hAnsi="宋体" w:cs="宋体"/>
          <w:snapToGrid w:val="0"/>
          <w:color w:val="auto"/>
          <w:kern w:val="0"/>
          <w:szCs w:val="21"/>
          <w:highlight w:val="none"/>
        </w:rPr>
        <w:t>）项目整体完工后，由采购人组织初步验收。验收合格后，采购人在</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个工作日内支付至合同金额的70%；</w:t>
      </w:r>
    </w:p>
    <w:p w14:paraId="72785C9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5</w:t>
      </w:r>
      <w:r>
        <w:rPr>
          <w:rFonts w:ascii="宋体" w:hAnsi="宋体" w:cs="宋体"/>
          <w:snapToGrid w:val="0"/>
          <w:color w:val="auto"/>
          <w:kern w:val="0"/>
          <w:szCs w:val="21"/>
          <w:highlight w:val="none"/>
        </w:rPr>
        <w:t>）不少于6个月的试运行阶段结束且项目整体运行稳定，通过由采购人组织的正式验收后，中标人提交完整结算资料至</w:t>
      </w:r>
      <w:r>
        <w:rPr>
          <w:rFonts w:hint="eastAsia" w:ascii="宋体" w:hAnsi="宋体" w:cs="宋体"/>
          <w:snapToGrid w:val="0"/>
          <w:color w:val="auto"/>
          <w:kern w:val="0"/>
          <w:szCs w:val="21"/>
          <w:highlight w:val="none"/>
        </w:rPr>
        <w:t>乌鲁木齐市财政资金综合评价中心</w:t>
      </w:r>
      <w:r>
        <w:rPr>
          <w:rFonts w:ascii="宋体" w:hAnsi="宋体" w:cs="宋体"/>
          <w:snapToGrid w:val="0"/>
          <w:color w:val="auto"/>
          <w:kern w:val="0"/>
          <w:szCs w:val="21"/>
          <w:highlight w:val="none"/>
        </w:rPr>
        <w:t>进行结算评审。</w:t>
      </w:r>
      <w:r>
        <w:rPr>
          <w:rFonts w:hint="eastAsia" w:ascii="宋体" w:hAnsi="宋体" w:cs="宋体"/>
          <w:snapToGrid w:val="0"/>
          <w:color w:val="auto"/>
          <w:kern w:val="0"/>
          <w:szCs w:val="21"/>
          <w:highlight w:val="none"/>
        </w:rPr>
        <w:t>乌鲁木齐市财政资金综合评价中心</w:t>
      </w:r>
      <w:r>
        <w:rPr>
          <w:rFonts w:ascii="宋体" w:hAnsi="宋体" w:cs="宋体"/>
          <w:snapToGrid w:val="0"/>
          <w:color w:val="auto"/>
          <w:kern w:val="0"/>
          <w:szCs w:val="21"/>
          <w:highlight w:val="none"/>
        </w:rPr>
        <w:t>出具评审报告后，</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个工作日内支付至评审报告审定金额的95%；</w:t>
      </w:r>
    </w:p>
    <w:p w14:paraId="468EF0A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6</w:t>
      </w:r>
      <w:r>
        <w:rPr>
          <w:rFonts w:ascii="宋体" w:hAnsi="宋体" w:cs="宋体"/>
          <w:snapToGrid w:val="0"/>
          <w:color w:val="auto"/>
          <w:kern w:val="0"/>
          <w:szCs w:val="21"/>
          <w:highlight w:val="none"/>
        </w:rPr>
        <w:t>）余款在本项目整体质保期满且无质量问题、售后服务纠纷、以及其他经济法律纠纷后</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个工作日内付清（不计息）。</w:t>
      </w:r>
    </w:p>
    <w:p w14:paraId="556A148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3.支付说明：</w:t>
      </w:r>
    </w:p>
    <w:p w14:paraId="6B0B69A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（1）采购人根据财政拨付资金情况支付合同款项，若由于财政资金不到位或者审批流程导致采购人未能按照合同约定向中标方付款的，不视为采购人违约。</w:t>
      </w:r>
    </w:p>
    <w:p w14:paraId="09F8E16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r>
        <w:rPr>
          <w:rFonts w:ascii="宋体" w:hAnsi="宋体" w:cs="宋体"/>
          <w:snapToGrid w:val="0"/>
          <w:color w:val="auto"/>
          <w:kern w:val="0"/>
          <w:szCs w:val="21"/>
          <w:highlight w:val="none"/>
        </w:rPr>
        <w:t>在采购人每次付款前，中标人须向采购人提供合法足额且经采购人认证通过的增值税发票，否则采购人有权顺延付款，且不承担任何违约责任。</w:t>
      </w:r>
    </w:p>
    <w:p w14:paraId="78E91D3B">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八、其他需要说明的事项</w:t>
      </w:r>
    </w:p>
    <w:p w14:paraId="351116BA">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本项目可将非主体、非关键性工作进行分包，具体指消防、暖通、钢结构部分的改造工作。投标人需将上述改造工作分包的，应当在投标文件中载明分包承担主体，分包承担主体应当具备相应资质条件且不得再次分包。投标文件中须提供分包主体相应的资质证书，以及与其签订的分包意向协议书。投标文件中未说明的，分包应按照国家、</w:t>
      </w:r>
      <w:r>
        <w:rPr>
          <w:rFonts w:hint="eastAsia" w:ascii="宋体" w:hAnsi="宋体" w:cs="宋体"/>
          <w:snapToGrid w:val="0"/>
          <w:color w:val="auto"/>
          <w:kern w:val="0"/>
          <w:szCs w:val="21"/>
          <w:highlight w:val="none"/>
        </w:rPr>
        <w:t>自治区</w:t>
      </w:r>
      <w:r>
        <w:rPr>
          <w:rFonts w:ascii="宋体" w:hAnsi="宋体" w:cs="宋体"/>
          <w:snapToGrid w:val="0"/>
          <w:color w:val="auto"/>
          <w:kern w:val="0"/>
          <w:szCs w:val="21"/>
          <w:highlight w:val="none"/>
        </w:rPr>
        <w:t>、市有关规定执行，且经采购人同意。中标人对拟委托给分包单位的业务负总责。</w:t>
      </w:r>
    </w:p>
    <w:p w14:paraId="4E58989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2.布展施工期间，未经采购人同意，中标人不得修改设计方案。采购人可依据工作需要，要求中标人作进展情况汇报并提交阶段性成果，同时采购人可根据工作需要对局部布展设计方案进行调整。</w:t>
      </w:r>
    </w:p>
    <w:p w14:paraId="10000FA0">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3.本着节俭办馆的原则，根据资产管理需要，投标人在满足展陈需要且能确保展陈效果的前提下，考虑对展馆原有的软硬件进行合理利旧</w:t>
      </w:r>
      <w:r>
        <w:rPr>
          <w:rFonts w:hint="eastAsia" w:ascii="宋体" w:hAnsi="宋体" w:cs="宋体"/>
          <w:snapToGrid w:val="0"/>
          <w:color w:val="auto"/>
          <w:kern w:val="0"/>
          <w:szCs w:val="21"/>
          <w:highlight w:val="none"/>
        </w:rPr>
        <w:t>，按照乌鲁木齐市规划馆更新可利旧统计清单（详见附件6）中设备情况，对可利旧设施进行再利用。后期投标人须根据设计深化方案，结合实际情况进一步明确利旧设备及利旧方案。</w:t>
      </w:r>
    </w:p>
    <w:p w14:paraId="48CE83D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4.本项目全过程纳入监理单位、采购人的管理范围，中标人在此过程中须服从上述单位的管理协调。</w:t>
      </w:r>
    </w:p>
    <w:p w14:paraId="0429C81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5.如发现中标人有提供虚假证明资料，将取消中标人资格。</w:t>
      </w:r>
    </w:p>
    <w:p w14:paraId="387BCEF5">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6.以上所有要求投标人在报价时应充分考虑，全部包含在本次报价内。</w:t>
      </w:r>
    </w:p>
    <w:p w14:paraId="50A89955">
      <w:pPr>
        <w:adjustRightInd w:val="0"/>
        <w:snapToGrid w:val="0"/>
        <w:spacing w:line="360" w:lineRule="auto"/>
        <w:ind w:firstLine="422" w:firstLineChars="200"/>
        <w:jc w:val="left"/>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九、附件（另册）</w:t>
      </w:r>
    </w:p>
    <w:p w14:paraId="536BA265">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本项目提供的附件资料如下：（</w:t>
      </w:r>
      <w:r>
        <w:rPr>
          <w:rFonts w:hint="eastAsia" w:ascii="宋体" w:hAnsi="宋体" w:cs="宋体"/>
          <w:snapToGrid w:val="0"/>
          <w:color w:val="auto"/>
          <w:kern w:val="0"/>
          <w:szCs w:val="21"/>
          <w:highlight w:val="none"/>
          <w:lang w:val="en-US" w:eastAsia="zh-CN"/>
        </w:rPr>
        <w:t>按投标须知前附表要求前往代理机构</w:t>
      </w:r>
      <w:r>
        <w:rPr>
          <w:rFonts w:hint="eastAsia" w:ascii="宋体" w:hAnsi="宋体" w:cs="宋体"/>
          <w:snapToGrid w:val="0"/>
          <w:color w:val="auto"/>
          <w:kern w:val="0"/>
          <w:szCs w:val="21"/>
          <w:highlight w:val="none"/>
        </w:rPr>
        <w:t>拷贝）</w:t>
      </w:r>
    </w:p>
    <w:p w14:paraId="3ADAC7B2">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附件1.规划馆建筑平面图-CAD版本；</w:t>
      </w:r>
    </w:p>
    <w:p w14:paraId="3EB66F65">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附件2.规划馆建筑平面图PDF版本；</w:t>
      </w:r>
    </w:p>
    <w:p w14:paraId="2EB5B17B">
      <w:pPr>
        <w:adjustRightInd w:val="0"/>
        <w:snapToGrid w:val="0"/>
        <w:spacing w:line="360" w:lineRule="auto"/>
        <w:ind w:left="420" w:leftChars="200" w:right="-88" w:rightChars="-42" w:firstLine="0" w:firstLineChars="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附件3.原1-2层丝绸之路经济带核心区建设展示馆及3-4层城市规划展示馆设计方案-PDF版本；</w:t>
      </w:r>
    </w:p>
    <w:p w14:paraId="279E3F5C">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附件4.《乌鲁木齐市国土空间总体规划（2021-2035年）》公示版；</w:t>
      </w:r>
    </w:p>
    <w:p w14:paraId="5BD909BA">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附件5.《乌鲁木齐市城市高质量发展战略规划》公示版；</w:t>
      </w:r>
    </w:p>
    <w:p w14:paraId="16DFDCAA">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附件6.《乌鲁木齐市城市高质量发展建设规划》公示版；</w:t>
      </w:r>
    </w:p>
    <w:p w14:paraId="52D3AA22">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附件7.《乌鲁木齐市规划馆现有设备初步统计清单》；</w:t>
      </w:r>
    </w:p>
    <w:p w14:paraId="2B70D130">
      <w:pPr>
        <w:adjustRightInd w:val="0"/>
        <w:snapToGrid w:val="0"/>
        <w:spacing w:line="360" w:lineRule="auto"/>
        <w:ind w:firstLine="420" w:firstLineChars="200"/>
        <w:jc w:val="left"/>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附件8.《乌鲁木齐市城市规划馆展陈更新大纲》；</w:t>
      </w:r>
    </w:p>
    <w:p w14:paraId="0AAF4AEA">
      <w:pPr>
        <w:adjustRightInd w:val="0"/>
        <w:snapToGrid w:val="0"/>
        <w:spacing w:line="360" w:lineRule="auto"/>
        <w:ind w:firstLine="420" w:firstLineChars="200"/>
        <w:jc w:val="left"/>
        <w:rPr>
          <w:rFonts w:ascii="楷体" w:eastAsia="楷体"/>
          <w:color w:val="auto"/>
          <w:kern w:val="0"/>
          <w:sz w:val="24"/>
          <w:highlight w:val="none"/>
        </w:rPr>
      </w:pPr>
      <w:r>
        <w:rPr>
          <w:rFonts w:hint="eastAsia" w:ascii="宋体" w:hAnsi="宋体" w:cs="宋体"/>
          <w:snapToGrid w:val="0"/>
          <w:color w:val="auto"/>
          <w:kern w:val="0"/>
          <w:szCs w:val="21"/>
          <w:highlight w:val="none"/>
        </w:rPr>
        <w:t>附件9.其他布展所需资料。</w:t>
      </w:r>
      <w:r>
        <w:rPr>
          <w:color w:val="auto"/>
          <w:highlight w:val="none"/>
        </w:rPr>
        <w:br w:type="page"/>
      </w:r>
    </w:p>
    <w:p w14:paraId="7E16C242">
      <w:pPr>
        <w:pStyle w:val="56"/>
        <w:rPr>
          <w:color w:val="auto"/>
          <w:highlight w:val="none"/>
        </w:rPr>
      </w:pPr>
    </w:p>
    <w:bookmarkEnd w:id="71"/>
    <w:bookmarkEnd w:id="72"/>
    <w:bookmarkEnd w:id="73"/>
    <w:p w14:paraId="695DA29F">
      <w:pPr>
        <w:pStyle w:val="57"/>
        <w:ind w:firstLine="0" w:firstLineChars="0"/>
        <w:jc w:val="center"/>
        <w:outlineLvl w:val="0"/>
        <w:rPr>
          <w:rFonts w:ascii="宋体" w:hAnsi="宋体" w:cs="宋体"/>
          <w:b/>
          <w:color w:val="auto"/>
          <w:sz w:val="30"/>
          <w:szCs w:val="30"/>
          <w:highlight w:val="none"/>
        </w:rPr>
      </w:pPr>
      <w:bookmarkStart w:id="77" w:name="_Toc242012824"/>
      <w:bookmarkStart w:id="78" w:name="_Toc85359513"/>
      <w:bookmarkStart w:id="79" w:name="_Toc19650"/>
      <w:bookmarkStart w:id="80" w:name="_Toc25387"/>
      <w:bookmarkStart w:id="81" w:name="_Toc6704"/>
      <w:r>
        <w:rPr>
          <w:rFonts w:hint="eastAsia" w:ascii="宋体" w:hAnsi="宋体" w:cs="宋体"/>
          <w:b/>
          <w:color w:val="auto"/>
          <w:sz w:val="30"/>
          <w:szCs w:val="30"/>
          <w:highlight w:val="none"/>
        </w:rPr>
        <w:t>第四部分  合同条款</w:t>
      </w:r>
      <w:bookmarkEnd w:id="77"/>
      <w:bookmarkEnd w:id="78"/>
      <w:bookmarkEnd w:id="79"/>
      <w:bookmarkEnd w:id="80"/>
      <w:bookmarkEnd w:id="81"/>
    </w:p>
    <w:p w14:paraId="71111872">
      <w:pPr>
        <w:spacing w:line="360" w:lineRule="auto"/>
        <w:jc w:val="center"/>
        <w:rPr>
          <w:rFonts w:hint="eastAsia" w:ascii="宋体" w:hAnsi="宋体"/>
          <w:color w:val="auto"/>
          <w:sz w:val="24"/>
          <w:highlight w:val="none"/>
        </w:rPr>
      </w:pPr>
      <w:bookmarkStart w:id="82" w:name="_Toc303756409"/>
      <w:bookmarkStart w:id="83" w:name="_Toc44759276"/>
      <w:bookmarkStart w:id="84" w:name="_Toc359934606"/>
      <w:bookmarkStart w:id="85" w:name="_Toc208886773"/>
      <w:bookmarkStart w:id="86" w:name="_Toc15813256"/>
      <w:bookmarkStart w:id="87" w:name="_Toc44759088"/>
      <w:bookmarkStart w:id="88" w:name="_Toc54251337"/>
      <w:bookmarkStart w:id="89" w:name="_Toc49316616"/>
      <w:bookmarkStart w:id="90" w:name="_Toc283042124"/>
      <w:bookmarkStart w:id="91" w:name="_Toc515526204"/>
      <w:bookmarkStart w:id="92" w:name="_Toc15805939"/>
      <w:bookmarkStart w:id="93" w:name="_Toc49316615"/>
      <w:bookmarkStart w:id="94" w:name="_Toc48894943"/>
      <w:bookmarkStart w:id="95" w:name="_Toc44759089"/>
      <w:bookmarkStart w:id="96" w:name="_Toc44759277"/>
      <w:bookmarkStart w:id="97" w:name="_Hlk534720381"/>
      <w:bookmarkStart w:id="98" w:name="_Toc249760790"/>
      <w:bookmarkStart w:id="99" w:name="_Toc251566661"/>
    </w:p>
    <w:p w14:paraId="19B0FFB1">
      <w:pPr>
        <w:jc w:val="center"/>
        <w:rPr>
          <w:rFonts w:hint="eastAsia" w:ascii="宋体" w:hAnsi="宋体" w:eastAsia="宋体" w:cs="宋体"/>
          <w:b/>
          <w:color w:val="auto"/>
          <w:kern w:val="2"/>
          <w:sz w:val="30"/>
          <w:szCs w:val="30"/>
          <w:highlight w:val="none"/>
          <w:lang w:val="en-US" w:eastAsia="zh-CN" w:bidi="ar-SA"/>
        </w:rPr>
      </w:pPr>
      <w:r>
        <w:rPr>
          <w:rFonts w:hint="eastAsia" w:ascii="宋体" w:hAnsi="宋体" w:cs="宋体"/>
          <w:b/>
          <w:color w:val="auto"/>
          <w:kern w:val="2"/>
          <w:sz w:val="30"/>
          <w:szCs w:val="30"/>
          <w:highlight w:val="none"/>
          <w:lang w:val="en-US" w:eastAsia="zh-CN" w:bidi="ar-SA"/>
        </w:rPr>
        <w:t xml:space="preserve">第一部分  </w:t>
      </w:r>
      <w:r>
        <w:rPr>
          <w:rFonts w:hint="eastAsia" w:ascii="宋体" w:hAnsi="宋体" w:eastAsia="宋体" w:cs="宋体"/>
          <w:b/>
          <w:color w:val="auto"/>
          <w:kern w:val="2"/>
          <w:sz w:val="30"/>
          <w:szCs w:val="30"/>
          <w:highlight w:val="none"/>
          <w:lang w:val="en-US" w:eastAsia="zh-CN" w:bidi="ar-SA"/>
        </w:rPr>
        <w:t>政府采购合同协议书</w:t>
      </w:r>
    </w:p>
    <w:p w14:paraId="72C01C63">
      <w:pPr>
        <w:keepNext/>
        <w:keepLines/>
        <w:spacing w:line="360" w:lineRule="auto"/>
        <w:jc w:val="center"/>
        <w:outlineLvl w:val="1"/>
        <w:rPr>
          <w:rFonts w:ascii="Times New Roman" w:hAnsi="Times New Roman" w:eastAsia="仿宋" w:cs="Times New Roman"/>
          <w:color w:val="auto"/>
          <w:kern w:val="0"/>
          <w:szCs w:val="21"/>
          <w:highlight w:val="none"/>
        </w:rPr>
      </w:pPr>
      <w:r>
        <w:rPr>
          <w:rFonts w:ascii="Times New Roman" w:hAnsi="Times New Roman" w:eastAsia="仿宋" w:cs="Times New Roman"/>
          <w:color w:val="auto"/>
          <w:kern w:val="0"/>
          <w:szCs w:val="21"/>
          <w:highlight w:val="none"/>
        </w:rPr>
        <w:t xml:space="preserve"> </w:t>
      </w:r>
    </w:p>
    <w:p w14:paraId="01407472">
      <w:pPr>
        <w:widowControl/>
        <w:ind w:firstLine="5250" w:firstLineChars="25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政府采购合同编号：</w:t>
      </w:r>
    </w:p>
    <w:p w14:paraId="1CD8B2DC">
      <w:pPr>
        <w:widowControl/>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采购人（全称）：</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lang w:eastAsia="zh-CN"/>
        </w:rPr>
        <w:t>乌鲁木齐市自然资源局</w:t>
      </w:r>
      <w:r>
        <w:rPr>
          <w:rFonts w:hint="eastAsia" w:asciiTheme="minorEastAsia" w:hAnsiTheme="minorEastAsia" w:eastAsiaTheme="minorEastAsia" w:cstheme="minorEastAsia"/>
          <w:color w:val="auto"/>
          <w:kern w:val="0"/>
          <w:sz w:val="21"/>
          <w:szCs w:val="21"/>
          <w:highlight w:val="none"/>
          <w:u w:val="single"/>
        </w:rPr>
        <w:t>　</w:t>
      </w:r>
      <w:r>
        <w:rPr>
          <w:rFonts w:hint="eastAsia" w:asciiTheme="minorEastAsia" w:hAnsiTheme="minorEastAsia" w:eastAsiaTheme="minorEastAsia" w:cstheme="minorEastAsia"/>
          <w:color w:val="auto"/>
          <w:kern w:val="0"/>
          <w:sz w:val="21"/>
          <w:szCs w:val="21"/>
          <w:highlight w:val="none"/>
        </w:rPr>
        <w:t>（甲方）</w:t>
      </w:r>
    </w:p>
    <w:p w14:paraId="788CA643">
      <w:pPr>
        <w:widowControl/>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中标（成交）供应商（全称）：</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rPr>
        <w:t>（乙方）</w:t>
      </w:r>
    </w:p>
    <w:p w14:paraId="436780E4">
      <w:pPr>
        <w:widowControl/>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shd w:val="clear" w:color="auto" w:fill="FEFFFF"/>
        </w:rPr>
        <w:t>为了保护甲、乙双方合法权益，根据《中华人民共和国民法典》《中华人民共和国政府采购法》及其他有关法律、法规、规章，双方签订本合同协议书。采购人与中标（成交）供应商应当根据合同的约定依法履行合同义务。政府采购合同的履行、违约责任和解决争议的方法等适用《中华人民共和国民法典》。</w:t>
      </w:r>
    </w:p>
    <w:p w14:paraId="17D06CE3">
      <w:pPr>
        <w:widowControl/>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1.项目管理信息 </w:t>
      </w:r>
    </w:p>
    <w:p w14:paraId="135EE061">
      <w:pPr>
        <w:widowControl/>
        <w:jc w:val="left"/>
        <w:rPr>
          <w:rFonts w:hint="eastAsia" w:asciiTheme="minorEastAsia" w:hAnsiTheme="minorEastAsia" w:eastAsiaTheme="minorEastAsia" w:cstheme="minorEastAsia"/>
          <w:color w:val="auto"/>
          <w:kern w:val="0"/>
          <w:sz w:val="21"/>
          <w:szCs w:val="21"/>
          <w:highlight w:val="none"/>
          <w:u w:val="single"/>
        </w:rPr>
      </w:pPr>
      <w:r>
        <w:rPr>
          <w:rFonts w:hint="eastAsia" w:asciiTheme="minorEastAsia" w:hAnsiTheme="minorEastAsia" w:eastAsiaTheme="minorEastAsia" w:cstheme="minorEastAsia"/>
          <w:color w:val="auto"/>
          <w:kern w:val="0"/>
          <w:sz w:val="21"/>
          <w:szCs w:val="21"/>
          <w:highlight w:val="none"/>
        </w:rPr>
        <w:t>（1）采购方式：</w:t>
      </w:r>
      <w:r>
        <w:rPr>
          <w:rFonts w:hint="eastAsia" w:asciiTheme="minorEastAsia" w:hAnsiTheme="minorEastAsia" w:eastAsiaTheme="minorEastAsia" w:cstheme="minorEastAsia"/>
          <w:color w:val="auto"/>
          <w:kern w:val="0"/>
          <w:sz w:val="21"/>
          <w:szCs w:val="21"/>
          <w:highlight w:val="none"/>
          <w:u w:val="single"/>
        </w:rPr>
        <w:t xml:space="preserve"> 公开招标 </w:t>
      </w:r>
    </w:p>
    <w:p w14:paraId="62AB76A5">
      <w:pPr>
        <w:widowControl/>
        <w:jc w:val="left"/>
        <w:rPr>
          <w:rFonts w:hint="eastAsia" w:asciiTheme="minorEastAsia" w:hAnsiTheme="minorEastAsia" w:eastAsiaTheme="minorEastAsia" w:cstheme="minorEastAsia"/>
          <w:color w:val="auto"/>
          <w:kern w:val="0"/>
          <w:sz w:val="21"/>
          <w:szCs w:val="21"/>
          <w:highlight w:val="none"/>
          <w:u w:val="single"/>
        </w:rPr>
      </w:pPr>
      <w:r>
        <w:rPr>
          <w:rFonts w:hint="eastAsia" w:asciiTheme="minorEastAsia" w:hAnsiTheme="minorEastAsia" w:eastAsiaTheme="minorEastAsia" w:cstheme="minorEastAsia"/>
          <w:color w:val="auto"/>
          <w:kern w:val="0"/>
          <w:sz w:val="21"/>
          <w:szCs w:val="21"/>
          <w:highlight w:val="none"/>
        </w:rPr>
        <w:t>（2）项目名称：</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lang w:eastAsia="zh-CN"/>
        </w:rPr>
        <w:t>乌鲁木齐市城市规划馆展陈更新服务项目</w:t>
      </w:r>
      <w:r>
        <w:rPr>
          <w:rFonts w:hint="eastAsia" w:asciiTheme="minorEastAsia" w:hAnsiTheme="minorEastAsia" w:eastAsiaTheme="minorEastAsia" w:cstheme="minorEastAsia"/>
          <w:color w:val="auto"/>
          <w:kern w:val="0"/>
          <w:sz w:val="21"/>
          <w:szCs w:val="21"/>
          <w:highlight w:val="none"/>
          <w:u w:val="single"/>
        </w:rPr>
        <w:t xml:space="preserve"> </w:t>
      </w:r>
    </w:p>
    <w:p w14:paraId="1306814C">
      <w:pPr>
        <w:widowControl/>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（3）采购计划编号：</w:t>
      </w:r>
      <w:r>
        <w:rPr>
          <w:rFonts w:hint="eastAsia" w:asciiTheme="minorEastAsia" w:hAnsiTheme="minorEastAsia" w:eastAsiaTheme="minorEastAsia" w:cstheme="minorEastAsia"/>
          <w:color w:val="auto"/>
          <w:kern w:val="0"/>
          <w:sz w:val="21"/>
          <w:szCs w:val="21"/>
          <w:highlight w:val="none"/>
          <w:u w:val="single"/>
          <w:lang w:val="en-US" w:eastAsia="zh-CN"/>
        </w:rPr>
        <w:t xml:space="preserve">                    </w:t>
      </w:r>
      <w:r>
        <w:rPr>
          <w:rFonts w:hint="eastAsia" w:asciiTheme="minorEastAsia" w:hAnsiTheme="minorEastAsia" w:eastAsiaTheme="minorEastAsia" w:cstheme="minorEastAsia"/>
          <w:color w:val="auto"/>
          <w:kern w:val="0"/>
          <w:sz w:val="21"/>
          <w:szCs w:val="21"/>
          <w:highlight w:val="none"/>
          <w:u w:val="single"/>
        </w:rPr>
        <w:t xml:space="preserve"> </w:t>
      </w:r>
    </w:p>
    <w:p w14:paraId="1BA6C38D">
      <w:pPr>
        <w:widowControl/>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2.合同标的及金额</w:t>
      </w:r>
      <w:r>
        <w:rPr>
          <w:rFonts w:hint="eastAsia" w:asciiTheme="minorEastAsia" w:hAnsiTheme="minorEastAsia" w:eastAsiaTheme="minorEastAsia" w:cstheme="minorEastAsia"/>
          <w:color w:val="auto"/>
          <w:kern w:val="0"/>
          <w:sz w:val="21"/>
          <w:szCs w:val="21"/>
          <w:highlight w:val="none"/>
        </w:rPr>
        <w:t> </w:t>
      </w:r>
    </w:p>
    <w:tbl>
      <w:tblPr>
        <w:tblStyle w:val="43"/>
        <w:tblW w:w="9280" w:type="dxa"/>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150" w:type="dxa"/>
          <w:left w:w="150" w:type="dxa"/>
          <w:bottom w:w="150" w:type="dxa"/>
          <w:right w:w="150" w:type="dxa"/>
        </w:tblCellMar>
      </w:tblPr>
      <w:tblGrid>
        <w:gridCol w:w="778"/>
        <w:gridCol w:w="1167"/>
        <w:gridCol w:w="996"/>
        <w:gridCol w:w="3779"/>
        <w:gridCol w:w="858"/>
        <w:gridCol w:w="800"/>
        <w:gridCol w:w="902"/>
      </w:tblGrid>
      <w:tr w14:paraId="565E4C54">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150" w:type="dxa"/>
            <w:left w:w="150" w:type="dxa"/>
            <w:bottom w:w="150" w:type="dxa"/>
            <w:right w:w="150" w:type="dxa"/>
          </w:tblCellMar>
        </w:tblPrEx>
        <w:tc>
          <w:tcPr>
            <w:tcW w:w="778" w:type="dxa"/>
            <w:tcBorders>
              <w:top w:val="single" w:color="auto" w:sz="6" w:space="0"/>
              <w:left w:val="single" w:color="auto" w:sz="6" w:space="0"/>
              <w:bottom w:val="single" w:color="auto" w:sz="6" w:space="0"/>
              <w:right w:val="single" w:color="auto" w:sz="6" w:space="0"/>
            </w:tcBorders>
            <w:noWrap w:val="0"/>
            <w:vAlign w:val="center"/>
          </w:tcPr>
          <w:p w14:paraId="610C9451">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序号</w:t>
            </w:r>
          </w:p>
        </w:tc>
        <w:tc>
          <w:tcPr>
            <w:tcW w:w="1167" w:type="dxa"/>
            <w:tcBorders>
              <w:top w:val="single" w:color="auto" w:sz="6" w:space="0"/>
              <w:left w:val="single" w:color="auto" w:sz="6" w:space="0"/>
              <w:bottom w:val="single" w:color="auto" w:sz="6" w:space="0"/>
              <w:right w:val="single" w:color="auto" w:sz="6" w:space="0"/>
            </w:tcBorders>
            <w:noWrap w:val="0"/>
            <w:vAlign w:val="center"/>
          </w:tcPr>
          <w:p w14:paraId="0812969E">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标的名称</w:t>
            </w:r>
          </w:p>
        </w:tc>
        <w:tc>
          <w:tcPr>
            <w:tcW w:w="996" w:type="dxa"/>
            <w:tcBorders>
              <w:top w:val="single" w:color="auto" w:sz="6" w:space="0"/>
              <w:left w:val="single" w:color="auto" w:sz="6" w:space="0"/>
              <w:bottom w:val="single" w:color="auto" w:sz="6" w:space="0"/>
              <w:right w:val="single" w:color="auto" w:sz="6" w:space="0"/>
            </w:tcBorders>
            <w:noWrap w:val="0"/>
            <w:vAlign w:val="center"/>
          </w:tcPr>
          <w:p w14:paraId="178DCF96">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政府采购品目</w:t>
            </w:r>
          </w:p>
        </w:tc>
        <w:tc>
          <w:tcPr>
            <w:tcW w:w="3779" w:type="dxa"/>
            <w:tcBorders>
              <w:top w:val="single" w:color="auto" w:sz="6" w:space="0"/>
              <w:left w:val="single" w:color="auto" w:sz="6" w:space="0"/>
              <w:bottom w:val="single" w:color="auto" w:sz="6" w:space="0"/>
              <w:right w:val="single" w:color="auto" w:sz="6" w:space="0"/>
            </w:tcBorders>
            <w:noWrap w:val="0"/>
            <w:vAlign w:val="center"/>
          </w:tcPr>
          <w:p w14:paraId="410354B8">
            <w:pPr>
              <w:widowControl/>
              <w:jc w:val="center"/>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项目内容</w:t>
            </w:r>
          </w:p>
        </w:tc>
        <w:tc>
          <w:tcPr>
            <w:tcW w:w="858" w:type="dxa"/>
            <w:tcBorders>
              <w:top w:val="single" w:color="auto" w:sz="6" w:space="0"/>
              <w:left w:val="single" w:color="auto" w:sz="6" w:space="0"/>
              <w:bottom w:val="single" w:color="auto" w:sz="6" w:space="0"/>
              <w:right w:val="single" w:color="auto" w:sz="6" w:space="0"/>
            </w:tcBorders>
            <w:noWrap w:val="0"/>
            <w:vAlign w:val="center"/>
          </w:tcPr>
          <w:p w14:paraId="1455CEC7">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数量单位</w:t>
            </w:r>
          </w:p>
        </w:tc>
        <w:tc>
          <w:tcPr>
            <w:tcW w:w="800" w:type="dxa"/>
            <w:tcBorders>
              <w:top w:val="single" w:color="auto" w:sz="6" w:space="0"/>
              <w:left w:val="single" w:color="auto" w:sz="6" w:space="0"/>
              <w:bottom w:val="single" w:color="auto" w:sz="6" w:space="0"/>
              <w:right w:val="single" w:color="auto" w:sz="6" w:space="0"/>
            </w:tcBorders>
            <w:noWrap w:val="0"/>
            <w:vAlign w:val="center"/>
          </w:tcPr>
          <w:p w14:paraId="6FFBAA53">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数量</w:t>
            </w:r>
          </w:p>
        </w:tc>
        <w:tc>
          <w:tcPr>
            <w:tcW w:w="902" w:type="dxa"/>
            <w:tcBorders>
              <w:top w:val="single" w:color="auto" w:sz="6" w:space="0"/>
              <w:left w:val="single" w:color="auto" w:sz="6" w:space="0"/>
              <w:bottom w:val="single" w:color="auto" w:sz="6" w:space="0"/>
              <w:right w:val="single" w:color="auto" w:sz="6" w:space="0"/>
            </w:tcBorders>
            <w:noWrap w:val="0"/>
            <w:vAlign w:val="center"/>
          </w:tcPr>
          <w:p w14:paraId="7F680753">
            <w:pPr>
              <w:widowControl/>
              <w:ind w:left="-199" w:leftChars="-95" w:right="-355" w:rightChars="-169"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总价(元)</w:t>
            </w:r>
          </w:p>
        </w:tc>
      </w:tr>
      <w:tr w14:paraId="14E18E43">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150" w:type="dxa"/>
            <w:left w:w="150" w:type="dxa"/>
            <w:bottom w:w="150" w:type="dxa"/>
            <w:right w:w="150" w:type="dxa"/>
          </w:tblCellMar>
        </w:tblPrEx>
        <w:trPr>
          <w:trHeight w:val="1560" w:hRule="atLeast"/>
        </w:trPr>
        <w:tc>
          <w:tcPr>
            <w:tcW w:w="778" w:type="dxa"/>
            <w:tcBorders>
              <w:top w:val="single" w:color="auto" w:sz="6" w:space="0"/>
              <w:left w:val="single" w:color="auto" w:sz="6" w:space="0"/>
              <w:bottom w:val="single" w:color="auto" w:sz="6" w:space="0"/>
              <w:right w:val="single" w:color="auto" w:sz="6" w:space="0"/>
            </w:tcBorders>
            <w:noWrap w:val="0"/>
            <w:vAlign w:val="center"/>
          </w:tcPr>
          <w:p w14:paraId="35B2D5DF">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p>
        </w:tc>
        <w:tc>
          <w:tcPr>
            <w:tcW w:w="1167" w:type="dxa"/>
            <w:tcBorders>
              <w:top w:val="single" w:color="auto" w:sz="6" w:space="0"/>
              <w:left w:val="single" w:color="auto" w:sz="6" w:space="0"/>
              <w:bottom w:val="single" w:color="auto" w:sz="6" w:space="0"/>
              <w:right w:val="single" w:color="auto" w:sz="6" w:space="0"/>
            </w:tcBorders>
            <w:noWrap w:val="0"/>
            <w:vAlign w:val="center"/>
          </w:tcPr>
          <w:p w14:paraId="667CF69F">
            <w:pPr>
              <w:widowControl/>
              <w:ind w:right="-84" w:rightChars="-40"/>
              <w:jc w:val="left"/>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乌鲁木齐市城市规划馆展陈更新服务项目</w:t>
            </w:r>
          </w:p>
        </w:tc>
        <w:tc>
          <w:tcPr>
            <w:tcW w:w="996" w:type="dxa"/>
            <w:tcBorders>
              <w:top w:val="single" w:color="auto" w:sz="6" w:space="0"/>
              <w:left w:val="single" w:color="auto" w:sz="6" w:space="0"/>
              <w:bottom w:val="single" w:color="auto" w:sz="6" w:space="0"/>
              <w:right w:val="single" w:color="auto" w:sz="6" w:space="0"/>
            </w:tcBorders>
            <w:noWrap w:val="0"/>
            <w:vAlign w:val="center"/>
          </w:tcPr>
          <w:p w14:paraId="16F6DDB4">
            <w:pPr>
              <w:widowControl/>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其他专业技术服务</w:t>
            </w:r>
          </w:p>
        </w:tc>
        <w:tc>
          <w:tcPr>
            <w:tcW w:w="3779" w:type="dxa"/>
            <w:tcBorders>
              <w:top w:val="single" w:color="auto" w:sz="6" w:space="0"/>
              <w:left w:val="single" w:color="auto" w:sz="6" w:space="0"/>
              <w:bottom w:val="single" w:color="auto" w:sz="6" w:space="0"/>
              <w:right w:val="single" w:color="auto" w:sz="6" w:space="0"/>
            </w:tcBorders>
            <w:noWrap w:val="0"/>
            <w:vAlign w:val="center"/>
          </w:tcPr>
          <w:p w14:paraId="09E46BA1">
            <w:pPr>
              <w:widowControl/>
              <w:jc w:val="left"/>
              <w:rPr>
                <w:rFonts w:hint="eastAsia" w:asciiTheme="minorEastAsia" w:hAnsiTheme="minorEastAsia" w:eastAsiaTheme="minorEastAsia" w:cstheme="minorEastAsia"/>
                <w:color w:val="auto"/>
                <w:kern w:val="0"/>
                <w:sz w:val="21"/>
                <w:szCs w:val="21"/>
                <w:highlight w:val="none"/>
              </w:rPr>
            </w:pPr>
            <w:r>
              <w:rPr>
                <w:rFonts w:hint="eastAsia" w:ascii="宋体" w:hAnsi="宋体" w:eastAsia="宋体" w:cs="Arial"/>
                <w:color w:val="auto"/>
                <w:szCs w:val="21"/>
                <w:highlight w:val="none"/>
                <w:lang w:eastAsia="zh-CN"/>
              </w:rPr>
              <w:t>按照</w:t>
            </w:r>
            <w:r>
              <w:rPr>
                <w:rFonts w:hint="eastAsia" w:ascii="宋体" w:hAnsi="宋体" w:eastAsia="宋体" w:cs="Arial"/>
                <w:color w:val="auto"/>
                <w:szCs w:val="21"/>
                <w:highlight w:val="none"/>
                <w:lang w:val="en-US" w:eastAsia="zh-CN"/>
              </w:rPr>
              <w:t>乌鲁木齐</w:t>
            </w:r>
            <w:r>
              <w:rPr>
                <w:rFonts w:hint="eastAsia" w:ascii="宋体" w:hAnsi="宋体" w:eastAsia="宋体" w:cs="Arial"/>
                <w:color w:val="auto"/>
                <w:szCs w:val="21"/>
                <w:highlight w:val="none"/>
                <w:lang w:eastAsia="zh-CN"/>
              </w:rPr>
              <w:t>市委、市政府重要工作部署，结合《乌鲁木齐市城市规划馆展陈更新大纲》，组织开展乌鲁木齐市城市规划馆展陈更新服务项目，主要包括</w:t>
            </w:r>
            <w:r>
              <w:rPr>
                <w:rFonts w:hint="eastAsia" w:ascii="宋体" w:hAnsi="宋体" w:eastAsia="宋体" w:cs="Arial"/>
                <w:color w:val="auto"/>
                <w:szCs w:val="21"/>
                <w:highlight w:val="none"/>
                <w:lang w:val="en-US" w:eastAsia="zh-CN"/>
              </w:rPr>
              <w:t>但不限于</w:t>
            </w:r>
            <w:r>
              <w:rPr>
                <w:rFonts w:hint="eastAsia" w:ascii="宋体" w:hAnsi="宋体" w:eastAsia="宋体" w:cs="Arial"/>
                <w:color w:val="auto"/>
                <w:szCs w:val="21"/>
                <w:highlight w:val="none"/>
                <w:lang w:eastAsia="zh-CN"/>
              </w:rPr>
              <w:t>展览内容组织、方案设计、施工图设计（包括深化设计及现场服务等）、视频影片制作、沙盘模型展品制作更新和替换、布展实施、装饰装修工程（包含各项专业工程）</w:t>
            </w:r>
            <w:r>
              <w:rPr>
                <w:rFonts w:hint="eastAsia" w:ascii="宋体" w:hAnsi="宋体" w:cs="Arial"/>
                <w:color w:val="auto"/>
                <w:szCs w:val="21"/>
                <w:highlight w:val="none"/>
                <w:lang w:val="en-US" w:eastAsia="zh-CN"/>
              </w:rPr>
              <w:t>、消防</w:t>
            </w:r>
            <w:r>
              <w:rPr>
                <w:rFonts w:hint="eastAsia" w:ascii="宋体" w:hAnsi="宋体" w:eastAsia="宋体" w:cs="Arial"/>
                <w:color w:val="auto"/>
                <w:szCs w:val="21"/>
                <w:highlight w:val="none"/>
                <w:lang w:eastAsia="zh-CN"/>
              </w:rPr>
              <w:t>、软硬件设施设备采购安装，试运行、竣工验收、售后服务（含质保期内的保修服务）等设计施工</w:t>
            </w:r>
            <w:r>
              <w:rPr>
                <w:rFonts w:hint="eastAsia" w:ascii="宋体" w:hAnsi="宋体" w:cs="Arial"/>
                <w:color w:val="auto"/>
                <w:szCs w:val="21"/>
                <w:highlight w:val="none"/>
                <w:lang w:val="en-US" w:eastAsia="zh-CN"/>
              </w:rPr>
              <w:t>采购</w:t>
            </w:r>
            <w:r>
              <w:rPr>
                <w:rFonts w:hint="eastAsia" w:ascii="宋体" w:hAnsi="宋体" w:eastAsia="宋体" w:cs="Arial"/>
                <w:color w:val="auto"/>
                <w:szCs w:val="21"/>
                <w:highlight w:val="none"/>
                <w:lang w:eastAsia="zh-CN"/>
              </w:rPr>
              <w:t>一体化的全部工作。具体详见采购文件第三章项目技术规范和服务要求。</w:t>
            </w:r>
          </w:p>
        </w:tc>
        <w:tc>
          <w:tcPr>
            <w:tcW w:w="858" w:type="dxa"/>
            <w:tcBorders>
              <w:top w:val="single" w:color="auto" w:sz="6" w:space="0"/>
              <w:left w:val="single" w:color="auto" w:sz="6" w:space="0"/>
              <w:bottom w:val="single" w:color="auto" w:sz="6" w:space="0"/>
              <w:right w:val="single" w:color="auto" w:sz="6" w:space="0"/>
            </w:tcBorders>
            <w:noWrap w:val="0"/>
            <w:vAlign w:val="center"/>
          </w:tcPr>
          <w:p w14:paraId="6ADF5750">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p>
        </w:tc>
        <w:tc>
          <w:tcPr>
            <w:tcW w:w="800" w:type="dxa"/>
            <w:tcBorders>
              <w:top w:val="single" w:color="auto" w:sz="6" w:space="0"/>
              <w:left w:val="single" w:color="auto" w:sz="6" w:space="0"/>
              <w:bottom w:val="single" w:color="auto" w:sz="6" w:space="0"/>
              <w:right w:val="single" w:color="auto" w:sz="6" w:space="0"/>
            </w:tcBorders>
            <w:noWrap w:val="0"/>
            <w:vAlign w:val="center"/>
          </w:tcPr>
          <w:p w14:paraId="48657E0E">
            <w:pPr>
              <w:widowControl/>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项</w:t>
            </w:r>
          </w:p>
        </w:tc>
        <w:tc>
          <w:tcPr>
            <w:tcW w:w="902" w:type="dxa"/>
            <w:tcBorders>
              <w:top w:val="single" w:color="auto" w:sz="6" w:space="0"/>
              <w:left w:val="single" w:color="auto" w:sz="6" w:space="0"/>
              <w:bottom w:val="single" w:color="auto" w:sz="6" w:space="0"/>
              <w:right w:val="single" w:color="auto" w:sz="6" w:space="0"/>
            </w:tcBorders>
            <w:noWrap w:val="0"/>
            <w:vAlign w:val="center"/>
          </w:tcPr>
          <w:p w14:paraId="7E4FD837">
            <w:pPr>
              <w:widowControl/>
              <w:jc w:val="left"/>
              <w:rPr>
                <w:rFonts w:hint="eastAsia" w:asciiTheme="minorEastAsia" w:hAnsiTheme="minorEastAsia" w:eastAsiaTheme="minorEastAsia" w:cstheme="minorEastAsia"/>
                <w:color w:val="auto"/>
                <w:kern w:val="0"/>
                <w:sz w:val="21"/>
                <w:szCs w:val="21"/>
                <w:highlight w:val="none"/>
              </w:rPr>
            </w:pPr>
          </w:p>
        </w:tc>
      </w:tr>
      <w:tr w14:paraId="4C1A3358">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150" w:type="dxa"/>
            <w:left w:w="150" w:type="dxa"/>
            <w:bottom w:w="150" w:type="dxa"/>
            <w:right w:w="150" w:type="dxa"/>
          </w:tblCellMar>
        </w:tblPrEx>
        <w:tc>
          <w:tcPr>
            <w:tcW w:w="9280" w:type="dxa"/>
            <w:gridSpan w:val="7"/>
            <w:tcBorders>
              <w:top w:val="single" w:color="auto" w:sz="6" w:space="0"/>
              <w:left w:val="single" w:color="auto" w:sz="6" w:space="0"/>
              <w:bottom w:val="single" w:color="auto" w:sz="6" w:space="0"/>
              <w:right w:val="single" w:color="auto" w:sz="6" w:space="0"/>
            </w:tcBorders>
            <w:noWrap w:val="0"/>
            <w:vAlign w:val="center"/>
          </w:tcPr>
          <w:p w14:paraId="1039E867">
            <w:pPr>
              <w:widowControl/>
              <w:spacing w:line="450" w:lineRule="atLeas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合计金额小写：</w:t>
            </w:r>
            <w:r>
              <w:rPr>
                <w:rFonts w:hint="eastAsia" w:asciiTheme="minorEastAsia" w:hAnsiTheme="minorEastAsia" w:eastAsiaTheme="minorEastAsia" w:cstheme="minorEastAsia"/>
                <w:color w:val="auto"/>
                <w:kern w:val="0"/>
                <w:sz w:val="21"/>
                <w:szCs w:val="21"/>
                <w:highlight w:val="none"/>
                <w:u w:val="single"/>
              </w:rPr>
              <w:t>                     </w:t>
            </w:r>
            <w:r>
              <w:rPr>
                <w:rFonts w:hint="eastAsia" w:asciiTheme="minorEastAsia" w:hAnsiTheme="minorEastAsia" w:eastAsiaTheme="minorEastAsia" w:cstheme="minorEastAsia"/>
                <w:color w:val="auto"/>
                <w:kern w:val="0"/>
                <w:sz w:val="21"/>
                <w:szCs w:val="21"/>
                <w:highlight w:val="none"/>
              </w:rPr>
              <w:t>元</w:t>
            </w:r>
          </w:p>
          <w:p w14:paraId="7826BD16">
            <w:pPr>
              <w:widowControl/>
              <w:spacing w:line="450" w:lineRule="atLeas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合计金额大写：</w:t>
            </w:r>
            <w:r>
              <w:rPr>
                <w:rFonts w:hint="eastAsia" w:asciiTheme="minorEastAsia" w:hAnsiTheme="minorEastAsia" w:eastAsiaTheme="minorEastAsia" w:cstheme="minorEastAsia"/>
                <w:color w:val="auto"/>
                <w:kern w:val="0"/>
                <w:sz w:val="21"/>
                <w:szCs w:val="21"/>
                <w:highlight w:val="none"/>
                <w:u w:val="single"/>
              </w:rPr>
              <w:t xml:space="preserve">                     </w:t>
            </w:r>
          </w:p>
        </w:tc>
      </w:tr>
    </w:tbl>
    <w:p w14:paraId="1E45E306">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合同标的及金额明细：</w:t>
      </w:r>
    </w:p>
    <w:p w14:paraId="5A925160">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2.</w:t>
      </w:r>
      <w:r>
        <w:rPr>
          <w:rFonts w:hint="eastAsia" w:asciiTheme="minorEastAsia" w:hAnsiTheme="minorEastAsia" w:eastAsiaTheme="minorEastAsia" w:cstheme="minorEastAsia"/>
          <w:color w:val="auto"/>
          <w:kern w:val="0"/>
          <w:sz w:val="21"/>
          <w:szCs w:val="21"/>
          <w:highlight w:val="none"/>
        </w:rPr>
        <w:t>1</w:t>
      </w:r>
      <w:r>
        <w:rPr>
          <w:rFonts w:hint="eastAsia" w:asciiTheme="minorEastAsia" w:hAnsiTheme="minorEastAsia" w:eastAsiaTheme="minorEastAsia" w:cstheme="minorEastAsia"/>
          <w:color w:val="auto"/>
          <w:kern w:val="0"/>
          <w:sz w:val="21"/>
          <w:szCs w:val="21"/>
          <w:highlight w:val="none"/>
          <w:lang w:val="en-US" w:eastAsia="zh-CN"/>
        </w:rPr>
        <w:t>合同价格应</w:t>
      </w:r>
      <w:r>
        <w:rPr>
          <w:rFonts w:hint="eastAsia" w:asciiTheme="minorEastAsia" w:hAnsiTheme="minorEastAsia" w:eastAsiaTheme="minorEastAsia" w:cstheme="minorEastAsia"/>
          <w:color w:val="auto"/>
          <w:kern w:val="0"/>
          <w:sz w:val="21"/>
          <w:szCs w:val="21"/>
          <w:highlight w:val="none"/>
        </w:rPr>
        <w:t>包括</w:t>
      </w:r>
      <w:r>
        <w:rPr>
          <w:rFonts w:hint="eastAsia" w:asciiTheme="minorEastAsia" w:hAnsiTheme="minorEastAsia" w:eastAsiaTheme="minorEastAsia" w:cstheme="minorEastAsia"/>
          <w:color w:val="auto"/>
          <w:kern w:val="0"/>
          <w:sz w:val="21"/>
          <w:szCs w:val="21"/>
          <w:highlight w:val="none"/>
          <w:lang w:val="en-US" w:eastAsia="zh-CN"/>
        </w:rPr>
        <w:t>但不限于</w:t>
      </w:r>
      <w:r>
        <w:rPr>
          <w:rFonts w:hint="eastAsia" w:asciiTheme="minorEastAsia" w:hAnsiTheme="minorEastAsia" w:eastAsiaTheme="minorEastAsia" w:cstheme="minorEastAsia"/>
          <w:color w:val="auto"/>
          <w:kern w:val="0"/>
          <w:sz w:val="21"/>
          <w:szCs w:val="21"/>
          <w:highlight w:val="none"/>
        </w:rPr>
        <w:t>展览内容组织、项目设计（包括方案设计、深化设计、施工图设计及审查，以及后续的相关服务所需费用，设计图纸均达到国家规定的深度要求，并且满足采购人及相关职能部门的要求）、装饰装修、影片制作、数字硬软件、情景展示服务及配套设施设备、地图审图、材料购买、施工、安装、运输、辅料、调试、验收、保修（缺陷修复）、管理、保险、赶工措施、质量检测、税费（包含双方印花税）、材料检测、环境检测、消防检测、软件测评等全部费用。项目中若发生类似知识产权归属、软件、专利费、翻译、专家咨询与评审等费用，应当一并包含在</w:t>
      </w:r>
      <w:r>
        <w:rPr>
          <w:rFonts w:hint="eastAsia" w:asciiTheme="minorEastAsia" w:hAnsiTheme="minorEastAsia" w:eastAsiaTheme="minorEastAsia" w:cstheme="minorEastAsia"/>
          <w:color w:val="auto"/>
          <w:kern w:val="0"/>
          <w:sz w:val="21"/>
          <w:szCs w:val="21"/>
          <w:highlight w:val="none"/>
          <w:lang w:val="en-US" w:eastAsia="zh-CN"/>
        </w:rPr>
        <w:t>合同价</w:t>
      </w:r>
      <w:r>
        <w:rPr>
          <w:rFonts w:hint="eastAsia" w:asciiTheme="minorEastAsia" w:hAnsiTheme="minorEastAsia" w:eastAsiaTheme="minorEastAsia" w:cstheme="minorEastAsia"/>
          <w:color w:val="auto"/>
          <w:kern w:val="0"/>
          <w:sz w:val="21"/>
          <w:szCs w:val="21"/>
          <w:highlight w:val="none"/>
        </w:rPr>
        <w:t>中。采购人不再承担以外的其它任何费用。</w:t>
      </w:r>
    </w:p>
    <w:p w14:paraId="026F5B2E">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w:t>
      </w:r>
      <w:r>
        <w:rPr>
          <w:rFonts w:hint="eastAsia" w:asciiTheme="minorEastAsia" w:hAnsiTheme="minorEastAsia" w:eastAsiaTheme="minorEastAsia" w:cstheme="minorEastAsia"/>
          <w:color w:val="auto"/>
          <w:kern w:val="0"/>
          <w:sz w:val="21"/>
          <w:szCs w:val="21"/>
          <w:highlight w:val="none"/>
          <w:lang w:val="en-US" w:eastAsia="zh-CN"/>
        </w:rPr>
        <w:t>2.2</w:t>
      </w:r>
      <w:r>
        <w:rPr>
          <w:rFonts w:hint="eastAsia" w:asciiTheme="minorEastAsia" w:hAnsiTheme="minorEastAsia" w:eastAsiaTheme="minorEastAsia" w:cstheme="minorEastAsia"/>
          <w:color w:val="auto"/>
          <w:kern w:val="0"/>
          <w:sz w:val="21"/>
          <w:szCs w:val="21"/>
          <w:highlight w:val="none"/>
        </w:rPr>
        <w:t>项目结算</w:t>
      </w:r>
    </w:p>
    <w:p w14:paraId="7588C0EE">
      <w:pPr>
        <w:widowControl/>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本项目采用暂定合同总价，最终的结算价不得超过合同总价，按照最终审定的方案予以计量。投标人应充分调查了解该项目并考虑所产生的风险，结算价不因工作量和项目的变化及其他因素而高于合同总价，方案深化、实际施工过程中发生的调整、修改、变更、返工等增加的工作量均不予计量。合同总价款不予上调，最终以乌鲁木齐市财政资金综合评价中心出具的结算报告为准。</w:t>
      </w:r>
    </w:p>
    <w:p w14:paraId="54C2E450">
      <w:pPr>
        <w:widowControl/>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投标人在编制投标文件时，需要根据项目的要求和实际现场情况，详细列出所需的设备、材料以及所有的人工、管理、财务等费用。如果因中标人疏忽导致了任何项目所需费用的遗漏，均由中标人自行承担，采购人不会再支付额外的费用。</w:t>
      </w:r>
    </w:p>
    <w:p w14:paraId="63E94588">
      <w:pPr>
        <w:widowControl/>
        <w:spacing w:line="400" w:lineRule="exact"/>
        <w:ind w:firstLine="420" w:firstLineChars="200"/>
        <w:jc w:val="left"/>
        <w:rPr>
          <w:rFonts w:hint="eastAsia" w:asciiTheme="minorEastAsia" w:hAnsiTheme="minorEastAsia" w:eastAsiaTheme="minorEastAsia" w:cstheme="minorEastAsia"/>
          <w:b w:val="0"/>
          <w:bCs w:val="0"/>
          <w:color w:val="auto"/>
          <w:kern w:val="0"/>
          <w:sz w:val="21"/>
          <w:szCs w:val="21"/>
          <w:highlight w:val="yellow"/>
        </w:rPr>
      </w:pPr>
      <w:r>
        <w:rPr>
          <w:rFonts w:hint="eastAsia" w:asciiTheme="minorEastAsia" w:hAnsiTheme="minorEastAsia" w:eastAsiaTheme="minorEastAsia" w:cstheme="minorEastAsia"/>
          <w:b w:val="0"/>
          <w:bCs w:val="0"/>
          <w:color w:val="auto"/>
          <w:kern w:val="0"/>
          <w:sz w:val="21"/>
          <w:szCs w:val="21"/>
          <w:highlight w:val="yellow"/>
        </w:rPr>
        <w:t>（2）乙方应在甲方规定的时间内依据招标文件、投标文件、审定通过的设计方案与图纸，计算出该项目的全部费用。</w:t>
      </w:r>
      <w:r>
        <w:rPr>
          <w:rFonts w:hint="eastAsia" w:asciiTheme="minorEastAsia" w:hAnsiTheme="minorEastAsia" w:eastAsiaTheme="minorEastAsia" w:cstheme="minorEastAsia"/>
          <w:b w:val="0"/>
          <w:bCs w:val="0"/>
          <w:color w:val="auto"/>
          <w:kern w:val="0"/>
          <w:sz w:val="21"/>
          <w:szCs w:val="21"/>
          <w:highlight w:val="yellow"/>
          <w:lang w:val="en-US" w:eastAsia="zh-CN"/>
        </w:rPr>
        <w:t>甲方</w:t>
      </w:r>
      <w:r>
        <w:rPr>
          <w:rFonts w:hint="eastAsia" w:asciiTheme="minorEastAsia" w:hAnsiTheme="minorEastAsia" w:eastAsiaTheme="minorEastAsia" w:cstheme="minorEastAsia"/>
          <w:b w:val="0"/>
          <w:bCs w:val="0"/>
          <w:color w:val="auto"/>
          <w:kern w:val="0"/>
          <w:sz w:val="21"/>
          <w:szCs w:val="21"/>
          <w:highlight w:val="yellow"/>
        </w:rPr>
        <w:t>将委托第三方造价咨询单位依据招标文件、投标文件、设计方案与图纸、建设工程工程量清单计价规范</w:t>
      </w:r>
      <w:r>
        <w:rPr>
          <w:rFonts w:hint="eastAsia" w:asciiTheme="minorEastAsia" w:hAnsiTheme="minorEastAsia" w:eastAsiaTheme="minorEastAsia" w:cstheme="minorEastAsia"/>
          <w:b w:val="0"/>
          <w:bCs w:val="0"/>
          <w:color w:val="auto"/>
          <w:kern w:val="0"/>
          <w:sz w:val="21"/>
          <w:szCs w:val="21"/>
          <w:highlight w:val="yellow"/>
          <w:lang w:eastAsia="zh-CN"/>
        </w:rPr>
        <w:t>、</w:t>
      </w:r>
      <w:r>
        <w:rPr>
          <w:rFonts w:hint="eastAsia" w:asciiTheme="minorEastAsia" w:hAnsiTheme="minorEastAsia" w:eastAsiaTheme="minorEastAsia" w:cstheme="minorEastAsia"/>
          <w:b w:val="0"/>
          <w:bCs w:val="0"/>
          <w:color w:val="auto"/>
          <w:kern w:val="0"/>
          <w:sz w:val="21"/>
          <w:szCs w:val="21"/>
          <w:highlight w:val="yellow"/>
        </w:rPr>
        <w:t>乌市当季材料信息表等相关文件审核该项目的全部费用，审核后的工作量、价格作为结算依据，结算金额不得超过合同总价。</w:t>
      </w:r>
    </w:p>
    <w:p w14:paraId="181813E2">
      <w:pPr>
        <w:widowControl/>
        <w:spacing w:line="400" w:lineRule="exact"/>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（3）项目完工后，双方应及时办理结算。若未完成结算不支付相应项目款项，并不计算利息。</w:t>
      </w:r>
      <w:r>
        <w:rPr>
          <w:rFonts w:hint="eastAsia" w:asciiTheme="minorEastAsia" w:hAnsiTheme="minorEastAsia" w:eastAsiaTheme="minorEastAsia" w:cstheme="minorEastAsia"/>
          <w:b/>
          <w:bCs/>
          <w:color w:val="auto"/>
          <w:kern w:val="0"/>
          <w:sz w:val="21"/>
          <w:szCs w:val="21"/>
          <w:highlight w:val="none"/>
        </w:rPr>
        <w:t>3.履行期限及地点和方式 </w:t>
      </w:r>
    </w:p>
    <w:p w14:paraId="790CE7B1">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3.1 合同履行期限：直至合同质保期满</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项目工期：最晚于2025年7月31日前完工并具备初步验收条件。</w:t>
      </w:r>
    </w:p>
    <w:p w14:paraId="75085C77">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3.2 履行地点：</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lang w:val="en-US" w:eastAsia="zh-CN"/>
        </w:rPr>
        <w:t>乌鲁木齐市城市规划馆</w:t>
      </w:r>
      <w:r>
        <w:rPr>
          <w:rFonts w:hint="eastAsia" w:asciiTheme="minorEastAsia" w:hAnsiTheme="minorEastAsia" w:eastAsiaTheme="minorEastAsia" w:cstheme="minorEastAsia"/>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rPr>
        <w:t> </w:t>
      </w:r>
    </w:p>
    <w:p w14:paraId="7EAEEC19">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3.3 履行方式：（合同的履行方式主要包括运输方式、交货方式等）：采取设计施工</w:t>
      </w:r>
      <w:r>
        <w:rPr>
          <w:rFonts w:hint="eastAsia" w:asciiTheme="minorEastAsia" w:hAnsiTheme="minorEastAsia" w:eastAsiaTheme="minorEastAsia" w:cstheme="minorEastAsia"/>
          <w:color w:val="auto"/>
          <w:kern w:val="0"/>
          <w:sz w:val="21"/>
          <w:szCs w:val="21"/>
          <w:highlight w:val="none"/>
          <w:lang w:val="en-US" w:eastAsia="zh-CN"/>
        </w:rPr>
        <w:t>采购</w:t>
      </w:r>
      <w:r>
        <w:rPr>
          <w:rFonts w:hint="eastAsia" w:asciiTheme="minorEastAsia" w:hAnsiTheme="minorEastAsia" w:eastAsiaTheme="minorEastAsia" w:cstheme="minorEastAsia"/>
          <w:color w:val="auto"/>
          <w:kern w:val="0"/>
          <w:sz w:val="21"/>
          <w:szCs w:val="21"/>
          <w:highlight w:val="none"/>
        </w:rPr>
        <w:t>一体化对乌鲁木齐市城市规划馆</w:t>
      </w:r>
      <w:r>
        <w:rPr>
          <w:rFonts w:hint="eastAsia" w:asciiTheme="minorEastAsia" w:hAnsiTheme="minorEastAsia" w:eastAsiaTheme="minorEastAsia" w:cstheme="minorEastAsia"/>
          <w:color w:val="auto"/>
          <w:kern w:val="0"/>
          <w:sz w:val="21"/>
          <w:szCs w:val="21"/>
          <w:highlight w:val="none"/>
          <w:lang w:val="en-US" w:eastAsia="zh-CN"/>
        </w:rPr>
        <w:t>进</w:t>
      </w:r>
      <w:r>
        <w:rPr>
          <w:rFonts w:hint="eastAsia" w:asciiTheme="minorEastAsia" w:hAnsiTheme="minorEastAsia" w:eastAsiaTheme="minorEastAsia" w:cstheme="minorEastAsia"/>
          <w:color w:val="auto"/>
          <w:kern w:val="0"/>
          <w:sz w:val="21"/>
          <w:szCs w:val="21"/>
          <w:highlight w:val="none"/>
        </w:rPr>
        <w:t>行全面系统的</w:t>
      </w:r>
      <w:r>
        <w:rPr>
          <w:rFonts w:hint="eastAsia" w:asciiTheme="minorEastAsia" w:hAnsiTheme="minorEastAsia" w:eastAsiaTheme="minorEastAsia" w:cstheme="minorEastAsia"/>
          <w:color w:val="auto"/>
          <w:kern w:val="0"/>
          <w:sz w:val="21"/>
          <w:szCs w:val="21"/>
          <w:highlight w:val="none"/>
          <w:lang w:eastAsia="zh-CN"/>
        </w:rPr>
        <w:t>更新改造</w:t>
      </w:r>
      <w:r>
        <w:rPr>
          <w:rFonts w:hint="eastAsia" w:asciiTheme="minorEastAsia" w:hAnsiTheme="minorEastAsia" w:eastAsiaTheme="minorEastAsia" w:cstheme="minorEastAsia"/>
          <w:color w:val="auto"/>
          <w:kern w:val="0"/>
          <w:sz w:val="21"/>
          <w:szCs w:val="21"/>
          <w:highlight w:val="none"/>
        </w:rPr>
        <w:t>。</w:t>
      </w:r>
    </w:p>
    <w:p w14:paraId="453E6BFE">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4.结算方式</w:t>
      </w:r>
      <w:r>
        <w:rPr>
          <w:rFonts w:hint="eastAsia" w:asciiTheme="minorEastAsia" w:hAnsiTheme="minorEastAsia" w:eastAsiaTheme="minorEastAsia" w:cstheme="minorEastAsia"/>
          <w:color w:val="auto"/>
          <w:kern w:val="0"/>
          <w:sz w:val="21"/>
          <w:szCs w:val="21"/>
          <w:highlight w:val="none"/>
        </w:rPr>
        <w:t> </w:t>
      </w:r>
    </w:p>
    <w:p w14:paraId="74D8780B">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4.1 资金支付方式： </w:t>
      </w:r>
    </w:p>
    <w:p w14:paraId="7DB42029">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付款人：</w:t>
      </w:r>
      <w:r>
        <w:rPr>
          <w:rFonts w:hint="eastAsia" w:asciiTheme="minorEastAsia" w:hAnsiTheme="minorEastAsia" w:eastAsiaTheme="minorEastAsia" w:cstheme="minorEastAsia"/>
          <w:color w:val="auto"/>
          <w:kern w:val="0"/>
          <w:sz w:val="21"/>
          <w:szCs w:val="21"/>
          <w:highlight w:val="none"/>
          <w:lang w:val="en-US" w:eastAsia="zh-CN"/>
        </w:rPr>
        <w:t>乌鲁木齐市自然资源局</w:t>
      </w:r>
      <w:r>
        <w:rPr>
          <w:rFonts w:hint="eastAsia" w:asciiTheme="minorEastAsia" w:hAnsiTheme="minorEastAsia" w:eastAsiaTheme="minorEastAsia" w:cstheme="minorEastAsia"/>
          <w:color w:val="auto"/>
          <w:kern w:val="0"/>
          <w:sz w:val="21"/>
          <w:szCs w:val="21"/>
          <w:highlight w:val="none"/>
        </w:rPr>
        <w:t>（通过国库集中支付）。</w:t>
      </w:r>
    </w:p>
    <w:p w14:paraId="51B1DC19">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付款方式：</w:t>
      </w:r>
    </w:p>
    <w:p w14:paraId="4E2B8469">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（1）合同签订</w:t>
      </w:r>
      <w:r>
        <w:rPr>
          <w:rFonts w:hint="eastAsia" w:ascii="宋体" w:hAnsi="宋体" w:cs="宋体"/>
          <w:snapToGrid w:val="0"/>
          <w:color w:val="auto"/>
          <w:kern w:val="0"/>
          <w:szCs w:val="21"/>
          <w:highlight w:val="none"/>
          <w:lang w:val="en-US" w:eastAsia="zh-CN"/>
        </w:rPr>
        <w:t>当日，设计人员进场，合同签订5日内，施工人员进场。施工人员进场后，</w:t>
      </w:r>
      <w:r>
        <w:rPr>
          <w:rFonts w:ascii="宋体" w:hAnsi="宋体" w:cs="宋体"/>
          <w:snapToGrid w:val="0"/>
          <w:color w:val="auto"/>
          <w:kern w:val="0"/>
          <w:szCs w:val="21"/>
          <w:highlight w:val="none"/>
        </w:rPr>
        <w:t>采购人在</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个工作日内支付至合同金额的</w:t>
      </w:r>
      <w:r>
        <w:rPr>
          <w:rFonts w:hint="eastAsia" w:ascii="宋体" w:hAnsi="宋体" w:cs="宋体"/>
          <w:snapToGrid w:val="0"/>
          <w:color w:val="auto"/>
          <w:kern w:val="0"/>
          <w:szCs w:val="21"/>
          <w:highlight w:val="none"/>
          <w:lang w:val="en-US" w:eastAsia="zh-CN"/>
        </w:rPr>
        <w:t>10</w:t>
      </w:r>
      <w:r>
        <w:rPr>
          <w:rFonts w:ascii="宋体" w:hAnsi="宋体" w:cs="宋体"/>
          <w:snapToGrid w:val="0"/>
          <w:color w:val="auto"/>
          <w:kern w:val="0"/>
          <w:szCs w:val="21"/>
          <w:highlight w:val="none"/>
        </w:rPr>
        <w:t>%；</w:t>
      </w:r>
    </w:p>
    <w:p w14:paraId="34CE506C">
      <w:pPr>
        <w:adjustRightInd w:val="0"/>
        <w:snapToGrid w:val="0"/>
        <w:spacing w:line="360" w:lineRule="auto"/>
        <w:ind w:firstLine="420" w:firstLineChars="200"/>
        <w:jc w:val="left"/>
        <w:rPr>
          <w:rFonts w:hint="default" w:ascii="宋体" w:hAnsi="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2</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合同签订后15日内，中标人完成设计方案深化（中标人同步开展其余可并行工作），设计方案经审定后，采购人在10个工作日内支付至合同金额的30%；</w:t>
      </w:r>
    </w:p>
    <w:p w14:paraId="2286F2D3">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3</w:t>
      </w:r>
      <w:r>
        <w:rPr>
          <w:rFonts w:ascii="宋体" w:hAnsi="宋体" w:cs="宋体"/>
          <w:snapToGrid w:val="0"/>
          <w:color w:val="auto"/>
          <w:kern w:val="0"/>
          <w:szCs w:val="21"/>
          <w:highlight w:val="none"/>
        </w:rPr>
        <w:t>）项目</w:t>
      </w:r>
      <w:r>
        <w:rPr>
          <w:rFonts w:hint="eastAsia" w:ascii="宋体" w:hAnsi="宋体" w:cs="宋体"/>
          <w:snapToGrid w:val="0"/>
          <w:color w:val="auto"/>
          <w:kern w:val="0"/>
          <w:szCs w:val="21"/>
          <w:highlight w:val="none"/>
          <w:lang w:val="en-US" w:eastAsia="zh-CN"/>
        </w:rPr>
        <w:t>展陈平面部分</w:t>
      </w:r>
      <w:r>
        <w:rPr>
          <w:rFonts w:ascii="宋体" w:hAnsi="宋体" w:cs="宋体"/>
          <w:snapToGrid w:val="0"/>
          <w:color w:val="auto"/>
          <w:kern w:val="0"/>
          <w:szCs w:val="21"/>
          <w:highlight w:val="none"/>
        </w:rPr>
        <w:t>完成</w:t>
      </w:r>
      <w:r>
        <w:rPr>
          <w:rFonts w:hint="eastAsia" w:ascii="宋体" w:hAnsi="宋体" w:cs="宋体"/>
          <w:snapToGrid w:val="0"/>
          <w:color w:val="auto"/>
          <w:kern w:val="0"/>
          <w:szCs w:val="21"/>
          <w:highlight w:val="none"/>
          <w:lang w:val="en-US" w:eastAsia="zh-CN"/>
        </w:rPr>
        <w:t>且</w:t>
      </w:r>
      <w:r>
        <w:rPr>
          <w:rFonts w:hint="eastAsia" w:ascii="宋体" w:hAnsi="宋体" w:cs="宋体"/>
          <w:snapToGrid w:val="0"/>
          <w:color w:val="auto"/>
          <w:kern w:val="0"/>
          <w:szCs w:val="21"/>
          <w:highlight w:val="none"/>
          <w:lang w:eastAsia="zh-CN"/>
        </w:rPr>
        <w:t>城市沙盘</w:t>
      </w:r>
      <w:r>
        <w:rPr>
          <w:rFonts w:ascii="宋体" w:hAnsi="宋体" w:cs="宋体"/>
          <w:snapToGrid w:val="0"/>
          <w:color w:val="auto"/>
          <w:kern w:val="0"/>
          <w:szCs w:val="21"/>
          <w:highlight w:val="none"/>
        </w:rPr>
        <w:t>展项制作</w:t>
      </w:r>
      <w:r>
        <w:rPr>
          <w:rFonts w:hint="eastAsia" w:ascii="宋体" w:hAnsi="宋体" w:cs="宋体"/>
          <w:snapToGrid w:val="0"/>
          <w:color w:val="auto"/>
          <w:kern w:val="0"/>
          <w:szCs w:val="21"/>
          <w:highlight w:val="none"/>
          <w:lang w:val="en-US" w:eastAsia="zh-CN"/>
        </w:rPr>
        <w:t>安装初步验收</w:t>
      </w:r>
      <w:r>
        <w:rPr>
          <w:rFonts w:ascii="宋体" w:hAnsi="宋体" w:cs="宋体"/>
          <w:snapToGrid w:val="0"/>
          <w:color w:val="auto"/>
          <w:kern w:val="0"/>
          <w:szCs w:val="21"/>
          <w:highlight w:val="none"/>
        </w:rPr>
        <w:t>合格后，采购人在</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个工作日内支付至合同金额的50%；</w:t>
      </w:r>
    </w:p>
    <w:p w14:paraId="719AB2F6">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4</w:t>
      </w:r>
      <w:r>
        <w:rPr>
          <w:rFonts w:ascii="宋体" w:hAnsi="宋体" w:cs="宋体"/>
          <w:snapToGrid w:val="0"/>
          <w:color w:val="auto"/>
          <w:kern w:val="0"/>
          <w:szCs w:val="21"/>
          <w:highlight w:val="none"/>
        </w:rPr>
        <w:t>）项目整体完工后，由采购人组织初步验收。验收合格后，采购人在</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个工作日内支付至合同金额的70%；</w:t>
      </w:r>
    </w:p>
    <w:p w14:paraId="2CF1177E">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5</w:t>
      </w:r>
      <w:r>
        <w:rPr>
          <w:rFonts w:ascii="宋体" w:hAnsi="宋体" w:cs="宋体"/>
          <w:snapToGrid w:val="0"/>
          <w:color w:val="auto"/>
          <w:kern w:val="0"/>
          <w:szCs w:val="21"/>
          <w:highlight w:val="none"/>
        </w:rPr>
        <w:t>）不少于6个月的试运行阶段结束且项目整体运行稳定，通过由采购人组织的正式验收后，中标人提交完整结算资料至</w:t>
      </w:r>
      <w:r>
        <w:rPr>
          <w:rFonts w:hint="eastAsia" w:ascii="宋体" w:hAnsi="宋体" w:cs="宋体"/>
          <w:snapToGrid w:val="0"/>
          <w:color w:val="auto"/>
          <w:kern w:val="0"/>
          <w:szCs w:val="21"/>
          <w:highlight w:val="none"/>
        </w:rPr>
        <w:t>乌鲁木齐市财政资金综合评价中心</w:t>
      </w:r>
      <w:r>
        <w:rPr>
          <w:rFonts w:ascii="宋体" w:hAnsi="宋体" w:cs="宋体"/>
          <w:snapToGrid w:val="0"/>
          <w:color w:val="auto"/>
          <w:kern w:val="0"/>
          <w:szCs w:val="21"/>
          <w:highlight w:val="none"/>
        </w:rPr>
        <w:t>进行结算评审。</w:t>
      </w:r>
      <w:r>
        <w:rPr>
          <w:rFonts w:hint="eastAsia" w:ascii="宋体" w:hAnsi="宋体" w:cs="宋体"/>
          <w:snapToGrid w:val="0"/>
          <w:color w:val="auto"/>
          <w:kern w:val="0"/>
          <w:szCs w:val="21"/>
          <w:highlight w:val="none"/>
        </w:rPr>
        <w:t>乌鲁木齐市财政资金综合评价中心</w:t>
      </w:r>
      <w:r>
        <w:rPr>
          <w:rFonts w:ascii="宋体" w:hAnsi="宋体" w:cs="宋体"/>
          <w:snapToGrid w:val="0"/>
          <w:color w:val="auto"/>
          <w:kern w:val="0"/>
          <w:szCs w:val="21"/>
          <w:highlight w:val="none"/>
        </w:rPr>
        <w:t>出具评审报告后，</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个工作日内支付至评审报告审定金额的95%；</w:t>
      </w:r>
    </w:p>
    <w:p w14:paraId="79EA449B">
      <w:pPr>
        <w:adjustRightInd w:val="0"/>
        <w:snapToGrid w:val="0"/>
        <w:spacing w:line="360" w:lineRule="auto"/>
        <w:ind w:firstLine="420" w:firstLineChars="200"/>
        <w:jc w:val="left"/>
        <w:rPr>
          <w:rFonts w:ascii="宋体" w:hAnsi="宋体" w:cs="宋体"/>
          <w:snapToGrid w:val="0"/>
          <w:color w:val="auto"/>
          <w:kern w:val="0"/>
          <w:szCs w:val="21"/>
          <w:highlight w:val="none"/>
        </w:rPr>
      </w:pPr>
      <w:r>
        <w:rPr>
          <w:rFonts w:ascii="宋体" w:hAnsi="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6</w:t>
      </w:r>
      <w:r>
        <w:rPr>
          <w:rFonts w:ascii="宋体" w:hAnsi="宋体" w:cs="宋体"/>
          <w:snapToGrid w:val="0"/>
          <w:color w:val="auto"/>
          <w:kern w:val="0"/>
          <w:szCs w:val="21"/>
          <w:highlight w:val="none"/>
        </w:rPr>
        <w:t>）余款在本项目整体质保期满且无质量问题、售后服务纠纷、以及其他经济法律纠纷后</w:t>
      </w:r>
      <w:r>
        <w:rPr>
          <w:rFonts w:hint="eastAsia" w:ascii="宋体" w:hAnsi="宋体" w:cs="宋体"/>
          <w:snapToGrid w:val="0"/>
          <w:color w:val="auto"/>
          <w:kern w:val="0"/>
          <w:szCs w:val="21"/>
          <w:highlight w:val="none"/>
        </w:rPr>
        <w:t>10</w:t>
      </w:r>
      <w:r>
        <w:rPr>
          <w:rFonts w:ascii="宋体" w:hAnsi="宋体" w:cs="宋体"/>
          <w:snapToGrid w:val="0"/>
          <w:color w:val="auto"/>
          <w:kern w:val="0"/>
          <w:szCs w:val="21"/>
          <w:highlight w:val="none"/>
        </w:rPr>
        <w:t>个工作日内付清（不计息）。</w:t>
      </w:r>
    </w:p>
    <w:p w14:paraId="128D5034">
      <w:pPr>
        <w:widowControl/>
        <w:spacing w:line="400" w:lineRule="exact"/>
        <w:jc w:val="left"/>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支付说明：</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采购人根据财政拨付资金情况支付合同款项，若由于财政资金不到位或者审批流程导致采购人未能按照合同约定向中标方付款的，不视为采购人违约。</w:t>
      </w:r>
    </w:p>
    <w:p w14:paraId="6D4E07FB">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2</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在采购人每次付款前，中标人须向采购人提供合法足额且经采购人认证通过的增值税发票，否则采购人有权顺延付款，且不承担任何违约责任。</w:t>
      </w:r>
    </w:p>
    <w:p w14:paraId="2BAFD511">
      <w:pPr>
        <w:widowControl/>
        <w:spacing w:line="400" w:lineRule="exact"/>
        <w:jc w:val="left"/>
        <w:rPr>
          <w:rFonts w:hint="eastAsia" w:asciiTheme="minorEastAsia" w:hAnsiTheme="minorEastAsia" w:eastAsiaTheme="minorEastAsia" w:cstheme="minorEastAsia"/>
          <w:color w:val="auto"/>
          <w:kern w:val="0"/>
          <w:sz w:val="21"/>
          <w:szCs w:val="21"/>
          <w:highlight w:val="none"/>
          <w:u w:val="single"/>
        </w:rPr>
      </w:pPr>
      <w:r>
        <w:rPr>
          <w:rFonts w:hint="eastAsia" w:asciiTheme="minorEastAsia" w:hAnsiTheme="minorEastAsia" w:eastAsiaTheme="minorEastAsia" w:cstheme="minorEastAsia"/>
          <w:color w:val="auto"/>
          <w:kern w:val="0"/>
          <w:sz w:val="21"/>
          <w:szCs w:val="21"/>
          <w:highlight w:val="none"/>
        </w:rPr>
        <w:t>4.2 收款账户：</w:t>
      </w:r>
      <w:r>
        <w:rPr>
          <w:rFonts w:hint="eastAsia" w:asciiTheme="minorEastAsia" w:hAnsiTheme="minorEastAsia" w:eastAsiaTheme="minorEastAsia" w:cstheme="minorEastAsia"/>
          <w:color w:val="auto"/>
          <w:kern w:val="0"/>
          <w:sz w:val="21"/>
          <w:szCs w:val="21"/>
          <w:highlight w:val="none"/>
          <w:u w:val="single"/>
        </w:rPr>
        <w:t xml:space="preserve">                               </w:t>
      </w:r>
    </w:p>
    <w:p w14:paraId="3C7A2B9C">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5.合同履约验收方式及要求：甲方在收到乙方交付的货物（服务）后按如下方式进行验收</w:t>
      </w:r>
      <w:r>
        <w:rPr>
          <w:rFonts w:hint="eastAsia" w:asciiTheme="minorEastAsia" w:hAnsiTheme="minorEastAsia" w:eastAsiaTheme="minorEastAsia" w:cstheme="minorEastAsia"/>
          <w:color w:val="auto"/>
          <w:kern w:val="0"/>
          <w:sz w:val="21"/>
          <w:szCs w:val="21"/>
          <w:highlight w:val="none"/>
        </w:rPr>
        <w:t> </w:t>
      </w:r>
    </w:p>
    <w:p w14:paraId="63516187">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5.1 验收程序 </w:t>
      </w:r>
    </w:p>
    <w:p w14:paraId="1BED133A">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采用</w:t>
      </w:r>
      <w:r>
        <w:rPr>
          <w:rFonts w:hint="eastAsia" w:asciiTheme="minorEastAsia" w:hAnsiTheme="minorEastAsia" w:eastAsiaTheme="minorEastAsia" w:cstheme="minorEastAsia"/>
          <w:color w:val="auto"/>
          <w:kern w:val="0"/>
          <w:sz w:val="21"/>
          <w:szCs w:val="21"/>
          <w:highlight w:val="none"/>
          <w:u w:val="single"/>
        </w:rPr>
        <w:t xml:space="preserve"> 一般程序 </w:t>
      </w:r>
      <w:r>
        <w:rPr>
          <w:rFonts w:hint="eastAsia" w:asciiTheme="minorEastAsia" w:hAnsiTheme="minorEastAsia" w:eastAsiaTheme="minorEastAsia" w:cstheme="minorEastAsia"/>
          <w:color w:val="auto"/>
          <w:kern w:val="0"/>
          <w:sz w:val="21"/>
          <w:szCs w:val="21"/>
          <w:highlight w:val="none"/>
        </w:rPr>
        <w:t>验收 </w:t>
      </w:r>
    </w:p>
    <w:p w14:paraId="64D34D97">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5.2 质量要求</w:t>
      </w:r>
    </w:p>
    <w:p w14:paraId="3A368842">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乙方须完成对乌鲁木齐市城市规划馆的全面系统性</w:t>
      </w:r>
      <w:r>
        <w:rPr>
          <w:rFonts w:hint="eastAsia" w:asciiTheme="minorEastAsia" w:hAnsiTheme="minorEastAsia" w:eastAsiaTheme="minorEastAsia" w:cstheme="minorEastAsia"/>
          <w:color w:val="auto"/>
          <w:kern w:val="0"/>
          <w:sz w:val="21"/>
          <w:szCs w:val="21"/>
          <w:highlight w:val="none"/>
          <w:lang w:eastAsia="zh-CN"/>
        </w:rPr>
        <w:t>更新改造</w:t>
      </w:r>
      <w:r>
        <w:rPr>
          <w:rFonts w:hint="eastAsia" w:asciiTheme="minorEastAsia" w:hAnsiTheme="minorEastAsia" w:eastAsiaTheme="minorEastAsia" w:cstheme="minorEastAsia"/>
          <w:color w:val="auto"/>
          <w:kern w:val="0"/>
          <w:sz w:val="21"/>
          <w:szCs w:val="21"/>
          <w:highlight w:val="none"/>
        </w:rPr>
        <w:t>，并达到现行国家有关工程施工验收规范和标准的合格要求。</w:t>
      </w:r>
    </w:p>
    <w:p w14:paraId="2F1F91FC">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5.2.1乙方布展和装修装饰施工所使用的设备、材料的品种、规格和质量应符合设计和现行的国家标准的规定。</w:t>
      </w:r>
    </w:p>
    <w:p w14:paraId="1BC000DC">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5.2.2乙方提供的所有设备须是原装正品，符合国家质量检测标准，具有出厂合格证或国家鉴定合格证，并在验收时提供给甲方。</w:t>
      </w:r>
    </w:p>
    <w:p w14:paraId="38585277">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5.2.3乙方应保证提供的所有货物是全新、未使用过的，所有货物的设计、制造都应按先进的工艺技术进行，无材料设计或制造工艺上的缺陷，并完全符合设计要求和相应的现行国家标准及规范规定的质量、规格和性能的要求。产品质量必须达到国家规定的合格标准。所有安装、调试所需的工具、材料、仪器等由乙方自行准备。 </w:t>
      </w:r>
    </w:p>
    <w:p w14:paraId="47E0CD47">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5.3 验收要求和验收标准</w:t>
      </w:r>
    </w:p>
    <w:p w14:paraId="5E93A1ED">
      <w:pPr>
        <w:widowControl/>
        <w:spacing w:before="100" w:after="100" w:line="21" w:lineRule="atLeas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5.3.1验收主体：甲方为项目的验收主体</w:t>
      </w:r>
    </w:p>
    <w:p w14:paraId="1C7801AE">
      <w:pPr>
        <w:widowControl/>
        <w:spacing w:before="100" w:after="100" w:line="21" w:lineRule="atLeast"/>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验收组织方式：</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 xml:space="preserve">自行组织 </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委托第三方组织</w:t>
      </w:r>
    </w:p>
    <w:p w14:paraId="120D1D7E">
      <w:pPr>
        <w:widowControl/>
        <w:spacing w:before="100" w:after="100" w:line="21" w:lineRule="atLeast"/>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是否邀请本项目的其他供应商：□是  </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否</w:t>
      </w:r>
    </w:p>
    <w:p w14:paraId="3971BF6C">
      <w:pPr>
        <w:widowControl/>
        <w:spacing w:before="100" w:after="100" w:line="21" w:lineRule="atLeast"/>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是否邀请专家：</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是  □否</w:t>
      </w:r>
    </w:p>
    <w:p w14:paraId="20D65EE5">
      <w:pPr>
        <w:widowControl/>
        <w:spacing w:before="100" w:after="100" w:line="21" w:lineRule="atLeast"/>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是否邀请服务对象：□是  </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否</w:t>
      </w:r>
    </w:p>
    <w:p w14:paraId="00247BF7">
      <w:pPr>
        <w:widowControl/>
        <w:spacing w:before="100" w:after="100" w:line="21" w:lineRule="atLeast"/>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是否邀请第三方检测机构：□是  </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否</w:t>
      </w:r>
    </w:p>
    <w:p w14:paraId="0FA05342">
      <w:pPr>
        <w:widowControl/>
        <w:spacing w:before="100" w:after="100" w:line="21" w:lineRule="atLeast"/>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验收组织的其他事项： 详见履约验收的内容及标准 </w:t>
      </w:r>
    </w:p>
    <w:p w14:paraId="48522743">
      <w:pPr>
        <w:widowControl/>
        <w:spacing w:before="100" w:after="100" w:line="21" w:lineRule="atLeas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履约验收时间：供应商提出验收申请之日起 30 日内组织验收</w:t>
      </w:r>
    </w:p>
    <w:p w14:paraId="7BD23309">
      <w:pPr>
        <w:widowControl/>
        <w:spacing w:before="100" w:after="100" w:line="21" w:lineRule="atLeas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履约验收方式：</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 xml:space="preserve">一次性验收  </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分期/分项验收</w:t>
      </w:r>
    </w:p>
    <w:p w14:paraId="749F211D">
      <w:pPr>
        <w:widowControl/>
        <w:spacing w:before="100" w:after="100" w:line="21" w:lineRule="atLeas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    履约验收程序：按照</w:t>
      </w:r>
      <w:r>
        <w:rPr>
          <w:rFonts w:hint="eastAsia" w:asciiTheme="minorEastAsia" w:hAnsiTheme="minorEastAsia" w:eastAsiaTheme="minorEastAsia" w:cstheme="minorEastAsia"/>
          <w:color w:val="auto"/>
          <w:kern w:val="0"/>
          <w:sz w:val="21"/>
          <w:szCs w:val="21"/>
          <w:highlight w:val="none"/>
          <w:lang w:eastAsia="zh-CN"/>
        </w:rPr>
        <w:t>乌鲁木齐</w:t>
      </w:r>
      <w:r>
        <w:rPr>
          <w:rFonts w:hint="eastAsia" w:asciiTheme="minorEastAsia" w:hAnsiTheme="minorEastAsia" w:eastAsiaTheme="minorEastAsia" w:cstheme="minorEastAsia"/>
          <w:color w:val="auto"/>
          <w:kern w:val="0"/>
          <w:sz w:val="21"/>
          <w:szCs w:val="21"/>
          <w:highlight w:val="none"/>
        </w:rPr>
        <w:t>市政府采购履约验收规定的程序。</w:t>
      </w:r>
    </w:p>
    <w:p w14:paraId="597AF8B4">
      <w:pPr>
        <w:adjustRightInd w:val="0"/>
        <w:snapToGrid w:val="0"/>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5.3.2履约验收的内容及标准：</w:t>
      </w:r>
    </w:p>
    <w:p w14:paraId="50110BE7">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5.3.2.1初步验收</w:t>
      </w:r>
    </w:p>
    <w:p w14:paraId="725D1EDD">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（1）本项目合同范围内工作全部完成且达到交付使用条件后，由乙方向甲方提出初验申请并组织实施。</w:t>
      </w:r>
    </w:p>
    <w:p w14:paraId="5B011E42">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（2）初验合格条件</w:t>
      </w:r>
    </w:p>
    <w:p w14:paraId="7D2B5CA2">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①乙方已按合同规定，全部提供了合同规定的所有货物和资料，并完成所有布展装饰、设备的安装和调试以及与其他系统的配合调试工作。</w:t>
      </w:r>
    </w:p>
    <w:p w14:paraId="09C8BD1F">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②设备性能和功能等完全满足合同要求。</w:t>
      </w:r>
    </w:p>
    <w:p w14:paraId="344C3E11">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③初验及整改结束后经甲方认可。</w:t>
      </w:r>
    </w:p>
    <w:p w14:paraId="0717BD20">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④乙方按照合同相关要求提交本项目开始至初验结束之前的所有资料。</w:t>
      </w:r>
    </w:p>
    <w:p w14:paraId="6F176DD2">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⑤完成相关配套服务：包括讲解词撰写（</w:t>
      </w:r>
      <w:r>
        <w:rPr>
          <w:rFonts w:hint="eastAsia" w:asciiTheme="minorEastAsia" w:hAnsiTheme="minorEastAsia" w:eastAsiaTheme="minorEastAsia" w:cstheme="minorEastAsia"/>
          <w:color w:val="auto"/>
          <w:kern w:val="0"/>
          <w:sz w:val="21"/>
          <w:szCs w:val="21"/>
          <w:highlight w:val="none"/>
          <w:lang w:val="en-US" w:eastAsia="zh-CN"/>
        </w:rPr>
        <w:t>多语</w:t>
      </w:r>
      <w:r>
        <w:rPr>
          <w:rFonts w:hint="eastAsia" w:asciiTheme="minorEastAsia" w:hAnsiTheme="minorEastAsia" w:eastAsiaTheme="minorEastAsia" w:cstheme="minorEastAsia"/>
          <w:color w:val="auto"/>
          <w:kern w:val="0"/>
          <w:sz w:val="21"/>
          <w:szCs w:val="21"/>
          <w:highlight w:val="none"/>
        </w:rPr>
        <w:t>种）、宣传资料（宣传折页、展馆画册等）设计制作、文创产品开发制作不少于5种、VI系统设计制作（包括但不限于：馆标Logo设计、吉祥物、折页架、纪念章、游客留言本、贵宾留言本、晴雨伞、大遮阳伞、隔离墩、一次性纸杯、订制矿泉水、会务用品等）、开馆活动策划执行等内容。根据布展要求收集整理或购买影像素材（</w:t>
      </w:r>
      <w:r>
        <w:rPr>
          <w:rFonts w:hint="eastAsia" w:asciiTheme="minorEastAsia" w:hAnsiTheme="minorEastAsia" w:eastAsiaTheme="minorEastAsia" w:cstheme="minorEastAsia"/>
          <w:color w:val="auto"/>
          <w:kern w:val="0"/>
          <w:sz w:val="21"/>
          <w:szCs w:val="21"/>
          <w:highlight w:val="none"/>
          <w:lang w:eastAsia="zh-CN"/>
        </w:rPr>
        <w:t>乌鲁木齐</w:t>
      </w:r>
      <w:r>
        <w:rPr>
          <w:rFonts w:hint="eastAsia" w:asciiTheme="minorEastAsia" w:hAnsiTheme="minorEastAsia" w:eastAsiaTheme="minorEastAsia" w:cstheme="minorEastAsia"/>
          <w:color w:val="auto"/>
          <w:kern w:val="0"/>
          <w:sz w:val="21"/>
          <w:szCs w:val="21"/>
          <w:highlight w:val="none"/>
        </w:rPr>
        <w:t>现状照片、历史照片、历史影片等）、老物件等展陈资料。</w:t>
      </w:r>
    </w:p>
    <w:p w14:paraId="2FE45F38">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（3）由甲方组织初步验收，初验合格后，甲方出具《初验完成证明》。</w:t>
      </w:r>
    </w:p>
    <w:p w14:paraId="2C5FE1F5">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（4）《初验完成证明》仅确认工作量，不视为对本项目质量的验收，不能免除乙方在本合同项下的质量保证责任。</w:t>
      </w:r>
    </w:p>
    <w:p w14:paraId="45D37401">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隐蔽工程经乙方自检确认具备覆盖条件的，乙方应在覆盖前48小时以书面形式通知甲方验收，通知中应载明隐蔽检查的内容、时间和地点，并应附有自检记录和必要的检查资料。验收合格的，乙方可进行隐蔽和继续施工；验收不合格的，乙方应在甲方限定的时间内修改后重新申请验收。</w:t>
      </w:r>
    </w:p>
    <w:p w14:paraId="6C86E0BB">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5.3.2.2试运行</w:t>
      </w:r>
    </w:p>
    <w:p w14:paraId="66D25FA1">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初步验收合格后，进入试运行阶段。</w:t>
      </w:r>
    </w:p>
    <w:p w14:paraId="46839BB7">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整体试运行稳定不少于6个月。</w:t>
      </w:r>
    </w:p>
    <w:p w14:paraId="13597197">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5.3.2.3正式验收</w:t>
      </w:r>
    </w:p>
    <w:p w14:paraId="28223B9E">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（1）乙方需负责对所供设施设备的保护工作至项目正式验收合格，在此期间，设施设备丢失的费用由乙方负责。若因第三方原因损坏的设施设备，乙方须负责修理或给予赔偿。</w:t>
      </w:r>
    </w:p>
    <w:p w14:paraId="0774D957">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（2）项目涉及到必须由住建、消防、环保等行政主管部门进行验收的，以上述部门通过验收为准。</w:t>
      </w:r>
    </w:p>
    <w:p w14:paraId="4C4DEBCE">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（3）乙方应按照政府档案管理机构要求向其提供竣工资料。</w:t>
      </w:r>
    </w:p>
    <w:p w14:paraId="4B138FEA">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（4）整体运行稳定，且按甲方要求完成相关整改后，甲方于10天内组织有关人员或专家对项目进行正式验收，正式验收前乙方须向甲方提供有关全部资料，包括但不限于以下资料：</w:t>
      </w:r>
    </w:p>
    <w:p w14:paraId="1F2BF78B">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①展示系统各设备之间的网络拓扑结构。</w:t>
      </w:r>
    </w:p>
    <w:p w14:paraId="05D199B5">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②展示系统操作使用说明。</w:t>
      </w:r>
    </w:p>
    <w:p w14:paraId="06DDF076">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③展示系统数据维护操作说明。</w:t>
      </w:r>
    </w:p>
    <w:p w14:paraId="42CA7B63">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④本项目中制作的三维成果数据与场景数据文件。</w:t>
      </w:r>
    </w:p>
    <w:p w14:paraId="49B10932">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⑤展示系统二次开发接口说明文档及示例程序。</w:t>
      </w:r>
    </w:p>
    <w:p w14:paraId="7D3CF22B">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⑥用户需求文档、设计文档、总结报告、测试报告等展示系统运行所需的各类软件及系统软件、及运行所需的许可文件 (不接受任何绑定硬件形式的许可)。</w:t>
      </w:r>
    </w:p>
    <w:p w14:paraId="0E1787FF">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⑦涉及到必须由住建、消防、环保等行政主管部门进行验收的，按相关主管部门要求提供竣工验收资料，并取得验收合格的相关报告。</w:t>
      </w:r>
    </w:p>
    <w:p w14:paraId="1B760999">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⑧布展相关的所有平面、文案、多媒体内容、影片、模型文件均需提供可编辑源文件及成品文件备份，且需分类整理好，并以硬盘的方式提供给甲方。</w:t>
      </w:r>
    </w:p>
    <w:p w14:paraId="2050800C">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项目竣工验收后，乙方应在30天内提交完整齐备的工程竣工资料和验收资料装整成册并提交给甲方存档，必须保证所有归档资料的真实性和完整性。对于工程竣工资料，乙方须提供2套光盘电子文件，10套图纸及文本文件。</w:t>
      </w:r>
    </w:p>
    <w:p w14:paraId="4BFC648E">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（6）正式验收报告须经甲方签署并盖章确认。</w:t>
      </w:r>
    </w:p>
    <w:p w14:paraId="1C5D8622">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1"/>
          <w:highlight w:val="none"/>
          <w:lang w:eastAsia="zh-CN"/>
        </w:rPr>
        <w:t>乌鲁木齐市城市规划馆展陈更新服务项目</w:t>
      </w:r>
      <w:r>
        <w:rPr>
          <w:rFonts w:hint="eastAsia" w:asciiTheme="minorEastAsia" w:hAnsiTheme="minorEastAsia" w:eastAsiaTheme="minorEastAsia" w:cstheme="minorEastAsia"/>
          <w:color w:val="auto"/>
          <w:kern w:val="0"/>
          <w:sz w:val="21"/>
          <w:szCs w:val="21"/>
          <w:highlight w:val="none"/>
        </w:rPr>
        <w:t>的验收标准、验收方法和工作程序按国家有关规范及本合同确定的布展工程质量的特殊要求执行，乙方须提交所需的竣工验收资料。</w:t>
      </w:r>
    </w:p>
    <w:p w14:paraId="3FF51272">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（8）正式验收合格条件</w:t>
      </w:r>
    </w:p>
    <w:p w14:paraId="4552F803">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①已提供了合同规定的布展装饰、全部货物、服务和资料。</w:t>
      </w:r>
    </w:p>
    <w:p w14:paraId="16568F48">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②达到初验要求，完成试运行。</w:t>
      </w:r>
    </w:p>
    <w:p w14:paraId="3C1E546A">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③已完成合同要求的培训。</w:t>
      </w:r>
    </w:p>
    <w:p w14:paraId="3E249329">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④试运行时及初验后的功能和性能满足合同要求。</w:t>
      </w:r>
    </w:p>
    <w:p w14:paraId="562B348D">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⑤试运行期间出现的问题已解决到位并获甲方认可。</w:t>
      </w:r>
    </w:p>
    <w:p w14:paraId="5A5C09E9">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6.甲乙双方的权利与义务</w:t>
      </w:r>
    </w:p>
    <w:p w14:paraId="4B722775">
      <w:pPr>
        <w:widowControl/>
        <w:wordWrap w:val="0"/>
        <w:spacing w:line="400" w:lineRule="exact"/>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6.1甲方的权利与义务</w:t>
      </w:r>
    </w:p>
    <w:p w14:paraId="4360A184">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6.1.1甲方有权对合同规定范围内乙方的服务行为进行监督和检查，拥有监管权。有权定期核对乙方提供服务所配备的人员数量。对甲方认为不合理的部分由甲方出具整改通知，要求乙方在规定期限内进行整改，整改后由乙方对整改情况进行确认，如出现三次整改不到位的情况甲方有权解除项目合同。</w:t>
      </w:r>
    </w:p>
    <w:p w14:paraId="2D678C09">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6.1.2甲方应保证乙方顺利进入为履行合同义务所需的工地现场。</w:t>
      </w:r>
    </w:p>
    <w:p w14:paraId="5B549D03">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6.1.3甲方应负责提供能满足施工需要的水、电来源，以确保乙方顺利开展布展工程工作。</w:t>
      </w:r>
    </w:p>
    <w:p w14:paraId="79DFC533">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6.1.4甲方应及时审阅乙方提交的深化和施工（制作）图，回答乙方提出的有关深化（施工图）设计要求方面的问题，并及时对符合其要求的深化（施工图）设计作出确认，但该确认并不能免除或减少乙方对设计效果、设计质量所要承担的第一责任人的全部责任。</w:t>
      </w:r>
    </w:p>
    <w:p w14:paraId="2D8203D5">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6.1.5 甲方应及时审阅并答复乙方在工程实施过程中书面提交需甲方确认的文件。</w:t>
      </w:r>
    </w:p>
    <w:p w14:paraId="77B88599">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6.1.6 甲方应按照本合同第4条的规定向乙方支付合同款项。</w:t>
      </w:r>
    </w:p>
    <w:p w14:paraId="4414975F">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6.1.7 国家法律、法规所规定由甲方承担的其它责任。</w:t>
      </w:r>
    </w:p>
    <w:p w14:paraId="6C8A0683">
      <w:pPr>
        <w:widowControl/>
        <w:wordWrap w:val="0"/>
        <w:spacing w:line="400" w:lineRule="exact"/>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6.2乙方的权利与义务</w:t>
      </w:r>
    </w:p>
    <w:p w14:paraId="798ACDA0">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6.2.1 乙方承担合同范围内一切与承包项目有关的职责和义务。乙方应尽一切努力，按合同规定的技术要求和标明的技术规范、工程进度和合同总价，履行全部合同义务。</w:t>
      </w:r>
    </w:p>
    <w:p w14:paraId="6AB15776">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6.2.2乙方应根据</w:t>
      </w:r>
      <w:r>
        <w:rPr>
          <w:rFonts w:hint="eastAsia" w:asciiTheme="minorEastAsia" w:hAnsiTheme="minorEastAsia" w:eastAsiaTheme="minorEastAsia" w:cstheme="minorEastAsia"/>
          <w:color w:val="auto"/>
          <w:kern w:val="0"/>
          <w:sz w:val="21"/>
          <w:szCs w:val="21"/>
          <w:highlight w:val="none"/>
          <w:lang w:eastAsia="zh-CN"/>
        </w:rPr>
        <w:t>乌鲁木齐市城市规划馆展陈更新服务项目</w:t>
      </w:r>
      <w:r>
        <w:rPr>
          <w:rFonts w:hint="eastAsia" w:asciiTheme="minorEastAsia" w:hAnsiTheme="minorEastAsia" w:eastAsiaTheme="minorEastAsia" w:cstheme="minorEastAsia"/>
          <w:color w:val="auto"/>
          <w:kern w:val="0"/>
          <w:sz w:val="21"/>
          <w:szCs w:val="21"/>
          <w:highlight w:val="none"/>
        </w:rPr>
        <w:t>的总体要求和设计的具体要求，选用优料，施工精细，确保制作、安装、施工、调试等各个环节的质量达一流的水平。同时，乙方还应根据布展工程进度的要求，保证其负责的布展工程按照工程节点的时间进度表按时完工与竣工。</w:t>
      </w:r>
    </w:p>
    <w:p w14:paraId="19A8CB7E">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6.2.3乙方（包括其所有设备和材料的制造商、供货商）必须严格、全面地把握深化（施工图）设计、采购、制作、安装以及施工的工作质量，确保由其承包范围内的所有展区项目通过甲方所在地有关部门的验收。</w:t>
      </w:r>
    </w:p>
    <w:p w14:paraId="7C702B01">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6.2.4乙方应根据其实施的各项工作内容，及时向甲方提交各项专题报告、日常进度报告、施工质量报告、突发事件报告、施工内容修改申请等甲方要求提供的报告。</w:t>
      </w:r>
    </w:p>
    <w:p w14:paraId="728E7F62">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6.2.5乙方在履约过程中接到甲方的书面通知对某些采用的器材、设备、制作工艺或安装情况提出整改意见或要求时，乙方应立即采取措施进行整改，直至符合甲方的要求为止。</w:t>
      </w:r>
    </w:p>
    <w:p w14:paraId="1F514398">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6.2.6乙方应当在动工前已了解并书面确认甲方提供已有的与布展工程相关的设计图纸、说明、规格要求及其它文件的内容。</w:t>
      </w:r>
    </w:p>
    <w:p w14:paraId="091E67EE">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6.2.7乙方负责所有的深化设计图、设计计算、施工图等文件的制作，并负责在实施前获得甲方、有关专业机构对其技术上的认可，获得政府有关部门的审核批准。</w:t>
      </w:r>
    </w:p>
    <w:p w14:paraId="06EFD5FF">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6.2.8深化方案设计：中标后，根据甲方对方案的深化及完善要求，逐轮对设计方案进行深化、完善，并通过甲方批准。 </w:t>
      </w:r>
    </w:p>
    <w:p w14:paraId="46295C7D">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6.2.9在施工过程中，乙方负责现场管理和监督，以保证施工有序、安全、文明地进行，并承担布展工程的未完工和已完工工程的看管保护义务。</w:t>
      </w:r>
    </w:p>
    <w:p w14:paraId="30EEBFFB">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6.2.10乙方对与其签订合同的制造商、供货商的行为负责，不能以制造商和供应商的违约行为推脱责任。对于本合同项下的货物，除对该货物本身品质保证义务外，并不免除乙方于本合同项下的任何责任。</w:t>
      </w:r>
    </w:p>
    <w:p w14:paraId="2BC0CEA8">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6.2.11乙方接受甲方竣工验收工作安排，并接受财政、审计部门的审价/审计，并承担依本合同及适用法律应承担的其他责任。</w:t>
      </w:r>
    </w:p>
    <w:p w14:paraId="77572EC8">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6.2.12乙方对其承担的所有工作负责（包括但不限于设计的效果、施工的质量、货物或产品的质量、展示的效果和质量、安全的隐患等），如发生相关质量问题由乙方负责整改并承担费用，直至甲方满意并通过正式验收为止。否则甲方有权聘请第三方完成乙方的上述义务，由此产生的一切费用和损失均由乙方负责，甲方并有权扣减应付给乙方的费用并追究乙方的违约责任。但是由于非乙方原因修改所发生的费用应由甲方承担。</w:t>
      </w:r>
    </w:p>
    <w:p w14:paraId="34639D58">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6.2.13 乙方必须确保农民工工资及时支付，如因乙方未及时支付农民工工资、材料供应商货款等情况引发纠纷影响甲方正常工作秩序，甲方将予以处罚，具体处罚标准由甲方在签订合同时确定。</w:t>
      </w:r>
    </w:p>
    <w:p w14:paraId="1A21C7FE">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6.2.14根据本合同的约定向甲方收取相关服务费用。</w:t>
      </w:r>
    </w:p>
    <w:p w14:paraId="78341340">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6.2.15接受项目行业管理部门及政府有关部门的指导，接受甲方的监督。</w:t>
      </w:r>
    </w:p>
    <w:p w14:paraId="4E6D2B48">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6.2.16国家法律、法规所规定由乙方承担的其它责任。</w:t>
      </w:r>
    </w:p>
    <w:p w14:paraId="2735440E">
      <w:pPr>
        <w:widowControl/>
        <w:wordWrap w:val="0"/>
        <w:spacing w:line="400" w:lineRule="exact"/>
        <w:jc w:val="left"/>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7.违约责任</w:t>
      </w:r>
    </w:p>
    <w:p w14:paraId="7B28C303">
      <w:pPr>
        <w:adjustRightInd w:val="0"/>
        <w:snapToGrid w:val="0"/>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由于乙方原因未能按本合同规定的竣工日期完工，应按合同补充条款第</w:t>
      </w: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rPr>
        <w:t>条承担延误赔偿责任。</w:t>
      </w:r>
    </w:p>
    <w:p w14:paraId="2BD5181F">
      <w:pPr>
        <w:adjustRightInd w:val="0"/>
        <w:snapToGrid w:val="0"/>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1"/>
          <w:highlight w:val="none"/>
          <w:lang w:val="en-US" w:eastAsia="zh-CN"/>
        </w:rPr>
        <w:t>2</w:t>
      </w:r>
      <w:r>
        <w:rPr>
          <w:rFonts w:hint="eastAsia" w:asciiTheme="minorEastAsia" w:hAnsiTheme="minorEastAsia" w:eastAsiaTheme="minorEastAsia" w:cstheme="minorEastAsia"/>
          <w:color w:val="auto"/>
          <w:kern w:val="0"/>
          <w:sz w:val="21"/>
          <w:szCs w:val="21"/>
          <w:highlight w:val="none"/>
        </w:rPr>
        <w:t>乙方未能按合同补充条款第4条提供符合本合同总体展示效果及质量保证之工作成果，应按该条规定承担违约责任。</w:t>
      </w:r>
    </w:p>
    <w:p w14:paraId="6FCD8FE6">
      <w:pPr>
        <w:adjustRightInd w:val="0"/>
        <w:snapToGrid w:val="0"/>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1"/>
          <w:highlight w:val="none"/>
          <w:lang w:val="en-US" w:eastAsia="zh-CN"/>
        </w:rPr>
        <w:t>3</w:t>
      </w:r>
      <w:r>
        <w:rPr>
          <w:rFonts w:hint="eastAsia" w:asciiTheme="minorEastAsia" w:hAnsiTheme="minorEastAsia" w:eastAsiaTheme="minorEastAsia" w:cstheme="minorEastAsia"/>
          <w:color w:val="auto"/>
          <w:kern w:val="0"/>
          <w:sz w:val="21"/>
          <w:szCs w:val="21"/>
          <w:highlight w:val="none"/>
        </w:rPr>
        <w:t>乙方未能按合同补充条款第8条提供符合本合同的相关人员，应按该条规定承担违约责任。</w:t>
      </w:r>
    </w:p>
    <w:p w14:paraId="4325DDCC">
      <w:pPr>
        <w:adjustRightInd w:val="0"/>
        <w:snapToGrid w:val="0"/>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1"/>
          <w:highlight w:val="none"/>
          <w:lang w:val="en-US" w:eastAsia="zh-CN"/>
        </w:rPr>
        <w:t>4</w:t>
      </w:r>
      <w:r>
        <w:rPr>
          <w:rFonts w:hint="eastAsia" w:asciiTheme="minorEastAsia" w:hAnsiTheme="minorEastAsia" w:eastAsiaTheme="minorEastAsia" w:cstheme="minorEastAsia"/>
          <w:color w:val="auto"/>
          <w:kern w:val="0"/>
          <w:sz w:val="21"/>
          <w:szCs w:val="21"/>
          <w:highlight w:val="none"/>
        </w:rPr>
        <w:t xml:space="preserve"> 由于乙方在履行合同中的任何瑕疵，给甲方或任何第三方造成财产或人身损害时，无论该损害发生于本合同有效期内或合同履行期满后，乙方均应赔偿由此造成的全部直接和间接的损失。</w:t>
      </w:r>
    </w:p>
    <w:p w14:paraId="540B780C">
      <w:pPr>
        <w:adjustRightInd w:val="0"/>
        <w:snapToGrid w:val="0"/>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rPr>
        <w:t>乙方对甲方所造成的违约责任，按甲方估计的可能对甲方造成的直接和间接的经济损失，有权预先在支付的款项中扣除，直至双方达成违约赔偿的协议金额。如乙方的违约所造成的直接和间接的经济损失超过甲方的未支付款项部分，乙方应在甲方的要求下在14个工作日内予以支付该违约赔偿金额。甲方对乙方的违约金、赔偿金的任何扣除，并不意味着减少或免除乙方在合同中应承担的义务和责任。</w:t>
      </w:r>
    </w:p>
    <w:p w14:paraId="753AAC29">
      <w:pPr>
        <w:adjustRightInd w:val="0"/>
        <w:snapToGrid w:val="0"/>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1"/>
          <w:highlight w:val="none"/>
          <w:lang w:val="en-US" w:eastAsia="zh-CN"/>
        </w:rPr>
        <w:t>6</w:t>
      </w:r>
      <w:r>
        <w:rPr>
          <w:rFonts w:hint="eastAsia" w:asciiTheme="minorEastAsia" w:hAnsiTheme="minorEastAsia" w:eastAsiaTheme="minorEastAsia" w:cstheme="minorEastAsia"/>
          <w:color w:val="auto"/>
          <w:kern w:val="0"/>
          <w:sz w:val="21"/>
          <w:szCs w:val="21"/>
          <w:highlight w:val="none"/>
        </w:rPr>
        <w:t>如果在合同规定的时间内或合理时间内（合同未明确规定时间时），乙方执行合同规定的工作任务时违约，则甲方有权改用他人执行该项工作任务，并向其支付有关费用。该项费用以及由此伴随产生的费用由甲方向乙方收回或从任何应付或到期应付给乙方的款项中扣回。</w:t>
      </w:r>
    </w:p>
    <w:p w14:paraId="589EF0D3">
      <w:pPr>
        <w:adjustRightInd w:val="0"/>
        <w:snapToGrid w:val="0"/>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1"/>
          <w:highlight w:val="none"/>
          <w:lang w:val="en-US" w:eastAsia="zh-CN"/>
        </w:rPr>
        <w:t>7</w:t>
      </w:r>
      <w:r>
        <w:rPr>
          <w:rFonts w:hint="eastAsia" w:asciiTheme="minorEastAsia" w:hAnsiTheme="minorEastAsia" w:eastAsiaTheme="minorEastAsia" w:cstheme="minorEastAsia"/>
          <w:color w:val="auto"/>
          <w:kern w:val="0"/>
          <w:sz w:val="21"/>
          <w:szCs w:val="21"/>
          <w:highlight w:val="none"/>
        </w:rPr>
        <w:t>对于任何乙方违反本合同的行为根据本合同所应当承担的经济补偿、违约金、赔偿等费用，甲方均可在任何应付给乙方的款项中扣除。</w:t>
      </w:r>
    </w:p>
    <w:p w14:paraId="509B1D59">
      <w:pPr>
        <w:adjustRightInd w:val="0"/>
        <w:snapToGrid w:val="0"/>
        <w:spacing w:line="400" w:lineRule="exac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w:t>
      </w:r>
      <w:r>
        <w:rPr>
          <w:rFonts w:hint="eastAsia" w:asciiTheme="minorEastAsia" w:hAnsiTheme="minorEastAsia" w:eastAsiaTheme="minorEastAsia" w:cstheme="minorEastAsia"/>
          <w:color w:val="auto"/>
          <w:kern w:val="0"/>
          <w:sz w:val="21"/>
          <w:szCs w:val="21"/>
          <w:highlight w:val="none"/>
          <w:lang w:val="en-US" w:eastAsia="zh-CN"/>
        </w:rPr>
        <w:t>8</w:t>
      </w:r>
      <w:r>
        <w:rPr>
          <w:rFonts w:hint="eastAsia" w:asciiTheme="minorEastAsia" w:hAnsiTheme="minorEastAsia" w:eastAsiaTheme="minorEastAsia" w:cstheme="minorEastAsia"/>
          <w:color w:val="auto"/>
          <w:kern w:val="0"/>
          <w:sz w:val="21"/>
          <w:szCs w:val="21"/>
          <w:highlight w:val="none"/>
        </w:rPr>
        <w:t>工程结算过程中或结算后，甲方发现结算资料有虚假或不符合约定要求，或者实际完成的工程与结算资料不一致，或者有未完成的工程范围及内容的，乙方除按本合同其他相关约定承担违约责任外，甲方还有权不办理该部分结算或者不支付该部分价款，如已支付的，乙方应在甲方通知后十日内将该部分价款退还给甲方，逾期乙方还应按应付金额的万分之三累计计算违约金，并承担由此造成的损失。如果甲方发现乙方提交的结算资料存在弄虚作假的，除按前述约定承担责任外，每发现一处，甲方还有权加收5000元的违约金。</w:t>
      </w:r>
    </w:p>
    <w:p w14:paraId="7AD59EA4">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8.解决争议的方法</w:t>
      </w:r>
      <w:r>
        <w:rPr>
          <w:rFonts w:hint="eastAsia" w:asciiTheme="minorEastAsia" w:hAnsiTheme="minorEastAsia" w:eastAsiaTheme="minorEastAsia" w:cstheme="minorEastAsia"/>
          <w:color w:val="auto"/>
          <w:kern w:val="0"/>
          <w:sz w:val="21"/>
          <w:szCs w:val="21"/>
          <w:highlight w:val="none"/>
        </w:rPr>
        <w:t> </w:t>
      </w:r>
    </w:p>
    <w:p w14:paraId="5EE2F832">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首先通过双方协商解决，协商解决不成，则通过以下途径之一解决纠纷： </w:t>
      </w:r>
    </w:p>
    <w:p w14:paraId="4208B8E2">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向甲方所在地人民法院提起讼诉</w:t>
      </w:r>
    </w:p>
    <w:p w14:paraId="395CAE56">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9.组成合同的文件</w:t>
      </w:r>
      <w:r>
        <w:rPr>
          <w:rFonts w:hint="eastAsia" w:asciiTheme="minorEastAsia" w:hAnsiTheme="minorEastAsia" w:eastAsiaTheme="minorEastAsia" w:cstheme="minorEastAsia"/>
          <w:color w:val="auto"/>
          <w:kern w:val="0"/>
          <w:sz w:val="21"/>
          <w:szCs w:val="21"/>
          <w:highlight w:val="none"/>
        </w:rPr>
        <w:t> </w:t>
      </w:r>
    </w:p>
    <w:p w14:paraId="09392C5A">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合同由以下文件构成，如下述文件之间有任何抵触、矛盾或歧义，应按以下顺序解释： </w:t>
      </w:r>
    </w:p>
    <w:p w14:paraId="45397393">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（1）在采购或合同履行过程中乙方作出的承诺以及双方协商达成的变更或补充协议</w:t>
      </w:r>
    </w:p>
    <w:p w14:paraId="5FB3D473">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（2）中标或成交通知书</w:t>
      </w:r>
    </w:p>
    <w:p w14:paraId="204EAAEF">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（3）响应文件</w:t>
      </w:r>
    </w:p>
    <w:p w14:paraId="50096A1D">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（4）政府采购合同格式条款及其附件</w:t>
      </w:r>
    </w:p>
    <w:p w14:paraId="2639E05B">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（5）专用合同条款（如果有）</w:t>
      </w:r>
    </w:p>
    <w:p w14:paraId="648B8F4A">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（6）通用合同条款（如果有）</w:t>
      </w:r>
    </w:p>
    <w:p w14:paraId="6AE0CC1C">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（7）标准、规范及有关技术文件，图纸，已标价工程量清单或预算书（如果有）</w:t>
      </w:r>
    </w:p>
    <w:p w14:paraId="3FF33D76">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（8）其他合同文件</w:t>
      </w:r>
    </w:p>
    <w:p w14:paraId="7D7C9213">
      <w:pPr>
        <w:widowControl/>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（9）</w:t>
      </w:r>
      <w:r>
        <w:rPr>
          <w:rFonts w:hint="eastAsia" w:asciiTheme="minorEastAsia" w:hAnsiTheme="minorEastAsia" w:eastAsiaTheme="minorEastAsia" w:cstheme="minorEastAsia"/>
          <w:color w:val="auto"/>
          <w:kern w:val="0"/>
          <w:sz w:val="21"/>
          <w:szCs w:val="21"/>
          <w:highlight w:val="none"/>
          <w:lang w:eastAsia="zh-CN"/>
        </w:rPr>
        <w:t>乌鲁木齐市城市规划馆展陈更新服务项目</w:t>
      </w:r>
      <w:r>
        <w:rPr>
          <w:rFonts w:hint="eastAsia" w:asciiTheme="minorEastAsia" w:hAnsiTheme="minorEastAsia" w:eastAsiaTheme="minorEastAsia" w:cstheme="minorEastAsia"/>
          <w:color w:val="auto"/>
          <w:kern w:val="0"/>
          <w:sz w:val="21"/>
          <w:szCs w:val="21"/>
          <w:highlight w:val="none"/>
        </w:rPr>
        <w:t>合同补充条款。</w:t>
      </w:r>
    </w:p>
    <w:p w14:paraId="0B6EAD3B">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10.合同生效</w:t>
      </w:r>
      <w:r>
        <w:rPr>
          <w:rFonts w:hint="eastAsia" w:asciiTheme="minorEastAsia" w:hAnsiTheme="minorEastAsia" w:eastAsiaTheme="minorEastAsia" w:cstheme="minorEastAsia"/>
          <w:color w:val="auto"/>
          <w:kern w:val="0"/>
          <w:sz w:val="21"/>
          <w:szCs w:val="21"/>
          <w:highlight w:val="none"/>
        </w:rPr>
        <w:t> </w:t>
      </w:r>
    </w:p>
    <w:p w14:paraId="680770AE">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本合同自</w:t>
      </w:r>
      <w:r>
        <w:rPr>
          <w:rFonts w:hint="eastAsia" w:asciiTheme="minorEastAsia" w:hAnsiTheme="minorEastAsia" w:eastAsiaTheme="minorEastAsia" w:cstheme="minorEastAsia"/>
          <w:color w:val="auto"/>
          <w:kern w:val="0"/>
          <w:sz w:val="21"/>
          <w:szCs w:val="21"/>
          <w:highlight w:val="none"/>
          <w:u w:val="single"/>
        </w:rPr>
        <w:t> </w:t>
      </w:r>
      <w:r>
        <w:rPr>
          <w:rFonts w:hint="eastAsia" w:asciiTheme="minorEastAsia" w:hAnsiTheme="minorEastAsia" w:eastAsiaTheme="minorEastAsia" w:cstheme="minorEastAsia"/>
          <w:b/>
          <w:bCs/>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u w:val="single"/>
        </w:rPr>
        <w:t>合同签订之日起</w:t>
      </w:r>
      <w:r>
        <w:rPr>
          <w:rFonts w:hint="eastAsia" w:asciiTheme="minorEastAsia" w:hAnsiTheme="minorEastAsia" w:eastAsiaTheme="minorEastAsia" w:cstheme="minorEastAsia"/>
          <w:b/>
          <w:bCs/>
          <w:color w:val="auto"/>
          <w:kern w:val="0"/>
          <w:sz w:val="21"/>
          <w:szCs w:val="21"/>
          <w:highlight w:val="none"/>
          <w:u w:val="single"/>
        </w:rPr>
        <w:t xml:space="preserve"> </w:t>
      </w:r>
      <w:r>
        <w:rPr>
          <w:rFonts w:hint="eastAsia" w:asciiTheme="minorEastAsia" w:hAnsiTheme="minorEastAsia" w:eastAsiaTheme="minorEastAsia" w:cstheme="minorEastAsia"/>
          <w:color w:val="auto"/>
          <w:kern w:val="0"/>
          <w:sz w:val="21"/>
          <w:szCs w:val="21"/>
          <w:highlight w:val="none"/>
        </w:rPr>
        <w:t>生效 </w:t>
      </w:r>
    </w:p>
    <w:p w14:paraId="2CD16B71">
      <w:pPr>
        <w:widowControl/>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t>11.其他条款</w:t>
      </w:r>
      <w:r>
        <w:rPr>
          <w:rFonts w:hint="eastAsia" w:asciiTheme="minorEastAsia" w:hAnsiTheme="minorEastAsia" w:eastAsiaTheme="minorEastAsia" w:cstheme="minorEastAsia"/>
          <w:color w:val="auto"/>
          <w:kern w:val="0"/>
          <w:sz w:val="21"/>
          <w:szCs w:val="21"/>
          <w:highlight w:val="none"/>
        </w:rPr>
        <w:t xml:space="preserve"> </w:t>
      </w:r>
    </w:p>
    <w:p w14:paraId="72BFCEB6">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11.1不可抗力事件处理</w:t>
      </w:r>
    </w:p>
    <w:p w14:paraId="55EED7BE">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11.1.1在合同有效期内，任何一方因战争、洪灾、台风、地震等不可抗力事件导致不能履行合同，则合同履行期可延长，其延长期与不可抗力事件影响期相同。</w:t>
      </w:r>
    </w:p>
    <w:p w14:paraId="55F1F1DC">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11.1.2受阻一方应在不可抗力事件发生后尽快用电话通知对方并于事故发生后10天内将有关部门出具的证明文件等用特快专递或挂号信寄给对方审阅确认。</w:t>
      </w:r>
    </w:p>
    <w:p w14:paraId="5F9897BE">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11.1.3不可抗力事件延续60天以上，双方应通过友好协商，确定是否继续履行合同。</w:t>
      </w:r>
    </w:p>
    <w:p w14:paraId="77325022">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11.2其他</w:t>
      </w:r>
    </w:p>
    <w:p w14:paraId="22151C87">
      <w:pPr>
        <w:widowControl/>
        <w:wordWrap w:val="0"/>
        <w:spacing w:line="400" w:lineRule="exact"/>
        <w:ind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14:paraId="105D2F9E">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注：政府采购合同的双方当事人不得擅自变更、中止或者终止合同。</w:t>
      </w:r>
    </w:p>
    <w:p w14:paraId="4B3CE97A">
      <w:pPr>
        <w:widowControl/>
        <w:wordWrap w:val="0"/>
        <w:spacing w:line="400" w:lineRule="exac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政府采购合同继续履行将损害国家利益和社会公共利益的，双方当事人应当变更、中止或者终止合同。有过错的一方应当承担赔偿责任，双方都有过错的，各自承担相应的责任。</w:t>
      </w:r>
    </w:p>
    <w:p w14:paraId="6D54EF89">
      <w:pPr>
        <w:widowControl/>
        <w:spacing w:line="420" w:lineRule="atLeast"/>
        <w:jc w:val="left"/>
        <w:rPr>
          <w:rFonts w:hint="eastAsia" w:asciiTheme="minorEastAsia" w:hAnsiTheme="minorEastAsia" w:eastAsiaTheme="minorEastAsia" w:cstheme="minorEastAsia"/>
          <w:color w:val="auto"/>
          <w:kern w:val="0"/>
          <w:sz w:val="21"/>
          <w:szCs w:val="21"/>
          <w:highlight w:val="none"/>
        </w:rPr>
      </w:pPr>
    </w:p>
    <w:p w14:paraId="6BAE14D5">
      <w:pPr>
        <w:widowControl/>
        <w:spacing w:line="420" w:lineRule="atLeas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甲方（公章）：                      乙方（公章）：</w:t>
      </w:r>
    </w:p>
    <w:p w14:paraId="0367D9CD">
      <w:pPr>
        <w:widowControl/>
        <w:spacing w:line="420" w:lineRule="atLeas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地址：                              地址：</w:t>
      </w:r>
    </w:p>
    <w:p w14:paraId="2A8992C2">
      <w:pPr>
        <w:widowControl/>
        <w:spacing w:line="420" w:lineRule="atLeas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 xml:space="preserve">法定代理人：                     </w:t>
      </w:r>
      <w:r>
        <w:rPr>
          <w:rFonts w:hint="eastAsia" w:asciiTheme="minorEastAsia" w:hAnsiTheme="minorEastAsia" w:eastAsiaTheme="minorEastAsia" w:cstheme="minorEastAsia"/>
          <w:color w:val="auto"/>
          <w:kern w:val="0"/>
          <w:sz w:val="21"/>
          <w:szCs w:val="21"/>
          <w:highlight w:val="none"/>
          <w:lang w:val="en-US" w:eastAsia="zh-CN"/>
        </w:rPr>
        <w:t xml:space="preserve">   </w:t>
      </w:r>
      <w:r>
        <w:rPr>
          <w:rFonts w:hint="eastAsia" w:asciiTheme="minorEastAsia" w:hAnsiTheme="minorEastAsia" w:eastAsiaTheme="minorEastAsia" w:cstheme="minorEastAsia"/>
          <w:color w:val="auto"/>
          <w:kern w:val="0"/>
          <w:sz w:val="21"/>
          <w:szCs w:val="21"/>
          <w:highlight w:val="none"/>
        </w:rPr>
        <w:t xml:space="preserve">法定代理人： </w:t>
      </w:r>
    </w:p>
    <w:p w14:paraId="691EA09D">
      <w:pPr>
        <w:widowControl/>
        <w:spacing w:line="420" w:lineRule="atLeas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委托代理人：                        委托代理人：</w:t>
      </w:r>
    </w:p>
    <w:p w14:paraId="0511D915">
      <w:pPr>
        <w:widowControl/>
        <w:spacing w:line="420" w:lineRule="atLeast"/>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电话：                              电话：</w:t>
      </w:r>
    </w:p>
    <w:p w14:paraId="6D095AC0">
      <w:pPr>
        <w:widowControl/>
        <w:spacing w:line="420" w:lineRule="atLeas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传真：                              传真：</w:t>
      </w:r>
    </w:p>
    <w:p w14:paraId="014F7219">
      <w:pPr>
        <w:rPr>
          <w:rFonts w:hint="eastAsia" w:asciiTheme="minorEastAsia" w:hAnsiTheme="minorEastAsia" w:eastAsiaTheme="minorEastAsia" w:cstheme="minorEastAsia"/>
          <w:b/>
          <w:bCs/>
          <w:color w:val="auto"/>
          <w:kern w:val="0"/>
          <w:sz w:val="21"/>
          <w:szCs w:val="21"/>
          <w:highlight w:val="none"/>
        </w:rPr>
      </w:pPr>
      <w:r>
        <w:rPr>
          <w:rFonts w:hint="eastAsia" w:asciiTheme="minorEastAsia" w:hAnsiTheme="minorEastAsia" w:eastAsiaTheme="minorEastAsia" w:cstheme="minorEastAsia"/>
          <w:b/>
          <w:bCs/>
          <w:color w:val="auto"/>
          <w:kern w:val="0"/>
          <w:sz w:val="21"/>
          <w:szCs w:val="21"/>
          <w:highlight w:val="none"/>
        </w:rPr>
        <w:br w:type="page"/>
      </w:r>
    </w:p>
    <w:p w14:paraId="05A548AE">
      <w:pPr>
        <w:jc w:val="center"/>
        <w:rPr>
          <w:rFonts w:hint="default" w:ascii="宋体" w:hAnsi="宋体" w:cs="宋体"/>
          <w:b/>
          <w:color w:val="auto"/>
          <w:kern w:val="2"/>
          <w:sz w:val="30"/>
          <w:szCs w:val="30"/>
          <w:highlight w:val="none"/>
          <w:lang w:val="en-US" w:eastAsia="zh-CN" w:bidi="ar-SA"/>
        </w:rPr>
      </w:pPr>
      <w:r>
        <w:rPr>
          <w:rFonts w:hint="eastAsia" w:ascii="宋体" w:hAnsi="宋体" w:cs="宋体"/>
          <w:b/>
          <w:color w:val="auto"/>
          <w:kern w:val="2"/>
          <w:sz w:val="30"/>
          <w:szCs w:val="30"/>
          <w:highlight w:val="none"/>
          <w:lang w:val="en-US" w:eastAsia="zh-CN" w:bidi="ar-SA"/>
        </w:rPr>
        <w:t>第二部分 乌鲁木齐市城市规划馆展陈更新服务项目合同补充条款</w:t>
      </w:r>
    </w:p>
    <w:p w14:paraId="325BDB1D">
      <w:pPr>
        <w:adjustRightInd w:val="0"/>
        <w:snapToGrid w:val="0"/>
        <w:spacing w:line="360" w:lineRule="exact"/>
        <w:ind w:firstLine="422" w:firstLineChars="200"/>
        <w:rPr>
          <w:rFonts w:ascii="Times New Roman" w:hAnsi="Times New Roman" w:eastAsia="宋体" w:cs="Times New Roman"/>
          <w:b/>
          <w:color w:val="auto"/>
          <w:szCs w:val="21"/>
          <w:highlight w:val="none"/>
        </w:rPr>
      </w:pPr>
    </w:p>
    <w:p w14:paraId="056D1D22">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1、定义</w:t>
      </w:r>
    </w:p>
    <w:p w14:paraId="420C358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除非另有说明，本合同补充条款及合同附件中出现术语或词名具有以下含义：</w:t>
      </w:r>
    </w:p>
    <w:p w14:paraId="43FA326C">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1.1“甲方”：系指</w:t>
      </w:r>
      <w:r>
        <w:rPr>
          <w:rFonts w:hint="eastAsia" w:asciiTheme="minorEastAsia" w:hAnsiTheme="minorEastAsia" w:eastAsiaTheme="minorEastAsia" w:cstheme="minorEastAsia"/>
          <w:bCs/>
          <w:color w:val="auto"/>
          <w:sz w:val="21"/>
          <w:szCs w:val="21"/>
          <w:highlight w:val="none"/>
          <w:lang w:eastAsia="zh-CN"/>
        </w:rPr>
        <w:t>乌鲁木齐市自然资源局</w:t>
      </w:r>
      <w:r>
        <w:rPr>
          <w:rFonts w:hint="eastAsia" w:asciiTheme="minorEastAsia" w:hAnsiTheme="minorEastAsia" w:eastAsiaTheme="minorEastAsia" w:cstheme="minorEastAsia"/>
          <w:bCs/>
          <w:color w:val="auto"/>
          <w:sz w:val="21"/>
          <w:szCs w:val="21"/>
          <w:highlight w:val="none"/>
        </w:rPr>
        <w:t xml:space="preserve">。 </w:t>
      </w:r>
    </w:p>
    <w:p w14:paraId="028207C9">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1.2“乙方”：系指本合同的承包单位，即</w:t>
      </w:r>
      <w:r>
        <w:rPr>
          <w:rFonts w:hint="eastAsia" w:asciiTheme="minorEastAsia" w:hAnsiTheme="minorEastAsia" w:eastAsiaTheme="minorEastAsia" w:cstheme="minorEastAsia"/>
          <w:bCs/>
          <w:color w:val="auto"/>
          <w:sz w:val="21"/>
          <w:szCs w:val="21"/>
          <w:highlight w:val="none"/>
          <w:u w:val="single"/>
        </w:rPr>
        <w:t xml:space="preserve">                             </w:t>
      </w:r>
      <w:r>
        <w:rPr>
          <w:rFonts w:hint="eastAsia" w:asciiTheme="minorEastAsia" w:hAnsiTheme="minorEastAsia" w:eastAsiaTheme="minorEastAsia" w:cstheme="minorEastAsia"/>
          <w:bCs/>
          <w:color w:val="auto"/>
          <w:sz w:val="21"/>
          <w:szCs w:val="21"/>
          <w:highlight w:val="none"/>
        </w:rPr>
        <w:t>。</w:t>
      </w:r>
    </w:p>
    <w:p w14:paraId="6DFE038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1.3“合同补充条款”：系指本项目政府采购合同协议书的补充条款，为合同的组成部分。</w:t>
      </w:r>
    </w:p>
    <w:p w14:paraId="15F4E24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合同附件”：为便于合同的查阅和执行，甲乙双方对本合同正文内容进行必要补充所形成的及其他依双方约定而形成的合同文件，包括但不限于深化（施工图）设计过程中形成并经甲方审核并书面确认的图纸、资料和其它技术文件、预算书、计算书以及其它相关文件。所有合同附件均为本合同不可分割的组成部分。</w:t>
      </w:r>
    </w:p>
    <w:p w14:paraId="60BEE9E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1.5“适用法律”：指由中华人民共和国各级人民代表大会和政府机构发布并生效的法律、法规、行政性规章和其他通知、命令、指示或相关司法解释。</w:t>
      </w:r>
    </w:p>
    <w:p w14:paraId="1499443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1.6“整体</w:t>
      </w:r>
      <w:r>
        <w:rPr>
          <w:rFonts w:hint="eastAsia" w:asciiTheme="minorEastAsia" w:hAnsiTheme="minorEastAsia" w:eastAsiaTheme="minorEastAsia" w:cstheme="minorEastAsia"/>
          <w:bCs/>
          <w:color w:val="auto"/>
          <w:sz w:val="21"/>
          <w:szCs w:val="21"/>
          <w:highlight w:val="none"/>
          <w:lang w:eastAsia="zh-CN"/>
        </w:rPr>
        <w:t>更新改造</w:t>
      </w:r>
      <w:r>
        <w:rPr>
          <w:rFonts w:hint="eastAsia" w:asciiTheme="minorEastAsia" w:hAnsiTheme="minorEastAsia" w:eastAsiaTheme="minorEastAsia" w:cstheme="minorEastAsia"/>
          <w:bCs/>
          <w:color w:val="auto"/>
          <w:sz w:val="21"/>
          <w:szCs w:val="21"/>
          <w:highlight w:val="none"/>
        </w:rPr>
        <w:t xml:space="preserve">”： </w:t>
      </w:r>
    </w:p>
    <w:p w14:paraId="01AA6D8A">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包括文案撰写、布展设计与施工总承包，其中包括基础部分装修、布展的设计与施工总承包及设备采购集成等内容，具体详见本项目招标文件第四章要求。</w:t>
      </w:r>
    </w:p>
    <w:p w14:paraId="5A12A8A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1.7 “验收”系甲方依据组成合同的所有文件,组织有关单位和专家按照规定的程序确认乙方完成合同项下的工作是否符合要求。</w:t>
      </w:r>
    </w:p>
    <w:p w14:paraId="4E2B6CD7">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color w:val="auto"/>
          <w:sz w:val="21"/>
          <w:szCs w:val="21"/>
          <w:highlight w:val="none"/>
        </w:rPr>
        <w:t>2、</w:t>
      </w:r>
      <w:r>
        <w:rPr>
          <w:rFonts w:hint="eastAsia" w:asciiTheme="minorEastAsia" w:hAnsiTheme="minorEastAsia" w:eastAsiaTheme="minorEastAsia" w:cstheme="minorEastAsia"/>
          <w:b/>
          <w:color w:val="auto"/>
          <w:sz w:val="21"/>
          <w:szCs w:val="21"/>
          <w:highlight w:val="none"/>
        </w:rPr>
        <w:t>主导语言和合同的适用法律</w:t>
      </w:r>
    </w:p>
    <w:p w14:paraId="23A3AF4F">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2.1 本合同的主导语言为中文，且以中文表述为准。</w:t>
      </w:r>
    </w:p>
    <w:p w14:paraId="13BA582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2.2 乙方提交的所有文件和图表等均必须用中文编制，技术数据以公制表示。</w:t>
      </w:r>
    </w:p>
    <w:p w14:paraId="5E60737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2.3 合同各方在履约过程中往来的函电等文件均必须用中文书写。原件为外文的，应有中译文，外文原件可以作为附件一并送交对方。</w:t>
      </w:r>
    </w:p>
    <w:p w14:paraId="4B6762F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2.4本合同及其条款的含义和解释以及各方之间的关系受适用法律的限制。“适用法律”的定义见合同补充条款第1.5条。</w:t>
      </w:r>
    </w:p>
    <w:p w14:paraId="5F1E4681">
      <w:pPr>
        <w:adjustRightInd w:val="0"/>
        <w:snapToGrid w:val="0"/>
        <w:spacing w:line="360" w:lineRule="exact"/>
        <w:ind w:firstLine="422"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
          <w:color w:val="auto"/>
          <w:sz w:val="21"/>
          <w:szCs w:val="21"/>
          <w:highlight w:val="none"/>
        </w:rPr>
        <w:t>3、合同范围</w:t>
      </w:r>
    </w:p>
    <w:p w14:paraId="63F61029">
      <w:pPr>
        <w:adjustRightInd w:val="0"/>
        <w:snapToGrid w:val="0"/>
        <w:spacing w:line="360" w:lineRule="exact"/>
        <w:ind w:firstLine="411" w:firstLineChars="196"/>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Cs/>
          <w:color w:val="auto"/>
          <w:sz w:val="21"/>
          <w:szCs w:val="21"/>
          <w:highlight w:val="none"/>
        </w:rPr>
        <w:t>详见本项目招标文件第四章</w:t>
      </w:r>
    </w:p>
    <w:p w14:paraId="701DCBE7">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4、</w:t>
      </w:r>
      <w:r>
        <w:rPr>
          <w:rFonts w:hint="eastAsia" w:asciiTheme="minorEastAsia" w:hAnsiTheme="minorEastAsia" w:eastAsiaTheme="minorEastAsia" w:cstheme="minorEastAsia"/>
          <w:b/>
          <w:color w:val="auto"/>
          <w:sz w:val="21"/>
          <w:szCs w:val="21"/>
          <w:highlight w:val="none"/>
          <w:lang w:eastAsia="zh-CN"/>
        </w:rPr>
        <w:t>乌鲁木齐市城市规划馆展陈更新服务项目</w:t>
      </w:r>
      <w:r>
        <w:rPr>
          <w:rFonts w:hint="eastAsia" w:asciiTheme="minorEastAsia" w:hAnsiTheme="minorEastAsia" w:eastAsiaTheme="minorEastAsia" w:cstheme="minorEastAsia"/>
          <w:b/>
          <w:color w:val="auto"/>
          <w:sz w:val="21"/>
          <w:szCs w:val="21"/>
          <w:highlight w:val="none"/>
        </w:rPr>
        <w:t>的要求</w:t>
      </w:r>
    </w:p>
    <w:p w14:paraId="32EC15AA">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4.1深化设计：中标后，乙方根据甲方对设计方案的优化及完善要求，逐轮对布展设计方案进行优化、深化、完善（含项目清单调整），乙方的深化设计须经甲方及相关部门审查合格后，方可进入下一步的制作施工。</w:t>
      </w:r>
    </w:p>
    <w:p w14:paraId="35B160AF">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4.2施工图设计：乙方的施工图设计须通过甲方和相关部门审查。乙方在完成施工图设计后，将编制的项目清单报甲方审核后实施。</w:t>
      </w:r>
    </w:p>
    <w:p w14:paraId="2D7CB04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4.3乙方应详细编制施工方案，详细叙述关键部位的质量保证措施。</w:t>
      </w:r>
    </w:p>
    <w:p w14:paraId="49AB982B">
      <w:pPr>
        <w:adjustRightInd w:val="0"/>
        <w:snapToGrid w:val="0"/>
        <w:spacing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4.4乙方施工（制作）完成的布展必须达到招</w:t>
      </w:r>
      <w:r>
        <w:rPr>
          <w:rFonts w:hint="eastAsia" w:asciiTheme="minorEastAsia" w:hAnsiTheme="minorEastAsia" w:eastAsiaTheme="minorEastAsia" w:cstheme="minorEastAsia"/>
          <w:color w:val="auto"/>
          <w:sz w:val="21"/>
          <w:szCs w:val="21"/>
          <w:highlight w:val="none"/>
        </w:rPr>
        <w:t>标文件、</w:t>
      </w:r>
      <w:r>
        <w:rPr>
          <w:rFonts w:hint="eastAsia" w:asciiTheme="minorEastAsia" w:hAnsiTheme="minorEastAsia" w:eastAsiaTheme="minorEastAsia" w:cstheme="minorEastAsia"/>
          <w:color w:val="auto"/>
          <w:sz w:val="21"/>
          <w:szCs w:val="21"/>
          <w:highlight w:val="none"/>
          <w:lang w:eastAsia="zh-CN"/>
        </w:rPr>
        <w:t>乌鲁木齐市城市规划馆展陈更新服务项目</w:t>
      </w:r>
      <w:r>
        <w:rPr>
          <w:rFonts w:hint="eastAsia" w:asciiTheme="minorEastAsia" w:hAnsiTheme="minorEastAsia" w:eastAsiaTheme="minorEastAsia" w:cstheme="minorEastAsia"/>
          <w:color w:val="auto"/>
          <w:sz w:val="21"/>
          <w:szCs w:val="21"/>
          <w:highlight w:val="none"/>
        </w:rPr>
        <w:t>深化设计要求的展示效果，如不能达到，在甲方允许的一定时间内进行修改、完善，使其达到对展示效果的承诺，所涉及的费用由乙方负责。若经修改、完善后仍不能达到要求，则甲方有权不支付该展项的费用并处以乙方该展项造价的10-20%的罚款，并要求其承担相关责任。</w:t>
      </w:r>
    </w:p>
    <w:p w14:paraId="1908BA1B">
      <w:pPr>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4.5隐蔽工程经甲方验收合格后方可进入下道工序施工（制作）。</w:t>
      </w:r>
    </w:p>
    <w:p w14:paraId="14A32D8A">
      <w:pPr>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4.6未尽的技术条件及要求均按国家标准和行业标准执行。</w:t>
      </w:r>
    </w:p>
    <w:p w14:paraId="6ACF952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4.7</w:t>
      </w:r>
      <w:r>
        <w:rPr>
          <w:rFonts w:hint="eastAsia" w:asciiTheme="minorEastAsia" w:hAnsiTheme="minorEastAsia" w:eastAsiaTheme="minorEastAsia" w:cstheme="minorEastAsia"/>
          <w:color w:val="auto"/>
          <w:sz w:val="21"/>
          <w:szCs w:val="21"/>
          <w:highlight w:val="none"/>
        </w:rPr>
        <w:t>布展设计与实施的要求和说明：</w:t>
      </w:r>
    </w:p>
    <w:p w14:paraId="400B782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将乌鲁木齐规划馆建设成一处突出规划属性、集中全面展现城市发展成就与未来蓝图的展览馆。</w:t>
      </w:r>
    </w:p>
    <w:p w14:paraId="1F19A04C">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内容要求：主题突出，特色鲜明，内涵丰富，通俗生动，避免雷同。</w:t>
      </w:r>
    </w:p>
    <w:p w14:paraId="608007E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总体布展设计：展陈技术有效服务于展陈内容，做到疏朗有致、创意新颖、大气简洁、形式多样、功能完备，确保布展设计整体和谐、富有节奏感、留下记忆点。</w:t>
      </w:r>
    </w:p>
    <w:p w14:paraId="1F88B88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坚持节约集约的原则，对现状进行评估，分析展馆现有空间利用情况、设施利用情况，在设备清单的基础上进一步明确利旧方案。</w:t>
      </w:r>
    </w:p>
    <w:p w14:paraId="6AA7814A">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各楼层展区设计：充分考虑展馆空间布局和建筑特点，形成开合有致的空间序列、疏密结合的展览布局。在遵循总体布展设计原则的前提下，突出各展区特色。</w:t>
      </w:r>
    </w:p>
    <w:p w14:paraId="502BAFE6">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各楼层展览主题：一层原则保留原“一带一路”主题，补充完善新疆和乌鲁木齐融入“一带一路”倡议的具体行动举措和建设成就；二层重点展览城市总体规划与发展愿景，集中全面展示总体定位、空间布局、交通布局、产业布局、城市风貌、生态布局、城市中心区等内容；三层重点展览八大重点片区规划等；四层重点通过沙盘和影片立体展示城市蓝图与未来愿景，在其他区域展览区(县)规划和专项规划。针对政务接待、商务考察、公众游览等不同的观展场景，合理安排重点展项。对承载重要导览内容的展项应进行重点设计，保障良好的展示氛围、完善的内容表达、新颖的设计形式，合理安排体验性和交互性展项，调节观展体验和节奏。</w:t>
      </w:r>
    </w:p>
    <w:p w14:paraId="6EFDFD49">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功能分区：合理布局展示区域、临展区域、公众参与空间、设备机房、配套空间等，确保符合规范要求且使用便利。</w:t>
      </w:r>
    </w:p>
    <w:p w14:paraId="073C976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参观流线：逻辑合理、流线清晰、标识明确，根据不同参观需求，设置30分钟、45分钟及120分钟等多条参观流线，以及无障碍流线。</w:t>
      </w:r>
    </w:p>
    <w:p w14:paraId="4A50460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装饰风格：配色雅致，高级简约。</w:t>
      </w:r>
    </w:p>
    <w:p w14:paraId="3B5760F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景观设计：考虑单层面积较大的现状，应结合功能分区加强对关键节点的空间优化和设计，以避免观赏疲劳。</w:t>
      </w:r>
    </w:p>
    <w:p w14:paraId="267DA5C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多媒体互动展示：有效运用机械装置+投影、AR、RFID、滑轨屏、人体感应、全景图、场景模拟（VR）等高科技互动手段和多媒体技术设备，并使之深度服务于展陈内容，打造沉浸式、互动体验式的参观模式。</w:t>
      </w:r>
    </w:p>
    <w:p w14:paraId="6E2EDC3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序厅：整体要体现现代感与震撼感。更新提升序厅空间品质，使之成为进入规划馆第一印象空间，具有简约大气、不失亲切舒适的氛围效果；序厅影片在《乌鲁木齐市城市规划馆展陈更新大纲》的基础上进一步深化，从形式上和内容上展现新时代党的治疆方略下的乌鲁木齐实践与成就。</w:t>
      </w:r>
    </w:p>
    <w:p w14:paraId="6D7E8D8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12</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城市沙盘及影片：制作市域沙盘模型，外围小比例表现全域地形地貌特征，中部大比例细腻表现中心城区，着重展现空间格局、产业布局、交通布局、生态布局、城市风貌、城市中心区等，体现现代化国际城市整体形象；沙盘外围可配置触控设备或AR供观众在观看沙盘时自由探索，内容兼顾趣味性和信息的有效性。影片在《乌鲁木齐市城市规划馆展陈更新大纲》基础上进一步深化，展现乌鲁木齐市建设现代化国际城市的蓝图与未来愿景。</w:t>
      </w:r>
    </w:p>
    <w:p w14:paraId="16C3BC3A">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13</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三维数字模型：通过地理空间数据的可视化，形成乌鲁木齐市全域三维数字模型，重点展示中心城区，要求内容丰富、视觉震撼、播放流畅。</w:t>
      </w:r>
    </w:p>
    <w:p w14:paraId="259E2D2F">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其他各类模型：包含且不限于实体模型、场景复原等，模型设计制作要求符合不同场景的展示要求，富有时代气息和城市规划理念（涉及数字化的展示模块需提供具体实施方案和演绎脚本）。需标明模型制作的大小、精致程度、材质和更新措施等。</w:t>
      </w:r>
    </w:p>
    <w:p w14:paraId="2335C0B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公共空间设计：更新提升现有贵宾接待室，增设屏幕及会议设备，使其兼具接待和会议功能。结合馆内重要公共空间如两侧扶梯通高空间、1层贵宾接待室外通廊、4层沙盘观影区后侧墙壁等，结合城市主题和服务功能进行公共空间设计。统筹布局公众休憩空间。结合先进理念及展陈技术，创新打造独具特色的公众参与展项。</w:t>
      </w:r>
    </w:p>
    <w:p w14:paraId="49C0A7E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配套空间设计：配套空间根据整体运行实际情况，按规范要求在相应的区域设置导向标识和公共标识。充分利用现有设施，合理设置休憩区、母婴室、儿童卫生间、无障碍卫生间、参观者物品寄存区等其他空间。遵循儿童友好、老年关爱等理念，构建全龄友好的无障碍环境。</w:t>
      </w:r>
    </w:p>
    <w:p w14:paraId="0A02239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17</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信息化提升：综合打造信息化、智能化规划馆，包括但不限于综合管理平台、网络安全系统、中央控制系统、投影系统、会议系统、安全防范系统、广播系统、查询导览系统、智能照明系统、楼宇自控系统、线上展馆等，以甲方确认的具体需求为准。</w:t>
      </w:r>
    </w:p>
    <w:p w14:paraId="5D6D8E2C">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参观管理及安检：满足参观预约、人员流量监控等展馆日常运行和安全管理需要，实现展馆面向公众的全方位服务。</w:t>
      </w:r>
    </w:p>
    <w:p w14:paraId="158DC52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19</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施工工艺：明确标示各展区采用的结构、材料及工艺，做到绿色、环保、安全，符合各级相关规范和要求。</w:t>
      </w:r>
    </w:p>
    <w:p w14:paraId="6F3109D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20</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消防暖通：根据装饰平面布局调整，对消防、空调、通风、排烟等末端进行适应性调整及优化，确保符合现有消防要求和规范。</w:t>
      </w:r>
    </w:p>
    <w:p w14:paraId="6D180F3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21</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其他：强电配电间和弱电机房设计需满足各级规范和要求。</w:t>
      </w:r>
    </w:p>
    <w:p w14:paraId="337D403F">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4.8布展材料供应：</w:t>
      </w:r>
    </w:p>
    <w:p w14:paraId="0944DB14">
      <w:pPr>
        <w:tabs>
          <w:tab w:val="left" w:pos="753"/>
          <w:tab w:val="left" w:pos="986"/>
        </w:tabs>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次合同范围内的布展材料均由乙方根据本招标文件、深化（施工）设计图纸和国家有关规定的具体要求进行采购、运输、检验、保管。所有材料须有产品合格证和质量保证书，符合节能、绿色环保要求和国家规定的技术标准，并且须经甲方委托的监理单位或具有相应资质的检测机构检测合格后才能使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乙方承担所有费用</w:t>
      </w:r>
      <w:r>
        <w:rPr>
          <w:rFonts w:hint="eastAsia" w:asciiTheme="minorEastAsia" w:hAnsiTheme="minorEastAsia" w:eastAsiaTheme="minorEastAsia" w:cstheme="minorEastAsia"/>
          <w:color w:val="auto"/>
          <w:sz w:val="21"/>
          <w:szCs w:val="21"/>
          <w:highlight w:val="none"/>
        </w:rPr>
        <w:t>。</w:t>
      </w:r>
    </w:p>
    <w:p w14:paraId="3093A582">
      <w:pPr>
        <w:tabs>
          <w:tab w:val="left" w:pos="753"/>
          <w:tab w:val="left" w:pos="986"/>
        </w:tabs>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2）馆内避免使用刺激性气味的装修材料。由乙方采购的主要布展材料，当乙方选定的产品质量达不到设计要求和合同约定标准时，甲方保留更换的权利，如甲方要求更换，由此产生的一切费用乙方承担。</w:t>
      </w:r>
    </w:p>
    <w:p w14:paraId="3CE5643A">
      <w:pPr>
        <w:tabs>
          <w:tab w:val="left" w:pos="753"/>
          <w:tab w:val="left" w:pos="986"/>
        </w:tabs>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3）甲方提供的设备、展品标本一旦移交至乙方，乙方需承担起相关的保管责任，并按甲方的要求分门别类地进行保管。</w:t>
      </w:r>
    </w:p>
    <w:p w14:paraId="08B224B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4.9项目管理的要求：</w:t>
      </w:r>
    </w:p>
    <w:p w14:paraId="147DAE3D">
      <w:pPr>
        <w:tabs>
          <w:tab w:val="left" w:pos="753"/>
        </w:tabs>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1）本项目发包范围内的布展设计及施工，不得违规分包。一经发现立即取消承包资格，作违约处理，并承担由此引起的一切经济损失。</w:t>
      </w:r>
    </w:p>
    <w:p w14:paraId="39ADA607">
      <w:pPr>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根据项目需要和乙方的投标文件，乙方有权将投标文件载明的部分非主体、非关键性工作的专业作业分包给具备相应资质的分包企业完成，具体分包内容由乙方与分包企业协商确定，乙方对委托给分包单位的业务负总责。  </w:t>
      </w:r>
    </w:p>
    <w:p w14:paraId="1E6792FB">
      <w:pPr>
        <w:tabs>
          <w:tab w:val="left" w:pos="753"/>
        </w:tabs>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2）乙方应严格按设计图纸和已确认的施工技术方案组织施工，并无条件地接受甲方委托的监理单位对施工质量的监督和管理。</w:t>
      </w:r>
    </w:p>
    <w:p w14:paraId="6AF3B505">
      <w:pPr>
        <w:tabs>
          <w:tab w:val="left" w:pos="753"/>
        </w:tabs>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3）乙方在投标文件中承诺的项目负责人、设计负责人、施工项目负责人、施工技术负责人</w:t>
      </w:r>
      <w:r>
        <w:rPr>
          <w:rFonts w:hint="eastAsia" w:asciiTheme="minorEastAsia" w:hAnsiTheme="minorEastAsia" w:eastAsiaTheme="minorEastAsia" w:cstheme="minorEastAsia"/>
          <w:color w:val="auto"/>
          <w:sz w:val="21"/>
          <w:szCs w:val="21"/>
          <w:highlight w:val="none"/>
          <w:lang w:eastAsia="zh-CN"/>
        </w:rPr>
        <w:t>、</w:t>
      </w:r>
      <w:r>
        <w:rPr>
          <w:rFonts w:hint="eastAsia" w:ascii="宋体" w:hAnsi="宋体" w:eastAsia="宋体" w:cs="宋体"/>
          <w:snapToGrid w:val="0"/>
          <w:color w:val="auto"/>
          <w:kern w:val="0"/>
          <w:szCs w:val="21"/>
          <w:highlight w:val="none"/>
          <w:lang w:val="en-US" w:eastAsia="zh-CN"/>
        </w:rPr>
        <w:t>安全负责人</w:t>
      </w:r>
      <w:r>
        <w:rPr>
          <w:rFonts w:hint="eastAsia" w:asciiTheme="minorEastAsia" w:hAnsiTheme="minorEastAsia" w:eastAsiaTheme="minorEastAsia" w:cstheme="minorEastAsia"/>
          <w:color w:val="auto"/>
          <w:sz w:val="21"/>
          <w:szCs w:val="21"/>
          <w:highlight w:val="none"/>
        </w:rPr>
        <w:t>及相应资质的专业技术、管理人员必须与实际到岗服务人员一致，且未经</w:t>
      </w:r>
      <w:r>
        <w:rPr>
          <w:rFonts w:hint="eastAsia" w:asciiTheme="minorEastAsia" w:hAnsiTheme="minorEastAsia" w:eastAsiaTheme="minorEastAsia" w:cstheme="minorEastAsia"/>
          <w:color w:val="auto"/>
          <w:sz w:val="21"/>
          <w:szCs w:val="21"/>
          <w:highlight w:val="none"/>
          <w:lang w:eastAsia="zh-CN"/>
        </w:rPr>
        <w:t>采购人</w:t>
      </w:r>
      <w:r>
        <w:rPr>
          <w:rFonts w:hint="eastAsia" w:asciiTheme="minorEastAsia" w:hAnsiTheme="minorEastAsia" w:eastAsiaTheme="minorEastAsia" w:cstheme="minorEastAsia"/>
          <w:color w:val="auto"/>
          <w:sz w:val="21"/>
          <w:szCs w:val="21"/>
          <w:highlight w:val="none"/>
        </w:rPr>
        <w:t>书面同意，</w:t>
      </w:r>
      <w:r>
        <w:rPr>
          <w:rFonts w:hint="eastAsia" w:asciiTheme="minorEastAsia" w:hAnsiTheme="minorEastAsia" w:eastAsiaTheme="minorEastAsia" w:cstheme="minorEastAsia"/>
          <w:color w:val="auto"/>
          <w:sz w:val="21"/>
          <w:szCs w:val="21"/>
          <w:highlight w:val="none"/>
          <w:lang w:eastAsia="zh-CN"/>
        </w:rPr>
        <w:t>中标人</w:t>
      </w:r>
      <w:r>
        <w:rPr>
          <w:rFonts w:hint="eastAsia" w:asciiTheme="minorEastAsia" w:hAnsiTheme="minorEastAsia" w:eastAsiaTheme="minorEastAsia" w:cstheme="minorEastAsia"/>
          <w:color w:val="auto"/>
          <w:sz w:val="21"/>
          <w:szCs w:val="21"/>
          <w:highlight w:val="none"/>
        </w:rPr>
        <w:t>不得调换和撤离，并按工程进度及时到位。甲方有权要求施工单位撤换工作不负责任、管理不力、贻误工期和造成严重的安全事故和工程质量事故、违法乱纪的专业技术、管理人员、项目负责人，直至甲方满意为止，且乙方在接到甲方通知后5天内须委派同等专业资质和工作经验的员工替代。如相关人员未按要求到位，视作违约，甲方有权单方面终止合同并依法追究其造成的经济损失和责任。</w:t>
      </w:r>
    </w:p>
    <w:p w14:paraId="5AA15171">
      <w:pPr>
        <w:tabs>
          <w:tab w:val="left" w:pos="753"/>
        </w:tabs>
        <w:spacing w:before="31" w:beforeLines="10" w:line="360" w:lineRule="exact"/>
        <w:ind w:firstLine="420" w:firstLineChars="2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乙方主要人员配置如下：</w:t>
      </w:r>
    </w:p>
    <w:p w14:paraId="504CE578">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1.</w:t>
      </w:r>
      <w:r>
        <w:rPr>
          <w:rFonts w:hint="eastAsia" w:ascii="宋体" w:hAnsi="宋体" w:eastAsia="宋体" w:cs="Arial"/>
          <w:color w:val="auto"/>
          <w:szCs w:val="21"/>
          <w:highlight w:val="none"/>
          <w:lang w:eastAsia="zh-CN"/>
        </w:rPr>
        <w:t>投标人必须提供</w:t>
      </w:r>
      <w:r>
        <w:rPr>
          <w:rFonts w:hint="eastAsia" w:ascii="宋体" w:hAnsi="宋体" w:eastAsia="宋体" w:cs="Arial"/>
          <w:color w:val="auto"/>
          <w:szCs w:val="21"/>
          <w:highlight w:val="none"/>
        </w:rPr>
        <w:t>以下人员</w:t>
      </w:r>
      <w:r>
        <w:rPr>
          <w:rFonts w:hint="eastAsia" w:ascii="宋体" w:hAnsi="宋体" w:eastAsia="宋体" w:cs="Arial"/>
          <w:color w:val="auto"/>
          <w:szCs w:val="21"/>
          <w:highlight w:val="none"/>
          <w:lang w:val="en-US" w:eastAsia="zh-CN"/>
        </w:rPr>
        <w:t>配置</w:t>
      </w:r>
    </w:p>
    <w:tbl>
      <w:tblPr>
        <w:tblStyle w:val="43"/>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388"/>
        <w:gridCol w:w="935"/>
        <w:gridCol w:w="4252"/>
        <w:gridCol w:w="1549"/>
      </w:tblGrid>
      <w:tr w14:paraId="2819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33" w:type="dxa"/>
            <w:noWrap w:val="0"/>
            <w:vAlign w:val="center"/>
          </w:tcPr>
          <w:p w14:paraId="0538017C">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序号</w:t>
            </w:r>
          </w:p>
        </w:tc>
        <w:tc>
          <w:tcPr>
            <w:tcW w:w="1388" w:type="dxa"/>
            <w:noWrap w:val="0"/>
            <w:vAlign w:val="center"/>
          </w:tcPr>
          <w:p w14:paraId="1C3CBE91">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岗位</w:t>
            </w:r>
          </w:p>
        </w:tc>
        <w:tc>
          <w:tcPr>
            <w:tcW w:w="935" w:type="dxa"/>
            <w:noWrap w:val="0"/>
            <w:vAlign w:val="center"/>
          </w:tcPr>
          <w:p w14:paraId="4743D5B8">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人数</w:t>
            </w:r>
          </w:p>
        </w:tc>
        <w:tc>
          <w:tcPr>
            <w:tcW w:w="4252" w:type="dxa"/>
            <w:noWrap w:val="0"/>
            <w:vAlign w:val="center"/>
          </w:tcPr>
          <w:p w14:paraId="69CEBAD2">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具体要求</w:t>
            </w:r>
          </w:p>
        </w:tc>
        <w:tc>
          <w:tcPr>
            <w:tcW w:w="1549" w:type="dxa"/>
            <w:noWrap w:val="0"/>
            <w:vAlign w:val="center"/>
          </w:tcPr>
          <w:p w14:paraId="0088CF68">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备注</w:t>
            </w:r>
          </w:p>
        </w:tc>
      </w:tr>
      <w:tr w14:paraId="71A1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33" w:type="dxa"/>
            <w:noWrap w:val="0"/>
            <w:vAlign w:val="center"/>
          </w:tcPr>
          <w:p w14:paraId="29D7AAC3">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1</w:t>
            </w:r>
          </w:p>
        </w:tc>
        <w:tc>
          <w:tcPr>
            <w:tcW w:w="1388" w:type="dxa"/>
            <w:noWrap w:val="0"/>
            <w:vAlign w:val="center"/>
          </w:tcPr>
          <w:p w14:paraId="6603E73C">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项目负责人</w:t>
            </w:r>
          </w:p>
        </w:tc>
        <w:tc>
          <w:tcPr>
            <w:tcW w:w="935" w:type="dxa"/>
            <w:noWrap w:val="0"/>
            <w:vAlign w:val="center"/>
          </w:tcPr>
          <w:p w14:paraId="13C72DBF">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1人</w:t>
            </w:r>
          </w:p>
        </w:tc>
        <w:tc>
          <w:tcPr>
            <w:tcW w:w="4252" w:type="dxa"/>
            <w:noWrap w:val="0"/>
            <w:vAlign w:val="center"/>
          </w:tcPr>
          <w:p w14:paraId="385A9587">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具备建筑工程专业一级注册建造师执业资格</w:t>
            </w:r>
          </w:p>
        </w:tc>
        <w:tc>
          <w:tcPr>
            <w:tcW w:w="1549" w:type="dxa"/>
            <w:noWrap w:val="0"/>
            <w:vAlign w:val="center"/>
          </w:tcPr>
          <w:p w14:paraId="2370D770">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可以兼任施工项目负责人</w:t>
            </w:r>
          </w:p>
        </w:tc>
      </w:tr>
      <w:tr w14:paraId="289D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33" w:type="dxa"/>
            <w:noWrap w:val="0"/>
            <w:vAlign w:val="center"/>
          </w:tcPr>
          <w:p w14:paraId="38B2762A">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2</w:t>
            </w:r>
          </w:p>
        </w:tc>
        <w:tc>
          <w:tcPr>
            <w:tcW w:w="1388" w:type="dxa"/>
            <w:noWrap w:val="0"/>
            <w:vAlign w:val="center"/>
          </w:tcPr>
          <w:p w14:paraId="3F804729">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设计负责人</w:t>
            </w:r>
          </w:p>
        </w:tc>
        <w:tc>
          <w:tcPr>
            <w:tcW w:w="935" w:type="dxa"/>
            <w:noWrap w:val="0"/>
            <w:vAlign w:val="center"/>
          </w:tcPr>
          <w:p w14:paraId="449A49EB">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1人</w:t>
            </w:r>
          </w:p>
        </w:tc>
        <w:tc>
          <w:tcPr>
            <w:tcW w:w="4252" w:type="dxa"/>
            <w:noWrap w:val="0"/>
            <w:vAlign w:val="center"/>
          </w:tcPr>
          <w:p w14:paraId="750F4D7D">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具备高级及以上专业技术职称</w:t>
            </w:r>
          </w:p>
        </w:tc>
        <w:tc>
          <w:tcPr>
            <w:tcW w:w="1549" w:type="dxa"/>
            <w:noWrap w:val="0"/>
            <w:vAlign w:val="center"/>
          </w:tcPr>
          <w:p w14:paraId="32E27087">
            <w:pPr>
              <w:adjustRightInd w:val="0"/>
              <w:snapToGrid w:val="0"/>
              <w:spacing w:line="360" w:lineRule="auto"/>
              <w:ind w:firstLine="420" w:firstLineChars="200"/>
              <w:jc w:val="center"/>
              <w:rPr>
                <w:rFonts w:hint="default" w:ascii="宋体" w:hAnsi="宋体" w:cs="宋体"/>
                <w:snapToGrid w:val="0"/>
                <w:color w:val="auto"/>
                <w:kern w:val="0"/>
                <w:szCs w:val="21"/>
                <w:highlight w:val="none"/>
              </w:rPr>
            </w:pPr>
          </w:p>
        </w:tc>
      </w:tr>
      <w:tr w14:paraId="2AEC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noWrap w:val="0"/>
            <w:vAlign w:val="center"/>
          </w:tcPr>
          <w:p w14:paraId="7B6633AD">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3</w:t>
            </w:r>
          </w:p>
        </w:tc>
        <w:tc>
          <w:tcPr>
            <w:tcW w:w="1388" w:type="dxa"/>
            <w:noWrap w:val="0"/>
            <w:vAlign w:val="center"/>
          </w:tcPr>
          <w:p w14:paraId="3C79F2A8">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施工项目负责人</w:t>
            </w:r>
          </w:p>
        </w:tc>
        <w:tc>
          <w:tcPr>
            <w:tcW w:w="935" w:type="dxa"/>
            <w:noWrap w:val="0"/>
            <w:vAlign w:val="center"/>
          </w:tcPr>
          <w:p w14:paraId="25A262A8">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1人</w:t>
            </w:r>
          </w:p>
        </w:tc>
        <w:tc>
          <w:tcPr>
            <w:tcW w:w="4252" w:type="dxa"/>
            <w:noWrap w:val="0"/>
            <w:vAlign w:val="center"/>
          </w:tcPr>
          <w:p w14:paraId="5D07EF30">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具备建筑工程专业一级注册建造师执业资格和项目负责人安全生产考核合格证书</w:t>
            </w:r>
          </w:p>
        </w:tc>
        <w:tc>
          <w:tcPr>
            <w:tcW w:w="1549" w:type="dxa"/>
            <w:noWrap w:val="0"/>
            <w:vAlign w:val="center"/>
          </w:tcPr>
          <w:p w14:paraId="5FBD2093">
            <w:pPr>
              <w:adjustRightInd w:val="0"/>
              <w:snapToGrid w:val="0"/>
              <w:spacing w:line="360" w:lineRule="auto"/>
              <w:ind w:firstLine="420" w:firstLineChars="200"/>
              <w:jc w:val="center"/>
              <w:rPr>
                <w:rFonts w:hint="default" w:ascii="宋体" w:hAnsi="宋体" w:cs="宋体"/>
                <w:snapToGrid w:val="0"/>
                <w:color w:val="auto"/>
                <w:kern w:val="0"/>
                <w:szCs w:val="21"/>
                <w:highlight w:val="none"/>
              </w:rPr>
            </w:pPr>
          </w:p>
        </w:tc>
      </w:tr>
      <w:tr w14:paraId="0E8A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noWrap w:val="0"/>
            <w:vAlign w:val="center"/>
          </w:tcPr>
          <w:p w14:paraId="16847240">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4</w:t>
            </w:r>
          </w:p>
        </w:tc>
        <w:tc>
          <w:tcPr>
            <w:tcW w:w="1388" w:type="dxa"/>
            <w:noWrap w:val="0"/>
            <w:vAlign w:val="center"/>
          </w:tcPr>
          <w:p w14:paraId="565E0489">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施工技术负责人</w:t>
            </w:r>
          </w:p>
        </w:tc>
        <w:tc>
          <w:tcPr>
            <w:tcW w:w="935" w:type="dxa"/>
            <w:noWrap w:val="0"/>
            <w:vAlign w:val="center"/>
          </w:tcPr>
          <w:p w14:paraId="1ADF01C5">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1人</w:t>
            </w:r>
          </w:p>
        </w:tc>
        <w:tc>
          <w:tcPr>
            <w:tcW w:w="4252" w:type="dxa"/>
            <w:noWrap w:val="0"/>
            <w:vAlign w:val="center"/>
          </w:tcPr>
          <w:p w14:paraId="01A080D5">
            <w:pPr>
              <w:adjustRightInd w:val="0"/>
              <w:snapToGrid w:val="0"/>
              <w:spacing w:line="360" w:lineRule="auto"/>
              <w:jc w:val="center"/>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具备建筑工程相关专业高级及以上专业技术职称</w:t>
            </w:r>
          </w:p>
        </w:tc>
        <w:tc>
          <w:tcPr>
            <w:tcW w:w="1549" w:type="dxa"/>
            <w:noWrap w:val="0"/>
            <w:vAlign w:val="center"/>
          </w:tcPr>
          <w:p w14:paraId="7801484A">
            <w:pPr>
              <w:adjustRightInd w:val="0"/>
              <w:snapToGrid w:val="0"/>
              <w:spacing w:line="360" w:lineRule="auto"/>
              <w:ind w:firstLine="420" w:firstLineChars="200"/>
              <w:jc w:val="center"/>
              <w:rPr>
                <w:rFonts w:hint="default" w:ascii="宋体" w:hAnsi="宋体" w:cs="宋体"/>
                <w:snapToGrid w:val="0"/>
                <w:color w:val="auto"/>
                <w:kern w:val="0"/>
                <w:szCs w:val="21"/>
                <w:highlight w:val="none"/>
              </w:rPr>
            </w:pPr>
          </w:p>
        </w:tc>
      </w:tr>
    </w:tbl>
    <w:p w14:paraId="4494B621">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p>
    <w:p w14:paraId="786410DE">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2.除上述人员外，投标人应当根据本项目实际情况，配备中级及以上职称的室内装饰、电气工程、计算机应用技术、工艺美术、空调通风采暖等专业技术团队人员。投标人须在投标文件中提供施工项目部关键岗位人员配备（至少</w:t>
      </w:r>
      <w:r>
        <w:rPr>
          <w:rFonts w:hint="eastAsia" w:ascii="宋体" w:hAnsi="宋体" w:cs="宋体"/>
          <w:snapToGrid w:val="0"/>
          <w:color w:val="auto"/>
          <w:kern w:val="0"/>
          <w:szCs w:val="21"/>
          <w:highlight w:val="none"/>
          <w:lang w:val="en-US" w:eastAsia="zh-CN"/>
        </w:rPr>
        <w:t>4</w:t>
      </w:r>
      <w:r>
        <w:rPr>
          <w:rFonts w:hint="default" w:ascii="宋体" w:hAnsi="宋体" w:cs="宋体"/>
          <w:snapToGrid w:val="0"/>
          <w:color w:val="auto"/>
          <w:kern w:val="0"/>
          <w:szCs w:val="21"/>
          <w:highlight w:val="none"/>
        </w:rPr>
        <w:t xml:space="preserve">人，含施工项目负责人、施工技术负责人）的书面承诺（格式自拟），在工程实施时根据项目需要配备到位，并及时到建设行政主管部门备案。 </w:t>
      </w:r>
    </w:p>
    <w:p w14:paraId="6FF62182">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3.投标人在投标文件中承诺配备的服务团队人员必须与实际到岗服务人员一致，否则视为虚假应标，采购人有权取消其中标资格而不承担违约责任，并依法追究其造成的经济损失和责任。</w:t>
      </w:r>
    </w:p>
    <w:p w14:paraId="38FC3242">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4.投标人中标后需全过程、全流程在地驻场服务，人员配备需满足采购人实际要求。</w:t>
      </w:r>
    </w:p>
    <w:p w14:paraId="53FC6C66">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在本项目服务期限内，中标人原则上不得变更服务团队人员，如因不可抗力，确需变更服务团队人员的，中标人应当提前30天（日历天）以书面形式报告采购人，经采购人书面同意后方可变更，并委派同等专业资质和工作经验的员工替代，否则视为中标人违约，采购人有权解除合同并依法追究其造成的经济损失和责任。</w:t>
      </w:r>
    </w:p>
    <w:p w14:paraId="2D504071">
      <w:pPr>
        <w:adjustRightInd w:val="0"/>
        <w:snapToGrid w:val="0"/>
        <w:spacing w:line="360" w:lineRule="auto"/>
        <w:ind w:firstLine="420" w:firstLineChars="200"/>
        <w:jc w:val="left"/>
        <w:rPr>
          <w:rFonts w:hint="default" w:ascii="宋体" w:hAnsi="宋体" w:cs="宋体"/>
          <w:snapToGrid w:val="0"/>
          <w:color w:val="auto"/>
          <w:kern w:val="0"/>
          <w:szCs w:val="21"/>
          <w:highlight w:val="none"/>
        </w:rPr>
      </w:pPr>
      <w:r>
        <w:rPr>
          <w:rFonts w:hint="default" w:ascii="宋体" w:hAnsi="宋体" w:cs="宋体"/>
          <w:snapToGrid w:val="0"/>
          <w:color w:val="auto"/>
          <w:kern w:val="0"/>
          <w:szCs w:val="21"/>
          <w:highlight w:val="none"/>
        </w:rPr>
        <w:t>在本项目服务期限内，采购人有权要求中标人更换不符合项目实施要求的服务团队人员，且中标人在接到采购人通知后5天内须委派同等专业资质和工作经验的员工替代。否则视为中标人违约，采购人有权解除合同并依法追究其造成的经济损失和责任。</w:t>
      </w:r>
    </w:p>
    <w:p w14:paraId="02EBAA03">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4.10保修的要求：</w:t>
      </w:r>
    </w:p>
    <w:p w14:paraId="4F6B460B">
      <w:pPr>
        <w:tabs>
          <w:tab w:val="left" w:pos="753"/>
        </w:tabs>
        <w:spacing w:before="31" w:beforeLines="10" w:line="360" w:lineRule="exact"/>
        <w:ind w:firstLine="420" w:firstLineChars="200"/>
        <w:rPr>
          <w:rFonts w:hint="eastAsia" w:asciiTheme="minorEastAsia" w:hAnsiTheme="minorEastAsia" w:eastAsiaTheme="minorEastAsia" w:cstheme="minorEastAsia"/>
          <w:color w:val="auto"/>
          <w:sz w:val="21"/>
          <w:szCs w:val="21"/>
          <w:highlight w:val="yellow"/>
        </w:rPr>
      </w:pPr>
      <w:r>
        <w:rPr>
          <w:rFonts w:hint="eastAsia" w:asciiTheme="minorEastAsia" w:hAnsiTheme="minorEastAsia" w:eastAsiaTheme="minorEastAsia" w:cstheme="minorEastAsia"/>
          <w:color w:val="auto"/>
          <w:sz w:val="21"/>
          <w:szCs w:val="21"/>
          <w:highlight w:val="yellow"/>
        </w:rPr>
        <w:t>（1）乙方应提供不少于</w:t>
      </w:r>
      <w:r>
        <w:rPr>
          <w:rFonts w:hint="eastAsia" w:asciiTheme="minorEastAsia" w:hAnsiTheme="minorEastAsia" w:eastAsiaTheme="minorEastAsia" w:cstheme="minorEastAsia"/>
          <w:color w:val="auto"/>
          <w:sz w:val="21"/>
          <w:szCs w:val="21"/>
          <w:highlight w:val="yellow"/>
          <w:u w:val="single"/>
          <w:lang w:val="en-US" w:eastAsia="zh-CN"/>
        </w:rPr>
        <w:t>3</w:t>
      </w:r>
      <w:r>
        <w:rPr>
          <w:rFonts w:hint="eastAsia" w:asciiTheme="minorEastAsia" w:hAnsiTheme="minorEastAsia" w:eastAsiaTheme="minorEastAsia" w:cstheme="minorEastAsia"/>
          <w:color w:val="auto"/>
          <w:sz w:val="21"/>
          <w:szCs w:val="21"/>
          <w:highlight w:val="yellow"/>
          <w:u w:val="single"/>
        </w:rPr>
        <w:t>年</w:t>
      </w:r>
      <w:r>
        <w:rPr>
          <w:rFonts w:hint="eastAsia" w:asciiTheme="minorEastAsia" w:hAnsiTheme="minorEastAsia" w:eastAsiaTheme="minorEastAsia" w:cstheme="minorEastAsia"/>
          <w:color w:val="auto"/>
          <w:sz w:val="21"/>
          <w:szCs w:val="21"/>
          <w:highlight w:val="yellow"/>
        </w:rPr>
        <w:t>的免费保修期（自最终</w:t>
      </w:r>
      <w:r>
        <w:rPr>
          <w:rFonts w:hint="eastAsia" w:asciiTheme="minorEastAsia" w:hAnsiTheme="minorEastAsia" w:eastAsiaTheme="minorEastAsia" w:cstheme="minorEastAsia"/>
          <w:color w:val="auto"/>
          <w:sz w:val="21"/>
          <w:szCs w:val="21"/>
          <w:highlight w:val="yellow"/>
          <w:lang w:val="en-US" w:eastAsia="zh-CN"/>
        </w:rPr>
        <w:t>正式</w:t>
      </w:r>
      <w:r>
        <w:rPr>
          <w:rFonts w:hint="eastAsia" w:asciiTheme="minorEastAsia" w:hAnsiTheme="minorEastAsia" w:eastAsiaTheme="minorEastAsia" w:cstheme="minorEastAsia"/>
          <w:color w:val="auto"/>
          <w:sz w:val="21"/>
          <w:szCs w:val="21"/>
          <w:highlight w:val="yellow"/>
        </w:rPr>
        <w:t>验收合格之日起计）。</w:t>
      </w:r>
    </w:p>
    <w:p w14:paraId="17B90D93">
      <w:pPr>
        <w:tabs>
          <w:tab w:val="left" w:pos="753"/>
        </w:tabs>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保修期内，提供7×24小时的故障服务受理，接到故障报修后，应在2小时内到达现场解决，无法立即解决的问题应在4小时内给出解决方案并于24小时内解决，重点展项（重点展项范围双方在签订合同时约定）应在6小时内解决。</w:t>
      </w:r>
    </w:p>
    <w:p w14:paraId="4FF1B806">
      <w:pPr>
        <w:tabs>
          <w:tab w:val="left" w:pos="753"/>
        </w:tabs>
        <w:spacing w:before="31" w:beforeLines="10"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（3）保修期结束后，乙方仍应对工程保证及时、良好的维护服务。</w:t>
      </w:r>
    </w:p>
    <w:p w14:paraId="2DF99606">
      <w:pPr>
        <w:tabs>
          <w:tab w:val="left" w:pos="753"/>
        </w:tabs>
        <w:spacing w:before="31" w:beforeLines="10" w:line="360" w:lineRule="exact"/>
        <w:ind w:firstLine="420" w:firstLineChars="200"/>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从项目试运行阶段至整体质保期满，乙方须安排至少2名驻场技术人员在规划馆协助维护设备，并迅速完成甲方有关售后服务的工作要求。驻场技术人员须满足：计算机相关专业，同类型场馆三年及以上维保工作经验，具备承担项目必需的专业技能，保障各类展项的可靠、高效、安全、持续的运行，确保展馆的正常开放，按照相关保密要求做好保密工作。</w:t>
      </w:r>
    </w:p>
    <w:p w14:paraId="679C9AC3">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5、工期及延误赔偿</w:t>
      </w:r>
    </w:p>
    <w:p w14:paraId="6066A191">
      <w:pPr>
        <w:adjustRightInd w:val="0"/>
        <w:snapToGrid w:val="0"/>
        <w:spacing w:line="36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5.1 本项目须于</w:t>
      </w:r>
      <w:r>
        <w:rPr>
          <w:rFonts w:hint="eastAsia" w:asciiTheme="minorEastAsia" w:hAnsiTheme="minorEastAsia" w:eastAsiaTheme="minorEastAsia" w:cstheme="minorEastAsia"/>
          <w:bCs/>
          <w:color w:val="auto"/>
          <w:sz w:val="21"/>
          <w:szCs w:val="21"/>
          <w:highlight w:val="none"/>
          <w:u w:val="single"/>
        </w:rPr>
        <w:t xml:space="preserve">      </w:t>
      </w:r>
      <w:r>
        <w:rPr>
          <w:rFonts w:hint="eastAsia" w:asciiTheme="minorEastAsia" w:hAnsiTheme="minorEastAsia" w:eastAsiaTheme="minorEastAsia" w:cstheme="minorEastAsia"/>
          <w:bCs/>
          <w:color w:val="auto"/>
          <w:sz w:val="21"/>
          <w:szCs w:val="21"/>
          <w:highlight w:val="none"/>
        </w:rPr>
        <w:t>年</w:t>
      </w:r>
      <w:r>
        <w:rPr>
          <w:rFonts w:hint="eastAsia" w:asciiTheme="minorEastAsia" w:hAnsiTheme="minorEastAsia" w:eastAsiaTheme="minorEastAsia" w:cstheme="minorEastAsia"/>
          <w:bCs/>
          <w:color w:val="auto"/>
          <w:sz w:val="21"/>
          <w:szCs w:val="21"/>
          <w:highlight w:val="none"/>
          <w:u w:val="single"/>
        </w:rPr>
        <w:t xml:space="preserve">   </w:t>
      </w:r>
      <w:r>
        <w:rPr>
          <w:rFonts w:hint="eastAsia" w:asciiTheme="minorEastAsia" w:hAnsiTheme="minorEastAsia" w:eastAsiaTheme="minorEastAsia" w:cstheme="minorEastAsia"/>
          <w:bCs/>
          <w:color w:val="auto"/>
          <w:sz w:val="21"/>
          <w:szCs w:val="21"/>
          <w:highlight w:val="none"/>
        </w:rPr>
        <w:t>月</w:t>
      </w:r>
      <w:r>
        <w:rPr>
          <w:rFonts w:hint="eastAsia" w:asciiTheme="minorEastAsia" w:hAnsiTheme="minorEastAsia" w:eastAsiaTheme="minorEastAsia" w:cstheme="minorEastAsia"/>
          <w:bCs/>
          <w:color w:val="auto"/>
          <w:sz w:val="21"/>
          <w:szCs w:val="21"/>
          <w:highlight w:val="none"/>
          <w:u w:val="single"/>
        </w:rPr>
        <w:t xml:space="preserve">   </w:t>
      </w:r>
      <w:r>
        <w:rPr>
          <w:rFonts w:hint="eastAsia" w:asciiTheme="minorEastAsia" w:hAnsiTheme="minorEastAsia" w:eastAsiaTheme="minorEastAsia" w:cstheme="minorEastAsia"/>
          <w:bCs/>
          <w:color w:val="auto"/>
          <w:sz w:val="21"/>
          <w:szCs w:val="21"/>
          <w:highlight w:val="none"/>
        </w:rPr>
        <w:t xml:space="preserve">日前达到试运行标准。 </w:t>
      </w:r>
    </w:p>
    <w:p w14:paraId="602B4765">
      <w:pPr>
        <w:adjustRightInd w:val="0"/>
        <w:snapToGrid w:val="0"/>
        <w:spacing w:line="360" w:lineRule="exact"/>
        <w:ind w:firstLine="420"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Cs/>
          <w:color w:val="auto"/>
          <w:sz w:val="21"/>
          <w:szCs w:val="21"/>
          <w:highlight w:val="none"/>
        </w:rPr>
        <w:t>5.2 合同履行的时间节点</w:t>
      </w:r>
    </w:p>
    <w:p w14:paraId="79934C9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5.2.1如因乙方的失误及主观原因造成</w:t>
      </w:r>
      <w:r>
        <w:rPr>
          <w:rFonts w:hint="eastAsia" w:asciiTheme="minorEastAsia" w:hAnsiTheme="minorEastAsia" w:eastAsiaTheme="minorEastAsia" w:cstheme="minorEastAsia"/>
          <w:bCs/>
          <w:color w:val="auto"/>
          <w:sz w:val="21"/>
          <w:szCs w:val="21"/>
          <w:highlight w:val="none"/>
          <w:lang w:val="en-US" w:eastAsia="zh-CN"/>
        </w:rPr>
        <w:t>整体工期</w:t>
      </w:r>
      <w:r>
        <w:rPr>
          <w:rFonts w:hint="eastAsia" w:asciiTheme="minorEastAsia" w:hAnsiTheme="minorEastAsia" w:eastAsiaTheme="minorEastAsia" w:cstheme="minorEastAsia"/>
          <w:bCs/>
          <w:color w:val="auto"/>
          <w:sz w:val="21"/>
          <w:szCs w:val="21"/>
          <w:highlight w:val="none"/>
        </w:rPr>
        <w:t>延误，每延误一天</w:t>
      </w:r>
      <w:r>
        <w:rPr>
          <w:rFonts w:hint="eastAsia" w:asciiTheme="minorEastAsia" w:hAnsiTheme="minorEastAsia" w:eastAsiaTheme="minorEastAsia" w:cstheme="minorEastAsia"/>
          <w:bCs/>
          <w:color w:val="auto"/>
          <w:sz w:val="21"/>
          <w:szCs w:val="21"/>
          <w:highlight w:val="none"/>
          <w:lang w:val="en-US" w:eastAsia="zh-CN"/>
        </w:rPr>
        <w:t>乙方支付甲方10万</w:t>
      </w:r>
      <w:r>
        <w:rPr>
          <w:rFonts w:hint="eastAsia" w:asciiTheme="minorEastAsia" w:hAnsiTheme="minorEastAsia" w:eastAsiaTheme="minorEastAsia" w:cstheme="minorEastAsia"/>
          <w:bCs/>
          <w:color w:val="auto"/>
          <w:sz w:val="21"/>
          <w:szCs w:val="21"/>
          <w:highlight w:val="none"/>
        </w:rPr>
        <w:t>元</w:t>
      </w:r>
      <w:r>
        <w:rPr>
          <w:rFonts w:hint="eastAsia" w:asciiTheme="minorEastAsia" w:hAnsiTheme="minorEastAsia" w:eastAsiaTheme="minorEastAsia" w:cstheme="minorEastAsia"/>
          <w:bCs/>
          <w:color w:val="auto"/>
          <w:sz w:val="21"/>
          <w:szCs w:val="21"/>
          <w:highlight w:val="none"/>
          <w:lang w:val="en-US" w:eastAsia="zh-CN"/>
        </w:rPr>
        <w:t>违约金（甲方可从未支付的合同款项中扣除）</w:t>
      </w:r>
      <w:r>
        <w:rPr>
          <w:rFonts w:hint="eastAsia" w:asciiTheme="minorEastAsia" w:hAnsiTheme="minorEastAsia" w:eastAsiaTheme="minorEastAsia" w:cstheme="minorEastAsia"/>
          <w:bCs/>
          <w:color w:val="auto"/>
          <w:sz w:val="21"/>
          <w:szCs w:val="21"/>
          <w:highlight w:val="none"/>
        </w:rPr>
        <w:t>，并由乙方负相关责任。</w:t>
      </w:r>
    </w:p>
    <w:p w14:paraId="25857800">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5.2.2若深化（施工图）设计成果不能得到甲方的认可，乙方须无条件对设计进行修改及完善。由于乙方深化设计深度不够或设计有误、有漏，导致施工工期及费用的增加均由乙方负责。</w:t>
      </w:r>
    </w:p>
    <w:p w14:paraId="65E3D928">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6、工程计划与进度</w:t>
      </w:r>
    </w:p>
    <w:p w14:paraId="41073B4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6.1 乙方的组织机构</w:t>
      </w:r>
    </w:p>
    <w:p w14:paraId="0101927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乙方在合同签订前应向甲方提供组织机构图，以示其为执行本合同而建立的组织机构，包括为本工程而雇佣的由甲方同意并经甲方书面批准的关键工作人员的身份和履历。如果组织机构图有修改变更，乙方应提前____日书面报甲方同意并经甲方书面批准。</w:t>
      </w:r>
    </w:p>
    <w:p w14:paraId="1A625F5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6.2 工程计划和进度</w:t>
      </w:r>
    </w:p>
    <w:p w14:paraId="30424F8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乙方应根据合同规定的时间节点，向甲方提供工程进度计划表（包括各工作阶段的时间进度及形象节点）作为施工组织设计的内容之一，说明其完成工程的顺序与进度，供甲方审核并经甲方书面批准。乙方应严格按照工程进度计划表施工，以确保在合同规定的时间内完成全部工作。</w:t>
      </w:r>
    </w:p>
    <w:p w14:paraId="2CA7DB0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6.3工作程序和施工组织设计（施工方案）</w:t>
      </w:r>
    </w:p>
    <w:p w14:paraId="5D24266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乙方应在完成深化（施工图）设计后3天内提供一份其为履行合同而制订的工作程序和施工组织设计（施工方案）供甲方审核并报甲方书面批准。施工组织设计应根据项目的特点和要求，分阶段细化提供给甲方审批。</w:t>
      </w:r>
    </w:p>
    <w:p w14:paraId="114B2A7F">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7、制造商/供货商及合同的分包、转包</w:t>
      </w:r>
    </w:p>
    <w:p w14:paraId="248996FC">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7.1 主要货物的制造商/供货商</w:t>
      </w:r>
    </w:p>
    <w:p w14:paraId="282E271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7.1.1 乙方应根据招标文件规定、投标文件的内容及深化（施工图）设计的要求，将制造商/供货商的名单、法人营业执照、相关资质证书（复印件）以及货物的品牌、规格、价格、产地等资料报甲方审核，经审定后非经甲方书面同意不得更换。</w:t>
      </w:r>
    </w:p>
    <w:p w14:paraId="708DC73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7.1.2 乙方应保留为履行本合同而购买货物的文件、资料，以证明该材料和产品的制造商、供货商都是合格的，且不能免除乙方对其所购货物质量应当承担的任何责任。</w:t>
      </w:r>
    </w:p>
    <w:p w14:paraId="284F8BA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7.2 乙方未在投标文件中载明的分包应按照国家、省、市有关规定执行，且经甲方同意，否则，其分包行为无效，法律后果均由乙方自负。</w:t>
      </w:r>
    </w:p>
    <w:p w14:paraId="69D8211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7.3乙方不得将项目进行转包。</w:t>
      </w:r>
    </w:p>
    <w:p w14:paraId="788EB56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7.4乙方违规分包和转包的，须承担分包和转包金额200%的违约金，且甲方有权解除本合同，由此产生的一切损失乙方应当向甲方赔偿且乙方承担一切违约责任。</w:t>
      </w:r>
    </w:p>
    <w:p w14:paraId="553A69E7">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8、现场管理</w:t>
      </w:r>
    </w:p>
    <w:p w14:paraId="2781EF8F">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8.1在合同有效期内，乙方的项目负责人代表乙方负责合同履行。</w:t>
      </w:r>
    </w:p>
    <w:p w14:paraId="243E510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8.1.1乙方的项目负责人将始终代表乙方行事，负责向甲方代表以提交、传达所有乙方的报告、通知、文件、资料和其他信息。</w:t>
      </w:r>
    </w:p>
    <w:p w14:paraId="60CEC36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（1）除非另有规定，甲方提供给乙方的所有通知、指示、命令、证明、批准、确认和其它有关合同的信息应提供给乙方的项目负责人。</w:t>
      </w:r>
    </w:p>
    <w:p w14:paraId="43543A2F">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（2）乙方在征得甲方同意并经甲方书面批准后，可以指定他人替代原指定项目负责人，替代的时间、方式不应导致工程延误、停止或产生代表的权力重复。</w:t>
      </w:r>
    </w:p>
    <w:p w14:paraId="5DAEB4E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8.1.2 如甲方认为乙方雇用的项目负责人或其他工作人员行为不当，或不称职、或玩忽职守，甲方有权要求乙方进行调换，乙方必须执行。</w:t>
      </w:r>
    </w:p>
    <w:p w14:paraId="185E0DE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8.1.3乙方未经甲方书面同意擅自更换项目负责人，甲方有权终止其中标合同，取消其中标资格，且乙方需向甲方支付50万元违约金并追究其相应责任。乙方未经甲方书面同意擅自更换项目班子成员，甲方有权视作乙方违约，乙方按每人10万元向甲方支付违约金并追究其相应责任。</w:t>
      </w:r>
    </w:p>
    <w:p w14:paraId="1E4B34B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8.1.4乙方如要改变投标文件约定的施工组织框架、项目负责人、主要管理人员，都必须征得甲方的书面同意，否则，将被视为违约。</w:t>
      </w:r>
    </w:p>
    <w:p w14:paraId="1F95EDE0">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8.2设计人员与联络</w:t>
      </w:r>
    </w:p>
    <w:p w14:paraId="06A2C92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8.2.1在执行本合同的过程中，乙方担任本次布展工程的设计负责人至现场负责</w:t>
      </w:r>
      <w:r>
        <w:rPr>
          <w:rFonts w:hint="eastAsia" w:asciiTheme="minorEastAsia" w:hAnsiTheme="minorEastAsia" w:eastAsiaTheme="minorEastAsia" w:cstheme="minorEastAsia"/>
          <w:color w:val="auto"/>
          <w:sz w:val="21"/>
          <w:szCs w:val="21"/>
          <w:highlight w:val="none"/>
          <w:lang w:eastAsia="zh-CN"/>
        </w:rPr>
        <w:t>乌鲁木齐市城市规划馆展陈更新服务项目</w:t>
      </w:r>
      <w:r>
        <w:rPr>
          <w:rFonts w:hint="eastAsia" w:asciiTheme="minorEastAsia" w:hAnsiTheme="minorEastAsia" w:eastAsiaTheme="minorEastAsia" w:cstheme="minorEastAsia"/>
          <w:bCs/>
          <w:color w:val="auto"/>
          <w:sz w:val="21"/>
          <w:szCs w:val="21"/>
          <w:highlight w:val="none"/>
        </w:rPr>
        <w:t>管理、联络工作。同时，乙方须委派相应的设计团队在项目工地开展深化（施工图）设计以及设计管理、联络工作。甲方和乙方应该按布展工程的进度和需要，不定期地举行施工情况会议，由甲方、乙方的设计和技术人员参加，乙方负责报告设计进展情况，讨论解决布展工程建设中的技术问题或修改设计等技术问题，会议所需费用已包含在总价内。</w:t>
      </w:r>
    </w:p>
    <w:p w14:paraId="66A9AC2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8.2.2乙方未经甲方书面同意擅自更换设计负责人，甲方有权终止其中标合同，取消其中标资格，且乙方需向甲方支付50万元违约金并追究其相应责任。乙方未经业主书面同意擅自更换设计班子成员，甲方有权视作乙方违约，按每人10万元向甲方支付违约金并追究其相应责任。</w:t>
      </w:r>
    </w:p>
    <w:p w14:paraId="091A2983">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8.2.3乙方如要改变投标文件约定的设计组织框架、设计负责人、主要设计人员，都必须征得甲方的书面同意，否则，将被视为违约，向甲方支付50万元违约金，并向甲方承担违约责任。</w:t>
      </w:r>
    </w:p>
    <w:p w14:paraId="2CA6B0C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8.3现场管理制度</w:t>
      </w:r>
    </w:p>
    <w:p w14:paraId="30DDA71C">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乙方应根据甲方的规章制度及相关的行业规章、惯例制定现场管理制度，订立各项规定、要求，在现场作业执行合同时遵守。这些制度应包括但不限于以下内容：</w:t>
      </w:r>
    </w:p>
    <w:p w14:paraId="330B27B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（1）乙方工作人员（包括主要设计人员）现场工作制度；</w:t>
      </w:r>
    </w:p>
    <w:p w14:paraId="0E2FE6CA">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（2）施工现场的财物和工程的保管及维护；</w:t>
      </w:r>
    </w:p>
    <w:p w14:paraId="5B1B931F">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（3）安全保卫；</w:t>
      </w:r>
    </w:p>
    <w:p w14:paraId="5CCC522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（4）消防措施；</w:t>
      </w:r>
    </w:p>
    <w:p w14:paraId="503A5E6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（5）安全作业；</w:t>
      </w:r>
    </w:p>
    <w:p w14:paraId="344262C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（6）文明施工措施；</w:t>
      </w:r>
    </w:p>
    <w:p w14:paraId="7EFCCBD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（7）门卫制度；</w:t>
      </w:r>
    </w:p>
    <w:p w14:paraId="240C965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（8）卫生防疫；</w:t>
      </w:r>
    </w:p>
    <w:p w14:paraId="13813B1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（9）保护周边环境；</w:t>
      </w:r>
    </w:p>
    <w:p w14:paraId="2AFC551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（10）遵守甲方的日常规章制度。</w:t>
      </w:r>
    </w:p>
    <w:p w14:paraId="2B7D82A0">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乙方应在本合同文本签署生效后7天内将上述制度、规定、要求送交甲方审核确认并经甲方书面批准，以示对甲方的承诺和保证。</w:t>
      </w:r>
    </w:p>
    <w:p w14:paraId="104411B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8.4施工安全</w:t>
      </w:r>
    </w:p>
    <w:p w14:paraId="0738838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8.4.1 乙方依法对所施工的工程安全生产工作全面负责，是安全生产第一责任人。乙方驻场项目部要设有专职安全员管理施工现场的安全生产工作，安全员要求持证上岗。要结合本项目实际，认真组织开展各项安全生产自查工作。</w:t>
      </w:r>
    </w:p>
    <w:p w14:paraId="6FFB0BF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8.4.2乙方进入甲方提供的施工场地后，应遵守甲方的相关规定并在其施工的范围内设置明显标志以保证安全。如发生任何意外事故（包括但不限于人身或财产损害），乙方应负全责。</w:t>
      </w:r>
    </w:p>
    <w:p w14:paraId="383A999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8.4.3 乙方应在施工现场配备足够的安全防范器材和设施，以保证应付可能出现的任何意外情况。</w:t>
      </w:r>
    </w:p>
    <w:p w14:paraId="09C1CE9C">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8.4.4 项目的施工安全须严格落实国家和地方有关要求。布展施工中，乙方严禁擅自改动建筑主体、承重结构，施工不能超出结构的承载力，确保布展期间无安全事故。</w:t>
      </w:r>
    </w:p>
    <w:p w14:paraId="76273DF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8.4.5乙方须建立健全安全生产责任制度和安全教育培训制度，制定安全生产规章制度和操作规程，对所承担的工程进行定期和专项安全检查，检查中发现隐患或违章作业应及时停业整改。如有较大安全隐患必须及时向甲方和安全管理部门汇报，并制定具体应对措施。</w:t>
      </w:r>
    </w:p>
    <w:p w14:paraId="1843D88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8.5 应急工作</w:t>
      </w:r>
    </w:p>
    <w:p w14:paraId="2AF679F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在执行合同过程中出现紧急情况，乙方应紧急进行保护或补救工作以避免对工程造成损害。</w:t>
      </w:r>
    </w:p>
    <w:p w14:paraId="01005E2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8.6 清理现场</w:t>
      </w:r>
    </w:p>
    <w:p w14:paraId="0DE4C27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乙方必须自负费用及时清除处理在现场产生的废弃物。项目完工时，应自负费用将所有的废料、杂物及临时设施等清除干净并运离施工现场至合法弃置的场所，并自行承担所有费用。</w:t>
      </w:r>
    </w:p>
    <w:p w14:paraId="6065CA23">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9、采购</w:t>
      </w:r>
    </w:p>
    <w:p w14:paraId="30498D6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9.1 产品与材料的采购</w:t>
      </w:r>
    </w:p>
    <w:p w14:paraId="6ABE8689">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乙方应按照时间进度与计划及甲方的要求将合同货物运到现场，产生的相关费用和保管责任由乙方负责。</w:t>
      </w:r>
    </w:p>
    <w:p w14:paraId="28B8474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9.2 如涉及进口货物，进口货物的报关及相关手续由乙方自行办理，并将相关资料（包括产品清单）及整套单据复印件递交甲方。进口货物的采购、运输、报关等必须符合国家相关规定。</w:t>
      </w:r>
    </w:p>
    <w:p w14:paraId="45072D8F">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10、测试、检验与试运转</w:t>
      </w:r>
    </w:p>
    <w:p w14:paraId="2C26D5E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10.1乙方应根据合同规定并自负费用在货物的制造地、展区内或施工现场对布展工程的产品及材料、安装与施工、装饰与装修等与布展工程有关的任何部分进行测试、检验或试运转。</w:t>
      </w:r>
    </w:p>
    <w:p w14:paraId="1AE2451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10.2乙方要进行测试、检验与试运转，应在3天前通知甲方，并提供给甲方一份测试、检验或试运转结果合格的证明报告，所需的费用已包含在合同总价内。</w:t>
      </w:r>
    </w:p>
    <w:p w14:paraId="4A33D00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10.3甲方的检验人员出席或不出席工程的测试、检验或试运转及甲方的检验人员签发证明，并不取代对工程的最终检验和验收，且都不能减免乙方根据合同条款所承担的责任和义务。</w:t>
      </w:r>
    </w:p>
    <w:p w14:paraId="4AA258C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10.4测试、检验或试运转的要求按国家有关规范执行。</w:t>
      </w:r>
    </w:p>
    <w:p w14:paraId="50A70A2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10.5隐蔽工程的检查</w:t>
      </w:r>
    </w:p>
    <w:p w14:paraId="07812A0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10.5.1未经甲方批准，工程的任何部分均不得覆盖或掩盖。乙方应保证甲方有充分的机会对将予以覆盖或掩蔽的任何此类工程部分进行检查和测量。无论何时，当任何此类工程已准备好可供检查时，乙方应及时通知甲方的检验人员参加对其的检查和检验，除非甲方代表书面通知乙方其检验人员将不参加该项检查和检验。</w:t>
      </w:r>
    </w:p>
    <w:p w14:paraId="511FC146">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10.5.2未经甲方批准，乙方擅自覆盖或掩盖，甲方可以随时指示对工程的某部分进行剥露、在其内或贯穿开孔，对乙方合同项下的工程进行检查，乙方应予执行，且在检查结束后重新修复至原状。所需的费用已包含在合同总价内。</w:t>
      </w:r>
    </w:p>
    <w:p w14:paraId="6C00A66E">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11、调试</w:t>
      </w:r>
    </w:p>
    <w:p w14:paraId="21421A6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11.1 预调试</w:t>
      </w:r>
    </w:p>
    <w:p w14:paraId="4DA91EC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11.1.1布展工程的全部或部分施工安装完工，乙方应开始进行或组织进行预调试，为正式调试做准备。</w:t>
      </w:r>
    </w:p>
    <w:p w14:paraId="2EE6558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11.1.2甲方应在与乙方商定的时间内提供预调试及调试所需供水、供电等条件。</w:t>
      </w:r>
    </w:p>
    <w:p w14:paraId="3D3A2FD9">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11.2 调试</w:t>
      </w:r>
    </w:p>
    <w:p w14:paraId="75A68AA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11.2.1乙方在预调试完成后即进行或组织调试工作。调试分为布展工程的单体调试和联合调试。</w:t>
      </w:r>
    </w:p>
    <w:p w14:paraId="0841159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11.2.2在乙方认为展示已在稳定状态下运转时，乙方应书面通知甲方可对布展工程（或其部分）进行性能检验。</w:t>
      </w:r>
    </w:p>
    <w:p w14:paraId="16936B2A">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11.3 性能检验</w:t>
      </w:r>
    </w:p>
    <w:p w14:paraId="56ED3A19">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11.3.1性能检验（可多次进行）应由乙方在布展工程的调试期间进行，以确定布展工程是否已达到布展工程总体展示功能保证。</w:t>
      </w:r>
    </w:p>
    <w:p w14:paraId="3CF00E9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11.3.2如果布展工程的性能检验未能在安装完工以后15天或双方书面同意的其他期限内完成，则应认为乙方未完成其布展工程的总体展示效果及质量保证。</w:t>
      </w:r>
    </w:p>
    <w:p w14:paraId="47BD91E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11.3.3如果性能检验结果未能达到本项目合同要求的总体展示效果和质量保证规定的工作性能，乙方应自负费用自行或督促该布展工程包括展项/展品承建商对该展区布展工程做必要的更改、修正或增补以使其至少达到这些效果和保证。乙方在上述更改、修正、增补结束后，应通知甲方并应重复进行性能检验直至到达到要求。在此情况下，本合同完工工期不予延长。</w:t>
      </w:r>
    </w:p>
    <w:p w14:paraId="2AE2152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11.3.4如乙方依合同补充条款第11.3.3条未能达到布展工程的总体展示效果及质量保证，甲方可选择：</w:t>
      </w:r>
    </w:p>
    <w:p w14:paraId="2828395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（1）要求乙方对未达到布展工程的总体展示效果及质量保证的部分依本合同承担违约责任（包括赔偿由此对甲方造成的损失）。</w:t>
      </w:r>
    </w:p>
    <w:p w14:paraId="1AC984C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（2）甲方可解除合同并追究乙方的违约责任。</w:t>
      </w:r>
    </w:p>
    <w:p w14:paraId="58D7C81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11.3.5尽管有合同补充条款第11.3.3条和第11.3.4条，如果甲方经过与乙方协商后确定上述性能检验结果未能达到本合同要求，系乙方设计或工艺有问题并不能通过适当的修正以达到布展工程的总体展示功能保证，甲方可根据合同补充条款第14.1条的规定选择合同解除，即属乙方违约而解除合同。</w:t>
      </w:r>
    </w:p>
    <w:p w14:paraId="7238567B">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项目的性能检验合格后，乙方向甲方提出初步验收申请并组织实施。</w:t>
      </w:r>
    </w:p>
    <w:p w14:paraId="048DF66A">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12、现场的保护与保管</w:t>
      </w:r>
    </w:p>
    <w:p w14:paraId="7F306CD3">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12.1 所有权的转移</w:t>
      </w:r>
    </w:p>
    <w:p w14:paraId="2981BA49">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乙方依本合同采购的任何货物，应约定在货物调试完成后，所有权归甲方所有。所有货物乙方应负责保管并承担责任直到按照本政府合同协议书第5.3条规定的布展工程通过正式验收为止。</w:t>
      </w:r>
    </w:p>
    <w:p w14:paraId="444C1880">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12.2 工程照管</w:t>
      </w:r>
    </w:p>
    <w:p w14:paraId="74B06D10">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在任何情况下，乙方对布展工程（或其部分，包括但不限于货物、成品、材料、已完工工程）的保护照管的责任均应持续到布展工程正式验收合格且移交甲方接收之日，并自负费用使布展工程在此期间所受损坏恢复完好。乙方应承担由其制造商/供货商或第三方在此期间发生的损坏责任。</w:t>
      </w:r>
    </w:p>
    <w:p w14:paraId="198B8AFE">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13、合同变更</w:t>
      </w:r>
    </w:p>
    <w:p w14:paraId="770DED1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因国家法律法规政策变化或其他不可抗力所造成的合同变更，经双方协商后，按</w:t>
      </w:r>
      <w:r>
        <w:rPr>
          <w:rFonts w:hint="eastAsia" w:asciiTheme="minorEastAsia" w:hAnsiTheme="minorEastAsia" w:eastAsiaTheme="minorEastAsia" w:cstheme="minorEastAsia"/>
          <w:bCs/>
          <w:color w:val="auto"/>
          <w:sz w:val="21"/>
          <w:szCs w:val="21"/>
          <w:highlight w:val="none"/>
          <w:lang w:eastAsia="zh-CN"/>
        </w:rPr>
        <w:t>乌鲁木齐</w:t>
      </w:r>
      <w:r>
        <w:rPr>
          <w:rFonts w:hint="eastAsia" w:asciiTheme="minorEastAsia" w:hAnsiTheme="minorEastAsia" w:eastAsiaTheme="minorEastAsia" w:cstheme="minorEastAsia"/>
          <w:bCs/>
          <w:color w:val="auto"/>
          <w:sz w:val="21"/>
          <w:szCs w:val="21"/>
          <w:highlight w:val="none"/>
        </w:rPr>
        <w:t>市有关规定另行签订补充协议，且协议内容必须符合国家法律法规及政策要求。</w:t>
      </w:r>
    </w:p>
    <w:p w14:paraId="46F25D3F">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14、合同的终止</w:t>
      </w:r>
    </w:p>
    <w:p w14:paraId="1102B30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14.1如果发生下述情况，甲方可以直接向乙方发出书面解除通知书（“解除通知”）以解除合同：</w:t>
      </w:r>
    </w:p>
    <w:p w14:paraId="2E81CBB0">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（1）如果乙方破产或无力偿债，或收到证明破产的命令，或公司歇业命令已下（除为合并或重建的目的而进行的自发清算）；</w:t>
      </w:r>
    </w:p>
    <w:p w14:paraId="4FBEF6F3">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（2）如果乙方违反合同补充条款第7条的规定转让合同或任何权利、利益与义务；</w:t>
      </w:r>
    </w:p>
    <w:p w14:paraId="70128A5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（3）如果乙方严重违约，导致合同全部或部分不能履行；</w:t>
      </w:r>
    </w:p>
    <w:p w14:paraId="0A6566D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（4）乙方提交的深化（施工图）设计成果、交付的货物、工程质量及提供的服务，与合同要求明显不符，又不按照甲方书面通知进行纠正、整改；</w:t>
      </w:r>
    </w:p>
    <w:p w14:paraId="6112022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（5）乙方无正当理由未能按项目进度规定的日期内完成其合同义务；</w:t>
      </w:r>
    </w:p>
    <w:p w14:paraId="26B5760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（6）如果乙方已放弃合同或否认合同有效；</w:t>
      </w:r>
    </w:p>
    <w:p w14:paraId="0B8A4F93">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（7）乙方在收到甲方要求开工通知后超过</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天，无有效理由而不能迅速开工或推迟工程进程；</w:t>
      </w:r>
    </w:p>
    <w:p w14:paraId="75DC1B26">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（8）乙方不能根据合同施工要求或忽视履行合同项下的义务已达三次，或者没有采取补救措施而造成甲方损失或重大人员伤亡。</w:t>
      </w:r>
    </w:p>
    <w:p w14:paraId="08D6BD9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（9）因不可抗力原因导致合同无法履行。</w:t>
      </w:r>
    </w:p>
    <w:p w14:paraId="3B98D5E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（10）因乙方自身原因造成停工</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日以上。</w:t>
      </w:r>
    </w:p>
    <w:p w14:paraId="6EF665D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14.2合同解除后，甲方有权委托其它承建商按乙方的设计文件继续进行布展工程的建设。</w:t>
      </w:r>
    </w:p>
    <w:p w14:paraId="449A5B8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14.3 乙方收到上述解除通知，应立即或按解除通知书中规定的日期：</w:t>
      </w:r>
    </w:p>
    <w:p w14:paraId="63B39153">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（1）停止一切进一步的工作，甲方出于保护已执行部分工程的唯一目的而在解除通知书中规定的工作除外；</w:t>
      </w:r>
    </w:p>
    <w:p w14:paraId="6212056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（2）解除一切子合同，并自行承担其法律责任与费用；</w:t>
      </w:r>
    </w:p>
    <w:p w14:paraId="17CF428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（3）在解除日将已完工部分交给甲方；</w:t>
      </w:r>
    </w:p>
    <w:p w14:paraId="5F43F61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w:t>
      </w:r>
      <w:r>
        <w:rPr>
          <w:rFonts w:hint="eastAsia" w:asciiTheme="minorEastAsia" w:hAnsiTheme="minorEastAsia" w:eastAsiaTheme="minorEastAsia" w:cstheme="minorEastAsia"/>
          <w:bCs/>
          <w:color w:val="auto"/>
          <w:spacing w:val="-4"/>
          <w:sz w:val="21"/>
          <w:szCs w:val="21"/>
          <w:highlight w:val="none"/>
        </w:rPr>
        <w:t>在解除日将乙方对工程及货物的所有权利、所有权及利益转交给甲方，如果</w:t>
      </w:r>
      <w:r>
        <w:rPr>
          <w:rFonts w:hint="eastAsia" w:asciiTheme="minorEastAsia" w:hAnsiTheme="minorEastAsia" w:eastAsiaTheme="minorEastAsia" w:cstheme="minorEastAsia"/>
          <w:bCs/>
          <w:color w:val="auto"/>
          <w:sz w:val="21"/>
          <w:szCs w:val="21"/>
          <w:highlight w:val="none"/>
        </w:rPr>
        <w:t>甲方</w:t>
      </w:r>
      <w:r>
        <w:rPr>
          <w:rFonts w:hint="eastAsia" w:asciiTheme="minorEastAsia" w:hAnsiTheme="minorEastAsia" w:eastAsiaTheme="minorEastAsia" w:cstheme="minorEastAsia"/>
          <w:bCs/>
          <w:color w:val="auto"/>
          <w:spacing w:val="-4"/>
          <w:sz w:val="21"/>
          <w:szCs w:val="21"/>
          <w:highlight w:val="none"/>
        </w:rPr>
        <w:t>提出</w:t>
      </w:r>
      <w:r>
        <w:rPr>
          <w:rFonts w:hint="eastAsia" w:asciiTheme="minorEastAsia" w:hAnsiTheme="minorEastAsia" w:eastAsiaTheme="minorEastAsia" w:cstheme="minorEastAsia"/>
          <w:bCs/>
          <w:color w:val="auto"/>
          <w:sz w:val="21"/>
          <w:szCs w:val="21"/>
          <w:highlight w:val="none"/>
        </w:rPr>
        <w:t>要求，还要转让所有乙方与制造商/供货商间达成的分包合同之权利及义务；并且在解除日乙方将其准备的与工程有关的图纸、规格说明及其它文件交给甲方。</w:t>
      </w:r>
    </w:p>
    <w:p w14:paraId="68EDC9E9">
      <w:pPr>
        <w:spacing w:line="360" w:lineRule="exact"/>
        <w:ind w:firstLine="407" w:firstLineChars="194"/>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14.4倘若发生上述终止后，甲方应将在终止合同日前按合同进度支付相应合同金额给乙方。</w:t>
      </w:r>
    </w:p>
    <w:p w14:paraId="0B4DB896">
      <w:pPr>
        <w:spacing w:line="360" w:lineRule="exact"/>
        <w:ind w:firstLine="407" w:firstLineChars="194"/>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14.5无论任何原因，中途终止合同后，乙方应根据甲方要求，无条件配合甲方完善已完项目质量检验、验收资料移交等相关事宜，同时应按甲方要求无条件配合甲方办理合同终止的相关事宜。否则，从甲方要求完成之日起至乙方实际完成日，按每天1万元累计计算违约金。如因此影响甲方后续施工、竣工验收等的，乙方还应按前项有关逾期退场的约定承担违约责任。</w:t>
      </w:r>
    </w:p>
    <w:p w14:paraId="5EB7DB6B">
      <w:pPr>
        <w:spacing w:line="360" w:lineRule="exact"/>
        <w:ind w:firstLine="407" w:firstLineChars="194"/>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14.6 无论任何原因，中途终止合同后，乙方均应对已完成的合格项目内容质量负责并承担保修责任，如因质量原因造成甲方或第三人损失的，乙方应当承担赔偿责任。乙方对已完成的合格工程质量负责的期限与附件保修协议中约定的保修期限一致。</w:t>
      </w:r>
    </w:p>
    <w:p w14:paraId="25B49DC2">
      <w:pPr>
        <w:adjustRightInd w:val="0"/>
        <w:snapToGrid w:val="0"/>
        <w:spacing w:line="36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15、质量保证期、维护维修、培训和其他技术服务</w:t>
      </w:r>
    </w:p>
    <w:p w14:paraId="33629A97">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yellow"/>
        </w:rPr>
        <w:t>15.1 乙方提交的布展工程成果的质量保证期为布展工程的联动调试完毕，甲方对布展工程的正式验收通过后的</w:t>
      </w:r>
      <w:r>
        <w:rPr>
          <w:rFonts w:hint="eastAsia" w:asciiTheme="minorEastAsia" w:hAnsiTheme="minorEastAsia" w:eastAsiaTheme="minorEastAsia" w:cstheme="minorEastAsia"/>
          <w:bCs/>
          <w:color w:val="auto"/>
          <w:sz w:val="21"/>
          <w:szCs w:val="21"/>
          <w:highlight w:val="yellow"/>
          <w:lang w:val="en-US" w:eastAsia="zh-CN"/>
        </w:rPr>
        <w:t>3</w:t>
      </w:r>
      <w:r>
        <w:rPr>
          <w:rFonts w:hint="eastAsia" w:asciiTheme="minorEastAsia" w:hAnsiTheme="minorEastAsia" w:eastAsiaTheme="minorEastAsia" w:cstheme="minorEastAsia"/>
          <w:bCs/>
          <w:color w:val="auto"/>
          <w:sz w:val="21"/>
          <w:szCs w:val="21"/>
          <w:highlight w:val="yellow"/>
        </w:rPr>
        <w:t>年。</w:t>
      </w:r>
      <w:r>
        <w:rPr>
          <w:rFonts w:hint="eastAsia" w:asciiTheme="minorEastAsia" w:hAnsiTheme="minorEastAsia" w:eastAsiaTheme="minorEastAsia" w:cstheme="minorEastAsia"/>
          <w:bCs/>
          <w:color w:val="auto"/>
          <w:sz w:val="21"/>
          <w:szCs w:val="21"/>
          <w:highlight w:val="none"/>
        </w:rPr>
        <w:t>质保期从正式验收合格并交付使用之日开始计算，质保期内出现质量问题，由乙方负责维修并承担维修费用。乙方应与甲方签订《工程质量保修书》作为合同附件。质量保证期内维护、维修所发生的费用由乙方承担。</w:t>
      </w:r>
    </w:p>
    <w:p w14:paraId="10E4F549">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16.2 对多媒体内容（包括但不限于三维数字模型、影片、动画、图片、文字、软件等）以及实体沙盘、模型、展板等提供为期不少于</w:t>
      </w:r>
      <w:r>
        <w:rPr>
          <w:rFonts w:hint="eastAsia" w:asciiTheme="minorEastAsia" w:hAnsiTheme="minorEastAsia" w:eastAsiaTheme="minorEastAsia" w:cstheme="minorEastAsia"/>
          <w:bCs/>
          <w:color w:val="auto"/>
          <w:sz w:val="21"/>
          <w:szCs w:val="21"/>
          <w:highlight w:val="yellow"/>
        </w:rPr>
        <w:t>3年</w:t>
      </w:r>
      <w:r>
        <w:rPr>
          <w:rFonts w:hint="eastAsia" w:asciiTheme="minorEastAsia" w:hAnsiTheme="minorEastAsia" w:eastAsiaTheme="minorEastAsia" w:cstheme="minorEastAsia"/>
          <w:bCs/>
          <w:color w:val="auto"/>
          <w:sz w:val="21"/>
          <w:szCs w:val="21"/>
          <w:highlight w:val="yellow"/>
          <w:lang w:val="en-US" w:eastAsia="zh-CN"/>
        </w:rPr>
        <w:t>全免费</w:t>
      </w:r>
      <w:r>
        <w:rPr>
          <w:rFonts w:hint="eastAsia" w:asciiTheme="minorEastAsia" w:hAnsiTheme="minorEastAsia" w:eastAsiaTheme="minorEastAsia" w:cstheme="minorEastAsia"/>
          <w:bCs/>
          <w:color w:val="auto"/>
          <w:sz w:val="21"/>
          <w:szCs w:val="21"/>
          <w:highlight w:val="yellow"/>
        </w:rPr>
        <w:t>的修改、更新、更替、升级等服务，3年后按成本价格提供服务（在本次投标中作出承诺即可）。</w:t>
      </w:r>
      <w:r>
        <w:rPr>
          <w:rFonts w:hint="eastAsia" w:asciiTheme="minorEastAsia" w:hAnsiTheme="minorEastAsia" w:eastAsiaTheme="minorEastAsia" w:cstheme="minorEastAsia"/>
          <w:bCs/>
          <w:color w:val="auto"/>
          <w:sz w:val="21"/>
          <w:szCs w:val="21"/>
          <w:highlight w:val="none"/>
        </w:rPr>
        <w:t>从项目试运行开始，提供上述所有内容的可编辑源文件，去除演示水印及加密措施。若影片发生修改，需在修改后的10个工作日内提供可编辑的源文件。</w:t>
      </w:r>
    </w:p>
    <w:p w14:paraId="69C70E29">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16.3 从项目试运行阶段至整体质保期满，乙方须安排至少2名驻场技术人员在规划馆协助维护设备，并迅速完成甲方有关售后服务的工作要求。驻场技术人员须满足：计算机相关专业，同类型场馆三年及以上维保工作经验，具备承担项目必需的专业技能，保障各类展项的可靠、高效、安全、持续的运行，确保展馆的正常开放，按照相关保密要求做好保密工作。</w:t>
      </w:r>
    </w:p>
    <w:p w14:paraId="0E0CB7FE">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16.4 在甲方授权管理范围内，乙方应免费安排对甲方的技术人员和维护、维修或操作人员进行布展工程设施的操作、运行的培训，以便甲方的上述人员能够正确地掌握设施的操作、运行及维修方法，保证布展工程的正常运行。</w:t>
      </w:r>
    </w:p>
    <w:p w14:paraId="7A06BD01">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16.5 乙方负责向甲方提供其他技术服务，包括履行质量保证期内的责任，提供足量的备品、备件并提供消耗品清单，以及本布展工程建设和运行期间的技术咨询、服务与技术指导。</w:t>
      </w:r>
    </w:p>
    <w:p w14:paraId="18F70C6C">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16.6 如乙方未全面或部分履行上述义务，甲方有权自行或另派其它单位承担上述工作，由此发生的一切费用（包括甲方的管理费用）在乙方的剩余合同款中扣除。</w:t>
      </w:r>
    </w:p>
    <w:p w14:paraId="5D24426D">
      <w:pPr>
        <w:adjustRightInd w:val="0"/>
        <w:snapToGrid w:val="0"/>
        <w:spacing w:line="34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17、竣工技术文件的交付</w:t>
      </w:r>
    </w:p>
    <w:p w14:paraId="68539D77">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在布展工程的联动联调完毕，布展工程经甲方正式验收通过前，乙方应向甲方提交下述技术文件与资料并取得甲方的审核与书面批准：</w:t>
      </w:r>
    </w:p>
    <w:p w14:paraId="3C4A7825">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17.1 竣工文字资料（一式陆份装订文本和两份电子文本），包括但不限于：</w:t>
      </w:r>
    </w:p>
    <w:p w14:paraId="406890DE">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开工报告</w:t>
      </w:r>
    </w:p>
    <w:p w14:paraId="3773891E">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竣工报告</w:t>
      </w:r>
    </w:p>
    <w:p w14:paraId="1F06BCA5">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项目小结</w:t>
      </w:r>
    </w:p>
    <w:p w14:paraId="303C6DF2">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竣工数量表</w:t>
      </w:r>
    </w:p>
    <w:p w14:paraId="0589C2ED">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单体调试质量检验评定表</w:t>
      </w:r>
    </w:p>
    <w:p w14:paraId="34B2FBE2">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联调质量检验评定表</w:t>
      </w:r>
    </w:p>
    <w:p w14:paraId="61C32ACA">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布展工程施工、安装记录</w:t>
      </w:r>
    </w:p>
    <w:p w14:paraId="31F39942">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隐蔽工程施工、安装记录</w:t>
      </w:r>
    </w:p>
    <w:p w14:paraId="7D7ABFC0">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试验报告</w:t>
      </w:r>
    </w:p>
    <w:p w14:paraId="13F9B0EB">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17.2 竣工图纸资料（一式陆份装订文本和两份电子文本），包括但不限于：</w:t>
      </w:r>
    </w:p>
    <w:p w14:paraId="567B5EF2">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总平面图</w:t>
      </w:r>
    </w:p>
    <w:p w14:paraId="468C681B">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总接线图</w:t>
      </w:r>
    </w:p>
    <w:p w14:paraId="1D1DDD9F">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深化（施工图）设计图纸</w:t>
      </w:r>
    </w:p>
    <w:p w14:paraId="1FEFD29F">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竣工图纸</w:t>
      </w:r>
    </w:p>
    <w:p w14:paraId="7495FE03">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17.3 各个展示主题的操作手册和说明书（一式陆份印刷文本和两份电子文本）。</w:t>
      </w:r>
    </w:p>
    <w:p w14:paraId="49D09796">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17.4 其他甲方认为必须提交的技术文件。</w:t>
      </w:r>
    </w:p>
    <w:p w14:paraId="20306A28">
      <w:pPr>
        <w:adjustRightInd w:val="0"/>
        <w:snapToGrid w:val="0"/>
        <w:spacing w:line="34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18、税费</w:t>
      </w:r>
    </w:p>
    <w:p w14:paraId="057511F1">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在履行本合同时，乙方应按规定缴纳为履行本合同产生的所有税费，税费已包含在甲方支付给乙方的合同总价内。</w:t>
      </w:r>
    </w:p>
    <w:p w14:paraId="5E923877">
      <w:pPr>
        <w:adjustRightInd w:val="0"/>
        <w:snapToGrid w:val="0"/>
        <w:spacing w:line="34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19、保险</w:t>
      </w:r>
    </w:p>
    <w:p w14:paraId="29153BF4">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与本项目相关的所有保险由乙方负责购买。</w:t>
      </w:r>
    </w:p>
    <w:p w14:paraId="6891295F">
      <w:pPr>
        <w:adjustRightInd w:val="0"/>
        <w:snapToGrid w:val="0"/>
        <w:spacing w:line="340" w:lineRule="exact"/>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20、保密与知识产权</w:t>
      </w:r>
    </w:p>
    <w:p w14:paraId="2E17F0DB">
      <w:pPr>
        <w:adjustRightInd w:val="0"/>
        <w:snapToGrid w:val="0"/>
        <w:spacing w:line="340" w:lineRule="exact"/>
        <w:ind w:firstLine="420" w:firstLineChars="200"/>
        <w:rPr>
          <w:rFonts w:hint="eastAsia" w:asciiTheme="minorEastAsia" w:hAnsiTheme="minorEastAsia" w:eastAsiaTheme="minorEastAsia" w:cstheme="minorEastAsia"/>
          <w:bCs/>
          <w:color w:val="auto"/>
          <w:spacing w:val="4"/>
          <w:sz w:val="21"/>
          <w:szCs w:val="21"/>
          <w:highlight w:val="none"/>
        </w:rPr>
      </w:pPr>
      <w:r>
        <w:rPr>
          <w:rFonts w:hint="eastAsia" w:asciiTheme="minorEastAsia" w:hAnsiTheme="minorEastAsia" w:eastAsiaTheme="minorEastAsia" w:cstheme="minorEastAsia"/>
          <w:bCs/>
          <w:color w:val="auto"/>
          <w:sz w:val="21"/>
          <w:szCs w:val="21"/>
          <w:highlight w:val="none"/>
        </w:rPr>
        <w:t>20.1</w:t>
      </w:r>
      <w:r>
        <w:rPr>
          <w:rFonts w:hint="eastAsia" w:asciiTheme="minorEastAsia" w:hAnsiTheme="minorEastAsia" w:eastAsiaTheme="minorEastAsia" w:cstheme="minorEastAsia"/>
          <w:bCs/>
          <w:color w:val="auto"/>
          <w:spacing w:val="4"/>
          <w:sz w:val="21"/>
          <w:szCs w:val="21"/>
          <w:highlight w:val="none"/>
        </w:rPr>
        <w:t>乙方应确保其按照本合同要求所提交的设计文件、布展工程及为完成</w:t>
      </w:r>
      <w:r>
        <w:rPr>
          <w:rFonts w:hint="eastAsia" w:asciiTheme="minorEastAsia" w:hAnsiTheme="minorEastAsia" w:eastAsiaTheme="minorEastAsia" w:cstheme="minorEastAsia"/>
          <w:bCs/>
          <w:color w:val="auto"/>
          <w:sz w:val="21"/>
          <w:szCs w:val="21"/>
          <w:highlight w:val="none"/>
        </w:rPr>
        <w:t>布展工程</w:t>
      </w:r>
      <w:r>
        <w:rPr>
          <w:rFonts w:hint="eastAsia" w:asciiTheme="minorEastAsia" w:hAnsiTheme="minorEastAsia" w:eastAsiaTheme="minorEastAsia" w:cstheme="minorEastAsia"/>
          <w:bCs/>
          <w:color w:val="auto"/>
          <w:spacing w:val="4"/>
          <w:sz w:val="21"/>
          <w:szCs w:val="21"/>
          <w:highlight w:val="none"/>
        </w:rPr>
        <w:t>而实施的工作没有侵犯任何人的著作权、专利权、商标权及其他知识产权。乙方保证不会因其履行合同义务而引起的在专利权、经注册的技术以及其他知识产权方面，发生针对甲方的任何第三方的索赔。如有发生，乙方将负责处理并承担由此引起的法律责任以及包括律师费用在内的一切费用及损害赔偿。乙方对一切侵权指控负责。</w:t>
      </w:r>
    </w:p>
    <w:p w14:paraId="21FC4D04">
      <w:pPr>
        <w:adjustRightInd w:val="0"/>
        <w:snapToGrid w:val="0"/>
        <w:spacing w:line="34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20.2 乙方为履行本合同所形成的深化（施工图）设计成果及其他任何成果（包括但不限于音像资料、电脑软件等）的完整知识产权均属甲方所有，乙方负有保密义务。乙方在布展工程中使用的由</w:t>
      </w:r>
      <w:r>
        <w:rPr>
          <w:rFonts w:hint="eastAsia" w:asciiTheme="minorEastAsia" w:hAnsiTheme="minorEastAsia" w:eastAsiaTheme="minorEastAsia" w:cstheme="minorEastAsia"/>
          <w:bCs/>
          <w:color w:val="auto"/>
          <w:spacing w:val="4"/>
          <w:sz w:val="21"/>
          <w:szCs w:val="21"/>
          <w:highlight w:val="none"/>
        </w:rPr>
        <w:t>甲方</w:t>
      </w:r>
      <w:r>
        <w:rPr>
          <w:rFonts w:hint="eastAsia" w:asciiTheme="minorEastAsia" w:hAnsiTheme="minorEastAsia" w:eastAsiaTheme="minorEastAsia" w:cstheme="minorEastAsia"/>
          <w:bCs/>
          <w:color w:val="auto"/>
          <w:sz w:val="21"/>
          <w:szCs w:val="21"/>
          <w:highlight w:val="none"/>
        </w:rPr>
        <w:t>提供的所有资料，包括但不限于本合同及附件、招标文件、设计文件及说明等资料的所有权和知识产权均属于甲方。在未事先征得</w:t>
      </w:r>
      <w:r>
        <w:rPr>
          <w:rFonts w:hint="eastAsia" w:asciiTheme="minorEastAsia" w:hAnsiTheme="minorEastAsia" w:eastAsiaTheme="minorEastAsia" w:cstheme="minorEastAsia"/>
          <w:bCs/>
          <w:color w:val="auto"/>
          <w:spacing w:val="4"/>
          <w:sz w:val="21"/>
          <w:szCs w:val="21"/>
          <w:highlight w:val="none"/>
        </w:rPr>
        <w:t>甲方</w:t>
      </w:r>
      <w:r>
        <w:rPr>
          <w:rFonts w:hint="eastAsia" w:asciiTheme="minorEastAsia" w:hAnsiTheme="minorEastAsia" w:eastAsiaTheme="minorEastAsia" w:cstheme="minorEastAsia"/>
          <w:bCs/>
          <w:color w:val="auto"/>
          <w:sz w:val="21"/>
          <w:szCs w:val="21"/>
          <w:highlight w:val="none"/>
        </w:rPr>
        <w:t>书面同意的情况下，乙方及其任何人员不得发表、引用或向第三方提供或泄漏与项目、本合同或</w:t>
      </w:r>
      <w:r>
        <w:rPr>
          <w:rFonts w:hint="eastAsia" w:asciiTheme="minorEastAsia" w:hAnsiTheme="minorEastAsia" w:eastAsiaTheme="minorEastAsia" w:cstheme="minorEastAsia"/>
          <w:bCs/>
          <w:color w:val="auto"/>
          <w:spacing w:val="4"/>
          <w:sz w:val="21"/>
          <w:szCs w:val="21"/>
          <w:highlight w:val="none"/>
        </w:rPr>
        <w:t>甲方</w:t>
      </w:r>
      <w:r>
        <w:rPr>
          <w:rFonts w:hint="eastAsia" w:asciiTheme="minorEastAsia" w:hAnsiTheme="minorEastAsia" w:eastAsiaTheme="minorEastAsia" w:cstheme="minorEastAsia"/>
          <w:bCs/>
          <w:color w:val="auto"/>
          <w:sz w:val="21"/>
          <w:szCs w:val="21"/>
          <w:highlight w:val="none"/>
        </w:rPr>
        <w:t>的业务活动有关的资料，以及在合同履行过程中已经形成的制作成果或文字资料。即使乙方并非为了营利目的，如广告宣传、介绍业绩等而采用与项目、本合同或</w:t>
      </w:r>
      <w:r>
        <w:rPr>
          <w:rFonts w:hint="eastAsia" w:asciiTheme="minorEastAsia" w:hAnsiTheme="minorEastAsia" w:eastAsiaTheme="minorEastAsia" w:cstheme="minorEastAsia"/>
          <w:bCs/>
          <w:color w:val="auto"/>
          <w:spacing w:val="4"/>
          <w:sz w:val="21"/>
          <w:szCs w:val="21"/>
          <w:highlight w:val="none"/>
        </w:rPr>
        <w:t>甲方</w:t>
      </w:r>
      <w:r>
        <w:rPr>
          <w:rFonts w:hint="eastAsia" w:asciiTheme="minorEastAsia" w:hAnsiTheme="minorEastAsia" w:eastAsiaTheme="minorEastAsia" w:cstheme="minorEastAsia"/>
          <w:bCs/>
          <w:color w:val="auto"/>
          <w:sz w:val="21"/>
          <w:szCs w:val="21"/>
          <w:highlight w:val="none"/>
        </w:rPr>
        <w:t>的业务活动有关的文字、图像、模型等，均必须事先经</w:t>
      </w:r>
      <w:r>
        <w:rPr>
          <w:rFonts w:hint="eastAsia" w:asciiTheme="minorEastAsia" w:hAnsiTheme="minorEastAsia" w:eastAsiaTheme="minorEastAsia" w:cstheme="minorEastAsia"/>
          <w:bCs/>
          <w:color w:val="auto"/>
          <w:spacing w:val="4"/>
          <w:sz w:val="21"/>
          <w:szCs w:val="21"/>
          <w:highlight w:val="none"/>
        </w:rPr>
        <w:t>甲方</w:t>
      </w:r>
      <w:r>
        <w:rPr>
          <w:rFonts w:hint="eastAsia" w:asciiTheme="minorEastAsia" w:hAnsiTheme="minorEastAsia" w:eastAsiaTheme="minorEastAsia" w:cstheme="minorEastAsia"/>
          <w:bCs/>
          <w:color w:val="auto"/>
          <w:sz w:val="21"/>
          <w:szCs w:val="21"/>
          <w:highlight w:val="none"/>
        </w:rPr>
        <w:t>书面同意。</w:t>
      </w:r>
    </w:p>
    <w:p w14:paraId="2F355153">
      <w:pPr>
        <w:rPr>
          <w:rFonts w:hint="eastAsia" w:asciiTheme="minorEastAsia" w:hAnsiTheme="minorEastAsia" w:eastAsiaTheme="minorEastAsia" w:cstheme="minorEastAsia"/>
          <w:color w:val="auto"/>
          <w:sz w:val="21"/>
          <w:szCs w:val="21"/>
          <w:highlight w:val="none"/>
        </w:rPr>
      </w:pPr>
    </w:p>
    <w:p w14:paraId="05932768">
      <w:pPr>
        <w:rPr>
          <w:rFonts w:hint="eastAsia" w:asciiTheme="minorEastAsia" w:hAnsiTheme="minorEastAsia" w:eastAsiaTheme="minorEastAsia" w:cstheme="minorEastAsia"/>
          <w:color w:val="auto"/>
          <w:sz w:val="21"/>
          <w:szCs w:val="21"/>
          <w:highlight w:val="none"/>
        </w:rPr>
      </w:pPr>
    </w:p>
    <w:p w14:paraId="0F3C4BF0">
      <w:pPr>
        <w:rPr>
          <w:rFonts w:hint="eastAsia" w:asciiTheme="minorEastAsia" w:hAnsiTheme="minorEastAsia" w:eastAsiaTheme="minorEastAsia" w:cstheme="minorEastAsia"/>
          <w:color w:val="auto"/>
          <w:sz w:val="21"/>
          <w:szCs w:val="21"/>
          <w:highlight w:val="none"/>
        </w:rPr>
      </w:pPr>
    </w:p>
    <w:p w14:paraId="4278F5E9">
      <w:pPr>
        <w:rPr>
          <w:rFonts w:hint="eastAsia" w:asciiTheme="minorEastAsia" w:hAnsiTheme="minorEastAsia" w:eastAsiaTheme="minorEastAsia" w:cstheme="minorEastAsia"/>
          <w:color w:val="auto"/>
          <w:sz w:val="21"/>
          <w:szCs w:val="21"/>
          <w:highlight w:val="none"/>
        </w:rPr>
      </w:pPr>
    </w:p>
    <w:p w14:paraId="77A2AB4B">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45215215">
      <w:pPr>
        <w:spacing w:line="3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附件</w:t>
      </w:r>
    </w:p>
    <w:p w14:paraId="68BCE14A">
      <w:pPr>
        <w:spacing w:line="36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工程质量保修书</w:t>
      </w:r>
    </w:p>
    <w:p w14:paraId="0F437D5D">
      <w:pPr>
        <w:spacing w:line="360" w:lineRule="exact"/>
        <w:jc w:val="center"/>
        <w:rPr>
          <w:rFonts w:hint="eastAsia" w:asciiTheme="minorEastAsia" w:hAnsiTheme="minorEastAsia" w:eastAsiaTheme="minorEastAsia" w:cstheme="minorEastAsia"/>
          <w:b/>
          <w:color w:val="auto"/>
          <w:sz w:val="21"/>
          <w:szCs w:val="21"/>
          <w:highlight w:val="none"/>
        </w:rPr>
      </w:pPr>
    </w:p>
    <w:p w14:paraId="260C6A81">
      <w:pPr>
        <w:snapToGrid w:val="0"/>
        <w:spacing w:before="120" w:line="360" w:lineRule="exact"/>
        <w:ind w:firstLine="525" w:firstLineChars="25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甲方：</w:t>
      </w:r>
      <w:r>
        <w:rPr>
          <w:rFonts w:hint="eastAsia" w:asciiTheme="minorEastAsia" w:hAnsiTheme="minorEastAsia" w:eastAsiaTheme="minorEastAsia" w:cstheme="minorEastAsia"/>
          <w:color w:val="auto"/>
          <w:sz w:val="21"/>
          <w:szCs w:val="21"/>
          <w:highlight w:val="none"/>
          <w:u w:val="single"/>
          <w:lang w:eastAsia="zh-CN"/>
        </w:rPr>
        <w:t>乌鲁木齐市自然资源局</w:t>
      </w:r>
    </w:p>
    <w:p w14:paraId="440BF460">
      <w:pPr>
        <w:snapToGrid w:val="0"/>
        <w:spacing w:before="120" w:line="360" w:lineRule="exact"/>
        <w:ind w:firstLine="525" w:firstLineChars="25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乙方：</w:t>
      </w:r>
      <w:r>
        <w:rPr>
          <w:rFonts w:hint="eastAsia" w:asciiTheme="minorEastAsia" w:hAnsiTheme="minorEastAsia" w:eastAsiaTheme="minorEastAsia" w:cstheme="minorEastAsia"/>
          <w:color w:val="auto"/>
          <w:sz w:val="21"/>
          <w:szCs w:val="21"/>
          <w:highlight w:val="none"/>
          <w:u w:val="single"/>
        </w:rPr>
        <w:t xml:space="preserve">                    </w:t>
      </w:r>
    </w:p>
    <w:p w14:paraId="65E2D78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中标人</w:t>
      </w:r>
      <w:r>
        <w:rPr>
          <w:rFonts w:hint="eastAsia" w:asciiTheme="minorEastAsia" w:hAnsiTheme="minorEastAsia" w:eastAsiaTheme="minorEastAsia" w:cstheme="minorEastAsia"/>
          <w:bCs/>
          <w:color w:val="auto"/>
          <w:sz w:val="21"/>
          <w:szCs w:val="21"/>
          <w:highlight w:val="none"/>
        </w:rPr>
        <w:t xml:space="preserve">（乙方，下同）根据《中华人民共和国建筑法》《建筑工程质量管理条例》和《房屋建筑工程质量保修办法》，对 </w:t>
      </w:r>
      <w:r>
        <w:rPr>
          <w:rFonts w:hint="eastAsia" w:asciiTheme="minorEastAsia" w:hAnsiTheme="minorEastAsia" w:eastAsiaTheme="minorEastAsia" w:cstheme="minorEastAsia"/>
          <w:color w:val="auto"/>
          <w:sz w:val="21"/>
          <w:szCs w:val="21"/>
          <w:highlight w:val="none"/>
          <w:u w:val="single"/>
          <w:lang w:eastAsia="zh-CN"/>
        </w:rPr>
        <w:t>乌鲁木齐市城市规划馆展陈更新服务项目</w:t>
      </w:r>
      <w:r>
        <w:rPr>
          <w:rFonts w:hint="eastAsia" w:asciiTheme="minorEastAsia" w:hAnsiTheme="minorEastAsia" w:eastAsiaTheme="minorEastAsia" w:cstheme="minorEastAsia"/>
          <w:color w:val="auto"/>
          <w:sz w:val="21"/>
          <w:szCs w:val="21"/>
          <w:highlight w:val="none"/>
        </w:rPr>
        <w:t>特作此</w:t>
      </w:r>
      <w:r>
        <w:rPr>
          <w:rFonts w:hint="eastAsia" w:asciiTheme="minorEastAsia" w:hAnsiTheme="minorEastAsia" w:eastAsiaTheme="minorEastAsia" w:cstheme="minorEastAsia"/>
          <w:bCs/>
          <w:color w:val="auto"/>
          <w:sz w:val="21"/>
          <w:szCs w:val="21"/>
          <w:highlight w:val="none"/>
        </w:rPr>
        <w:t>工程质量保修书的承诺。</w:t>
      </w:r>
    </w:p>
    <w:p w14:paraId="5040E55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工程质量保修范围和内容</w:t>
      </w:r>
    </w:p>
    <w:p w14:paraId="7744BB7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乙方在质量保修期内，按照有关法律、法规、规章的管理规定和</w:t>
      </w:r>
      <w:r>
        <w:rPr>
          <w:rFonts w:hint="eastAsia" w:asciiTheme="minorEastAsia" w:hAnsiTheme="minorEastAsia" w:eastAsiaTheme="minorEastAsia" w:cstheme="minorEastAsia"/>
          <w:bCs/>
          <w:color w:val="auto"/>
          <w:sz w:val="21"/>
          <w:szCs w:val="21"/>
          <w:highlight w:val="none"/>
          <w:lang w:eastAsia="zh-CN"/>
        </w:rPr>
        <w:t>采购人</w:t>
      </w:r>
      <w:r>
        <w:rPr>
          <w:rFonts w:hint="eastAsia" w:asciiTheme="minorEastAsia" w:hAnsiTheme="minorEastAsia" w:eastAsiaTheme="minorEastAsia" w:cstheme="minorEastAsia"/>
          <w:bCs/>
          <w:color w:val="auto"/>
          <w:sz w:val="21"/>
          <w:szCs w:val="21"/>
          <w:highlight w:val="none"/>
        </w:rPr>
        <w:t>（甲方，下同）的要求，承担本工程质量保修责任。</w:t>
      </w:r>
    </w:p>
    <w:p w14:paraId="4E06F90A">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质量保修范围：</w:t>
      </w:r>
      <w:r>
        <w:rPr>
          <w:rFonts w:hint="eastAsia" w:asciiTheme="minorEastAsia" w:hAnsiTheme="minorEastAsia" w:eastAsiaTheme="minorEastAsia" w:cstheme="minorEastAsia"/>
          <w:bCs/>
          <w:color w:val="auto"/>
          <w:sz w:val="21"/>
          <w:szCs w:val="21"/>
          <w:highlight w:val="none"/>
          <w:lang w:eastAsia="zh-CN"/>
        </w:rPr>
        <w:t>乌鲁木齐市城市规划馆展陈更新服务项目</w:t>
      </w:r>
      <w:r>
        <w:rPr>
          <w:rFonts w:hint="eastAsia" w:asciiTheme="minorEastAsia" w:hAnsiTheme="minorEastAsia" w:eastAsiaTheme="minorEastAsia" w:cstheme="minorEastAsia"/>
          <w:bCs/>
          <w:color w:val="auto"/>
          <w:sz w:val="21"/>
          <w:szCs w:val="21"/>
          <w:highlight w:val="none"/>
        </w:rPr>
        <w:t>展区内的所有内容。</w:t>
      </w:r>
    </w:p>
    <w:p w14:paraId="3123C219">
      <w:pPr>
        <w:adjustRightInd w:val="0"/>
        <w:snapToGrid w:val="0"/>
        <w:spacing w:line="360" w:lineRule="exact"/>
        <w:ind w:firstLine="422" w:firstLineChars="20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质量保修期</w:t>
      </w:r>
    </w:p>
    <w:p w14:paraId="578BD3C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根据《建筑工程质量管理条例》及有关规定，承诺本工程的质量保修期如下：</w:t>
      </w:r>
    </w:p>
    <w:p w14:paraId="352424F8">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1．质量保修期为</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 xml:space="preserve">年； </w:t>
      </w:r>
    </w:p>
    <w:p w14:paraId="20BA20E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2．质量保修期自工程竣工</w:t>
      </w:r>
      <w:r>
        <w:rPr>
          <w:rFonts w:hint="eastAsia" w:asciiTheme="minorEastAsia" w:hAnsiTheme="minorEastAsia" w:eastAsiaTheme="minorEastAsia" w:cstheme="minorEastAsia"/>
          <w:bCs/>
          <w:color w:val="auto"/>
          <w:sz w:val="21"/>
          <w:szCs w:val="21"/>
          <w:highlight w:val="none"/>
          <w:lang w:val="en-US" w:eastAsia="zh-CN"/>
        </w:rPr>
        <w:t>正式</w:t>
      </w:r>
      <w:r>
        <w:rPr>
          <w:rFonts w:hint="eastAsia" w:asciiTheme="minorEastAsia" w:hAnsiTheme="minorEastAsia" w:eastAsiaTheme="minorEastAsia" w:cstheme="minorEastAsia"/>
          <w:bCs/>
          <w:color w:val="auto"/>
          <w:sz w:val="21"/>
          <w:szCs w:val="21"/>
          <w:highlight w:val="none"/>
        </w:rPr>
        <w:t>验收合格并交付使用之日起计算。</w:t>
      </w:r>
    </w:p>
    <w:p w14:paraId="7967E0D3">
      <w:pPr>
        <w:adjustRightInd w:val="0"/>
        <w:snapToGrid w:val="0"/>
        <w:spacing w:line="360" w:lineRule="exact"/>
        <w:ind w:firstLine="422" w:firstLineChars="200"/>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质量保修责任</w:t>
      </w:r>
    </w:p>
    <w:p w14:paraId="38BF7833">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 属于保修范围、内容的项目，乙方应当在接到保修通知之日起24小时内派人保修，乙方不在约定期限内实行上述保修的，甲方可以委托第三方修理，费用在乙方合同款中扣除，不足部分由乙方补足。</w:t>
      </w:r>
    </w:p>
    <w:p w14:paraId="2C6CD734">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 发生紧急抢修事故的，乙方在接到事故通知后，应当立即到达事故现场抢修。</w:t>
      </w:r>
    </w:p>
    <w:p w14:paraId="78F8EFDE">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3．乙方若未能按时按质完成保修，愿承担由此造成的一切直接或间接损失，并按每延期1天承担剩余合同价款的___作为违约金，甲方有权从剩余合同价款中将损失扣除，不足部分由乙方补足。</w:t>
      </w:r>
    </w:p>
    <w:p w14:paraId="7F248136">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 对于涉及结构安全的质量问题，应当按照《房屋建筑工程质量保修办法》的规定，立即向当地建设行政主管部门报告，采取安全防范措施；由原设计单位或者具有相应资质等级的设计单位提出保修方案，乙方实施保修。</w:t>
      </w:r>
    </w:p>
    <w:p w14:paraId="0113DD00">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 质量保修完成后，由甲方组织验收。</w:t>
      </w:r>
    </w:p>
    <w:p w14:paraId="4ADEBBFA">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保修费用</w:t>
      </w:r>
    </w:p>
    <w:p w14:paraId="336556C5">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保修费用由承包方承担。</w:t>
      </w:r>
    </w:p>
    <w:p w14:paraId="1D7D95B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质量保修联系</w:t>
      </w:r>
    </w:p>
    <w:p w14:paraId="0AF0C2A2">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质量保修负责人： </w:t>
      </w:r>
    </w:p>
    <w:p w14:paraId="44B52D8D">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单位名称和地址： </w:t>
      </w:r>
    </w:p>
    <w:p w14:paraId="12BA7ED1">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 xml:space="preserve">联系电话和手机： </w:t>
      </w:r>
    </w:p>
    <w:p w14:paraId="4DE3CD8B">
      <w:pPr>
        <w:numPr>
          <w:ilvl w:val="0"/>
          <w:numId w:val="13"/>
        </w:num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其他</w:t>
      </w:r>
    </w:p>
    <w:p w14:paraId="5802A3BA">
      <w:pPr>
        <w:adjustRightInd w:val="0"/>
        <w:snapToGrid w:val="0"/>
        <w:spacing w:line="360" w:lineRule="exact"/>
        <w:ind w:firstLine="420" w:firstLineChars="2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双方约定的其他工程质量保修事项：</w:t>
      </w:r>
    </w:p>
    <w:p w14:paraId="30419674">
      <w:pPr>
        <w:snapToGrid w:val="0"/>
        <w:spacing w:before="120" w:line="360" w:lineRule="exact"/>
        <w:ind w:left="435"/>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u w:val="single"/>
        </w:rPr>
        <w:t xml:space="preserve">                                      /                                        </w:t>
      </w:r>
      <w:r>
        <w:rPr>
          <w:rFonts w:hint="eastAsia" w:asciiTheme="minorEastAsia" w:hAnsiTheme="minorEastAsia" w:eastAsiaTheme="minorEastAsia" w:cstheme="minorEastAsia"/>
          <w:color w:val="auto"/>
          <w:sz w:val="21"/>
          <w:szCs w:val="21"/>
          <w:highlight w:val="none"/>
        </w:rPr>
        <w:t>。</w:t>
      </w:r>
    </w:p>
    <w:p w14:paraId="00077245">
      <w:pPr>
        <w:snapToGrid w:val="0"/>
        <w:spacing w:before="120" w:line="360" w:lineRule="exact"/>
        <w:ind w:firstLine="435"/>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本工程质量保修书，由施工合同乙方在竣工验收前签署，作为施工合同附件，其有效期限至保修期满。</w:t>
      </w:r>
    </w:p>
    <w:p w14:paraId="6F074CE5">
      <w:pPr>
        <w:spacing w:line="360" w:lineRule="exact"/>
        <w:ind w:firstLine="435"/>
        <w:rPr>
          <w:rFonts w:hint="eastAsia" w:asciiTheme="minorEastAsia" w:hAnsiTheme="minorEastAsia" w:eastAsiaTheme="minorEastAsia" w:cstheme="minorEastAsia"/>
          <w:color w:val="auto"/>
          <w:sz w:val="21"/>
          <w:szCs w:val="21"/>
          <w:highlight w:val="none"/>
        </w:rPr>
      </w:pPr>
    </w:p>
    <w:p w14:paraId="35B7A94E">
      <w:pPr>
        <w:spacing w:line="360" w:lineRule="exact"/>
        <w:ind w:firstLine="435"/>
        <w:rPr>
          <w:rFonts w:hint="eastAsia" w:asciiTheme="minorEastAsia" w:hAnsiTheme="minorEastAsia" w:eastAsiaTheme="minorEastAsia" w:cstheme="minorEastAsia"/>
          <w:color w:val="auto"/>
          <w:sz w:val="21"/>
          <w:szCs w:val="21"/>
          <w:highlight w:val="none"/>
        </w:rPr>
      </w:pPr>
    </w:p>
    <w:p w14:paraId="4F6242EB">
      <w:pPr>
        <w:spacing w:line="360" w:lineRule="exact"/>
        <w:ind w:firstLine="435"/>
        <w:rPr>
          <w:rFonts w:hint="eastAsia" w:asciiTheme="minorEastAsia" w:hAnsiTheme="minorEastAsia" w:eastAsiaTheme="minorEastAsia" w:cstheme="minorEastAsia"/>
          <w:color w:val="auto"/>
          <w:sz w:val="21"/>
          <w:szCs w:val="21"/>
          <w:highlight w:val="none"/>
        </w:rPr>
      </w:pPr>
    </w:p>
    <w:p w14:paraId="6070065E">
      <w:pPr>
        <w:spacing w:line="3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甲方（公章）：                                   乙方（公章）： </w:t>
      </w:r>
    </w:p>
    <w:p w14:paraId="015F78A7">
      <w:pPr>
        <w:spacing w:line="360" w:lineRule="exact"/>
        <w:rPr>
          <w:rFonts w:hint="eastAsia" w:asciiTheme="minorEastAsia" w:hAnsiTheme="minorEastAsia" w:eastAsiaTheme="minorEastAsia" w:cstheme="minorEastAsia"/>
          <w:color w:val="auto"/>
          <w:sz w:val="21"/>
          <w:szCs w:val="21"/>
          <w:highlight w:val="none"/>
        </w:rPr>
      </w:pPr>
    </w:p>
    <w:p w14:paraId="7B4EC853">
      <w:pPr>
        <w:spacing w:line="360" w:lineRule="exac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法定代表人（签字）：                             法定代表人（签字）：</w:t>
      </w:r>
    </w:p>
    <w:p w14:paraId="0CF7BA07">
      <w:pPr>
        <w:spacing w:line="360" w:lineRule="exact"/>
        <w:ind w:firstLine="435"/>
        <w:rPr>
          <w:rFonts w:hint="eastAsia" w:asciiTheme="minorEastAsia" w:hAnsiTheme="minorEastAsia" w:eastAsiaTheme="minorEastAsia" w:cstheme="minorEastAsia"/>
          <w:color w:val="auto"/>
          <w:sz w:val="21"/>
          <w:szCs w:val="21"/>
          <w:highlight w:val="none"/>
        </w:rPr>
      </w:pPr>
    </w:p>
    <w:p w14:paraId="075748D4">
      <w:pPr>
        <w:spacing w:line="360" w:lineRule="exact"/>
        <w:ind w:firstLine="1260" w:firstLineChars="6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年    月   日                                   年    月   日 </w:t>
      </w:r>
    </w:p>
    <w:p w14:paraId="4492070D">
      <w:pPr>
        <w:spacing w:line="360" w:lineRule="exact"/>
        <w:rPr>
          <w:rFonts w:ascii="Times New Roman" w:hAnsi="Times New Roman" w:eastAsia="仿宋" w:cs="Times New Roman"/>
          <w:color w:val="auto"/>
          <w:szCs w:val="21"/>
          <w:highlight w:val="none"/>
        </w:rPr>
      </w:pPr>
    </w:p>
    <w:p w14:paraId="5240C26A">
      <w:pPr>
        <w:spacing w:line="360" w:lineRule="exact"/>
        <w:rPr>
          <w:rFonts w:ascii="Times New Roman" w:hAnsi="Times New Roman" w:eastAsia="宋体" w:cs="Times New Roman"/>
          <w:color w:val="auto"/>
          <w:szCs w:val="21"/>
          <w:highlight w:val="none"/>
        </w:rPr>
      </w:pPr>
    </w:p>
    <w:p w14:paraId="3A1E28E7">
      <w:pPr>
        <w:spacing w:line="360" w:lineRule="exact"/>
        <w:rPr>
          <w:rFonts w:ascii="Times New Roman" w:hAnsi="Times New Roman" w:eastAsia="宋体" w:cs="Times New Roman"/>
          <w:color w:val="auto"/>
          <w:szCs w:val="21"/>
          <w:highlight w:val="none"/>
        </w:rPr>
      </w:pPr>
    </w:p>
    <w:p w14:paraId="5A5C98C3">
      <w:pPr>
        <w:keepNext/>
        <w:keepLines/>
        <w:spacing w:line="360" w:lineRule="auto"/>
        <w:outlineLvl w:val="1"/>
        <w:rPr>
          <w:rFonts w:ascii="Times New Roman" w:hAnsi="Times New Roman" w:eastAsia="宋体" w:cs="Times New Roman"/>
          <w:b/>
          <w:bCs/>
          <w:color w:val="auto"/>
          <w:szCs w:val="21"/>
          <w:highlight w:val="none"/>
        </w:rPr>
      </w:pPr>
    </w:p>
    <w:p w14:paraId="14E90972">
      <w:pPr>
        <w:rPr>
          <w:rFonts w:ascii="Times New Roman" w:hAnsi="Times New Roman" w:eastAsia="宋体" w:cs="Times New Roman"/>
          <w:color w:val="auto"/>
          <w:szCs w:val="22"/>
          <w:highlight w:val="none"/>
        </w:rPr>
      </w:pPr>
    </w:p>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14:paraId="6AA8A1B2">
      <w:pPr>
        <w:spacing w:line="360" w:lineRule="auto"/>
        <w:rPr>
          <w:rFonts w:ascii="宋体" w:hAnsi="宋体" w:cs="Arial"/>
          <w:b/>
          <w:color w:val="auto"/>
          <w:sz w:val="28"/>
          <w:szCs w:val="28"/>
          <w:highlight w:val="none"/>
          <w:u w:val="wave"/>
        </w:rPr>
      </w:pPr>
      <w:r>
        <w:rPr>
          <w:rFonts w:ascii="宋体" w:hAnsi="宋体" w:cs="Arial"/>
          <w:b/>
          <w:color w:val="auto"/>
          <w:sz w:val="28"/>
          <w:szCs w:val="28"/>
          <w:highlight w:val="none"/>
          <w:u w:val="wave"/>
        </w:rPr>
        <w:t>注：本合同作为示范文本，具体以中标人与</w:t>
      </w:r>
      <w:r>
        <w:rPr>
          <w:rFonts w:hint="eastAsia" w:ascii="宋体" w:hAnsi="宋体" w:cs="Arial"/>
          <w:b/>
          <w:color w:val="auto"/>
          <w:sz w:val="28"/>
          <w:szCs w:val="28"/>
          <w:highlight w:val="none"/>
          <w:u w:val="wave"/>
        </w:rPr>
        <w:t>采购人</w:t>
      </w:r>
      <w:r>
        <w:rPr>
          <w:rFonts w:ascii="宋体" w:hAnsi="宋体" w:cs="Arial"/>
          <w:b/>
          <w:color w:val="auto"/>
          <w:sz w:val="28"/>
          <w:szCs w:val="28"/>
          <w:highlight w:val="none"/>
          <w:u w:val="wave"/>
        </w:rPr>
        <w:t>所签定正式合同为准。</w:t>
      </w:r>
    </w:p>
    <w:p w14:paraId="45F8ABC7">
      <w:pPr>
        <w:spacing w:line="360" w:lineRule="auto"/>
        <w:ind w:firstLine="420" w:firstLineChars="200"/>
        <w:rPr>
          <w:rFonts w:ascii="宋体" w:hAnsi="宋体" w:cs="宋体"/>
          <w:color w:val="auto"/>
          <w:szCs w:val="21"/>
          <w:highlight w:val="none"/>
        </w:rPr>
      </w:pPr>
    </w:p>
    <w:p w14:paraId="5E762A7E">
      <w:pPr>
        <w:pStyle w:val="24"/>
        <w:snapToGrid w:val="0"/>
        <w:spacing w:line="360" w:lineRule="auto"/>
        <w:rPr>
          <w:rFonts w:hAnsi="宋体" w:cs="宋体"/>
          <w:color w:val="auto"/>
          <w:highlight w:val="none"/>
        </w:rPr>
      </w:pPr>
    </w:p>
    <w:bookmarkEnd w:id="97"/>
    <w:p w14:paraId="6C47B708">
      <w:pPr>
        <w:adjustRightInd w:val="0"/>
        <w:snapToGrid w:val="0"/>
        <w:spacing w:before="120" w:beforeLines="50" w:after="120" w:afterLines="50" w:line="360" w:lineRule="auto"/>
        <w:jc w:val="center"/>
        <w:outlineLvl w:val="0"/>
        <w:rPr>
          <w:rFonts w:ascii="宋体" w:hAnsi="宋体" w:cs="宋体"/>
          <w:b/>
          <w:color w:val="auto"/>
          <w:sz w:val="30"/>
          <w:szCs w:val="30"/>
          <w:highlight w:val="none"/>
        </w:rPr>
      </w:pPr>
      <w:r>
        <w:rPr>
          <w:rFonts w:hint="eastAsia" w:ascii="宋体" w:hAnsi="宋体" w:cs="宋体"/>
          <w:b/>
          <w:color w:val="auto"/>
          <w:sz w:val="30"/>
          <w:szCs w:val="30"/>
          <w:highlight w:val="none"/>
        </w:rPr>
        <w:br w:type="page"/>
      </w:r>
      <w:bookmarkStart w:id="100" w:name="_Toc20087"/>
      <w:bookmarkStart w:id="101" w:name="_Toc14349"/>
      <w:bookmarkStart w:id="102" w:name="_Toc30704"/>
      <w:bookmarkStart w:id="103" w:name="_Toc85359514"/>
      <w:r>
        <w:rPr>
          <w:rFonts w:hint="eastAsia" w:ascii="宋体" w:hAnsi="宋体" w:cs="宋体"/>
          <w:b/>
          <w:color w:val="auto"/>
          <w:sz w:val="30"/>
          <w:szCs w:val="30"/>
          <w:highlight w:val="none"/>
        </w:rPr>
        <w:t>第五部分  评标办法（综合评分法）</w:t>
      </w:r>
      <w:bookmarkEnd w:id="98"/>
      <w:bookmarkEnd w:id="99"/>
      <w:bookmarkEnd w:id="100"/>
      <w:bookmarkEnd w:id="101"/>
      <w:bookmarkEnd w:id="102"/>
      <w:bookmarkEnd w:id="103"/>
    </w:p>
    <w:p w14:paraId="00A15BC0">
      <w:pPr>
        <w:tabs>
          <w:tab w:val="left" w:pos="735"/>
        </w:tabs>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snapToGrid w:val="0"/>
          <w:color w:val="auto"/>
          <w:kern w:val="0"/>
          <w:szCs w:val="21"/>
          <w:highlight w:val="none"/>
        </w:rPr>
        <w:t>根据《中华人民共和国政府采购法》、《中华人民共和国政府采购法实施条例》、《政府采购货物和服务招标投标管理办法》等有关规定，结合本项目的实际情况，按照公平、公正、科学、择优的原则，制定本评标办法</w:t>
      </w:r>
      <w:r>
        <w:rPr>
          <w:rFonts w:hint="eastAsia" w:ascii="宋体" w:hAnsi="宋体" w:cs="宋体"/>
          <w:color w:val="auto"/>
          <w:szCs w:val="21"/>
          <w:highlight w:val="none"/>
        </w:rPr>
        <w:t>。</w:t>
      </w:r>
    </w:p>
    <w:p w14:paraId="1DC07122">
      <w:pPr>
        <w:pStyle w:val="5"/>
        <w:snapToGrid w:val="0"/>
        <w:spacing w:before="120" w:beforeLines="50" w:after="120" w:afterLines="50" w:line="360" w:lineRule="auto"/>
        <w:rPr>
          <w:rFonts w:ascii="宋体" w:hAnsi="宋体" w:eastAsia="宋体" w:cs="宋体"/>
          <w:color w:val="auto"/>
          <w:sz w:val="21"/>
          <w:szCs w:val="21"/>
          <w:highlight w:val="none"/>
        </w:rPr>
      </w:pPr>
      <w:bookmarkStart w:id="104" w:name="_Toc9435"/>
      <w:bookmarkStart w:id="105" w:name="_Toc17100"/>
      <w:bookmarkStart w:id="106" w:name="_Toc249760791"/>
      <w:bookmarkStart w:id="107" w:name="_Toc14041"/>
      <w:bookmarkStart w:id="108" w:name="_Toc85359515"/>
      <w:bookmarkStart w:id="109" w:name="_Toc251566662"/>
      <w:r>
        <w:rPr>
          <w:rFonts w:hint="eastAsia" w:ascii="宋体" w:hAnsi="宋体" w:eastAsia="宋体" w:cs="宋体"/>
          <w:color w:val="auto"/>
          <w:sz w:val="21"/>
          <w:szCs w:val="21"/>
          <w:highlight w:val="none"/>
        </w:rPr>
        <w:t>一、总则</w:t>
      </w:r>
      <w:bookmarkEnd w:id="104"/>
      <w:bookmarkEnd w:id="105"/>
      <w:bookmarkEnd w:id="106"/>
      <w:bookmarkEnd w:id="107"/>
      <w:bookmarkEnd w:id="108"/>
      <w:bookmarkEnd w:id="109"/>
    </w:p>
    <w:p w14:paraId="3FDEACDC">
      <w:pPr>
        <w:adjustRightInd w:val="0"/>
        <w:snapToGrid w:val="0"/>
        <w:spacing w:line="360" w:lineRule="auto"/>
        <w:ind w:firstLine="420" w:firstLineChars="200"/>
        <w:rPr>
          <w:rFonts w:ascii="宋体" w:hAnsi="宋体" w:cs="宋体"/>
          <w:snapToGrid w:val="0"/>
          <w:color w:val="auto"/>
          <w:kern w:val="0"/>
          <w:szCs w:val="21"/>
          <w:highlight w:val="none"/>
        </w:rPr>
      </w:pPr>
      <w:bookmarkStart w:id="110" w:name="_Toc251566663"/>
      <w:bookmarkStart w:id="111" w:name="_Toc249760792"/>
      <w:r>
        <w:rPr>
          <w:rFonts w:hint="eastAsia" w:ascii="宋体" w:hAnsi="宋体" w:cs="宋体"/>
          <w:snapToGrid w:val="0"/>
          <w:color w:val="auto"/>
          <w:kern w:val="0"/>
          <w:szCs w:val="21"/>
          <w:highlight w:val="none"/>
        </w:rPr>
        <w:t>评标工作必须遵循公平、公正的竞争原则。评标委员会必须公平、公正、客观，不带任何倾向性和启发性；不得向外界透露任何与评标有关的内容；任何单位和个人不得干扰、影响评标的正常进行；评标委员会及有关工作人员不得私下与投标人接触。</w:t>
      </w:r>
    </w:p>
    <w:p w14:paraId="7F7BC762">
      <w:pPr>
        <w:pStyle w:val="5"/>
        <w:snapToGrid w:val="0"/>
        <w:spacing w:before="120" w:beforeLines="50" w:after="120" w:afterLines="50" w:line="360" w:lineRule="auto"/>
        <w:rPr>
          <w:rFonts w:ascii="宋体" w:hAnsi="宋体" w:eastAsia="宋体" w:cs="宋体"/>
          <w:color w:val="auto"/>
          <w:sz w:val="21"/>
          <w:szCs w:val="21"/>
          <w:highlight w:val="none"/>
        </w:rPr>
      </w:pPr>
      <w:bookmarkStart w:id="112" w:name="_Toc22739"/>
      <w:bookmarkStart w:id="113" w:name="_Toc85359516"/>
      <w:bookmarkStart w:id="114" w:name="_Toc3915"/>
      <w:bookmarkStart w:id="115" w:name="_Toc4364"/>
      <w:r>
        <w:rPr>
          <w:rFonts w:hint="eastAsia" w:ascii="宋体" w:hAnsi="宋体" w:eastAsia="宋体" w:cs="宋体"/>
          <w:color w:val="auto"/>
          <w:sz w:val="21"/>
          <w:szCs w:val="21"/>
          <w:highlight w:val="none"/>
        </w:rPr>
        <w:t>二、评标组织</w:t>
      </w:r>
      <w:bookmarkEnd w:id="110"/>
      <w:bookmarkEnd w:id="111"/>
      <w:bookmarkEnd w:id="112"/>
      <w:bookmarkEnd w:id="113"/>
      <w:bookmarkEnd w:id="114"/>
      <w:bookmarkEnd w:id="115"/>
    </w:p>
    <w:p w14:paraId="0049BEC3">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snapToGrid w:val="0"/>
          <w:color w:val="auto"/>
          <w:kern w:val="0"/>
          <w:szCs w:val="21"/>
          <w:highlight w:val="none"/>
        </w:rPr>
        <w:t>评标工作由招标采购单位负责组织，依法组建由奇数的人员组成的评标委员会，负责对投标文件进行审查、质询、评审等。评标委员会由政府采购相关专家等组成，其中政府采购专家不得少于成员总数的三分之二</w:t>
      </w:r>
      <w:r>
        <w:rPr>
          <w:rFonts w:hint="eastAsia" w:ascii="宋体" w:hAnsi="宋体" w:cs="宋体"/>
          <w:color w:val="auto"/>
          <w:szCs w:val="21"/>
          <w:highlight w:val="none"/>
        </w:rPr>
        <w:t>。</w:t>
      </w:r>
    </w:p>
    <w:p w14:paraId="558A3555">
      <w:pPr>
        <w:pStyle w:val="5"/>
        <w:snapToGrid w:val="0"/>
        <w:spacing w:before="120" w:beforeLines="50" w:after="120" w:afterLines="50" w:line="360" w:lineRule="auto"/>
        <w:rPr>
          <w:rFonts w:ascii="宋体" w:hAnsi="宋体" w:eastAsia="宋体" w:cs="宋体"/>
          <w:color w:val="auto"/>
          <w:sz w:val="21"/>
          <w:szCs w:val="21"/>
          <w:highlight w:val="none"/>
        </w:rPr>
      </w:pPr>
      <w:bookmarkStart w:id="116" w:name="_Toc31345"/>
      <w:bookmarkStart w:id="117" w:name="_Toc85359517"/>
      <w:bookmarkStart w:id="118" w:name="_Toc251566664"/>
      <w:bookmarkStart w:id="119" w:name="_Toc249760793"/>
      <w:bookmarkStart w:id="120" w:name="_Toc11615"/>
      <w:bookmarkStart w:id="121" w:name="_Toc31421"/>
      <w:r>
        <w:rPr>
          <w:rFonts w:hint="eastAsia" w:ascii="宋体" w:hAnsi="宋体" w:eastAsia="宋体" w:cs="宋体"/>
          <w:color w:val="auto"/>
          <w:sz w:val="21"/>
          <w:szCs w:val="21"/>
          <w:highlight w:val="none"/>
        </w:rPr>
        <w:t>三、评标纪律</w:t>
      </w:r>
      <w:bookmarkEnd w:id="116"/>
      <w:bookmarkEnd w:id="117"/>
      <w:bookmarkEnd w:id="118"/>
      <w:bookmarkEnd w:id="119"/>
      <w:bookmarkEnd w:id="120"/>
      <w:bookmarkEnd w:id="121"/>
    </w:p>
    <w:p w14:paraId="0704A8F4">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1．评标是招标工作的重要环节，评标工作在评标委员会内独立进行。评标委员会将按照评标原则的要求，公正、平等地对待所有投标人。</w:t>
      </w:r>
    </w:p>
    <w:p w14:paraId="6E171344">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2．所有评标人员应忠于职守、廉洁自律、秉公办事、不徇私情。</w:t>
      </w:r>
    </w:p>
    <w:p w14:paraId="25719428">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3．评标人员不得接受或参加投标人或与投标有关的单位、组织或个人的有碍公务的宴请、娱乐活动等，不得以任何形式弄虚作假。</w:t>
      </w:r>
    </w:p>
    <w:p w14:paraId="2B79A40D">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4．评标期间，评标人员不得随意出入评标地点、与外界通讯、会客等。</w:t>
      </w:r>
    </w:p>
    <w:p w14:paraId="38091EC2">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5．在投标文件的审查、澄清、评价和比较以及授予合同的过程中，投标人对采购人、采购代理机构人员及评标委员会成员施加影响的任何行为，都将导致被取消投标资格。</w:t>
      </w:r>
    </w:p>
    <w:p w14:paraId="34A21710">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6．为保证评标的公正性，在评标过程中，评标委员会成员不得与投标人或与中标结果有利害关系的人进行私下接触。在评标工作结束后，凡与评标情况有接触的任何人，不得将评标情况扩散出评标委员会以外。</w:t>
      </w:r>
    </w:p>
    <w:p w14:paraId="6BC5C0B6">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7．评标过程中，当发表结论性意见时，先听取专家评委意见，用户评委随后发表意见；评标专家对投标人的优劣情况，以及认为差异较大的情况等，应以书面意见作出真实、专业、诚恳负责的表述，不得违背客观、公正的原则。</w:t>
      </w:r>
    </w:p>
    <w:p w14:paraId="44D26B9F">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8．评标结束后，各评标人员应将全部资料整理上交采购人，严禁将评标过程中的任何资料带出评标现场向投标人或其他单位提供。</w:t>
      </w:r>
    </w:p>
    <w:p w14:paraId="4587B2C2">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9．在中标结果公布前应对评标委员会成员名单予以保密。</w:t>
      </w:r>
    </w:p>
    <w:p w14:paraId="5FA68ACE">
      <w:pPr>
        <w:adjustRightInd w:val="0"/>
        <w:snapToGrid w:val="0"/>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10．评标委员会对各投标人的商业秘密予以保密。</w:t>
      </w:r>
    </w:p>
    <w:p w14:paraId="240F14FF">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11．评标委员会成员应当客观、公正地履行职责，遵守职业道德，对所提出的评审意见承担个人责任。</w:t>
      </w:r>
    </w:p>
    <w:p w14:paraId="2858FEC9">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12．在整个评标过程中，投标人企图影响招标结果的任何活动，可能导致其投标失败。如有违法行为，将依法追究其法律责任。</w:t>
      </w:r>
    </w:p>
    <w:p w14:paraId="6CDD1C17">
      <w:pPr>
        <w:pStyle w:val="5"/>
        <w:snapToGrid w:val="0"/>
        <w:spacing w:before="120" w:beforeLines="50" w:after="120" w:afterLines="50" w:line="360" w:lineRule="auto"/>
        <w:rPr>
          <w:rFonts w:ascii="宋体" w:hAnsi="宋体" w:eastAsia="宋体" w:cs="宋体"/>
          <w:b w:val="0"/>
          <w:color w:val="auto"/>
          <w:sz w:val="21"/>
          <w:szCs w:val="21"/>
          <w:highlight w:val="none"/>
        </w:rPr>
      </w:pPr>
      <w:bookmarkStart w:id="122" w:name="_Toc32200"/>
      <w:bookmarkStart w:id="123" w:name="_Toc5877"/>
      <w:bookmarkStart w:id="124" w:name="_Toc249760794"/>
      <w:bookmarkStart w:id="125" w:name="_Toc26649"/>
      <w:bookmarkStart w:id="126" w:name="_Toc251566665"/>
      <w:bookmarkStart w:id="127" w:name="_Toc85359518"/>
      <w:r>
        <w:rPr>
          <w:rFonts w:hint="eastAsia" w:ascii="宋体" w:hAnsi="宋体" w:eastAsia="宋体" w:cs="宋体"/>
          <w:color w:val="auto"/>
          <w:sz w:val="21"/>
          <w:szCs w:val="21"/>
          <w:highlight w:val="none"/>
        </w:rPr>
        <w:t>四、评标程序</w:t>
      </w:r>
      <w:bookmarkEnd w:id="122"/>
      <w:bookmarkEnd w:id="123"/>
      <w:bookmarkEnd w:id="124"/>
      <w:bookmarkEnd w:id="125"/>
      <w:bookmarkEnd w:id="126"/>
      <w:bookmarkEnd w:id="127"/>
    </w:p>
    <w:p w14:paraId="25EFD65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1．本项目采用不公开方式评标，评标的依据为采购文件和投标文件。</w:t>
      </w:r>
    </w:p>
    <w:p w14:paraId="3A04980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2．熟悉采购文件和评标办法。</w:t>
      </w:r>
    </w:p>
    <w:p w14:paraId="4D2FEA45">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3．采购代理机构按照采购文件规定的时间、地点及程序组织评审。流程如下：</w:t>
      </w:r>
    </w:p>
    <w:p w14:paraId="675C9E51">
      <w:pPr>
        <w:numPr>
          <w:ilvl w:val="1"/>
          <w:numId w:val="14"/>
        </w:numPr>
        <w:tabs>
          <w:tab w:val="left" w:pos="851"/>
          <w:tab w:val="left" w:pos="993"/>
        </w:tabs>
        <w:adjustRightInd w:val="0"/>
        <w:snapToGrid w:val="0"/>
        <w:spacing w:line="360" w:lineRule="auto"/>
        <w:ind w:left="0" w:firstLine="426"/>
        <w:rPr>
          <w:rFonts w:ascii="宋体" w:hAnsi="宋体" w:cs="宋体"/>
          <w:color w:val="auto"/>
          <w:szCs w:val="21"/>
          <w:highlight w:val="none"/>
        </w:rPr>
      </w:pPr>
      <w:r>
        <w:rPr>
          <w:rFonts w:hint="eastAsia" w:ascii="宋体" w:hAnsi="宋体" w:cs="宋体"/>
          <w:color w:val="auto"/>
          <w:szCs w:val="21"/>
          <w:highlight w:val="none"/>
        </w:rPr>
        <w:t>开启评审场地的录音录像采集设备，并确保其正常运行。</w:t>
      </w:r>
    </w:p>
    <w:p w14:paraId="64AB6363">
      <w:pPr>
        <w:numPr>
          <w:ilvl w:val="1"/>
          <w:numId w:val="14"/>
        </w:numPr>
        <w:tabs>
          <w:tab w:val="left" w:pos="851"/>
          <w:tab w:val="left" w:pos="993"/>
        </w:tabs>
        <w:adjustRightInd w:val="0"/>
        <w:snapToGrid w:val="0"/>
        <w:spacing w:line="360" w:lineRule="auto"/>
        <w:ind w:left="0" w:firstLine="426"/>
        <w:rPr>
          <w:rFonts w:ascii="宋体" w:hAnsi="宋体" w:cs="宋体"/>
          <w:color w:val="auto"/>
          <w:szCs w:val="21"/>
          <w:highlight w:val="none"/>
        </w:rPr>
      </w:pPr>
      <w:r>
        <w:rPr>
          <w:rFonts w:hint="eastAsia" w:ascii="宋体" w:hAnsi="宋体" w:cs="宋体"/>
          <w:color w:val="auto"/>
          <w:szCs w:val="21"/>
          <w:highlight w:val="none"/>
        </w:rPr>
        <w:t>核验出席评审活动现场的评审小组各成员和相关监督人员身份，并要求其分别登记、签到，按规定统一收缴、保存其通讯工具，无关人员一律拒绝其进入评审现场。</w:t>
      </w:r>
    </w:p>
    <w:p w14:paraId="2ED0A77D">
      <w:pPr>
        <w:numPr>
          <w:ilvl w:val="1"/>
          <w:numId w:val="14"/>
        </w:numPr>
        <w:tabs>
          <w:tab w:val="left" w:pos="851"/>
          <w:tab w:val="left" w:pos="993"/>
        </w:tabs>
        <w:adjustRightInd w:val="0"/>
        <w:snapToGrid w:val="0"/>
        <w:spacing w:line="360" w:lineRule="auto"/>
        <w:ind w:left="0" w:firstLine="426"/>
        <w:rPr>
          <w:rFonts w:ascii="宋体" w:hAnsi="宋体" w:cs="宋体"/>
          <w:color w:val="auto"/>
          <w:szCs w:val="21"/>
          <w:highlight w:val="none"/>
        </w:rPr>
      </w:pPr>
      <w:r>
        <w:rPr>
          <w:rFonts w:hint="eastAsia" w:ascii="宋体" w:hAnsi="宋体" w:cs="宋体"/>
          <w:color w:val="auto"/>
          <w:szCs w:val="21"/>
          <w:highlight w:val="none"/>
        </w:rPr>
        <w:t>介绍评审现场的人员情况，宣布评审工作纪律，告知评审人员应当回避情形；组织推选评审小组组长。</w:t>
      </w:r>
    </w:p>
    <w:p w14:paraId="0515B320">
      <w:pPr>
        <w:numPr>
          <w:ilvl w:val="1"/>
          <w:numId w:val="14"/>
        </w:numPr>
        <w:tabs>
          <w:tab w:val="left" w:pos="851"/>
          <w:tab w:val="left" w:pos="993"/>
        </w:tabs>
        <w:adjustRightInd w:val="0"/>
        <w:snapToGrid w:val="0"/>
        <w:spacing w:line="360" w:lineRule="auto"/>
        <w:ind w:left="0" w:firstLine="426"/>
        <w:rPr>
          <w:rFonts w:ascii="宋体" w:hAnsi="宋体" w:cs="宋体"/>
          <w:color w:val="auto"/>
          <w:szCs w:val="21"/>
          <w:highlight w:val="none"/>
        </w:rPr>
      </w:pPr>
      <w:r>
        <w:rPr>
          <w:rFonts w:hint="eastAsia" w:ascii="宋体" w:hAnsi="宋体" w:cs="宋体"/>
          <w:color w:val="auto"/>
          <w:szCs w:val="21"/>
          <w:highlight w:val="none"/>
        </w:rPr>
        <w:t>通报报名参加本项目采购的投标人名单及资格预审情况（如有），宣读最终提交采购文件的投标人名单，组织评审小组各位成员签订《政府采购评审人员廉洁自律承诺书》。</w:t>
      </w:r>
    </w:p>
    <w:p w14:paraId="3DE14529">
      <w:pPr>
        <w:numPr>
          <w:ilvl w:val="1"/>
          <w:numId w:val="14"/>
        </w:numPr>
        <w:tabs>
          <w:tab w:val="left" w:pos="851"/>
          <w:tab w:val="left" w:pos="993"/>
        </w:tabs>
        <w:adjustRightInd w:val="0"/>
        <w:snapToGrid w:val="0"/>
        <w:spacing w:line="360" w:lineRule="auto"/>
        <w:ind w:left="0" w:firstLine="426"/>
        <w:rPr>
          <w:rFonts w:ascii="宋体" w:hAnsi="宋体" w:cs="宋体"/>
          <w:color w:val="auto"/>
          <w:szCs w:val="21"/>
          <w:highlight w:val="none"/>
        </w:rPr>
      </w:pPr>
      <w:r>
        <w:rPr>
          <w:rFonts w:hint="eastAsia" w:ascii="宋体" w:hAnsi="宋体" w:cs="宋体"/>
          <w:color w:val="auto"/>
          <w:szCs w:val="21"/>
          <w:highlight w:val="none"/>
        </w:rPr>
        <w:t>根据需要简要介绍采购文件（含补充文件）制定及质疑答复情况、按书面陈述项目基本情况及评审工作需注意事项等。</w:t>
      </w:r>
    </w:p>
    <w:p w14:paraId="1D1E0D55">
      <w:pPr>
        <w:numPr>
          <w:ilvl w:val="1"/>
          <w:numId w:val="14"/>
        </w:numPr>
        <w:tabs>
          <w:tab w:val="left" w:pos="851"/>
          <w:tab w:val="left" w:pos="993"/>
        </w:tabs>
        <w:adjustRightInd w:val="0"/>
        <w:snapToGrid w:val="0"/>
        <w:spacing w:line="360" w:lineRule="auto"/>
        <w:ind w:left="0" w:firstLine="426"/>
        <w:rPr>
          <w:rFonts w:ascii="宋体" w:hAnsi="宋体" w:cs="宋体"/>
          <w:color w:val="auto"/>
          <w:szCs w:val="21"/>
          <w:highlight w:val="none"/>
        </w:rPr>
      </w:pPr>
      <w:r>
        <w:rPr>
          <w:rFonts w:hint="eastAsia" w:ascii="宋体" w:hAnsi="宋体" w:cs="宋体"/>
          <w:color w:val="auto"/>
          <w:szCs w:val="21"/>
          <w:highlight w:val="none"/>
        </w:rPr>
        <w:t>评审小组组长组织评审人员独立评审。评标程序见本文件投标须知第21.4条。</w:t>
      </w:r>
    </w:p>
    <w:p w14:paraId="572F6037">
      <w:pPr>
        <w:tabs>
          <w:tab w:val="left" w:pos="851"/>
          <w:tab w:val="left" w:pos="993"/>
        </w:tabs>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审小组对拟认定为投标文件无效、投标人资格不符合的，应组织相关投标人代表进行陈述、澄清或申辩；采购代理机构可协助评审小组组长对打分结果进行校对、核对并汇总统计；对明显畸高、畸低的评分（其总评分偏离平均分30%以上的），评审小组组长应提醒相关评审人员进行复核或书面说明理由，评审人员拒绝说明的，由现场监督员据实记录；评审人员的评审、修改记录应保留原件，随项目其他资料一并存档。</w:t>
      </w:r>
    </w:p>
    <w:p w14:paraId="7EAA7FD2">
      <w:pPr>
        <w:numPr>
          <w:ilvl w:val="1"/>
          <w:numId w:val="14"/>
        </w:numPr>
        <w:tabs>
          <w:tab w:val="left" w:pos="851"/>
          <w:tab w:val="left" w:pos="993"/>
        </w:tabs>
        <w:adjustRightInd w:val="0"/>
        <w:snapToGrid w:val="0"/>
        <w:spacing w:line="360" w:lineRule="auto"/>
        <w:ind w:left="0" w:firstLine="426"/>
        <w:rPr>
          <w:rFonts w:ascii="宋体" w:hAnsi="宋体" w:cs="宋体"/>
          <w:color w:val="auto"/>
          <w:szCs w:val="21"/>
          <w:highlight w:val="none"/>
        </w:rPr>
      </w:pPr>
      <w:r>
        <w:rPr>
          <w:rFonts w:hint="eastAsia" w:ascii="宋体" w:hAnsi="宋体" w:cs="宋体"/>
          <w:color w:val="auto"/>
          <w:szCs w:val="21"/>
          <w:highlight w:val="none"/>
        </w:rPr>
        <w:t>评审小组根据评审汇总情况和采购文件规定确定中标（成交）候选供应商排序名单。</w:t>
      </w:r>
    </w:p>
    <w:p w14:paraId="12BE5CA1">
      <w:pPr>
        <w:numPr>
          <w:ilvl w:val="1"/>
          <w:numId w:val="14"/>
        </w:numPr>
        <w:tabs>
          <w:tab w:val="left" w:pos="851"/>
          <w:tab w:val="left" w:pos="993"/>
        </w:tabs>
        <w:adjustRightInd w:val="0"/>
        <w:snapToGrid w:val="0"/>
        <w:spacing w:line="360" w:lineRule="auto"/>
        <w:ind w:left="0" w:firstLine="426"/>
        <w:rPr>
          <w:rFonts w:ascii="宋体" w:hAnsi="宋体" w:cs="宋体"/>
          <w:color w:val="auto"/>
          <w:szCs w:val="21"/>
          <w:highlight w:val="none"/>
        </w:rPr>
      </w:pPr>
      <w:r>
        <w:rPr>
          <w:rFonts w:hint="eastAsia" w:ascii="宋体" w:hAnsi="宋体" w:cs="宋体"/>
          <w:color w:val="auto"/>
          <w:szCs w:val="21"/>
          <w:highlight w:val="none"/>
        </w:rPr>
        <w:t>起草评审报告，所有评审人员须在评审报告上签字确认。</w:t>
      </w:r>
    </w:p>
    <w:p w14:paraId="388A233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审人员对有关采购文件、投标文件、样品（如有）、现场演示（如有）的说明、解释、要求、标准存在不同意见的，持不同意见的评审人员及其意见或理由应予以完整记录，并在评审过程中按照少数服从多数的原则表决执行。对采购文件本身不明确或存在歧义、矛盾的内容，应作对供应商而非采购人有利的解释；对因采购文件中有关产品技术参数需求表述不清导致供应商实质性响应不一致时，应终止评审，重新组织采购。评审人员拒绝在评审报告中签字又不说明其不同意见或理由的，由现场监督员记录在案后，可视为同意评审结果。</w:t>
      </w:r>
    </w:p>
    <w:p w14:paraId="415E72E1">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评标报告是评标委员会根据全体评标成员签字的原始评标记录和评标结果编写的报告，其主要内容包括：</w:t>
      </w:r>
    </w:p>
    <w:p w14:paraId="2CE65CE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（1）采购公告刊登的媒体名称、开标日期和地点；</w:t>
      </w:r>
    </w:p>
    <w:p w14:paraId="4592C64B">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（2）购买采购文件的投标人名单和评标委员会成员名单；</w:t>
      </w:r>
    </w:p>
    <w:p w14:paraId="1528D4E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（3）评标方法和标准；</w:t>
      </w:r>
    </w:p>
    <w:p w14:paraId="55BB495A">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（4）开标记录和评标情况及说明，包括投标无效投标人名单及原因；</w:t>
      </w:r>
    </w:p>
    <w:p w14:paraId="314894EE">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（5）评标结果和中标候选人排序；</w:t>
      </w:r>
    </w:p>
    <w:p w14:paraId="4771F056">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（6）评标委员会的授标建议。</w:t>
      </w:r>
    </w:p>
    <w:p w14:paraId="24083B42">
      <w:pPr>
        <w:pStyle w:val="5"/>
        <w:snapToGrid w:val="0"/>
        <w:spacing w:before="120" w:beforeLines="50" w:after="120" w:afterLines="50" w:line="360" w:lineRule="auto"/>
        <w:rPr>
          <w:rFonts w:ascii="宋体" w:hAnsi="宋体" w:eastAsia="宋体" w:cs="宋体"/>
          <w:color w:val="auto"/>
          <w:sz w:val="21"/>
          <w:szCs w:val="21"/>
          <w:highlight w:val="none"/>
        </w:rPr>
      </w:pPr>
      <w:bookmarkStart w:id="128" w:name="_Toc251566666"/>
      <w:bookmarkStart w:id="129" w:name="_Toc249760795"/>
      <w:bookmarkStart w:id="130" w:name="_Toc15358"/>
      <w:bookmarkStart w:id="131" w:name="_Toc6012"/>
      <w:bookmarkStart w:id="132" w:name="_Toc20349"/>
      <w:bookmarkStart w:id="133" w:name="_Toc85359519"/>
      <w:r>
        <w:rPr>
          <w:rFonts w:hint="eastAsia" w:ascii="宋体" w:hAnsi="宋体" w:eastAsia="宋体" w:cs="宋体"/>
          <w:color w:val="auto"/>
          <w:sz w:val="21"/>
          <w:szCs w:val="21"/>
          <w:highlight w:val="none"/>
        </w:rPr>
        <w:t>五、评标</w:t>
      </w:r>
      <w:bookmarkEnd w:id="128"/>
      <w:bookmarkEnd w:id="129"/>
      <w:r>
        <w:rPr>
          <w:rFonts w:hint="eastAsia" w:ascii="宋体" w:hAnsi="宋体" w:eastAsia="宋体" w:cs="宋体"/>
          <w:color w:val="auto"/>
          <w:sz w:val="21"/>
          <w:szCs w:val="21"/>
          <w:highlight w:val="none"/>
        </w:rPr>
        <w:t>细则及标准</w:t>
      </w:r>
      <w:bookmarkEnd w:id="130"/>
      <w:bookmarkEnd w:id="131"/>
      <w:bookmarkEnd w:id="132"/>
      <w:bookmarkEnd w:id="133"/>
    </w:p>
    <w:p w14:paraId="5EA03B27">
      <w:pPr>
        <w:adjustRightInd w:val="0"/>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本次评标采用综合评分法，总分为100分，其中商务分</w:t>
      </w:r>
      <w:r>
        <w:rPr>
          <w:rFonts w:hint="eastAsia" w:ascii="宋体" w:hAnsi="宋体" w:cs="宋体"/>
          <w:color w:val="auto"/>
          <w:szCs w:val="21"/>
          <w:highlight w:val="none"/>
          <w:lang w:val="en-US" w:eastAsia="zh-CN"/>
        </w:rPr>
        <w:t>18</w:t>
      </w:r>
      <w:r>
        <w:rPr>
          <w:rFonts w:hint="eastAsia" w:ascii="宋体" w:hAnsi="宋体" w:cs="宋体"/>
          <w:color w:val="auto"/>
          <w:szCs w:val="21"/>
          <w:highlight w:val="none"/>
        </w:rPr>
        <w:t>分、技术分</w:t>
      </w:r>
      <w:r>
        <w:rPr>
          <w:rFonts w:hint="eastAsia" w:ascii="宋体" w:hAnsi="宋体" w:cs="宋体"/>
          <w:color w:val="auto"/>
          <w:szCs w:val="21"/>
          <w:highlight w:val="none"/>
          <w:lang w:val="en-US" w:eastAsia="zh-CN"/>
        </w:rPr>
        <w:t>70</w:t>
      </w:r>
      <w:r>
        <w:rPr>
          <w:rFonts w:hint="eastAsia" w:ascii="宋体" w:hAnsi="宋体" w:cs="宋体"/>
          <w:color w:val="auto"/>
          <w:szCs w:val="21"/>
          <w:highlight w:val="none"/>
        </w:rPr>
        <w:t>分、价格分</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分。投标人的评标得分为各项目汇总得分，中标候选资格按评标得分由高到低</w:t>
      </w:r>
      <w:r>
        <w:rPr>
          <w:rFonts w:hint="eastAsia" w:ascii="宋体" w:hAnsi="宋体" w:cs="宋体"/>
          <w:color w:val="auto"/>
          <w:szCs w:val="21"/>
          <w:highlight w:val="none"/>
          <w:lang w:eastAsia="zh-CN"/>
        </w:rPr>
        <w:t>。</w:t>
      </w:r>
    </w:p>
    <w:p w14:paraId="241894E2">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顺序排列，得分相同的，按投标报价由低到高顺序排列；得分相同且投标报价相同的，抽签选取中标候选人。排名第一的投标人为中标候选人,排名第二的投标人为预备中标候选人……其他投标人中标候选资格依此类推。评分过程中采用四舍五入法，并保留小数2位。</w:t>
      </w:r>
    </w:p>
    <w:tbl>
      <w:tblPr>
        <w:tblStyle w:val="43"/>
        <w:tblW w:w="8891"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272"/>
        <w:gridCol w:w="554"/>
        <w:gridCol w:w="6261"/>
      </w:tblGrid>
      <w:tr w14:paraId="4D5A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11334247">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条款号</w:t>
            </w: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FB23309">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评分点名称</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E18935A">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分数</w:t>
            </w:r>
          </w:p>
        </w:tc>
        <w:tc>
          <w:tcPr>
            <w:tcW w:w="6261" w:type="dxa"/>
            <w:tcBorders>
              <w:top w:val="single" w:color="000000" w:sz="2" w:space="0"/>
              <w:left w:val="single" w:color="000000" w:sz="2" w:space="0"/>
              <w:bottom w:val="single" w:color="000000" w:sz="2" w:space="0"/>
              <w:right w:val="single" w:color="000000" w:sz="2" w:space="0"/>
            </w:tcBorders>
            <w:noWrap w:val="0"/>
            <w:tcMar>
              <w:top w:w="102" w:type="dxa"/>
              <w:bottom w:w="102" w:type="dxa"/>
            </w:tcMar>
            <w:vAlign w:val="center"/>
          </w:tcPr>
          <w:p w14:paraId="2B145D9F">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评审标准</w:t>
            </w:r>
          </w:p>
        </w:tc>
      </w:tr>
      <w:tr w14:paraId="45BC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restart"/>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B329349">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2.2.2</w:t>
            </w:r>
          </w:p>
          <w:p w14:paraId="3777AF2E">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技术评审</w:t>
            </w:r>
          </w:p>
        </w:tc>
        <w:tc>
          <w:tcPr>
            <w:tcW w:w="1272" w:type="dxa"/>
            <w:tcBorders>
              <w:top w:val="single" w:color="000000" w:sz="2" w:space="0"/>
              <w:left w:val="single" w:color="000000" w:sz="2" w:space="0"/>
              <w:bottom w:val="single" w:color="000000" w:sz="2" w:space="0"/>
              <w:right w:val="single" w:color="000000" w:sz="2" w:space="0"/>
            </w:tcBorders>
            <w:noWrap w:val="0"/>
            <w:tcMar>
              <w:top w:w="102" w:type="dxa"/>
              <w:bottom w:w="102" w:type="dxa"/>
            </w:tcMar>
            <w:vAlign w:val="center"/>
          </w:tcPr>
          <w:p w14:paraId="7AE09832">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对采购需求的响应程度</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1F7173B4">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10</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958AA8A">
            <w:pPr>
              <w:jc w:val="left"/>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 xml:space="preserve">投标人完全响应招标文件第三部分  项目技术规范和服务要求的所有要求计10分。对条款有负偏离、响应不全、描述不清晰、有缺漏项的，每项扣1分，扣完为止。 </w:t>
            </w:r>
          </w:p>
          <w:p w14:paraId="5AA269D5">
            <w:pPr>
              <w:jc w:val="left"/>
              <w:rPr>
                <w:rFonts w:ascii="宋体" w:hAnsi="宋体" w:cs="宋体"/>
                <w:snapToGrid w:val="0"/>
                <w:color w:val="auto"/>
                <w:kern w:val="0"/>
                <w:szCs w:val="22"/>
                <w:highlight w:val="none"/>
              </w:rPr>
            </w:pPr>
            <w:r>
              <w:rPr>
                <w:rFonts w:ascii="宋体" w:hAnsi="宋体" w:cs="宋体"/>
                <w:snapToGrid w:val="0"/>
                <w:color w:val="auto"/>
                <w:kern w:val="0"/>
                <w:szCs w:val="22"/>
                <w:highlight w:val="none"/>
              </w:rPr>
              <w:t>说明：投标人在“技术响应偏离表”中对招标文件</w:t>
            </w:r>
            <w:r>
              <w:rPr>
                <w:rFonts w:hint="eastAsia" w:ascii="宋体" w:hAnsi="宋体" w:cs="宋体"/>
                <w:snapToGrid w:val="0"/>
                <w:color w:val="auto"/>
                <w:kern w:val="0"/>
                <w:szCs w:val="22"/>
                <w:highlight w:val="none"/>
              </w:rPr>
              <w:t>第三部分  项目技术规范和服务要求</w:t>
            </w:r>
            <w:r>
              <w:rPr>
                <w:rFonts w:ascii="宋体" w:hAnsi="宋体" w:cs="宋体"/>
                <w:snapToGrid w:val="0"/>
                <w:color w:val="auto"/>
                <w:kern w:val="0"/>
                <w:szCs w:val="22"/>
                <w:highlight w:val="none"/>
              </w:rPr>
              <w:t>的所有内容逐条进行响应，否则不计分。</w:t>
            </w:r>
          </w:p>
        </w:tc>
      </w:tr>
      <w:tr w14:paraId="7AEF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left w:val="single" w:color="000000" w:sz="2" w:space="0"/>
              <w:right w:val="single" w:color="000000" w:sz="2" w:space="0"/>
            </w:tcBorders>
            <w:noWrap w:val="0"/>
            <w:tcMar>
              <w:top w:w="100" w:type="dxa"/>
              <w:bottom w:w="100" w:type="dxa"/>
            </w:tcMar>
            <w:vAlign w:val="center"/>
          </w:tcPr>
          <w:p w14:paraId="018205B8">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2" w:type="dxa"/>
              <w:bottom w:w="102" w:type="dxa"/>
            </w:tcMar>
            <w:vAlign w:val="center"/>
          </w:tcPr>
          <w:p w14:paraId="23578FB2">
            <w:pPr>
              <w:jc w:val="center"/>
              <w:rPr>
                <w:rFonts w:hint="default" w:ascii="宋体" w:hAnsi="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设计理念</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406BDB7">
            <w:pPr>
              <w:jc w:val="center"/>
              <w:rPr>
                <w:rFonts w:hint="eastAsia" w:ascii="宋体" w:hAnsi="宋体" w:cs="宋体"/>
                <w:snapToGrid w:val="0"/>
                <w:color w:val="auto"/>
                <w:kern w:val="0"/>
                <w:szCs w:val="22"/>
                <w:highlight w:val="none"/>
                <w:lang w:val="en-US" w:eastAsia="zh-CN"/>
              </w:rPr>
            </w:pPr>
            <w:r>
              <w:rPr>
                <w:rFonts w:hint="default" w:ascii="宋体" w:hAnsi="宋体" w:cs="宋体"/>
                <w:snapToGrid w:val="0"/>
                <w:color w:val="auto"/>
                <w:kern w:val="0"/>
                <w:szCs w:val="22"/>
                <w:highlight w:val="none"/>
                <w:lang w:val="en-US" w:eastAsia="zh-CN"/>
              </w:rPr>
              <w:t>4</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1B515DA6">
            <w:pPr>
              <w:jc w:val="left"/>
              <w:rPr>
                <w:rFonts w:hint="eastAsia" w:ascii="宋体" w:hAnsi="宋体" w:cs="宋体"/>
                <w:snapToGrid w:val="0"/>
                <w:color w:val="auto"/>
                <w:kern w:val="0"/>
                <w:szCs w:val="22"/>
                <w:highlight w:val="none"/>
                <w:lang w:val="en-US"/>
              </w:rPr>
            </w:pPr>
            <w:r>
              <w:rPr>
                <w:rFonts w:hint="eastAsia" w:ascii="宋体" w:hAnsi="宋体" w:cs="宋体"/>
                <w:snapToGrid w:val="0"/>
                <w:color w:val="auto"/>
                <w:kern w:val="0"/>
                <w:szCs w:val="22"/>
                <w:highlight w:val="none"/>
                <w:lang w:val="en-US"/>
              </w:rPr>
              <w:t>评标委员会根据投标人针对本项目提供的整体设计方案及现场演示讲解进行综合评审：</w:t>
            </w:r>
          </w:p>
          <w:p w14:paraId="7448A970">
            <w:pPr>
              <w:jc w:val="left"/>
              <w:rPr>
                <w:rFonts w:hint="eastAsia" w:ascii="宋体" w:hAnsi="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rPr>
              <w:t>坚持以习近平新时代中国特色社会主义思想统领全馆，深入浅出的展现乌鲁木齐市</w:t>
            </w:r>
            <w:r>
              <w:rPr>
                <w:rFonts w:hint="eastAsia" w:ascii="宋体" w:hAnsi="宋体" w:cs="宋体"/>
                <w:snapToGrid w:val="0"/>
                <w:color w:val="auto"/>
                <w:kern w:val="0"/>
                <w:szCs w:val="22"/>
                <w:highlight w:val="none"/>
                <w:lang w:val="en-US" w:eastAsia="zh-CN"/>
              </w:rPr>
              <w:t>完整准确全面贯彻新时代党的治疆方略，所取得的辉煌成就和规划蓝图。重点围绕“现代化国际城市”总体定位，集中全面展览城市规划，以规划语言讲好乌鲁木齐故事。</w:t>
            </w:r>
          </w:p>
          <w:p w14:paraId="65CB9FB9">
            <w:pPr>
              <w:jc w:val="left"/>
              <w:rPr>
                <w:rFonts w:hint="eastAsia" w:ascii="宋体" w:hAnsi="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①</w:t>
            </w:r>
            <w:r>
              <w:rPr>
                <w:rFonts w:hint="eastAsia" w:ascii="宋体" w:hAnsi="宋体" w:cs="宋体"/>
                <w:snapToGrid w:val="0"/>
                <w:color w:val="auto"/>
                <w:kern w:val="0"/>
                <w:szCs w:val="22"/>
                <w:highlight w:val="none"/>
              </w:rPr>
              <w:t>设计理念先进、构思新颖，不套</w:t>
            </w:r>
            <w:r>
              <w:rPr>
                <w:rFonts w:hint="eastAsia" w:ascii="宋体" w:hAnsi="宋体" w:cs="宋体"/>
                <w:snapToGrid w:val="0"/>
                <w:color w:val="auto"/>
                <w:kern w:val="0"/>
                <w:szCs w:val="22"/>
                <w:highlight w:val="none"/>
                <w:lang w:val="en-US" w:eastAsia="zh-CN"/>
              </w:rPr>
              <w:t>用其他</w:t>
            </w:r>
            <w:r>
              <w:rPr>
                <w:rFonts w:hint="eastAsia" w:ascii="宋体" w:hAnsi="宋体" w:cs="宋体"/>
                <w:snapToGrid w:val="0"/>
                <w:color w:val="auto"/>
                <w:kern w:val="0"/>
                <w:szCs w:val="22"/>
                <w:highlight w:val="none"/>
              </w:rPr>
              <w:t>城市模板，</w:t>
            </w:r>
            <w:r>
              <w:rPr>
                <w:rFonts w:hint="eastAsia" w:ascii="宋体" w:hAnsi="宋体" w:cs="宋体"/>
                <w:snapToGrid w:val="0"/>
                <w:color w:val="auto"/>
                <w:kern w:val="0"/>
                <w:szCs w:val="22"/>
                <w:highlight w:val="none"/>
                <w:lang w:val="en-US" w:eastAsia="zh-CN"/>
              </w:rPr>
              <w:t>在《乌鲁木齐市城市规划馆展陈更新大纲》基础上，围绕指导思想和功能定位，进一步</w:t>
            </w:r>
            <w:r>
              <w:rPr>
                <w:rFonts w:hint="eastAsia" w:ascii="宋体" w:hAnsi="宋体" w:cs="宋体"/>
                <w:snapToGrid w:val="0"/>
                <w:color w:val="auto"/>
                <w:kern w:val="0"/>
                <w:szCs w:val="22"/>
                <w:highlight w:val="none"/>
              </w:rPr>
              <w:t>提取乌鲁木齐特有元素，凝炼特色鲜明的主题，</w:t>
            </w:r>
            <w:r>
              <w:rPr>
                <w:rFonts w:hint="eastAsia" w:ascii="宋体" w:hAnsi="宋体" w:cs="宋体"/>
                <w:snapToGrid w:val="0"/>
                <w:color w:val="auto"/>
                <w:kern w:val="0"/>
                <w:szCs w:val="22"/>
                <w:highlight w:val="none"/>
                <w:lang w:val="en-US" w:eastAsia="zh-CN"/>
              </w:rPr>
              <w:t>聚焦城市规划，</w:t>
            </w:r>
            <w:r>
              <w:rPr>
                <w:rFonts w:hint="eastAsia" w:ascii="宋体" w:hAnsi="宋体" w:cs="宋体"/>
                <w:snapToGrid w:val="0"/>
                <w:color w:val="auto"/>
                <w:kern w:val="0"/>
                <w:szCs w:val="22"/>
                <w:highlight w:val="none"/>
              </w:rPr>
              <w:t>全方位展现乌鲁木齐的建设成</w:t>
            </w:r>
            <w:r>
              <w:rPr>
                <w:rFonts w:hint="eastAsia" w:ascii="宋体" w:hAnsi="宋体" w:cs="宋体"/>
                <w:snapToGrid w:val="0"/>
                <w:color w:val="auto"/>
                <w:kern w:val="0"/>
                <w:szCs w:val="22"/>
                <w:highlight w:val="none"/>
                <w:lang w:val="en-US" w:eastAsia="zh-CN"/>
              </w:rPr>
              <w:t>就和美好</w:t>
            </w:r>
            <w:r>
              <w:rPr>
                <w:rFonts w:hint="eastAsia" w:ascii="宋体" w:hAnsi="宋体" w:cs="宋体"/>
                <w:snapToGrid w:val="0"/>
                <w:color w:val="auto"/>
                <w:kern w:val="0"/>
                <w:szCs w:val="22"/>
                <w:highlight w:val="none"/>
              </w:rPr>
              <w:t>蓝图</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2分）；</w:t>
            </w:r>
          </w:p>
          <w:p w14:paraId="6753C92D">
            <w:pPr>
              <w:jc w:val="left"/>
              <w:rPr>
                <w:rFonts w:hint="eastAsia" w:ascii="宋体" w:hAnsi="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②</w:t>
            </w:r>
            <w:r>
              <w:rPr>
                <w:rFonts w:hint="eastAsia" w:ascii="宋体" w:hAnsi="宋体" w:cs="宋体"/>
                <w:snapToGrid w:val="0"/>
                <w:color w:val="auto"/>
                <w:kern w:val="0"/>
                <w:szCs w:val="22"/>
                <w:highlight w:val="none"/>
              </w:rPr>
              <w:t>设计方案具有显著的创新性和前瞻性，</w:t>
            </w:r>
            <w:r>
              <w:rPr>
                <w:rFonts w:hint="eastAsia" w:ascii="宋体" w:hAnsi="宋体" w:cs="宋体"/>
                <w:snapToGrid w:val="0"/>
                <w:color w:val="auto"/>
                <w:kern w:val="0"/>
                <w:szCs w:val="22"/>
                <w:highlight w:val="none"/>
                <w:lang w:val="en-US" w:eastAsia="zh-CN"/>
              </w:rPr>
              <w:t>可操作性与可实施性强</w:t>
            </w:r>
            <w:r>
              <w:rPr>
                <w:rFonts w:hint="eastAsia" w:ascii="宋体" w:hAnsi="宋体" w:cs="宋体"/>
                <w:snapToGrid w:val="0"/>
                <w:color w:val="auto"/>
                <w:kern w:val="0"/>
                <w:szCs w:val="22"/>
                <w:highlight w:val="none"/>
              </w:rPr>
              <w:t>，</w:t>
            </w:r>
            <w:r>
              <w:rPr>
                <w:rFonts w:hint="eastAsia" w:ascii="宋体" w:hAnsi="宋体" w:cs="宋体"/>
                <w:snapToGrid w:val="0"/>
                <w:color w:val="auto"/>
                <w:kern w:val="0"/>
                <w:szCs w:val="22"/>
                <w:highlight w:val="none"/>
                <w:lang w:val="en-US" w:eastAsia="zh-CN"/>
              </w:rPr>
              <w:t>功能完备，</w:t>
            </w:r>
            <w:r>
              <w:rPr>
                <w:rFonts w:hint="eastAsia" w:ascii="宋体" w:hAnsi="宋体" w:cs="宋体"/>
                <w:snapToGrid w:val="0"/>
                <w:color w:val="auto"/>
                <w:kern w:val="0"/>
                <w:szCs w:val="22"/>
                <w:highlight w:val="none"/>
              </w:rPr>
              <w:t>能有效服务于政务接待，以及满足商务考察和公众参观等</w:t>
            </w:r>
            <w:r>
              <w:rPr>
                <w:rFonts w:hint="eastAsia" w:ascii="宋体" w:hAnsi="宋体" w:cs="宋体"/>
                <w:snapToGrid w:val="0"/>
                <w:color w:val="auto"/>
                <w:kern w:val="0"/>
                <w:szCs w:val="22"/>
                <w:highlight w:val="none"/>
                <w:lang w:val="en-US" w:eastAsia="zh-CN"/>
              </w:rPr>
              <w:t>多种</w:t>
            </w:r>
            <w:r>
              <w:rPr>
                <w:rFonts w:hint="eastAsia" w:ascii="宋体" w:hAnsi="宋体" w:cs="宋体"/>
                <w:snapToGrid w:val="0"/>
                <w:color w:val="auto"/>
                <w:kern w:val="0"/>
                <w:szCs w:val="22"/>
                <w:highlight w:val="none"/>
              </w:rPr>
              <w:t>需求</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2分）。</w:t>
            </w:r>
          </w:p>
          <w:p w14:paraId="0C00FE8F">
            <w:pPr>
              <w:jc w:val="left"/>
              <w:rPr>
                <w:rFonts w:hint="default" w:ascii="宋体" w:hAnsi="宋体" w:cs="宋体"/>
                <w:snapToGrid w:val="0"/>
                <w:color w:val="auto"/>
                <w:kern w:val="0"/>
                <w:szCs w:val="22"/>
                <w:highlight w:val="none"/>
                <w:lang w:val="en-US" w:eastAsia="zh-CN"/>
              </w:rPr>
            </w:pPr>
            <w:r>
              <w:rPr>
                <w:rFonts w:hint="default" w:ascii="宋体" w:hAnsi="宋体" w:cs="宋体"/>
                <w:snapToGrid w:val="0"/>
                <w:color w:val="auto"/>
                <w:kern w:val="0"/>
                <w:szCs w:val="22"/>
                <w:highlight w:val="none"/>
                <w:lang w:val="en-US" w:eastAsia="zh-CN"/>
              </w:rPr>
              <w:t>上述①</w:t>
            </w:r>
            <w:r>
              <w:rPr>
                <w:rFonts w:hint="eastAsia" w:ascii="宋体" w:hAnsi="宋体" w:cs="宋体"/>
                <w:snapToGrid w:val="0"/>
                <w:color w:val="auto"/>
                <w:kern w:val="0"/>
                <w:szCs w:val="22"/>
                <w:highlight w:val="none"/>
                <w:lang w:val="en-US" w:eastAsia="zh-CN"/>
              </w:rPr>
              <w:t>②</w:t>
            </w:r>
            <w:r>
              <w:rPr>
                <w:rFonts w:hint="default" w:ascii="宋体" w:hAnsi="宋体" w:cs="宋体"/>
                <w:snapToGrid w:val="0"/>
                <w:color w:val="auto"/>
                <w:kern w:val="0"/>
                <w:szCs w:val="22"/>
                <w:highlight w:val="none"/>
                <w:lang w:val="en-US" w:eastAsia="zh-CN"/>
              </w:rPr>
              <w:t>评分项中，每项内容全部满足采购需求且清晰明了、详细完善、科学合理、具有可行性的，得2分；内容简单粗略，有欠缺的或部分不满足采购需求的，得1分；未提供或内容不满足的，得0分。</w:t>
            </w:r>
          </w:p>
        </w:tc>
      </w:tr>
      <w:tr w14:paraId="3D4C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left w:val="single" w:color="000000" w:sz="2" w:space="0"/>
              <w:right w:val="single" w:color="000000" w:sz="2" w:space="0"/>
            </w:tcBorders>
            <w:noWrap w:val="0"/>
            <w:tcMar>
              <w:top w:w="100" w:type="dxa"/>
              <w:bottom w:w="100" w:type="dxa"/>
            </w:tcMar>
            <w:vAlign w:val="center"/>
          </w:tcPr>
          <w:p w14:paraId="1DA987C3">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2" w:type="dxa"/>
              <w:bottom w:w="102" w:type="dxa"/>
            </w:tcMar>
            <w:vAlign w:val="center"/>
          </w:tcPr>
          <w:p w14:paraId="39CC1EBD">
            <w:pPr>
              <w:jc w:val="center"/>
              <w:rPr>
                <w:rFonts w:hint="default" w:ascii="宋体" w:hAnsi="宋体" w:eastAsia="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现状评估及利旧</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CF3050E">
            <w:pPr>
              <w:jc w:val="center"/>
              <w:rPr>
                <w:rFonts w:hint="eastAsia" w:ascii="宋体" w:hAnsi="宋体" w:eastAsia="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4</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E829BB3">
            <w:pPr>
              <w:jc w:val="left"/>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评标委员会根据投标人针对本项目提供的整体设计方案及现场演示讲解进行综合评审：</w:t>
            </w:r>
          </w:p>
          <w:p w14:paraId="70395479">
            <w:pPr>
              <w:jc w:val="left"/>
              <w:rPr>
                <w:rFonts w:hint="eastAsia" w:ascii="宋体" w:hAnsi="宋体" w:eastAsia="宋体" w:cs="宋体"/>
                <w:snapToGrid w:val="0"/>
                <w:color w:val="auto"/>
                <w:kern w:val="0"/>
                <w:szCs w:val="22"/>
                <w:highlight w:val="none"/>
                <w:lang w:eastAsia="zh-CN"/>
              </w:rPr>
            </w:pPr>
            <w:r>
              <w:rPr>
                <w:rFonts w:hint="eastAsia" w:ascii="宋体" w:hAnsi="宋体" w:eastAsia="宋体" w:cs="宋体"/>
                <w:snapToGrid w:val="0"/>
                <w:color w:val="auto"/>
                <w:kern w:val="0"/>
                <w:szCs w:val="22"/>
                <w:highlight w:val="none"/>
                <w:lang w:val="en-US" w:eastAsia="zh-CN"/>
              </w:rPr>
              <w:t>①</w:t>
            </w:r>
            <w:r>
              <w:rPr>
                <w:rFonts w:hint="eastAsia" w:ascii="宋体" w:hAnsi="宋体" w:eastAsia="宋体" w:cs="宋体"/>
                <w:snapToGrid w:val="0"/>
                <w:color w:val="auto"/>
                <w:kern w:val="0"/>
                <w:szCs w:val="22"/>
                <w:highlight w:val="none"/>
                <w:lang w:eastAsia="zh-CN"/>
              </w:rPr>
              <w:t>投标人对项目现状进行评估和深入分析，能根据实地踏勘情况出具对项目现状的调研报告（</w:t>
            </w:r>
            <w:r>
              <w:rPr>
                <w:rFonts w:hint="eastAsia" w:ascii="宋体" w:hAnsi="宋体" w:eastAsia="宋体" w:cs="宋体"/>
                <w:snapToGrid w:val="0"/>
                <w:color w:val="auto"/>
                <w:kern w:val="0"/>
                <w:szCs w:val="22"/>
                <w:highlight w:val="none"/>
                <w:lang w:val="en-US" w:eastAsia="zh-CN"/>
              </w:rPr>
              <w:t>2分）；</w:t>
            </w:r>
          </w:p>
          <w:p w14:paraId="300875DE">
            <w:pPr>
              <w:jc w:val="left"/>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②</w:t>
            </w:r>
            <w:r>
              <w:rPr>
                <w:rFonts w:hint="eastAsia" w:ascii="宋体" w:hAnsi="宋体" w:eastAsia="宋体" w:cs="宋体"/>
                <w:snapToGrid w:val="0"/>
                <w:color w:val="auto"/>
                <w:kern w:val="0"/>
                <w:szCs w:val="22"/>
                <w:highlight w:val="none"/>
                <w:lang w:eastAsia="zh-CN"/>
              </w:rPr>
              <w:t>对展馆现有空间利用情况、设施利旧等进行分析，</w:t>
            </w:r>
            <w:r>
              <w:rPr>
                <w:rFonts w:hint="eastAsia" w:ascii="宋体" w:hAnsi="宋体" w:eastAsia="宋体" w:cs="宋体"/>
                <w:snapToGrid w:val="0"/>
                <w:color w:val="auto"/>
                <w:kern w:val="0"/>
                <w:szCs w:val="22"/>
                <w:highlight w:val="none"/>
                <w:lang w:val="en-US" w:eastAsia="zh-CN"/>
              </w:rPr>
              <w:t>明确利旧方案，</w:t>
            </w:r>
            <w:r>
              <w:rPr>
                <w:rFonts w:hint="eastAsia" w:ascii="宋体" w:hAnsi="宋体" w:eastAsia="宋体" w:cs="宋体"/>
                <w:snapToGrid w:val="0"/>
                <w:color w:val="auto"/>
                <w:kern w:val="0"/>
                <w:szCs w:val="22"/>
                <w:highlight w:val="none"/>
                <w:lang w:eastAsia="zh-CN"/>
              </w:rPr>
              <w:t>图文并茂，有相应的数据支撑，得出的结论有针对性，贴合实际情况（</w:t>
            </w:r>
            <w:r>
              <w:rPr>
                <w:rFonts w:hint="eastAsia" w:ascii="宋体" w:hAnsi="宋体" w:eastAsia="宋体" w:cs="宋体"/>
                <w:snapToGrid w:val="0"/>
                <w:color w:val="auto"/>
                <w:kern w:val="0"/>
                <w:szCs w:val="22"/>
                <w:highlight w:val="none"/>
                <w:lang w:val="en-US" w:eastAsia="zh-CN"/>
              </w:rPr>
              <w:t>2分）。</w:t>
            </w:r>
          </w:p>
          <w:p w14:paraId="3830E00B">
            <w:pPr>
              <w:pStyle w:val="2"/>
              <w:ind w:left="0" w:leftChars="0" w:firstLine="0" w:firstLineChars="0"/>
              <w:rPr>
                <w:rFonts w:hint="default"/>
                <w:color w:val="auto"/>
                <w:highlight w:val="none"/>
                <w:lang w:val="en-US" w:eastAsia="zh-CN"/>
              </w:rPr>
            </w:pPr>
            <w:r>
              <w:rPr>
                <w:rFonts w:hint="default" w:ascii="宋体" w:hAnsi="宋体" w:eastAsia="宋体" w:cs="宋体"/>
                <w:snapToGrid w:val="0"/>
                <w:color w:val="auto"/>
                <w:kern w:val="0"/>
                <w:szCs w:val="22"/>
                <w:highlight w:val="none"/>
                <w:lang w:val="en-US" w:eastAsia="zh-CN"/>
              </w:rPr>
              <w:t>上述①-</w:t>
            </w:r>
            <w:r>
              <w:rPr>
                <w:rFonts w:hint="eastAsia" w:ascii="宋体" w:hAnsi="宋体" w:eastAsia="宋体" w:cs="宋体"/>
                <w:snapToGrid w:val="0"/>
                <w:color w:val="auto"/>
                <w:kern w:val="0"/>
                <w:szCs w:val="22"/>
                <w:highlight w:val="none"/>
                <w:lang w:val="en-US" w:eastAsia="zh-CN"/>
              </w:rPr>
              <w:t>②</w:t>
            </w:r>
            <w:r>
              <w:rPr>
                <w:rFonts w:hint="default" w:ascii="宋体" w:hAnsi="宋体" w:eastAsia="宋体" w:cs="宋体"/>
                <w:snapToGrid w:val="0"/>
                <w:color w:val="auto"/>
                <w:kern w:val="0"/>
                <w:szCs w:val="22"/>
                <w:highlight w:val="none"/>
                <w:lang w:val="en-US" w:eastAsia="zh-CN"/>
              </w:rPr>
              <w:t>评分项中，每项内容全部满足采购需求且清晰明了、详细完善、科学合理、具有可行性的，得2分；内容简单粗略，有欠缺的或部分不满足采购需求的，得1分；未提供或内容不满足的，得0分。</w:t>
            </w:r>
          </w:p>
        </w:tc>
      </w:tr>
      <w:tr w14:paraId="1971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left w:val="single" w:color="000000" w:sz="2" w:space="0"/>
              <w:right w:val="single" w:color="000000" w:sz="2" w:space="0"/>
            </w:tcBorders>
            <w:noWrap w:val="0"/>
            <w:tcMar>
              <w:top w:w="100" w:type="dxa"/>
              <w:bottom w:w="100" w:type="dxa"/>
            </w:tcMar>
            <w:vAlign w:val="center"/>
          </w:tcPr>
          <w:p w14:paraId="0D247486">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2" w:type="dxa"/>
              <w:bottom w:w="102" w:type="dxa"/>
            </w:tcMar>
            <w:vAlign w:val="center"/>
          </w:tcPr>
          <w:p w14:paraId="7C2314B1">
            <w:pPr>
              <w:jc w:val="center"/>
              <w:rPr>
                <w:rFonts w:hint="default" w:ascii="宋体" w:hAnsi="宋体" w:eastAsia="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各楼层设计方案</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BF983DD">
            <w:pPr>
              <w:jc w:val="center"/>
              <w:rPr>
                <w:rFonts w:hint="default" w:ascii="宋体" w:hAnsi="宋体" w:eastAsia="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12</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AFB593A">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评标委员会根据投标人针对本项目提供</w:t>
            </w:r>
            <w:r>
              <w:rPr>
                <w:rFonts w:hint="eastAsia" w:ascii="宋体" w:hAnsi="宋体" w:cs="宋体"/>
                <w:snapToGrid w:val="0"/>
                <w:color w:val="auto"/>
                <w:kern w:val="0"/>
                <w:szCs w:val="22"/>
                <w:highlight w:val="none"/>
                <w:lang w:val="en-US" w:eastAsia="zh-CN"/>
              </w:rPr>
              <w:t>的整体设计方案及</w:t>
            </w:r>
            <w:r>
              <w:rPr>
                <w:rFonts w:hint="eastAsia" w:ascii="宋体" w:hAnsi="宋体" w:cs="宋体"/>
                <w:snapToGrid w:val="0"/>
                <w:color w:val="auto"/>
                <w:kern w:val="0"/>
                <w:szCs w:val="22"/>
                <w:highlight w:val="none"/>
                <w:lang w:eastAsia="zh-CN"/>
              </w:rPr>
              <w:t>现场演示讲解</w:t>
            </w:r>
            <w:r>
              <w:rPr>
                <w:rFonts w:ascii="宋体" w:hAnsi="宋体" w:cs="宋体"/>
                <w:snapToGrid w:val="0"/>
                <w:color w:val="auto"/>
                <w:kern w:val="0"/>
                <w:szCs w:val="22"/>
                <w:highlight w:val="none"/>
              </w:rPr>
              <w:t>进行综合评审：</w:t>
            </w:r>
          </w:p>
          <w:p w14:paraId="30A05CF1">
            <w:pPr>
              <w:jc w:val="left"/>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①各楼层展区设计应充分考虑展馆空间布局和建筑特点，形成开合有致的空间序列、疏密结合的展览布局。在遵循布展设计理念的前提下，突出各楼层特色（2分）；</w:t>
            </w:r>
          </w:p>
          <w:p w14:paraId="0CDB9DF1">
            <w:pPr>
              <w:jc w:val="left"/>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②展陈技术能服务于展陈内容，尤其是针对城市空间格局、产业格局、交通格局、生态格局、城市风貌、中心区建设等重点内容，展陈形式做到丰富多样，整体设计和谐，有记忆点（2分）；</w:t>
            </w:r>
          </w:p>
          <w:p w14:paraId="565739B7">
            <w:pPr>
              <w:jc w:val="left"/>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③一层围绕“一带一路”主题，补充完善新疆和乌鲁木齐融入“一带一路”倡议的具体行动举措和建设成就</w:t>
            </w:r>
            <w:r>
              <w:rPr>
                <w:rFonts w:hint="eastAsia" w:ascii="宋体" w:hAnsi="宋体" w:cs="宋体"/>
                <w:snapToGrid w:val="0"/>
                <w:color w:val="auto"/>
                <w:kern w:val="0"/>
                <w:szCs w:val="22"/>
                <w:highlight w:val="none"/>
                <w:lang w:val="en-US" w:eastAsia="zh-CN"/>
              </w:rPr>
              <w:t>；</w:t>
            </w:r>
            <w:r>
              <w:rPr>
                <w:rFonts w:hint="eastAsia" w:ascii="宋体" w:hAnsi="宋体" w:eastAsia="宋体" w:cs="宋体"/>
                <w:snapToGrid w:val="0"/>
                <w:color w:val="auto"/>
                <w:kern w:val="0"/>
                <w:szCs w:val="22"/>
                <w:highlight w:val="none"/>
                <w:lang w:val="en-US" w:eastAsia="zh-CN"/>
              </w:rPr>
              <w:t>三层重点展览八大重点片区规划等内容</w:t>
            </w:r>
            <w:r>
              <w:rPr>
                <w:rFonts w:hint="eastAsia" w:ascii="宋体" w:hAnsi="宋体" w:cs="宋体"/>
                <w:snapToGrid w:val="0"/>
                <w:color w:val="auto"/>
                <w:kern w:val="0"/>
                <w:szCs w:val="22"/>
                <w:highlight w:val="none"/>
                <w:lang w:val="en-US" w:eastAsia="zh-CN"/>
              </w:rPr>
              <w:t>；</w:t>
            </w:r>
            <w:r>
              <w:rPr>
                <w:rFonts w:hint="eastAsia" w:ascii="宋体" w:hAnsi="宋体" w:eastAsia="宋体" w:cs="宋体"/>
                <w:snapToGrid w:val="0"/>
                <w:color w:val="auto"/>
                <w:kern w:val="0"/>
                <w:szCs w:val="22"/>
                <w:highlight w:val="none"/>
                <w:lang w:val="en-US" w:eastAsia="zh-CN"/>
              </w:rPr>
              <w:t>四层重点通过沙盘和影片立体展示城市蓝图与未来愿景</w:t>
            </w:r>
            <w:r>
              <w:rPr>
                <w:rFonts w:hint="eastAsia" w:ascii="宋体" w:hAnsi="宋体" w:cs="宋体"/>
                <w:snapToGrid w:val="0"/>
                <w:color w:val="auto"/>
                <w:kern w:val="0"/>
                <w:szCs w:val="22"/>
                <w:highlight w:val="none"/>
                <w:lang w:val="en-US" w:eastAsia="zh-CN"/>
              </w:rPr>
              <w:t>。</w:t>
            </w:r>
            <w:r>
              <w:rPr>
                <w:rFonts w:hint="eastAsia" w:ascii="宋体" w:hAnsi="宋体" w:eastAsia="宋体" w:cs="宋体"/>
                <w:snapToGrid w:val="0"/>
                <w:color w:val="auto"/>
                <w:kern w:val="0"/>
                <w:szCs w:val="22"/>
                <w:highlight w:val="none"/>
                <w:lang w:val="en-US" w:eastAsia="zh-CN"/>
              </w:rPr>
              <w:t>结合利旧设施在展陈大纲基础上细化本层设计方案，内容紧扣展览重点，形式新颖、主线明晰（</w:t>
            </w:r>
            <w:r>
              <w:rPr>
                <w:rFonts w:hint="eastAsia" w:ascii="宋体" w:hAnsi="宋体" w:cs="宋体"/>
                <w:snapToGrid w:val="0"/>
                <w:color w:val="auto"/>
                <w:kern w:val="0"/>
                <w:szCs w:val="22"/>
                <w:highlight w:val="none"/>
                <w:lang w:val="en-US" w:eastAsia="zh-CN"/>
              </w:rPr>
              <w:t>4</w:t>
            </w:r>
            <w:r>
              <w:rPr>
                <w:rFonts w:hint="eastAsia" w:ascii="宋体" w:hAnsi="宋体" w:eastAsia="宋体" w:cs="宋体"/>
                <w:snapToGrid w:val="0"/>
                <w:color w:val="auto"/>
                <w:kern w:val="0"/>
                <w:szCs w:val="22"/>
                <w:highlight w:val="none"/>
                <w:lang w:val="en-US" w:eastAsia="zh-CN"/>
              </w:rPr>
              <w:t>分）；</w:t>
            </w:r>
          </w:p>
          <w:p w14:paraId="354F7C30">
            <w:pPr>
              <w:jc w:val="left"/>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④二层重点展览城市总体规划与发展愿景，集中全面展示总体定位、空间布局、交通布局、产业布局、城市风貌、生态布局、城市中心区等内容。结合利旧设施在展陈大纲基础上细化本层设计方案，内容紧扣展览重点，形式新颖、主线明晰（4分）；</w:t>
            </w:r>
          </w:p>
          <w:p w14:paraId="31EAF460">
            <w:pPr>
              <w:jc w:val="left"/>
              <w:rPr>
                <w:rFonts w:hint="default" w:ascii="宋体" w:hAnsi="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上述①②评分项中，每项内容全部满足采购需求且清晰明了、详细完善、科学合理、具有可行性的，得2分；内容简单粗略，有欠缺的或部分不满足采购需求的，得1分；未提供或内容不满足的，得0分。③④评分项中，每项内容全部满足采购需求且清晰明了、详细完善、科学合理、具有可行性的，得4分；内容简单粗略，有欠缺的或部分不满足采购需求的，得2分；未提供或内容不满足的，得0分。</w:t>
            </w:r>
          </w:p>
        </w:tc>
      </w:tr>
      <w:tr w14:paraId="43DE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left w:val="single" w:color="000000" w:sz="2" w:space="0"/>
              <w:right w:val="single" w:color="000000" w:sz="2" w:space="0"/>
            </w:tcBorders>
            <w:noWrap w:val="0"/>
            <w:tcMar>
              <w:top w:w="100" w:type="dxa"/>
              <w:bottom w:w="100" w:type="dxa"/>
            </w:tcMar>
            <w:vAlign w:val="center"/>
          </w:tcPr>
          <w:p w14:paraId="13890DB5">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2" w:type="dxa"/>
              <w:bottom w:w="102" w:type="dxa"/>
            </w:tcMar>
            <w:vAlign w:val="center"/>
          </w:tcPr>
          <w:p w14:paraId="06E989E6">
            <w:pPr>
              <w:pStyle w:val="31"/>
              <w:jc w:val="center"/>
              <w:rPr>
                <w:rFonts w:ascii="宋体" w:hAnsi="宋体" w:cs="宋体"/>
                <w:bCs w:val="0"/>
                <w:caps w:val="0"/>
                <w:snapToGrid w:val="0"/>
                <w:color w:val="auto"/>
                <w:kern w:val="0"/>
                <w:sz w:val="21"/>
                <w:szCs w:val="22"/>
                <w:highlight w:val="none"/>
              </w:rPr>
            </w:pPr>
            <w:r>
              <w:rPr>
                <w:rFonts w:hint="eastAsia" w:ascii="宋体" w:hAnsi="宋体" w:cs="宋体"/>
                <w:bCs w:val="0"/>
                <w:caps w:val="0"/>
                <w:snapToGrid w:val="0"/>
                <w:color w:val="auto"/>
                <w:kern w:val="0"/>
                <w:sz w:val="21"/>
                <w:szCs w:val="22"/>
                <w:highlight w:val="none"/>
              </w:rPr>
              <w:t>序厅设计及影片展项</w:t>
            </w:r>
          </w:p>
          <w:p w14:paraId="18BEDB85">
            <w:pPr>
              <w:jc w:val="center"/>
              <w:rPr>
                <w:rFonts w:hint="eastAsia" w:ascii="宋体" w:hAnsi="宋体" w:eastAsia="宋体" w:cs="宋体"/>
                <w:snapToGrid w:val="0"/>
                <w:color w:val="auto"/>
                <w:kern w:val="0"/>
                <w:szCs w:val="22"/>
                <w:highlight w:val="none"/>
                <w:lang w:val="en-US" w:eastAsia="zh-CN"/>
              </w:rPr>
            </w:pP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BE42F69">
            <w:pPr>
              <w:jc w:val="center"/>
              <w:rPr>
                <w:rFonts w:hint="eastAsia" w:ascii="宋体" w:hAnsi="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4</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B259A1D">
            <w:pPr>
              <w:rPr>
                <w:color w:val="auto"/>
                <w:highlight w:val="none"/>
              </w:rPr>
            </w:pPr>
            <w:r>
              <w:rPr>
                <w:rFonts w:hint="eastAsia"/>
                <w:color w:val="auto"/>
                <w:highlight w:val="none"/>
              </w:rPr>
              <w:t>评标委员会根据投标人针对本项目提供的整体设计方案及现场演示讲解进行综合评审：</w:t>
            </w:r>
          </w:p>
          <w:p w14:paraId="775B87FB">
            <w:pPr>
              <w:rPr>
                <w:rFonts w:hint="eastAsia" w:ascii="宋体" w:hAnsi="宋体" w:eastAsia="宋体" w:cs="宋体"/>
                <w:snapToGrid w:val="0"/>
                <w:color w:val="auto"/>
                <w:kern w:val="0"/>
                <w:szCs w:val="22"/>
                <w:highlight w:val="none"/>
                <w:lang w:eastAsia="zh-CN"/>
              </w:rPr>
            </w:pPr>
            <w:r>
              <w:rPr>
                <w:rFonts w:hint="eastAsia" w:ascii="宋体" w:hAnsi="宋体" w:cs="宋体"/>
                <w:snapToGrid w:val="0"/>
                <w:color w:val="auto"/>
                <w:kern w:val="0"/>
                <w:szCs w:val="22"/>
                <w:highlight w:val="none"/>
              </w:rPr>
              <w:t>序厅整体要体现现代感与震撼感</w:t>
            </w:r>
            <w:r>
              <w:rPr>
                <w:rFonts w:hint="eastAsia" w:ascii="宋体" w:hAnsi="宋体" w:cs="宋体"/>
                <w:snapToGrid w:val="0"/>
                <w:color w:val="auto"/>
                <w:kern w:val="0"/>
                <w:szCs w:val="22"/>
                <w:highlight w:val="none"/>
                <w:lang w:eastAsia="zh-CN"/>
              </w:rPr>
              <w:t>。</w:t>
            </w:r>
          </w:p>
          <w:p w14:paraId="27B26361">
            <w:pPr>
              <w:rPr>
                <w:rFonts w:hint="eastAsia" w:ascii="Calibri" w:hAnsi="Calibri" w:cs="Calibri"/>
                <w:snapToGrid/>
                <w:color w:val="auto"/>
                <w:kern w:val="2"/>
                <w:szCs w:val="24"/>
                <w:highlight w:val="none"/>
              </w:rPr>
            </w:pPr>
            <w:r>
              <w:rPr>
                <w:rFonts w:ascii="宋体" w:hAnsi="宋体" w:cs="宋体"/>
                <w:snapToGrid w:val="0"/>
                <w:color w:val="auto"/>
                <w:kern w:val="0"/>
                <w:szCs w:val="22"/>
                <w:highlight w:val="none"/>
              </w:rPr>
              <w:t>①</w:t>
            </w:r>
            <w:r>
              <w:rPr>
                <w:rFonts w:hint="eastAsia" w:ascii="宋体" w:hAnsi="宋体" w:cs="宋体"/>
                <w:snapToGrid w:val="0"/>
                <w:color w:val="auto"/>
                <w:kern w:val="0"/>
                <w:szCs w:val="22"/>
                <w:highlight w:val="none"/>
                <w:lang w:val="en-US" w:eastAsia="zh-CN"/>
              </w:rPr>
              <w:t>序厅设计方案能够有效指导</w:t>
            </w:r>
            <w:r>
              <w:rPr>
                <w:rFonts w:hint="eastAsia" w:ascii="宋体" w:hAnsi="宋体" w:cs="宋体"/>
                <w:snapToGrid w:val="0"/>
                <w:color w:val="auto"/>
                <w:kern w:val="0"/>
                <w:szCs w:val="22"/>
                <w:highlight w:val="none"/>
              </w:rPr>
              <w:t>提升序厅空间品质，使之成为进入规划馆第一印象空间，具有简约大气、不失亲切舒适的氛围效果</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2分</w:t>
            </w:r>
            <w:r>
              <w:rPr>
                <w:rFonts w:hint="eastAsia" w:ascii="宋体" w:hAnsi="宋体" w:cs="宋体"/>
                <w:snapToGrid w:val="0"/>
                <w:color w:val="auto"/>
                <w:kern w:val="0"/>
                <w:szCs w:val="22"/>
                <w:highlight w:val="none"/>
                <w:lang w:eastAsia="zh-CN"/>
              </w:rPr>
              <w:t>）；</w:t>
            </w:r>
          </w:p>
          <w:p w14:paraId="55111DBF">
            <w:pPr>
              <w:rPr>
                <w:rFonts w:hint="eastAsia" w:ascii="宋体" w:hAnsi="宋体" w:eastAsia="宋体" w:cs="宋体"/>
                <w:snapToGrid w:val="0"/>
                <w:color w:val="auto"/>
                <w:kern w:val="0"/>
                <w:szCs w:val="22"/>
                <w:highlight w:val="none"/>
                <w:lang w:val="en-US" w:eastAsia="zh-CN"/>
              </w:rPr>
            </w:pPr>
            <w:r>
              <w:rPr>
                <w:rFonts w:ascii="宋体" w:hAnsi="宋体" w:cs="宋体"/>
                <w:snapToGrid w:val="0"/>
                <w:color w:val="auto"/>
                <w:kern w:val="0"/>
                <w:szCs w:val="22"/>
                <w:highlight w:val="none"/>
              </w:rPr>
              <w:t>②</w:t>
            </w:r>
            <w:r>
              <w:rPr>
                <w:rFonts w:hint="eastAsia" w:ascii="宋体" w:hAnsi="宋体" w:cs="宋体"/>
                <w:snapToGrid w:val="0"/>
                <w:color w:val="auto"/>
                <w:kern w:val="0"/>
                <w:szCs w:val="22"/>
                <w:highlight w:val="none"/>
              </w:rPr>
              <w:t>序厅影片</w:t>
            </w:r>
            <w:r>
              <w:rPr>
                <w:rFonts w:hint="eastAsia" w:ascii="宋体" w:hAnsi="宋体" w:cs="宋体"/>
                <w:snapToGrid w:val="0"/>
                <w:color w:val="auto"/>
                <w:kern w:val="0"/>
                <w:szCs w:val="22"/>
                <w:highlight w:val="none"/>
                <w:lang w:val="en-US" w:eastAsia="zh-CN"/>
              </w:rPr>
              <w:t>脚本</w:t>
            </w:r>
            <w:r>
              <w:rPr>
                <w:rFonts w:hint="eastAsia" w:ascii="宋体" w:hAnsi="宋体" w:cs="宋体"/>
                <w:snapToGrid w:val="0"/>
                <w:color w:val="auto"/>
                <w:kern w:val="0"/>
                <w:szCs w:val="22"/>
                <w:highlight w:val="none"/>
              </w:rPr>
              <w:t>紧扣“新时代党的治疆方略下的乌鲁木齐实践”主题，</w:t>
            </w:r>
            <w:r>
              <w:rPr>
                <w:rFonts w:hint="eastAsia" w:ascii="宋体" w:hAnsi="宋体" w:cs="宋体"/>
                <w:snapToGrid w:val="0"/>
                <w:color w:val="auto"/>
                <w:kern w:val="0"/>
                <w:szCs w:val="22"/>
                <w:highlight w:val="none"/>
                <w:lang w:val="en-US" w:eastAsia="zh-CN"/>
              </w:rPr>
              <w:t>从形式上和内容上</w:t>
            </w:r>
            <w:r>
              <w:rPr>
                <w:rFonts w:hint="eastAsia" w:ascii="宋体" w:hAnsi="宋体" w:cs="宋体"/>
                <w:snapToGrid w:val="0"/>
                <w:color w:val="auto"/>
                <w:kern w:val="0"/>
                <w:szCs w:val="22"/>
                <w:highlight w:val="none"/>
              </w:rPr>
              <w:t>展现乌鲁木齐的新时代飞跃成就</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现场演示的片段</w:t>
            </w:r>
            <w:r>
              <w:rPr>
                <w:rFonts w:hint="eastAsia" w:ascii="宋体" w:hAnsi="宋体" w:cs="宋体"/>
                <w:snapToGrid w:val="0"/>
                <w:color w:val="auto"/>
                <w:kern w:val="0"/>
                <w:szCs w:val="22"/>
                <w:highlight w:val="none"/>
              </w:rPr>
              <w:t>能体现投标人三维动画与影片拍摄制作水平。影片制作精良、</w:t>
            </w:r>
            <w:r>
              <w:rPr>
                <w:rFonts w:hint="eastAsia" w:ascii="宋体" w:hAnsi="宋体" w:cs="宋体"/>
                <w:snapToGrid w:val="0"/>
                <w:color w:val="auto"/>
                <w:kern w:val="0"/>
                <w:szCs w:val="22"/>
                <w:highlight w:val="none"/>
                <w:lang w:val="en-US" w:eastAsia="zh-CN"/>
              </w:rPr>
              <w:t>清晰流畅</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rPr>
              <w:t>内容充实、视效震撼，能展现城市形象和城市发展</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2分</w:t>
            </w:r>
            <w:r>
              <w:rPr>
                <w:rFonts w:hint="eastAsia" w:ascii="宋体" w:hAnsi="宋体" w:cs="宋体"/>
                <w:snapToGrid w:val="0"/>
                <w:color w:val="auto"/>
                <w:kern w:val="0"/>
                <w:szCs w:val="22"/>
                <w:highlight w:val="none"/>
                <w:lang w:eastAsia="zh-CN"/>
              </w:rPr>
              <w:t>）。</w:t>
            </w:r>
          </w:p>
          <w:p w14:paraId="528BC82E">
            <w:pPr>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上述①②评分项中，每项内容全部满足采购需求且清晰明了、详细完善、科学合理、具有可行性的，得2分；内容简单粗略，有欠缺的或部分不满足采购需求的，得1分；</w:t>
            </w:r>
            <w:r>
              <w:rPr>
                <w:rFonts w:ascii="宋体" w:hAnsi="宋体" w:cs="宋体"/>
                <w:snapToGrid w:val="0"/>
                <w:color w:val="auto"/>
                <w:kern w:val="0"/>
                <w:szCs w:val="22"/>
                <w:highlight w:val="none"/>
              </w:rPr>
              <w:t>未</w:t>
            </w:r>
            <w:r>
              <w:rPr>
                <w:rFonts w:hint="eastAsia" w:ascii="宋体" w:hAnsi="宋体" w:cs="宋体"/>
                <w:snapToGrid w:val="0"/>
                <w:color w:val="auto"/>
                <w:kern w:val="0"/>
                <w:szCs w:val="22"/>
                <w:highlight w:val="none"/>
                <w:lang w:val="en-US" w:eastAsia="zh-CN"/>
              </w:rPr>
              <w:t>提供</w:t>
            </w:r>
            <w:r>
              <w:rPr>
                <w:rFonts w:hint="eastAsia" w:ascii="宋体" w:hAnsi="宋体" w:eastAsia="宋体" w:cs="宋体"/>
                <w:snapToGrid w:val="0"/>
                <w:color w:val="auto"/>
                <w:kern w:val="0"/>
                <w:szCs w:val="22"/>
                <w:highlight w:val="none"/>
                <w:lang w:val="en-US" w:eastAsia="zh-CN"/>
              </w:rPr>
              <w:t>或内容不满足</w:t>
            </w:r>
            <w:r>
              <w:rPr>
                <w:rFonts w:hint="eastAsia" w:ascii="宋体" w:hAnsi="宋体" w:cs="宋体"/>
                <w:snapToGrid w:val="0"/>
                <w:color w:val="auto"/>
                <w:kern w:val="0"/>
                <w:szCs w:val="22"/>
                <w:highlight w:val="none"/>
                <w:lang w:val="en-US" w:eastAsia="zh-CN"/>
              </w:rPr>
              <w:t>采购需求</w:t>
            </w:r>
            <w:r>
              <w:rPr>
                <w:rFonts w:hint="eastAsia" w:ascii="宋体" w:hAnsi="宋体" w:eastAsia="宋体" w:cs="宋体"/>
                <w:snapToGrid w:val="0"/>
                <w:color w:val="auto"/>
                <w:kern w:val="0"/>
                <w:szCs w:val="22"/>
                <w:highlight w:val="none"/>
                <w:lang w:val="en-US" w:eastAsia="zh-CN"/>
              </w:rPr>
              <w:t>的，得0分。</w:t>
            </w:r>
          </w:p>
          <w:p w14:paraId="6B05E634">
            <w:pPr>
              <w:rPr>
                <w:rFonts w:hint="eastAsia" w:ascii="宋体" w:hAnsi="宋体" w:eastAsia="宋体" w:cs="宋体"/>
                <w:snapToGrid w:val="0"/>
                <w:color w:val="auto"/>
                <w:kern w:val="0"/>
                <w:szCs w:val="22"/>
                <w:highlight w:val="none"/>
                <w:lang w:val="en-US" w:eastAsia="zh-CN"/>
              </w:rPr>
            </w:pPr>
            <w:r>
              <w:rPr>
                <w:rFonts w:ascii="宋体" w:hAnsi="宋体" w:cs="宋体"/>
                <w:snapToGrid w:val="0"/>
                <w:color w:val="auto"/>
                <w:kern w:val="0"/>
                <w:szCs w:val="22"/>
                <w:highlight w:val="none"/>
              </w:rPr>
              <w:t>内容有欠缺是指符合以下任意一项：</w:t>
            </w:r>
            <w:r>
              <w:rPr>
                <w:rFonts w:hint="eastAsia" w:ascii="宋体" w:hAnsi="宋体" w:cs="宋体"/>
                <w:snapToGrid w:val="0"/>
                <w:color w:val="auto"/>
                <w:kern w:val="0"/>
                <w:szCs w:val="22"/>
                <w:highlight w:val="none"/>
              </w:rPr>
              <w:t>序厅</w:t>
            </w:r>
            <w:r>
              <w:rPr>
                <w:rFonts w:ascii="宋体" w:hAnsi="宋体" w:cs="宋体"/>
                <w:snapToGrid w:val="0"/>
                <w:color w:val="auto"/>
                <w:kern w:val="0"/>
                <w:szCs w:val="22"/>
                <w:highlight w:val="none"/>
              </w:rPr>
              <w:t>整体效果无显著特色；或内容不够充实</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影片清晰流畅度、</w:t>
            </w:r>
            <w:r>
              <w:rPr>
                <w:rFonts w:hint="eastAsia" w:ascii="宋体" w:hAnsi="宋体" w:cs="宋体"/>
                <w:snapToGrid w:val="0"/>
                <w:color w:val="auto"/>
                <w:kern w:val="0"/>
                <w:szCs w:val="22"/>
                <w:highlight w:val="none"/>
              </w:rPr>
              <w:t>视效震撼</w:t>
            </w:r>
            <w:r>
              <w:rPr>
                <w:rFonts w:hint="eastAsia" w:ascii="宋体" w:hAnsi="宋体" w:cs="宋体"/>
                <w:snapToGrid w:val="0"/>
                <w:color w:val="auto"/>
                <w:kern w:val="0"/>
                <w:szCs w:val="22"/>
                <w:highlight w:val="none"/>
                <w:lang w:val="en-US" w:eastAsia="zh-CN"/>
              </w:rPr>
              <w:t>感不足</w:t>
            </w:r>
            <w:r>
              <w:rPr>
                <w:rFonts w:ascii="宋体" w:hAnsi="宋体" w:cs="宋体"/>
                <w:snapToGrid w:val="0"/>
                <w:color w:val="auto"/>
                <w:kern w:val="0"/>
                <w:szCs w:val="22"/>
                <w:highlight w:val="none"/>
              </w:rPr>
              <w:t>。</w:t>
            </w:r>
          </w:p>
        </w:tc>
      </w:tr>
      <w:tr w14:paraId="6E2D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left w:val="single" w:color="000000" w:sz="2" w:space="0"/>
              <w:right w:val="single" w:color="000000" w:sz="2" w:space="0"/>
            </w:tcBorders>
            <w:noWrap w:val="0"/>
            <w:tcMar>
              <w:top w:w="100" w:type="dxa"/>
              <w:bottom w:w="100" w:type="dxa"/>
            </w:tcMar>
            <w:vAlign w:val="center"/>
          </w:tcPr>
          <w:p w14:paraId="3A1A374D">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2" w:type="dxa"/>
              <w:bottom w:w="102" w:type="dxa"/>
            </w:tcMar>
            <w:vAlign w:val="center"/>
          </w:tcPr>
          <w:p w14:paraId="1F9A10E8">
            <w:pPr>
              <w:jc w:val="center"/>
              <w:rPr>
                <w:rFonts w:hint="eastAsia" w:ascii="宋体" w:hAnsi="宋体" w:eastAsia="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rPr>
              <w:t>城市沙盘及影片展项</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0735A55">
            <w:pPr>
              <w:jc w:val="center"/>
              <w:rPr>
                <w:rFonts w:hint="eastAsia" w:ascii="宋体" w:hAnsi="宋体" w:cs="宋体"/>
                <w:snapToGrid w:val="0"/>
                <w:color w:val="auto"/>
                <w:kern w:val="0"/>
                <w:szCs w:val="22"/>
                <w:highlight w:val="none"/>
                <w:lang w:val="en-US" w:eastAsia="zh-CN"/>
              </w:rPr>
            </w:pPr>
            <w:r>
              <w:rPr>
                <w:rFonts w:hint="eastAsia" w:ascii="宋体" w:hAnsi="宋体" w:eastAsia="宋体" w:cs="宋体"/>
                <w:snapToGrid w:val="0"/>
                <w:color w:val="auto"/>
                <w:kern w:val="0"/>
                <w:szCs w:val="22"/>
                <w:highlight w:val="none"/>
                <w:lang w:val="en-US" w:eastAsia="zh-CN"/>
              </w:rPr>
              <w:t>6</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A727F8C">
            <w:pPr>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szCs w:val="22"/>
                <w:highlight w:val="none"/>
              </w:rPr>
              <w:t>评标委员会根据投标人针对本项目提供的整体设计方案及现场演示讲解进行综合评审：</w:t>
            </w:r>
          </w:p>
          <w:p w14:paraId="2BCC8594">
            <w:pPr>
              <w:rPr>
                <w:rFonts w:ascii="宋体" w:hAnsi="宋体" w:eastAsia="宋体" w:cs="宋体"/>
                <w:snapToGrid w:val="0"/>
                <w:color w:val="auto"/>
                <w:kern w:val="0"/>
                <w:szCs w:val="22"/>
                <w:highlight w:val="none"/>
              </w:rPr>
            </w:pPr>
            <w:r>
              <w:rPr>
                <w:rFonts w:ascii="宋体" w:hAnsi="宋体" w:eastAsia="宋体" w:cs="宋体"/>
                <w:snapToGrid w:val="0"/>
                <w:color w:val="auto"/>
                <w:kern w:val="0"/>
                <w:szCs w:val="22"/>
                <w:highlight w:val="none"/>
              </w:rPr>
              <w:t>①</w:t>
            </w:r>
            <w:r>
              <w:rPr>
                <w:rFonts w:hint="eastAsia" w:ascii="宋体" w:hAnsi="宋体" w:cs="宋体"/>
                <w:snapToGrid w:val="0"/>
                <w:color w:val="auto"/>
                <w:kern w:val="0"/>
                <w:szCs w:val="22"/>
                <w:highlight w:val="none"/>
                <w:lang w:val="en-US" w:eastAsia="zh-CN"/>
              </w:rPr>
              <w:t>沙盘设计方案能够指导打造</w:t>
            </w:r>
            <w:r>
              <w:rPr>
                <w:rFonts w:ascii="宋体" w:hAnsi="宋体" w:eastAsia="宋体" w:cs="宋体"/>
                <w:snapToGrid w:val="0"/>
                <w:color w:val="auto"/>
                <w:kern w:val="0"/>
                <w:szCs w:val="22"/>
                <w:highlight w:val="none"/>
              </w:rPr>
              <w:t>富有感官震撼力</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形式创新、</w:t>
            </w:r>
            <w:r>
              <w:rPr>
                <w:rFonts w:hint="eastAsia" w:ascii="宋体" w:hAnsi="宋体" w:cs="宋体"/>
                <w:snapToGrid w:val="0"/>
                <w:color w:val="auto"/>
                <w:kern w:val="0"/>
                <w:szCs w:val="21"/>
                <w:highlight w:val="none"/>
              </w:rPr>
              <w:t>制作精良</w:t>
            </w: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rPr>
              <w:t>达到国内领先水平</w:t>
            </w:r>
            <w:r>
              <w:rPr>
                <w:rFonts w:ascii="宋体" w:hAnsi="宋体" w:eastAsia="宋体" w:cs="宋体"/>
                <w:snapToGrid w:val="0"/>
                <w:color w:val="auto"/>
                <w:kern w:val="0"/>
                <w:szCs w:val="22"/>
                <w:highlight w:val="none"/>
              </w:rPr>
              <w:t>的</w:t>
            </w:r>
            <w:r>
              <w:rPr>
                <w:rFonts w:hint="eastAsia" w:ascii="宋体" w:hAnsi="宋体" w:eastAsia="宋体" w:cs="宋体"/>
                <w:snapToGrid w:val="0"/>
                <w:color w:val="auto"/>
                <w:kern w:val="0"/>
                <w:szCs w:val="22"/>
                <w:highlight w:val="none"/>
                <w:lang w:eastAsia="zh-CN"/>
              </w:rPr>
              <w:t>城市沙盘</w:t>
            </w:r>
            <w:r>
              <w:rPr>
                <w:rFonts w:ascii="宋体" w:hAnsi="宋体" w:eastAsia="宋体" w:cs="宋体"/>
                <w:snapToGrid w:val="0"/>
                <w:color w:val="auto"/>
                <w:kern w:val="0"/>
                <w:szCs w:val="22"/>
                <w:highlight w:val="none"/>
              </w:rPr>
              <w:t>展项</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1分</w:t>
            </w:r>
            <w:r>
              <w:rPr>
                <w:rFonts w:hint="eastAsia" w:ascii="宋体" w:hAnsi="宋体" w:cs="宋体"/>
                <w:snapToGrid w:val="0"/>
                <w:color w:val="auto"/>
                <w:kern w:val="0"/>
                <w:szCs w:val="22"/>
                <w:highlight w:val="none"/>
                <w:lang w:eastAsia="zh-CN"/>
              </w:rPr>
              <w:t>）；</w:t>
            </w:r>
          </w:p>
          <w:p w14:paraId="6205BDD0">
            <w:pPr>
              <w:rPr>
                <w:rFonts w:ascii="宋体" w:hAnsi="宋体" w:eastAsia="宋体" w:cs="宋体"/>
                <w:snapToGrid w:val="0"/>
                <w:color w:val="auto"/>
                <w:kern w:val="0"/>
                <w:szCs w:val="22"/>
                <w:highlight w:val="none"/>
              </w:rPr>
            </w:pPr>
            <w:r>
              <w:rPr>
                <w:rFonts w:ascii="宋体" w:hAnsi="宋体" w:eastAsia="宋体" w:cs="宋体"/>
                <w:snapToGrid w:val="0"/>
                <w:color w:val="auto"/>
                <w:kern w:val="0"/>
                <w:szCs w:val="22"/>
                <w:highlight w:val="none"/>
              </w:rPr>
              <w:t>②提供</w:t>
            </w:r>
            <w:r>
              <w:rPr>
                <w:rFonts w:hint="eastAsia" w:ascii="宋体" w:hAnsi="宋体" w:cs="宋体"/>
                <w:snapToGrid w:val="0"/>
                <w:color w:val="auto"/>
                <w:kern w:val="0"/>
                <w:szCs w:val="22"/>
                <w:highlight w:val="none"/>
                <w:lang w:val="en-US" w:eastAsia="zh-CN"/>
              </w:rPr>
              <w:t>沙盘</w:t>
            </w:r>
            <w:r>
              <w:rPr>
                <w:rFonts w:ascii="宋体" w:hAnsi="宋体" w:eastAsia="宋体" w:cs="宋体"/>
                <w:snapToGrid w:val="0"/>
                <w:color w:val="auto"/>
                <w:kern w:val="0"/>
                <w:szCs w:val="22"/>
                <w:highlight w:val="none"/>
              </w:rPr>
              <w:t>制作的技术思路、声光电配套方案，</w:t>
            </w:r>
            <w:r>
              <w:rPr>
                <w:rFonts w:hint="eastAsia" w:ascii="宋体" w:hAnsi="宋体" w:cs="宋体"/>
                <w:snapToGrid w:val="0"/>
                <w:color w:val="auto"/>
                <w:kern w:val="0"/>
                <w:szCs w:val="22"/>
                <w:highlight w:val="none"/>
                <w:lang w:val="en-US" w:eastAsia="zh-CN"/>
              </w:rPr>
              <w:t>能够</w:t>
            </w:r>
            <w:r>
              <w:rPr>
                <w:rFonts w:ascii="宋体" w:hAnsi="宋体" w:eastAsia="宋体" w:cs="宋体"/>
                <w:snapToGrid w:val="0"/>
                <w:color w:val="auto"/>
                <w:kern w:val="0"/>
                <w:szCs w:val="22"/>
                <w:highlight w:val="none"/>
              </w:rPr>
              <w:t>详尽表达</w:t>
            </w:r>
            <w:r>
              <w:rPr>
                <w:rFonts w:hint="eastAsia" w:ascii="宋体" w:hAnsi="宋体" w:eastAsia="宋体" w:cs="宋体"/>
                <w:snapToGrid w:val="0"/>
                <w:color w:val="auto"/>
                <w:kern w:val="0"/>
                <w:szCs w:val="22"/>
                <w:highlight w:val="none"/>
              </w:rPr>
              <w:t>乌鲁木齐</w:t>
            </w:r>
            <w:r>
              <w:rPr>
                <w:rFonts w:ascii="宋体" w:hAnsi="宋体" w:eastAsia="宋体" w:cs="宋体"/>
                <w:snapToGrid w:val="0"/>
                <w:color w:val="auto"/>
                <w:kern w:val="0"/>
                <w:szCs w:val="22"/>
                <w:highlight w:val="none"/>
              </w:rPr>
              <w:t>市</w:t>
            </w:r>
            <w:r>
              <w:rPr>
                <w:rFonts w:hint="eastAsia" w:ascii="宋体" w:hAnsi="宋体" w:eastAsia="宋体" w:cs="宋体"/>
                <w:snapToGrid w:val="0"/>
                <w:color w:val="auto"/>
                <w:kern w:val="0"/>
                <w:szCs w:val="22"/>
                <w:highlight w:val="none"/>
              </w:rPr>
              <w:t>城市</w:t>
            </w:r>
            <w:r>
              <w:rPr>
                <w:rFonts w:ascii="宋体" w:hAnsi="宋体" w:eastAsia="宋体" w:cs="宋体"/>
                <w:snapToGrid w:val="0"/>
                <w:color w:val="auto"/>
                <w:kern w:val="0"/>
                <w:szCs w:val="22"/>
                <w:highlight w:val="none"/>
              </w:rPr>
              <w:t>地形地貌</w:t>
            </w:r>
            <w:r>
              <w:rPr>
                <w:rFonts w:hint="eastAsia" w:ascii="宋体" w:hAnsi="宋体" w:eastAsia="宋体" w:cs="宋体"/>
                <w:snapToGrid w:val="0"/>
                <w:color w:val="auto"/>
                <w:kern w:val="0"/>
                <w:szCs w:val="22"/>
                <w:highlight w:val="none"/>
              </w:rPr>
              <w:t>、行政区划、</w:t>
            </w:r>
            <w:r>
              <w:rPr>
                <w:rFonts w:ascii="宋体" w:hAnsi="宋体" w:eastAsia="宋体" w:cs="宋体"/>
                <w:snapToGrid w:val="0"/>
                <w:color w:val="auto"/>
                <w:kern w:val="0"/>
                <w:szCs w:val="22"/>
                <w:highlight w:val="none"/>
              </w:rPr>
              <w:t>生态</w:t>
            </w:r>
            <w:r>
              <w:rPr>
                <w:rFonts w:hint="eastAsia" w:ascii="宋体" w:hAnsi="宋体" w:eastAsia="宋体" w:cs="宋体"/>
                <w:snapToGrid w:val="0"/>
                <w:color w:val="auto"/>
                <w:kern w:val="0"/>
                <w:szCs w:val="22"/>
                <w:highlight w:val="none"/>
              </w:rPr>
              <w:t>格局、空间格局、产业格局、</w:t>
            </w:r>
            <w:r>
              <w:rPr>
                <w:rFonts w:ascii="宋体" w:hAnsi="宋体" w:eastAsia="宋体" w:cs="宋体"/>
                <w:snapToGrid w:val="0"/>
                <w:color w:val="auto"/>
                <w:kern w:val="0"/>
                <w:szCs w:val="22"/>
                <w:highlight w:val="none"/>
              </w:rPr>
              <w:t>交通格局</w:t>
            </w:r>
            <w:r>
              <w:rPr>
                <w:rFonts w:hint="eastAsia" w:ascii="宋体" w:hAnsi="宋体" w:eastAsia="宋体" w:cs="宋体"/>
                <w:snapToGrid w:val="0"/>
                <w:color w:val="auto"/>
                <w:kern w:val="0"/>
                <w:szCs w:val="22"/>
                <w:highlight w:val="none"/>
              </w:rPr>
              <w:t>、</w:t>
            </w:r>
            <w:r>
              <w:rPr>
                <w:rFonts w:ascii="宋体" w:hAnsi="宋体" w:eastAsia="宋体" w:cs="宋体"/>
                <w:snapToGrid w:val="0"/>
                <w:color w:val="auto"/>
                <w:kern w:val="0"/>
                <w:szCs w:val="22"/>
                <w:highlight w:val="none"/>
              </w:rPr>
              <w:t>重点片区</w:t>
            </w:r>
            <w:r>
              <w:rPr>
                <w:rFonts w:hint="eastAsia" w:ascii="宋体" w:hAnsi="宋体" w:eastAsia="宋体" w:cs="宋体"/>
                <w:snapToGrid w:val="0"/>
                <w:color w:val="auto"/>
                <w:kern w:val="0"/>
                <w:szCs w:val="22"/>
                <w:highlight w:val="none"/>
              </w:rPr>
              <w:t>、城市中心、</w:t>
            </w:r>
            <w:r>
              <w:rPr>
                <w:rFonts w:ascii="宋体" w:hAnsi="宋体" w:eastAsia="宋体" w:cs="宋体"/>
                <w:snapToGrid w:val="0"/>
                <w:color w:val="auto"/>
                <w:kern w:val="0"/>
                <w:szCs w:val="22"/>
                <w:highlight w:val="none"/>
              </w:rPr>
              <w:t>重大</w:t>
            </w:r>
            <w:r>
              <w:rPr>
                <w:rFonts w:hint="eastAsia" w:ascii="宋体" w:hAnsi="宋体" w:eastAsia="宋体" w:cs="宋体"/>
                <w:snapToGrid w:val="0"/>
                <w:color w:val="auto"/>
                <w:kern w:val="0"/>
                <w:szCs w:val="22"/>
                <w:highlight w:val="none"/>
              </w:rPr>
              <w:t>设施、</w:t>
            </w:r>
            <w:r>
              <w:rPr>
                <w:rFonts w:ascii="宋体" w:hAnsi="宋体" w:eastAsia="宋体" w:cs="宋体"/>
                <w:snapToGrid w:val="0"/>
                <w:color w:val="auto"/>
                <w:kern w:val="0"/>
                <w:szCs w:val="22"/>
                <w:highlight w:val="none"/>
              </w:rPr>
              <w:t>地标建筑</w:t>
            </w:r>
            <w:r>
              <w:rPr>
                <w:rFonts w:hint="eastAsia" w:ascii="宋体" w:hAnsi="宋体" w:eastAsia="宋体" w:cs="宋体"/>
                <w:snapToGrid w:val="0"/>
                <w:color w:val="auto"/>
                <w:kern w:val="0"/>
                <w:szCs w:val="22"/>
                <w:highlight w:val="none"/>
              </w:rPr>
              <w:t>等（</w:t>
            </w:r>
            <w:r>
              <w:rPr>
                <w:rFonts w:hint="eastAsia" w:ascii="宋体" w:hAnsi="宋体" w:eastAsia="宋体" w:cs="宋体"/>
                <w:snapToGrid w:val="0"/>
                <w:color w:val="auto"/>
                <w:kern w:val="0"/>
                <w:szCs w:val="22"/>
                <w:highlight w:val="none"/>
                <w:lang w:val="en-US" w:eastAsia="zh-CN"/>
              </w:rPr>
              <w:t>1</w:t>
            </w:r>
            <w:r>
              <w:rPr>
                <w:rFonts w:hint="eastAsia" w:ascii="宋体" w:hAnsi="宋体" w:eastAsia="宋体" w:cs="宋体"/>
                <w:snapToGrid w:val="0"/>
                <w:color w:val="auto"/>
                <w:kern w:val="0"/>
                <w:szCs w:val="22"/>
                <w:highlight w:val="none"/>
              </w:rPr>
              <w:t>分）；</w:t>
            </w:r>
          </w:p>
          <w:p w14:paraId="544C8A28">
            <w:pPr>
              <w:rPr>
                <w:rFonts w:ascii="宋体" w:hAnsi="宋体" w:eastAsia="宋体" w:cs="宋体"/>
                <w:snapToGrid w:val="0"/>
                <w:color w:val="auto"/>
                <w:kern w:val="0"/>
                <w:szCs w:val="22"/>
                <w:highlight w:val="none"/>
              </w:rPr>
            </w:pPr>
            <w:r>
              <w:rPr>
                <w:rFonts w:ascii="宋体" w:hAnsi="宋体" w:eastAsia="宋体" w:cs="宋体"/>
                <w:snapToGrid w:val="0"/>
                <w:color w:val="auto"/>
                <w:kern w:val="0"/>
                <w:szCs w:val="22"/>
                <w:highlight w:val="none"/>
              </w:rPr>
              <w:t>③制作的</w:t>
            </w:r>
            <w:r>
              <w:rPr>
                <w:rFonts w:hint="eastAsia" w:ascii="宋体" w:hAnsi="宋体" w:cs="宋体"/>
                <w:snapToGrid w:val="0"/>
                <w:color w:val="auto"/>
                <w:kern w:val="0"/>
                <w:szCs w:val="22"/>
                <w:highlight w:val="none"/>
                <w:lang w:val="en-US" w:eastAsia="zh-CN"/>
              </w:rPr>
              <w:t>沙盘</w:t>
            </w:r>
            <w:r>
              <w:rPr>
                <w:rFonts w:ascii="宋体" w:hAnsi="宋体" w:eastAsia="宋体" w:cs="宋体"/>
                <w:snapToGrid w:val="0"/>
                <w:color w:val="auto"/>
                <w:kern w:val="0"/>
                <w:szCs w:val="22"/>
                <w:highlight w:val="none"/>
              </w:rPr>
              <w:t>模型方便安装、维修、不易损坏；能根据城市未来的发展，提供更新方案，且具有可操作性</w:t>
            </w:r>
            <w:r>
              <w:rPr>
                <w:rFonts w:hint="eastAsia" w:ascii="宋体" w:hAnsi="宋体" w:eastAsia="宋体" w:cs="宋体"/>
                <w:snapToGrid w:val="0"/>
                <w:color w:val="auto"/>
                <w:kern w:val="0"/>
                <w:szCs w:val="22"/>
                <w:highlight w:val="none"/>
              </w:rPr>
              <w:t>（</w:t>
            </w:r>
            <w:r>
              <w:rPr>
                <w:rFonts w:hint="eastAsia" w:ascii="宋体" w:hAnsi="宋体" w:eastAsia="宋体" w:cs="宋体"/>
                <w:snapToGrid w:val="0"/>
                <w:color w:val="auto"/>
                <w:kern w:val="0"/>
                <w:szCs w:val="22"/>
                <w:highlight w:val="none"/>
                <w:lang w:val="en-US" w:eastAsia="zh-CN"/>
              </w:rPr>
              <w:t>1</w:t>
            </w:r>
            <w:r>
              <w:rPr>
                <w:rFonts w:hint="eastAsia" w:ascii="宋体" w:hAnsi="宋体" w:eastAsia="宋体" w:cs="宋体"/>
                <w:snapToGrid w:val="0"/>
                <w:color w:val="auto"/>
                <w:kern w:val="0"/>
                <w:szCs w:val="22"/>
                <w:highlight w:val="none"/>
              </w:rPr>
              <w:t>分）；</w:t>
            </w:r>
          </w:p>
          <w:p w14:paraId="68CFF500">
            <w:pPr>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szCs w:val="22"/>
                <w:highlight w:val="none"/>
              </w:rPr>
              <w:t>④沙盘影片编排应与沙盘演示高度契合，</w:t>
            </w:r>
            <w:r>
              <w:rPr>
                <w:rFonts w:hint="eastAsia" w:ascii="宋体" w:hAnsi="宋体" w:cs="宋体"/>
                <w:snapToGrid w:val="0"/>
                <w:color w:val="auto"/>
                <w:kern w:val="0"/>
                <w:szCs w:val="22"/>
                <w:highlight w:val="none"/>
                <w:lang w:val="en-US" w:eastAsia="zh-CN"/>
              </w:rPr>
              <w:t>影片脚本</w:t>
            </w:r>
            <w:r>
              <w:rPr>
                <w:rFonts w:hint="eastAsia" w:ascii="宋体" w:hAnsi="宋体" w:eastAsia="宋体" w:cs="宋体"/>
                <w:snapToGrid w:val="0"/>
                <w:color w:val="auto"/>
                <w:kern w:val="0"/>
                <w:szCs w:val="22"/>
                <w:highlight w:val="none"/>
              </w:rPr>
              <w:t>紧扣“丝绸之路核心区的现代化国际城市”主题</w:t>
            </w:r>
            <w:r>
              <w:rPr>
                <w:rFonts w:hint="eastAsia" w:ascii="宋体" w:hAnsi="宋体" w:cs="宋体"/>
                <w:snapToGrid w:val="0"/>
                <w:color w:val="auto"/>
                <w:kern w:val="0"/>
                <w:szCs w:val="22"/>
                <w:highlight w:val="none"/>
                <w:lang w:eastAsia="zh-CN"/>
              </w:rPr>
              <w:t>，</w:t>
            </w:r>
            <w:r>
              <w:rPr>
                <w:rFonts w:hint="eastAsia" w:ascii="宋体" w:hAnsi="宋体" w:eastAsia="宋体" w:cs="宋体"/>
                <w:snapToGrid w:val="0"/>
                <w:color w:val="auto"/>
                <w:kern w:val="0"/>
                <w:szCs w:val="22"/>
                <w:highlight w:val="none"/>
              </w:rPr>
              <w:t>构思创新，气势恢弘，展现现代化国际城市的</w:t>
            </w:r>
            <w:r>
              <w:rPr>
                <w:rFonts w:hint="eastAsia" w:ascii="宋体" w:hAnsi="宋体" w:cs="宋体"/>
                <w:snapToGrid w:val="0"/>
                <w:color w:val="auto"/>
                <w:kern w:val="0"/>
                <w:szCs w:val="22"/>
                <w:highlight w:val="none"/>
                <w:lang w:val="en-US" w:eastAsia="zh-CN"/>
              </w:rPr>
              <w:t>城市蓝图与未来愿景</w:t>
            </w:r>
            <w:r>
              <w:rPr>
                <w:rFonts w:hint="eastAsia" w:ascii="宋体" w:hAnsi="宋体" w:eastAsia="宋体" w:cs="宋体"/>
                <w:snapToGrid w:val="0"/>
                <w:color w:val="auto"/>
                <w:kern w:val="0"/>
                <w:szCs w:val="22"/>
                <w:highlight w:val="none"/>
              </w:rPr>
              <w:t>（</w:t>
            </w:r>
            <w:r>
              <w:rPr>
                <w:rFonts w:hint="eastAsia" w:ascii="宋体" w:hAnsi="宋体" w:eastAsia="宋体" w:cs="宋体"/>
                <w:snapToGrid w:val="0"/>
                <w:color w:val="auto"/>
                <w:kern w:val="0"/>
                <w:szCs w:val="22"/>
                <w:highlight w:val="none"/>
                <w:lang w:val="en-US" w:eastAsia="zh-CN"/>
              </w:rPr>
              <w:t>1</w:t>
            </w:r>
            <w:r>
              <w:rPr>
                <w:rFonts w:hint="eastAsia" w:ascii="宋体" w:hAnsi="宋体" w:eastAsia="宋体" w:cs="宋体"/>
                <w:snapToGrid w:val="0"/>
                <w:color w:val="auto"/>
                <w:kern w:val="0"/>
                <w:szCs w:val="22"/>
                <w:highlight w:val="none"/>
              </w:rPr>
              <w:t>分）；</w:t>
            </w:r>
          </w:p>
          <w:p w14:paraId="7E999CBC">
            <w:pPr>
              <w:rPr>
                <w:rFonts w:hint="eastAsia" w:ascii="宋体" w:hAnsi="宋体" w:eastAsia="宋体" w:cs="宋体"/>
                <w:snapToGrid w:val="0"/>
                <w:color w:val="auto"/>
                <w:kern w:val="0"/>
                <w:szCs w:val="22"/>
                <w:highlight w:val="none"/>
              </w:rPr>
            </w:pPr>
            <w:r>
              <w:rPr>
                <w:rFonts w:hint="eastAsia" w:ascii="宋体" w:hAnsi="宋体" w:cs="宋体"/>
                <w:snapToGrid w:val="0"/>
                <w:color w:val="auto"/>
                <w:kern w:val="0"/>
                <w:szCs w:val="22"/>
                <w:highlight w:val="none"/>
                <w:lang w:val="en-US" w:eastAsia="zh-CN"/>
              </w:rPr>
              <w:t>⑤</w:t>
            </w:r>
            <w:r>
              <w:rPr>
                <w:rFonts w:hint="eastAsia" w:ascii="宋体" w:hAnsi="宋体" w:eastAsia="宋体" w:cs="宋体"/>
                <w:snapToGrid w:val="0"/>
                <w:color w:val="auto"/>
                <w:kern w:val="0"/>
                <w:szCs w:val="22"/>
                <w:highlight w:val="none"/>
                <w:lang w:val="en-US" w:eastAsia="zh-CN"/>
              </w:rPr>
              <w:t>现场演示的</w:t>
            </w:r>
            <w:r>
              <w:rPr>
                <w:rFonts w:hint="eastAsia" w:ascii="宋体" w:hAnsi="宋体" w:cs="宋体"/>
                <w:snapToGrid w:val="0"/>
                <w:color w:val="auto"/>
                <w:kern w:val="0"/>
                <w:szCs w:val="22"/>
                <w:highlight w:val="none"/>
                <w:lang w:val="en-US" w:eastAsia="zh-CN"/>
              </w:rPr>
              <w:t>沙盘影片</w:t>
            </w:r>
            <w:r>
              <w:rPr>
                <w:rFonts w:hint="eastAsia" w:ascii="宋体" w:hAnsi="宋体" w:eastAsia="宋体" w:cs="宋体"/>
                <w:snapToGrid w:val="0"/>
                <w:color w:val="auto"/>
                <w:kern w:val="0"/>
                <w:szCs w:val="22"/>
                <w:highlight w:val="none"/>
                <w:lang w:val="en-US" w:eastAsia="zh-CN"/>
              </w:rPr>
              <w:t>片段</w:t>
            </w:r>
            <w:r>
              <w:rPr>
                <w:rFonts w:hint="eastAsia" w:ascii="宋体" w:hAnsi="宋体" w:eastAsia="宋体" w:cs="宋体"/>
                <w:snapToGrid w:val="0"/>
                <w:color w:val="auto"/>
                <w:kern w:val="0"/>
                <w:szCs w:val="22"/>
                <w:highlight w:val="none"/>
              </w:rPr>
              <w:t>能体现投标人三维动画与影片拍摄制作水平。影片制作精良、</w:t>
            </w:r>
            <w:r>
              <w:rPr>
                <w:rFonts w:hint="eastAsia" w:ascii="宋体" w:hAnsi="宋体" w:cs="宋体"/>
                <w:snapToGrid w:val="0"/>
                <w:color w:val="auto"/>
                <w:kern w:val="0"/>
                <w:szCs w:val="22"/>
                <w:highlight w:val="none"/>
                <w:lang w:val="en-US" w:eastAsia="zh-CN"/>
              </w:rPr>
              <w:t>清晰流畅、</w:t>
            </w:r>
            <w:r>
              <w:rPr>
                <w:rFonts w:hint="eastAsia" w:ascii="宋体" w:hAnsi="宋体" w:eastAsia="宋体" w:cs="宋体"/>
                <w:snapToGrid w:val="0"/>
                <w:color w:val="auto"/>
                <w:kern w:val="0"/>
                <w:szCs w:val="22"/>
                <w:highlight w:val="none"/>
              </w:rPr>
              <w:t>内容充实、视效震撼，能展现城市形象和城市发展（</w:t>
            </w:r>
            <w:r>
              <w:rPr>
                <w:rFonts w:hint="eastAsia" w:ascii="宋体" w:hAnsi="宋体" w:eastAsia="宋体" w:cs="宋体"/>
                <w:snapToGrid w:val="0"/>
                <w:color w:val="auto"/>
                <w:kern w:val="0"/>
                <w:szCs w:val="22"/>
                <w:highlight w:val="none"/>
                <w:lang w:val="en-US" w:eastAsia="zh-CN"/>
              </w:rPr>
              <w:t>1</w:t>
            </w:r>
            <w:r>
              <w:rPr>
                <w:rFonts w:hint="eastAsia" w:ascii="宋体" w:hAnsi="宋体" w:eastAsia="宋体" w:cs="宋体"/>
                <w:snapToGrid w:val="0"/>
                <w:color w:val="auto"/>
                <w:kern w:val="0"/>
                <w:szCs w:val="22"/>
                <w:highlight w:val="none"/>
              </w:rPr>
              <w:t>分）；</w:t>
            </w:r>
          </w:p>
          <w:p w14:paraId="500E6CC8">
            <w:pPr>
              <w:rPr>
                <w:rFonts w:hint="eastAsia" w:ascii="宋体" w:hAnsi="宋体" w:eastAsia="宋体" w:cs="宋体"/>
                <w:snapToGrid w:val="0"/>
                <w:color w:val="auto"/>
                <w:kern w:val="0"/>
                <w:szCs w:val="22"/>
                <w:highlight w:val="none"/>
              </w:rPr>
            </w:pPr>
            <w:r>
              <w:rPr>
                <w:rFonts w:hint="eastAsia" w:ascii="宋体" w:hAnsi="宋体" w:cs="宋体"/>
                <w:snapToGrid w:val="0"/>
                <w:color w:val="auto"/>
                <w:kern w:val="0"/>
                <w:szCs w:val="22"/>
                <w:highlight w:val="none"/>
                <w:lang w:val="en-US" w:eastAsia="zh-CN"/>
              </w:rPr>
              <w:t>⑥</w:t>
            </w:r>
            <w:r>
              <w:rPr>
                <w:rFonts w:hint="eastAsia" w:ascii="宋体" w:hAnsi="宋体" w:eastAsia="宋体" w:cs="宋体"/>
                <w:snapToGrid w:val="0"/>
                <w:color w:val="auto"/>
                <w:kern w:val="0"/>
                <w:szCs w:val="22"/>
                <w:highlight w:val="none"/>
                <w:lang w:val="en-US" w:eastAsia="zh-CN"/>
              </w:rPr>
              <w:t>规划导航台功能完整，符合采购需求</w:t>
            </w:r>
            <w:r>
              <w:rPr>
                <w:rFonts w:hint="eastAsia" w:ascii="宋体" w:hAnsi="宋体" w:eastAsia="宋体" w:cs="宋体"/>
                <w:snapToGrid w:val="0"/>
                <w:color w:val="auto"/>
                <w:kern w:val="0"/>
                <w:szCs w:val="22"/>
                <w:highlight w:val="none"/>
              </w:rPr>
              <w:t>（</w:t>
            </w:r>
            <w:r>
              <w:rPr>
                <w:rFonts w:hint="eastAsia" w:ascii="宋体" w:hAnsi="宋体" w:eastAsia="宋体" w:cs="宋体"/>
                <w:snapToGrid w:val="0"/>
                <w:color w:val="auto"/>
                <w:kern w:val="0"/>
                <w:szCs w:val="22"/>
                <w:highlight w:val="none"/>
                <w:lang w:val="en-US" w:eastAsia="zh-CN"/>
              </w:rPr>
              <w:t>1</w:t>
            </w:r>
            <w:r>
              <w:rPr>
                <w:rFonts w:hint="eastAsia" w:ascii="宋体" w:hAnsi="宋体" w:eastAsia="宋体" w:cs="宋体"/>
                <w:snapToGrid w:val="0"/>
                <w:color w:val="auto"/>
                <w:kern w:val="0"/>
                <w:szCs w:val="22"/>
                <w:highlight w:val="none"/>
              </w:rPr>
              <w:t>分）</w:t>
            </w:r>
            <w:r>
              <w:rPr>
                <w:rFonts w:hint="eastAsia" w:ascii="宋体" w:hAnsi="宋体" w:eastAsia="宋体" w:cs="宋体"/>
                <w:snapToGrid w:val="0"/>
                <w:color w:val="auto"/>
                <w:kern w:val="0"/>
                <w:szCs w:val="22"/>
                <w:highlight w:val="none"/>
                <w:lang w:val="en-US" w:eastAsia="zh-CN"/>
              </w:rPr>
              <w:t>。</w:t>
            </w:r>
          </w:p>
          <w:p w14:paraId="007F5BF8">
            <w:pPr>
              <w:rPr>
                <w:rFonts w:hint="eastAsia" w:ascii="Calibri" w:hAnsi="Calibri"/>
                <w:color w:val="auto"/>
                <w:highlight w:val="none"/>
              </w:rPr>
            </w:pPr>
            <w:r>
              <w:rPr>
                <w:rFonts w:hint="eastAsia" w:ascii="Calibri" w:hAnsi="Calibri"/>
                <w:color w:val="auto"/>
                <w:highlight w:val="none"/>
              </w:rPr>
              <w:t>上述</w:t>
            </w:r>
            <w:r>
              <w:rPr>
                <w:rFonts w:hint="eastAsia"/>
                <w:color w:val="auto"/>
                <w:highlight w:val="none"/>
                <w:lang w:val="en-US" w:eastAsia="zh-CN"/>
              </w:rPr>
              <w:t>①</w:t>
            </w:r>
            <w:r>
              <w:rPr>
                <w:rFonts w:hint="eastAsia" w:ascii="Calibri" w:hAnsi="Calibri"/>
                <w:color w:val="auto"/>
                <w:highlight w:val="none"/>
              </w:rPr>
              <w:t>-</w:t>
            </w:r>
            <w:r>
              <w:rPr>
                <w:rFonts w:hint="eastAsia"/>
                <w:color w:val="auto"/>
                <w:highlight w:val="none"/>
                <w:lang w:val="en-US" w:eastAsia="zh-CN"/>
              </w:rPr>
              <w:t>⑥</w:t>
            </w:r>
            <w:r>
              <w:rPr>
                <w:rFonts w:hint="eastAsia" w:ascii="Calibri" w:hAnsi="Calibri"/>
                <w:color w:val="auto"/>
                <w:highlight w:val="none"/>
                <w:lang w:eastAsia="zh-CN"/>
              </w:rPr>
              <w:t>评分项中</w:t>
            </w:r>
            <w:r>
              <w:rPr>
                <w:rFonts w:hint="eastAsia" w:ascii="Calibri" w:hAnsi="Calibri"/>
                <w:color w:val="auto"/>
                <w:highlight w:val="none"/>
              </w:rPr>
              <w:t>，</w:t>
            </w:r>
            <w:r>
              <w:rPr>
                <w:rFonts w:hint="eastAsia"/>
                <w:color w:val="auto"/>
                <w:highlight w:val="none"/>
                <w:lang w:val="en-US" w:eastAsia="zh-CN"/>
              </w:rPr>
              <w:t>每项</w:t>
            </w:r>
            <w:r>
              <w:rPr>
                <w:rFonts w:hint="eastAsia" w:ascii="宋体" w:hAnsi="宋体" w:cs="宋体"/>
                <w:bCs/>
                <w:color w:val="auto"/>
                <w:highlight w:val="none"/>
              </w:rPr>
              <w:t>内容</w:t>
            </w:r>
            <w:r>
              <w:rPr>
                <w:rFonts w:hint="eastAsia" w:ascii="宋体" w:hAnsi="宋体" w:cs="宋体"/>
                <w:bCs/>
                <w:color w:val="auto"/>
                <w:highlight w:val="none"/>
                <w:lang w:val="en-US" w:eastAsia="zh-CN"/>
              </w:rPr>
              <w:t>全部满足采购需求且</w:t>
            </w:r>
            <w:r>
              <w:rPr>
                <w:rFonts w:hint="eastAsia" w:ascii="宋体" w:hAnsi="宋体" w:cs="宋体"/>
                <w:bCs/>
                <w:color w:val="auto"/>
                <w:highlight w:val="none"/>
              </w:rPr>
              <w:t>清晰明了、详细完善、科学合理</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具有可行性</w:t>
            </w:r>
            <w:r>
              <w:rPr>
                <w:rFonts w:hint="eastAsia" w:ascii="宋体" w:hAnsi="宋体" w:cs="宋体"/>
                <w:bCs/>
                <w:color w:val="auto"/>
                <w:highlight w:val="none"/>
              </w:rPr>
              <w:t>的，得</w:t>
            </w:r>
            <w:r>
              <w:rPr>
                <w:rFonts w:hint="eastAsia" w:ascii="宋体" w:hAnsi="宋体" w:cs="宋体"/>
                <w:bCs/>
                <w:color w:val="auto"/>
                <w:highlight w:val="none"/>
                <w:lang w:val="en-US" w:eastAsia="zh-CN"/>
              </w:rPr>
              <w:t>1</w:t>
            </w:r>
            <w:r>
              <w:rPr>
                <w:rFonts w:hint="eastAsia" w:ascii="宋体" w:hAnsi="宋体" w:cs="宋体"/>
                <w:bCs/>
                <w:color w:val="auto"/>
                <w:highlight w:val="none"/>
              </w:rPr>
              <w:t>分；</w:t>
            </w:r>
            <w:r>
              <w:rPr>
                <w:rFonts w:hint="eastAsia"/>
                <w:color w:val="auto"/>
                <w:highlight w:val="none"/>
              </w:rPr>
              <w:t>内容简单粗略，</w:t>
            </w:r>
            <w:r>
              <w:rPr>
                <w:rFonts w:ascii="宋体" w:hAnsi="宋体" w:cs="宋体"/>
                <w:snapToGrid w:val="0"/>
                <w:color w:val="auto"/>
                <w:kern w:val="0"/>
                <w:szCs w:val="22"/>
                <w:highlight w:val="none"/>
              </w:rPr>
              <w:t>有欠缺的</w:t>
            </w:r>
            <w:r>
              <w:rPr>
                <w:rFonts w:hint="eastAsia"/>
                <w:color w:val="auto"/>
                <w:highlight w:val="none"/>
                <w:lang w:val="en-US" w:eastAsia="zh-CN"/>
              </w:rPr>
              <w:t>或部分不满足采购需求的</w:t>
            </w:r>
            <w:r>
              <w:rPr>
                <w:rFonts w:hint="eastAsia"/>
                <w:color w:val="auto"/>
                <w:highlight w:val="none"/>
              </w:rPr>
              <w:t>，</w:t>
            </w:r>
            <w:r>
              <w:rPr>
                <w:rFonts w:hint="eastAsia" w:ascii="宋体" w:hAnsi="宋体" w:eastAsia="宋体" w:cs="宋体"/>
                <w:bCs/>
                <w:color w:val="auto"/>
                <w:highlight w:val="none"/>
                <w:lang w:val="en-US" w:eastAsia="zh-CN"/>
              </w:rPr>
              <w:t>得0.</w:t>
            </w:r>
            <w:r>
              <w:rPr>
                <w:rFonts w:hint="eastAsia" w:ascii="宋体" w:hAnsi="宋体" w:cs="宋体"/>
                <w:bCs/>
                <w:color w:val="auto"/>
                <w:highlight w:val="none"/>
                <w:lang w:val="en-US" w:eastAsia="zh-CN"/>
              </w:rPr>
              <w:t>5</w:t>
            </w:r>
            <w:r>
              <w:rPr>
                <w:rFonts w:hint="eastAsia" w:ascii="宋体" w:hAnsi="宋体" w:eastAsia="宋体" w:cs="宋体"/>
                <w:bCs/>
                <w:color w:val="auto"/>
                <w:highlight w:val="none"/>
                <w:lang w:val="en-US" w:eastAsia="zh-CN"/>
              </w:rPr>
              <w:t>分；</w:t>
            </w:r>
            <w:r>
              <w:rPr>
                <w:rFonts w:hint="eastAsia"/>
                <w:color w:val="auto"/>
                <w:highlight w:val="none"/>
              </w:rPr>
              <w:t>未提供或内容不满足</w:t>
            </w:r>
            <w:r>
              <w:rPr>
                <w:rFonts w:hint="eastAsia"/>
                <w:color w:val="auto"/>
                <w:highlight w:val="none"/>
                <w:lang w:val="en-US" w:eastAsia="zh-CN"/>
              </w:rPr>
              <w:t>采购需求</w:t>
            </w:r>
            <w:r>
              <w:rPr>
                <w:rFonts w:hint="eastAsia"/>
                <w:color w:val="auto"/>
                <w:highlight w:val="none"/>
              </w:rPr>
              <w:t>的，得0分。</w:t>
            </w:r>
          </w:p>
          <w:p w14:paraId="172A29DF">
            <w:pPr>
              <w:rPr>
                <w:rFonts w:hint="eastAsia" w:ascii="宋体" w:hAnsi="宋体" w:eastAsia="宋体" w:cs="宋体"/>
                <w:snapToGrid w:val="0"/>
                <w:color w:val="auto"/>
                <w:kern w:val="0"/>
                <w:szCs w:val="22"/>
                <w:highlight w:val="none"/>
                <w:lang w:val="en-US" w:eastAsia="zh-CN"/>
              </w:rPr>
            </w:pPr>
            <w:r>
              <w:rPr>
                <w:rFonts w:ascii="宋体" w:hAnsi="宋体" w:eastAsia="宋体" w:cs="宋体"/>
                <w:snapToGrid w:val="0"/>
                <w:color w:val="auto"/>
                <w:kern w:val="0"/>
                <w:szCs w:val="22"/>
                <w:highlight w:val="none"/>
              </w:rPr>
              <w:t>内容有欠缺是指符合以下任意一项：</w:t>
            </w:r>
            <w:r>
              <w:rPr>
                <w:rFonts w:hint="eastAsia" w:ascii="宋体" w:hAnsi="宋体" w:eastAsia="宋体" w:cs="宋体"/>
                <w:snapToGrid w:val="0"/>
                <w:color w:val="auto"/>
                <w:kern w:val="0"/>
                <w:szCs w:val="22"/>
                <w:highlight w:val="none"/>
                <w:lang w:eastAsia="zh-CN"/>
              </w:rPr>
              <w:t>城市沙盘</w:t>
            </w:r>
            <w:r>
              <w:rPr>
                <w:rFonts w:hint="eastAsia" w:ascii="宋体" w:hAnsi="宋体" w:cs="宋体"/>
                <w:snapToGrid w:val="0"/>
                <w:color w:val="auto"/>
                <w:kern w:val="0"/>
                <w:szCs w:val="22"/>
                <w:highlight w:val="none"/>
                <w:lang w:val="en-US" w:eastAsia="zh-CN"/>
              </w:rPr>
              <w:t>设计</w:t>
            </w:r>
            <w:r>
              <w:rPr>
                <w:rFonts w:ascii="宋体" w:hAnsi="宋体" w:eastAsia="宋体" w:cs="宋体"/>
                <w:snapToGrid w:val="0"/>
                <w:color w:val="auto"/>
                <w:kern w:val="0"/>
                <w:szCs w:val="22"/>
                <w:highlight w:val="none"/>
              </w:rPr>
              <w:t>整体效果无显著特色；技术思路</w:t>
            </w:r>
            <w:r>
              <w:rPr>
                <w:rFonts w:hint="eastAsia" w:ascii="宋体" w:hAnsi="宋体" w:cs="宋体"/>
                <w:snapToGrid w:val="0"/>
                <w:color w:val="auto"/>
                <w:kern w:val="0"/>
                <w:szCs w:val="22"/>
                <w:highlight w:val="none"/>
                <w:lang w:val="en-US" w:eastAsia="zh-CN"/>
              </w:rPr>
              <w:t>不清晰</w:t>
            </w:r>
            <w:r>
              <w:rPr>
                <w:rFonts w:ascii="宋体" w:hAnsi="宋体" w:eastAsia="宋体" w:cs="宋体"/>
                <w:snapToGrid w:val="0"/>
                <w:color w:val="auto"/>
                <w:kern w:val="0"/>
                <w:szCs w:val="22"/>
                <w:highlight w:val="none"/>
              </w:rPr>
              <w:t>、声光电配套方案</w:t>
            </w:r>
            <w:r>
              <w:rPr>
                <w:rFonts w:hint="eastAsia" w:ascii="宋体" w:hAnsi="宋体" w:cs="宋体"/>
                <w:snapToGrid w:val="0"/>
                <w:color w:val="auto"/>
                <w:kern w:val="0"/>
                <w:szCs w:val="22"/>
                <w:highlight w:val="none"/>
                <w:lang w:val="en-US" w:eastAsia="zh-CN"/>
              </w:rPr>
              <w:t>不完善</w:t>
            </w:r>
            <w:r>
              <w:rPr>
                <w:rFonts w:hint="eastAsia" w:ascii="宋体" w:hAnsi="宋体" w:cs="宋体"/>
                <w:snapToGrid w:val="0"/>
                <w:color w:val="auto"/>
                <w:kern w:val="0"/>
                <w:szCs w:val="22"/>
                <w:highlight w:val="none"/>
                <w:lang w:eastAsia="zh-CN"/>
              </w:rPr>
              <w:t>；</w:t>
            </w:r>
            <w:r>
              <w:rPr>
                <w:rFonts w:ascii="宋体" w:hAnsi="宋体" w:eastAsia="宋体" w:cs="宋体"/>
                <w:snapToGrid w:val="0"/>
                <w:color w:val="auto"/>
                <w:kern w:val="0"/>
                <w:szCs w:val="22"/>
                <w:highlight w:val="none"/>
              </w:rPr>
              <w:t>模型安装维修便利性不足；无具体更新方案，或内容不够充实</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影片清晰流畅度不够、</w:t>
            </w:r>
            <w:r>
              <w:rPr>
                <w:rFonts w:hint="eastAsia" w:ascii="宋体" w:hAnsi="宋体" w:cs="宋体"/>
                <w:snapToGrid w:val="0"/>
                <w:color w:val="auto"/>
                <w:kern w:val="0"/>
                <w:szCs w:val="22"/>
                <w:highlight w:val="none"/>
              </w:rPr>
              <w:t>视效震撼</w:t>
            </w:r>
            <w:r>
              <w:rPr>
                <w:rFonts w:hint="eastAsia" w:ascii="宋体" w:hAnsi="宋体" w:cs="宋体"/>
                <w:snapToGrid w:val="0"/>
                <w:color w:val="auto"/>
                <w:kern w:val="0"/>
                <w:szCs w:val="22"/>
                <w:highlight w:val="none"/>
                <w:lang w:val="en-US" w:eastAsia="zh-CN"/>
              </w:rPr>
              <w:t>感不足</w:t>
            </w:r>
            <w:r>
              <w:rPr>
                <w:rFonts w:ascii="宋体" w:hAnsi="宋体" w:eastAsia="宋体" w:cs="宋体"/>
                <w:snapToGrid w:val="0"/>
                <w:color w:val="auto"/>
                <w:kern w:val="0"/>
                <w:szCs w:val="22"/>
                <w:highlight w:val="none"/>
              </w:rPr>
              <w:t>。</w:t>
            </w:r>
          </w:p>
        </w:tc>
      </w:tr>
      <w:tr w14:paraId="6568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ABEF2D4">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E14CAEF">
            <w:pPr>
              <w:jc w:val="center"/>
              <w:rPr>
                <w:rFonts w:hint="default" w:ascii="宋体" w:hAnsi="宋体" w:eastAsia="宋体" w:cs="宋体"/>
                <w:snapToGrid w:val="0"/>
                <w:color w:val="auto"/>
                <w:kern w:val="0"/>
                <w:szCs w:val="22"/>
                <w:highlight w:val="none"/>
                <w:lang w:val="en-US" w:eastAsia="zh-CN"/>
              </w:rPr>
            </w:pPr>
            <w:r>
              <w:rPr>
                <w:rFonts w:ascii="宋体" w:hAnsi="宋体" w:cs="宋体"/>
                <w:snapToGrid w:val="0"/>
                <w:color w:val="auto"/>
                <w:kern w:val="0"/>
                <w:szCs w:val="22"/>
                <w:highlight w:val="none"/>
              </w:rPr>
              <w:t>空间</w:t>
            </w:r>
            <w:r>
              <w:rPr>
                <w:rFonts w:hint="eastAsia" w:ascii="宋体" w:hAnsi="宋体" w:cs="宋体"/>
                <w:snapToGrid w:val="0"/>
                <w:color w:val="auto"/>
                <w:kern w:val="0"/>
                <w:szCs w:val="22"/>
                <w:highlight w:val="none"/>
                <w:lang w:val="en-US" w:eastAsia="zh-CN"/>
              </w:rPr>
              <w:t>布局与功能分区</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AC96D62">
            <w:pPr>
              <w:jc w:val="center"/>
              <w:rPr>
                <w:rFonts w:hint="eastAsia" w:ascii="宋体" w:hAnsi="宋体" w:eastAsia="宋体" w:cs="宋体"/>
                <w:snapToGrid w:val="0"/>
                <w:color w:val="auto"/>
                <w:kern w:val="0"/>
                <w:szCs w:val="22"/>
                <w:highlight w:val="none"/>
                <w:lang w:eastAsia="zh-CN"/>
              </w:rPr>
            </w:pPr>
            <w:r>
              <w:rPr>
                <w:rFonts w:hint="eastAsia" w:ascii="宋体" w:hAnsi="宋体" w:cs="宋体"/>
                <w:snapToGrid w:val="0"/>
                <w:color w:val="auto"/>
                <w:kern w:val="0"/>
                <w:szCs w:val="22"/>
                <w:highlight w:val="none"/>
                <w:lang w:val="en-US" w:eastAsia="zh-CN"/>
              </w:rPr>
              <w:t>5</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193B5FD">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评标委员会根据投标人针对本项目提供</w:t>
            </w:r>
            <w:r>
              <w:rPr>
                <w:rFonts w:hint="eastAsia" w:ascii="宋体" w:hAnsi="宋体" w:cs="宋体"/>
                <w:snapToGrid w:val="0"/>
                <w:color w:val="auto"/>
                <w:kern w:val="0"/>
                <w:szCs w:val="22"/>
                <w:highlight w:val="none"/>
                <w:lang w:val="en-US" w:eastAsia="zh-CN"/>
              </w:rPr>
              <w:t>的整体设计方案及</w:t>
            </w:r>
            <w:r>
              <w:rPr>
                <w:rFonts w:hint="eastAsia" w:ascii="宋体" w:hAnsi="宋体" w:cs="宋体"/>
                <w:snapToGrid w:val="0"/>
                <w:color w:val="auto"/>
                <w:kern w:val="0"/>
                <w:szCs w:val="22"/>
                <w:highlight w:val="none"/>
                <w:lang w:eastAsia="zh-CN"/>
              </w:rPr>
              <w:t>现场演示讲解</w:t>
            </w:r>
            <w:r>
              <w:rPr>
                <w:rFonts w:ascii="宋体" w:hAnsi="宋体" w:cs="宋体"/>
                <w:snapToGrid w:val="0"/>
                <w:color w:val="auto"/>
                <w:kern w:val="0"/>
                <w:szCs w:val="22"/>
                <w:highlight w:val="none"/>
              </w:rPr>
              <w:t>进行综合评审：</w:t>
            </w:r>
          </w:p>
          <w:p w14:paraId="0788FC1C">
            <w:pPr>
              <w:rPr>
                <w:color w:val="auto"/>
                <w:highlight w:val="none"/>
              </w:rPr>
            </w:pPr>
            <w:r>
              <w:rPr>
                <w:rFonts w:hint="eastAsia" w:ascii="宋体" w:hAnsi="宋体" w:cs="宋体"/>
                <w:snapToGrid w:val="0"/>
                <w:color w:val="auto"/>
                <w:kern w:val="0"/>
                <w:szCs w:val="22"/>
                <w:highlight w:val="none"/>
                <w:lang w:val="en-US" w:eastAsia="zh-CN"/>
              </w:rPr>
              <w:t>①</w:t>
            </w:r>
            <w:r>
              <w:rPr>
                <w:rFonts w:ascii="宋体" w:hAnsi="宋体" w:cs="宋体"/>
                <w:snapToGrid w:val="0"/>
                <w:color w:val="auto"/>
                <w:kern w:val="0"/>
                <w:szCs w:val="22"/>
                <w:highlight w:val="none"/>
              </w:rPr>
              <w:t>能充分考虑现有建筑结构及空间特点，根据场地及人流分析，科学进行空间规划。各功能分区明晰，布局科学合理</w:t>
            </w:r>
            <w:r>
              <w:rPr>
                <w:rFonts w:hint="eastAsia" w:ascii="宋体" w:hAnsi="宋体" w:cs="宋体"/>
                <w:snapToGrid w:val="0"/>
                <w:color w:val="auto"/>
                <w:kern w:val="0"/>
                <w:szCs w:val="22"/>
                <w:highlight w:val="none"/>
              </w:rPr>
              <w:t>，内容分布重点突出、详略得当</w:t>
            </w:r>
            <w:r>
              <w:rPr>
                <w:rFonts w:hint="eastAsia" w:ascii="宋体" w:hAnsi="宋体" w:cs="宋体"/>
                <w:snapToGrid w:val="0"/>
                <w:color w:val="auto"/>
                <w:kern w:val="0"/>
                <w:szCs w:val="22"/>
                <w:highlight w:val="none"/>
                <w:lang w:eastAsia="zh-CN"/>
              </w:rPr>
              <w:t>。</w:t>
            </w:r>
            <w:r>
              <w:rPr>
                <w:rFonts w:ascii="宋体" w:hAnsi="宋体" w:cs="宋体"/>
                <w:snapToGrid w:val="0"/>
                <w:color w:val="auto"/>
                <w:kern w:val="0"/>
                <w:szCs w:val="22"/>
                <w:highlight w:val="none"/>
              </w:rPr>
              <w:t>各</w:t>
            </w:r>
            <w:r>
              <w:rPr>
                <w:rFonts w:hint="eastAsia" w:ascii="宋体" w:hAnsi="宋体" w:cs="宋体"/>
                <w:snapToGrid w:val="0"/>
                <w:color w:val="auto"/>
                <w:kern w:val="0"/>
                <w:szCs w:val="22"/>
                <w:highlight w:val="none"/>
                <w:lang w:val="en-US" w:eastAsia="zh-CN"/>
              </w:rPr>
              <w:t>楼层及展区</w:t>
            </w:r>
            <w:r>
              <w:rPr>
                <w:rFonts w:ascii="宋体" w:hAnsi="宋体" w:cs="宋体"/>
                <w:snapToGrid w:val="0"/>
                <w:color w:val="auto"/>
                <w:kern w:val="0"/>
                <w:szCs w:val="22"/>
                <w:highlight w:val="none"/>
              </w:rPr>
              <w:t>之间过渡衔接自然、恰当，层次分明</w:t>
            </w:r>
            <w:r>
              <w:rPr>
                <w:rFonts w:hint="eastAsia" w:ascii="宋体" w:hAnsi="宋体" w:cs="宋体"/>
                <w:snapToGrid w:val="0"/>
                <w:color w:val="auto"/>
                <w:kern w:val="0"/>
                <w:szCs w:val="22"/>
                <w:highlight w:val="none"/>
              </w:rPr>
              <w:t>（</w:t>
            </w:r>
            <w:r>
              <w:rPr>
                <w:rFonts w:hint="eastAsia" w:ascii="宋体" w:hAnsi="宋体" w:cs="宋体"/>
                <w:snapToGrid w:val="0"/>
                <w:color w:val="auto"/>
                <w:kern w:val="0"/>
                <w:szCs w:val="22"/>
                <w:highlight w:val="none"/>
                <w:lang w:val="en-US" w:eastAsia="zh-CN"/>
              </w:rPr>
              <w:t>3</w:t>
            </w:r>
            <w:r>
              <w:rPr>
                <w:rFonts w:hint="eastAsia" w:ascii="宋体" w:hAnsi="宋体" w:cs="宋体"/>
                <w:snapToGrid w:val="0"/>
                <w:color w:val="auto"/>
                <w:kern w:val="0"/>
                <w:szCs w:val="22"/>
                <w:highlight w:val="none"/>
              </w:rPr>
              <w:t>分）；</w:t>
            </w:r>
          </w:p>
          <w:p w14:paraId="6523A051">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lang w:val="en-US" w:eastAsia="zh-CN"/>
              </w:rPr>
              <w:t>②</w:t>
            </w:r>
            <w:r>
              <w:rPr>
                <w:rFonts w:ascii="宋体" w:hAnsi="宋体" w:cs="宋体"/>
                <w:snapToGrid w:val="0"/>
                <w:color w:val="auto"/>
                <w:kern w:val="0"/>
                <w:szCs w:val="22"/>
                <w:highlight w:val="none"/>
              </w:rPr>
              <w:t>参观流线逻辑合理，充分考虑到政务团队、商务团队</w:t>
            </w:r>
            <w:r>
              <w:rPr>
                <w:rFonts w:hint="eastAsia" w:ascii="宋体" w:hAnsi="宋体" w:cs="宋体"/>
                <w:snapToGrid w:val="0"/>
                <w:color w:val="auto"/>
                <w:kern w:val="0"/>
                <w:szCs w:val="22"/>
                <w:highlight w:val="none"/>
              </w:rPr>
              <w:t>、</w:t>
            </w:r>
            <w:r>
              <w:rPr>
                <w:rFonts w:ascii="宋体" w:hAnsi="宋体" w:cs="宋体"/>
                <w:snapToGrid w:val="0"/>
                <w:color w:val="auto"/>
                <w:kern w:val="0"/>
                <w:szCs w:val="22"/>
                <w:highlight w:val="none"/>
              </w:rPr>
              <w:t>普通公众等各种类型受众的参观需求，定制个性化参观路线</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rPr>
              <w:t>各</w:t>
            </w:r>
            <w:r>
              <w:rPr>
                <w:rFonts w:ascii="宋体" w:hAnsi="宋体" w:cs="宋体"/>
                <w:snapToGrid w:val="0"/>
                <w:color w:val="auto"/>
                <w:kern w:val="0"/>
                <w:szCs w:val="22"/>
                <w:highlight w:val="none"/>
              </w:rPr>
              <w:t>条参观流线能有效互补</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根据不同展览流线合理安排重点展项</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2分）</w:t>
            </w:r>
            <w:r>
              <w:rPr>
                <w:rFonts w:ascii="宋体" w:hAnsi="宋体" w:cs="宋体"/>
                <w:snapToGrid w:val="0"/>
                <w:color w:val="auto"/>
                <w:kern w:val="0"/>
                <w:szCs w:val="22"/>
                <w:highlight w:val="none"/>
              </w:rPr>
              <w:t>。</w:t>
            </w:r>
          </w:p>
          <w:p w14:paraId="453E7BEF">
            <w:pPr>
              <w:rPr>
                <w:rFonts w:hint="eastAsia" w:ascii="Calibri" w:hAnsi="Calibri"/>
                <w:color w:val="auto"/>
                <w:highlight w:val="none"/>
              </w:rPr>
            </w:pPr>
            <w:r>
              <w:rPr>
                <w:rFonts w:hint="eastAsia" w:ascii="Calibri" w:hAnsi="Calibri"/>
                <w:color w:val="auto"/>
                <w:highlight w:val="none"/>
              </w:rPr>
              <w:t>上述</w:t>
            </w:r>
            <w:r>
              <w:rPr>
                <w:rFonts w:hint="eastAsia"/>
                <w:color w:val="auto"/>
                <w:highlight w:val="none"/>
                <w:lang w:val="en-US" w:eastAsia="zh-CN"/>
              </w:rPr>
              <w:t>①</w:t>
            </w:r>
            <w:r>
              <w:rPr>
                <w:rFonts w:hint="eastAsia" w:ascii="Calibri" w:hAnsi="Calibri"/>
                <w:color w:val="auto"/>
                <w:highlight w:val="none"/>
                <w:lang w:eastAsia="zh-CN"/>
              </w:rPr>
              <w:t>评分项中</w:t>
            </w:r>
            <w:r>
              <w:rPr>
                <w:rFonts w:hint="eastAsia" w:ascii="Calibri" w:hAnsi="Calibri"/>
                <w:color w:val="auto"/>
                <w:highlight w:val="none"/>
              </w:rPr>
              <w:t>，</w:t>
            </w:r>
            <w:r>
              <w:rPr>
                <w:rFonts w:hint="eastAsia"/>
                <w:color w:val="auto"/>
                <w:highlight w:val="none"/>
                <w:lang w:val="en-US" w:eastAsia="zh-CN"/>
              </w:rPr>
              <w:t>每项</w:t>
            </w:r>
            <w:r>
              <w:rPr>
                <w:rFonts w:hint="eastAsia" w:ascii="宋体" w:hAnsi="宋体" w:cs="宋体"/>
                <w:bCs/>
                <w:color w:val="auto"/>
                <w:highlight w:val="none"/>
              </w:rPr>
              <w:t>内容</w:t>
            </w:r>
            <w:r>
              <w:rPr>
                <w:rFonts w:hint="eastAsia" w:ascii="宋体" w:hAnsi="宋体" w:cs="宋体"/>
                <w:bCs/>
                <w:color w:val="auto"/>
                <w:highlight w:val="none"/>
                <w:lang w:val="en-US" w:eastAsia="zh-CN"/>
              </w:rPr>
              <w:t>全部满足采购需求且</w:t>
            </w:r>
            <w:r>
              <w:rPr>
                <w:rFonts w:hint="eastAsia" w:ascii="宋体" w:hAnsi="宋体" w:cs="宋体"/>
                <w:bCs/>
                <w:color w:val="auto"/>
                <w:highlight w:val="none"/>
              </w:rPr>
              <w:t>清晰明了、详细完善、科学合理</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具有可行性</w:t>
            </w:r>
            <w:r>
              <w:rPr>
                <w:rFonts w:hint="eastAsia" w:ascii="宋体" w:hAnsi="宋体" w:cs="宋体"/>
                <w:bCs/>
                <w:color w:val="auto"/>
                <w:highlight w:val="none"/>
              </w:rPr>
              <w:t>的，得</w:t>
            </w:r>
            <w:r>
              <w:rPr>
                <w:rFonts w:hint="eastAsia" w:ascii="宋体" w:hAnsi="宋体" w:cs="宋体"/>
                <w:bCs/>
                <w:color w:val="auto"/>
                <w:highlight w:val="none"/>
                <w:lang w:val="en-US" w:eastAsia="zh-CN"/>
              </w:rPr>
              <w:t>3</w:t>
            </w:r>
            <w:r>
              <w:rPr>
                <w:rFonts w:hint="eastAsia" w:ascii="宋体" w:hAnsi="宋体" w:cs="宋体"/>
                <w:bCs/>
                <w:color w:val="auto"/>
                <w:highlight w:val="none"/>
              </w:rPr>
              <w:t>分；</w:t>
            </w:r>
            <w:r>
              <w:rPr>
                <w:rFonts w:hint="eastAsia"/>
                <w:color w:val="auto"/>
                <w:highlight w:val="none"/>
              </w:rPr>
              <w:t>内容简单粗略，</w:t>
            </w:r>
            <w:r>
              <w:rPr>
                <w:rFonts w:ascii="宋体" w:hAnsi="宋体" w:cs="宋体"/>
                <w:snapToGrid w:val="0"/>
                <w:color w:val="auto"/>
                <w:kern w:val="0"/>
                <w:szCs w:val="22"/>
                <w:highlight w:val="none"/>
              </w:rPr>
              <w:t>有欠缺的</w:t>
            </w:r>
            <w:r>
              <w:rPr>
                <w:rFonts w:hint="eastAsia"/>
                <w:color w:val="auto"/>
                <w:highlight w:val="none"/>
                <w:lang w:val="en-US" w:eastAsia="zh-CN"/>
              </w:rPr>
              <w:t>或部分不满足采购需求的</w:t>
            </w:r>
            <w:r>
              <w:rPr>
                <w:rFonts w:hint="eastAsia"/>
                <w:color w:val="auto"/>
                <w:highlight w:val="none"/>
              </w:rPr>
              <w:t>，得</w:t>
            </w:r>
            <w:r>
              <w:rPr>
                <w:rFonts w:hint="eastAsia"/>
                <w:color w:val="auto"/>
                <w:highlight w:val="none"/>
                <w:lang w:val="en-US" w:eastAsia="zh-CN"/>
              </w:rPr>
              <w:t>1.5</w:t>
            </w:r>
            <w:r>
              <w:rPr>
                <w:rFonts w:hint="eastAsia"/>
                <w:color w:val="auto"/>
                <w:highlight w:val="none"/>
              </w:rPr>
              <w:t>分；未提供或内容不满足的，得0分。</w:t>
            </w:r>
            <w:r>
              <w:rPr>
                <w:rFonts w:hint="eastAsia"/>
                <w:color w:val="auto"/>
                <w:highlight w:val="none"/>
                <w:lang w:val="en-US" w:eastAsia="zh-CN"/>
              </w:rPr>
              <w:t>②</w:t>
            </w:r>
            <w:r>
              <w:rPr>
                <w:rFonts w:hint="eastAsia" w:ascii="Calibri" w:hAnsi="Calibri"/>
                <w:color w:val="auto"/>
                <w:highlight w:val="none"/>
                <w:lang w:eastAsia="zh-CN"/>
              </w:rPr>
              <w:t>评分项中</w:t>
            </w:r>
            <w:r>
              <w:rPr>
                <w:rFonts w:hint="eastAsia" w:ascii="Calibri" w:hAnsi="Calibri"/>
                <w:color w:val="auto"/>
                <w:highlight w:val="none"/>
              </w:rPr>
              <w:t>，</w:t>
            </w:r>
            <w:r>
              <w:rPr>
                <w:rFonts w:hint="eastAsia"/>
                <w:color w:val="auto"/>
                <w:highlight w:val="none"/>
                <w:lang w:val="en-US" w:eastAsia="zh-CN"/>
              </w:rPr>
              <w:t>每项</w:t>
            </w:r>
            <w:r>
              <w:rPr>
                <w:rFonts w:hint="eastAsia" w:ascii="宋体" w:hAnsi="宋体" w:cs="宋体"/>
                <w:bCs/>
                <w:color w:val="auto"/>
                <w:highlight w:val="none"/>
              </w:rPr>
              <w:t>内容</w:t>
            </w:r>
            <w:r>
              <w:rPr>
                <w:rFonts w:hint="eastAsia" w:ascii="宋体" w:hAnsi="宋体" w:cs="宋体"/>
                <w:bCs/>
                <w:color w:val="auto"/>
                <w:highlight w:val="none"/>
                <w:lang w:val="en-US" w:eastAsia="zh-CN"/>
              </w:rPr>
              <w:t>全部满足采购需求且</w:t>
            </w:r>
            <w:r>
              <w:rPr>
                <w:rFonts w:hint="eastAsia" w:ascii="宋体" w:hAnsi="宋体" w:cs="宋体"/>
                <w:bCs/>
                <w:color w:val="auto"/>
                <w:highlight w:val="none"/>
              </w:rPr>
              <w:t>清晰明了、详细完善、科学合理</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具有可行性</w:t>
            </w:r>
            <w:r>
              <w:rPr>
                <w:rFonts w:hint="eastAsia" w:ascii="宋体" w:hAnsi="宋体" w:cs="宋体"/>
                <w:bCs/>
                <w:color w:val="auto"/>
                <w:highlight w:val="none"/>
              </w:rPr>
              <w:t>的，得</w:t>
            </w:r>
            <w:r>
              <w:rPr>
                <w:rFonts w:hint="eastAsia" w:ascii="宋体" w:hAnsi="宋体" w:cs="宋体"/>
                <w:bCs/>
                <w:color w:val="auto"/>
                <w:highlight w:val="none"/>
                <w:lang w:val="en-US" w:eastAsia="zh-CN"/>
              </w:rPr>
              <w:t>2</w:t>
            </w:r>
            <w:r>
              <w:rPr>
                <w:rFonts w:hint="eastAsia" w:ascii="宋体" w:hAnsi="宋体" w:cs="宋体"/>
                <w:bCs/>
                <w:color w:val="auto"/>
                <w:highlight w:val="none"/>
              </w:rPr>
              <w:t>分；</w:t>
            </w:r>
            <w:r>
              <w:rPr>
                <w:rFonts w:hint="eastAsia"/>
                <w:color w:val="auto"/>
                <w:highlight w:val="none"/>
              </w:rPr>
              <w:t>内容简单粗略，</w:t>
            </w:r>
            <w:r>
              <w:rPr>
                <w:rFonts w:ascii="宋体" w:hAnsi="宋体" w:cs="宋体"/>
                <w:snapToGrid w:val="0"/>
                <w:color w:val="auto"/>
                <w:kern w:val="0"/>
                <w:szCs w:val="22"/>
                <w:highlight w:val="none"/>
              </w:rPr>
              <w:t>有欠缺的</w:t>
            </w:r>
            <w:r>
              <w:rPr>
                <w:rFonts w:hint="eastAsia"/>
                <w:color w:val="auto"/>
                <w:highlight w:val="none"/>
                <w:lang w:val="en-US" w:eastAsia="zh-CN"/>
              </w:rPr>
              <w:t>或部分不满足采购需求的</w:t>
            </w:r>
            <w:r>
              <w:rPr>
                <w:rFonts w:hint="eastAsia"/>
                <w:color w:val="auto"/>
                <w:highlight w:val="none"/>
              </w:rPr>
              <w:t>，得</w:t>
            </w:r>
            <w:r>
              <w:rPr>
                <w:rFonts w:hint="eastAsia"/>
                <w:color w:val="auto"/>
                <w:highlight w:val="none"/>
                <w:lang w:val="en-US" w:eastAsia="zh-CN"/>
              </w:rPr>
              <w:t>1</w:t>
            </w:r>
            <w:r>
              <w:rPr>
                <w:rFonts w:hint="eastAsia"/>
                <w:color w:val="auto"/>
                <w:highlight w:val="none"/>
              </w:rPr>
              <w:t>分；未提供或内容不满足的，得0分。</w:t>
            </w:r>
          </w:p>
          <w:p w14:paraId="1B41C87D">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内容有欠缺是指符合以下任意一项：整体布局有部分内容欠合理，各展区之间过渡衔接缺少层次感；展区内部布局有不合理之处；参观流线欠科学或没有提供相应流线规划内容。</w:t>
            </w:r>
          </w:p>
        </w:tc>
      </w:tr>
      <w:tr w14:paraId="70DA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CFEC7F9">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BEB6BE4">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多媒体互动展示</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6B5D03D">
            <w:pPr>
              <w:jc w:val="cente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4</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F0BB4AD">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评标委员会根据投标人针对本项目提供</w:t>
            </w:r>
            <w:r>
              <w:rPr>
                <w:rFonts w:hint="eastAsia" w:ascii="宋体" w:hAnsi="宋体" w:cs="宋体"/>
                <w:snapToGrid w:val="0"/>
                <w:color w:val="auto"/>
                <w:kern w:val="0"/>
                <w:szCs w:val="22"/>
                <w:highlight w:val="none"/>
                <w:lang w:val="en-US" w:eastAsia="zh-CN"/>
              </w:rPr>
              <w:t>的整体设计方案及</w:t>
            </w:r>
            <w:r>
              <w:rPr>
                <w:rFonts w:hint="eastAsia" w:ascii="宋体" w:hAnsi="宋体" w:cs="宋体"/>
                <w:snapToGrid w:val="0"/>
                <w:color w:val="auto"/>
                <w:kern w:val="0"/>
                <w:szCs w:val="22"/>
                <w:highlight w:val="none"/>
                <w:lang w:eastAsia="zh-CN"/>
              </w:rPr>
              <w:t>现场演示讲解</w:t>
            </w:r>
            <w:r>
              <w:rPr>
                <w:rFonts w:ascii="宋体" w:hAnsi="宋体" w:cs="宋体"/>
                <w:snapToGrid w:val="0"/>
                <w:color w:val="auto"/>
                <w:kern w:val="0"/>
                <w:szCs w:val="22"/>
                <w:highlight w:val="none"/>
              </w:rPr>
              <w:t>进行综合评审：</w:t>
            </w:r>
          </w:p>
          <w:p w14:paraId="3DA9DD53">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①能恰当采用人工智能、大数据、数字化、高新科技声光电等创新性展示手段，打造的互动展项创意独特、互动性和参与性强</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2分）</w:t>
            </w:r>
            <w:r>
              <w:rPr>
                <w:rFonts w:ascii="宋体" w:hAnsi="宋体" w:cs="宋体"/>
                <w:snapToGrid w:val="0"/>
                <w:color w:val="auto"/>
                <w:kern w:val="0"/>
                <w:szCs w:val="22"/>
                <w:highlight w:val="none"/>
              </w:rPr>
              <w:t>；</w:t>
            </w:r>
          </w:p>
          <w:p w14:paraId="5B847EF9">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②配套的多媒体展项与互动展项系统技术成熟，容易维护，软件升级维护便利</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2分）</w:t>
            </w:r>
            <w:r>
              <w:rPr>
                <w:rFonts w:ascii="宋体" w:hAnsi="宋体" w:cs="宋体"/>
                <w:snapToGrid w:val="0"/>
                <w:color w:val="auto"/>
                <w:kern w:val="0"/>
                <w:szCs w:val="22"/>
                <w:highlight w:val="none"/>
              </w:rPr>
              <w:t>。</w:t>
            </w:r>
          </w:p>
          <w:p w14:paraId="7587BC4F">
            <w:pPr>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上述①-②评分项中，每项内容全部满足采购需求且清晰明了、详细完善、科学合理、具有可行性的，得2分；内容简单粗略，有欠缺的或部分不满足采购需求的，得1分；未提供或内容不满足的，得0分。</w:t>
            </w:r>
          </w:p>
          <w:p w14:paraId="6158D419">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内容有欠缺是指符合以下任意一项：多媒体互动展示手段简单或缺乏创新，互动展项的参与性不强；配套的多媒体展项与互动展项系统技术维护的便利性不足，方案内容不够充实。</w:t>
            </w:r>
          </w:p>
        </w:tc>
      </w:tr>
      <w:tr w14:paraId="3114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1BDCEE73">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C9E49EC">
            <w:pPr>
              <w:jc w:val="cente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lang w:val="en-US" w:eastAsia="zh-CN"/>
              </w:rPr>
              <w:t>公共空间及</w:t>
            </w:r>
            <w:r>
              <w:rPr>
                <w:rFonts w:ascii="宋体" w:hAnsi="宋体" w:cs="宋体"/>
                <w:snapToGrid w:val="0"/>
                <w:color w:val="auto"/>
                <w:kern w:val="0"/>
                <w:szCs w:val="22"/>
                <w:highlight w:val="none"/>
              </w:rPr>
              <w:t>配套空间设计</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40260F4">
            <w:pPr>
              <w:jc w:val="center"/>
              <w:rPr>
                <w:rFonts w:hint="eastAsia" w:ascii="宋体" w:hAnsi="宋体" w:eastAsia="宋体" w:cs="宋体"/>
                <w:snapToGrid w:val="0"/>
                <w:color w:val="auto"/>
                <w:kern w:val="0"/>
                <w:szCs w:val="22"/>
                <w:highlight w:val="none"/>
                <w:lang w:eastAsia="zh-CN"/>
              </w:rPr>
            </w:pPr>
            <w:r>
              <w:rPr>
                <w:rFonts w:hint="eastAsia" w:ascii="宋体" w:hAnsi="宋体" w:cs="宋体"/>
                <w:snapToGrid w:val="0"/>
                <w:color w:val="auto"/>
                <w:kern w:val="0"/>
                <w:szCs w:val="22"/>
                <w:highlight w:val="none"/>
                <w:lang w:val="en-US" w:eastAsia="zh-CN"/>
              </w:rPr>
              <w:t>2</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1DC51678">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评标委员会根据投标人针对本项目提供</w:t>
            </w:r>
            <w:r>
              <w:rPr>
                <w:rFonts w:hint="eastAsia" w:ascii="宋体" w:hAnsi="宋体" w:cs="宋体"/>
                <w:snapToGrid w:val="0"/>
                <w:color w:val="auto"/>
                <w:kern w:val="0"/>
                <w:szCs w:val="22"/>
                <w:highlight w:val="none"/>
                <w:lang w:val="en-US" w:eastAsia="zh-CN"/>
              </w:rPr>
              <w:t>的整体设计方案及</w:t>
            </w:r>
            <w:r>
              <w:rPr>
                <w:rFonts w:hint="eastAsia" w:ascii="宋体" w:hAnsi="宋体" w:cs="宋体"/>
                <w:snapToGrid w:val="0"/>
                <w:color w:val="auto"/>
                <w:kern w:val="0"/>
                <w:szCs w:val="22"/>
                <w:highlight w:val="none"/>
                <w:lang w:eastAsia="zh-CN"/>
              </w:rPr>
              <w:t>现场演示讲解</w:t>
            </w:r>
            <w:r>
              <w:rPr>
                <w:rFonts w:ascii="宋体" w:hAnsi="宋体" w:cs="宋体"/>
                <w:snapToGrid w:val="0"/>
                <w:color w:val="auto"/>
                <w:kern w:val="0"/>
                <w:szCs w:val="22"/>
                <w:highlight w:val="none"/>
              </w:rPr>
              <w:t>进行综合评审：</w:t>
            </w:r>
          </w:p>
          <w:p w14:paraId="6EB3F904">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①设计的</w:t>
            </w:r>
            <w:r>
              <w:rPr>
                <w:rFonts w:hint="eastAsia" w:ascii="宋体" w:hAnsi="宋体" w:cs="宋体"/>
                <w:snapToGrid w:val="0"/>
                <w:color w:val="auto"/>
                <w:kern w:val="0"/>
                <w:szCs w:val="22"/>
                <w:highlight w:val="none"/>
                <w:lang w:val="en-US" w:eastAsia="zh-CN"/>
              </w:rPr>
              <w:t>公共空间及</w:t>
            </w:r>
            <w:r>
              <w:rPr>
                <w:rFonts w:ascii="宋体" w:hAnsi="宋体" w:cs="宋体"/>
                <w:snapToGrid w:val="0"/>
                <w:color w:val="auto"/>
                <w:kern w:val="0"/>
                <w:szCs w:val="22"/>
                <w:highlight w:val="none"/>
              </w:rPr>
              <w:t>配套空间满足采购需求</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1分）</w:t>
            </w:r>
            <w:r>
              <w:rPr>
                <w:rFonts w:ascii="宋体" w:hAnsi="宋体" w:cs="宋体"/>
                <w:snapToGrid w:val="0"/>
                <w:color w:val="auto"/>
                <w:kern w:val="0"/>
                <w:szCs w:val="22"/>
                <w:highlight w:val="none"/>
              </w:rPr>
              <w:t>；</w:t>
            </w:r>
          </w:p>
          <w:p w14:paraId="13FAB1D0">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②</w:t>
            </w:r>
            <w:r>
              <w:rPr>
                <w:rFonts w:hint="eastAsia" w:ascii="宋体" w:hAnsi="宋体" w:cs="宋体"/>
                <w:snapToGrid w:val="0"/>
                <w:color w:val="auto"/>
                <w:kern w:val="0"/>
                <w:szCs w:val="22"/>
                <w:highlight w:val="none"/>
                <w:lang w:val="en-US" w:eastAsia="zh-CN"/>
              </w:rPr>
              <w:t>公共空间及</w:t>
            </w:r>
            <w:r>
              <w:rPr>
                <w:rFonts w:ascii="宋体" w:hAnsi="宋体" w:cs="宋体"/>
                <w:snapToGrid w:val="0"/>
                <w:color w:val="auto"/>
                <w:kern w:val="0"/>
                <w:szCs w:val="22"/>
                <w:highlight w:val="none"/>
              </w:rPr>
              <w:t>配套空间的设置能兼顾整体性，空间环境改造融合度好、方便实用，能有效满足不同的配套需求</w:t>
            </w:r>
            <w:r>
              <w:rPr>
                <w:rFonts w:hint="eastAsia" w:ascii="宋体" w:hAnsi="宋体" w:cs="宋体"/>
                <w:snapToGrid w:val="0"/>
                <w:color w:val="auto"/>
                <w:kern w:val="0"/>
                <w:szCs w:val="22"/>
                <w:highlight w:val="none"/>
              </w:rPr>
              <w:t>，注重信息主题与视觉传达</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1分）</w:t>
            </w:r>
            <w:r>
              <w:rPr>
                <w:rFonts w:ascii="宋体" w:hAnsi="宋体" w:cs="宋体"/>
                <w:snapToGrid w:val="0"/>
                <w:color w:val="auto"/>
                <w:kern w:val="0"/>
                <w:szCs w:val="22"/>
                <w:highlight w:val="none"/>
              </w:rPr>
              <w:t>。</w:t>
            </w:r>
          </w:p>
          <w:p w14:paraId="059E824D">
            <w:pPr>
              <w:rPr>
                <w:rFonts w:hint="eastAsia" w:ascii="Calibri" w:hAnsi="Calibri"/>
                <w:color w:val="auto"/>
                <w:highlight w:val="none"/>
              </w:rPr>
            </w:pPr>
            <w:r>
              <w:rPr>
                <w:rFonts w:hint="eastAsia" w:ascii="Calibri" w:hAnsi="Calibri"/>
                <w:color w:val="auto"/>
                <w:highlight w:val="none"/>
              </w:rPr>
              <w:t>上述</w:t>
            </w:r>
            <w:r>
              <w:rPr>
                <w:rFonts w:hint="eastAsia"/>
                <w:color w:val="auto"/>
                <w:highlight w:val="none"/>
                <w:lang w:val="en-US" w:eastAsia="zh-CN"/>
              </w:rPr>
              <w:t>①</w:t>
            </w:r>
            <w:r>
              <w:rPr>
                <w:rFonts w:hint="eastAsia" w:ascii="Calibri" w:hAnsi="Calibri"/>
                <w:color w:val="auto"/>
                <w:highlight w:val="none"/>
              </w:rPr>
              <w:t>-</w:t>
            </w:r>
            <w:r>
              <w:rPr>
                <w:rFonts w:hint="eastAsia"/>
                <w:color w:val="auto"/>
                <w:highlight w:val="none"/>
                <w:lang w:val="en-US" w:eastAsia="zh-CN"/>
              </w:rPr>
              <w:t>②</w:t>
            </w:r>
            <w:r>
              <w:rPr>
                <w:rFonts w:hint="eastAsia" w:ascii="Calibri" w:hAnsi="Calibri"/>
                <w:color w:val="auto"/>
                <w:highlight w:val="none"/>
                <w:lang w:eastAsia="zh-CN"/>
              </w:rPr>
              <w:t>评分项中</w:t>
            </w:r>
            <w:r>
              <w:rPr>
                <w:rFonts w:hint="eastAsia" w:ascii="Calibri" w:hAnsi="Calibri"/>
                <w:color w:val="auto"/>
                <w:highlight w:val="none"/>
              </w:rPr>
              <w:t>，</w:t>
            </w:r>
            <w:r>
              <w:rPr>
                <w:rFonts w:hint="eastAsia"/>
                <w:color w:val="auto"/>
                <w:highlight w:val="none"/>
                <w:lang w:val="en-US" w:eastAsia="zh-CN"/>
              </w:rPr>
              <w:t>每项</w:t>
            </w:r>
            <w:r>
              <w:rPr>
                <w:rFonts w:hint="eastAsia" w:ascii="宋体" w:hAnsi="宋体" w:cs="宋体"/>
                <w:bCs/>
                <w:color w:val="auto"/>
                <w:highlight w:val="none"/>
              </w:rPr>
              <w:t>内容</w:t>
            </w:r>
            <w:r>
              <w:rPr>
                <w:rFonts w:hint="eastAsia" w:ascii="宋体" w:hAnsi="宋体" w:cs="宋体"/>
                <w:bCs/>
                <w:color w:val="auto"/>
                <w:highlight w:val="none"/>
                <w:lang w:val="en-US" w:eastAsia="zh-CN"/>
              </w:rPr>
              <w:t>全部满足采购需求且</w:t>
            </w:r>
            <w:r>
              <w:rPr>
                <w:rFonts w:hint="eastAsia" w:ascii="宋体" w:hAnsi="宋体" w:cs="宋体"/>
                <w:bCs/>
                <w:color w:val="auto"/>
                <w:highlight w:val="none"/>
              </w:rPr>
              <w:t>清晰明了、详细完善、科学合理</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具有可行性</w:t>
            </w:r>
            <w:r>
              <w:rPr>
                <w:rFonts w:hint="eastAsia" w:ascii="宋体" w:hAnsi="宋体" w:cs="宋体"/>
                <w:bCs/>
                <w:color w:val="auto"/>
                <w:highlight w:val="none"/>
              </w:rPr>
              <w:t>的，得</w:t>
            </w:r>
            <w:r>
              <w:rPr>
                <w:rFonts w:hint="eastAsia" w:ascii="宋体" w:hAnsi="宋体" w:cs="宋体"/>
                <w:bCs/>
                <w:color w:val="auto"/>
                <w:highlight w:val="none"/>
                <w:lang w:val="en-US" w:eastAsia="zh-CN"/>
              </w:rPr>
              <w:t>1</w:t>
            </w:r>
            <w:r>
              <w:rPr>
                <w:rFonts w:hint="eastAsia" w:ascii="宋体" w:hAnsi="宋体" w:cs="宋体"/>
                <w:bCs/>
                <w:color w:val="auto"/>
                <w:highlight w:val="none"/>
              </w:rPr>
              <w:t>分；</w:t>
            </w:r>
            <w:r>
              <w:rPr>
                <w:rFonts w:hint="eastAsia"/>
                <w:color w:val="auto"/>
                <w:highlight w:val="none"/>
              </w:rPr>
              <w:t>内容简单粗略，</w:t>
            </w:r>
            <w:r>
              <w:rPr>
                <w:rFonts w:ascii="宋体" w:hAnsi="宋体" w:cs="宋体"/>
                <w:snapToGrid w:val="0"/>
                <w:color w:val="auto"/>
                <w:kern w:val="0"/>
                <w:szCs w:val="22"/>
                <w:highlight w:val="none"/>
              </w:rPr>
              <w:t>有欠缺的</w:t>
            </w:r>
            <w:r>
              <w:rPr>
                <w:rFonts w:hint="eastAsia"/>
                <w:color w:val="auto"/>
                <w:highlight w:val="none"/>
                <w:lang w:val="en-US" w:eastAsia="zh-CN"/>
              </w:rPr>
              <w:t>或部分不满足采购需求的</w:t>
            </w:r>
            <w:r>
              <w:rPr>
                <w:rFonts w:hint="eastAsia"/>
                <w:color w:val="auto"/>
                <w:highlight w:val="none"/>
              </w:rPr>
              <w:t>，得</w:t>
            </w:r>
            <w:r>
              <w:rPr>
                <w:rFonts w:hint="eastAsia"/>
                <w:color w:val="auto"/>
                <w:highlight w:val="none"/>
                <w:lang w:val="en-US" w:eastAsia="zh-CN"/>
              </w:rPr>
              <w:t>0.5</w:t>
            </w:r>
            <w:r>
              <w:rPr>
                <w:rFonts w:hint="eastAsia"/>
                <w:color w:val="auto"/>
                <w:highlight w:val="none"/>
              </w:rPr>
              <w:t>分；未提供或内容不满足的，得0分。</w:t>
            </w:r>
          </w:p>
          <w:p w14:paraId="490BFB3A">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内容有欠缺是指符合以下任意一项：设计的</w:t>
            </w:r>
            <w:r>
              <w:rPr>
                <w:rFonts w:hint="eastAsia" w:ascii="宋体" w:hAnsi="宋体" w:cs="宋体"/>
                <w:snapToGrid w:val="0"/>
                <w:color w:val="auto"/>
                <w:kern w:val="0"/>
                <w:szCs w:val="22"/>
                <w:highlight w:val="none"/>
                <w:lang w:val="en-US" w:eastAsia="zh-CN"/>
              </w:rPr>
              <w:t>公共空间及</w:t>
            </w:r>
            <w:r>
              <w:rPr>
                <w:rFonts w:ascii="宋体" w:hAnsi="宋体" w:cs="宋体"/>
                <w:snapToGrid w:val="0"/>
                <w:color w:val="auto"/>
                <w:kern w:val="0"/>
                <w:szCs w:val="22"/>
                <w:highlight w:val="none"/>
              </w:rPr>
              <w:t>配套空间的设置缺乏科学性或实用性不强，方案内容不够充实。</w:t>
            </w:r>
          </w:p>
        </w:tc>
      </w:tr>
      <w:tr w14:paraId="70ED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7978AFC">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BCA3620">
            <w:pPr>
              <w:jc w:val="cente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设备、</w:t>
            </w:r>
            <w:r>
              <w:rPr>
                <w:rFonts w:ascii="宋体" w:hAnsi="宋体" w:cs="宋体"/>
                <w:snapToGrid w:val="0"/>
                <w:color w:val="auto"/>
                <w:kern w:val="0"/>
                <w:szCs w:val="22"/>
                <w:highlight w:val="none"/>
              </w:rPr>
              <w:t>信息化提升</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68630B3A">
            <w:pPr>
              <w:jc w:val="center"/>
              <w:rPr>
                <w:rFonts w:hint="eastAsia" w:ascii="宋体" w:hAnsi="宋体" w:eastAsia="宋体" w:cs="宋体"/>
                <w:snapToGrid w:val="0"/>
                <w:color w:val="auto"/>
                <w:kern w:val="0"/>
                <w:szCs w:val="22"/>
                <w:highlight w:val="none"/>
                <w:lang w:eastAsia="zh-CN"/>
              </w:rPr>
            </w:pPr>
            <w:r>
              <w:rPr>
                <w:rFonts w:hint="eastAsia" w:ascii="宋体" w:hAnsi="宋体" w:cs="宋体"/>
                <w:snapToGrid w:val="0"/>
                <w:color w:val="auto"/>
                <w:kern w:val="0"/>
                <w:szCs w:val="22"/>
                <w:highlight w:val="none"/>
                <w:lang w:val="en-US" w:eastAsia="zh-CN"/>
              </w:rPr>
              <w:t>4</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67B05D84">
            <w:pPr>
              <w:rPr>
                <w:rFonts w:hint="eastAsia" w:ascii="宋体" w:hAnsi="宋体" w:cs="宋体"/>
                <w:snapToGrid w:val="0"/>
                <w:color w:val="auto"/>
                <w:kern w:val="0"/>
                <w:szCs w:val="22"/>
                <w:highlight w:val="none"/>
              </w:rPr>
            </w:pPr>
            <w:r>
              <w:rPr>
                <w:rFonts w:hint="eastAsia" w:ascii="宋体" w:hAnsi="宋体" w:cs="宋体"/>
                <w:snapToGrid w:val="0"/>
                <w:color w:val="auto"/>
                <w:kern w:val="0"/>
                <w:szCs w:val="22"/>
                <w:highlight w:val="none"/>
              </w:rPr>
              <w:t>评标委员会根据投标人针对本项目提供的整体设计方案及现场演示讲解进行综合评审：</w:t>
            </w:r>
          </w:p>
          <w:p w14:paraId="050C2C03">
            <w:pPr>
              <w:rPr>
                <w:rFonts w:hint="eastAsia" w:ascii="宋体" w:hAnsi="宋体" w:eastAsia="宋体" w:cs="宋体"/>
                <w:snapToGrid w:val="0"/>
                <w:color w:val="auto"/>
                <w:kern w:val="0"/>
                <w:szCs w:val="22"/>
                <w:highlight w:val="none"/>
                <w:lang w:eastAsia="zh-CN"/>
              </w:rPr>
            </w:pPr>
            <w:r>
              <w:rPr>
                <w:rFonts w:ascii="宋体" w:hAnsi="宋体" w:cs="宋体"/>
                <w:snapToGrid w:val="0"/>
                <w:color w:val="auto"/>
                <w:kern w:val="0"/>
                <w:szCs w:val="22"/>
                <w:highlight w:val="none"/>
              </w:rPr>
              <w:t>①根据采购需求提供完整可行的信息化建设方案，信息化整体建设方案数字化、信息化展示程度高，整体系统集成及智能化控制方案先进、合理，稳定性、可维护性强</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1分）</w:t>
            </w:r>
            <w:r>
              <w:rPr>
                <w:rFonts w:hint="eastAsia" w:ascii="宋体" w:hAnsi="宋体" w:cs="宋体"/>
                <w:snapToGrid w:val="0"/>
                <w:color w:val="auto"/>
                <w:kern w:val="0"/>
                <w:szCs w:val="22"/>
                <w:highlight w:val="none"/>
                <w:lang w:eastAsia="zh-CN"/>
              </w:rPr>
              <w:t>；</w:t>
            </w:r>
          </w:p>
          <w:p w14:paraId="6CC70DD6">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②</w:t>
            </w:r>
            <w:r>
              <w:rPr>
                <w:rFonts w:hint="eastAsia" w:ascii="宋体" w:hAnsi="宋体" w:cs="宋体"/>
                <w:snapToGrid w:val="0"/>
                <w:color w:val="auto"/>
                <w:kern w:val="0"/>
                <w:szCs w:val="22"/>
                <w:highlight w:val="none"/>
                <w:lang w:val="en-US" w:eastAsia="zh-CN"/>
              </w:rPr>
              <w:t>提供的</w:t>
            </w:r>
            <w:r>
              <w:rPr>
                <w:rFonts w:ascii="宋体" w:hAnsi="宋体" w:cs="宋体"/>
                <w:snapToGrid w:val="0"/>
                <w:color w:val="auto"/>
                <w:kern w:val="0"/>
                <w:szCs w:val="22"/>
                <w:highlight w:val="none"/>
              </w:rPr>
              <w:t>信息化设备清单详细、具体，</w:t>
            </w:r>
            <w:r>
              <w:rPr>
                <w:rFonts w:hint="eastAsia" w:ascii="宋体" w:hAnsi="宋体" w:cs="宋体"/>
                <w:snapToGrid w:val="0"/>
                <w:color w:val="auto"/>
                <w:kern w:val="0"/>
                <w:szCs w:val="22"/>
                <w:highlight w:val="none"/>
                <w:lang w:val="en-US" w:eastAsia="zh-CN"/>
              </w:rPr>
              <w:t>性能优越，满足</w:t>
            </w:r>
            <w:r>
              <w:rPr>
                <w:rFonts w:ascii="宋体" w:hAnsi="宋体" w:cs="宋体"/>
                <w:snapToGrid w:val="0"/>
                <w:color w:val="auto"/>
                <w:kern w:val="0"/>
                <w:szCs w:val="22"/>
                <w:highlight w:val="none"/>
              </w:rPr>
              <w:t>采购需求提供的产品技术要求</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1分）</w:t>
            </w:r>
            <w:r>
              <w:rPr>
                <w:rFonts w:hint="eastAsia" w:ascii="宋体" w:hAnsi="宋体" w:cs="宋体"/>
                <w:snapToGrid w:val="0"/>
                <w:color w:val="auto"/>
                <w:kern w:val="0"/>
                <w:szCs w:val="22"/>
                <w:highlight w:val="none"/>
                <w:lang w:eastAsia="zh-CN"/>
              </w:rPr>
              <w:t>；</w:t>
            </w:r>
          </w:p>
          <w:p w14:paraId="551EBC98">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③设备质量和安全性符合国家标准的基础上，产品选型先进、具有前瞻性，主要产品选择一线品牌或知名品牌，以达到展馆高标准展示效果的要求</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1分）</w:t>
            </w:r>
            <w:r>
              <w:rPr>
                <w:rFonts w:hint="eastAsia" w:ascii="宋体" w:hAnsi="宋体" w:cs="宋体"/>
                <w:snapToGrid w:val="0"/>
                <w:color w:val="auto"/>
                <w:kern w:val="0"/>
                <w:szCs w:val="22"/>
                <w:highlight w:val="none"/>
                <w:lang w:eastAsia="zh-CN"/>
              </w:rPr>
              <w:t>；</w:t>
            </w:r>
          </w:p>
          <w:p w14:paraId="099072CD">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④对配置的设施设备有</w:t>
            </w:r>
            <w:r>
              <w:rPr>
                <w:rFonts w:hint="eastAsia" w:ascii="宋体" w:hAnsi="宋体" w:cs="宋体"/>
                <w:snapToGrid w:val="0"/>
                <w:color w:val="auto"/>
                <w:kern w:val="0"/>
                <w:szCs w:val="22"/>
                <w:highlight w:val="none"/>
                <w:lang w:val="en-US" w:eastAsia="zh-CN"/>
              </w:rPr>
              <w:t>切实可行</w:t>
            </w:r>
            <w:r>
              <w:rPr>
                <w:rFonts w:ascii="宋体" w:hAnsi="宋体" w:cs="宋体"/>
                <w:snapToGrid w:val="0"/>
                <w:color w:val="auto"/>
                <w:kern w:val="0"/>
                <w:szCs w:val="22"/>
                <w:highlight w:val="none"/>
              </w:rPr>
              <w:t>的安装调试方案和切实可行的运行方案</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1分）。</w:t>
            </w:r>
          </w:p>
          <w:p w14:paraId="79816ED6">
            <w:pPr>
              <w:rPr>
                <w:rFonts w:hint="eastAsia" w:ascii="Calibri" w:hAnsi="Calibri"/>
                <w:color w:val="auto"/>
                <w:highlight w:val="none"/>
              </w:rPr>
            </w:pPr>
            <w:r>
              <w:rPr>
                <w:rFonts w:hint="eastAsia" w:ascii="Calibri" w:hAnsi="Calibri"/>
                <w:color w:val="auto"/>
                <w:highlight w:val="none"/>
              </w:rPr>
              <w:t>上述</w:t>
            </w:r>
            <w:r>
              <w:rPr>
                <w:rFonts w:hint="eastAsia"/>
                <w:color w:val="auto"/>
                <w:highlight w:val="none"/>
                <w:lang w:val="en-US" w:eastAsia="zh-CN"/>
              </w:rPr>
              <w:t>①</w:t>
            </w:r>
            <w:r>
              <w:rPr>
                <w:rFonts w:hint="eastAsia" w:ascii="Calibri" w:hAnsi="Calibri"/>
                <w:color w:val="auto"/>
                <w:highlight w:val="none"/>
              </w:rPr>
              <w:t>-</w:t>
            </w:r>
            <w:r>
              <w:rPr>
                <w:rFonts w:hint="eastAsia"/>
                <w:color w:val="auto"/>
                <w:highlight w:val="none"/>
                <w:lang w:val="en-US" w:eastAsia="zh-CN"/>
              </w:rPr>
              <w:t>④</w:t>
            </w:r>
            <w:r>
              <w:rPr>
                <w:rFonts w:hint="eastAsia" w:ascii="Calibri" w:hAnsi="Calibri"/>
                <w:color w:val="auto"/>
                <w:highlight w:val="none"/>
                <w:lang w:eastAsia="zh-CN"/>
              </w:rPr>
              <w:t>评分项中</w:t>
            </w:r>
            <w:r>
              <w:rPr>
                <w:rFonts w:hint="eastAsia" w:ascii="Calibri" w:hAnsi="Calibri"/>
                <w:color w:val="auto"/>
                <w:highlight w:val="none"/>
              </w:rPr>
              <w:t>，</w:t>
            </w:r>
            <w:r>
              <w:rPr>
                <w:rFonts w:hint="eastAsia"/>
                <w:color w:val="auto"/>
                <w:highlight w:val="none"/>
                <w:lang w:val="en-US" w:eastAsia="zh-CN"/>
              </w:rPr>
              <w:t>每项</w:t>
            </w:r>
            <w:r>
              <w:rPr>
                <w:rFonts w:hint="eastAsia" w:ascii="宋体" w:hAnsi="宋体" w:cs="宋体"/>
                <w:bCs/>
                <w:color w:val="auto"/>
                <w:highlight w:val="none"/>
              </w:rPr>
              <w:t>内容</w:t>
            </w:r>
            <w:r>
              <w:rPr>
                <w:rFonts w:hint="eastAsia" w:ascii="宋体" w:hAnsi="宋体" w:cs="宋体"/>
                <w:bCs/>
                <w:color w:val="auto"/>
                <w:highlight w:val="none"/>
                <w:lang w:val="en-US" w:eastAsia="zh-CN"/>
              </w:rPr>
              <w:t>全部满足采购需求且</w:t>
            </w:r>
            <w:r>
              <w:rPr>
                <w:rFonts w:hint="eastAsia" w:ascii="宋体" w:hAnsi="宋体" w:cs="宋体"/>
                <w:bCs/>
                <w:color w:val="auto"/>
                <w:highlight w:val="none"/>
              </w:rPr>
              <w:t>清晰明了、详细完善、科学合理</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具有可行性</w:t>
            </w:r>
            <w:r>
              <w:rPr>
                <w:rFonts w:hint="eastAsia" w:ascii="宋体" w:hAnsi="宋体" w:cs="宋体"/>
                <w:bCs/>
                <w:color w:val="auto"/>
                <w:highlight w:val="none"/>
              </w:rPr>
              <w:t>的，得</w:t>
            </w:r>
            <w:r>
              <w:rPr>
                <w:rFonts w:hint="eastAsia" w:ascii="宋体" w:hAnsi="宋体" w:cs="宋体"/>
                <w:bCs/>
                <w:color w:val="auto"/>
                <w:highlight w:val="none"/>
                <w:lang w:val="en-US" w:eastAsia="zh-CN"/>
              </w:rPr>
              <w:t>1</w:t>
            </w:r>
            <w:r>
              <w:rPr>
                <w:rFonts w:hint="eastAsia" w:ascii="宋体" w:hAnsi="宋体" w:cs="宋体"/>
                <w:bCs/>
                <w:color w:val="auto"/>
                <w:highlight w:val="none"/>
              </w:rPr>
              <w:t>分；</w:t>
            </w:r>
            <w:r>
              <w:rPr>
                <w:rFonts w:hint="eastAsia"/>
                <w:color w:val="auto"/>
                <w:highlight w:val="none"/>
              </w:rPr>
              <w:t>内容简单粗略，</w:t>
            </w:r>
            <w:r>
              <w:rPr>
                <w:rFonts w:ascii="宋体" w:hAnsi="宋体" w:cs="宋体"/>
                <w:snapToGrid w:val="0"/>
                <w:color w:val="auto"/>
                <w:kern w:val="0"/>
                <w:szCs w:val="22"/>
                <w:highlight w:val="none"/>
              </w:rPr>
              <w:t>有欠缺的</w:t>
            </w:r>
            <w:r>
              <w:rPr>
                <w:rFonts w:hint="eastAsia"/>
                <w:color w:val="auto"/>
                <w:highlight w:val="none"/>
                <w:lang w:val="en-US" w:eastAsia="zh-CN"/>
              </w:rPr>
              <w:t>或部分不满足采购需求的</w:t>
            </w:r>
            <w:r>
              <w:rPr>
                <w:rFonts w:hint="eastAsia"/>
                <w:color w:val="auto"/>
                <w:highlight w:val="none"/>
              </w:rPr>
              <w:t>，得</w:t>
            </w:r>
            <w:r>
              <w:rPr>
                <w:rFonts w:hint="eastAsia"/>
                <w:color w:val="auto"/>
                <w:highlight w:val="none"/>
                <w:lang w:val="en-US" w:eastAsia="zh-CN"/>
              </w:rPr>
              <w:t>0.5</w:t>
            </w:r>
            <w:r>
              <w:rPr>
                <w:rFonts w:hint="eastAsia"/>
                <w:color w:val="auto"/>
                <w:highlight w:val="none"/>
              </w:rPr>
              <w:t>分；未提供或内容不满足的，得0分。</w:t>
            </w:r>
          </w:p>
          <w:p w14:paraId="313C3D77">
            <w:pPr>
              <w:rPr>
                <w:rFonts w:ascii="宋体" w:hAnsi="宋体" w:cs="宋体"/>
                <w:snapToGrid w:val="0"/>
                <w:color w:val="auto"/>
                <w:kern w:val="0"/>
                <w:szCs w:val="22"/>
                <w:highlight w:val="none"/>
              </w:rPr>
            </w:pPr>
            <w:r>
              <w:rPr>
                <w:rFonts w:ascii="宋体" w:hAnsi="宋体" w:cs="宋体"/>
                <w:snapToGrid w:val="0"/>
                <w:color w:val="auto"/>
                <w:kern w:val="0"/>
                <w:szCs w:val="22"/>
                <w:highlight w:val="none"/>
              </w:rPr>
              <w:t>内容有欠缺是指符合以下任意一项：信息化</w:t>
            </w:r>
            <w:r>
              <w:rPr>
                <w:rFonts w:hint="eastAsia" w:ascii="宋体" w:hAnsi="宋体" w:cs="宋体"/>
                <w:snapToGrid w:val="0"/>
                <w:color w:val="auto"/>
                <w:kern w:val="0"/>
                <w:szCs w:val="22"/>
                <w:highlight w:val="none"/>
                <w:lang w:val="en-US" w:eastAsia="zh-CN"/>
              </w:rPr>
              <w:t>整体</w:t>
            </w:r>
            <w:r>
              <w:rPr>
                <w:rFonts w:ascii="宋体" w:hAnsi="宋体" w:cs="宋体"/>
                <w:snapToGrid w:val="0"/>
                <w:color w:val="auto"/>
                <w:kern w:val="0"/>
                <w:szCs w:val="22"/>
                <w:highlight w:val="none"/>
              </w:rPr>
              <w:t>建设方案</w:t>
            </w:r>
            <w:r>
              <w:rPr>
                <w:rFonts w:hint="eastAsia" w:ascii="宋体" w:hAnsi="宋体" w:cs="宋体"/>
                <w:snapToGrid w:val="0"/>
                <w:color w:val="auto"/>
                <w:kern w:val="0"/>
                <w:szCs w:val="22"/>
                <w:highlight w:val="none"/>
                <w:lang w:val="en-US" w:eastAsia="zh-CN"/>
              </w:rPr>
              <w:t>数字化、信息化程度不高</w:t>
            </w:r>
            <w:r>
              <w:rPr>
                <w:rFonts w:ascii="宋体" w:hAnsi="宋体" w:cs="宋体"/>
                <w:snapToGrid w:val="0"/>
                <w:color w:val="auto"/>
                <w:kern w:val="0"/>
                <w:szCs w:val="22"/>
                <w:highlight w:val="none"/>
              </w:rPr>
              <w:t>；整体系统集成及智能化控制方案不够合理或</w:t>
            </w:r>
            <w:r>
              <w:rPr>
                <w:rFonts w:hint="eastAsia" w:ascii="宋体" w:hAnsi="宋体" w:cs="宋体"/>
                <w:snapToGrid w:val="0"/>
                <w:color w:val="auto"/>
                <w:kern w:val="0"/>
                <w:szCs w:val="22"/>
                <w:highlight w:val="none"/>
                <w:lang w:val="en-US" w:eastAsia="zh-CN"/>
              </w:rPr>
              <w:t>稳定性、</w:t>
            </w:r>
            <w:r>
              <w:rPr>
                <w:rFonts w:ascii="宋体" w:hAnsi="宋体" w:cs="宋体"/>
                <w:snapToGrid w:val="0"/>
                <w:color w:val="auto"/>
                <w:kern w:val="0"/>
                <w:szCs w:val="22"/>
                <w:highlight w:val="none"/>
              </w:rPr>
              <w:t>可维护性不强；信息化设备清单不具体</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性能不优越</w:t>
            </w:r>
            <w:r>
              <w:rPr>
                <w:rFonts w:hint="eastAsia" w:ascii="宋体" w:hAnsi="宋体" w:cs="宋体"/>
                <w:snapToGrid w:val="0"/>
                <w:color w:val="auto"/>
                <w:kern w:val="0"/>
                <w:szCs w:val="22"/>
                <w:highlight w:val="none"/>
                <w:lang w:eastAsia="zh-CN"/>
              </w:rPr>
              <w:t>；</w:t>
            </w:r>
            <w:r>
              <w:rPr>
                <w:rFonts w:ascii="宋体" w:hAnsi="宋体" w:cs="宋体"/>
                <w:snapToGrid w:val="0"/>
                <w:color w:val="auto"/>
                <w:kern w:val="0"/>
                <w:szCs w:val="22"/>
                <w:highlight w:val="none"/>
              </w:rPr>
              <w:t>主要产品的选型没有扩展性或前瞻性；安装调试方案和运行方案可操作性不强。</w:t>
            </w:r>
          </w:p>
        </w:tc>
      </w:tr>
      <w:tr w14:paraId="6DF5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6788087B">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1815936">
            <w:pPr>
              <w:jc w:val="cente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lang w:val="en-US" w:eastAsia="zh-CN"/>
              </w:rPr>
              <w:t>其他</w:t>
            </w:r>
            <w:r>
              <w:rPr>
                <w:rFonts w:ascii="宋体" w:hAnsi="宋体" w:cs="宋体"/>
                <w:snapToGrid w:val="0"/>
                <w:color w:val="auto"/>
                <w:kern w:val="0"/>
                <w:szCs w:val="22"/>
                <w:highlight w:val="none"/>
              </w:rPr>
              <w:t>重点展项</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序厅及城市沙盘除外</w:t>
            </w:r>
            <w:r>
              <w:rPr>
                <w:rFonts w:hint="eastAsia" w:ascii="宋体" w:hAnsi="宋体" w:cs="宋体"/>
                <w:snapToGrid w:val="0"/>
                <w:color w:val="auto"/>
                <w:kern w:val="0"/>
                <w:szCs w:val="22"/>
                <w:highlight w:val="none"/>
                <w:lang w:eastAsia="zh-CN"/>
              </w:rPr>
              <w:t>）</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DC9339F">
            <w:pPr>
              <w:jc w:val="cente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lang w:eastAsia="zh-CN"/>
              </w:rPr>
              <w:t>4</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02A43AD">
            <w:pPr>
              <w:pStyle w:val="31"/>
              <w:numPr>
                <w:ilvl w:val="0"/>
                <w:numId w:val="0"/>
              </w:numPr>
              <w:rPr>
                <w:rFonts w:hint="eastAsia" w:ascii="宋体" w:hAnsi="宋体" w:cs="宋体"/>
                <w:bCs w:val="0"/>
                <w:caps w:val="0"/>
                <w:snapToGrid w:val="0"/>
                <w:color w:val="auto"/>
                <w:kern w:val="0"/>
                <w:sz w:val="21"/>
                <w:szCs w:val="22"/>
                <w:highlight w:val="none"/>
                <w:lang w:val="en-US" w:eastAsia="zh-CN"/>
              </w:rPr>
            </w:pPr>
            <w:r>
              <w:rPr>
                <w:rFonts w:hint="eastAsia" w:ascii="宋体" w:hAnsi="宋体" w:cs="宋体"/>
                <w:bCs w:val="0"/>
                <w:caps w:val="0"/>
                <w:snapToGrid w:val="0"/>
                <w:color w:val="auto"/>
                <w:kern w:val="0"/>
                <w:sz w:val="21"/>
                <w:szCs w:val="22"/>
                <w:highlight w:val="none"/>
                <w:lang w:val="en-US" w:eastAsia="zh-CN"/>
              </w:rPr>
              <w:t>评标委员会根据投标人针对本项目提供的整体设计方案及现场演示讲解进行综合评审：</w:t>
            </w:r>
          </w:p>
          <w:p w14:paraId="2F4D65AB">
            <w:pPr>
              <w:rPr>
                <w:rFonts w:hint="eastAsia" w:ascii="宋体" w:hAnsi="宋体" w:eastAsia="宋体" w:cs="宋体"/>
                <w:snapToGrid w:val="0"/>
                <w:color w:val="auto"/>
                <w:kern w:val="0"/>
                <w:szCs w:val="21"/>
                <w:highlight w:val="none"/>
                <w:lang w:eastAsia="zh-CN"/>
              </w:rPr>
            </w:pPr>
            <w:r>
              <w:rPr>
                <w:rFonts w:hint="eastAsia" w:ascii="宋体" w:hAnsi="宋体" w:cs="宋体"/>
                <w:bCs w:val="0"/>
                <w:caps w:val="0"/>
                <w:snapToGrid w:val="0"/>
                <w:color w:val="auto"/>
                <w:kern w:val="0"/>
                <w:sz w:val="21"/>
                <w:szCs w:val="22"/>
                <w:highlight w:val="none"/>
                <w:lang w:val="en-US" w:eastAsia="zh-CN"/>
              </w:rPr>
              <w:t>①在《乌鲁木齐市城市规划馆展陈更新大纲》基础上，</w:t>
            </w:r>
            <w:r>
              <w:rPr>
                <w:rFonts w:ascii="宋体" w:hAnsi="宋体" w:eastAsia="宋体" w:cs="宋体"/>
                <w:snapToGrid w:val="0"/>
                <w:color w:val="auto"/>
                <w:kern w:val="0"/>
                <w:szCs w:val="21"/>
                <w:highlight w:val="none"/>
              </w:rPr>
              <w:t>对承载重要导览内容的展项应进行重点设计，保障良好的展示氛围、完善的内容表达、新颖的设计形式</w:t>
            </w:r>
            <w:r>
              <w:rPr>
                <w:rFonts w:hint="eastAsia" w:ascii="宋体" w:hAnsi="宋体" w:eastAsia="宋体" w:cs="宋体"/>
                <w:snapToGrid w:val="0"/>
                <w:color w:val="auto"/>
                <w:kern w:val="0"/>
                <w:szCs w:val="21"/>
                <w:highlight w:val="none"/>
                <w:lang w:eastAsia="zh-CN"/>
              </w:rPr>
              <w:t>，</w:t>
            </w:r>
            <w:r>
              <w:rPr>
                <w:rFonts w:ascii="宋体" w:hAnsi="宋体" w:eastAsia="宋体" w:cs="宋体"/>
                <w:snapToGrid w:val="0"/>
                <w:color w:val="auto"/>
                <w:kern w:val="0"/>
                <w:szCs w:val="21"/>
                <w:highlight w:val="none"/>
              </w:rPr>
              <w:t>合理安排体验性和交互性展项，调节观展体验和节奏</w:t>
            </w:r>
            <w:r>
              <w:rPr>
                <w:rFonts w:hint="eastAsia" w:ascii="宋体" w:hAnsi="宋体" w:eastAsia="宋体" w:cs="宋体"/>
                <w:snapToGrid w:val="0"/>
                <w:color w:val="auto"/>
                <w:kern w:val="0"/>
                <w:szCs w:val="22"/>
                <w:highlight w:val="none"/>
              </w:rPr>
              <w:t>（</w:t>
            </w:r>
            <w:r>
              <w:rPr>
                <w:rFonts w:hint="eastAsia" w:ascii="宋体" w:hAnsi="宋体" w:eastAsia="宋体" w:cs="宋体"/>
                <w:snapToGrid w:val="0"/>
                <w:color w:val="auto"/>
                <w:kern w:val="0"/>
                <w:szCs w:val="22"/>
                <w:highlight w:val="none"/>
                <w:lang w:val="en-US" w:eastAsia="zh-CN"/>
              </w:rPr>
              <w:t>1</w:t>
            </w:r>
            <w:r>
              <w:rPr>
                <w:rFonts w:hint="eastAsia" w:ascii="宋体" w:hAnsi="宋体" w:eastAsia="宋体" w:cs="宋体"/>
                <w:snapToGrid w:val="0"/>
                <w:color w:val="auto"/>
                <w:kern w:val="0"/>
                <w:szCs w:val="22"/>
                <w:highlight w:val="none"/>
              </w:rPr>
              <w:t>分）</w:t>
            </w:r>
            <w:r>
              <w:rPr>
                <w:rFonts w:hint="eastAsia" w:ascii="宋体" w:hAnsi="宋体" w:eastAsia="宋体" w:cs="宋体"/>
                <w:snapToGrid w:val="0"/>
                <w:color w:val="auto"/>
                <w:kern w:val="0"/>
                <w:szCs w:val="22"/>
                <w:highlight w:val="none"/>
                <w:lang w:eastAsia="zh-CN"/>
              </w:rPr>
              <w:t>，</w:t>
            </w:r>
            <w:r>
              <w:rPr>
                <w:rFonts w:hint="eastAsia" w:ascii="宋体" w:hAnsi="宋体" w:eastAsia="宋体" w:cs="宋体"/>
                <w:snapToGrid w:val="0"/>
                <w:color w:val="auto"/>
                <w:kern w:val="0"/>
                <w:szCs w:val="22"/>
                <w:highlight w:val="none"/>
                <w:lang w:val="en-US" w:eastAsia="zh-CN"/>
              </w:rPr>
              <w:t>完全满足采购需求得1分，</w:t>
            </w:r>
            <w:r>
              <w:rPr>
                <w:rFonts w:hint="eastAsia" w:ascii="宋体" w:hAnsi="宋体" w:eastAsia="宋体" w:cs="宋体"/>
                <w:snapToGrid w:val="0"/>
                <w:color w:val="auto"/>
                <w:kern w:val="0"/>
                <w:szCs w:val="22"/>
                <w:highlight w:val="none"/>
                <w:lang w:eastAsia="zh-CN"/>
              </w:rPr>
              <w:t>每有一处内容有欠缺的，扣</w:t>
            </w:r>
            <w:r>
              <w:rPr>
                <w:rFonts w:hint="eastAsia" w:ascii="宋体" w:hAnsi="宋体" w:eastAsia="宋体" w:cs="宋体"/>
                <w:snapToGrid w:val="0"/>
                <w:color w:val="auto"/>
                <w:kern w:val="0"/>
                <w:szCs w:val="22"/>
                <w:highlight w:val="none"/>
                <w:lang w:val="en-US" w:eastAsia="zh-CN"/>
              </w:rPr>
              <w:t>0.5</w:t>
            </w:r>
            <w:r>
              <w:rPr>
                <w:rFonts w:hint="eastAsia" w:ascii="宋体" w:hAnsi="宋体" w:eastAsia="宋体" w:cs="宋体"/>
                <w:snapToGrid w:val="0"/>
                <w:color w:val="auto"/>
                <w:kern w:val="0"/>
                <w:szCs w:val="22"/>
                <w:highlight w:val="none"/>
                <w:lang w:eastAsia="zh-CN"/>
              </w:rPr>
              <w:t>分，扣完为止</w:t>
            </w:r>
            <w:r>
              <w:rPr>
                <w:rFonts w:hint="eastAsia" w:ascii="宋体" w:hAnsi="宋体" w:eastAsia="宋体" w:cs="宋体"/>
                <w:snapToGrid w:val="0"/>
                <w:color w:val="auto"/>
                <w:kern w:val="0"/>
                <w:szCs w:val="22"/>
                <w:highlight w:val="none"/>
              </w:rPr>
              <w:t>；</w:t>
            </w:r>
          </w:p>
          <w:p w14:paraId="54A0D8BF">
            <w:pPr>
              <w:numPr>
                <w:ilvl w:val="0"/>
                <w:numId w:val="0"/>
              </w:numPr>
              <w:rPr>
                <w:rFonts w:hint="eastAsia" w:ascii="宋体" w:hAnsi="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②</w:t>
            </w:r>
            <w:r>
              <w:rPr>
                <w:rFonts w:ascii="宋体" w:hAnsi="宋体" w:cs="宋体"/>
                <w:snapToGrid w:val="0"/>
                <w:color w:val="auto"/>
                <w:kern w:val="0"/>
                <w:szCs w:val="22"/>
                <w:highlight w:val="none"/>
              </w:rPr>
              <w:t>评委根据投标人提供的</w:t>
            </w:r>
            <w:r>
              <w:rPr>
                <w:rFonts w:hint="eastAsia" w:ascii="宋体" w:hAnsi="宋体" w:cs="宋体"/>
                <w:snapToGrid w:val="0"/>
                <w:color w:val="auto"/>
                <w:kern w:val="0"/>
                <w:szCs w:val="22"/>
                <w:highlight w:val="none"/>
                <w:lang w:val="en-US" w:eastAsia="zh-CN"/>
              </w:rPr>
              <w:t>重点</w:t>
            </w:r>
            <w:r>
              <w:rPr>
                <w:rFonts w:ascii="宋体" w:hAnsi="宋体" w:cs="宋体"/>
                <w:snapToGrid w:val="0"/>
                <w:color w:val="auto"/>
                <w:kern w:val="0"/>
                <w:szCs w:val="22"/>
                <w:highlight w:val="none"/>
              </w:rPr>
              <w:t>展项</w:t>
            </w:r>
            <w:r>
              <w:rPr>
                <w:rFonts w:hint="eastAsia" w:ascii="宋体" w:hAnsi="宋体" w:cs="宋体"/>
                <w:snapToGrid w:val="0"/>
                <w:color w:val="auto"/>
                <w:kern w:val="0"/>
                <w:szCs w:val="22"/>
                <w:highlight w:val="none"/>
                <w:lang w:val="en-US" w:eastAsia="zh-CN"/>
              </w:rPr>
              <w:t>设计方案</w:t>
            </w:r>
            <w:r>
              <w:rPr>
                <w:rFonts w:ascii="宋体" w:hAnsi="宋体" w:cs="宋体"/>
                <w:snapToGrid w:val="0"/>
                <w:color w:val="auto"/>
                <w:kern w:val="0"/>
                <w:szCs w:val="22"/>
                <w:highlight w:val="none"/>
              </w:rPr>
              <w:t>进行综合评估：</w:t>
            </w:r>
            <w:r>
              <w:rPr>
                <w:rFonts w:hint="eastAsia" w:ascii="宋体" w:hAnsi="宋体" w:cs="宋体"/>
                <w:snapToGrid w:val="0"/>
                <w:color w:val="auto"/>
                <w:kern w:val="0"/>
                <w:szCs w:val="22"/>
                <w:highlight w:val="none"/>
                <w:lang w:val="en-US" w:eastAsia="zh-CN"/>
              </w:rPr>
              <w:t>重点</w:t>
            </w:r>
            <w:r>
              <w:rPr>
                <w:rFonts w:ascii="宋体" w:hAnsi="宋体" w:cs="宋体"/>
                <w:snapToGrid w:val="0"/>
                <w:color w:val="auto"/>
                <w:kern w:val="0"/>
                <w:szCs w:val="22"/>
                <w:highlight w:val="none"/>
              </w:rPr>
              <w:t>展项独具特色，与整体布展设计融合度高，并兼具可实施性</w:t>
            </w:r>
            <w:r>
              <w:rPr>
                <w:rFonts w:hint="eastAsia" w:ascii="宋体" w:hAnsi="宋体" w:cs="宋体"/>
                <w:snapToGrid w:val="0"/>
                <w:color w:val="auto"/>
                <w:kern w:val="0"/>
                <w:szCs w:val="22"/>
                <w:highlight w:val="none"/>
                <w:lang w:val="en-US" w:eastAsia="zh-CN"/>
              </w:rPr>
              <w:t>和互动体验性</w:t>
            </w:r>
            <w:r>
              <w:rPr>
                <w:rFonts w:ascii="宋体" w:hAnsi="宋体" w:cs="宋体"/>
                <w:snapToGrid w:val="0"/>
                <w:color w:val="auto"/>
                <w:kern w:val="0"/>
                <w:szCs w:val="22"/>
                <w:highlight w:val="none"/>
              </w:rPr>
              <w:t>，满足条件的</w:t>
            </w:r>
            <w:r>
              <w:rPr>
                <w:rFonts w:hint="eastAsia" w:ascii="宋体" w:hAnsi="宋体" w:cs="宋体"/>
                <w:snapToGrid w:val="0"/>
                <w:color w:val="auto"/>
                <w:kern w:val="0"/>
                <w:szCs w:val="22"/>
                <w:highlight w:val="none"/>
                <w:lang w:val="en-US" w:eastAsia="zh-CN"/>
              </w:rPr>
              <w:t>重点</w:t>
            </w:r>
            <w:r>
              <w:rPr>
                <w:rFonts w:ascii="宋体" w:hAnsi="宋体" w:cs="宋体"/>
                <w:snapToGrid w:val="0"/>
                <w:color w:val="auto"/>
                <w:kern w:val="0"/>
                <w:szCs w:val="22"/>
                <w:highlight w:val="none"/>
              </w:rPr>
              <w:t>展项每个计</w:t>
            </w:r>
            <w:r>
              <w:rPr>
                <w:rFonts w:hint="eastAsia" w:ascii="宋体" w:hAnsi="宋体" w:cs="宋体"/>
                <w:snapToGrid w:val="0"/>
                <w:color w:val="auto"/>
                <w:kern w:val="0"/>
                <w:szCs w:val="22"/>
                <w:highlight w:val="none"/>
                <w:lang w:val="en-US" w:eastAsia="zh-CN"/>
              </w:rPr>
              <w:t>0.5</w:t>
            </w:r>
            <w:r>
              <w:rPr>
                <w:rFonts w:ascii="宋体" w:hAnsi="宋体" w:cs="宋体"/>
                <w:snapToGrid w:val="0"/>
                <w:color w:val="auto"/>
                <w:kern w:val="0"/>
                <w:szCs w:val="22"/>
                <w:highlight w:val="none"/>
              </w:rPr>
              <w:t>分，最多计</w:t>
            </w:r>
            <w:r>
              <w:rPr>
                <w:rFonts w:hint="eastAsia" w:ascii="宋体" w:hAnsi="宋体" w:cs="宋体"/>
                <w:snapToGrid w:val="0"/>
                <w:color w:val="auto"/>
                <w:kern w:val="0"/>
                <w:szCs w:val="22"/>
                <w:highlight w:val="none"/>
                <w:lang w:val="en-US" w:eastAsia="zh-CN"/>
              </w:rPr>
              <w:t>2</w:t>
            </w:r>
            <w:r>
              <w:rPr>
                <w:rFonts w:ascii="宋体" w:hAnsi="宋体" w:cs="宋体"/>
                <w:snapToGrid w:val="0"/>
                <w:color w:val="auto"/>
                <w:kern w:val="0"/>
                <w:szCs w:val="22"/>
                <w:highlight w:val="none"/>
              </w:rPr>
              <w:t>分。不满足条件的，则不予计分</w:t>
            </w:r>
            <w:r>
              <w:rPr>
                <w:rFonts w:hint="eastAsia" w:ascii="宋体" w:hAnsi="宋体" w:cs="宋体"/>
                <w:snapToGrid w:val="0"/>
                <w:color w:val="auto"/>
                <w:kern w:val="0"/>
                <w:szCs w:val="22"/>
                <w:highlight w:val="none"/>
                <w:lang w:val="en-US" w:eastAsia="zh-CN"/>
              </w:rPr>
              <w:t>。</w:t>
            </w:r>
          </w:p>
          <w:p w14:paraId="2F62BAA6">
            <w:pPr>
              <w:numPr>
                <w:ilvl w:val="0"/>
                <w:numId w:val="0"/>
              </w:numPr>
              <w:rPr>
                <w:rFonts w:hint="eastAsia" w:ascii="宋体" w:hAnsi="宋体" w:eastAsia="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③</w:t>
            </w:r>
            <w:r>
              <w:rPr>
                <w:rFonts w:hint="eastAsia" w:ascii="宋体" w:hAnsi="宋体" w:cs="宋体"/>
                <w:snapToGrid w:val="0"/>
                <w:color w:val="auto"/>
                <w:kern w:val="0"/>
                <w:szCs w:val="22"/>
                <w:highlight w:val="none"/>
              </w:rPr>
              <w:t>围绕</w:t>
            </w:r>
            <w:r>
              <w:rPr>
                <w:rFonts w:hint="eastAsia" w:ascii="宋体" w:hAnsi="宋体" w:cs="宋体"/>
                <w:snapToGrid w:val="0"/>
                <w:color w:val="auto"/>
                <w:kern w:val="0"/>
                <w:szCs w:val="22"/>
                <w:highlight w:val="none"/>
                <w:lang w:val="en-US" w:eastAsia="zh-CN"/>
              </w:rPr>
              <w:t>重点展项</w:t>
            </w:r>
            <w:r>
              <w:rPr>
                <w:rFonts w:hint="eastAsia" w:ascii="宋体" w:hAnsi="宋体" w:cs="宋体"/>
                <w:snapToGrid w:val="0"/>
                <w:color w:val="auto"/>
                <w:kern w:val="0"/>
                <w:szCs w:val="22"/>
                <w:highlight w:val="none"/>
              </w:rPr>
              <w:t>，自定主题提供</w:t>
            </w:r>
            <w:r>
              <w:rPr>
                <w:rFonts w:hint="eastAsia" w:ascii="宋体" w:hAnsi="宋体" w:cs="宋体"/>
                <w:snapToGrid w:val="0"/>
                <w:color w:val="auto"/>
                <w:kern w:val="0"/>
                <w:szCs w:val="22"/>
                <w:highlight w:val="none"/>
                <w:lang w:val="en-US" w:eastAsia="zh-CN"/>
              </w:rPr>
              <w:t>一段</w:t>
            </w:r>
            <w:r>
              <w:rPr>
                <w:rFonts w:hint="eastAsia" w:ascii="宋体" w:hAnsi="宋体" w:cs="宋体"/>
                <w:snapToGrid w:val="0"/>
                <w:color w:val="auto"/>
                <w:kern w:val="0"/>
                <w:szCs w:val="22"/>
                <w:highlight w:val="none"/>
              </w:rPr>
              <w:t>不超过1分钟的影片片段演示</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rPr>
              <w:t>体现投标人三维动画与影片拍摄制作水平</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1分</w:t>
            </w:r>
            <w:r>
              <w:rPr>
                <w:rFonts w:hint="eastAsia" w:ascii="宋体" w:hAnsi="宋体" w:cs="宋体"/>
                <w:snapToGrid w:val="0"/>
                <w:color w:val="auto"/>
                <w:kern w:val="0"/>
                <w:szCs w:val="22"/>
                <w:highlight w:val="none"/>
                <w:lang w:eastAsia="zh-CN"/>
              </w:rPr>
              <w:t>）</w:t>
            </w:r>
            <w:r>
              <w:rPr>
                <w:rFonts w:hint="eastAsia" w:ascii="宋体" w:hAnsi="宋体" w:eastAsia="宋体" w:cs="宋体"/>
                <w:snapToGrid w:val="0"/>
                <w:color w:val="auto"/>
                <w:kern w:val="0"/>
                <w:szCs w:val="22"/>
                <w:highlight w:val="none"/>
                <w:lang w:val="en-US" w:eastAsia="zh-CN"/>
              </w:rPr>
              <w:t>完全满足采购需求得1分，</w:t>
            </w:r>
            <w:r>
              <w:rPr>
                <w:rFonts w:hint="eastAsia" w:ascii="宋体" w:hAnsi="宋体" w:eastAsia="宋体" w:cs="宋体"/>
                <w:snapToGrid w:val="0"/>
                <w:color w:val="auto"/>
                <w:kern w:val="0"/>
                <w:szCs w:val="22"/>
                <w:highlight w:val="none"/>
                <w:lang w:eastAsia="zh-CN"/>
              </w:rPr>
              <w:t>每有一处有欠缺的，扣</w:t>
            </w:r>
            <w:r>
              <w:rPr>
                <w:rFonts w:hint="eastAsia" w:ascii="宋体" w:hAnsi="宋体" w:eastAsia="宋体" w:cs="宋体"/>
                <w:snapToGrid w:val="0"/>
                <w:color w:val="auto"/>
                <w:kern w:val="0"/>
                <w:szCs w:val="22"/>
                <w:highlight w:val="none"/>
                <w:lang w:val="en-US" w:eastAsia="zh-CN"/>
              </w:rPr>
              <w:t>0.5</w:t>
            </w:r>
            <w:r>
              <w:rPr>
                <w:rFonts w:hint="eastAsia" w:ascii="宋体" w:hAnsi="宋体" w:eastAsia="宋体" w:cs="宋体"/>
                <w:snapToGrid w:val="0"/>
                <w:color w:val="auto"/>
                <w:kern w:val="0"/>
                <w:szCs w:val="22"/>
                <w:highlight w:val="none"/>
                <w:lang w:eastAsia="zh-CN"/>
              </w:rPr>
              <w:t>分，扣完为止</w:t>
            </w:r>
            <w:r>
              <w:rPr>
                <w:rFonts w:hint="eastAsia" w:ascii="宋体" w:hAnsi="宋体" w:cs="宋体"/>
                <w:snapToGrid w:val="0"/>
                <w:color w:val="auto"/>
                <w:kern w:val="0"/>
                <w:szCs w:val="22"/>
                <w:highlight w:val="none"/>
                <w:lang w:eastAsia="zh-CN"/>
              </w:rPr>
              <w:t>。</w:t>
            </w:r>
          </w:p>
        </w:tc>
      </w:tr>
      <w:tr w14:paraId="604A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D8AF41A">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7C96DCE">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项目实施方案及质量保证措施</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19A6B219">
            <w:pPr>
              <w:jc w:val="center"/>
              <w:rPr>
                <w:rFonts w:hint="eastAsia" w:ascii="宋体" w:hAnsi="宋体" w:eastAsia="宋体" w:cs="宋体"/>
                <w:snapToGrid w:val="0"/>
                <w:color w:val="auto"/>
                <w:kern w:val="0"/>
                <w:szCs w:val="22"/>
                <w:highlight w:val="none"/>
                <w:lang w:eastAsia="zh-CN"/>
              </w:rPr>
            </w:pPr>
            <w:r>
              <w:rPr>
                <w:rFonts w:hint="eastAsia" w:ascii="宋体" w:hAnsi="宋体" w:cs="宋体"/>
                <w:snapToGrid w:val="0"/>
                <w:color w:val="auto"/>
                <w:kern w:val="0"/>
                <w:szCs w:val="22"/>
                <w:highlight w:val="none"/>
                <w:lang w:val="en-US" w:eastAsia="zh-CN"/>
              </w:rPr>
              <w:t>7</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A497A1C">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投标人针对本项目提供项目实施方案及质量保证措施：</w:t>
            </w:r>
          </w:p>
          <w:p w14:paraId="32E44949">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1.布展施工方案：提供布展施工的程序、方法、工艺，难点部位、关键环节的处置措施，方案先进、可行计1分，内容有欠缺的每处扣0.5分，扣完为止。</w:t>
            </w:r>
          </w:p>
          <w:p w14:paraId="17697ABB">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2.安全文明布展措施：具有健全有效的安全管理体系，安全文明施工的技术组织措施和防止扰民措施，安排可行、合理且满足实际要求。针对可能出现的风险采取预防和应急处置，且措施得力、具有操作性的计1分，内容有欠缺的每处扣0.5分，扣完为止。</w:t>
            </w:r>
          </w:p>
          <w:p w14:paraId="76F8E846">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3.进度计划与措施：针对项目特点拟定具体的施工进度计划及保障措施，能满足采购人对工期的要求，计划可行，措施有力计</w:t>
            </w:r>
            <w:r>
              <w:rPr>
                <w:rFonts w:hint="eastAsia" w:ascii="宋体" w:hAnsi="宋体" w:cs="宋体"/>
                <w:snapToGrid w:val="0"/>
                <w:color w:val="auto"/>
                <w:kern w:val="0"/>
                <w:szCs w:val="22"/>
                <w:highlight w:val="none"/>
                <w:lang w:val="en-US" w:eastAsia="zh-CN"/>
              </w:rPr>
              <w:t>2</w:t>
            </w:r>
            <w:r>
              <w:rPr>
                <w:rFonts w:hint="eastAsia" w:ascii="宋体" w:hAnsi="宋体" w:cs="宋体"/>
                <w:snapToGrid w:val="0"/>
                <w:color w:val="auto"/>
                <w:kern w:val="0"/>
                <w:szCs w:val="22"/>
                <w:highlight w:val="none"/>
              </w:rPr>
              <w:t>分，内容有欠缺的每处扣0.5分，扣完为止。</w:t>
            </w:r>
          </w:p>
          <w:p w14:paraId="504AE921">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4.施工质量保证措施：质量管理体系阐述合理、可行，保证措施得力、可信且有操作性的计</w:t>
            </w:r>
            <w:r>
              <w:rPr>
                <w:rFonts w:hint="eastAsia" w:ascii="宋体" w:hAnsi="宋体" w:cs="宋体"/>
                <w:snapToGrid w:val="0"/>
                <w:color w:val="auto"/>
                <w:kern w:val="0"/>
                <w:szCs w:val="22"/>
                <w:highlight w:val="none"/>
                <w:lang w:val="en-US" w:eastAsia="zh-CN"/>
              </w:rPr>
              <w:t>2</w:t>
            </w:r>
            <w:r>
              <w:rPr>
                <w:rFonts w:hint="eastAsia" w:ascii="宋体" w:hAnsi="宋体" w:cs="宋体"/>
                <w:snapToGrid w:val="0"/>
                <w:color w:val="auto"/>
                <w:kern w:val="0"/>
                <w:szCs w:val="22"/>
                <w:highlight w:val="none"/>
              </w:rPr>
              <w:t>分，内容有欠缺的每处扣0.5分，扣完为止。</w:t>
            </w:r>
          </w:p>
          <w:p w14:paraId="1B5D2242">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5.环境保护管理与措施：项目现场情况分析符合实际，噪音控制、污水控制、扬尘控制，材料堆放等表述全面且方案完善、措施合理，具有可行性的计1分，内容有欠缺的每处扣0.5分，扣完为止。</w:t>
            </w:r>
          </w:p>
          <w:p w14:paraId="11C67D43">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上述内容有欠缺是指符合以下任意一项：方案内容与项目需求不一致或没有关联性；涉及的技术规范标准等与国家或行业标准或招标文件要求不一致；方案内容与实际实施存在差异性；方案内容空洞；语义表述不清，前后矛盾，存在歧义、混乱；内容不充实。</w:t>
            </w:r>
          </w:p>
        </w:tc>
      </w:tr>
      <w:tr w14:paraId="4C47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35D3767B">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D93779C">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售后服务及培训方案</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D427EBC">
            <w:pPr>
              <w:jc w:val="center"/>
              <w:rPr>
                <w:rFonts w:hint="eastAsia" w:ascii="宋体" w:hAnsi="宋体" w:eastAsia="宋体" w:cs="宋体"/>
                <w:snapToGrid w:val="0"/>
                <w:color w:val="auto"/>
                <w:kern w:val="0"/>
                <w:szCs w:val="22"/>
                <w:highlight w:val="none"/>
                <w:lang w:eastAsia="zh-CN"/>
              </w:rPr>
            </w:pPr>
            <w:r>
              <w:rPr>
                <w:rFonts w:hint="eastAsia" w:ascii="宋体" w:hAnsi="宋体" w:cs="宋体"/>
                <w:snapToGrid w:val="0"/>
                <w:color w:val="auto"/>
                <w:kern w:val="0"/>
                <w:szCs w:val="22"/>
                <w:highlight w:val="none"/>
                <w:lang w:val="en-US" w:eastAsia="zh-CN"/>
              </w:rPr>
              <w:t>4</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65612786">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1.投标人针对本项目要求提供售后服务方案，包括：</w:t>
            </w:r>
          </w:p>
          <w:p w14:paraId="40835ED9">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①售后服务整体安排计划；</w:t>
            </w:r>
          </w:p>
          <w:p w14:paraId="208F003D">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②售后服务团队人员安排计划（含具体人员安排、售后技术咨询服务等）；</w:t>
            </w:r>
          </w:p>
          <w:p w14:paraId="293175AD">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③故障应急解决方案（含具体的售后服务响应时间、应急处理措施等）。</w:t>
            </w:r>
          </w:p>
          <w:p w14:paraId="77ACF968">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评标委员会根据售后服务方案的科学性、可行性、完整性、以及响应的时效性等方面进行综合评审，全部满足的计3分，内容有缺漏或有欠缺的每项扣1分，扣完3分为止。未提供不计分。</w:t>
            </w:r>
          </w:p>
          <w:p w14:paraId="06C1AF81">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上述内容有欠缺是指符合以下任意一项：售后服务团队人员分工不明确；售后服务响应时间不能满足采购需求；方案内容与实际实施存在差异性；方案内容空洞；语义表述不清，前后矛盾，存在歧义、混乱；内容不充实。</w:t>
            </w:r>
          </w:p>
          <w:p w14:paraId="4B206687">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2.培训服务措施：投标人针对本项目提供培训方案，含培训计划、培训技术力量、培训资料、培训方式、培训人数等，方案内容详细、合理可行的计1分，否则不计分。有缺漏的每项扣0.5分，扣完为止。未提供不计分。</w:t>
            </w:r>
          </w:p>
        </w:tc>
      </w:tr>
      <w:tr w14:paraId="200E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restart"/>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0142891">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2.2.3</w:t>
            </w:r>
          </w:p>
          <w:p w14:paraId="7CA12002">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商务评审</w:t>
            </w: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234995B2">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类似业绩</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7FA3D77">
            <w:pPr>
              <w:jc w:val="center"/>
              <w:rPr>
                <w:rFonts w:hint="default" w:ascii="宋体" w:hAnsi="宋体" w:eastAsia="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10</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0F939487">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考察投标人近五年内（至本项目投标截止时间前60个月）的类似业绩情况：</w:t>
            </w:r>
          </w:p>
          <w:p w14:paraId="3A07969C">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1.具有已实施完成的</w:t>
            </w:r>
            <w:r>
              <w:rPr>
                <w:rFonts w:hint="eastAsia" w:ascii="宋体" w:hAnsi="宋体" w:cs="宋体"/>
                <w:snapToGrid w:val="0"/>
                <w:color w:val="auto"/>
                <w:kern w:val="0"/>
                <w:szCs w:val="22"/>
                <w:highlight w:val="none"/>
                <w:lang w:val="en-US" w:eastAsia="zh-CN"/>
              </w:rPr>
              <w:t>类似展</w:t>
            </w:r>
            <w:r>
              <w:rPr>
                <w:rFonts w:hint="eastAsia" w:ascii="宋体" w:hAnsi="宋体" w:cs="宋体"/>
                <w:snapToGrid w:val="0"/>
                <w:color w:val="auto"/>
                <w:kern w:val="0"/>
                <w:szCs w:val="22"/>
                <w:highlight w:val="none"/>
              </w:rPr>
              <w:t>馆布展设计施工一体化项目，每个计1分；本项最多计</w:t>
            </w:r>
            <w:r>
              <w:rPr>
                <w:rFonts w:hint="eastAsia" w:ascii="宋体" w:hAnsi="宋体" w:cs="宋体"/>
                <w:snapToGrid w:val="0"/>
                <w:color w:val="auto"/>
                <w:kern w:val="0"/>
                <w:szCs w:val="22"/>
                <w:highlight w:val="none"/>
                <w:lang w:val="en-US" w:eastAsia="zh-CN"/>
              </w:rPr>
              <w:t>10</w:t>
            </w:r>
            <w:r>
              <w:rPr>
                <w:rFonts w:hint="eastAsia" w:ascii="宋体" w:hAnsi="宋体" w:cs="宋体"/>
                <w:snapToGrid w:val="0"/>
                <w:color w:val="auto"/>
                <w:kern w:val="0"/>
                <w:szCs w:val="22"/>
                <w:highlight w:val="none"/>
              </w:rPr>
              <w:t>分。</w:t>
            </w:r>
          </w:p>
          <w:p w14:paraId="19DA8395">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说明：（1）提供项目的中标</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成交</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rPr>
              <w:t>通知书</w:t>
            </w:r>
            <w:r>
              <w:rPr>
                <w:rFonts w:hint="eastAsia" w:ascii="宋体" w:hAnsi="宋体" w:cs="宋体"/>
                <w:snapToGrid w:val="0"/>
                <w:color w:val="auto"/>
                <w:kern w:val="0"/>
                <w:szCs w:val="22"/>
                <w:highlight w:val="none"/>
                <w:lang w:val="en-US" w:eastAsia="zh-CN"/>
              </w:rPr>
              <w:t>和</w:t>
            </w:r>
            <w:r>
              <w:rPr>
                <w:rFonts w:hint="eastAsia" w:ascii="宋体" w:hAnsi="宋体" w:cs="宋体"/>
                <w:snapToGrid w:val="0"/>
                <w:color w:val="auto"/>
                <w:kern w:val="0"/>
                <w:szCs w:val="22"/>
                <w:highlight w:val="none"/>
              </w:rPr>
              <w:t>合同扫描件</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lang w:val="en-US" w:eastAsia="zh-CN"/>
              </w:rPr>
              <w:t>关键页</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rPr>
              <w:t>，以及验收证明材料（竣工验收报告，或加盖馆方公章有明确时间的开馆公告、开放证明）。提供材料不能体现评分因素的需要提供加盖合同业主单位公章的证明材料。（</w:t>
            </w:r>
            <w:r>
              <w:rPr>
                <w:rFonts w:hint="eastAsia" w:ascii="宋体" w:hAnsi="宋体" w:cs="宋体"/>
                <w:snapToGrid w:val="0"/>
                <w:color w:val="auto"/>
                <w:kern w:val="0"/>
                <w:szCs w:val="22"/>
                <w:highlight w:val="none"/>
                <w:lang w:val="en-US" w:eastAsia="zh-CN"/>
              </w:rPr>
              <w:t>2</w:t>
            </w:r>
            <w:r>
              <w:rPr>
                <w:rFonts w:hint="eastAsia" w:ascii="宋体" w:hAnsi="宋体" w:cs="宋体"/>
                <w:snapToGrid w:val="0"/>
                <w:color w:val="auto"/>
                <w:kern w:val="0"/>
                <w:szCs w:val="22"/>
                <w:highlight w:val="none"/>
              </w:rPr>
              <w:t>）如投标人提供的是联合体业绩项目的，则投标人须为联合体的牵头人。（</w:t>
            </w:r>
            <w:r>
              <w:rPr>
                <w:rFonts w:hint="eastAsia" w:ascii="宋体" w:hAnsi="宋体" w:cs="宋体"/>
                <w:snapToGrid w:val="0"/>
                <w:color w:val="auto"/>
                <w:kern w:val="0"/>
                <w:szCs w:val="22"/>
                <w:highlight w:val="none"/>
                <w:lang w:val="en-US" w:eastAsia="zh-CN"/>
              </w:rPr>
              <w:t>3</w:t>
            </w:r>
            <w:r>
              <w:rPr>
                <w:rFonts w:hint="eastAsia" w:ascii="宋体" w:hAnsi="宋体" w:cs="宋体"/>
                <w:snapToGrid w:val="0"/>
                <w:color w:val="auto"/>
                <w:kern w:val="0"/>
                <w:szCs w:val="22"/>
                <w:highlight w:val="none"/>
              </w:rPr>
              <w:t>）项目时间以验收证明材料认可的验收时间为准。（</w:t>
            </w:r>
            <w:r>
              <w:rPr>
                <w:rFonts w:hint="eastAsia" w:ascii="宋体" w:hAnsi="宋体" w:cs="宋体"/>
                <w:snapToGrid w:val="0"/>
                <w:color w:val="auto"/>
                <w:kern w:val="0"/>
                <w:szCs w:val="22"/>
                <w:highlight w:val="none"/>
                <w:lang w:val="en-US" w:eastAsia="zh-CN"/>
              </w:rPr>
              <w:t>4</w:t>
            </w:r>
            <w:r>
              <w:rPr>
                <w:rFonts w:hint="eastAsia" w:ascii="宋体" w:hAnsi="宋体" w:cs="宋体"/>
                <w:snapToGrid w:val="0"/>
                <w:color w:val="auto"/>
                <w:kern w:val="0"/>
                <w:szCs w:val="22"/>
                <w:highlight w:val="none"/>
              </w:rPr>
              <w:t>）未能满足上述条件，不予计分。</w:t>
            </w:r>
          </w:p>
        </w:tc>
      </w:tr>
      <w:tr w14:paraId="7370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4872343E">
            <w:pPr>
              <w:jc w:val="center"/>
              <w:rPr>
                <w:rFonts w:ascii="宋体" w:hAnsi="宋体" w:cs="宋体"/>
                <w:snapToGrid w:val="0"/>
                <w:color w:val="auto"/>
                <w:kern w:val="0"/>
                <w:szCs w:val="22"/>
                <w:highlight w:val="none"/>
              </w:rPr>
            </w:pPr>
          </w:p>
        </w:tc>
        <w:tc>
          <w:tcPr>
            <w:tcW w:w="1272"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B76EC7F">
            <w:pPr>
              <w:jc w:val="center"/>
              <w:rPr>
                <w:rFonts w:ascii="宋体" w:hAnsi="宋体" w:cs="宋体"/>
                <w:snapToGrid w:val="0"/>
                <w:color w:val="auto"/>
                <w:kern w:val="0"/>
                <w:szCs w:val="22"/>
                <w:highlight w:val="none"/>
              </w:rPr>
            </w:pPr>
            <w:r>
              <w:rPr>
                <w:rFonts w:ascii="宋体" w:hAnsi="宋体" w:cs="宋体"/>
                <w:snapToGrid w:val="0"/>
                <w:color w:val="auto"/>
                <w:kern w:val="0"/>
                <w:szCs w:val="22"/>
                <w:highlight w:val="none"/>
              </w:rPr>
              <w:t>团队技术力量</w:t>
            </w:r>
          </w:p>
        </w:tc>
        <w:tc>
          <w:tcPr>
            <w:tcW w:w="554"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51AFDBAA">
            <w:pPr>
              <w:jc w:val="center"/>
              <w:rPr>
                <w:rFonts w:hint="eastAsia" w:ascii="宋体" w:hAnsi="宋体" w:eastAsia="宋体" w:cs="宋体"/>
                <w:snapToGrid w:val="0"/>
                <w:color w:val="auto"/>
                <w:kern w:val="0"/>
                <w:szCs w:val="22"/>
                <w:highlight w:val="none"/>
                <w:lang w:eastAsia="zh-CN"/>
              </w:rPr>
            </w:pPr>
            <w:r>
              <w:rPr>
                <w:rFonts w:hint="eastAsia" w:ascii="宋体" w:hAnsi="宋体" w:cs="宋体"/>
                <w:snapToGrid w:val="0"/>
                <w:color w:val="auto"/>
                <w:kern w:val="0"/>
                <w:szCs w:val="22"/>
                <w:highlight w:val="none"/>
                <w:lang w:val="en-US" w:eastAsia="zh-CN"/>
              </w:rPr>
              <w:t>8</w:t>
            </w:r>
          </w:p>
        </w:tc>
        <w:tc>
          <w:tcPr>
            <w:tcW w:w="6261" w:type="dxa"/>
            <w:tcBorders>
              <w:top w:val="single" w:color="000000" w:sz="2" w:space="0"/>
              <w:left w:val="single" w:color="000000" w:sz="2" w:space="0"/>
              <w:bottom w:val="single" w:color="000000" w:sz="2" w:space="0"/>
              <w:right w:val="single" w:color="000000" w:sz="2" w:space="0"/>
            </w:tcBorders>
            <w:noWrap w:val="0"/>
            <w:tcMar>
              <w:top w:w="100" w:type="dxa"/>
              <w:bottom w:w="100" w:type="dxa"/>
            </w:tcMar>
            <w:vAlign w:val="center"/>
          </w:tcPr>
          <w:p w14:paraId="76E8C95A">
            <w:pPr>
              <w:rPr>
                <w:rFonts w:hint="default" w:ascii="宋体" w:hAnsi="宋体" w:eastAsia="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lang w:val="en-US" w:eastAsia="zh-CN"/>
              </w:rPr>
              <w:t>投标人所提供项目人员团队</w:t>
            </w:r>
          </w:p>
          <w:p w14:paraId="02968D37">
            <w:pPr>
              <w:rPr>
                <w:rFonts w:hint="eastAsia" w:ascii="宋体" w:hAnsi="宋体" w:cs="宋体"/>
                <w:snapToGrid w:val="0"/>
                <w:color w:val="auto"/>
                <w:kern w:val="0"/>
                <w:szCs w:val="22"/>
                <w:highlight w:val="none"/>
              </w:rPr>
            </w:pPr>
            <w:r>
              <w:rPr>
                <w:rFonts w:hint="eastAsia" w:ascii="宋体" w:hAnsi="宋体" w:cs="宋体"/>
                <w:snapToGrid w:val="0"/>
                <w:color w:val="auto"/>
                <w:kern w:val="0"/>
                <w:szCs w:val="22"/>
                <w:highlight w:val="none"/>
              </w:rPr>
              <w:t>1.拟任项目负责人近五年内（至本项目投标截止时间前60个月，时间以合同签订时间为准）在</w:t>
            </w:r>
            <w:r>
              <w:rPr>
                <w:rFonts w:hint="eastAsia" w:ascii="宋体" w:hAnsi="宋体" w:cs="宋体"/>
                <w:snapToGrid w:val="0"/>
                <w:color w:val="auto"/>
                <w:kern w:val="0"/>
                <w:szCs w:val="22"/>
                <w:highlight w:val="none"/>
                <w:lang w:val="en-US" w:eastAsia="zh-CN"/>
              </w:rPr>
              <w:t>类似</w:t>
            </w:r>
            <w:r>
              <w:rPr>
                <w:rFonts w:hint="eastAsia" w:ascii="宋体" w:hAnsi="宋体" w:cs="宋体"/>
                <w:snapToGrid w:val="0"/>
                <w:color w:val="auto"/>
                <w:kern w:val="0"/>
                <w:szCs w:val="22"/>
                <w:highlight w:val="none"/>
              </w:rPr>
              <w:t>布展施工或布展设计施工一体化项目中担任过项目总负责人：每个计1分；本项最多计1分。</w:t>
            </w:r>
          </w:p>
          <w:p w14:paraId="0E5691EA">
            <w:pPr>
              <w:rPr>
                <w:rFonts w:hint="eastAsia" w:ascii="宋体" w:hAnsi="宋体" w:cs="宋体"/>
                <w:snapToGrid w:val="0"/>
                <w:color w:val="auto"/>
                <w:kern w:val="0"/>
                <w:szCs w:val="22"/>
                <w:highlight w:val="none"/>
                <w:lang w:val="en-US" w:eastAsia="zh-CN"/>
              </w:rPr>
            </w:pPr>
            <w:r>
              <w:rPr>
                <w:rFonts w:hint="eastAsia" w:ascii="宋体" w:hAnsi="宋体" w:cs="宋体"/>
                <w:snapToGrid w:val="0"/>
                <w:color w:val="auto"/>
                <w:kern w:val="0"/>
                <w:szCs w:val="22"/>
                <w:highlight w:val="none"/>
              </w:rPr>
              <w:t>2.拟任设计负责人近五年内（至本项目投标截止时间前60个月，时间以合同签订时间为准）在</w:t>
            </w:r>
            <w:r>
              <w:rPr>
                <w:rFonts w:hint="eastAsia" w:ascii="宋体" w:hAnsi="宋体" w:cs="宋体"/>
                <w:snapToGrid w:val="0"/>
                <w:color w:val="auto"/>
                <w:kern w:val="0"/>
                <w:szCs w:val="22"/>
                <w:highlight w:val="none"/>
                <w:lang w:val="en-US" w:eastAsia="zh-CN"/>
              </w:rPr>
              <w:t>类似</w:t>
            </w:r>
            <w:r>
              <w:rPr>
                <w:rFonts w:hint="eastAsia" w:ascii="宋体" w:hAnsi="宋体" w:cs="宋体"/>
                <w:snapToGrid w:val="0"/>
                <w:color w:val="auto"/>
                <w:kern w:val="0"/>
                <w:szCs w:val="22"/>
                <w:highlight w:val="none"/>
              </w:rPr>
              <w:t>布展设计或布展设计施工一体化项目中担任过设计负责人：每个计1分；本项最多计1分。</w:t>
            </w:r>
          </w:p>
          <w:p w14:paraId="48F114EB">
            <w:pPr>
              <w:rPr>
                <w:rFonts w:hint="eastAsia" w:ascii="宋体" w:hAnsi="宋体" w:cs="宋体"/>
                <w:snapToGrid w:val="0"/>
                <w:color w:val="auto"/>
                <w:kern w:val="0"/>
                <w:szCs w:val="22"/>
                <w:highlight w:val="none"/>
              </w:rPr>
            </w:pPr>
            <w:r>
              <w:rPr>
                <w:rFonts w:hint="eastAsia" w:ascii="宋体" w:hAnsi="宋体" w:cs="宋体"/>
                <w:snapToGrid w:val="0"/>
                <w:color w:val="auto"/>
                <w:kern w:val="0"/>
                <w:szCs w:val="22"/>
                <w:highlight w:val="none"/>
                <w:lang w:val="en-US" w:eastAsia="zh-CN"/>
              </w:rPr>
              <w:t>3.</w:t>
            </w:r>
            <w:r>
              <w:rPr>
                <w:rFonts w:hint="eastAsia" w:ascii="宋体" w:hAnsi="宋体" w:cs="宋体"/>
                <w:snapToGrid w:val="0"/>
                <w:color w:val="auto"/>
                <w:kern w:val="0"/>
                <w:szCs w:val="22"/>
                <w:highlight w:val="none"/>
              </w:rPr>
              <w:t>拟任施工项目负责人近五年内（至本项目投标截止时间前60个月，时间以合同签订时间为准）在</w:t>
            </w:r>
            <w:r>
              <w:rPr>
                <w:rFonts w:hint="eastAsia" w:ascii="宋体" w:hAnsi="宋体" w:cs="宋体"/>
                <w:snapToGrid w:val="0"/>
                <w:color w:val="auto"/>
                <w:kern w:val="0"/>
                <w:szCs w:val="22"/>
                <w:highlight w:val="none"/>
                <w:lang w:val="en-US" w:eastAsia="zh-CN"/>
              </w:rPr>
              <w:t>类似</w:t>
            </w:r>
            <w:r>
              <w:rPr>
                <w:rFonts w:hint="eastAsia" w:ascii="宋体" w:hAnsi="宋体" w:cs="宋体"/>
                <w:snapToGrid w:val="0"/>
                <w:color w:val="auto"/>
                <w:kern w:val="0"/>
                <w:szCs w:val="22"/>
                <w:highlight w:val="none"/>
              </w:rPr>
              <w:t>布展施工或布展设计施工一体化项目中担任过施工项目负责人：每个计1分；本项最多计1分。</w:t>
            </w:r>
          </w:p>
          <w:p w14:paraId="6853B74F">
            <w:pPr>
              <w:rPr>
                <w:rFonts w:hint="eastAsia" w:ascii="宋体" w:hAnsi="宋体" w:cs="宋体"/>
                <w:snapToGrid w:val="0"/>
                <w:color w:val="auto"/>
                <w:kern w:val="0"/>
                <w:szCs w:val="22"/>
                <w:highlight w:val="none"/>
              </w:rPr>
            </w:pPr>
            <w:r>
              <w:rPr>
                <w:rFonts w:hint="eastAsia" w:ascii="宋体" w:hAnsi="宋体" w:cs="宋体"/>
                <w:snapToGrid w:val="0"/>
                <w:color w:val="auto"/>
                <w:kern w:val="0"/>
                <w:szCs w:val="22"/>
                <w:highlight w:val="none"/>
              </w:rPr>
              <w:t>说明：提供上述人员在投标单位（或投标单位依法登记的分支机构）近半年内（2024年</w:t>
            </w:r>
            <w:r>
              <w:rPr>
                <w:rFonts w:hint="eastAsia" w:ascii="宋体" w:hAnsi="宋体" w:cs="宋体"/>
                <w:snapToGrid w:val="0"/>
                <w:color w:val="auto"/>
                <w:kern w:val="0"/>
                <w:szCs w:val="22"/>
                <w:highlight w:val="none"/>
                <w:lang w:val="en-US" w:eastAsia="zh-CN"/>
              </w:rPr>
              <w:t>9</w:t>
            </w:r>
            <w:r>
              <w:rPr>
                <w:rFonts w:hint="eastAsia" w:ascii="宋体" w:hAnsi="宋体" w:cs="宋体"/>
                <w:snapToGrid w:val="0"/>
                <w:color w:val="auto"/>
                <w:kern w:val="0"/>
                <w:szCs w:val="22"/>
                <w:highlight w:val="none"/>
              </w:rPr>
              <w:t>月-202</w:t>
            </w:r>
            <w:r>
              <w:rPr>
                <w:rFonts w:hint="eastAsia" w:ascii="宋体" w:hAnsi="宋体" w:cs="宋体"/>
                <w:snapToGrid w:val="0"/>
                <w:color w:val="auto"/>
                <w:kern w:val="0"/>
                <w:szCs w:val="22"/>
                <w:highlight w:val="none"/>
                <w:lang w:eastAsia="zh-CN"/>
              </w:rPr>
              <w:t>5年3月</w:t>
            </w:r>
            <w:r>
              <w:rPr>
                <w:rFonts w:hint="eastAsia" w:ascii="宋体" w:hAnsi="宋体" w:cs="宋体"/>
                <w:snapToGrid w:val="0"/>
                <w:color w:val="auto"/>
                <w:kern w:val="0"/>
                <w:szCs w:val="22"/>
                <w:highlight w:val="none"/>
              </w:rPr>
              <w:t>）任意连续三个月的社保缴纳证明、业绩的合同扫描件，提供的合同不能体现评分因素的需要提供加盖合同业主单位公章的证明材料。</w:t>
            </w:r>
          </w:p>
          <w:p w14:paraId="1060B76A">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lang w:val="en-US" w:eastAsia="zh-CN"/>
              </w:rPr>
              <w:t>4</w:t>
            </w:r>
            <w:r>
              <w:rPr>
                <w:rFonts w:hint="eastAsia" w:ascii="宋体" w:hAnsi="宋体" w:cs="宋体"/>
                <w:snapToGrid w:val="0"/>
                <w:color w:val="auto"/>
                <w:kern w:val="0"/>
                <w:szCs w:val="22"/>
                <w:highlight w:val="none"/>
              </w:rPr>
              <w:t>.除设计负责人外，拟投入本项目的设计团队成员具有以下证书：</w:t>
            </w:r>
          </w:p>
          <w:p w14:paraId="4D303255">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①展示设计：具有展示设计、陈列展览设计、传媒艺术动漫设计、环境艺术、室内设计专业工艺美术师或中级及以上技术职称，计0.5分/人，最多计1分。</w:t>
            </w:r>
          </w:p>
          <w:p w14:paraId="1344005F">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②建筑专业：具有二级注册建筑师资格或建筑工程、建筑装饰、室内设计专业</w:t>
            </w:r>
            <w:r>
              <w:rPr>
                <w:rFonts w:hint="eastAsia" w:ascii="宋体" w:hAnsi="宋体" w:cs="宋体"/>
                <w:snapToGrid w:val="0"/>
                <w:color w:val="auto"/>
                <w:kern w:val="0"/>
                <w:szCs w:val="22"/>
                <w:highlight w:val="none"/>
                <w:lang w:val="en-US" w:eastAsia="zh-CN"/>
              </w:rPr>
              <w:t>高级</w:t>
            </w:r>
            <w:r>
              <w:rPr>
                <w:rFonts w:hint="eastAsia" w:ascii="宋体" w:hAnsi="宋体" w:cs="宋体"/>
                <w:snapToGrid w:val="0"/>
                <w:color w:val="auto"/>
                <w:kern w:val="0"/>
                <w:szCs w:val="22"/>
                <w:highlight w:val="none"/>
              </w:rPr>
              <w:t>及以上技术职称，计0.5分/人，具有一级注册建筑师资格，计1分/人，本项最多计1分。</w:t>
            </w:r>
          </w:p>
          <w:p w14:paraId="500156EC">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③结构专业：具有</w:t>
            </w:r>
            <w:r>
              <w:rPr>
                <w:rFonts w:hint="eastAsia" w:ascii="宋体" w:hAnsi="宋体" w:cs="宋体"/>
                <w:snapToGrid w:val="0"/>
                <w:color w:val="auto"/>
                <w:kern w:val="0"/>
                <w:szCs w:val="22"/>
                <w:highlight w:val="none"/>
                <w:lang w:val="en-US" w:eastAsia="zh-CN"/>
              </w:rPr>
              <w:t>一级</w:t>
            </w:r>
            <w:r>
              <w:rPr>
                <w:rFonts w:hint="eastAsia" w:ascii="宋体" w:hAnsi="宋体" w:cs="宋体"/>
                <w:snapToGrid w:val="0"/>
                <w:color w:val="auto"/>
                <w:kern w:val="0"/>
                <w:szCs w:val="22"/>
                <w:highlight w:val="none"/>
              </w:rPr>
              <w:t>注册结构工程师资格或建筑工程、结构工程专业</w:t>
            </w:r>
            <w:r>
              <w:rPr>
                <w:rFonts w:hint="eastAsia" w:ascii="宋体" w:hAnsi="宋体" w:cs="宋体"/>
                <w:snapToGrid w:val="0"/>
                <w:color w:val="auto"/>
                <w:kern w:val="0"/>
                <w:szCs w:val="22"/>
                <w:highlight w:val="none"/>
                <w:lang w:val="en-US" w:eastAsia="zh-CN"/>
              </w:rPr>
              <w:t>高级</w:t>
            </w:r>
            <w:r>
              <w:rPr>
                <w:rFonts w:hint="eastAsia" w:ascii="宋体" w:hAnsi="宋体" w:cs="宋体"/>
                <w:snapToGrid w:val="0"/>
                <w:color w:val="auto"/>
                <w:kern w:val="0"/>
                <w:szCs w:val="22"/>
                <w:highlight w:val="none"/>
              </w:rPr>
              <w:t>及以上技术职称，计0.5分</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rPr>
              <w:t>本项最多计</w:t>
            </w:r>
            <w:r>
              <w:rPr>
                <w:rFonts w:hint="eastAsia" w:ascii="宋体" w:hAnsi="宋体" w:cs="宋体"/>
                <w:snapToGrid w:val="0"/>
                <w:color w:val="auto"/>
                <w:kern w:val="0"/>
                <w:szCs w:val="22"/>
                <w:highlight w:val="none"/>
                <w:lang w:val="en-US" w:eastAsia="zh-CN"/>
              </w:rPr>
              <w:t>0.5</w:t>
            </w:r>
            <w:r>
              <w:rPr>
                <w:rFonts w:hint="eastAsia" w:ascii="宋体" w:hAnsi="宋体" w:cs="宋体"/>
                <w:snapToGrid w:val="0"/>
                <w:color w:val="auto"/>
                <w:kern w:val="0"/>
                <w:szCs w:val="22"/>
                <w:highlight w:val="none"/>
              </w:rPr>
              <w:t>分。</w:t>
            </w:r>
          </w:p>
          <w:p w14:paraId="118D4E3A">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④电气专业：具有注册电气（供配电）工程师资格或电气、电气工程自动化、自动化专业中级及以上技术职称，计0.5分</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rPr>
              <w:t>本项最多计</w:t>
            </w:r>
            <w:r>
              <w:rPr>
                <w:rFonts w:hint="eastAsia" w:ascii="宋体" w:hAnsi="宋体" w:cs="宋体"/>
                <w:snapToGrid w:val="0"/>
                <w:color w:val="auto"/>
                <w:kern w:val="0"/>
                <w:szCs w:val="22"/>
                <w:highlight w:val="none"/>
                <w:lang w:val="en-US" w:eastAsia="zh-CN"/>
              </w:rPr>
              <w:t>0.5</w:t>
            </w:r>
            <w:r>
              <w:rPr>
                <w:rFonts w:hint="eastAsia" w:ascii="宋体" w:hAnsi="宋体" w:cs="宋体"/>
                <w:snapToGrid w:val="0"/>
                <w:color w:val="auto"/>
                <w:kern w:val="0"/>
                <w:szCs w:val="22"/>
                <w:highlight w:val="none"/>
              </w:rPr>
              <w:t>分。</w:t>
            </w:r>
          </w:p>
          <w:p w14:paraId="25C07786">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⑤多媒体集成：具有计算机技术与软件专业技术资格中级及以上证书，计0.5分/人，最多计1分。</w:t>
            </w:r>
          </w:p>
          <w:p w14:paraId="5EF2841F">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⑥暖通专业：具有注册公用设备（暖通空调）工程师资格或暖通专业中级及以上技术职称，计0.5分</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rPr>
              <w:t>本项最多计</w:t>
            </w:r>
            <w:r>
              <w:rPr>
                <w:rFonts w:hint="eastAsia" w:ascii="宋体" w:hAnsi="宋体" w:cs="宋体"/>
                <w:snapToGrid w:val="0"/>
                <w:color w:val="auto"/>
                <w:kern w:val="0"/>
                <w:szCs w:val="22"/>
                <w:highlight w:val="none"/>
                <w:lang w:val="en-US" w:eastAsia="zh-CN"/>
              </w:rPr>
              <w:t>0.5</w:t>
            </w:r>
            <w:r>
              <w:rPr>
                <w:rFonts w:hint="eastAsia" w:ascii="宋体" w:hAnsi="宋体" w:cs="宋体"/>
                <w:snapToGrid w:val="0"/>
                <w:color w:val="auto"/>
                <w:kern w:val="0"/>
                <w:szCs w:val="22"/>
                <w:highlight w:val="none"/>
              </w:rPr>
              <w:t>分。</w:t>
            </w:r>
          </w:p>
          <w:p w14:paraId="6EBFE910">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⑦造价人员：具有</w:t>
            </w:r>
            <w:r>
              <w:rPr>
                <w:rFonts w:hint="eastAsia" w:ascii="宋体" w:hAnsi="宋体" w:cs="宋体"/>
                <w:snapToGrid w:val="0"/>
                <w:color w:val="auto"/>
                <w:kern w:val="0"/>
                <w:szCs w:val="22"/>
                <w:highlight w:val="none"/>
                <w:lang w:val="en-US" w:eastAsia="zh-CN"/>
              </w:rPr>
              <w:t>一</w:t>
            </w:r>
            <w:r>
              <w:rPr>
                <w:rFonts w:hint="eastAsia" w:ascii="宋体" w:hAnsi="宋体" w:cs="宋体"/>
                <w:snapToGrid w:val="0"/>
                <w:color w:val="auto"/>
                <w:kern w:val="0"/>
                <w:szCs w:val="22"/>
                <w:highlight w:val="none"/>
              </w:rPr>
              <w:t>级注册造价工程师证书或造价专业中级及以上技术职称，计0.5分</w:t>
            </w:r>
            <w:r>
              <w:rPr>
                <w:rFonts w:hint="eastAsia" w:ascii="宋体" w:hAnsi="宋体" w:cs="宋体"/>
                <w:snapToGrid w:val="0"/>
                <w:color w:val="auto"/>
                <w:kern w:val="0"/>
                <w:szCs w:val="22"/>
                <w:highlight w:val="none"/>
                <w:lang w:eastAsia="zh-CN"/>
              </w:rPr>
              <w:t>，</w:t>
            </w:r>
            <w:r>
              <w:rPr>
                <w:rFonts w:hint="eastAsia" w:ascii="宋体" w:hAnsi="宋体" w:cs="宋体"/>
                <w:snapToGrid w:val="0"/>
                <w:color w:val="auto"/>
                <w:kern w:val="0"/>
                <w:szCs w:val="22"/>
                <w:highlight w:val="none"/>
              </w:rPr>
              <w:t>本项最多计</w:t>
            </w:r>
            <w:r>
              <w:rPr>
                <w:rFonts w:hint="eastAsia" w:ascii="宋体" w:hAnsi="宋体" w:cs="宋体"/>
                <w:snapToGrid w:val="0"/>
                <w:color w:val="auto"/>
                <w:kern w:val="0"/>
                <w:szCs w:val="22"/>
                <w:highlight w:val="none"/>
                <w:lang w:val="en-US" w:eastAsia="zh-CN"/>
              </w:rPr>
              <w:t>0.5</w:t>
            </w:r>
            <w:r>
              <w:rPr>
                <w:rFonts w:hint="eastAsia" w:ascii="宋体" w:hAnsi="宋体" w:cs="宋体"/>
                <w:snapToGrid w:val="0"/>
                <w:color w:val="auto"/>
                <w:kern w:val="0"/>
                <w:szCs w:val="22"/>
                <w:highlight w:val="none"/>
              </w:rPr>
              <w:t>分。</w:t>
            </w:r>
          </w:p>
          <w:p w14:paraId="28D6D2FB">
            <w:pPr>
              <w:rPr>
                <w:rFonts w:ascii="宋体" w:hAnsi="宋体" w:cs="宋体"/>
                <w:snapToGrid w:val="0"/>
                <w:color w:val="auto"/>
                <w:kern w:val="0"/>
                <w:szCs w:val="22"/>
                <w:highlight w:val="none"/>
              </w:rPr>
            </w:pPr>
            <w:r>
              <w:rPr>
                <w:rFonts w:hint="eastAsia" w:ascii="宋体" w:hAnsi="宋体" w:cs="宋体"/>
                <w:snapToGrid w:val="0"/>
                <w:color w:val="auto"/>
                <w:kern w:val="0"/>
                <w:szCs w:val="22"/>
                <w:highlight w:val="none"/>
              </w:rPr>
              <w:t>说明：提供上述人员的职称证书、注册证书（如有）、在投标单位（或投标单位依法登记的分支机构）近半年内（2024年</w:t>
            </w:r>
            <w:r>
              <w:rPr>
                <w:rFonts w:hint="eastAsia" w:ascii="宋体" w:hAnsi="宋体" w:cs="宋体"/>
                <w:snapToGrid w:val="0"/>
                <w:color w:val="auto"/>
                <w:kern w:val="0"/>
                <w:szCs w:val="22"/>
                <w:highlight w:val="none"/>
                <w:lang w:val="en-US" w:eastAsia="zh-CN"/>
              </w:rPr>
              <w:t>9</w:t>
            </w:r>
            <w:r>
              <w:rPr>
                <w:rFonts w:hint="eastAsia" w:ascii="宋体" w:hAnsi="宋体" w:cs="宋体"/>
                <w:snapToGrid w:val="0"/>
                <w:color w:val="auto"/>
                <w:kern w:val="0"/>
                <w:szCs w:val="22"/>
                <w:highlight w:val="none"/>
              </w:rPr>
              <w:t>月-202</w:t>
            </w:r>
            <w:r>
              <w:rPr>
                <w:rFonts w:hint="eastAsia" w:ascii="宋体" w:hAnsi="宋体" w:cs="宋体"/>
                <w:snapToGrid w:val="0"/>
                <w:color w:val="auto"/>
                <w:kern w:val="0"/>
                <w:szCs w:val="22"/>
                <w:highlight w:val="none"/>
                <w:lang w:eastAsia="zh-CN"/>
              </w:rPr>
              <w:t>5年3月</w:t>
            </w:r>
            <w:r>
              <w:rPr>
                <w:rFonts w:hint="eastAsia" w:ascii="宋体" w:hAnsi="宋体" w:cs="宋体"/>
                <w:snapToGrid w:val="0"/>
                <w:color w:val="auto"/>
                <w:kern w:val="0"/>
                <w:szCs w:val="22"/>
                <w:highlight w:val="none"/>
              </w:rPr>
              <w:t>）任意连续三个月的社保缴纳证明扫描件，否则不计分。</w:t>
            </w:r>
          </w:p>
        </w:tc>
      </w:tr>
    </w:tbl>
    <w:p w14:paraId="7F2E8C19">
      <w:pPr>
        <w:pStyle w:val="56"/>
        <w:rPr>
          <w:color w:val="auto"/>
          <w:highlight w:val="none"/>
          <w:lang w:val="zh-CN"/>
        </w:rPr>
      </w:pPr>
    </w:p>
    <w:p w14:paraId="2E0361EF">
      <w:pPr>
        <w:autoSpaceDE w:val="0"/>
        <w:autoSpaceDN w:val="0"/>
        <w:adjustRightInd w:val="0"/>
        <w:spacing w:line="360" w:lineRule="auto"/>
        <w:ind w:firstLine="480"/>
        <w:rPr>
          <w:rFonts w:ascii="宋体" w:hAnsi="宋体" w:cs="宋体"/>
          <w:color w:val="auto"/>
          <w:szCs w:val="21"/>
          <w:highlight w:val="none"/>
          <w:lang w:val="zh-CN"/>
        </w:rPr>
      </w:pPr>
      <w:r>
        <w:rPr>
          <w:rFonts w:hint="eastAsia" w:ascii="宋体" w:hAnsi="宋体" w:cs="宋体"/>
          <w:color w:val="auto"/>
          <w:szCs w:val="21"/>
          <w:highlight w:val="none"/>
          <w:lang w:val="zh-CN"/>
        </w:rPr>
        <w:t>评标委员会对各投标人的技术商务充分审核、讨论及评议后，每人一份评分表，进行独自打分并签名。在统计得分时，如发现某一单项评分超过评分细则规定的分值范围，则该张评分表无效。投标人技术部分的得分为评标委员会各成员的有效评分的算术平均值。</w:t>
      </w:r>
    </w:p>
    <w:p w14:paraId="1D4C671D">
      <w:pPr>
        <w:autoSpaceDE w:val="0"/>
        <w:autoSpaceDN w:val="0"/>
        <w:adjustRightInd w:val="0"/>
        <w:spacing w:line="360" w:lineRule="auto"/>
        <w:ind w:firstLine="211" w:firstLineChars="100"/>
        <w:rPr>
          <w:rFonts w:ascii="宋体" w:hAnsi="宋体" w:cs="宋体"/>
          <w:b/>
          <w:color w:val="auto"/>
          <w:szCs w:val="21"/>
          <w:highlight w:val="none"/>
          <w:lang w:val="zh-CN"/>
        </w:rPr>
      </w:pPr>
      <w:r>
        <w:rPr>
          <w:rFonts w:hint="eastAsia" w:ascii="宋体" w:hAnsi="宋体" w:cs="宋体"/>
          <w:b/>
          <w:color w:val="auto"/>
          <w:szCs w:val="21"/>
          <w:highlight w:val="none"/>
          <w:lang w:val="zh-CN"/>
        </w:rPr>
        <w:t>价格</w:t>
      </w:r>
      <w:r>
        <w:rPr>
          <w:rFonts w:hint="eastAsia" w:ascii="宋体" w:hAnsi="宋体" w:cs="宋体"/>
          <w:b/>
          <w:color w:val="auto"/>
          <w:szCs w:val="21"/>
          <w:highlight w:val="none"/>
        </w:rPr>
        <w:t>分</w:t>
      </w:r>
      <w:r>
        <w:rPr>
          <w:rFonts w:hint="eastAsia" w:ascii="宋体" w:hAnsi="宋体" w:cs="宋体"/>
          <w:b/>
          <w:color w:val="auto"/>
          <w:szCs w:val="21"/>
          <w:highlight w:val="none"/>
          <w:lang w:val="zh-CN"/>
        </w:rPr>
        <w:t>（</w:t>
      </w: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lang w:val="zh-CN"/>
        </w:rPr>
        <w:t>分）</w:t>
      </w:r>
    </w:p>
    <w:p w14:paraId="7026BA09">
      <w:pPr>
        <w:adjustRightInd w:val="0"/>
        <w:snapToGrid w:val="0"/>
        <w:spacing w:line="360" w:lineRule="auto"/>
        <w:ind w:firstLine="422" w:firstLineChars="200"/>
        <w:rPr>
          <w:rFonts w:ascii="宋体" w:hAnsi="宋体" w:cs="宋体"/>
          <w:b/>
          <w:bCs/>
          <w:color w:val="auto"/>
          <w:szCs w:val="21"/>
          <w:highlight w:val="none"/>
          <w:lang w:val="zh-CN"/>
        </w:rPr>
      </w:pPr>
      <w:r>
        <w:rPr>
          <w:rFonts w:hint="eastAsia" w:ascii="宋体" w:hAnsi="宋体" w:cs="宋体"/>
          <w:b/>
          <w:bCs/>
          <w:color w:val="auto"/>
          <w:szCs w:val="21"/>
          <w:highlight w:val="none"/>
        </w:rPr>
        <w:t>1.</w:t>
      </w:r>
      <w:r>
        <w:rPr>
          <w:rFonts w:hint="eastAsia" w:ascii="宋体" w:hAnsi="宋体" w:cs="宋体"/>
          <w:b/>
          <w:bCs/>
          <w:color w:val="auto"/>
          <w:szCs w:val="21"/>
          <w:highlight w:val="none"/>
          <w:lang w:val="zh-CN"/>
        </w:rPr>
        <w:t>投标价格的合理性：</w:t>
      </w:r>
    </w:p>
    <w:p w14:paraId="1D96A29A">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分析总报价及各个分项报价是否合理，报价范围是否完整，有否重大错漏项，评标委员会认为投标报价出现异常时，有权要求投标人在评标期间对投标报价的详细组成作出解释和澄清，并确认其投标报价是否有效。</w:t>
      </w:r>
    </w:p>
    <w:p w14:paraId="58CE17BF">
      <w:pPr>
        <w:adjustRightInd w:val="0"/>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2.报价分计算</w:t>
      </w:r>
    </w:p>
    <w:p w14:paraId="0897B54A">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各投标人的报价得分统一采用低价优先法计算，即满足采购文件要求且投标价格最低的投标报价为评标基准价，其价格分为满分</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r>
        <w:rPr>
          <w:rFonts w:hint="eastAsia" w:ascii="宋体" w:hAnsi="宋体" w:cs="宋体"/>
          <w:color w:val="auto"/>
          <w:szCs w:val="21"/>
          <w:highlight w:val="none"/>
          <w:lang w:val="zh-CN"/>
        </w:rPr>
        <w:t>。其他投标人的报价得分统一按照下列公式计算：</w:t>
      </w:r>
    </w:p>
    <w:p w14:paraId="6218787B">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投标报价得分=（评标基准价/投标报价）×价格权值（即</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lang w:val="zh-CN"/>
        </w:rPr>
        <w:t>%）×100</w:t>
      </w:r>
    </w:p>
    <w:p w14:paraId="17E04392">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关于价格分计算的说明：</w:t>
      </w:r>
    </w:p>
    <w:p w14:paraId="7643193C">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①根据《政府采购促进中小企业发展管理办法》（财库[20</w:t>
      </w:r>
      <w:r>
        <w:rPr>
          <w:rFonts w:hint="eastAsia" w:ascii="宋体" w:hAnsi="宋体" w:cs="宋体"/>
          <w:color w:val="auto"/>
          <w:szCs w:val="21"/>
          <w:highlight w:val="none"/>
        </w:rPr>
        <w:t>20</w:t>
      </w:r>
      <w:r>
        <w:rPr>
          <w:rFonts w:hint="eastAsia" w:ascii="宋体" w:hAnsi="宋体" w:cs="宋体"/>
          <w:color w:val="auto"/>
          <w:szCs w:val="21"/>
          <w:highlight w:val="none"/>
          <w:lang w:val="zh-CN"/>
        </w:rPr>
        <w:t>]</w:t>
      </w:r>
      <w:r>
        <w:rPr>
          <w:rFonts w:hint="eastAsia" w:ascii="宋体" w:hAnsi="宋体" w:cs="宋体"/>
          <w:color w:val="auto"/>
          <w:szCs w:val="21"/>
          <w:highlight w:val="none"/>
        </w:rPr>
        <w:t>46</w:t>
      </w:r>
      <w:r>
        <w:rPr>
          <w:rFonts w:hint="eastAsia" w:ascii="宋体" w:hAnsi="宋体" w:cs="宋体"/>
          <w:color w:val="auto"/>
          <w:szCs w:val="21"/>
          <w:highlight w:val="none"/>
          <w:lang w:val="zh-CN"/>
        </w:rPr>
        <w:t>号）的规定，对于经主管预算单位统筹后未预留份额专门面向中小企业采购的采购项目，以及预留份额项目中的非预留部分采购包，采购人、采购代理机构应当对符合本办法规定的小微企业报价给予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lang w:val="zh-CN"/>
        </w:rPr>
        <w:t>%的扣除，用扣除后的价格参与评审。</w:t>
      </w:r>
    </w:p>
    <w:p w14:paraId="12D9EDE4">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小型、微型企业与大中型企业和其他自然人、法人或者其他组织组成联合体共同参加非专门面向中小企业的政府采购活动。联合协议中约定，小型、微型企业的协议合同金额占到联合体协议合同总金额30%以上的，可给予联合体4%的投标价格扣除。</w:t>
      </w:r>
    </w:p>
    <w:p w14:paraId="3DF3D81B">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联合体各方均为小型、微型企业的，联合体视同为小型、微型企业。</w:t>
      </w:r>
    </w:p>
    <w:p w14:paraId="552140E2">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投标文件中须提供投标人、投标产品制造商的</w:t>
      </w:r>
      <w:r>
        <w:rPr>
          <w:rFonts w:hint="eastAsia" w:ascii="宋体" w:hAnsi="宋体" w:cs="宋体"/>
          <w:bCs/>
          <w:snapToGrid w:val="0"/>
          <w:color w:val="auto"/>
          <w:kern w:val="0"/>
          <w:szCs w:val="21"/>
          <w:highlight w:val="none"/>
        </w:rPr>
        <w:t>中小企业声明函</w:t>
      </w:r>
      <w:r>
        <w:rPr>
          <w:rFonts w:hint="eastAsia" w:ascii="宋体" w:hAnsi="宋体" w:cs="宋体"/>
          <w:color w:val="auto"/>
          <w:szCs w:val="21"/>
          <w:highlight w:val="none"/>
          <w:lang w:val="zh-CN"/>
        </w:rPr>
        <w:t>（投标人在填写该声明函前，须先自查本企业及投标产品制造商是否满足小微企业认定标准，可通过“国家企业信用信息公示系统——小微企业名录”页面查询），未提供完整证明材料的，投标报价不予扣减。</w:t>
      </w:r>
    </w:p>
    <w:p w14:paraId="0FDE9441">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②根据《关于政府采购支持监狱企业发展有关问题的通知》（财库[2014]68号）的规定，投标人如为监狱企业且所投产品为小型或微型企业生产的，其投标报价扣除6%后参与评审。</w:t>
      </w:r>
    </w:p>
    <w:p w14:paraId="1A860A42">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投标文件中须提供：投标人的省级以上监狱管理局、戒毒管理局(含新疆生产建设兵团)出具的属于监狱企业的证明文件，未提供完整证明材料的，投标报价不予扣减。</w:t>
      </w:r>
    </w:p>
    <w:p w14:paraId="75EF2D6C">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③残疾人福利性单位视同小型、微型企业，享受预留份额、评审中价格扣除等促进中小企业发展的政府采购政策。符合条件的残疾人福利性单位在参加政府采购活动时，应当提供本通知规定的《残疾人福利性单位声明函》（见附件），并对声明的真实性负责。</w:t>
      </w:r>
    </w:p>
    <w:p w14:paraId="67B40F83">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享受政府采购支持政策的残疾人福利性单位应当同时满足以下条件：</w:t>
      </w:r>
    </w:p>
    <w:p w14:paraId="60B7ADE2">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（一）安置的残疾人占本单位在职职工人数的比例不低于25%（含25%），并且安置的残疾人人数不少于10人（含10人）；</w:t>
      </w:r>
    </w:p>
    <w:p w14:paraId="31E17E39">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（二）依法与安置的每位残疾人签订了一年以上（含一年）的劳动合同或服务协议；</w:t>
      </w:r>
    </w:p>
    <w:p w14:paraId="3D9F14B7">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（三）为安置的每位残疾人按月足额缴纳了基本养老保险、基本医疗保险、失业保险、工伤保险和生育保险等社会保险费；</w:t>
      </w:r>
    </w:p>
    <w:p w14:paraId="0F291457">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（四）通过银行等金融机构向安置的每位残疾人，按月支付了不低于单位所在区县适用的经省级人民政府批准的月最低工资标准的工资；</w:t>
      </w:r>
    </w:p>
    <w:p w14:paraId="193094B5">
      <w:pPr>
        <w:adjustRightInd w:val="0"/>
        <w:snapToGrid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（五）提供本单位制造的货物、承担的工程或者服务（以下简称产品），或者提供其他残疾人福利性单位制造的货物（不包括使用非残疾人福利性单位注册商标的货物）。</w:t>
      </w:r>
    </w:p>
    <w:p w14:paraId="34734373">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color w:val="auto"/>
          <w:szCs w:val="21"/>
          <w:highlight w:val="none"/>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840FFFA">
      <w:pPr>
        <w:widowControl/>
        <w:spacing w:line="360" w:lineRule="auto"/>
        <w:ind w:firstLine="211" w:firstLineChars="100"/>
        <w:rPr>
          <w:rFonts w:ascii="宋体" w:hAnsi="宋体" w:cs="宋体"/>
          <w:b/>
          <w:bCs/>
          <w:color w:val="auto"/>
          <w:kern w:val="0"/>
          <w:szCs w:val="21"/>
          <w:highlight w:val="none"/>
        </w:rPr>
      </w:pPr>
      <w:r>
        <w:rPr>
          <w:rFonts w:hint="eastAsia" w:ascii="宋体" w:hAnsi="宋体" w:cs="宋体"/>
          <w:b/>
          <w:bCs/>
          <w:color w:val="auto"/>
          <w:kern w:val="0"/>
          <w:szCs w:val="21"/>
          <w:highlight w:val="none"/>
        </w:rPr>
        <w:t>（四）其他</w:t>
      </w:r>
    </w:p>
    <w:p w14:paraId="4D660C9E">
      <w:pPr>
        <w:widowControl/>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投标人评标综合得分=商务分+技术分+价格分</w:t>
      </w:r>
    </w:p>
    <w:p w14:paraId="3B676929">
      <w:pPr>
        <w:adjustRightInd w:val="0"/>
        <w:snapToGrid w:val="0"/>
        <w:spacing w:line="36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评分时保留小数点后1位小数，计算评分值时保留小数点后2位小数，由评标委员会当场统一计算。</w:t>
      </w:r>
    </w:p>
    <w:p w14:paraId="5C80D83F">
      <w:pPr>
        <w:adjustRightInd w:val="0"/>
        <w:snapToGrid w:val="0"/>
        <w:spacing w:line="360" w:lineRule="auto"/>
        <w:ind w:firstLine="422" w:firstLineChars="20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报价是中标的一个重要因素，但最低报价不是中标的唯一依据。</w:t>
      </w:r>
    </w:p>
    <w:p w14:paraId="3B9ABC5C">
      <w:pPr>
        <w:pStyle w:val="19"/>
        <w:ind w:firstLine="422" w:firstLineChars="200"/>
        <w:rPr>
          <w:rFonts w:ascii="宋体" w:hAnsi="宋体" w:eastAsia="宋体" w:cs="宋体"/>
          <w:b/>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评标委员会根据最终得分由高到低，推荐</w:t>
      </w:r>
      <w:r>
        <w:rPr>
          <w:rFonts w:hint="eastAsia" w:ascii="宋体" w:hAnsi="宋体" w:eastAsia="宋体" w:cs="宋体"/>
          <w:b/>
          <w:snapToGrid w:val="0"/>
          <w:color w:val="auto"/>
          <w:kern w:val="0"/>
          <w:sz w:val="21"/>
          <w:szCs w:val="21"/>
          <w:highlight w:val="none"/>
          <w:lang w:val="en-US" w:eastAsia="zh-CN"/>
        </w:rPr>
        <w:t>3</w:t>
      </w:r>
      <w:r>
        <w:rPr>
          <w:rFonts w:hint="eastAsia" w:ascii="宋体" w:hAnsi="宋体" w:eastAsia="宋体" w:cs="宋体"/>
          <w:b/>
          <w:snapToGrid w:val="0"/>
          <w:color w:val="auto"/>
          <w:kern w:val="0"/>
          <w:sz w:val="21"/>
          <w:szCs w:val="21"/>
          <w:highlight w:val="none"/>
        </w:rPr>
        <w:t>名中标候选人。</w:t>
      </w:r>
    </w:p>
    <w:p w14:paraId="4F3D8EF1">
      <w:pPr>
        <w:adjustRightInd w:val="0"/>
        <w:snapToGrid w:val="0"/>
        <w:spacing w:before="120" w:beforeLines="50" w:after="120" w:afterLines="50" w:line="360" w:lineRule="auto"/>
        <w:jc w:val="center"/>
        <w:outlineLvl w:val="0"/>
        <w:rPr>
          <w:rFonts w:ascii="宋体" w:hAnsi="宋体" w:cs="宋体"/>
          <w:b/>
          <w:bCs/>
          <w:color w:val="auto"/>
          <w:sz w:val="32"/>
          <w:szCs w:val="32"/>
          <w:highlight w:val="none"/>
        </w:rPr>
      </w:pPr>
      <w:r>
        <w:rPr>
          <w:rFonts w:hint="eastAsia" w:ascii="宋体" w:hAnsi="宋体" w:cs="宋体"/>
          <w:color w:val="auto"/>
          <w:szCs w:val="21"/>
          <w:highlight w:val="none"/>
        </w:rPr>
        <w:br w:type="page"/>
      </w:r>
      <w:bookmarkStart w:id="134" w:name="_Toc21580"/>
      <w:bookmarkStart w:id="135" w:name="_Toc251566668"/>
      <w:bookmarkStart w:id="136" w:name="_Toc20302"/>
      <w:bookmarkStart w:id="137" w:name="_Toc1306"/>
      <w:bookmarkStart w:id="138" w:name="_Toc234764855"/>
      <w:bookmarkStart w:id="139" w:name="_Toc249760797"/>
      <w:bookmarkStart w:id="140" w:name="_Toc85359520"/>
      <w:r>
        <w:rPr>
          <w:rFonts w:hint="eastAsia" w:ascii="宋体" w:hAnsi="宋体" w:cs="宋体"/>
          <w:b/>
          <w:color w:val="auto"/>
          <w:sz w:val="30"/>
          <w:szCs w:val="30"/>
          <w:highlight w:val="none"/>
        </w:rPr>
        <w:t>第六部分  投标文件格式</w:t>
      </w:r>
      <w:bookmarkEnd w:id="134"/>
      <w:bookmarkEnd w:id="135"/>
      <w:bookmarkEnd w:id="136"/>
      <w:bookmarkEnd w:id="137"/>
      <w:bookmarkEnd w:id="138"/>
      <w:bookmarkEnd w:id="139"/>
      <w:bookmarkEnd w:id="140"/>
    </w:p>
    <w:p w14:paraId="65A190C2">
      <w:pPr>
        <w:autoSpaceDE w:val="0"/>
        <w:autoSpaceDN w:val="0"/>
        <w:adjustRightInd w:val="0"/>
        <w:spacing w:line="360" w:lineRule="auto"/>
        <w:ind w:firstLine="480"/>
        <w:rPr>
          <w:rFonts w:ascii="宋体" w:hAnsi="宋体" w:cs="宋体"/>
          <w:color w:val="auto"/>
          <w:sz w:val="24"/>
          <w:highlight w:val="none"/>
        </w:rPr>
      </w:pPr>
    </w:p>
    <w:p w14:paraId="77E2AEED">
      <w:pPr>
        <w:pStyle w:val="24"/>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说明：</w:t>
      </w:r>
    </w:p>
    <w:p w14:paraId="503B2393">
      <w:pPr>
        <w:pStyle w:val="24"/>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1．投标文件由投标人根据采购文件要求参照附件格式编制。</w:t>
      </w:r>
    </w:p>
    <w:p w14:paraId="5971E9FF">
      <w:pPr>
        <w:pStyle w:val="24"/>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2．投标人根据实际情况填写。</w:t>
      </w:r>
    </w:p>
    <w:p w14:paraId="2E88DC52">
      <w:pPr>
        <w:pStyle w:val="24"/>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3．采购文件中没有参考格式的，投标人自行编制。</w:t>
      </w:r>
    </w:p>
    <w:p w14:paraId="74616571">
      <w:pPr>
        <w:autoSpaceDE w:val="0"/>
        <w:autoSpaceDN w:val="0"/>
        <w:adjustRightInd w:val="0"/>
        <w:snapToGrid w:val="0"/>
        <w:spacing w:line="360" w:lineRule="auto"/>
        <w:outlineLvl w:val="1"/>
        <w:rPr>
          <w:rFonts w:ascii="宋体" w:hAnsi="宋体" w:cs="宋体"/>
          <w:bCs/>
          <w:snapToGrid w:val="0"/>
          <w:color w:val="auto"/>
          <w:kern w:val="0"/>
          <w:szCs w:val="21"/>
          <w:highlight w:val="none"/>
        </w:rPr>
      </w:pPr>
      <w:r>
        <w:rPr>
          <w:rFonts w:hint="eastAsia" w:ascii="宋体" w:hAnsi="宋体" w:cs="宋体"/>
          <w:b/>
          <w:bCs/>
          <w:color w:val="auto"/>
          <w:sz w:val="32"/>
          <w:szCs w:val="32"/>
          <w:highlight w:val="none"/>
        </w:rPr>
        <w:br w:type="page"/>
      </w:r>
      <w:bookmarkStart w:id="141" w:name="_Toc1647"/>
      <w:bookmarkStart w:id="142" w:name="_Toc27220"/>
      <w:bookmarkStart w:id="143" w:name="_Toc85359521"/>
      <w:bookmarkStart w:id="144" w:name="_Toc26582"/>
      <w:bookmarkStart w:id="145" w:name="_Toc22468"/>
      <w:r>
        <w:rPr>
          <w:rFonts w:hint="eastAsia" w:ascii="宋体" w:hAnsi="宋体" w:cs="宋体"/>
          <w:b/>
          <w:bCs/>
          <w:color w:val="auto"/>
          <w:sz w:val="24"/>
          <w:highlight w:val="none"/>
        </w:rPr>
        <w:t>一、</w:t>
      </w:r>
      <w:bookmarkEnd w:id="141"/>
      <w:bookmarkEnd w:id="142"/>
      <w:bookmarkStart w:id="146" w:name="_Toc32101"/>
      <w:bookmarkStart w:id="147" w:name="_Toc27346"/>
      <w:r>
        <w:rPr>
          <w:rFonts w:hint="eastAsia" w:ascii="宋体" w:hAnsi="宋体" w:cs="宋体"/>
          <w:b/>
          <w:bCs/>
          <w:color w:val="auto"/>
          <w:sz w:val="24"/>
          <w:highlight w:val="none"/>
        </w:rPr>
        <w:t>投标文件封面（格式供参考）</w:t>
      </w:r>
      <w:bookmarkEnd w:id="143"/>
      <w:bookmarkEnd w:id="144"/>
      <w:bookmarkEnd w:id="145"/>
      <w:bookmarkEnd w:id="146"/>
      <w:bookmarkEnd w:id="147"/>
    </w:p>
    <w:p w14:paraId="569AA385">
      <w:pPr>
        <w:autoSpaceDE w:val="0"/>
        <w:autoSpaceDN w:val="0"/>
        <w:adjustRightInd w:val="0"/>
        <w:rPr>
          <w:rFonts w:ascii="宋体" w:hAnsi="宋体" w:cs="宋体"/>
          <w:bCs/>
          <w:color w:val="auto"/>
          <w:highlight w:val="none"/>
        </w:rPr>
      </w:pPr>
    </w:p>
    <w:p w14:paraId="42984ABB">
      <w:pPr>
        <w:autoSpaceDE w:val="0"/>
        <w:autoSpaceDN w:val="0"/>
        <w:adjustRightInd w:val="0"/>
        <w:rPr>
          <w:rFonts w:ascii="宋体" w:hAnsi="宋体" w:cs="宋体"/>
          <w:bCs/>
          <w:color w:val="auto"/>
          <w:highlight w:val="none"/>
        </w:rPr>
      </w:pPr>
      <w:r>
        <w:rPr>
          <w:rFonts w:hint="eastAsia" w:ascii="宋体" w:hAnsi="宋体" w:cs="宋体"/>
          <w:bCs/>
          <w:color w:val="auto"/>
          <w:highlight w:val="none"/>
        </w:rPr>
        <w:t>1.1报价文件封面格式</w:t>
      </w:r>
    </w:p>
    <w:p w14:paraId="41D4E0FC">
      <w:pPr>
        <w:autoSpaceDE w:val="0"/>
        <w:autoSpaceDN w:val="0"/>
        <w:adjustRightInd w:val="0"/>
        <w:spacing w:line="360" w:lineRule="auto"/>
        <w:jc w:val="right"/>
        <w:rPr>
          <w:rFonts w:ascii="宋体" w:hAnsi="宋体" w:cs="宋体"/>
          <w:b/>
          <w:color w:val="auto"/>
          <w:sz w:val="28"/>
          <w:szCs w:val="28"/>
          <w:highlight w:val="none"/>
        </w:rPr>
      </w:pPr>
    </w:p>
    <w:p w14:paraId="21CC1823">
      <w:pPr>
        <w:autoSpaceDE w:val="0"/>
        <w:autoSpaceDN w:val="0"/>
        <w:adjustRightInd w:val="0"/>
        <w:spacing w:line="360" w:lineRule="auto"/>
        <w:jc w:val="center"/>
        <w:rPr>
          <w:rFonts w:ascii="宋体" w:hAnsi="宋体" w:cs="宋体"/>
          <w:b/>
          <w:color w:val="auto"/>
          <w:sz w:val="32"/>
          <w:szCs w:val="32"/>
          <w:highlight w:val="none"/>
        </w:rPr>
      </w:pPr>
    </w:p>
    <w:p w14:paraId="5182F415">
      <w:pPr>
        <w:autoSpaceDE w:val="0"/>
        <w:autoSpaceDN w:val="0"/>
        <w:adjustRightInd w:val="0"/>
        <w:spacing w:line="360" w:lineRule="auto"/>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lang w:eastAsia="zh-CN"/>
        </w:rPr>
        <w:t>乌鲁木齐市城市规划馆展陈更新服务项目</w:t>
      </w:r>
    </w:p>
    <w:p w14:paraId="1125DBBE">
      <w:pPr>
        <w:autoSpaceDE w:val="0"/>
        <w:autoSpaceDN w:val="0"/>
        <w:adjustRightInd w:val="0"/>
        <w:spacing w:line="360" w:lineRule="auto"/>
        <w:jc w:val="center"/>
        <w:rPr>
          <w:rFonts w:ascii="宋体" w:hAnsi="宋体" w:cs="宋体"/>
          <w:color w:val="auto"/>
          <w:sz w:val="32"/>
          <w:szCs w:val="32"/>
          <w:highlight w:val="none"/>
          <w:u w:val="single"/>
        </w:rPr>
      </w:pPr>
    </w:p>
    <w:p w14:paraId="7D09C7E5">
      <w:pPr>
        <w:autoSpaceDE w:val="0"/>
        <w:autoSpaceDN w:val="0"/>
        <w:adjustRightInd w:val="0"/>
        <w:spacing w:line="360" w:lineRule="auto"/>
        <w:jc w:val="center"/>
        <w:rPr>
          <w:rFonts w:ascii="宋体" w:hAnsi="宋体" w:cs="宋体"/>
          <w:b/>
          <w:color w:val="auto"/>
          <w:sz w:val="32"/>
          <w:szCs w:val="32"/>
          <w:highlight w:val="none"/>
        </w:rPr>
      </w:pPr>
    </w:p>
    <w:p w14:paraId="2C210650">
      <w:pPr>
        <w:spacing w:line="360" w:lineRule="auto"/>
        <w:jc w:val="center"/>
        <w:rPr>
          <w:rFonts w:ascii="宋体" w:hAnsi="宋体" w:cs="宋体"/>
          <w:color w:val="auto"/>
          <w:spacing w:val="40"/>
          <w:w w:val="90"/>
          <w:sz w:val="96"/>
          <w:szCs w:val="96"/>
          <w:highlight w:val="none"/>
          <w:lang w:bidi="th-TH"/>
        </w:rPr>
      </w:pPr>
      <w:r>
        <w:rPr>
          <w:rFonts w:hint="eastAsia" w:ascii="宋体" w:hAnsi="宋体" w:cs="宋体"/>
          <w:color w:val="auto"/>
          <w:spacing w:val="40"/>
          <w:w w:val="90"/>
          <w:sz w:val="96"/>
          <w:szCs w:val="96"/>
          <w:highlight w:val="none"/>
          <w:lang w:bidi="th-TH"/>
        </w:rPr>
        <w:t>投 标 文 件</w:t>
      </w:r>
    </w:p>
    <w:p w14:paraId="60E2D120">
      <w:pPr>
        <w:autoSpaceDE w:val="0"/>
        <w:autoSpaceDN w:val="0"/>
        <w:adjustRightInd w:val="0"/>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（报价文件）</w:t>
      </w:r>
    </w:p>
    <w:p w14:paraId="6EECDED8">
      <w:pPr>
        <w:autoSpaceDE w:val="0"/>
        <w:autoSpaceDN w:val="0"/>
        <w:adjustRightInd w:val="0"/>
        <w:spacing w:line="360" w:lineRule="auto"/>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采购编号：</w:t>
      </w:r>
      <w:r>
        <w:rPr>
          <w:rFonts w:hint="eastAsia" w:ascii="宋体" w:hAnsi="宋体" w:cs="宋体"/>
          <w:b/>
          <w:color w:val="auto"/>
          <w:sz w:val="32"/>
          <w:szCs w:val="32"/>
          <w:highlight w:val="none"/>
          <w:lang w:eastAsia="zh-CN"/>
        </w:rPr>
        <w:t>ZFCGHY-20250009（1）</w:t>
      </w:r>
    </w:p>
    <w:p w14:paraId="1101F708">
      <w:pPr>
        <w:autoSpaceDE w:val="0"/>
        <w:autoSpaceDN w:val="0"/>
        <w:adjustRightInd w:val="0"/>
        <w:spacing w:line="360" w:lineRule="auto"/>
        <w:rPr>
          <w:rFonts w:ascii="宋体" w:hAnsi="宋体" w:cs="宋体"/>
          <w:b/>
          <w:color w:val="auto"/>
          <w:sz w:val="32"/>
          <w:szCs w:val="32"/>
          <w:highlight w:val="none"/>
        </w:rPr>
      </w:pPr>
    </w:p>
    <w:p w14:paraId="6D2D2953">
      <w:pPr>
        <w:autoSpaceDE w:val="0"/>
        <w:autoSpaceDN w:val="0"/>
        <w:adjustRightInd w:val="0"/>
        <w:spacing w:line="360" w:lineRule="auto"/>
        <w:rPr>
          <w:rFonts w:ascii="宋体" w:hAnsi="宋体" w:cs="宋体"/>
          <w:b/>
          <w:color w:val="auto"/>
          <w:sz w:val="32"/>
          <w:szCs w:val="32"/>
          <w:highlight w:val="none"/>
        </w:rPr>
      </w:pPr>
    </w:p>
    <w:p w14:paraId="07C744B1">
      <w:pPr>
        <w:autoSpaceDE w:val="0"/>
        <w:autoSpaceDN w:val="0"/>
        <w:adjustRightInd w:val="0"/>
        <w:spacing w:line="360" w:lineRule="auto"/>
        <w:rPr>
          <w:rFonts w:ascii="宋体" w:hAnsi="宋体" w:cs="宋体"/>
          <w:b/>
          <w:color w:val="auto"/>
          <w:sz w:val="32"/>
          <w:szCs w:val="32"/>
          <w:highlight w:val="none"/>
        </w:rPr>
      </w:pPr>
    </w:p>
    <w:p w14:paraId="11746BCF">
      <w:pPr>
        <w:autoSpaceDE w:val="0"/>
        <w:autoSpaceDN w:val="0"/>
        <w:adjustRightInd w:val="0"/>
        <w:spacing w:line="360" w:lineRule="auto"/>
        <w:rPr>
          <w:rFonts w:ascii="宋体" w:hAnsi="宋体" w:cs="宋体"/>
          <w:b/>
          <w:color w:val="auto"/>
          <w:sz w:val="32"/>
          <w:szCs w:val="32"/>
          <w:highlight w:val="none"/>
        </w:rPr>
      </w:pPr>
    </w:p>
    <w:p w14:paraId="53653B4F">
      <w:pPr>
        <w:autoSpaceDE w:val="0"/>
        <w:autoSpaceDN w:val="0"/>
        <w:adjustRightInd w:val="0"/>
        <w:spacing w:line="360" w:lineRule="auto"/>
        <w:rPr>
          <w:rFonts w:ascii="宋体" w:hAnsi="宋体" w:cs="宋体"/>
          <w:b/>
          <w:color w:val="auto"/>
          <w:sz w:val="32"/>
          <w:szCs w:val="32"/>
          <w:highlight w:val="none"/>
        </w:rPr>
      </w:pPr>
    </w:p>
    <w:p w14:paraId="2D2F2905">
      <w:pPr>
        <w:autoSpaceDE w:val="0"/>
        <w:autoSpaceDN w:val="0"/>
        <w:adjustRightInd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投标人名称（盖章）：</w:t>
      </w:r>
    </w:p>
    <w:p w14:paraId="4022ECEA">
      <w:pPr>
        <w:autoSpaceDE w:val="0"/>
        <w:autoSpaceDN w:val="0"/>
        <w:adjustRightInd w:val="0"/>
        <w:spacing w:line="360" w:lineRule="auto"/>
        <w:rPr>
          <w:rFonts w:ascii="宋体" w:hAnsi="宋体" w:cs="宋体"/>
          <w:b/>
          <w:color w:val="auto"/>
          <w:sz w:val="32"/>
          <w:szCs w:val="32"/>
          <w:highlight w:val="none"/>
        </w:rPr>
      </w:pPr>
    </w:p>
    <w:p w14:paraId="0B13B4DD">
      <w:pPr>
        <w:autoSpaceDE w:val="0"/>
        <w:autoSpaceDN w:val="0"/>
        <w:adjustRightInd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 xml:space="preserve">法定代表人或授权代表(签字或盖章)： </w:t>
      </w:r>
    </w:p>
    <w:p w14:paraId="532292AB">
      <w:pPr>
        <w:autoSpaceDE w:val="0"/>
        <w:autoSpaceDN w:val="0"/>
        <w:adjustRightInd w:val="0"/>
        <w:spacing w:line="360" w:lineRule="auto"/>
        <w:rPr>
          <w:rFonts w:ascii="宋体" w:hAnsi="宋体" w:cs="宋体"/>
          <w:b/>
          <w:color w:val="auto"/>
          <w:sz w:val="32"/>
          <w:szCs w:val="32"/>
          <w:highlight w:val="none"/>
        </w:rPr>
      </w:pPr>
    </w:p>
    <w:p w14:paraId="532A8DB4">
      <w:pPr>
        <w:autoSpaceDE w:val="0"/>
        <w:autoSpaceDN w:val="0"/>
        <w:adjustRightIn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时间：    年   月   日</w:t>
      </w:r>
    </w:p>
    <w:p w14:paraId="390F6FF6">
      <w:pPr>
        <w:autoSpaceDE w:val="0"/>
        <w:autoSpaceDN w:val="0"/>
        <w:adjustRightInd w:val="0"/>
        <w:rPr>
          <w:rFonts w:ascii="宋体" w:hAnsi="宋体" w:cs="宋体"/>
          <w:bCs/>
          <w:color w:val="auto"/>
          <w:highlight w:val="none"/>
        </w:rPr>
      </w:pPr>
      <w:r>
        <w:rPr>
          <w:rFonts w:hint="eastAsia" w:ascii="宋体" w:hAnsi="宋体" w:cs="宋体"/>
          <w:color w:val="auto"/>
          <w:highlight w:val="none"/>
        </w:rPr>
        <w:br w:type="page"/>
      </w:r>
      <w:r>
        <w:rPr>
          <w:rFonts w:hint="eastAsia" w:ascii="宋体" w:hAnsi="宋体" w:cs="宋体"/>
          <w:bCs/>
          <w:color w:val="auto"/>
          <w:highlight w:val="none"/>
        </w:rPr>
        <w:t>1.2资格文件/商务技术文件封面格式</w:t>
      </w:r>
    </w:p>
    <w:p w14:paraId="3C4810C5">
      <w:pPr>
        <w:autoSpaceDE w:val="0"/>
        <w:autoSpaceDN w:val="0"/>
        <w:adjustRightInd w:val="0"/>
        <w:rPr>
          <w:rFonts w:ascii="宋体" w:hAnsi="宋体" w:cs="宋体"/>
          <w:b/>
          <w:bCs/>
          <w:color w:val="auto"/>
          <w:highlight w:val="none"/>
        </w:rPr>
      </w:pPr>
    </w:p>
    <w:p w14:paraId="252EDA06">
      <w:pPr>
        <w:autoSpaceDE w:val="0"/>
        <w:autoSpaceDN w:val="0"/>
        <w:adjustRightInd w:val="0"/>
        <w:spacing w:line="360" w:lineRule="auto"/>
        <w:jc w:val="right"/>
        <w:rPr>
          <w:rFonts w:ascii="宋体" w:hAnsi="宋体" w:cs="宋体"/>
          <w:b/>
          <w:color w:val="auto"/>
          <w:sz w:val="28"/>
          <w:szCs w:val="28"/>
          <w:highlight w:val="none"/>
        </w:rPr>
      </w:pPr>
    </w:p>
    <w:p w14:paraId="134B13EE">
      <w:pPr>
        <w:autoSpaceDE w:val="0"/>
        <w:autoSpaceDN w:val="0"/>
        <w:adjustRightInd w:val="0"/>
        <w:spacing w:line="360" w:lineRule="auto"/>
        <w:jc w:val="center"/>
        <w:rPr>
          <w:rFonts w:ascii="宋体" w:hAnsi="宋体" w:cs="宋体"/>
          <w:b/>
          <w:color w:val="auto"/>
          <w:sz w:val="32"/>
          <w:szCs w:val="32"/>
          <w:highlight w:val="none"/>
        </w:rPr>
      </w:pPr>
    </w:p>
    <w:p w14:paraId="2B92E8C3">
      <w:pPr>
        <w:autoSpaceDE w:val="0"/>
        <w:autoSpaceDN w:val="0"/>
        <w:adjustRightInd w:val="0"/>
        <w:spacing w:line="360" w:lineRule="auto"/>
        <w:jc w:val="center"/>
        <w:rPr>
          <w:rFonts w:hint="eastAsia" w:ascii="宋体" w:hAnsi="宋体" w:eastAsia="宋体" w:cs="宋体"/>
          <w:b/>
          <w:color w:val="auto"/>
          <w:sz w:val="36"/>
          <w:szCs w:val="36"/>
          <w:highlight w:val="none"/>
          <w:lang w:eastAsia="zh-CN"/>
        </w:rPr>
      </w:pPr>
      <w:r>
        <w:rPr>
          <w:rFonts w:hint="eastAsia" w:ascii="宋体" w:hAnsi="宋体" w:cs="宋体"/>
          <w:b/>
          <w:color w:val="auto"/>
          <w:sz w:val="32"/>
          <w:szCs w:val="32"/>
          <w:highlight w:val="none"/>
          <w:lang w:eastAsia="zh-CN"/>
        </w:rPr>
        <w:t>乌鲁木齐市城市规划馆展陈更新服务项目</w:t>
      </w:r>
    </w:p>
    <w:p w14:paraId="54E9CE8B">
      <w:pPr>
        <w:autoSpaceDE w:val="0"/>
        <w:autoSpaceDN w:val="0"/>
        <w:adjustRightInd w:val="0"/>
        <w:spacing w:line="360" w:lineRule="auto"/>
        <w:jc w:val="center"/>
        <w:rPr>
          <w:rFonts w:ascii="宋体" w:hAnsi="宋体" w:cs="宋体"/>
          <w:color w:val="auto"/>
          <w:sz w:val="32"/>
          <w:szCs w:val="32"/>
          <w:highlight w:val="none"/>
          <w:u w:val="single"/>
        </w:rPr>
      </w:pPr>
    </w:p>
    <w:p w14:paraId="263D39B2">
      <w:pPr>
        <w:autoSpaceDE w:val="0"/>
        <w:autoSpaceDN w:val="0"/>
        <w:adjustRightInd w:val="0"/>
        <w:spacing w:line="360" w:lineRule="auto"/>
        <w:jc w:val="center"/>
        <w:rPr>
          <w:rFonts w:ascii="宋体" w:hAnsi="宋体" w:cs="宋体"/>
          <w:b/>
          <w:color w:val="auto"/>
          <w:sz w:val="32"/>
          <w:szCs w:val="32"/>
          <w:highlight w:val="none"/>
        </w:rPr>
      </w:pPr>
    </w:p>
    <w:p w14:paraId="57AFCC36">
      <w:pPr>
        <w:spacing w:line="360" w:lineRule="auto"/>
        <w:jc w:val="center"/>
        <w:rPr>
          <w:rFonts w:ascii="宋体" w:hAnsi="宋体" w:cs="宋体"/>
          <w:color w:val="auto"/>
          <w:spacing w:val="40"/>
          <w:w w:val="90"/>
          <w:sz w:val="96"/>
          <w:szCs w:val="96"/>
          <w:highlight w:val="none"/>
          <w:lang w:bidi="th-TH"/>
        </w:rPr>
      </w:pPr>
      <w:r>
        <w:rPr>
          <w:rFonts w:hint="eastAsia" w:ascii="宋体" w:hAnsi="宋体" w:cs="宋体"/>
          <w:color w:val="auto"/>
          <w:spacing w:val="40"/>
          <w:w w:val="90"/>
          <w:sz w:val="96"/>
          <w:szCs w:val="96"/>
          <w:highlight w:val="none"/>
          <w:lang w:bidi="th-TH"/>
        </w:rPr>
        <w:t>投 标 文 件</w:t>
      </w:r>
    </w:p>
    <w:p w14:paraId="6190CA14">
      <w:pPr>
        <w:autoSpaceDE w:val="0"/>
        <w:autoSpaceDN w:val="0"/>
        <w:adjustRightInd w:val="0"/>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（资格文件）</w:t>
      </w:r>
    </w:p>
    <w:p w14:paraId="2D338C7F">
      <w:pPr>
        <w:autoSpaceDE w:val="0"/>
        <w:autoSpaceDN w:val="0"/>
        <w:adjustRightInd w:val="0"/>
        <w:spacing w:line="360" w:lineRule="auto"/>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采购编号：</w:t>
      </w:r>
      <w:r>
        <w:rPr>
          <w:rFonts w:hint="eastAsia" w:ascii="宋体" w:hAnsi="宋体" w:cs="宋体"/>
          <w:b/>
          <w:color w:val="auto"/>
          <w:sz w:val="32"/>
          <w:szCs w:val="32"/>
          <w:highlight w:val="none"/>
          <w:lang w:eastAsia="zh-CN"/>
        </w:rPr>
        <w:t>ZFCGHY-20250009（1）</w:t>
      </w:r>
    </w:p>
    <w:p w14:paraId="43C0CB90">
      <w:pPr>
        <w:autoSpaceDE w:val="0"/>
        <w:autoSpaceDN w:val="0"/>
        <w:adjustRightInd w:val="0"/>
        <w:spacing w:line="360" w:lineRule="auto"/>
        <w:rPr>
          <w:rFonts w:ascii="宋体" w:hAnsi="宋体" w:cs="宋体"/>
          <w:b/>
          <w:color w:val="auto"/>
          <w:sz w:val="32"/>
          <w:szCs w:val="32"/>
          <w:highlight w:val="none"/>
        </w:rPr>
      </w:pPr>
    </w:p>
    <w:p w14:paraId="59252466">
      <w:pPr>
        <w:autoSpaceDE w:val="0"/>
        <w:autoSpaceDN w:val="0"/>
        <w:adjustRightInd w:val="0"/>
        <w:spacing w:line="360" w:lineRule="auto"/>
        <w:rPr>
          <w:rFonts w:ascii="宋体" w:hAnsi="宋体" w:cs="宋体"/>
          <w:b/>
          <w:color w:val="auto"/>
          <w:sz w:val="32"/>
          <w:szCs w:val="32"/>
          <w:highlight w:val="none"/>
        </w:rPr>
      </w:pPr>
    </w:p>
    <w:p w14:paraId="4527F884">
      <w:pPr>
        <w:autoSpaceDE w:val="0"/>
        <w:autoSpaceDN w:val="0"/>
        <w:adjustRightInd w:val="0"/>
        <w:spacing w:line="360" w:lineRule="auto"/>
        <w:rPr>
          <w:rFonts w:ascii="宋体" w:hAnsi="宋体" w:cs="宋体"/>
          <w:b/>
          <w:color w:val="auto"/>
          <w:sz w:val="32"/>
          <w:szCs w:val="32"/>
          <w:highlight w:val="none"/>
        </w:rPr>
      </w:pPr>
    </w:p>
    <w:p w14:paraId="473F0310">
      <w:pPr>
        <w:autoSpaceDE w:val="0"/>
        <w:autoSpaceDN w:val="0"/>
        <w:adjustRightInd w:val="0"/>
        <w:spacing w:line="360" w:lineRule="auto"/>
        <w:rPr>
          <w:rFonts w:ascii="宋体" w:hAnsi="宋体" w:cs="宋体"/>
          <w:b/>
          <w:color w:val="auto"/>
          <w:sz w:val="32"/>
          <w:szCs w:val="32"/>
          <w:highlight w:val="none"/>
        </w:rPr>
      </w:pPr>
    </w:p>
    <w:p w14:paraId="2E0D86DF">
      <w:pPr>
        <w:autoSpaceDE w:val="0"/>
        <w:autoSpaceDN w:val="0"/>
        <w:adjustRightInd w:val="0"/>
        <w:spacing w:line="360" w:lineRule="auto"/>
        <w:rPr>
          <w:rFonts w:ascii="宋体" w:hAnsi="宋体" w:cs="宋体"/>
          <w:b/>
          <w:color w:val="auto"/>
          <w:sz w:val="32"/>
          <w:szCs w:val="32"/>
          <w:highlight w:val="none"/>
        </w:rPr>
      </w:pPr>
    </w:p>
    <w:p w14:paraId="173716B6">
      <w:pPr>
        <w:autoSpaceDE w:val="0"/>
        <w:autoSpaceDN w:val="0"/>
        <w:adjustRightInd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投标人名称（盖章）：</w:t>
      </w:r>
    </w:p>
    <w:p w14:paraId="790587CB">
      <w:pPr>
        <w:autoSpaceDE w:val="0"/>
        <w:autoSpaceDN w:val="0"/>
        <w:adjustRightInd w:val="0"/>
        <w:spacing w:line="360" w:lineRule="auto"/>
        <w:rPr>
          <w:rFonts w:ascii="宋体" w:hAnsi="宋体" w:cs="宋体"/>
          <w:b/>
          <w:color w:val="auto"/>
          <w:sz w:val="32"/>
          <w:szCs w:val="32"/>
          <w:highlight w:val="none"/>
        </w:rPr>
      </w:pPr>
    </w:p>
    <w:p w14:paraId="333F9C53">
      <w:pPr>
        <w:autoSpaceDE w:val="0"/>
        <w:autoSpaceDN w:val="0"/>
        <w:adjustRightInd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 xml:space="preserve">法定代表人或授权代表(签字或盖章)： </w:t>
      </w:r>
    </w:p>
    <w:p w14:paraId="7E0C5236">
      <w:pPr>
        <w:autoSpaceDE w:val="0"/>
        <w:autoSpaceDN w:val="0"/>
        <w:adjustRightInd w:val="0"/>
        <w:spacing w:line="360" w:lineRule="auto"/>
        <w:rPr>
          <w:rFonts w:ascii="宋体" w:hAnsi="宋体" w:cs="宋体"/>
          <w:b/>
          <w:color w:val="auto"/>
          <w:sz w:val="32"/>
          <w:szCs w:val="32"/>
          <w:highlight w:val="none"/>
        </w:rPr>
      </w:pPr>
    </w:p>
    <w:p w14:paraId="3C19DE2B">
      <w:pPr>
        <w:autoSpaceDE w:val="0"/>
        <w:autoSpaceDN w:val="0"/>
        <w:adjustRightIn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时间：    年   月   日</w:t>
      </w:r>
    </w:p>
    <w:p w14:paraId="28E34C98">
      <w:pPr>
        <w:autoSpaceDE w:val="0"/>
        <w:autoSpaceDN w:val="0"/>
        <w:adjustRightInd w:val="0"/>
        <w:spacing w:line="360" w:lineRule="auto"/>
        <w:rPr>
          <w:rFonts w:ascii="宋体" w:hAnsi="宋体" w:cs="宋体"/>
          <w:color w:val="auto"/>
          <w:highlight w:val="none"/>
        </w:rPr>
      </w:pPr>
    </w:p>
    <w:p w14:paraId="5301319D">
      <w:pPr>
        <w:rPr>
          <w:rFonts w:ascii="宋体" w:hAnsi="宋体" w:cs="宋体"/>
          <w:color w:val="auto"/>
          <w:highlight w:val="none"/>
        </w:rPr>
      </w:pPr>
      <w:r>
        <w:rPr>
          <w:rFonts w:hint="eastAsia" w:ascii="宋体" w:hAnsi="宋体" w:cs="宋体"/>
          <w:snapToGrid w:val="0"/>
          <w:color w:val="auto"/>
          <w:kern w:val="0"/>
          <w:highlight w:val="none"/>
        </w:rPr>
        <w:br w:type="page"/>
      </w:r>
    </w:p>
    <w:p w14:paraId="12A2F3EC">
      <w:pPr>
        <w:autoSpaceDE w:val="0"/>
        <w:autoSpaceDN w:val="0"/>
        <w:adjustRightInd w:val="0"/>
        <w:spacing w:line="360" w:lineRule="auto"/>
        <w:jc w:val="center"/>
        <w:rPr>
          <w:rFonts w:ascii="宋体" w:hAnsi="宋体" w:cs="宋体"/>
          <w:b/>
          <w:color w:val="auto"/>
          <w:sz w:val="32"/>
          <w:szCs w:val="32"/>
          <w:highlight w:val="none"/>
        </w:rPr>
      </w:pPr>
      <w:bookmarkStart w:id="148" w:name="_Toc31523"/>
      <w:bookmarkStart w:id="149" w:name="_Toc15653"/>
      <w:bookmarkStart w:id="150" w:name="_Toc22694"/>
    </w:p>
    <w:p w14:paraId="70294583">
      <w:pPr>
        <w:autoSpaceDE w:val="0"/>
        <w:autoSpaceDN w:val="0"/>
        <w:adjustRightInd w:val="0"/>
        <w:spacing w:line="360" w:lineRule="auto"/>
        <w:jc w:val="center"/>
        <w:rPr>
          <w:rFonts w:hint="eastAsia" w:ascii="宋体" w:hAnsi="宋体" w:eastAsia="宋体" w:cs="宋体"/>
          <w:b/>
          <w:color w:val="auto"/>
          <w:sz w:val="36"/>
          <w:szCs w:val="36"/>
          <w:highlight w:val="none"/>
          <w:lang w:eastAsia="zh-CN"/>
        </w:rPr>
      </w:pPr>
      <w:r>
        <w:rPr>
          <w:rFonts w:hint="eastAsia" w:ascii="宋体" w:hAnsi="宋体" w:cs="宋体"/>
          <w:b/>
          <w:color w:val="auto"/>
          <w:sz w:val="32"/>
          <w:szCs w:val="32"/>
          <w:highlight w:val="none"/>
          <w:lang w:eastAsia="zh-CN"/>
        </w:rPr>
        <w:t>乌鲁木齐市城市规划馆展陈更新服务项目</w:t>
      </w:r>
    </w:p>
    <w:p w14:paraId="49E64704">
      <w:pPr>
        <w:autoSpaceDE w:val="0"/>
        <w:autoSpaceDN w:val="0"/>
        <w:adjustRightInd w:val="0"/>
        <w:spacing w:line="360" w:lineRule="auto"/>
        <w:jc w:val="center"/>
        <w:rPr>
          <w:rFonts w:ascii="宋体" w:hAnsi="宋体" w:cs="宋体"/>
          <w:color w:val="auto"/>
          <w:sz w:val="32"/>
          <w:szCs w:val="32"/>
          <w:highlight w:val="none"/>
          <w:u w:val="single"/>
        </w:rPr>
      </w:pPr>
    </w:p>
    <w:p w14:paraId="0692D9E7">
      <w:pPr>
        <w:autoSpaceDE w:val="0"/>
        <w:autoSpaceDN w:val="0"/>
        <w:adjustRightInd w:val="0"/>
        <w:spacing w:line="360" w:lineRule="auto"/>
        <w:jc w:val="center"/>
        <w:rPr>
          <w:rFonts w:ascii="宋体" w:hAnsi="宋体" w:cs="宋体"/>
          <w:b/>
          <w:color w:val="auto"/>
          <w:sz w:val="32"/>
          <w:szCs w:val="32"/>
          <w:highlight w:val="none"/>
        </w:rPr>
      </w:pPr>
    </w:p>
    <w:p w14:paraId="74AB29D0">
      <w:pPr>
        <w:spacing w:line="360" w:lineRule="auto"/>
        <w:jc w:val="center"/>
        <w:rPr>
          <w:rFonts w:ascii="宋体" w:hAnsi="宋体" w:cs="宋体"/>
          <w:color w:val="auto"/>
          <w:spacing w:val="40"/>
          <w:w w:val="90"/>
          <w:sz w:val="96"/>
          <w:szCs w:val="96"/>
          <w:highlight w:val="none"/>
          <w:lang w:bidi="th-TH"/>
        </w:rPr>
      </w:pPr>
      <w:r>
        <w:rPr>
          <w:rFonts w:hint="eastAsia" w:ascii="宋体" w:hAnsi="宋体" w:cs="宋体"/>
          <w:color w:val="auto"/>
          <w:spacing w:val="40"/>
          <w:w w:val="90"/>
          <w:sz w:val="96"/>
          <w:szCs w:val="96"/>
          <w:highlight w:val="none"/>
          <w:lang w:bidi="th-TH"/>
        </w:rPr>
        <w:t>投 标 文 件</w:t>
      </w:r>
    </w:p>
    <w:p w14:paraId="29C8DB9E">
      <w:pPr>
        <w:autoSpaceDE w:val="0"/>
        <w:autoSpaceDN w:val="0"/>
        <w:adjustRightInd w:val="0"/>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（商务技术文件）</w:t>
      </w:r>
    </w:p>
    <w:p w14:paraId="2C76BE72">
      <w:pPr>
        <w:autoSpaceDE w:val="0"/>
        <w:autoSpaceDN w:val="0"/>
        <w:adjustRightInd w:val="0"/>
        <w:spacing w:line="360" w:lineRule="auto"/>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采购编号：</w:t>
      </w:r>
      <w:r>
        <w:rPr>
          <w:rFonts w:hint="eastAsia" w:ascii="宋体" w:hAnsi="宋体" w:cs="宋体"/>
          <w:b/>
          <w:color w:val="auto"/>
          <w:sz w:val="32"/>
          <w:szCs w:val="32"/>
          <w:highlight w:val="none"/>
          <w:lang w:eastAsia="zh-CN"/>
        </w:rPr>
        <w:t>ZFCGHY-20250009（1）</w:t>
      </w:r>
    </w:p>
    <w:p w14:paraId="7565BE4D">
      <w:pPr>
        <w:autoSpaceDE w:val="0"/>
        <w:autoSpaceDN w:val="0"/>
        <w:adjustRightInd w:val="0"/>
        <w:spacing w:line="360" w:lineRule="auto"/>
        <w:rPr>
          <w:rFonts w:ascii="宋体" w:hAnsi="宋体" w:cs="宋体"/>
          <w:b/>
          <w:color w:val="auto"/>
          <w:sz w:val="32"/>
          <w:szCs w:val="32"/>
          <w:highlight w:val="none"/>
        </w:rPr>
      </w:pPr>
    </w:p>
    <w:p w14:paraId="15001006">
      <w:pPr>
        <w:autoSpaceDE w:val="0"/>
        <w:autoSpaceDN w:val="0"/>
        <w:adjustRightInd w:val="0"/>
        <w:spacing w:line="360" w:lineRule="auto"/>
        <w:rPr>
          <w:rFonts w:ascii="宋体" w:hAnsi="宋体" w:cs="宋体"/>
          <w:b/>
          <w:color w:val="auto"/>
          <w:sz w:val="32"/>
          <w:szCs w:val="32"/>
          <w:highlight w:val="none"/>
        </w:rPr>
      </w:pPr>
    </w:p>
    <w:p w14:paraId="660CE9E6">
      <w:pPr>
        <w:autoSpaceDE w:val="0"/>
        <w:autoSpaceDN w:val="0"/>
        <w:adjustRightInd w:val="0"/>
        <w:spacing w:line="360" w:lineRule="auto"/>
        <w:rPr>
          <w:rFonts w:ascii="宋体" w:hAnsi="宋体" w:cs="宋体"/>
          <w:b/>
          <w:color w:val="auto"/>
          <w:sz w:val="32"/>
          <w:szCs w:val="32"/>
          <w:highlight w:val="none"/>
        </w:rPr>
      </w:pPr>
    </w:p>
    <w:p w14:paraId="3A6BCE72">
      <w:pPr>
        <w:autoSpaceDE w:val="0"/>
        <w:autoSpaceDN w:val="0"/>
        <w:adjustRightInd w:val="0"/>
        <w:spacing w:line="360" w:lineRule="auto"/>
        <w:rPr>
          <w:rFonts w:ascii="宋体" w:hAnsi="宋体" w:cs="宋体"/>
          <w:b/>
          <w:color w:val="auto"/>
          <w:sz w:val="32"/>
          <w:szCs w:val="32"/>
          <w:highlight w:val="none"/>
        </w:rPr>
      </w:pPr>
    </w:p>
    <w:p w14:paraId="52EB9D17">
      <w:pPr>
        <w:autoSpaceDE w:val="0"/>
        <w:autoSpaceDN w:val="0"/>
        <w:adjustRightInd w:val="0"/>
        <w:spacing w:line="360" w:lineRule="auto"/>
        <w:rPr>
          <w:rFonts w:ascii="宋体" w:hAnsi="宋体" w:cs="宋体"/>
          <w:b/>
          <w:color w:val="auto"/>
          <w:sz w:val="32"/>
          <w:szCs w:val="32"/>
          <w:highlight w:val="none"/>
        </w:rPr>
      </w:pPr>
    </w:p>
    <w:p w14:paraId="6C6C0928">
      <w:pPr>
        <w:autoSpaceDE w:val="0"/>
        <w:autoSpaceDN w:val="0"/>
        <w:adjustRightInd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投标人名称（盖章）：</w:t>
      </w:r>
    </w:p>
    <w:p w14:paraId="52750631">
      <w:pPr>
        <w:autoSpaceDE w:val="0"/>
        <w:autoSpaceDN w:val="0"/>
        <w:adjustRightInd w:val="0"/>
        <w:spacing w:line="360" w:lineRule="auto"/>
        <w:rPr>
          <w:rFonts w:ascii="宋体" w:hAnsi="宋体" w:cs="宋体"/>
          <w:b/>
          <w:color w:val="auto"/>
          <w:sz w:val="32"/>
          <w:szCs w:val="32"/>
          <w:highlight w:val="none"/>
        </w:rPr>
      </w:pPr>
    </w:p>
    <w:p w14:paraId="04670F13">
      <w:pPr>
        <w:autoSpaceDE w:val="0"/>
        <w:autoSpaceDN w:val="0"/>
        <w:adjustRightInd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 xml:space="preserve">法定代表人或授权代表(签字或盖章)： </w:t>
      </w:r>
    </w:p>
    <w:p w14:paraId="4E99A1CE">
      <w:pPr>
        <w:autoSpaceDE w:val="0"/>
        <w:autoSpaceDN w:val="0"/>
        <w:adjustRightInd w:val="0"/>
        <w:spacing w:line="360" w:lineRule="auto"/>
        <w:rPr>
          <w:rFonts w:ascii="宋体" w:hAnsi="宋体" w:cs="宋体"/>
          <w:b/>
          <w:color w:val="auto"/>
          <w:sz w:val="32"/>
          <w:szCs w:val="32"/>
          <w:highlight w:val="none"/>
        </w:rPr>
      </w:pPr>
    </w:p>
    <w:p w14:paraId="19787A5D">
      <w:pPr>
        <w:autoSpaceDE w:val="0"/>
        <w:autoSpaceDN w:val="0"/>
        <w:adjustRightIn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时间：    年   月   日</w:t>
      </w:r>
    </w:p>
    <w:p w14:paraId="54F64B82">
      <w:pPr>
        <w:autoSpaceDE w:val="0"/>
        <w:autoSpaceDN w:val="0"/>
        <w:adjustRightInd w:val="0"/>
        <w:spacing w:line="360" w:lineRule="auto"/>
        <w:rPr>
          <w:rFonts w:ascii="宋体" w:hAnsi="宋体" w:cs="宋体"/>
          <w:color w:val="auto"/>
          <w:highlight w:val="none"/>
        </w:rPr>
      </w:pPr>
    </w:p>
    <w:p w14:paraId="31A1432D">
      <w:pPr>
        <w:rPr>
          <w:rFonts w:ascii="宋体" w:hAnsi="宋体" w:cs="宋体"/>
          <w:color w:val="auto"/>
          <w:highlight w:val="none"/>
        </w:rPr>
      </w:pPr>
      <w:r>
        <w:rPr>
          <w:rFonts w:hint="eastAsia" w:ascii="宋体" w:hAnsi="宋体" w:cs="宋体"/>
          <w:snapToGrid w:val="0"/>
          <w:color w:val="auto"/>
          <w:kern w:val="0"/>
          <w:highlight w:val="none"/>
        </w:rPr>
        <w:br w:type="page"/>
      </w:r>
    </w:p>
    <w:p w14:paraId="0B2857B4">
      <w:pPr>
        <w:autoSpaceDE w:val="0"/>
        <w:autoSpaceDN w:val="0"/>
        <w:adjustRightInd w:val="0"/>
        <w:spacing w:line="360" w:lineRule="auto"/>
        <w:outlineLvl w:val="1"/>
        <w:rPr>
          <w:rFonts w:ascii="宋体" w:hAnsi="宋体" w:cs="宋体"/>
          <w:b/>
          <w:bCs/>
          <w:color w:val="auto"/>
          <w:sz w:val="24"/>
          <w:highlight w:val="none"/>
        </w:rPr>
      </w:pPr>
      <w:bookmarkStart w:id="151" w:name="_Toc85359522"/>
      <w:bookmarkStart w:id="152" w:name="_Toc26742"/>
      <w:r>
        <w:rPr>
          <w:rFonts w:hint="eastAsia" w:ascii="宋体" w:hAnsi="宋体" w:cs="宋体"/>
          <w:b/>
          <w:bCs/>
          <w:color w:val="auto"/>
          <w:sz w:val="24"/>
          <w:highlight w:val="none"/>
        </w:rPr>
        <w:t>二、</w:t>
      </w:r>
      <w:bookmarkEnd w:id="148"/>
      <w:bookmarkEnd w:id="149"/>
      <w:r>
        <w:rPr>
          <w:rFonts w:hint="eastAsia" w:ascii="宋体" w:hAnsi="宋体" w:cs="宋体"/>
          <w:b/>
          <w:bCs/>
          <w:color w:val="auto"/>
          <w:sz w:val="24"/>
          <w:highlight w:val="none"/>
        </w:rPr>
        <w:t>资格文件</w:t>
      </w:r>
      <w:bookmarkEnd w:id="150"/>
      <w:bookmarkEnd w:id="151"/>
      <w:bookmarkEnd w:id="152"/>
    </w:p>
    <w:p w14:paraId="25AC8345">
      <w:pPr>
        <w:autoSpaceDE w:val="0"/>
        <w:autoSpaceDN w:val="0"/>
        <w:adjustRightInd w:val="0"/>
        <w:snapToGrid w:val="0"/>
        <w:spacing w:line="360" w:lineRule="auto"/>
        <w:ind w:right="420"/>
        <w:rPr>
          <w:rFonts w:ascii="宋体" w:hAnsi="宋体" w:cs="宋体"/>
          <w:b/>
          <w:snapToGrid w:val="0"/>
          <w:color w:val="auto"/>
          <w:kern w:val="0"/>
          <w:highlight w:val="none"/>
        </w:rPr>
      </w:pPr>
      <w:r>
        <w:rPr>
          <w:rFonts w:hint="eastAsia" w:ascii="宋体" w:hAnsi="宋体" w:cs="宋体"/>
          <w:b/>
          <w:snapToGrid w:val="0"/>
          <w:color w:val="auto"/>
          <w:kern w:val="0"/>
          <w:highlight w:val="none"/>
        </w:rPr>
        <w:t>2.1资格审查需要的资料</w:t>
      </w:r>
    </w:p>
    <w:tbl>
      <w:tblPr>
        <w:tblStyle w:val="43"/>
        <w:tblW w:w="879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335"/>
        <w:gridCol w:w="4338"/>
        <w:gridCol w:w="1474"/>
      </w:tblGrid>
      <w:tr w14:paraId="6029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48" w:type="dxa"/>
            <w:vAlign w:val="center"/>
          </w:tcPr>
          <w:p w14:paraId="5683A163">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335" w:type="dxa"/>
            <w:vAlign w:val="center"/>
          </w:tcPr>
          <w:p w14:paraId="4838E493">
            <w:pPr>
              <w:ind w:left="344" w:leftChars="114" w:hanging="105" w:hangingChars="50"/>
              <w:jc w:val="center"/>
              <w:rPr>
                <w:rFonts w:ascii="宋体" w:hAnsi="宋体" w:cs="宋体"/>
                <w:color w:val="auto"/>
                <w:szCs w:val="21"/>
                <w:highlight w:val="none"/>
              </w:rPr>
            </w:pPr>
            <w:r>
              <w:rPr>
                <w:rFonts w:hint="eastAsia" w:ascii="宋体" w:hAnsi="宋体" w:cs="宋体"/>
                <w:color w:val="auto"/>
                <w:szCs w:val="21"/>
                <w:highlight w:val="none"/>
              </w:rPr>
              <w:t>评审因素</w:t>
            </w:r>
          </w:p>
        </w:tc>
        <w:tc>
          <w:tcPr>
            <w:tcW w:w="4338" w:type="dxa"/>
            <w:vAlign w:val="center"/>
          </w:tcPr>
          <w:p w14:paraId="7B80DC07">
            <w:pPr>
              <w:ind w:left="2"/>
              <w:jc w:val="center"/>
              <w:rPr>
                <w:rFonts w:ascii="宋体" w:hAnsi="宋体" w:cs="宋体"/>
                <w:color w:val="auto"/>
                <w:szCs w:val="21"/>
                <w:highlight w:val="none"/>
              </w:rPr>
            </w:pPr>
            <w:r>
              <w:rPr>
                <w:rFonts w:hint="eastAsia" w:ascii="宋体" w:hAnsi="宋体" w:cs="宋体"/>
                <w:color w:val="auto"/>
                <w:szCs w:val="21"/>
                <w:highlight w:val="none"/>
              </w:rPr>
              <w:t>相关证明文件</w:t>
            </w:r>
          </w:p>
        </w:tc>
        <w:tc>
          <w:tcPr>
            <w:tcW w:w="1474" w:type="dxa"/>
            <w:vAlign w:val="center"/>
          </w:tcPr>
          <w:p w14:paraId="3B477512">
            <w:pPr>
              <w:ind w:left="2"/>
              <w:jc w:val="center"/>
              <w:rPr>
                <w:rFonts w:ascii="宋体" w:hAnsi="宋体" w:cs="宋体"/>
                <w:color w:val="auto"/>
                <w:szCs w:val="21"/>
                <w:highlight w:val="none"/>
              </w:rPr>
            </w:pPr>
            <w:r>
              <w:rPr>
                <w:rFonts w:hint="eastAsia" w:ascii="宋体" w:hAnsi="宋体" w:cs="宋体"/>
                <w:color w:val="auto"/>
                <w:szCs w:val="21"/>
                <w:highlight w:val="none"/>
              </w:rPr>
              <w:t>申请人达到程度</w:t>
            </w:r>
          </w:p>
        </w:tc>
      </w:tr>
      <w:tr w14:paraId="6939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48" w:type="dxa"/>
            <w:vAlign w:val="center"/>
          </w:tcPr>
          <w:p w14:paraId="036E5534">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2335" w:type="dxa"/>
            <w:vAlign w:val="center"/>
          </w:tcPr>
          <w:p w14:paraId="4EE0F1E7">
            <w:pPr>
              <w:widowControl/>
              <w:adjustRightInd w:val="0"/>
              <w:snapToGrid w:val="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采购公告第二条要求</w:t>
            </w:r>
          </w:p>
        </w:tc>
        <w:tc>
          <w:tcPr>
            <w:tcW w:w="4338" w:type="dxa"/>
            <w:vAlign w:val="center"/>
          </w:tcPr>
          <w:p w14:paraId="58844DF3">
            <w:pPr>
              <w:tabs>
                <w:tab w:val="left" w:pos="720"/>
              </w:tabs>
              <w:adjustRightInd w:val="0"/>
              <w:snapToGrid w:val="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采购文件投标须知9.1条规定的相关资料</w:t>
            </w:r>
          </w:p>
        </w:tc>
        <w:tc>
          <w:tcPr>
            <w:tcW w:w="1474" w:type="dxa"/>
            <w:vAlign w:val="center"/>
          </w:tcPr>
          <w:p w14:paraId="03743A04">
            <w:pPr>
              <w:adjustRightInd w:val="0"/>
              <w:snapToGrid w:val="0"/>
              <w:jc w:val="left"/>
              <w:rPr>
                <w:rFonts w:ascii="宋体" w:hAnsi="宋体" w:cs="宋体"/>
                <w:color w:val="auto"/>
                <w:szCs w:val="21"/>
                <w:highlight w:val="none"/>
              </w:rPr>
            </w:pPr>
          </w:p>
        </w:tc>
      </w:tr>
    </w:tbl>
    <w:p w14:paraId="482BFFEE">
      <w:pPr>
        <w:tabs>
          <w:tab w:val="left" w:pos="735"/>
        </w:tabs>
        <w:adjustRightInd w:val="0"/>
        <w:snapToGrid w:val="0"/>
        <w:spacing w:line="360" w:lineRule="auto"/>
        <w:rPr>
          <w:rFonts w:ascii="宋体" w:hAnsi="宋体" w:cs="宋体"/>
          <w:b/>
          <w:color w:val="auto"/>
          <w:szCs w:val="21"/>
          <w:highlight w:val="none"/>
        </w:rPr>
      </w:pPr>
      <w:r>
        <w:rPr>
          <w:rFonts w:hint="eastAsia" w:ascii="宋体" w:hAnsi="宋体" w:cs="宋体"/>
          <w:b/>
          <w:snapToGrid w:val="0"/>
          <w:color w:val="auto"/>
          <w:kern w:val="0"/>
          <w:szCs w:val="21"/>
          <w:highlight w:val="none"/>
        </w:rPr>
        <w:t>注：证明材料附后。</w:t>
      </w:r>
    </w:p>
    <w:p w14:paraId="7BAE8619">
      <w:pPr>
        <w:pStyle w:val="39"/>
        <w:tabs>
          <w:tab w:val="left" w:pos="630"/>
          <w:tab w:val="left" w:pos="840"/>
          <w:tab w:val="left" w:pos="1050"/>
        </w:tabs>
        <w:adjustRightInd w:val="0"/>
        <w:snapToGrid w:val="0"/>
        <w:spacing w:before="0" w:beforeAutospacing="0" w:after="0" w:afterAutospacing="0" w:line="360" w:lineRule="auto"/>
        <w:rPr>
          <w:rFonts w:ascii="宋体" w:hAnsi="宋体" w:cs="宋体"/>
          <w:b/>
          <w:bCs/>
          <w:color w:val="auto"/>
          <w:sz w:val="21"/>
          <w:szCs w:val="21"/>
          <w:highlight w:val="none"/>
        </w:rPr>
      </w:pPr>
      <w:r>
        <w:rPr>
          <w:rFonts w:hint="eastAsia" w:ascii="宋体" w:hAnsi="宋体" w:cs="宋体"/>
          <w:color w:val="auto"/>
          <w:highlight w:val="none"/>
        </w:rPr>
        <w:br w:type="page"/>
      </w:r>
      <w:r>
        <w:rPr>
          <w:rFonts w:hint="eastAsia" w:ascii="宋体" w:hAnsi="宋体" w:cs="宋体"/>
          <w:b/>
          <w:color w:val="auto"/>
          <w:sz w:val="21"/>
          <w:szCs w:val="21"/>
          <w:highlight w:val="none"/>
        </w:rPr>
        <w:t>2.2基本资格条件相关证明材料</w:t>
      </w:r>
    </w:p>
    <w:p w14:paraId="4F1002CD">
      <w:pPr>
        <w:pStyle w:val="39"/>
        <w:numPr>
          <w:ilvl w:val="0"/>
          <w:numId w:val="15"/>
        </w:numPr>
        <w:tabs>
          <w:tab w:val="left" w:pos="630"/>
          <w:tab w:val="left" w:pos="840"/>
          <w:tab w:val="left" w:pos="1050"/>
        </w:tabs>
        <w:adjustRightInd w:val="0"/>
        <w:snapToGrid w:val="0"/>
        <w:spacing w:before="0" w:beforeAutospacing="0" w:after="0" w:afterAutospacing="0" w:line="360" w:lineRule="auto"/>
        <w:ind w:hanging="5"/>
        <w:rPr>
          <w:rFonts w:ascii="宋体" w:hAnsi="宋体" w:cs="宋体"/>
          <w:b/>
          <w:bCs/>
          <w:color w:val="auto"/>
          <w:sz w:val="21"/>
          <w:szCs w:val="21"/>
          <w:highlight w:val="none"/>
        </w:rPr>
      </w:pPr>
      <w:r>
        <w:rPr>
          <w:rFonts w:hint="eastAsia" w:ascii="宋体" w:hAnsi="宋体" w:cs="宋体"/>
          <w:b/>
          <w:bCs/>
          <w:color w:val="auto"/>
          <w:sz w:val="21"/>
          <w:szCs w:val="21"/>
          <w:highlight w:val="none"/>
        </w:rPr>
        <w:t>具有独立承担民事责任的能力：</w:t>
      </w:r>
    </w:p>
    <w:p w14:paraId="0ABBA006">
      <w:pPr>
        <w:pStyle w:val="39"/>
        <w:tabs>
          <w:tab w:val="left" w:pos="630"/>
          <w:tab w:val="left" w:pos="840"/>
          <w:tab w:val="left" w:pos="1050"/>
        </w:tabs>
        <w:adjustRightInd w:val="0"/>
        <w:snapToGrid w:val="0"/>
        <w:spacing w:before="0" w:beforeAutospacing="0" w:after="0" w:afterAutospacing="0" w:line="360" w:lineRule="auto"/>
        <w:ind w:left="42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投标人须在投标文件中出具符合以下情况的证明材料的扫描件（五选一）：</w:t>
      </w:r>
    </w:p>
    <w:p w14:paraId="2653C3B4">
      <w:pPr>
        <w:pStyle w:val="39"/>
        <w:numPr>
          <w:ilvl w:val="0"/>
          <w:numId w:val="16"/>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如投标人是企业（包括合伙企业），提供在工商部门注册的有效“企业法人营业执照”或“营业执照”；</w:t>
      </w:r>
    </w:p>
    <w:p w14:paraId="26F68641">
      <w:pPr>
        <w:pStyle w:val="39"/>
        <w:numPr>
          <w:ilvl w:val="0"/>
          <w:numId w:val="16"/>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如投标人是事业单位，提供有效的“事业单位法人证书”；</w:t>
      </w:r>
    </w:p>
    <w:p w14:paraId="50D788B0">
      <w:pPr>
        <w:pStyle w:val="39"/>
        <w:numPr>
          <w:ilvl w:val="0"/>
          <w:numId w:val="16"/>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如投标人是非企业专业服务机构的，提供执业许可证等证明文件；</w:t>
      </w:r>
    </w:p>
    <w:p w14:paraId="37863AA8">
      <w:pPr>
        <w:pStyle w:val="39"/>
        <w:numPr>
          <w:ilvl w:val="0"/>
          <w:numId w:val="16"/>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如投标人是个体工商户，提供有效的“个体工商户营业执照”；</w:t>
      </w:r>
    </w:p>
    <w:p w14:paraId="3D676737">
      <w:pPr>
        <w:pStyle w:val="39"/>
        <w:numPr>
          <w:ilvl w:val="0"/>
          <w:numId w:val="16"/>
        </w:numPr>
        <w:tabs>
          <w:tab w:val="left" w:pos="312"/>
        </w:tabs>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如投标人是自然人，提供有效的自然人身份证明（居民身份证正反面或公安机关出具的临时居民身份证正反面或港澳台胞证或护照）。</w:t>
      </w:r>
    </w:p>
    <w:p w14:paraId="7BB000E9">
      <w:pPr>
        <w:pStyle w:val="39"/>
        <w:tabs>
          <w:tab w:val="left" w:pos="312"/>
        </w:tabs>
        <w:adjustRightInd w:val="0"/>
        <w:snapToGrid w:val="0"/>
        <w:spacing w:before="0" w:beforeAutospacing="0" w:after="0" w:afterAutospacing="0" w:line="360" w:lineRule="auto"/>
        <w:ind w:left="420" w:leftChars="200"/>
        <w:rPr>
          <w:rFonts w:ascii="宋体" w:hAnsi="宋体" w:cs="宋体"/>
          <w:b/>
          <w:bCs/>
          <w:color w:val="auto"/>
          <w:sz w:val="21"/>
          <w:szCs w:val="21"/>
          <w:highlight w:val="none"/>
        </w:rPr>
      </w:pPr>
      <w:r>
        <w:rPr>
          <w:rFonts w:hint="eastAsia" w:ascii="宋体" w:hAnsi="宋体" w:cs="宋体"/>
          <w:b/>
          <w:bCs/>
          <w:color w:val="auto"/>
          <w:sz w:val="21"/>
          <w:szCs w:val="21"/>
          <w:highlight w:val="none"/>
        </w:rPr>
        <w:br w:type="page"/>
      </w:r>
    </w:p>
    <w:p w14:paraId="27AB0E82">
      <w:pPr>
        <w:pStyle w:val="39"/>
        <w:numPr>
          <w:ilvl w:val="0"/>
          <w:numId w:val="15"/>
        </w:numPr>
        <w:tabs>
          <w:tab w:val="left" w:pos="630"/>
          <w:tab w:val="left" w:pos="840"/>
          <w:tab w:val="left" w:pos="1050"/>
        </w:tabs>
        <w:adjustRightInd w:val="0"/>
        <w:snapToGrid w:val="0"/>
        <w:spacing w:before="0" w:beforeAutospacing="0" w:after="0" w:afterAutospacing="0" w:line="360" w:lineRule="auto"/>
        <w:ind w:hanging="5"/>
        <w:rPr>
          <w:rFonts w:ascii="宋体" w:hAnsi="宋体" w:cs="宋体"/>
          <w:b/>
          <w:bCs/>
          <w:color w:val="auto"/>
          <w:sz w:val="21"/>
          <w:szCs w:val="21"/>
          <w:highlight w:val="none"/>
        </w:rPr>
      </w:pPr>
      <w:r>
        <w:rPr>
          <w:rFonts w:hint="eastAsia" w:ascii="宋体" w:hAnsi="宋体" w:cs="宋体"/>
          <w:b/>
          <w:bCs/>
          <w:color w:val="auto"/>
          <w:sz w:val="21"/>
          <w:szCs w:val="21"/>
          <w:highlight w:val="none"/>
        </w:rPr>
        <w:t>具有良好的商业信誉和健全的财务会计制度的证明材料：</w:t>
      </w:r>
    </w:p>
    <w:p w14:paraId="2EEBA6F5">
      <w:pPr>
        <w:pStyle w:val="39"/>
        <w:adjustRightInd w:val="0"/>
        <w:snapToGrid w:val="0"/>
        <w:spacing w:before="0" w:beforeAutospacing="0" w:after="0" w:afterAutospacing="0" w:line="360" w:lineRule="auto"/>
        <w:ind w:left="420" w:leftChars="200"/>
        <w:rPr>
          <w:rFonts w:ascii="宋体" w:hAnsi="宋体" w:cs="宋体"/>
          <w:b/>
          <w:color w:val="auto"/>
          <w:spacing w:val="-6"/>
          <w:sz w:val="21"/>
          <w:szCs w:val="21"/>
          <w:highlight w:val="none"/>
        </w:rPr>
      </w:pPr>
      <w:r>
        <w:rPr>
          <w:rFonts w:hint="eastAsia" w:ascii="宋体" w:hAnsi="宋体" w:cs="宋体"/>
          <w:b/>
          <w:color w:val="auto"/>
          <w:spacing w:val="-6"/>
          <w:sz w:val="21"/>
          <w:szCs w:val="21"/>
          <w:highlight w:val="none"/>
        </w:rPr>
        <w:t>投标人须在投标文件中出具符合以下情况的证明材料的扫描件（三选一）：</w:t>
      </w:r>
    </w:p>
    <w:p w14:paraId="22D287D6">
      <w:pPr>
        <w:pStyle w:val="39"/>
        <w:numPr>
          <w:ilvl w:val="0"/>
          <w:numId w:val="17"/>
        </w:numPr>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是法人的，应提供最近一个年度经审计的财务报告，包括资产负债表、利润表或损益表(执行《小企业会计准则》的提供资产负债表和利润表两张基本报表），未经审计的，提供资产负债表、利润表或损益表。</w:t>
      </w:r>
    </w:p>
    <w:p w14:paraId="71EC0F5E">
      <w:pPr>
        <w:pStyle w:val="39"/>
        <w:numPr>
          <w:ilvl w:val="0"/>
          <w:numId w:val="17"/>
        </w:numPr>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其他组织和自然人如没有经审计的财务报告的，可以提供资产负债表、利润表或损益表。</w:t>
      </w:r>
    </w:p>
    <w:p w14:paraId="45631763">
      <w:pPr>
        <w:pStyle w:val="39"/>
        <w:numPr>
          <w:ilvl w:val="0"/>
          <w:numId w:val="17"/>
        </w:numPr>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新成立不足一年的公司须出具情况说明</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需盖投标人公章</w:t>
      </w:r>
      <w:r>
        <w:rPr>
          <w:rFonts w:hint="eastAsia" w:ascii="宋体" w:hAnsi="宋体" w:cs="宋体"/>
          <w:b/>
          <w:bCs/>
          <w:color w:val="auto"/>
          <w:sz w:val="21"/>
          <w:szCs w:val="21"/>
          <w:highlight w:val="none"/>
        </w:rPr>
        <w:t>。</w:t>
      </w:r>
    </w:p>
    <w:p w14:paraId="74A231FC">
      <w:pPr>
        <w:pStyle w:val="39"/>
        <w:adjustRightInd w:val="0"/>
        <w:snapToGrid w:val="0"/>
        <w:spacing w:before="0" w:beforeAutospacing="0" w:after="0" w:afterAutospacing="0" w:line="360" w:lineRule="auto"/>
        <w:ind w:left="420"/>
        <w:rPr>
          <w:rFonts w:ascii="宋体" w:hAnsi="宋体" w:cs="宋体"/>
          <w:b/>
          <w:bCs/>
          <w:color w:val="auto"/>
          <w:sz w:val="21"/>
          <w:szCs w:val="21"/>
          <w:highlight w:val="none"/>
        </w:rPr>
      </w:pPr>
      <w:r>
        <w:rPr>
          <w:rFonts w:hint="eastAsia" w:ascii="宋体" w:hAnsi="宋体" w:cs="宋体"/>
          <w:b/>
          <w:bCs/>
          <w:color w:val="auto"/>
          <w:sz w:val="21"/>
          <w:szCs w:val="21"/>
          <w:highlight w:val="none"/>
        </w:rPr>
        <w:br w:type="page"/>
      </w:r>
    </w:p>
    <w:p w14:paraId="2E95A1DD">
      <w:pPr>
        <w:pStyle w:val="39"/>
        <w:numPr>
          <w:ilvl w:val="0"/>
          <w:numId w:val="15"/>
        </w:numPr>
        <w:tabs>
          <w:tab w:val="left" w:pos="630"/>
          <w:tab w:val="left" w:pos="840"/>
          <w:tab w:val="left" w:pos="1050"/>
        </w:tabs>
        <w:adjustRightInd w:val="0"/>
        <w:snapToGrid w:val="0"/>
        <w:spacing w:before="0" w:beforeAutospacing="0" w:after="0" w:afterAutospacing="0" w:line="360" w:lineRule="auto"/>
        <w:ind w:hanging="5"/>
        <w:rPr>
          <w:rFonts w:ascii="宋体" w:hAnsi="宋体" w:cs="宋体"/>
          <w:b/>
          <w:bCs/>
          <w:color w:val="auto"/>
          <w:sz w:val="21"/>
          <w:szCs w:val="21"/>
          <w:highlight w:val="none"/>
        </w:rPr>
      </w:pPr>
      <w:r>
        <w:rPr>
          <w:rFonts w:hint="eastAsia" w:ascii="宋体" w:hAnsi="宋体" w:cs="宋体"/>
          <w:b/>
          <w:bCs/>
          <w:color w:val="auto"/>
          <w:sz w:val="21"/>
          <w:szCs w:val="21"/>
          <w:highlight w:val="none"/>
        </w:rPr>
        <w:t>具有履行合同所必需的设备和专业技术能力：</w:t>
      </w:r>
    </w:p>
    <w:p w14:paraId="575BF643">
      <w:pPr>
        <w:pStyle w:val="39"/>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投标人须在投标文件中出具具有履行合同所必需的设备和专业技术能力的《承诺函》；（由投标人根据本项目情况自定</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需盖投标人公章。</w:t>
      </w:r>
      <w:r>
        <w:rPr>
          <w:rFonts w:hint="eastAsia" w:ascii="宋体" w:hAnsi="宋体" w:cs="宋体"/>
          <w:b/>
          <w:bCs/>
          <w:color w:val="auto"/>
          <w:sz w:val="21"/>
          <w:szCs w:val="21"/>
          <w:highlight w:val="none"/>
        </w:rPr>
        <w:t>）</w:t>
      </w:r>
    </w:p>
    <w:p w14:paraId="5F3E8498">
      <w:pPr>
        <w:pStyle w:val="39"/>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br w:type="page"/>
      </w:r>
    </w:p>
    <w:p w14:paraId="6396486D">
      <w:pPr>
        <w:pStyle w:val="39"/>
        <w:numPr>
          <w:ilvl w:val="0"/>
          <w:numId w:val="15"/>
        </w:numPr>
        <w:tabs>
          <w:tab w:val="left" w:pos="630"/>
          <w:tab w:val="left" w:pos="840"/>
          <w:tab w:val="left" w:pos="1050"/>
        </w:tabs>
        <w:adjustRightInd w:val="0"/>
        <w:snapToGrid w:val="0"/>
        <w:spacing w:before="0" w:beforeAutospacing="0" w:after="0" w:afterAutospacing="0" w:line="360" w:lineRule="auto"/>
        <w:ind w:hanging="5"/>
        <w:rPr>
          <w:rFonts w:ascii="宋体" w:hAnsi="宋体" w:cs="宋体"/>
          <w:b/>
          <w:bCs/>
          <w:color w:val="auto"/>
          <w:sz w:val="21"/>
          <w:szCs w:val="21"/>
          <w:highlight w:val="none"/>
        </w:rPr>
      </w:pPr>
      <w:r>
        <w:rPr>
          <w:rFonts w:hint="eastAsia" w:ascii="宋体" w:hAnsi="宋体" w:cs="宋体"/>
          <w:b/>
          <w:bCs/>
          <w:color w:val="auto"/>
          <w:sz w:val="21"/>
          <w:szCs w:val="21"/>
          <w:highlight w:val="none"/>
        </w:rPr>
        <w:t>有依法缴纳税收和社会保障资金的良好记录：</w:t>
      </w:r>
    </w:p>
    <w:p w14:paraId="594FABED">
      <w:pPr>
        <w:pStyle w:val="39"/>
        <w:adjustRightInd w:val="0"/>
        <w:snapToGrid w:val="0"/>
        <w:spacing w:before="0" w:beforeAutospacing="0" w:after="0" w:afterAutospacing="0" w:line="360" w:lineRule="auto"/>
        <w:ind w:left="420" w:left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投标人须在投标文件中同时出具满足以下要求的证明材料的扫描件：</w:t>
      </w:r>
    </w:p>
    <w:p w14:paraId="532BB981">
      <w:pPr>
        <w:pStyle w:val="39"/>
        <w:numPr>
          <w:ilvl w:val="0"/>
          <w:numId w:val="18"/>
        </w:numPr>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投标人须提供最近三个月内</w:t>
      </w:r>
      <w:r>
        <w:rPr>
          <w:rFonts w:hint="eastAsia" w:ascii="宋体" w:hAnsi="宋体" w:cs="宋体"/>
          <w:b/>
          <w:bCs/>
          <w:color w:val="auto"/>
          <w:sz w:val="21"/>
          <w:szCs w:val="21"/>
          <w:highlight w:val="none"/>
          <w:lang w:val="en-US" w:eastAsia="zh-CN"/>
        </w:rPr>
        <w:t>任意一个月的</w:t>
      </w:r>
      <w:r>
        <w:rPr>
          <w:rFonts w:hint="eastAsia" w:ascii="宋体" w:hAnsi="宋体" w:cs="宋体"/>
          <w:b/>
          <w:bCs/>
          <w:color w:val="auto"/>
          <w:sz w:val="21"/>
          <w:szCs w:val="21"/>
          <w:highlight w:val="none"/>
        </w:rPr>
        <w:t>纳税证明。</w:t>
      </w:r>
    </w:p>
    <w:p w14:paraId="487491E4">
      <w:pPr>
        <w:pStyle w:val="39"/>
        <w:adjustRightInd w:val="0"/>
        <w:snapToGrid w:val="0"/>
        <w:spacing w:before="0" w:beforeAutospacing="0" w:after="0" w:afterAutospacing="0" w:line="360" w:lineRule="auto"/>
        <w:ind w:left="420" w:leftChars="200"/>
        <w:rPr>
          <w:rFonts w:ascii="宋体" w:hAnsi="宋体" w:cs="宋体"/>
          <w:b/>
          <w:bCs/>
          <w:color w:val="auto"/>
          <w:sz w:val="21"/>
          <w:szCs w:val="21"/>
          <w:highlight w:val="none"/>
        </w:rPr>
      </w:pPr>
    </w:p>
    <w:p w14:paraId="5512D4D7">
      <w:pPr>
        <w:pStyle w:val="39"/>
        <w:adjustRightInd w:val="0"/>
        <w:snapToGrid w:val="0"/>
        <w:spacing w:before="0" w:beforeAutospacing="0" w:after="0" w:afterAutospacing="0" w:line="360" w:lineRule="auto"/>
        <w:ind w:left="420" w:leftChars="200"/>
        <w:rPr>
          <w:rFonts w:ascii="宋体" w:hAnsi="宋体" w:cs="宋体"/>
          <w:b/>
          <w:bCs/>
          <w:color w:val="auto"/>
          <w:sz w:val="21"/>
          <w:szCs w:val="21"/>
          <w:highlight w:val="none"/>
        </w:rPr>
      </w:pPr>
    </w:p>
    <w:p w14:paraId="6F61C769">
      <w:pPr>
        <w:pStyle w:val="39"/>
        <w:adjustRightInd w:val="0"/>
        <w:snapToGrid w:val="0"/>
        <w:spacing w:before="0" w:beforeAutospacing="0" w:after="0" w:afterAutospacing="0" w:line="360" w:lineRule="auto"/>
        <w:ind w:left="420" w:leftChars="200"/>
        <w:rPr>
          <w:rFonts w:ascii="宋体" w:hAnsi="宋体" w:cs="宋体"/>
          <w:b/>
          <w:bCs/>
          <w:color w:val="auto"/>
          <w:sz w:val="21"/>
          <w:szCs w:val="21"/>
          <w:highlight w:val="none"/>
        </w:rPr>
      </w:pPr>
    </w:p>
    <w:p w14:paraId="77C5A0DC">
      <w:pPr>
        <w:pStyle w:val="39"/>
        <w:numPr>
          <w:ilvl w:val="0"/>
          <w:numId w:val="18"/>
        </w:numPr>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投标人须提供最近三个月内</w:t>
      </w:r>
      <w:r>
        <w:rPr>
          <w:rFonts w:hint="eastAsia" w:ascii="宋体" w:hAnsi="宋体" w:cs="宋体"/>
          <w:b/>
          <w:bCs/>
          <w:color w:val="auto"/>
          <w:sz w:val="21"/>
          <w:szCs w:val="21"/>
          <w:highlight w:val="none"/>
          <w:lang w:val="en-US" w:eastAsia="zh-CN"/>
        </w:rPr>
        <w:t>任意一个月</w:t>
      </w:r>
      <w:r>
        <w:rPr>
          <w:rFonts w:hint="eastAsia" w:ascii="宋体" w:hAnsi="宋体" w:cs="宋体"/>
          <w:b/>
          <w:bCs/>
          <w:color w:val="auto"/>
          <w:sz w:val="21"/>
          <w:szCs w:val="21"/>
          <w:highlight w:val="none"/>
        </w:rPr>
        <w:t>缴纳社会保险的凭据（缴税付款凭证或社会保险缴纳证明）</w:t>
      </w:r>
    </w:p>
    <w:p w14:paraId="7E385FC4">
      <w:pPr>
        <w:pStyle w:val="39"/>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依法免税或不需要缴纳社会保障资金的投标人，应提供相应文件证明其依法免税或不需要缴纳社会保障资金。</w:t>
      </w:r>
    </w:p>
    <w:p w14:paraId="43A8AB86">
      <w:pPr>
        <w:pStyle w:val="39"/>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br w:type="page"/>
      </w:r>
    </w:p>
    <w:p w14:paraId="055BFE2D">
      <w:pPr>
        <w:pStyle w:val="39"/>
        <w:numPr>
          <w:ilvl w:val="0"/>
          <w:numId w:val="15"/>
        </w:numPr>
        <w:tabs>
          <w:tab w:val="left" w:pos="630"/>
          <w:tab w:val="left" w:pos="840"/>
          <w:tab w:val="left" w:pos="1050"/>
        </w:tabs>
        <w:adjustRightInd w:val="0"/>
        <w:snapToGrid w:val="0"/>
        <w:spacing w:before="0" w:beforeAutospacing="0" w:after="0" w:afterAutospacing="0" w:line="360" w:lineRule="auto"/>
        <w:ind w:hanging="5"/>
        <w:rPr>
          <w:rFonts w:ascii="宋体" w:hAnsi="宋体" w:cs="宋体"/>
          <w:b/>
          <w:bCs/>
          <w:color w:val="auto"/>
          <w:sz w:val="21"/>
          <w:szCs w:val="21"/>
          <w:highlight w:val="none"/>
        </w:rPr>
      </w:pPr>
      <w:r>
        <w:rPr>
          <w:rFonts w:hint="eastAsia" w:ascii="宋体" w:hAnsi="宋体" w:cs="宋体"/>
          <w:b/>
          <w:bCs/>
          <w:color w:val="auto"/>
          <w:sz w:val="21"/>
          <w:szCs w:val="21"/>
          <w:highlight w:val="none"/>
        </w:rPr>
        <w:t>参加政府采购活动前三年内，在经营活动中没有重大违法记录：</w:t>
      </w:r>
    </w:p>
    <w:p w14:paraId="4DBEA1C3">
      <w:pPr>
        <w:pStyle w:val="39"/>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投标人须在投标文件中出具《声明函》。（参考格式如下）</w:t>
      </w:r>
    </w:p>
    <w:p w14:paraId="286CD256">
      <w:pPr>
        <w:pStyle w:val="39"/>
        <w:adjustRightInd w:val="0"/>
        <w:snapToGrid w:val="0"/>
        <w:spacing w:before="0" w:beforeAutospacing="0" w:after="0" w:afterAutospacing="0" w:line="360" w:lineRule="auto"/>
        <w:rPr>
          <w:rFonts w:ascii="宋体" w:hAnsi="宋体" w:cs="宋体"/>
          <w:b/>
          <w:bCs/>
          <w:color w:val="auto"/>
          <w:sz w:val="21"/>
          <w:szCs w:val="21"/>
          <w:highlight w:val="none"/>
        </w:rPr>
      </w:pPr>
    </w:p>
    <w:p w14:paraId="7F20BA82">
      <w:pPr>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声明函</w:t>
      </w:r>
    </w:p>
    <w:p w14:paraId="32BCD236">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u w:val="single"/>
        </w:rPr>
        <w:t>（采购人）：</w:t>
      </w:r>
    </w:p>
    <w:p w14:paraId="5292639B">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szCs w:val="21"/>
          <w:highlight w:val="none"/>
          <w:u w:val="single"/>
        </w:rPr>
        <w:t>（投标人）</w:t>
      </w:r>
      <w:r>
        <w:rPr>
          <w:rFonts w:hint="eastAsia" w:ascii="宋体" w:hAnsi="宋体" w:cs="宋体"/>
          <w:color w:val="auto"/>
          <w:szCs w:val="21"/>
          <w:highlight w:val="none"/>
        </w:rPr>
        <w:t>在参加政府采购活动前三年内，具有良好的商业信誉，依法缴纳税收和社会保障资金，</w:t>
      </w:r>
      <w:r>
        <w:rPr>
          <w:rFonts w:hint="eastAsia" w:ascii="宋体" w:hAnsi="宋体" w:cs="宋体"/>
          <w:color w:val="auto"/>
          <w:kern w:val="0"/>
          <w:szCs w:val="21"/>
          <w:highlight w:val="none"/>
        </w:rPr>
        <w:t>未被列入失信被执行人名单、重大税收违法案件当事人名单、政府采购严重违法失信行为记录名单，</w:t>
      </w:r>
      <w:r>
        <w:rPr>
          <w:rFonts w:hint="eastAsia" w:ascii="宋体" w:hAnsi="宋体" w:cs="宋体"/>
          <w:color w:val="auto"/>
          <w:szCs w:val="21"/>
          <w:highlight w:val="none"/>
        </w:rPr>
        <w:t>在经营活动中没有重大违法记录（没有因违法经营受到刑事处罚，没有被责令停产停业、被吊销许可证或者执照、被处以较大数额罚款等行政处罚，没有因违法经营被禁止参加政府采购活动的期限未满情形）</w:t>
      </w:r>
      <w:r>
        <w:rPr>
          <w:rFonts w:hint="eastAsia" w:ascii="宋体" w:hAnsi="宋体" w:cs="宋体"/>
          <w:color w:val="auto"/>
          <w:kern w:val="0"/>
          <w:szCs w:val="21"/>
          <w:highlight w:val="none"/>
        </w:rPr>
        <w:t>。如有虚假，采购人可取消我方任何资格（投标/中标/签订合同），我方对此无任何异议。</w:t>
      </w:r>
    </w:p>
    <w:p w14:paraId="61414E00">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特此声明！</w:t>
      </w:r>
    </w:p>
    <w:p w14:paraId="275E02F3">
      <w:pPr>
        <w:snapToGrid w:val="0"/>
        <w:spacing w:line="360" w:lineRule="auto"/>
        <w:rPr>
          <w:rFonts w:ascii="宋体" w:hAnsi="宋体" w:cs="宋体"/>
          <w:color w:val="auto"/>
          <w:highlight w:val="none"/>
        </w:rPr>
      </w:pPr>
    </w:p>
    <w:p w14:paraId="5A41A6C2">
      <w:pPr>
        <w:snapToGrid w:val="0"/>
        <w:spacing w:line="360" w:lineRule="auto"/>
        <w:rPr>
          <w:rFonts w:ascii="宋体" w:hAnsi="宋体" w:cs="宋体"/>
          <w:color w:val="auto"/>
          <w:spacing w:val="20"/>
          <w:highlight w:val="none"/>
          <w:u w:val="single"/>
        </w:rPr>
      </w:pPr>
      <w:r>
        <w:rPr>
          <w:rFonts w:hint="eastAsia" w:ascii="宋体" w:hAnsi="宋体" w:cs="宋体"/>
          <w:color w:val="auto"/>
          <w:highlight w:val="none"/>
        </w:rPr>
        <w:t>投标人全称（盖单位公章）：</w:t>
      </w:r>
    </w:p>
    <w:p w14:paraId="58583F60">
      <w:pPr>
        <w:snapToGrid w:val="0"/>
        <w:spacing w:line="360" w:lineRule="auto"/>
        <w:rPr>
          <w:rFonts w:ascii="宋体" w:hAnsi="宋体" w:cs="宋体"/>
          <w:color w:val="auto"/>
          <w:spacing w:val="20"/>
          <w:highlight w:val="none"/>
          <w:u w:val="single"/>
        </w:rPr>
      </w:pPr>
      <w:r>
        <w:rPr>
          <w:rFonts w:hint="eastAsia" w:ascii="宋体" w:hAnsi="宋体" w:cs="宋体"/>
          <w:color w:val="auto"/>
          <w:highlight w:val="none"/>
        </w:rPr>
        <w:t>法定代表人或授权代表（签字或盖章）：</w:t>
      </w:r>
    </w:p>
    <w:p w14:paraId="16138711">
      <w:pPr>
        <w:snapToGrid w:val="0"/>
        <w:spacing w:line="360" w:lineRule="auto"/>
        <w:rPr>
          <w:rFonts w:ascii="宋体" w:hAnsi="宋体" w:cs="宋体"/>
          <w:color w:val="auto"/>
          <w:spacing w:val="20"/>
          <w:highlight w:val="none"/>
        </w:rPr>
      </w:pPr>
      <w:r>
        <w:rPr>
          <w:rFonts w:hint="eastAsia" w:ascii="宋体" w:hAnsi="宋体" w:cs="宋体"/>
          <w:color w:val="auto"/>
          <w:spacing w:val="20"/>
          <w:highlight w:val="none"/>
        </w:rPr>
        <w:t xml:space="preserve">日期：  </w:t>
      </w:r>
      <w:r>
        <w:rPr>
          <w:rFonts w:hint="eastAsia" w:ascii="宋体" w:hAnsi="宋体" w:cs="宋体"/>
          <w:color w:val="auto"/>
          <w:highlight w:val="none"/>
        </w:rPr>
        <w:t>年  月  日</w:t>
      </w:r>
    </w:p>
    <w:p w14:paraId="771E90A7">
      <w:pPr>
        <w:pStyle w:val="39"/>
        <w:adjustRightInd w:val="0"/>
        <w:snapToGrid w:val="0"/>
        <w:spacing w:before="0" w:beforeAutospacing="0" w:after="0" w:afterAutospacing="0" w:line="360" w:lineRule="auto"/>
        <w:ind w:firstLine="360" w:firstLineChars="200"/>
        <w:rPr>
          <w:rFonts w:ascii="宋体" w:hAnsi="宋体" w:cs="宋体"/>
          <w:b/>
          <w:bCs/>
          <w:color w:val="auto"/>
          <w:sz w:val="21"/>
          <w:szCs w:val="21"/>
          <w:highlight w:val="none"/>
        </w:rPr>
      </w:pPr>
      <w:bookmarkStart w:id="153" w:name="_Toc8909"/>
      <w:bookmarkStart w:id="154" w:name="_Toc3961"/>
      <w:r>
        <w:rPr>
          <w:color w:val="auto"/>
          <w:highlight w:val="none"/>
        </w:rPr>
        <w:br w:type="page"/>
      </w:r>
      <w:r>
        <w:rPr>
          <w:rFonts w:hint="eastAsia"/>
          <w:color w:val="auto"/>
          <w:highlight w:val="none"/>
        </w:rPr>
        <w:t>2.3</w:t>
      </w:r>
      <w:r>
        <w:rPr>
          <w:rFonts w:hint="eastAsia" w:ascii="宋体" w:hAnsi="宋体" w:cs="宋体"/>
          <w:b/>
          <w:bCs/>
          <w:color w:val="auto"/>
          <w:sz w:val="21"/>
          <w:szCs w:val="21"/>
          <w:highlight w:val="none"/>
        </w:rPr>
        <w:t>特定</w:t>
      </w:r>
      <w:r>
        <w:rPr>
          <w:rFonts w:ascii="宋体" w:hAnsi="宋体" w:cs="宋体"/>
          <w:b/>
          <w:bCs/>
          <w:color w:val="auto"/>
          <w:sz w:val="21"/>
          <w:szCs w:val="21"/>
          <w:highlight w:val="none"/>
        </w:rPr>
        <w:t>资格条件</w:t>
      </w:r>
      <w:r>
        <w:rPr>
          <w:rFonts w:hint="eastAsia" w:ascii="宋体" w:hAnsi="宋体" w:cs="宋体"/>
          <w:b/>
          <w:color w:val="auto"/>
          <w:sz w:val="21"/>
          <w:szCs w:val="21"/>
          <w:highlight w:val="none"/>
        </w:rPr>
        <w:t>相关证明材料</w:t>
      </w:r>
    </w:p>
    <w:p w14:paraId="3263F99D">
      <w:pPr>
        <w:pStyle w:val="39"/>
        <w:adjustRightInd w:val="0"/>
        <w:snapToGrid w:val="0"/>
        <w:spacing w:before="0" w:beforeAutospacing="0" w:after="0" w:afterAutospacing="0"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投标人须在投标文件中出具符合以下情况的证明材料的扫描件</w:t>
      </w:r>
      <w:r>
        <w:rPr>
          <w:rFonts w:hint="eastAsia" w:ascii="宋体" w:hAnsi="宋体" w:cs="宋体"/>
          <w:b/>
          <w:bCs/>
          <w:color w:val="auto"/>
          <w:sz w:val="21"/>
          <w:szCs w:val="21"/>
          <w:highlight w:val="none"/>
          <w:lang w:val="en-US" w:eastAsia="zh-CN"/>
        </w:rPr>
        <w:t>并加盖投标人公章</w:t>
      </w:r>
      <w:r>
        <w:rPr>
          <w:rFonts w:hint="eastAsia" w:ascii="宋体" w:hAnsi="宋体" w:cs="宋体"/>
          <w:b/>
          <w:bCs/>
          <w:color w:val="auto"/>
          <w:sz w:val="21"/>
          <w:szCs w:val="21"/>
          <w:highlight w:val="none"/>
        </w:rPr>
        <w:t>。</w:t>
      </w:r>
    </w:p>
    <w:p w14:paraId="773FB69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1）投标人须具有住房城乡建设主管部门颁发的工程设计综合甲级资质或工程设计建筑行业</w:t>
      </w:r>
      <w:r>
        <w:rPr>
          <w:rFonts w:hint="eastAsia" w:ascii="宋体" w:hAnsi="宋体" w:cs="宋体"/>
          <w:color w:val="auto"/>
          <w:szCs w:val="21"/>
          <w:highlight w:val="none"/>
          <w:lang w:val="en-US" w:eastAsia="zh-CN"/>
        </w:rPr>
        <w:t>乙级</w:t>
      </w:r>
      <w:r>
        <w:rPr>
          <w:rFonts w:hint="eastAsia" w:ascii="宋体" w:hAnsi="宋体" w:cs="宋体"/>
          <w:color w:val="auto"/>
          <w:szCs w:val="21"/>
          <w:highlight w:val="none"/>
        </w:rPr>
        <w:t>资质或工程设计建筑行业（建筑工程专业）</w:t>
      </w:r>
      <w:r>
        <w:rPr>
          <w:rFonts w:hint="eastAsia" w:ascii="宋体" w:hAnsi="宋体" w:cs="宋体"/>
          <w:color w:val="auto"/>
          <w:szCs w:val="21"/>
          <w:highlight w:val="none"/>
          <w:lang w:val="en-US" w:eastAsia="zh-CN"/>
        </w:rPr>
        <w:t>乙级</w:t>
      </w:r>
      <w:r>
        <w:rPr>
          <w:rFonts w:hint="eastAsia" w:ascii="宋体" w:hAnsi="宋体" w:cs="宋体"/>
          <w:color w:val="auto"/>
          <w:szCs w:val="21"/>
          <w:highlight w:val="none"/>
        </w:rPr>
        <w:t>资质或建筑装饰工程设计专项甲级资质；</w:t>
      </w:r>
    </w:p>
    <w:p w14:paraId="1B76B2C3">
      <w:pPr>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2）投标人须具有住房城乡建设主管部门颁发的</w:t>
      </w:r>
      <w:r>
        <w:rPr>
          <w:rFonts w:hint="eastAsia" w:ascii="宋体" w:hAnsi="宋体" w:cs="宋体"/>
          <w:color w:val="auto"/>
          <w:szCs w:val="21"/>
          <w:highlight w:val="none"/>
          <w:lang w:val="en-US" w:eastAsia="zh-CN"/>
        </w:rPr>
        <w:t>建筑工程施工总承包二级及以上资质或</w:t>
      </w:r>
      <w:r>
        <w:rPr>
          <w:rFonts w:hint="eastAsia" w:ascii="宋体" w:hAnsi="宋体" w:cs="宋体"/>
          <w:color w:val="auto"/>
          <w:szCs w:val="21"/>
          <w:highlight w:val="none"/>
        </w:rPr>
        <w:t>建筑装修装饰工程专业承包一级资质，</w:t>
      </w:r>
      <w:r>
        <w:rPr>
          <w:rFonts w:hint="eastAsia" w:ascii="宋体" w:hAnsi="宋体" w:cs="宋体"/>
          <w:color w:val="auto"/>
          <w:szCs w:val="21"/>
          <w:highlight w:val="none"/>
          <w:lang w:val="en-US" w:eastAsia="zh-CN"/>
        </w:rPr>
        <w:t>且</w:t>
      </w:r>
      <w:r>
        <w:rPr>
          <w:rFonts w:hint="eastAsia" w:ascii="宋体" w:hAnsi="宋体" w:cs="宋体"/>
          <w:color w:val="auto"/>
          <w:szCs w:val="21"/>
          <w:highlight w:val="none"/>
        </w:rPr>
        <w:t>安全生产许可证处于有效期</w:t>
      </w:r>
      <w:r>
        <w:rPr>
          <w:rFonts w:hint="eastAsia" w:ascii="宋体" w:hAnsi="宋体" w:cs="宋体"/>
          <w:color w:val="auto"/>
          <w:szCs w:val="21"/>
          <w:highlight w:val="none"/>
          <w:lang w:val="en-US" w:eastAsia="zh-CN"/>
        </w:rPr>
        <w:t>内</w:t>
      </w:r>
      <w:r>
        <w:rPr>
          <w:rFonts w:hint="eastAsia" w:ascii="宋体" w:hAnsi="宋体" w:cs="宋体"/>
          <w:color w:val="auto"/>
          <w:szCs w:val="21"/>
          <w:highlight w:val="none"/>
          <w:lang w:eastAsia="zh-CN"/>
        </w:rPr>
        <w:t>；</w:t>
      </w:r>
    </w:p>
    <w:p w14:paraId="63E82721">
      <w:pPr>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3）投标人须具有中国展览馆协会展览陈列工程设计与施工一体化一级水平证书或中国展览馆协会展览工程企业一级水平证书</w:t>
      </w:r>
      <w:r>
        <w:rPr>
          <w:rFonts w:hint="eastAsia" w:ascii="宋体" w:hAnsi="宋体" w:eastAsia="宋体" w:cs="宋体"/>
          <w:color w:val="auto"/>
          <w:szCs w:val="21"/>
          <w:highlight w:val="none"/>
          <w:lang w:eastAsia="zh-CN"/>
        </w:rPr>
        <w:t>；</w:t>
      </w:r>
    </w:p>
    <w:p w14:paraId="73EF6987">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投标人必须提供</w:t>
      </w:r>
      <w:r>
        <w:rPr>
          <w:rFonts w:hint="eastAsia" w:ascii="宋体" w:hAnsi="宋体" w:eastAsia="宋体" w:cs="宋体"/>
          <w:color w:val="auto"/>
          <w:szCs w:val="21"/>
          <w:highlight w:val="none"/>
        </w:rPr>
        <w:t>以下人员</w:t>
      </w:r>
      <w:r>
        <w:rPr>
          <w:rFonts w:hint="eastAsia" w:ascii="宋体" w:hAnsi="宋体" w:eastAsia="宋体" w:cs="宋体"/>
          <w:color w:val="auto"/>
          <w:szCs w:val="21"/>
          <w:highlight w:val="none"/>
          <w:lang w:val="en-US" w:eastAsia="zh-CN"/>
        </w:rPr>
        <w:t>配置（提供相应证明材料：提供下列人员的相应资质证书扫描件、提供在投标单位（或投标单位依法登记的分支机构）近半年内（2024年9月-202</w:t>
      </w:r>
      <w:r>
        <w:rPr>
          <w:rFonts w:hint="eastAsia" w:ascii="宋体" w:hAnsi="宋体" w:cs="宋体"/>
          <w:color w:val="auto"/>
          <w:szCs w:val="21"/>
          <w:highlight w:val="none"/>
          <w:lang w:val="en-US" w:eastAsia="zh-CN"/>
        </w:rPr>
        <w:t>5年3月</w:t>
      </w:r>
      <w:r>
        <w:rPr>
          <w:rFonts w:hint="eastAsia" w:ascii="宋体" w:hAnsi="宋体" w:eastAsia="宋体" w:cs="宋体"/>
          <w:color w:val="auto"/>
          <w:szCs w:val="21"/>
          <w:highlight w:val="none"/>
          <w:lang w:val="en-US" w:eastAsia="zh-CN"/>
        </w:rPr>
        <w:t>）任意一个月的社保缴纳证明扫描件）</w:t>
      </w:r>
      <w:r>
        <w:rPr>
          <w:rFonts w:hint="eastAsia" w:ascii="宋体" w:hAnsi="宋体" w:eastAsia="宋体" w:cs="宋体"/>
          <w:color w:val="auto"/>
          <w:szCs w:val="21"/>
          <w:highlight w:val="none"/>
        </w:rPr>
        <w:t>：</w:t>
      </w:r>
    </w:p>
    <w:tbl>
      <w:tblPr>
        <w:tblStyle w:val="43"/>
        <w:tblW w:w="9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388"/>
        <w:gridCol w:w="934"/>
        <w:gridCol w:w="4865"/>
        <w:gridCol w:w="1566"/>
      </w:tblGrid>
      <w:tr w14:paraId="4A38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13" w:type="dxa"/>
            <w:noWrap w:val="0"/>
            <w:vAlign w:val="center"/>
          </w:tcPr>
          <w:p w14:paraId="4E953568">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序号</w:t>
            </w:r>
          </w:p>
        </w:tc>
        <w:tc>
          <w:tcPr>
            <w:tcW w:w="1388" w:type="dxa"/>
            <w:noWrap w:val="0"/>
            <w:vAlign w:val="center"/>
          </w:tcPr>
          <w:p w14:paraId="50A6EA56">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岗位</w:t>
            </w:r>
          </w:p>
        </w:tc>
        <w:tc>
          <w:tcPr>
            <w:tcW w:w="934" w:type="dxa"/>
            <w:noWrap w:val="0"/>
            <w:vAlign w:val="center"/>
          </w:tcPr>
          <w:p w14:paraId="005CD4A0">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人数</w:t>
            </w:r>
          </w:p>
        </w:tc>
        <w:tc>
          <w:tcPr>
            <w:tcW w:w="4865" w:type="dxa"/>
            <w:noWrap w:val="0"/>
            <w:vAlign w:val="center"/>
          </w:tcPr>
          <w:p w14:paraId="1260DE25">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具体要求</w:t>
            </w:r>
          </w:p>
        </w:tc>
        <w:tc>
          <w:tcPr>
            <w:tcW w:w="1566" w:type="dxa"/>
            <w:noWrap w:val="0"/>
            <w:vAlign w:val="center"/>
          </w:tcPr>
          <w:p w14:paraId="6E56105B">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备注</w:t>
            </w:r>
          </w:p>
        </w:tc>
      </w:tr>
      <w:tr w14:paraId="1748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13" w:type="dxa"/>
            <w:noWrap w:val="0"/>
            <w:vAlign w:val="center"/>
          </w:tcPr>
          <w:p w14:paraId="245186F9">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w:t>
            </w:r>
          </w:p>
        </w:tc>
        <w:tc>
          <w:tcPr>
            <w:tcW w:w="1388" w:type="dxa"/>
            <w:noWrap w:val="0"/>
            <w:vAlign w:val="center"/>
          </w:tcPr>
          <w:p w14:paraId="6E65E09A">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项目负责人</w:t>
            </w:r>
          </w:p>
        </w:tc>
        <w:tc>
          <w:tcPr>
            <w:tcW w:w="934" w:type="dxa"/>
            <w:noWrap w:val="0"/>
            <w:vAlign w:val="center"/>
          </w:tcPr>
          <w:p w14:paraId="7B6CF437">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865" w:type="dxa"/>
            <w:noWrap w:val="0"/>
            <w:vAlign w:val="center"/>
          </w:tcPr>
          <w:p w14:paraId="5DF9AE03">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具备建筑工程专业一级注册建造师执业资格</w:t>
            </w:r>
          </w:p>
        </w:tc>
        <w:tc>
          <w:tcPr>
            <w:tcW w:w="1566" w:type="dxa"/>
            <w:shd w:val="clear" w:color="auto" w:fill="auto"/>
            <w:noWrap w:val="0"/>
            <w:vAlign w:val="center"/>
          </w:tcPr>
          <w:p w14:paraId="3EBF8F0E">
            <w:pPr>
              <w:adjustRightInd w:val="0"/>
              <w:snapToGrid w:val="0"/>
              <w:spacing w:line="360" w:lineRule="auto"/>
              <w:jc w:val="center"/>
              <w:rPr>
                <w:rFonts w:hint="default" w:ascii="宋体" w:hAnsi="宋体" w:eastAsia="宋体" w:cs="宋体"/>
                <w:snapToGrid w:val="0"/>
                <w:color w:val="auto"/>
                <w:kern w:val="0"/>
                <w:sz w:val="21"/>
                <w:szCs w:val="21"/>
                <w:highlight w:val="none"/>
                <w:lang w:val="en-US" w:eastAsia="zh-CN" w:bidi="ar-SA"/>
              </w:rPr>
            </w:pPr>
            <w:r>
              <w:rPr>
                <w:rFonts w:hint="default" w:ascii="宋体" w:hAnsi="宋体" w:cs="宋体"/>
                <w:snapToGrid w:val="0"/>
                <w:color w:val="auto"/>
                <w:kern w:val="0"/>
                <w:szCs w:val="21"/>
                <w:highlight w:val="none"/>
              </w:rPr>
              <w:t>可以兼任施工项目负责人</w:t>
            </w:r>
          </w:p>
        </w:tc>
      </w:tr>
      <w:tr w14:paraId="66FB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13" w:type="dxa"/>
            <w:noWrap w:val="0"/>
            <w:vAlign w:val="center"/>
          </w:tcPr>
          <w:p w14:paraId="4337F96C">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2</w:t>
            </w:r>
          </w:p>
        </w:tc>
        <w:tc>
          <w:tcPr>
            <w:tcW w:w="1388" w:type="dxa"/>
            <w:noWrap w:val="0"/>
            <w:vAlign w:val="center"/>
          </w:tcPr>
          <w:p w14:paraId="0ABD0163">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设计负责人</w:t>
            </w:r>
          </w:p>
        </w:tc>
        <w:tc>
          <w:tcPr>
            <w:tcW w:w="934" w:type="dxa"/>
            <w:noWrap w:val="0"/>
            <w:vAlign w:val="center"/>
          </w:tcPr>
          <w:p w14:paraId="65D50A2F">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865" w:type="dxa"/>
            <w:noWrap w:val="0"/>
            <w:vAlign w:val="center"/>
          </w:tcPr>
          <w:p w14:paraId="76DA225D">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具备高级及以上专业技术职称</w:t>
            </w:r>
          </w:p>
        </w:tc>
        <w:tc>
          <w:tcPr>
            <w:tcW w:w="1566" w:type="dxa"/>
            <w:noWrap w:val="0"/>
            <w:vAlign w:val="center"/>
          </w:tcPr>
          <w:p w14:paraId="55ED9B83">
            <w:pPr>
              <w:adjustRightInd w:val="0"/>
              <w:snapToGrid w:val="0"/>
              <w:spacing w:line="360" w:lineRule="auto"/>
              <w:ind w:firstLine="420" w:firstLineChars="200"/>
              <w:jc w:val="center"/>
              <w:rPr>
                <w:rFonts w:ascii="宋体" w:hAnsi="宋体" w:cs="宋体"/>
                <w:snapToGrid w:val="0"/>
                <w:color w:val="auto"/>
                <w:kern w:val="0"/>
                <w:szCs w:val="21"/>
                <w:highlight w:val="none"/>
              </w:rPr>
            </w:pPr>
          </w:p>
        </w:tc>
      </w:tr>
      <w:tr w14:paraId="4A54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noWrap w:val="0"/>
            <w:vAlign w:val="center"/>
          </w:tcPr>
          <w:p w14:paraId="13D2C4E0">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3</w:t>
            </w:r>
          </w:p>
        </w:tc>
        <w:tc>
          <w:tcPr>
            <w:tcW w:w="1388" w:type="dxa"/>
            <w:noWrap w:val="0"/>
            <w:vAlign w:val="center"/>
          </w:tcPr>
          <w:p w14:paraId="5B9C3ED8">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施工项目负责人</w:t>
            </w:r>
          </w:p>
        </w:tc>
        <w:tc>
          <w:tcPr>
            <w:tcW w:w="934" w:type="dxa"/>
            <w:noWrap w:val="0"/>
            <w:vAlign w:val="center"/>
          </w:tcPr>
          <w:p w14:paraId="1EA2FECF">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865" w:type="dxa"/>
            <w:noWrap w:val="0"/>
            <w:vAlign w:val="center"/>
          </w:tcPr>
          <w:p w14:paraId="52156BEC">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具备建筑工程专业一级注册建造师执业资格和项目负责人安全生产考核合格证书</w:t>
            </w:r>
          </w:p>
        </w:tc>
        <w:tc>
          <w:tcPr>
            <w:tcW w:w="1566" w:type="dxa"/>
            <w:noWrap w:val="0"/>
            <w:vAlign w:val="center"/>
          </w:tcPr>
          <w:p w14:paraId="16FE517F">
            <w:pPr>
              <w:adjustRightInd w:val="0"/>
              <w:snapToGrid w:val="0"/>
              <w:spacing w:line="360" w:lineRule="auto"/>
              <w:ind w:firstLine="420" w:firstLineChars="200"/>
              <w:jc w:val="center"/>
              <w:rPr>
                <w:rFonts w:ascii="宋体" w:hAnsi="宋体" w:cs="宋体"/>
                <w:snapToGrid w:val="0"/>
                <w:color w:val="auto"/>
                <w:kern w:val="0"/>
                <w:szCs w:val="21"/>
                <w:highlight w:val="none"/>
              </w:rPr>
            </w:pPr>
          </w:p>
        </w:tc>
      </w:tr>
      <w:tr w14:paraId="79AE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noWrap w:val="0"/>
            <w:vAlign w:val="center"/>
          </w:tcPr>
          <w:p w14:paraId="5F6B2589">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4</w:t>
            </w:r>
          </w:p>
        </w:tc>
        <w:tc>
          <w:tcPr>
            <w:tcW w:w="1388" w:type="dxa"/>
            <w:noWrap w:val="0"/>
            <w:vAlign w:val="center"/>
          </w:tcPr>
          <w:p w14:paraId="03EABA06">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施工技术负责人</w:t>
            </w:r>
          </w:p>
        </w:tc>
        <w:tc>
          <w:tcPr>
            <w:tcW w:w="934" w:type="dxa"/>
            <w:noWrap w:val="0"/>
            <w:vAlign w:val="center"/>
          </w:tcPr>
          <w:p w14:paraId="5EB6C5C8">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1人</w:t>
            </w:r>
          </w:p>
        </w:tc>
        <w:tc>
          <w:tcPr>
            <w:tcW w:w="4865" w:type="dxa"/>
            <w:noWrap w:val="0"/>
            <w:vAlign w:val="center"/>
          </w:tcPr>
          <w:p w14:paraId="5E644F28">
            <w:pPr>
              <w:adjustRightInd w:val="0"/>
              <w:snapToGrid w:val="0"/>
              <w:spacing w:line="360" w:lineRule="auto"/>
              <w:jc w:val="center"/>
              <w:rPr>
                <w:rFonts w:ascii="宋体" w:hAnsi="宋体" w:cs="宋体"/>
                <w:snapToGrid w:val="0"/>
                <w:color w:val="auto"/>
                <w:kern w:val="0"/>
                <w:szCs w:val="21"/>
                <w:highlight w:val="none"/>
              </w:rPr>
            </w:pPr>
            <w:r>
              <w:rPr>
                <w:rFonts w:ascii="宋体" w:hAnsi="宋体" w:cs="宋体"/>
                <w:snapToGrid w:val="0"/>
                <w:color w:val="auto"/>
                <w:kern w:val="0"/>
                <w:szCs w:val="21"/>
                <w:highlight w:val="none"/>
              </w:rPr>
              <w:t>具备建筑工程相关专业高级及以上专业技术职称</w:t>
            </w:r>
          </w:p>
        </w:tc>
        <w:tc>
          <w:tcPr>
            <w:tcW w:w="1566" w:type="dxa"/>
            <w:noWrap w:val="0"/>
            <w:vAlign w:val="center"/>
          </w:tcPr>
          <w:p w14:paraId="0526499F">
            <w:pPr>
              <w:adjustRightInd w:val="0"/>
              <w:snapToGrid w:val="0"/>
              <w:spacing w:line="360" w:lineRule="auto"/>
              <w:ind w:firstLine="420" w:firstLineChars="200"/>
              <w:jc w:val="center"/>
              <w:rPr>
                <w:rFonts w:ascii="宋体" w:hAnsi="宋体" w:cs="宋体"/>
                <w:snapToGrid w:val="0"/>
                <w:color w:val="auto"/>
                <w:kern w:val="0"/>
                <w:szCs w:val="21"/>
                <w:highlight w:val="none"/>
              </w:rPr>
            </w:pPr>
          </w:p>
        </w:tc>
      </w:tr>
    </w:tbl>
    <w:p w14:paraId="490F139A">
      <w:pPr>
        <w:rPr>
          <w:color w:val="auto"/>
          <w:highlight w:val="none"/>
        </w:rPr>
      </w:pPr>
    </w:p>
    <w:p w14:paraId="227D3163">
      <w:pPr>
        <w:rPr>
          <w:color w:val="auto"/>
          <w:highlight w:val="none"/>
        </w:rPr>
      </w:pPr>
    </w:p>
    <w:p w14:paraId="4ACE22D7">
      <w:pPr>
        <w:rPr>
          <w:color w:val="auto"/>
          <w:highlight w:val="none"/>
        </w:rPr>
      </w:pPr>
    </w:p>
    <w:p w14:paraId="1E15AE6A">
      <w:pPr>
        <w:rPr>
          <w:color w:val="auto"/>
          <w:highlight w:val="none"/>
        </w:rPr>
      </w:pPr>
    </w:p>
    <w:p w14:paraId="36B84A2E">
      <w:pPr>
        <w:rPr>
          <w:color w:val="auto"/>
          <w:highlight w:val="none"/>
        </w:rPr>
      </w:pPr>
    </w:p>
    <w:p w14:paraId="3FFA4BD9">
      <w:pPr>
        <w:rPr>
          <w:color w:val="auto"/>
          <w:highlight w:val="none"/>
        </w:rPr>
      </w:pPr>
    </w:p>
    <w:p w14:paraId="279A16E0">
      <w:pPr>
        <w:rPr>
          <w:color w:val="auto"/>
          <w:highlight w:val="none"/>
        </w:rPr>
      </w:pPr>
    </w:p>
    <w:p w14:paraId="2B7C46D0">
      <w:pPr>
        <w:rPr>
          <w:color w:val="auto"/>
          <w:highlight w:val="none"/>
        </w:rPr>
      </w:pPr>
    </w:p>
    <w:p w14:paraId="6E4A6243">
      <w:pPr>
        <w:rPr>
          <w:color w:val="auto"/>
          <w:highlight w:val="none"/>
        </w:rPr>
      </w:pPr>
    </w:p>
    <w:p w14:paraId="52531B03">
      <w:pPr>
        <w:rPr>
          <w:color w:val="auto"/>
          <w:highlight w:val="none"/>
        </w:rPr>
      </w:pPr>
    </w:p>
    <w:p w14:paraId="348A89B3">
      <w:pPr>
        <w:rPr>
          <w:color w:val="auto"/>
          <w:highlight w:val="none"/>
        </w:rPr>
      </w:pPr>
    </w:p>
    <w:p w14:paraId="4CCB8FE0">
      <w:pPr>
        <w:rPr>
          <w:color w:val="auto"/>
          <w:highlight w:val="none"/>
        </w:rPr>
      </w:pPr>
    </w:p>
    <w:p w14:paraId="089221AF">
      <w:pPr>
        <w:rPr>
          <w:color w:val="auto"/>
          <w:highlight w:val="none"/>
        </w:rPr>
      </w:pPr>
    </w:p>
    <w:p w14:paraId="2015BB1A">
      <w:pPr>
        <w:rPr>
          <w:color w:val="auto"/>
          <w:highlight w:val="none"/>
        </w:rPr>
      </w:pPr>
    </w:p>
    <w:p w14:paraId="75C19CCF">
      <w:pPr>
        <w:rPr>
          <w:color w:val="auto"/>
          <w:highlight w:val="none"/>
        </w:rPr>
      </w:pPr>
    </w:p>
    <w:p w14:paraId="5D7ACF8B">
      <w:pPr>
        <w:rPr>
          <w:color w:val="auto"/>
          <w:highlight w:val="none"/>
        </w:rPr>
      </w:pPr>
    </w:p>
    <w:p w14:paraId="3B66B886">
      <w:pPr>
        <w:rPr>
          <w:color w:val="auto"/>
          <w:highlight w:val="none"/>
        </w:rPr>
      </w:pPr>
    </w:p>
    <w:p w14:paraId="7A8C3D42">
      <w:pPr>
        <w:rPr>
          <w:color w:val="auto"/>
          <w:highlight w:val="none"/>
        </w:rPr>
      </w:pPr>
    </w:p>
    <w:p w14:paraId="74138EC3">
      <w:pPr>
        <w:rPr>
          <w:color w:val="auto"/>
          <w:highlight w:val="none"/>
        </w:rPr>
      </w:pPr>
    </w:p>
    <w:p w14:paraId="3428FB58">
      <w:pPr>
        <w:rPr>
          <w:color w:val="auto"/>
          <w:highlight w:val="none"/>
        </w:rPr>
      </w:pPr>
    </w:p>
    <w:p w14:paraId="76F73302">
      <w:pPr>
        <w:rPr>
          <w:color w:val="auto"/>
          <w:highlight w:val="none"/>
        </w:rPr>
      </w:pPr>
    </w:p>
    <w:p w14:paraId="0839481C">
      <w:pPr>
        <w:pStyle w:val="2"/>
        <w:rPr>
          <w:highlight w:val="none"/>
        </w:rPr>
      </w:pPr>
    </w:p>
    <w:p w14:paraId="38C9D421">
      <w:pPr>
        <w:rPr>
          <w:color w:val="auto"/>
          <w:highlight w:val="none"/>
        </w:rPr>
      </w:pPr>
    </w:p>
    <w:p w14:paraId="0114939B">
      <w:pPr>
        <w:rPr>
          <w:color w:val="auto"/>
          <w:highlight w:val="none"/>
        </w:rPr>
      </w:pPr>
    </w:p>
    <w:p w14:paraId="4901BEC7">
      <w:pPr>
        <w:spacing w:after="100" w:afterAutospacing="1"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联合体投标协议书</w:t>
      </w:r>
    </w:p>
    <w:p w14:paraId="4C70A78E">
      <w:pPr>
        <w:pStyle w:val="56"/>
        <w:snapToGrid w:val="0"/>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（格式供参考）</w:t>
      </w:r>
    </w:p>
    <w:p w14:paraId="406FE76F">
      <w:pPr>
        <w:pStyle w:val="56"/>
        <w:snapToGrid w:val="0"/>
        <w:spacing w:line="360" w:lineRule="auto"/>
        <w:rPr>
          <w:rFonts w:ascii="宋体" w:hAnsi="宋体" w:eastAsia="宋体" w:cs="宋体"/>
          <w:color w:val="auto"/>
          <w:highlight w:val="none"/>
        </w:rPr>
      </w:pPr>
      <w:r>
        <w:rPr>
          <w:rFonts w:hint="eastAsia" w:ascii="宋体" w:hAnsi="宋体" w:eastAsia="宋体" w:cs="宋体"/>
          <w:color w:val="auto"/>
          <w:highlight w:val="none"/>
        </w:rPr>
        <w:t>（所有成员单位名称）自愿组成（联合体名称）联合体，共同参加（项目名称）（项目编号）投标。现就联合体投标事宜订立如下协议。</w:t>
      </w:r>
    </w:p>
    <w:p w14:paraId="3F248F4B">
      <w:pPr>
        <w:pStyle w:val="153"/>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1、（某成员单位名称）为（联合体名称）牵头人。</w:t>
      </w:r>
    </w:p>
    <w:p w14:paraId="6BD6D21A">
      <w:pPr>
        <w:pStyle w:val="154"/>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53C53D86">
      <w:pPr>
        <w:pStyle w:val="155"/>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3、联合体将严格按照招标文件的各项要求，递交投标文件，履行合同，并对招标人承担连带责任。</w:t>
      </w:r>
    </w:p>
    <w:p w14:paraId="588819DA">
      <w:pPr>
        <w:pStyle w:val="155"/>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4、联合体各成员单位内部的职责分工如下</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5892642">
      <w:pPr>
        <w:pStyle w:val="155"/>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5、联合体各成员单位关于收取招标人支付项目各项费用的约定如下：</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B297734">
      <w:pPr>
        <w:pStyle w:val="155"/>
        <w:snapToGrid w:val="0"/>
        <w:spacing w:line="360" w:lineRule="auto"/>
        <w:ind w:firstLine="48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联合体各成员单位</w:t>
      </w:r>
      <w:r>
        <w:rPr>
          <w:rFonts w:hint="eastAsia" w:ascii="宋体" w:hAnsi="宋体" w:eastAsia="宋体" w:cs="宋体"/>
          <w:color w:val="auto"/>
          <w:highlight w:val="none"/>
          <w:lang w:val="en-US" w:eastAsia="zh-CN"/>
        </w:rPr>
        <w:t>合同份额占比如下：</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487CB49E">
      <w:pPr>
        <w:pStyle w:val="155"/>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、本协议书自签署之日起生效。</w:t>
      </w:r>
    </w:p>
    <w:p w14:paraId="457AD60B">
      <w:pPr>
        <w:pStyle w:val="155"/>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、本协议书一式    份，联合体成员和招标人各执一份。</w:t>
      </w:r>
    </w:p>
    <w:p w14:paraId="617CC425">
      <w:pPr>
        <w:pStyle w:val="155"/>
        <w:snapToGrid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注：本协议书由委托代理人签字的，应附法定代表人签字或盖章的授权委托书。</w:t>
      </w:r>
    </w:p>
    <w:p w14:paraId="12A550FA">
      <w:pPr>
        <w:pStyle w:val="156"/>
        <w:snapToGrid w:val="0"/>
        <w:spacing w:line="360" w:lineRule="auto"/>
        <w:ind w:firstLine="480" w:firstLineChars="200"/>
        <w:rPr>
          <w:rFonts w:ascii="宋体" w:hAnsi="宋体" w:eastAsia="宋体" w:cs="宋体"/>
          <w:color w:val="auto"/>
          <w:highlight w:val="none"/>
        </w:rPr>
      </w:pPr>
    </w:p>
    <w:p w14:paraId="0E2958D1">
      <w:pPr>
        <w:pStyle w:val="156"/>
        <w:snapToGrid w:val="0"/>
        <w:spacing w:line="360" w:lineRule="auto"/>
        <w:ind w:firstLine="480" w:firstLineChars="200"/>
        <w:rPr>
          <w:rFonts w:ascii="宋体" w:hAnsi="宋体" w:eastAsia="宋体" w:cs="宋体"/>
          <w:color w:val="auto"/>
          <w:highlight w:val="none"/>
        </w:rPr>
      </w:pPr>
    </w:p>
    <w:p w14:paraId="29EC1747">
      <w:pPr>
        <w:pStyle w:val="56"/>
        <w:snapToGrid w:val="0"/>
        <w:spacing w:line="360" w:lineRule="auto"/>
        <w:ind w:firstLine="480" w:firstLineChars="200"/>
        <w:rPr>
          <w:rFonts w:ascii="宋体" w:hAnsi="宋体" w:eastAsia="宋体" w:cs="宋体"/>
          <w:color w:val="auto"/>
          <w:highlight w:val="none"/>
          <w:u w:val="single"/>
        </w:rPr>
      </w:pPr>
      <w:r>
        <w:rPr>
          <w:rFonts w:hint="eastAsia" w:ascii="宋体" w:hAnsi="宋体" w:eastAsia="宋体" w:cs="宋体"/>
          <w:color w:val="auto"/>
          <w:highlight w:val="none"/>
          <w:u w:val="single"/>
        </w:rPr>
        <w:t>牵头人名称：（盖单位章）</w:t>
      </w:r>
    </w:p>
    <w:p w14:paraId="0C56B2BC">
      <w:pPr>
        <w:pStyle w:val="56"/>
        <w:snapToGrid w:val="0"/>
        <w:spacing w:line="360" w:lineRule="auto"/>
        <w:ind w:firstLine="480" w:firstLineChars="200"/>
        <w:rPr>
          <w:rFonts w:ascii="宋体" w:hAnsi="宋体" w:eastAsia="宋体" w:cs="宋体"/>
          <w:color w:val="auto"/>
          <w:highlight w:val="none"/>
          <w:u w:val="single"/>
        </w:rPr>
      </w:pPr>
      <w:r>
        <w:rPr>
          <w:rFonts w:hint="eastAsia" w:ascii="宋体" w:hAnsi="宋体" w:eastAsia="宋体" w:cs="宋体"/>
          <w:color w:val="auto"/>
          <w:highlight w:val="none"/>
          <w:u w:val="single"/>
        </w:rPr>
        <w:t>法定代表人盖章或其委托代理人签字：</w:t>
      </w:r>
    </w:p>
    <w:p w14:paraId="077DCCB5">
      <w:pPr>
        <w:pStyle w:val="56"/>
        <w:snapToGrid w:val="0"/>
        <w:spacing w:line="360" w:lineRule="auto"/>
        <w:ind w:firstLine="480" w:firstLineChars="200"/>
        <w:rPr>
          <w:rFonts w:ascii="宋体" w:hAnsi="宋体" w:eastAsia="宋体" w:cs="宋体"/>
          <w:color w:val="auto"/>
          <w:highlight w:val="none"/>
          <w:u w:val="single"/>
        </w:rPr>
      </w:pPr>
    </w:p>
    <w:p w14:paraId="4C006DCC">
      <w:pPr>
        <w:pStyle w:val="56"/>
        <w:snapToGrid w:val="0"/>
        <w:spacing w:line="360" w:lineRule="auto"/>
        <w:ind w:firstLine="480" w:firstLineChars="200"/>
        <w:rPr>
          <w:rFonts w:ascii="宋体" w:hAnsi="宋体" w:eastAsia="宋体" w:cs="宋体"/>
          <w:color w:val="auto"/>
          <w:highlight w:val="none"/>
          <w:u w:val="single"/>
        </w:rPr>
      </w:pPr>
      <w:r>
        <w:rPr>
          <w:rFonts w:hint="eastAsia" w:ascii="宋体" w:hAnsi="宋体" w:eastAsia="宋体" w:cs="宋体"/>
          <w:color w:val="auto"/>
          <w:highlight w:val="none"/>
          <w:u w:val="single"/>
        </w:rPr>
        <w:t>成员名称：（盖单位章）</w:t>
      </w:r>
    </w:p>
    <w:p w14:paraId="01F8FDB9">
      <w:pPr>
        <w:pStyle w:val="56"/>
        <w:snapToGrid w:val="0"/>
        <w:spacing w:line="360" w:lineRule="auto"/>
        <w:ind w:firstLine="480" w:firstLineChars="200"/>
        <w:rPr>
          <w:rFonts w:ascii="宋体" w:hAnsi="宋体" w:eastAsia="宋体" w:cs="宋体"/>
          <w:color w:val="auto"/>
          <w:highlight w:val="none"/>
          <w:u w:val="single"/>
        </w:rPr>
      </w:pPr>
      <w:r>
        <w:rPr>
          <w:rFonts w:hint="eastAsia" w:ascii="宋体" w:hAnsi="宋体" w:eastAsia="宋体" w:cs="宋体"/>
          <w:color w:val="auto"/>
          <w:highlight w:val="none"/>
          <w:u w:val="single"/>
        </w:rPr>
        <w:t xml:space="preserve">法定代表人盖章或其委托代理人签字： </w:t>
      </w:r>
    </w:p>
    <w:p w14:paraId="2B54061E">
      <w:pPr>
        <w:pStyle w:val="56"/>
        <w:snapToGrid w:val="0"/>
        <w:spacing w:line="360" w:lineRule="auto"/>
        <w:ind w:firstLine="480" w:firstLineChars="200"/>
        <w:rPr>
          <w:rFonts w:ascii="宋体" w:hAnsi="宋体" w:eastAsia="宋体" w:cs="宋体"/>
          <w:color w:val="auto"/>
          <w:highlight w:val="none"/>
          <w:u w:val="single"/>
        </w:rPr>
      </w:pPr>
    </w:p>
    <w:p w14:paraId="456EF861">
      <w:pPr>
        <w:pStyle w:val="56"/>
        <w:snapToGrid w:val="0"/>
        <w:spacing w:line="360" w:lineRule="auto"/>
        <w:ind w:firstLine="480" w:firstLineChars="200"/>
        <w:rPr>
          <w:rFonts w:ascii="宋体" w:hAnsi="宋体" w:eastAsia="宋体" w:cs="宋体"/>
          <w:color w:val="auto"/>
          <w:highlight w:val="none"/>
          <w:u w:val="single"/>
        </w:rPr>
      </w:pPr>
    </w:p>
    <w:p w14:paraId="0509619A">
      <w:pPr>
        <w:pStyle w:val="56"/>
        <w:snapToGrid w:val="0"/>
        <w:spacing w:line="360" w:lineRule="auto"/>
        <w:ind w:firstLine="6600" w:firstLineChars="2750"/>
        <w:rPr>
          <w:rFonts w:ascii="宋体" w:hAnsi="宋体" w:eastAsia="宋体" w:cs="宋体"/>
          <w:color w:val="auto"/>
          <w:highlight w:val="none"/>
        </w:rPr>
      </w:pPr>
      <w:r>
        <w:rPr>
          <w:rFonts w:hint="eastAsia" w:ascii="宋体" w:hAnsi="宋体" w:eastAsia="宋体" w:cs="宋体"/>
          <w:color w:val="auto"/>
          <w:highlight w:val="none"/>
        </w:rPr>
        <w:t xml:space="preserve">  年  月   日</w:t>
      </w:r>
    </w:p>
    <w:p w14:paraId="118270AE">
      <w:pPr>
        <w:rPr>
          <w:color w:val="auto"/>
          <w:highlight w:val="none"/>
        </w:rPr>
      </w:pPr>
    </w:p>
    <w:p w14:paraId="0FE7FA98">
      <w:pPr>
        <w:rPr>
          <w:color w:val="auto"/>
          <w:highlight w:val="none"/>
        </w:rPr>
      </w:pPr>
    </w:p>
    <w:p w14:paraId="62014D5F">
      <w:pPr>
        <w:rPr>
          <w:color w:val="auto"/>
          <w:highlight w:val="none"/>
        </w:rPr>
      </w:pPr>
    </w:p>
    <w:p w14:paraId="48A6B4D6">
      <w:pPr>
        <w:rPr>
          <w:rFonts w:ascii="宋体" w:hAnsi="宋体" w:cs="宋体"/>
          <w:b/>
          <w:bCs/>
          <w:color w:val="auto"/>
          <w:sz w:val="24"/>
          <w:highlight w:val="none"/>
        </w:rPr>
      </w:pPr>
      <w:bookmarkStart w:id="155" w:name="_Toc85359523"/>
      <w:bookmarkStart w:id="156" w:name="_Toc10586"/>
      <w:r>
        <w:rPr>
          <w:rFonts w:hint="eastAsia" w:ascii="宋体" w:hAnsi="宋体" w:cs="宋体"/>
          <w:b/>
          <w:bCs/>
          <w:color w:val="auto"/>
          <w:sz w:val="24"/>
          <w:highlight w:val="none"/>
        </w:rPr>
        <w:br w:type="page"/>
      </w:r>
    </w:p>
    <w:p w14:paraId="21F4FB95">
      <w:pPr>
        <w:autoSpaceDE w:val="0"/>
        <w:autoSpaceDN w:val="0"/>
        <w:adjustRightInd w:val="0"/>
        <w:spacing w:line="360" w:lineRule="auto"/>
        <w:outlineLvl w:val="1"/>
        <w:rPr>
          <w:rFonts w:ascii="宋体" w:hAnsi="宋体" w:cs="宋体"/>
          <w:b/>
          <w:bCs/>
          <w:color w:val="auto"/>
          <w:sz w:val="24"/>
          <w:highlight w:val="none"/>
        </w:rPr>
      </w:pPr>
      <w:r>
        <w:rPr>
          <w:rFonts w:hint="eastAsia" w:ascii="宋体" w:hAnsi="宋体" w:cs="宋体"/>
          <w:b/>
          <w:bCs/>
          <w:color w:val="auto"/>
          <w:sz w:val="24"/>
          <w:highlight w:val="none"/>
        </w:rPr>
        <w:t>三、商务技术文件部分格式</w:t>
      </w:r>
      <w:bookmarkEnd w:id="153"/>
      <w:bookmarkEnd w:id="154"/>
      <w:bookmarkEnd w:id="155"/>
      <w:bookmarkEnd w:id="156"/>
    </w:p>
    <w:p w14:paraId="139AA269">
      <w:pPr>
        <w:autoSpaceDE w:val="0"/>
        <w:autoSpaceDN w:val="0"/>
        <w:adjustRightInd w:val="0"/>
        <w:spacing w:line="360" w:lineRule="auto"/>
        <w:rPr>
          <w:rFonts w:ascii="宋体" w:hAnsi="宋体" w:cs="宋体"/>
          <w:b/>
          <w:color w:val="auto"/>
          <w:szCs w:val="21"/>
          <w:highlight w:val="none"/>
        </w:rPr>
      </w:pPr>
      <w:r>
        <w:rPr>
          <w:rFonts w:hint="eastAsia" w:ascii="宋体" w:hAnsi="宋体" w:cs="宋体"/>
          <w:b/>
          <w:color w:val="auto"/>
          <w:szCs w:val="21"/>
          <w:highlight w:val="none"/>
        </w:rPr>
        <w:t>（顺序不做强制；未提供各式的，可自行提供）</w:t>
      </w:r>
    </w:p>
    <w:p w14:paraId="296C5929">
      <w:pPr>
        <w:autoSpaceDE w:val="0"/>
        <w:autoSpaceDN w:val="0"/>
        <w:adjustRightInd w:val="0"/>
        <w:spacing w:line="360" w:lineRule="auto"/>
        <w:rPr>
          <w:rFonts w:ascii="宋体" w:hAnsi="宋体" w:cs="宋体"/>
          <w:b/>
          <w:color w:val="auto"/>
          <w:szCs w:val="21"/>
          <w:highlight w:val="none"/>
        </w:rPr>
      </w:pPr>
      <w:r>
        <w:rPr>
          <w:rFonts w:hint="eastAsia" w:ascii="宋体" w:hAnsi="宋体" w:cs="宋体"/>
          <w:b/>
          <w:color w:val="auto"/>
          <w:szCs w:val="21"/>
          <w:highlight w:val="none"/>
        </w:rPr>
        <w:t>3.1评分索引表；</w:t>
      </w:r>
    </w:p>
    <w:p w14:paraId="122531AF">
      <w:pPr>
        <w:pStyle w:val="24"/>
        <w:snapToGrid w:val="0"/>
        <w:spacing w:line="360" w:lineRule="auto"/>
        <w:jc w:val="center"/>
        <w:rPr>
          <w:rFonts w:ascii="宋体" w:hAnsi="宋体" w:eastAsia="宋体" w:cs="宋体"/>
          <w:b/>
          <w:snapToGrid w:val="0"/>
          <w:color w:val="auto"/>
          <w:kern w:val="0"/>
          <w:sz w:val="28"/>
          <w:szCs w:val="28"/>
          <w:highlight w:val="none"/>
        </w:rPr>
      </w:pPr>
      <w:r>
        <w:rPr>
          <w:rFonts w:hint="eastAsia" w:ascii="宋体" w:hAnsi="宋体" w:eastAsia="宋体" w:cs="宋体"/>
          <w:b/>
          <w:snapToGrid w:val="0"/>
          <w:color w:val="auto"/>
          <w:kern w:val="0"/>
          <w:sz w:val="28"/>
          <w:szCs w:val="28"/>
          <w:highlight w:val="none"/>
        </w:rPr>
        <w:t>评分索引表</w:t>
      </w:r>
    </w:p>
    <w:tbl>
      <w:tblPr>
        <w:tblStyle w:val="43"/>
        <w:tblW w:w="90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5"/>
        <w:gridCol w:w="5033"/>
        <w:gridCol w:w="1134"/>
        <w:gridCol w:w="1082"/>
        <w:gridCol w:w="1044"/>
      </w:tblGrid>
      <w:tr w14:paraId="46212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4CDB1849">
            <w:pPr>
              <w:adjustRightInd w:val="0"/>
              <w:snapToGrid w:val="0"/>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序号</w:t>
            </w:r>
          </w:p>
        </w:tc>
        <w:tc>
          <w:tcPr>
            <w:tcW w:w="5033" w:type="dxa"/>
            <w:vAlign w:val="center"/>
          </w:tcPr>
          <w:p w14:paraId="7E2003BE">
            <w:pPr>
              <w:adjustRightInd w:val="0"/>
              <w:snapToGrid w:val="0"/>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评分细则内容</w:t>
            </w:r>
          </w:p>
        </w:tc>
        <w:tc>
          <w:tcPr>
            <w:tcW w:w="1134" w:type="dxa"/>
            <w:vAlign w:val="center"/>
          </w:tcPr>
          <w:p w14:paraId="055DF1FC">
            <w:pPr>
              <w:adjustRightInd w:val="0"/>
              <w:snapToGrid w:val="0"/>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投标响应情况</w:t>
            </w:r>
          </w:p>
        </w:tc>
        <w:tc>
          <w:tcPr>
            <w:tcW w:w="1082" w:type="dxa"/>
            <w:vAlign w:val="center"/>
          </w:tcPr>
          <w:p w14:paraId="34E7EFE5">
            <w:pPr>
              <w:adjustRightInd w:val="0"/>
              <w:snapToGrid w:val="0"/>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证明材料所在页码</w:t>
            </w:r>
          </w:p>
        </w:tc>
        <w:tc>
          <w:tcPr>
            <w:tcW w:w="1044" w:type="dxa"/>
            <w:vAlign w:val="center"/>
          </w:tcPr>
          <w:p w14:paraId="718B6CA5">
            <w:pPr>
              <w:adjustRightInd w:val="0"/>
              <w:snapToGrid w:val="0"/>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备注</w:t>
            </w:r>
          </w:p>
        </w:tc>
      </w:tr>
      <w:tr w14:paraId="5EC9A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7D1FB29D">
            <w:pPr>
              <w:adjustRightInd w:val="0"/>
              <w:snapToGrid w:val="0"/>
              <w:jc w:val="center"/>
              <w:rPr>
                <w:rFonts w:ascii="宋体" w:hAnsi="宋体" w:cs="宋体"/>
                <w:snapToGrid w:val="0"/>
                <w:color w:val="auto"/>
                <w:kern w:val="0"/>
                <w:szCs w:val="21"/>
                <w:highlight w:val="none"/>
              </w:rPr>
            </w:pPr>
          </w:p>
        </w:tc>
        <w:tc>
          <w:tcPr>
            <w:tcW w:w="5033" w:type="dxa"/>
            <w:vAlign w:val="center"/>
          </w:tcPr>
          <w:p w14:paraId="6CA74276">
            <w:pPr>
              <w:adjustRightInd w:val="0"/>
              <w:snapToGrid w:val="0"/>
              <w:rPr>
                <w:rFonts w:ascii="宋体" w:hAnsi="宋体" w:cs="宋体"/>
                <w:snapToGrid w:val="0"/>
                <w:color w:val="auto"/>
                <w:kern w:val="0"/>
                <w:szCs w:val="21"/>
                <w:highlight w:val="none"/>
              </w:rPr>
            </w:pPr>
          </w:p>
        </w:tc>
        <w:tc>
          <w:tcPr>
            <w:tcW w:w="1134" w:type="dxa"/>
            <w:vAlign w:val="center"/>
          </w:tcPr>
          <w:p w14:paraId="1E58B2B5">
            <w:pPr>
              <w:adjustRightInd w:val="0"/>
              <w:snapToGrid w:val="0"/>
              <w:jc w:val="center"/>
              <w:rPr>
                <w:rFonts w:ascii="宋体" w:hAnsi="宋体" w:cs="宋体"/>
                <w:b/>
                <w:snapToGrid w:val="0"/>
                <w:color w:val="auto"/>
                <w:kern w:val="0"/>
                <w:szCs w:val="21"/>
                <w:highlight w:val="none"/>
              </w:rPr>
            </w:pPr>
          </w:p>
        </w:tc>
        <w:tc>
          <w:tcPr>
            <w:tcW w:w="1082" w:type="dxa"/>
            <w:vAlign w:val="center"/>
          </w:tcPr>
          <w:p w14:paraId="7DDC9828">
            <w:pPr>
              <w:adjustRightInd w:val="0"/>
              <w:snapToGrid w:val="0"/>
              <w:jc w:val="center"/>
              <w:rPr>
                <w:rFonts w:ascii="宋体" w:hAnsi="宋体" w:cs="宋体"/>
                <w:b/>
                <w:snapToGrid w:val="0"/>
                <w:color w:val="auto"/>
                <w:kern w:val="0"/>
                <w:szCs w:val="21"/>
                <w:highlight w:val="none"/>
              </w:rPr>
            </w:pPr>
          </w:p>
        </w:tc>
        <w:tc>
          <w:tcPr>
            <w:tcW w:w="1044" w:type="dxa"/>
            <w:vAlign w:val="center"/>
          </w:tcPr>
          <w:p w14:paraId="75C4AB3F">
            <w:pPr>
              <w:adjustRightInd w:val="0"/>
              <w:snapToGrid w:val="0"/>
              <w:jc w:val="center"/>
              <w:rPr>
                <w:rFonts w:ascii="宋体" w:hAnsi="宋体" w:cs="宋体"/>
                <w:b/>
                <w:snapToGrid w:val="0"/>
                <w:color w:val="auto"/>
                <w:kern w:val="0"/>
                <w:szCs w:val="21"/>
                <w:highlight w:val="none"/>
              </w:rPr>
            </w:pPr>
          </w:p>
        </w:tc>
      </w:tr>
      <w:tr w14:paraId="5970F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746E5BAC">
            <w:pPr>
              <w:adjustRightInd w:val="0"/>
              <w:snapToGrid w:val="0"/>
              <w:jc w:val="center"/>
              <w:rPr>
                <w:rFonts w:ascii="宋体" w:hAnsi="宋体" w:cs="宋体"/>
                <w:snapToGrid w:val="0"/>
                <w:color w:val="auto"/>
                <w:kern w:val="0"/>
                <w:szCs w:val="21"/>
                <w:highlight w:val="none"/>
              </w:rPr>
            </w:pPr>
          </w:p>
        </w:tc>
        <w:tc>
          <w:tcPr>
            <w:tcW w:w="5033" w:type="dxa"/>
            <w:vAlign w:val="center"/>
          </w:tcPr>
          <w:p w14:paraId="7B95A075">
            <w:pPr>
              <w:adjustRightInd w:val="0"/>
              <w:snapToGrid w:val="0"/>
              <w:rPr>
                <w:rFonts w:ascii="宋体" w:hAnsi="宋体" w:cs="宋体"/>
                <w:color w:val="auto"/>
                <w:szCs w:val="21"/>
                <w:highlight w:val="none"/>
              </w:rPr>
            </w:pPr>
          </w:p>
        </w:tc>
        <w:tc>
          <w:tcPr>
            <w:tcW w:w="1134" w:type="dxa"/>
            <w:vAlign w:val="center"/>
          </w:tcPr>
          <w:p w14:paraId="48BD42F7">
            <w:pPr>
              <w:adjustRightInd w:val="0"/>
              <w:snapToGrid w:val="0"/>
              <w:jc w:val="center"/>
              <w:rPr>
                <w:rFonts w:ascii="宋体" w:hAnsi="宋体" w:cs="宋体"/>
                <w:b/>
                <w:snapToGrid w:val="0"/>
                <w:color w:val="auto"/>
                <w:kern w:val="0"/>
                <w:szCs w:val="21"/>
                <w:highlight w:val="none"/>
              </w:rPr>
            </w:pPr>
          </w:p>
        </w:tc>
        <w:tc>
          <w:tcPr>
            <w:tcW w:w="1082" w:type="dxa"/>
            <w:vAlign w:val="center"/>
          </w:tcPr>
          <w:p w14:paraId="77CFC8DF">
            <w:pPr>
              <w:adjustRightInd w:val="0"/>
              <w:snapToGrid w:val="0"/>
              <w:jc w:val="center"/>
              <w:rPr>
                <w:rFonts w:ascii="宋体" w:hAnsi="宋体" w:cs="宋体"/>
                <w:b/>
                <w:snapToGrid w:val="0"/>
                <w:color w:val="auto"/>
                <w:kern w:val="0"/>
                <w:szCs w:val="21"/>
                <w:highlight w:val="none"/>
              </w:rPr>
            </w:pPr>
          </w:p>
        </w:tc>
        <w:tc>
          <w:tcPr>
            <w:tcW w:w="1044" w:type="dxa"/>
            <w:vAlign w:val="center"/>
          </w:tcPr>
          <w:p w14:paraId="1DB14BBD">
            <w:pPr>
              <w:adjustRightInd w:val="0"/>
              <w:snapToGrid w:val="0"/>
              <w:jc w:val="center"/>
              <w:rPr>
                <w:rFonts w:ascii="宋体" w:hAnsi="宋体" w:cs="宋体"/>
                <w:b/>
                <w:snapToGrid w:val="0"/>
                <w:color w:val="auto"/>
                <w:kern w:val="0"/>
                <w:szCs w:val="21"/>
                <w:highlight w:val="none"/>
              </w:rPr>
            </w:pPr>
          </w:p>
        </w:tc>
      </w:tr>
      <w:tr w14:paraId="6D66F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07B1C4FD">
            <w:pPr>
              <w:adjustRightInd w:val="0"/>
              <w:snapToGrid w:val="0"/>
              <w:jc w:val="center"/>
              <w:rPr>
                <w:rFonts w:ascii="宋体" w:hAnsi="宋体" w:cs="宋体"/>
                <w:snapToGrid w:val="0"/>
                <w:color w:val="auto"/>
                <w:kern w:val="0"/>
                <w:szCs w:val="21"/>
                <w:highlight w:val="none"/>
              </w:rPr>
            </w:pPr>
          </w:p>
        </w:tc>
        <w:tc>
          <w:tcPr>
            <w:tcW w:w="5033" w:type="dxa"/>
            <w:vAlign w:val="center"/>
          </w:tcPr>
          <w:p w14:paraId="78F845FA">
            <w:pPr>
              <w:adjustRightInd w:val="0"/>
              <w:snapToGrid w:val="0"/>
              <w:rPr>
                <w:rFonts w:ascii="宋体" w:hAnsi="宋体" w:cs="宋体"/>
                <w:color w:val="auto"/>
                <w:szCs w:val="21"/>
                <w:highlight w:val="none"/>
              </w:rPr>
            </w:pPr>
          </w:p>
        </w:tc>
        <w:tc>
          <w:tcPr>
            <w:tcW w:w="1134" w:type="dxa"/>
            <w:vAlign w:val="center"/>
          </w:tcPr>
          <w:p w14:paraId="6569C5BC">
            <w:pPr>
              <w:adjustRightInd w:val="0"/>
              <w:snapToGrid w:val="0"/>
              <w:jc w:val="center"/>
              <w:rPr>
                <w:rFonts w:ascii="宋体" w:hAnsi="宋体" w:cs="宋体"/>
                <w:b/>
                <w:snapToGrid w:val="0"/>
                <w:color w:val="auto"/>
                <w:kern w:val="0"/>
                <w:szCs w:val="21"/>
                <w:highlight w:val="none"/>
              </w:rPr>
            </w:pPr>
          </w:p>
        </w:tc>
        <w:tc>
          <w:tcPr>
            <w:tcW w:w="1082" w:type="dxa"/>
            <w:vAlign w:val="center"/>
          </w:tcPr>
          <w:p w14:paraId="5292B730">
            <w:pPr>
              <w:adjustRightInd w:val="0"/>
              <w:snapToGrid w:val="0"/>
              <w:jc w:val="center"/>
              <w:rPr>
                <w:rFonts w:ascii="宋体" w:hAnsi="宋体" w:cs="宋体"/>
                <w:b/>
                <w:snapToGrid w:val="0"/>
                <w:color w:val="auto"/>
                <w:kern w:val="0"/>
                <w:szCs w:val="21"/>
                <w:highlight w:val="none"/>
              </w:rPr>
            </w:pPr>
          </w:p>
        </w:tc>
        <w:tc>
          <w:tcPr>
            <w:tcW w:w="1044" w:type="dxa"/>
            <w:vAlign w:val="center"/>
          </w:tcPr>
          <w:p w14:paraId="29612A02">
            <w:pPr>
              <w:adjustRightInd w:val="0"/>
              <w:snapToGrid w:val="0"/>
              <w:jc w:val="center"/>
              <w:rPr>
                <w:rFonts w:ascii="宋体" w:hAnsi="宋体" w:cs="宋体"/>
                <w:b/>
                <w:snapToGrid w:val="0"/>
                <w:color w:val="auto"/>
                <w:kern w:val="0"/>
                <w:szCs w:val="21"/>
                <w:highlight w:val="none"/>
              </w:rPr>
            </w:pPr>
          </w:p>
        </w:tc>
      </w:tr>
      <w:tr w14:paraId="4E530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77E521FA">
            <w:pPr>
              <w:adjustRightInd w:val="0"/>
              <w:snapToGrid w:val="0"/>
              <w:jc w:val="center"/>
              <w:rPr>
                <w:rFonts w:ascii="宋体" w:hAnsi="宋体" w:cs="宋体"/>
                <w:snapToGrid w:val="0"/>
                <w:color w:val="auto"/>
                <w:kern w:val="0"/>
                <w:szCs w:val="21"/>
                <w:highlight w:val="none"/>
              </w:rPr>
            </w:pPr>
          </w:p>
        </w:tc>
        <w:tc>
          <w:tcPr>
            <w:tcW w:w="5033" w:type="dxa"/>
            <w:vAlign w:val="center"/>
          </w:tcPr>
          <w:p w14:paraId="0D918548">
            <w:pPr>
              <w:adjustRightInd w:val="0"/>
              <w:snapToGrid w:val="0"/>
              <w:rPr>
                <w:rFonts w:ascii="宋体" w:hAnsi="宋体" w:cs="宋体"/>
                <w:color w:val="auto"/>
                <w:szCs w:val="21"/>
                <w:highlight w:val="none"/>
              </w:rPr>
            </w:pPr>
          </w:p>
        </w:tc>
        <w:tc>
          <w:tcPr>
            <w:tcW w:w="1134" w:type="dxa"/>
            <w:vAlign w:val="center"/>
          </w:tcPr>
          <w:p w14:paraId="218F89D1">
            <w:pPr>
              <w:adjustRightInd w:val="0"/>
              <w:snapToGrid w:val="0"/>
              <w:jc w:val="center"/>
              <w:rPr>
                <w:rFonts w:ascii="宋体" w:hAnsi="宋体" w:cs="宋体"/>
                <w:b/>
                <w:snapToGrid w:val="0"/>
                <w:color w:val="auto"/>
                <w:kern w:val="0"/>
                <w:szCs w:val="21"/>
                <w:highlight w:val="none"/>
              </w:rPr>
            </w:pPr>
          </w:p>
        </w:tc>
        <w:tc>
          <w:tcPr>
            <w:tcW w:w="1082" w:type="dxa"/>
            <w:vAlign w:val="center"/>
          </w:tcPr>
          <w:p w14:paraId="26456A6B">
            <w:pPr>
              <w:adjustRightInd w:val="0"/>
              <w:snapToGrid w:val="0"/>
              <w:jc w:val="center"/>
              <w:rPr>
                <w:rFonts w:ascii="宋体" w:hAnsi="宋体" w:cs="宋体"/>
                <w:b/>
                <w:snapToGrid w:val="0"/>
                <w:color w:val="auto"/>
                <w:kern w:val="0"/>
                <w:szCs w:val="21"/>
                <w:highlight w:val="none"/>
              </w:rPr>
            </w:pPr>
          </w:p>
        </w:tc>
        <w:tc>
          <w:tcPr>
            <w:tcW w:w="1044" w:type="dxa"/>
            <w:vAlign w:val="center"/>
          </w:tcPr>
          <w:p w14:paraId="46334D9D">
            <w:pPr>
              <w:adjustRightInd w:val="0"/>
              <w:snapToGrid w:val="0"/>
              <w:jc w:val="center"/>
              <w:rPr>
                <w:rFonts w:ascii="宋体" w:hAnsi="宋体" w:cs="宋体"/>
                <w:b/>
                <w:snapToGrid w:val="0"/>
                <w:color w:val="auto"/>
                <w:kern w:val="0"/>
                <w:szCs w:val="21"/>
                <w:highlight w:val="none"/>
              </w:rPr>
            </w:pPr>
          </w:p>
        </w:tc>
      </w:tr>
      <w:tr w14:paraId="06405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3AE92F8E">
            <w:pPr>
              <w:adjustRightInd w:val="0"/>
              <w:snapToGrid w:val="0"/>
              <w:jc w:val="center"/>
              <w:rPr>
                <w:rFonts w:ascii="宋体" w:hAnsi="宋体" w:cs="宋体"/>
                <w:snapToGrid w:val="0"/>
                <w:color w:val="auto"/>
                <w:kern w:val="0"/>
                <w:szCs w:val="21"/>
                <w:highlight w:val="none"/>
              </w:rPr>
            </w:pPr>
          </w:p>
        </w:tc>
        <w:tc>
          <w:tcPr>
            <w:tcW w:w="5033" w:type="dxa"/>
            <w:vAlign w:val="center"/>
          </w:tcPr>
          <w:p w14:paraId="22067018">
            <w:pPr>
              <w:adjustRightInd w:val="0"/>
              <w:snapToGrid w:val="0"/>
              <w:rPr>
                <w:rFonts w:ascii="宋体" w:hAnsi="宋体" w:cs="宋体"/>
                <w:color w:val="auto"/>
                <w:szCs w:val="21"/>
                <w:highlight w:val="none"/>
              </w:rPr>
            </w:pPr>
          </w:p>
        </w:tc>
        <w:tc>
          <w:tcPr>
            <w:tcW w:w="1134" w:type="dxa"/>
            <w:vAlign w:val="center"/>
          </w:tcPr>
          <w:p w14:paraId="45D25555">
            <w:pPr>
              <w:adjustRightInd w:val="0"/>
              <w:snapToGrid w:val="0"/>
              <w:jc w:val="center"/>
              <w:rPr>
                <w:rFonts w:ascii="宋体" w:hAnsi="宋体" w:cs="宋体"/>
                <w:b/>
                <w:snapToGrid w:val="0"/>
                <w:color w:val="auto"/>
                <w:kern w:val="0"/>
                <w:szCs w:val="21"/>
                <w:highlight w:val="none"/>
              </w:rPr>
            </w:pPr>
          </w:p>
        </w:tc>
        <w:tc>
          <w:tcPr>
            <w:tcW w:w="1082" w:type="dxa"/>
            <w:vAlign w:val="center"/>
          </w:tcPr>
          <w:p w14:paraId="0C1FB05D">
            <w:pPr>
              <w:adjustRightInd w:val="0"/>
              <w:snapToGrid w:val="0"/>
              <w:jc w:val="center"/>
              <w:rPr>
                <w:rFonts w:ascii="宋体" w:hAnsi="宋体" w:cs="宋体"/>
                <w:b/>
                <w:snapToGrid w:val="0"/>
                <w:color w:val="auto"/>
                <w:kern w:val="0"/>
                <w:szCs w:val="21"/>
                <w:highlight w:val="none"/>
              </w:rPr>
            </w:pPr>
          </w:p>
        </w:tc>
        <w:tc>
          <w:tcPr>
            <w:tcW w:w="1044" w:type="dxa"/>
            <w:vAlign w:val="center"/>
          </w:tcPr>
          <w:p w14:paraId="346AB291">
            <w:pPr>
              <w:adjustRightInd w:val="0"/>
              <w:snapToGrid w:val="0"/>
              <w:jc w:val="center"/>
              <w:rPr>
                <w:rFonts w:ascii="宋体" w:hAnsi="宋体" w:cs="宋体"/>
                <w:b/>
                <w:snapToGrid w:val="0"/>
                <w:color w:val="auto"/>
                <w:kern w:val="0"/>
                <w:szCs w:val="21"/>
                <w:highlight w:val="none"/>
              </w:rPr>
            </w:pPr>
          </w:p>
        </w:tc>
      </w:tr>
      <w:tr w14:paraId="500CD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63E17D32">
            <w:pPr>
              <w:adjustRightInd w:val="0"/>
              <w:snapToGrid w:val="0"/>
              <w:jc w:val="center"/>
              <w:rPr>
                <w:rFonts w:ascii="宋体" w:hAnsi="宋体" w:cs="宋体"/>
                <w:snapToGrid w:val="0"/>
                <w:color w:val="auto"/>
                <w:kern w:val="0"/>
                <w:szCs w:val="21"/>
                <w:highlight w:val="none"/>
              </w:rPr>
            </w:pPr>
          </w:p>
        </w:tc>
        <w:tc>
          <w:tcPr>
            <w:tcW w:w="5033" w:type="dxa"/>
            <w:vAlign w:val="center"/>
          </w:tcPr>
          <w:p w14:paraId="21928488">
            <w:pPr>
              <w:adjustRightInd w:val="0"/>
              <w:snapToGrid w:val="0"/>
              <w:rPr>
                <w:rFonts w:ascii="宋体" w:hAnsi="宋体" w:cs="宋体"/>
                <w:color w:val="auto"/>
                <w:szCs w:val="21"/>
                <w:highlight w:val="none"/>
              </w:rPr>
            </w:pPr>
          </w:p>
        </w:tc>
        <w:tc>
          <w:tcPr>
            <w:tcW w:w="1134" w:type="dxa"/>
            <w:vAlign w:val="center"/>
          </w:tcPr>
          <w:p w14:paraId="0F55FCBC">
            <w:pPr>
              <w:adjustRightInd w:val="0"/>
              <w:snapToGrid w:val="0"/>
              <w:jc w:val="center"/>
              <w:rPr>
                <w:rFonts w:ascii="宋体" w:hAnsi="宋体" w:cs="宋体"/>
                <w:b/>
                <w:snapToGrid w:val="0"/>
                <w:color w:val="auto"/>
                <w:kern w:val="0"/>
                <w:szCs w:val="21"/>
                <w:highlight w:val="none"/>
              </w:rPr>
            </w:pPr>
          </w:p>
        </w:tc>
        <w:tc>
          <w:tcPr>
            <w:tcW w:w="1082" w:type="dxa"/>
            <w:vAlign w:val="center"/>
          </w:tcPr>
          <w:p w14:paraId="73CD3B82">
            <w:pPr>
              <w:adjustRightInd w:val="0"/>
              <w:snapToGrid w:val="0"/>
              <w:jc w:val="center"/>
              <w:rPr>
                <w:rFonts w:ascii="宋体" w:hAnsi="宋体" w:cs="宋体"/>
                <w:b/>
                <w:snapToGrid w:val="0"/>
                <w:color w:val="auto"/>
                <w:kern w:val="0"/>
                <w:szCs w:val="21"/>
                <w:highlight w:val="none"/>
              </w:rPr>
            </w:pPr>
          </w:p>
        </w:tc>
        <w:tc>
          <w:tcPr>
            <w:tcW w:w="1044" w:type="dxa"/>
            <w:vAlign w:val="center"/>
          </w:tcPr>
          <w:p w14:paraId="3D7A0DC4">
            <w:pPr>
              <w:adjustRightInd w:val="0"/>
              <w:snapToGrid w:val="0"/>
              <w:jc w:val="center"/>
              <w:rPr>
                <w:rFonts w:ascii="宋体" w:hAnsi="宋体" w:cs="宋体"/>
                <w:b/>
                <w:snapToGrid w:val="0"/>
                <w:color w:val="auto"/>
                <w:kern w:val="0"/>
                <w:szCs w:val="21"/>
                <w:highlight w:val="none"/>
              </w:rPr>
            </w:pPr>
          </w:p>
        </w:tc>
      </w:tr>
      <w:tr w14:paraId="58563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1EAAB690">
            <w:pPr>
              <w:adjustRightInd w:val="0"/>
              <w:snapToGrid w:val="0"/>
              <w:jc w:val="center"/>
              <w:rPr>
                <w:rFonts w:ascii="宋体" w:hAnsi="宋体" w:cs="宋体"/>
                <w:snapToGrid w:val="0"/>
                <w:color w:val="auto"/>
                <w:kern w:val="0"/>
                <w:szCs w:val="21"/>
                <w:highlight w:val="none"/>
              </w:rPr>
            </w:pPr>
          </w:p>
        </w:tc>
        <w:tc>
          <w:tcPr>
            <w:tcW w:w="5033" w:type="dxa"/>
            <w:vAlign w:val="center"/>
          </w:tcPr>
          <w:p w14:paraId="7E451E61">
            <w:pPr>
              <w:adjustRightInd w:val="0"/>
              <w:snapToGrid w:val="0"/>
              <w:rPr>
                <w:rFonts w:ascii="宋体" w:hAnsi="宋体" w:cs="宋体"/>
                <w:color w:val="auto"/>
                <w:szCs w:val="21"/>
                <w:highlight w:val="none"/>
              </w:rPr>
            </w:pPr>
          </w:p>
        </w:tc>
        <w:tc>
          <w:tcPr>
            <w:tcW w:w="1134" w:type="dxa"/>
            <w:vAlign w:val="center"/>
          </w:tcPr>
          <w:p w14:paraId="70112641">
            <w:pPr>
              <w:adjustRightInd w:val="0"/>
              <w:snapToGrid w:val="0"/>
              <w:jc w:val="center"/>
              <w:rPr>
                <w:rFonts w:ascii="宋体" w:hAnsi="宋体" w:cs="宋体"/>
                <w:b/>
                <w:snapToGrid w:val="0"/>
                <w:color w:val="auto"/>
                <w:kern w:val="0"/>
                <w:szCs w:val="21"/>
                <w:highlight w:val="none"/>
              </w:rPr>
            </w:pPr>
          </w:p>
        </w:tc>
        <w:tc>
          <w:tcPr>
            <w:tcW w:w="1082" w:type="dxa"/>
            <w:vAlign w:val="center"/>
          </w:tcPr>
          <w:p w14:paraId="1225CA17">
            <w:pPr>
              <w:adjustRightInd w:val="0"/>
              <w:snapToGrid w:val="0"/>
              <w:jc w:val="center"/>
              <w:rPr>
                <w:rFonts w:ascii="宋体" w:hAnsi="宋体" w:cs="宋体"/>
                <w:b/>
                <w:snapToGrid w:val="0"/>
                <w:color w:val="auto"/>
                <w:kern w:val="0"/>
                <w:szCs w:val="21"/>
                <w:highlight w:val="none"/>
              </w:rPr>
            </w:pPr>
          </w:p>
        </w:tc>
        <w:tc>
          <w:tcPr>
            <w:tcW w:w="1044" w:type="dxa"/>
            <w:vAlign w:val="center"/>
          </w:tcPr>
          <w:p w14:paraId="5810793E">
            <w:pPr>
              <w:adjustRightInd w:val="0"/>
              <w:snapToGrid w:val="0"/>
              <w:jc w:val="center"/>
              <w:rPr>
                <w:rFonts w:ascii="宋体" w:hAnsi="宋体" w:cs="宋体"/>
                <w:b/>
                <w:snapToGrid w:val="0"/>
                <w:color w:val="auto"/>
                <w:kern w:val="0"/>
                <w:szCs w:val="21"/>
                <w:highlight w:val="none"/>
              </w:rPr>
            </w:pPr>
          </w:p>
        </w:tc>
      </w:tr>
      <w:tr w14:paraId="7F585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66DDC68A">
            <w:pPr>
              <w:adjustRightInd w:val="0"/>
              <w:snapToGrid w:val="0"/>
              <w:jc w:val="center"/>
              <w:rPr>
                <w:rFonts w:ascii="宋体" w:hAnsi="宋体" w:cs="宋体"/>
                <w:snapToGrid w:val="0"/>
                <w:color w:val="auto"/>
                <w:kern w:val="0"/>
                <w:szCs w:val="21"/>
                <w:highlight w:val="none"/>
              </w:rPr>
            </w:pPr>
          </w:p>
        </w:tc>
        <w:tc>
          <w:tcPr>
            <w:tcW w:w="5033" w:type="dxa"/>
            <w:vAlign w:val="center"/>
          </w:tcPr>
          <w:p w14:paraId="25AB8DB9">
            <w:pPr>
              <w:adjustRightInd w:val="0"/>
              <w:snapToGrid w:val="0"/>
              <w:rPr>
                <w:rFonts w:ascii="宋体" w:hAnsi="宋体" w:cs="宋体"/>
                <w:color w:val="auto"/>
                <w:szCs w:val="21"/>
                <w:highlight w:val="none"/>
              </w:rPr>
            </w:pPr>
          </w:p>
        </w:tc>
        <w:tc>
          <w:tcPr>
            <w:tcW w:w="1134" w:type="dxa"/>
            <w:vAlign w:val="center"/>
          </w:tcPr>
          <w:p w14:paraId="09A8EC6A">
            <w:pPr>
              <w:adjustRightInd w:val="0"/>
              <w:snapToGrid w:val="0"/>
              <w:jc w:val="center"/>
              <w:rPr>
                <w:rFonts w:ascii="宋体" w:hAnsi="宋体" w:cs="宋体"/>
                <w:b/>
                <w:snapToGrid w:val="0"/>
                <w:color w:val="auto"/>
                <w:kern w:val="0"/>
                <w:szCs w:val="21"/>
                <w:highlight w:val="none"/>
              </w:rPr>
            </w:pPr>
          </w:p>
        </w:tc>
        <w:tc>
          <w:tcPr>
            <w:tcW w:w="1082" w:type="dxa"/>
            <w:vAlign w:val="center"/>
          </w:tcPr>
          <w:p w14:paraId="40FFCF65">
            <w:pPr>
              <w:adjustRightInd w:val="0"/>
              <w:snapToGrid w:val="0"/>
              <w:jc w:val="center"/>
              <w:rPr>
                <w:rFonts w:ascii="宋体" w:hAnsi="宋体" w:cs="宋体"/>
                <w:b/>
                <w:snapToGrid w:val="0"/>
                <w:color w:val="auto"/>
                <w:kern w:val="0"/>
                <w:szCs w:val="21"/>
                <w:highlight w:val="none"/>
              </w:rPr>
            </w:pPr>
          </w:p>
        </w:tc>
        <w:tc>
          <w:tcPr>
            <w:tcW w:w="1044" w:type="dxa"/>
            <w:vAlign w:val="center"/>
          </w:tcPr>
          <w:p w14:paraId="097E7880">
            <w:pPr>
              <w:adjustRightInd w:val="0"/>
              <w:snapToGrid w:val="0"/>
              <w:jc w:val="center"/>
              <w:rPr>
                <w:rFonts w:ascii="宋体" w:hAnsi="宋体" w:cs="宋体"/>
                <w:b/>
                <w:snapToGrid w:val="0"/>
                <w:color w:val="auto"/>
                <w:kern w:val="0"/>
                <w:szCs w:val="21"/>
                <w:highlight w:val="none"/>
              </w:rPr>
            </w:pPr>
          </w:p>
        </w:tc>
      </w:tr>
      <w:tr w14:paraId="7B6B0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0F2B30AB">
            <w:pPr>
              <w:adjustRightInd w:val="0"/>
              <w:snapToGrid w:val="0"/>
              <w:jc w:val="center"/>
              <w:rPr>
                <w:rFonts w:ascii="宋体" w:hAnsi="宋体" w:cs="宋体"/>
                <w:snapToGrid w:val="0"/>
                <w:color w:val="auto"/>
                <w:kern w:val="0"/>
                <w:szCs w:val="21"/>
                <w:highlight w:val="none"/>
              </w:rPr>
            </w:pPr>
          </w:p>
        </w:tc>
        <w:tc>
          <w:tcPr>
            <w:tcW w:w="5033" w:type="dxa"/>
            <w:vAlign w:val="center"/>
          </w:tcPr>
          <w:p w14:paraId="549E6B36">
            <w:pPr>
              <w:adjustRightInd w:val="0"/>
              <w:snapToGrid w:val="0"/>
              <w:rPr>
                <w:rFonts w:ascii="宋体" w:hAnsi="宋体" w:cs="宋体"/>
                <w:color w:val="auto"/>
                <w:szCs w:val="21"/>
                <w:highlight w:val="none"/>
              </w:rPr>
            </w:pPr>
          </w:p>
        </w:tc>
        <w:tc>
          <w:tcPr>
            <w:tcW w:w="1134" w:type="dxa"/>
            <w:vAlign w:val="center"/>
          </w:tcPr>
          <w:p w14:paraId="71A0C0A5">
            <w:pPr>
              <w:adjustRightInd w:val="0"/>
              <w:snapToGrid w:val="0"/>
              <w:jc w:val="center"/>
              <w:rPr>
                <w:rFonts w:ascii="宋体" w:hAnsi="宋体" w:cs="宋体"/>
                <w:b/>
                <w:snapToGrid w:val="0"/>
                <w:color w:val="auto"/>
                <w:kern w:val="0"/>
                <w:szCs w:val="21"/>
                <w:highlight w:val="none"/>
              </w:rPr>
            </w:pPr>
          </w:p>
        </w:tc>
        <w:tc>
          <w:tcPr>
            <w:tcW w:w="1082" w:type="dxa"/>
            <w:vAlign w:val="center"/>
          </w:tcPr>
          <w:p w14:paraId="187770A3">
            <w:pPr>
              <w:adjustRightInd w:val="0"/>
              <w:snapToGrid w:val="0"/>
              <w:jc w:val="center"/>
              <w:rPr>
                <w:rFonts w:ascii="宋体" w:hAnsi="宋体" w:cs="宋体"/>
                <w:b/>
                <w:snapToGrid w:val="0"/>
                <w:color w:val="auto"/>
                <w:kern w:val="0"/>
                <w:szCs w:val="21"/>
                <w:highlight w:val="none"/>
              </w:rPr>
            </w:pPr>
          </w:p>
        </w:tc>
        <w:tc>
          <w:tcPr>
            <w:tcW w:w="1044" w:type="dxa"/>
            <w:vAlign w:val="center"/>
          </w:tcPr>
          <w:p w14:paraId="33884DD1">
            <w:pPr>
              <w:adjustRightInd w:val="0"/>
              <w:snapToGrid w:val="0"/>
              <w:jc w:val="center"/>
              <w:rPr>
                <w:rFonts w:ascii="宋体" w:hAnsi="宋体" w:cs="宋体"/>
                <w:b/>
                <w:snapToGrid w:val="0"/>
                <w:color w:val="auto"/>
                <w:kern w:val="0"/>
                <w:szCs w:val="21"/>
                <w:highlight w:val="none"/>
              </w:rPr>
            </w:pPr>
          </w:p>
        </w:tc>
      </w:tr>
      <w:tr w14:paraId="1A41F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14:paraId="5AD7DF2F">
            <w:pPr>
              <w:adjustRightInd w:val="0"/>
              <w:snapToGrid w:val="0"/>
              <w:jc w:val="center"/>
              <w:rPr>
                <w:rFonts w:ascii="宋体" w:hAnsi="宋体" w:cs="宋体"/>
                <w:snapToGrid w:val="0"/>
                <w:color w:val="auto"/>
                <w:kern w:val="0"/>
                <w:szCs w:val="21"/>
                <w:highlight w:val="none"/>
              </w:rPr>
            </w:pPr>
          </w:p>
        </w:tc>
        <w:tc>
          <w:tcPr>
            <w:tcW w:w="5033" w:type="dxa"/>
            <w:vAlign w:val="center"/>
          </w:tcPr>
          <w:p w14:paraId="7DE67885">
            <w:pPr>
              <w:adjustRightInd w:val="0"/>
              <w:snapToGrid w:val="0"/>
              <w:rPr>
                <w:rFonts w:ascii="宋体" w:hAnsi="宋体" w:cs="宋体"/>
                <w:color w:val="auto"/>
                <w:szCs w:val="21"/>
                <w:highlight w:val="none"/>
              </w:rPr>
            </w:pPr>
          </w:p>
        </w:tc>
        <w:tc>
          <w:tcPr>
            <w:tcW w:w="1134" w:type="dxa"/>
            <w:vAlign w:val="center"/>
          </w:tcPr>
          <w:p w14:paraId="4FB7E7E2">
            <w:pPr>
              <w:adjustRightInd w:val="0"/>
              <w:snapToGrid w:val="0"/>
              <w:jc w:val="center"/>
              <w:rPr>
                <w:rFonts w:ascii="宋体" w:hAnsi="宋体" w:cs="宋体"/>
                <w:b/>
                <w:snapToGrid w:val="0"/>
                <w:color w:val="auto"/>
                <w:kern w:val="0"/>
                <w:szCs w:val="21"/>
                <w:highlight w:val="none"/>
              </w:rPr>
            </w:pPr>
          </w:p>
        </w:tc>
        <w:tc>
          <w:tcPr>
            <w:tcW w:w="1082" w:type="dxa"/>
            <w:vAlign w:val="center"/>
          </w:tcPr>
          <w:p w14:paraId="65E85A05">
            <w:pPr>
              <w:adjustRightInd w:val="0"/>
              <w:snapToGrid w:val="0"/>
              <w:jc w:val="center"/>
              <w:rPr>
                <w:rFonts w:ascii="宋体" w:hAnsi="宋体" w:cs="宋体"/>
                <w:b/>
                <w:snapToGrid w:val="0"/>
                <w:color w:val="auto"/>
                <w:kern w:val="0"/>
                <w:szCs w:val="21"/>
                <w:highlight w:val="none"/>
              </w:rPr>
            </w:pPr>
          </w:p>
        </w:tc>
        <w:tc>
          <w:tcPr>
            <w:tcW w:w="1044" w:type="dxa"/>
            <w:vAlign w:val="center"/>
          </w:tcPr>
          <w:p w14:paraId="2F18E4EC">
            <w:pPr>
              <w:adjustRightInd w:val="0"/>
              <w:snapToGrid w:val="0"/>
              <w:jc w:val="center"/>
              <w:rPr>
                <w:rFonts w:ascii="宋体" w:hAnsi="宋体" w:cs="宋体"/>
                <w:b/>
                <w:snapToGrid w:val="0"/>
                <w:color w:val="auto"/>
                <w:kern w:val="0"/>
                <w:szCs w:val="21"/>
                <w:highlight w:val="none"/>
              </w:rPr>
            </w:pPr>
          </w:p>
        </w:tc>
      </w:tr>
    </w:tbl>
    <w:p w14:paraId="7788369A">
      <w:pPr>
        <w:autoSpaceDE w:val="0"/>
        <w:autoSpaceDN w:val="0"/>
        <w:adjustRightInd w:val="0"/>
        <w:spacing w:line="360" w:lineRule="auto"/>
        <w:rPr>
          <w:rFonts w:ascii="宋体" w:hAnsi="宋体" w:cs="宋体"/>
          <w:b/>
          <w:color w:val="auto"/>
          <w:szCs w:val="21"/>
          <w:highlight w:val="none"/>
        </w:rPr>
        <w:sectPr>
          <w:headerReference r:id="rId3" w:type="default"/>
          <w:footerReference r:id="rId4" w:type="default"/>
          <w:footerReference r:id="rId5" w:type="even"/>
          <w:pgSz w:w="11906" w:h="16838"/>
          <w:pgMar w:top="1247" w:right="1588" w:bottom="1089" w:left="1588" w:header="851" w:footer="992" w:gutter="0"/>
          <w:cols w:space="720" w:num="1"/>
          <w:docGrid w:linePitch="312" w:charSpace="0"/>
        </w:sectPr>
      </w:pPr>
    </w:p>
    <w:p w14:paraId="35A659FA">
      <w:pPr>
        <w:autoSpaceDE w:val="0"/>
        <w:autoSpaceDN w:val="0"/>
        <w:adjustRightInd w:val="0"/>
        <w:spacing w:line="360" w:lineRule="auto"/>
        <w:rPr>
          <w:rFonts w:ascii="宋体" w:hAnsi="宋体" w:cs="宋体"/>
          <w:b/>
          <w:color w:val="auto"/>
          <w:szCs w:val="21"/>
          <w:highlight w:val="none"/>
        </w:rPr>
      </w:pPr>
      <w:r>
        <w:rPr>
          <w:rFonts w:hint="eastAsia" w:ascii="宋体" w:hAnsi="宋体" w:cs="宋体"/>
          <w:b/>
          <w:color w:val="auto"/>
          <w:szCs w:val="21"/>
          <w:highlight w:val="none"/>
        </w:rPr>
        <w:t>3.2投标响应一览表</w:t>
      </w:r>
    </w:p>
    <w:p w14:paraId="15CF4A23">
      <w:pPr>
        <w:pStyle w:val="24"/>
        <w:snapToGrid w:val="0"/>
        <w:spacing w:line="360" w:lineRule="auto"/>
        <w:jc w:val="center"/>
        <w:rPr>
          <w:rFonts w:ascii="宋体" w:hAnsi="宋体" w:eastAsia="宋体" w:cs="宋体"/>
          <w:b/>
          <w:snapToGrid w:val="0"/>
          <w:color w:val="auto"/>
          <w:kern w:val="0"/>
          <w:sz w:val="28"/>
          <w:szCs w:val="28"/>
          <w:highlight w:val="none"/>
        </w:rPr>
      </w:pPr>
      <w:r>
        <w:rPr>
          <w:rFonts w:hint="eastAsia" w:ascii="宋体" w:hAnsi="宋体" w:eastAsia="宋体" w:cs="宋体"/>
          <w:b/>
          <w:snapToGrid w:val="0"/>
          <w:color w:val="auto"/>
          <w:kern w:val="0"/>
          <w:sz w:val="28"/>
          <w:szCs w:val="28"/>
          <w:highlight w:val="none"/>
        </w:rPr>
        <w:t>投标响应一览表</w:t>
      </w:r>
    </w:p>
    <w:p w14:paraId="0F621377">
      <w:pPr>
        <w:adjustRightInd w:val="0"/>
        <w:snapToGrid w:val="0"/>
        <w:spacing w:line="360" w:lineRule="auto"/>
        <w:rPr>
          <w:rFonts w:ascii="宋体" w:hAnsi="宋体" w:cs="宋体"/>
          <w:snapToGrid w:val="0"/>
          <w:color w:val="auto"/>
          <w:kern w:val="0"/>
          <w:szCs w:val="21"/>
          <w:highlight w:val="none"/>
          <w:u w:val="single"/>
        </w:rPr>
      </w:pPr>
      <w:r>
        <w:rPr>
          <w:rFonts w:hint="eastAsia" w:ascii="宋体" w:hAnsi="宋体" w:cs="宋体"/>
          <w:snapToGrid w:val="0"/>
          <w:color w:val="auto"/>
          <w:kern w:val="0"/>
          <w:szCs w:val="21"/>
          <w:highlight w:val="none"/>
        </w:rPr>
        <w:t xml:space="preserve">项目名称：                                                  </w:t>
      </w:r>
    </w:p>
    <w:p w14:paraId="53831243">
      <w:pPr>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采购编号：</w:t>
      </w:r>
    </w:p>
    <w:tbl>
      <w:tblPr>
        <w:tblStyle w:val="43"/>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2"/>
        <w:gridCol w:w="5271"/>
      </w:tblGrid>
      <w:tr w14:paraId="08B9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2" w:type="dxa"/>
            <w:vAlign w:val="center"/>
          </w:tcPr>
          <w:p w14:paraId="2607CC7E">
            <w:pPr>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实施期</w:t>
            </w:r>
          </w:p>
        </w:tc>
        <w:tc>
          <w:tcPr>
            <w:tcW w:w="5271" w:type="dxa"/>
            <w:vAlign w:val="center"/>
          </w:tcPr>
          <w:p w14:paraId="6F985FC5">
            <w:pPr>
              <w:adjustRightInd w:val="0"/>
              <w:snapToGrid w:val="0"/>
              <w:spacing w:line="360" w:lineRule="auto"/>
              <w:jc w:val="center"/>
              <w:rPr>
                <w:rFonts w:ascii="宋体" w:hAnsi="宋体" w:cs="宋体"/>
                <w:snapToGrid w:val="0"/>
                <w:color w:val="auto"/>
                <w:kern w:val="0"/>
                <w:szCs w:val="21"/>
                <w:highlight w:val="none"/>
              </w:rPr>
            </w:pPr>
          </w:p>
        </w:tc>
      </w:tr>
      <w:tr w14:paraId="5946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2" w:type="dxa"/>
            <w:vAlign w:val="center"/>
          </w:tcPr>
          <w:p w14:paraId="497E55F9">
            <w:pPr>
              <w:adjustRightInd w:val="0"/>
              <w:snapToGrid w:val="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拟派项目负责人</w:t>
            </w:r>
          </w:p>
        </w:tc>
        <w:tc>
          <w:tcPr>
            <w:tcW w:w="5271" w:type="dxa"/>
            <w:vAlign w:val="center"/>
          </w:tcPr>
          <w:p w14:paraId="1FC3AE7E">
            <w:pPr>
              <w:adjustRightInd w:val="0"/>
              <w:snapToGrid w:val="0"/>
              <w:spacing w:line="360" w:lineRule="auto"/>
              <w:jc w:val="center"/>
              <w:rPr>
                <w:rFonts w:ascii="宋体" w:hAnsi="宋体" w:cs="宋体"/>
                <w:snapToGrid w:val="0"/>
                <w:color w:val="auto"/>
                <w:kern w:val="0"/>
                <w:szCs w:val="21"/>
                <w:highlight w:val="none"/>
              </w:rPr>
            </w:pPr>
          </w:p>
        </w:tc>
      </w:tr>
    </w:tbl>
    <w:p w14:paraId="486548F8">
      <w:pPr>
        <w:adjustRightInd w:val="0"/>
        <w:snapToGrid w:val="0"/>
        <w:spacing w:line="360" w:lineRule="auto"/>
        <w:jc w:val="left"/>
        <w:rPr>
          <w:rFonts w:ascii="宋体" w:hAnsi="宋体" w:cs="宋体"/>
          <w:snapToGrid w:val="0"/>
          <w:color w:val="auto"/>
          <w:kern w:val="0"/>
          <w:szCs w:val="21"/>
          <w:highlight w:val="none"/>
        </w:rPr>
      </w:pPr>
    </w:p>
    <w:p w14:paraId="003BA471">
      <w:pPr>
        <w:widowControl/>
        <w:adjustRightInd w:val="0"/>
        <w:snapToGrid w:val="0"/>
        <w:spacing w:line="360" w:lineRule="auto"/>
        <w:ind w:firstLine="420" w:firstLineChars="200"/>
        <w:jc w:val="left"/>
        <w:rPr>
          <w:rFonts w:ascii="宋体" w:hAnsi="宋体" w:cs="宋体"/>
          <w:snapToGrid w:val="0"/>
          <w:color w:val="auto"/>
          <w:kern w:val="0"/>
          <w:szCs w:val="21"/>
          <w:highlight w:val="none"/>
        </w:rPr>
      </w:pPr>
    </w:p>
    <w:p w14:paraId="6C6CE7E8">
      <w:pPr>
        <w:adjustRightInd w:val="0"/>
        <w:snapToGrid w:val="0"/>
        <w:spacing w:line="360" w:lineRule="auto"/>
        <w:ind w:firstLine="4515" w:firstLineChars="2150"/>
        <w:rPr>
          <w:rFonts w:ascii="宋体" w:hAnsi="宋体" w:cs="宋体"/>
          <w:snapToGrid w:val="0"/>
          <w:color w:val="auto"/>
          <w:kern w:val="0"/>
          <w:szCs w:val="21"/>
          <w:highlight w:val="none"/>
        </w:rPr>
      </w:pPr>
    </w:p>
    <w:p w14:paraId="0B6AB25D">
      <w:pPr>
        <w:adjustRightInd w:val="0"/>
        <w:snapToGrid w:val="0"/>
        <w:spacing w:line="360" w:lineRule="auto"/>
        <w:ind w:firstLine="4515" w:firstLineChars="215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投标人(盖公章)：</w:t>
      </w:r>
    </w:p>
    <w:p w14:paraId="3203E791">
      <w:pPr>
        <w:adjustRightInd w:val="0"/>
        <w:snapToGrid w:val="0"/>
        <w:spacing w:line="360" w:lineRule="auto"/>
        <w:ind w:firstLine="4515" w:firstLineChars="215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法定代表人或授权代表(签字或盖章)：</w:t>
      </w:r>
    </w:p>
    <w:p w14:paraId="7EC7526A">
      <w:pPr>
        <w:adjustRightInd w:val="0"/>
        <w:snapToGrid w:val="0"/>
        <w:spacing w:line="360" w:lineRule="auto"/>
        <w:ind w:firstLine="4515" w:firstLineChars="215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日期：</w:t>
      </w:r>
    </w:p>
    <w:p w14:paraId="6A519673">
      <w:pPr>
        <w:pStyle w:val="3"/>
        <w:rPr>
          <w:color w:val="auto"/>
          <w:highlight w:val="none"/>
        </w:rPr>
      </w:pPr>
    </w:p>
    <w:p w14:paraId="7D3888E7">
      <w:pPr>
        <w:pStyle w:val="3"/>
        <w:rPr>
          <w:color w:val="auto"/>
          <w:highlight w:val="none"/>
        </w:rPr>
      </w:pPr>
    </w:p>
    <w:p w14:paraId="16C0877F">
      <w:pPr>
        <w:autoSpaceDE w:val="0"/>
        <w:autoSpaceDN w:val="0"/>
        <w:adjustRightInd w:val="0"/>
        <w:spacing w:line="360" w:lineRule="auto"/>
        <w:rPr>
          <w:rFonts w:ascii="宋体" w:hAnsi="宋体" w:cs="宋体"/>
          <w:b/>
          <w:color w:val="auto"/>
          <w:szCs w:val="21"/>
          <w:highlight w:val="none"/>
        </w:rPr>
        <w:sectPr>
          <w:pgSz w:w="11906" w:h="16838"/>
          <w:pgMar w:top="1247" w:right="1588" w:bottom="1089" w:left="1588" w:header="851" w:footer="992" w:gutter="0"/>
          <w:cols w:space="720" w:num="1"/>
          <w:docGrid w:linePitch="312" w:charSpace="0"/>
        </w:sectPr>
      </w:pPr>
    </w:p>
    <w:p w14:paraId="5B5970A5">
      <w:pPr>
        <w:autoSpaceDE w:val="0"/>
        <w:autoSpaceDN w:val="0"/>
        <w:adjustRightInd w:val="0"/>
        <w:spacing w:line="360" w:lineRule="auto"/>
        <w:rPr>
          <w:rFonts w:ascii="宋体" w:hAnsi="宋体" w:cs="宋体"/>
          <w:b/>
          <w:color w:val="auto"/>
          <w:szCs w:val="21"/>
          <w:highlight w:val="none"/>
        </w:rPr>
      </w:pPr>
      <w:r>
        <w:rPr>
          <w:rFonts w:hint="eastAsia" w:ascii="宋体" w:hAnsi="宋体" w:cs="宋体"/>
          <w:b/>
          <w:color w:val="auto"/>
          <w:szCs w:val="21"/>
          <w:highlight w:val="none"/>
        </w:rPr>
        <w:t>3.3投标人基本情况</w:t>
      </w:r>
    </w:p>
    <w:p w14:paraId="5E26B10A">
      <w:pPr>
        <w:spacing w:line="240" w:lineRule="atLeast"/>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投标人基本情况表</w:t>
      </w:r>
    </w:p>
    <w:p w14:paraId="04AC4C82">
      <w:pPr>
        <w:spacing w:line="240" w:lineRule="atLeast"/>
        <w:ind w:firstLine="2233" w:firstLineChars="695"/>
        <w:rPr>
          <w:rFonts w:ascii="宋体" w:hAnsi="宋体" w:cs="宋体"/>
          <w:b/>
          <w:color w:val="auto"/>
          <w:sz w:val="32"/>
          <w:szCs w:val="32"/>
          <w:highlight w:val="none"/>
        </w:rPr>
      </w:pPr>
    </w:p>
    <w:tbl>
      <w:tblPr>
        <w:tblStyle w:val="43"/>
        <w:tblW w:w="8848" w:type="dxa"/>
        <w:tblInd w:w="28" w:type="dxa"/>
        <w:tblLayout w:type="fixed"/>
        <w:tblCellMar>
          <w:top w:w="0" w:type="dxa"/>
          <w:left w:w="28" w:type="dxa"/>
          <w:bottom w:w="0" w:type="dxa"/>
          <w:right w:w="28" w:type="dxa"/>
        </w:tblCellMar>
      </w:tblPr>
      <w:tblGrid>
        <w:gridCol w:w="2368"/>
        <w:gridCol w:w="2490"/>
        <w:gridCol w:w="1575"/>
        <w:gridCol w:w="2415"/>
      </w:tblGrid>
      <w:tr w14:paraId="6D3F1A3A">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14:paraId="5DAD9BC6">
            <w:pPr>
              <w:widowControl/>
              <w:autoSpaceDE w:val="0"/>
              <w:autoSpaceDN w:val="0"/>
              <w:spacing w:line="440" w:lineRule="atLeast"/>
              <w:ind w:left="105"/>
              <w:jc w:val="center"/>
              <w:textAlignment w:val="bottom"/>
              <w:rPr>
                <w:rFonts w:ascii="宋体" w:hAnsi="宋体" w:cs="宋体"/>
                <w:color w:val="auto"/>
                <w:highlight w:val="none"/>
              </w:rPr>
            </w:pPr>
            <w:r>
              <w:rPr>
                <w:rFonts w:hint="eastAsia" w:ascii="宋体" w:hAnsi="宋体" w:cs="宋体"/>
                <w:color w:val="auto"/>
                <w:highlight w:val="none"/>
              </w:rPr>
              <w:t>投标人全称</w:t>
            </w:r>
          </w:p>
        </w:tc>
        <w:tc>
          <w:tcPr>
            <w:tcW w:w="6480" w:type="dxa"/>
            <w:gridSpan w:val="3"/>
            <w:tcBorders>
              <w:top w:val="single" w:color="auto" w:sz="6" w:space="0"/>
              <w:left w:val="single" w:color="auto" w:sz="6" w:space="0"/>
              <w:bottom w:val="single" w:color="auto" w:sz="6" w:space="0"/>
              <w:right w:val="single" w:color="auto" w:sz="6" w:space="0"/>
            </w:tcBorders>
          </w:tcPr>
          <w:p w14:paraId="7A49A276">
            <w:pPr>
              <w:widowControl/>
              <w:autoSpaceDE w:val="0"/>
              <w:autoSpaceDN w:val="0"/>
              <w:spacing w:line="440" w:lineRule="atLeast"/>
              <w:textAlignment w:val="bottom"/>
              <w:rPr>
                <w:rFonts w:ascii="宋体" w:hAnsi="宋体" w:cs="宋体"/>
                <w:color w:val="auto"/>
                <w:highlight w:val="none"/>
              </w:rPr>
            </w:pPr>
          </w:p>
        </w:tc>
      </w:tr>
      <w:tr w14:paraId="20E11A9D">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14:paraId="726BBA93">
            <w:pPr>
              <w:widowControl/>
              <w:autoSpaceDE w:val="0"/>
              <w:autoSpaceDN w:val="0"/>
              <w:spacing w:line="440" w:lineRule="atLeast"/>
              <w:ind w:left="105"/>
              <w:jc w:val="center"/>
              <w:textAlignment w:val="bottom"/>
              <w:rPr>
                <w:rFonts w:ascii="宋体" w:hAnsi="宋体" w:cs="宋体"/>
                <w:color w:val="auto"/>
                <w:highlight w:val="none"/>
              </w:rPr>
            </w:pPr>
            <w:r>
              <w:rPr>
                <w:rFonts w:hint="eastAsia" w:ascii="宋体" w:hAnsi="宋体" w:cs="宋体"/>
                <w:color w:val="auto"/>
                <w:highlight w:val="none"/>
              </w:rPr>
              <w:t>企业资质</w:t>
            </w:r>
          </w:p>
        </w:tc>
        <w:tc>
          <w:tcPr>
            <w:tcW w:w="6480" w:type="dxa"/>
            <w:gridSpan w:val="3"/>
            <w:tcBorders>
              <w:top w:val="single" w:color="auto" w:sz="6" w:space="0"/>
              <w:left w:val="single" w:color="auto" w:sz="6" w:space="0"/>
              <w:bottom w:val="single" w:color="auto" w:sz="6" w:space="0"/>
              <w:right w:val="single" w:color="auto" w:sz="6" w:space="0"/>
            </w:tcBorders>
          </w:tcPr>
          <w:p w14:paraId="54710AC7">
            <w:pPr>
              <w:widowControl/>
              <w:autoSpaceDE w:val="0"/>
              <w:autoSpaceDN w:val="0"/>
              <w:spacing w:line="440" w:lineRule="atLeast"/>
              <w:textAlignment w:val="bottom"/>
              <w:rPr>
                <w:rFonts w:ascii="宋体" w:hAnsi="宋体" w:cs="宋体"/>
                <w:color w:val="auto"/>
                <w:highlight w:val="none"/>
              </w:rPr>
            </w:pPr>
            <w:r>
              <w:rPr>
                <w:rFonts w:hint="eastAsia" w:ascii="宋体" w:hAnsi="宋体" w:cs="宋体"/>
                <w:color w:val="auto"/>
                <w:highlight w:val="none"/>
              </w:rPr>
              <w:t xml:space="preserve">1.等级:            2.证书号:       3.发证单位: </w:t>
            </w:r>
          </w:p>
        </w:tc>
      </w:tr>
      <w:tr w14:paraId="0FD9D3B3">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14:paraId="76001891">
            <w:pPr>
              <w:widowControl/>
              <w:autoSpaceDE w:val="0"/>
              <w:autoSpaceDN w:val="0"/>
              <w:spacing w:line="440" w:lineRule="atLeast"/>
              <w:ind w:left="105"/>
              <w:jc w:val="center"/>
              <w:textAlignment w:val="bottom"/>
              <w:rPr>
                <w:rFonts w:ascii="宋体" w:hAnsi="宋体" w:cs="宋体"/>
                <w:color w:val="auto"/>
                <w:highlight w:val="none"/>
              </w:rPr>
            </w:pPr>
            <w:r>
              <w:rPr>
                <w:rFonts w:hint="eastAsia" w:ascii="宋体" w:hAnsi="宋体" w:cs="宋体"/>
                <w:color w:val="auto"/>
                <w:highlight w:val="none"/>
              </w:rPr>
              <w:t>营业执照</w:t>
            </w:r>
          </w:p>
        </w:tc>
        <w:tc>
          <w:tcPr>
            <w:tcW w:w="6480" w:type="dxa"/>
            <w:gridSpan w:val="3"/>
            <w:tcBorders>
              <w:top w:val="single" w:color="auto" w:sz="6" w:space="0"/>
              <w:left w:val="single" w:color="auto" w:sz="6" w:space="0"/>
              <w:bottom w:val="single" w:color="auto" w:sz="6" w:space="0"/>
              <w:right w:val="single" w:color="auto" w:sz="6" w:space="0"/>
            </w:tcBorders>
          </w:tcPr>
          <w:p w14:paraId="093A3322">
            <w:pPr>
              <w:widowControl/>
              <w:autoSpaceDE w:val="0"/>
              <w:autoSpaceDN w:val="0"/>
              <w:spacing w:line="440" w:lineRule="atLeast"/>
              <w:textAlignment w:val="bottom"/>
              <w:rPr>
                <w:rFonts w:ascii="宋体" w:hAnsi="宋体" w:cs="宋体"/>
                <w:color w:val="auto"/>
                <w:highlight w:val="none"/>
              </w:rPr>
            </w:pPr>
            <w:r>
              <w:rPr>
                <w:rFonts w:hint="eastAsia" w:ascii="宋体" w:hAnsi="宋体" w:cs="宋体"/>
                <w:color w:val="auto"/>
                <w:highlight w:val="none"/>
              </w:rPr>
              <w:t xml:space="preserve">1.编号:            2.营业范围:     3.发照单位: </w:t>
            </w:r>
          </w:p>
        </w:tc>
      </w:tr>
      <w:tr w14:paraId="34259555">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14:paraId="57467EED">
            <w:pPr>
              <w:widowControl/>
              <w:autoSpaceDE w:val="0"/>
              <w:autoSpaceDN w:val="0"/>
              <w:spacing w:line="440" w:lineRule="atLeast"/>
              <w:ind w:left="105"/>
              <w:jc w:val="center"/>
              <w:textAlignment w:val="bottom"/>
              <w:rPr>
                <w:rFonts w:ascii="宋体" w:hAnsi="宋体" w:cs="宋体"/>
                <w:color w:val="auto"/>
                <w:highlight w:val="none"/>
              </w:rPr>
            </w:pPr>
            <w:r>
              <w:rPr>
                <w:rFonts w:hint="eastAsia" w:ascii="宋体" w:hAnsi="宋体" w:cs="宋体"/>
                <w:color w:val="auto"/>
                <w:highlight w:val="none"/>
              </w:rPr>
              <w:t>建立日期</w:t>
            </w:r>
          </w:p>
        </w:tc>
        <w:tc>
          <w:tcPr>
            <w:tcW w:w="2490" w:type="dxa"/>
            <w:tcBorders>
              <w:top w:val="single" w:color="auto" w:sz="6" w:space="0"/>
              <w:left w:val="single" w:color="auto" w:sz="6" w:space="0"/>
              <w:bottom w:val="single" w:color="auto" w:sz="6" w:space="0"/>
              <w:right w:val="single" w:color="auto" w:sz="6" w:space="0"/>
            </w:tcBorders>
          </w:tcPr>
          <w:p w14:paraId="15243554">
            <w:pPr>
              <w:widowControl/>
              <w:autoSpaceDE w:val="0"/>
              <w:autoSpaceDN w:val="0"/>
              <w:spacing w:line="440" w:lineRule="atLeast"/>
              <w:textAlignment w:val="bottom"/>
              <w:rPr>
                <w:rFonts w:ascii="宋体" w:hAnsi="宋体" w:cs="宋体"/>
                <w:color w:val="auto"/>
                <w:highlight w:val="none"/>
              </w:rPr>
            </w:pPr>
          </w:p>
        </w:tc>
        <w:tc>
          <w:tcPr>
            <w:tcW w:w="1575" w:type="dxa"/>
            <w:tcBorders>
              <w:top w:val="single" w:color="auto" w:sz="6" w:space="0"/>
              <w:left w:val="single" w:color="auto" w:sz="6" w:space="0"/>
              <w:bottom w:val="single" w:color="auto" w:sz="6" w:space="0"/>
              <w:right w:val="single" w:color="auto" w:sz="6" w:space="0"/>
            </w:tcBorders>
          </w:tcPr>
          <w:p w14:paraId="7748BD5F">
            <w:pPr>
              <w:widowControl/>
              <w:autoSpaceDE w:val="0"/>
              <w:autoSpaceDN w:val="0"/>
              <w:spacing w:line="440" w:lineRule="atLeast"/>
              <w:jc w:val="center"/>
              <w:textAlignment w:val="bottom"/>
              <w:rPr>
                <w:rFonts w:ascii="宋体" w:hAnsi="宋体" w:cs="宋体"/>
                <w:color w:val="auto"/>
                <w:highlight w:val="none"/>
              </w:rPr>
            </w:pPr>
            <w:r>
              <w:rPr>
                <w:rFonts w:hint="eastAsia" w:ascii="宋体" w:hAnsi="宋体" w:cs="宋体"/>
                <w:color w:val="auto"/>
                <w:highlight w:val="none"/>
              </w:rPr>
              <w:t>现有职工</w:t>
            </w:r>
          </w:p>
        </w:tc>
        <w:tc>
          <w:tcPr>
            <w:tcW w:w="2415" w:type="dxa"/>
            <w:tcBorders>
              <w:top w:val="single" w:color="auto" w:sz="6" w:space="0"/>
              <w:left w:val="single" w:color="auto" w:sz="6" w:space="0"/>
              <w:bottom w:val="single" w:color="auto" w:sz="6" w:space="0"/>
              <w:right w:val="single" w:color="auto" w:sz="6" w:space="0"/>
            </w:tcBorders>
          </w:tcPr>
          <w:p w14:paraId="023023A9">
            <w:pPr>
              <w:widowControl/>
              <w:autoSpaceDE w:val="0"/>
              <w:autoSpaceDN w:val="0"/>
              <w:spacing w:line="440" w:lineRule="atLeast"/>
              <w:textAlignment w:val="bottom"/>
              <w:rPr>
                <w:rFonts w:ascii="宋体" w:hAnsi="宋体" w:cs="宋体"/>
                <w:color w:val="auto"/>
                <w:highlight w:val="none"/>
              </w:rPr>
            </w:pPr>
          </w:p>
        </w:tc>
      </w:tr>
      <w:tr w14:paraId="36EAFE5E">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14:paraId="20D6D990">
            <w:pPr>
              <w:widowControl/>
              <w:autoSpaceDE w:val="0"/>
              <w:autoSpaceDN w:val="0"/>
              <w:spacing w:line="440" w:lineRule="atLeast"/>
              <w:jc w:val="center"/>
              <w:textAlignment w:val="bottom"/>
              <w:rPr>
                <w:rFonts w:ascii="宋体" w:hAnsi="宋体" w:cs="宋体"/>
                <w:color w:val="auto"/>
                <w:highlight w:val="none"/>
              </w:rPr>
            </w:pPr>
            <w:r>
              <w:rPr>
                <w:rFonts w:hint="eastAsia" w:ascii="宋体" w:hAnsi="宋体" w:cs="宋体"/>
                <w:color w:val="auto"/>
                <w:highlight w:val="none"/>
              </w:rPr>
              <w:t>固定资产净值(万元)</w:t>
            </w:r>
          </w:p>
        </w:tc>
        <w:tc>
          <w:tcPr>
            <w:tcW w:w="6480" w:type="dxa"/>
            <w:gridSpan w:val="3"/>
            <w:tcBorders>
              <w:top w:val="single" w:color="auto" w:sz="6" w:space="0"/>
              <w:left w:val="single" w:color="auto" w:sz="6" w:space="0"/>
              <w:bottom w:val="single" w:color="auto" w:sz="6" w:space="0"/>
              <w:right w:val="single" w:color="auto" w:sz="6" w:space="0"/>
            </w:tcBorders>
          </w:tcPr>
          <w:p w14:paraId="1E4DA29E">
            <w:pPr>
              <w:widowControl/>
              <w:autoSpaceDE w:val="0"/>
              <w:autoSpaceDN w:val="0"/>
              <w:spacing w:line="440" w:lineRule="atLeast"/>
              <w:textAlignment w:val="bottom"/>
              <w:rPr>
                <w:rFonts w:ascii="宋体" w:hAnsi="宋体" w:cs="宋体"/>
                <w:color w:val="auto"/>
                <w:highlight w:val="none"/>
              </w:rPr>
            </w:pPr>
          </w:p>
        </w:tc>
      </w:tr>
      <w:tr w14:paraId="2CD944DB">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14:paraId="595ED273">
            <w:pPr>
              <w:widowControl/>
              <w:autoSpaceDE w:val="0"/>
              <w:autoSpaceDN w:val="0"/>
              <w:spacing w:line="440" w:lineRule="atLeast"/>
              <w:ind w:left="105"/>
              <w:jc w:val="center"/>
              <w:textAlignment w:val="bottom"/>
              <w:rPr>
                <w:rFonts w:ascii="宋体" w:hAnsi="宋体" w:cs="宋体"/>
                <w:color w:val="auto"/>
                <w:highlight w:val="none"/>
              </w:rPr>
            </w:pPr>
            <w:r>
              <w:rPr>
                <w:rFonts w:hint="eastAsia" w:ascii="宋体" w:hAnsi="宋体" w:cs="宋体"/>
                <w:color w:val="auto"/>
                <w:highlight w:val="none"/>
              </w:rPr>
              <w:t>行政负责人</w:t>
            </w:r>
          </w:p>
        </w:tc>
        <w:tc>
          <w:tcPr>
            <w:tcW w:w="6480" w:type="dxa"/>
            <w:gridSpan w:val="3"/>
            <w:tcBorders>
              <w:top w:val="single" w:color="auto" w:sz="6" w:space="0"/>
              <w:left w:val="single" w:color="auto" w:sz="6" w:space="0"/>
              <w:bottom w:val="single" w:color="auto" w:sz="6" w:space="0"/>
              <w:right w:val="single" w:color="auto" w:sz="6" w:space="0"/>
            </w:tcBorders>
          </w:tcPr>
          <w:p w14:paraId="47735D61">
            <w:pPr>
              <w:widowControl/>
              <w:autoSpaceDE w:val="0"/>
              <w:autoSpaceDN w:val="0"/>
              <w:spacing w:line="440" w:lineRule="atLeast"/>
              <w:textAlignment w:val="bottom"/>
              <w:rPr>
                <w:rFonts w:ascii="宋体" w:hAnsi="宋体" w:cs="宋体"/>
                <w:color w:val="auto"/>
                <w:highlight w:val="none"/>
              </w:rPr>
            </w:pPr>
            <w:r>
              <w:rPr>
                <w:rFonts w:hint="eastAsia" w:ascii="宋体" w:hAnsi="宋体" w:cs="宋体"/>
                <w:color w:val="auto"/>
                <w:highlight w:val="none"/>
              </w:rPr>
              <w:t>姓名:             职务:             职称:</w:t>
            </w:r>
          </w:p>
        </w:tc>
      </w:tr>
      <w:tr w14:paraId="637AF5A0">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14:paraId="57DC660B">
            <w:pPr>
              <w:widowControl/>
              <w:autoSpaceDE w:val="0"/>
              <w:autoSpaceDN w:val="0"/>
              <w:spacing w:line="440" w:lineRule="atLeast"/>
              <w:ind w:left="105"/>
              <w:jc w:val="center"/>
              <w:textAlignment w:val="bottom"/>
              <w:rPr>
                <w:rFonts w:ascii="宋体" w:hAnsi="宋体" w:cs="宋体"/>
                <w:color w:val="auto"/>
                <w:highlight w:val="none"/>
              </w:rPr>
            </w:pPr>
            <w:r>
              <w:rPr>
                <w:rFonts w:hint="eastAsia" w:ascii="宋体" w:hAnsi="宋体" w:cs="宋体"/>
                <w:color w:val="auto"/>
                <w:highlight w:val="none"/>
              </w:rPr>
              <w:t>技术负责人</w:t>
            </w:r>
          </w:p>
        </w:tc>
        <w:tc>
          <w:tcPr>
            <w:tcW w:w="6480" w:type="dxa"/>
            <w:gridSpan w:val="3"/>
            <w:tcBorders>
              <w:top w:val="single" w:color="auto" w:sz="6" w:space="0"/>
              <w:left w:val="single" w:color="auto" w:sz="6" w:space="0"/>
              <w:bottom w:val="single" w:color="auto" w:sz="6" w:space="0"/>
              <w:right w:val="single" w:color="auto" w:sz="6" w:space="0"/>
            </w:tcBorders>
          </w:tcPr>
          <w:p w14:paraId="6D5C30C1">
            <w:pPr>
              <w:widowControl/>
              <w:autoSpaceDE w:val="0"/>
              <w:autoSpaceDN w:val="0"/>
              <w:spacing w:line="440" w:lineRule="atLeast"/>
              <w:textAlignment w:val="bottom"/>
              <w:rPr>
                <w:rFonts w:ascii="宋体" w:hAnsi="宋体" w:cs="宋体"/>
                <w:color w:val="auto"/>
                <w:highlight w:val="none"/>
              </w:rPr>
            </w:pPr>
            <w:r>
              <w:rPr>
                <w:rFonts w:hint="eastAsia" w:ascii="宋体" w:hAnsi="宋体" w:cs="宋体"/>
                <w:color w:val="auto"/>
                <w:highlight w:val="none"/>
              </w:rPr>
              <w:t>姓名:             职务:             职称:</w:t>
            </w:r>
          </w:p>
        </w:tc>
      </w:tr>
      <w:tr w14:paraId="0916EFA9">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vAlign w:val="center"/>
          </w:tcPr>
          <w:p w14:paraId="7F2C22A5">
            <w:pPr>
              <w:widowControl/>
              <w:autoSpaceDE w:val="0"/>
              <w:autoSpaceDN w:val="0"/>
              <w:spacing w:line="440" w:lineRule="atLeast"/>
              <w:ind w:left="105"/>
              <w:jc w:val="center"/>
              <w:textAlignment w:val="bottom"/>
              <w:rPr>
                <w:rFonts w:ascii="宋体" w:hAnsi="宋体" w:cs="宋体"/>
                <w:color w:val="auto"/>
                <w:highlight w:val="none"/>
              </w:rPr>
            </w:pPr>
            <w:r>
              <w:rPr>
                <w:rFonts w:hint="eastAsia" w:ascii="宋体" w:hAnsi="宋体" w:cs="宋体"/>
                <w:color w:val="auto"/>
                <w:highlight w:val="none"/>
              </w:rPr>
              <w:t>联系方式</w:t>
            </w:r>
          </w:p>
        </w:tc>
        <w:tc>
          <w:tcPr>
            <w:tcW w:w="6480" w:type="dxa"/>
            <w:gridSpan w:val="3"/>
            <w:tcBorders>
              <w:top w:val="single" w:color="auto" w:sz="6" w:space="0"/>
              <w:left w:val="single" w:color="auto" w:sz="6" w:space="0"/>
              <w:bottom w:val="single" w:color="auto" w:sz="6" w:space="0"/>
              <w:right w:val="single" w:color="auto" w:sz="6" w:space="0"/>
            </w:tcBorders>
          </w:tcPr>
          <w:p w14:paraId="545A7045">
            <w:pPr>
              <w:widowControl/>
              <w:autoSpaceDE w:val="0"/>
              <w:autoSpaceDN w:val="0"/>
              <w:spacing w:line="440" w:lineRule="atLeast"/>
              <w:textAlignment w:val="bottom"/>
              <w:rPr>
                <w:rFonts w:ascii="宋体" w:hAnsi="宋体" w:cs="宋体"/>
                <w:color w:val="auto"/>
                <w:highlight w:val="none"/>
              </w:rPr>
            </w:pPr>
            <w:r>
              <w:rPr>
                <w:rFonts w:hint="eastAsia" w:ascii="宋体" w:hAnsi="宋体" w:cs="宋体"/>
                <w:color w:val="auto"/>
                <w:highlight w:val="none"/>
              </w:rPr>
              <w:t>地址</w:t>
            </w:r>
          </w:p>
          <w:p w14:paraId="294C6296">
            <w:pPr>
              <w:widowControl/>
              <w:autoSpaceDE w:val="0"/>
              <w:autoSpaceDN w:val="0"/>
              <w:spacing w:line="440" w:lineRule="atLeast"/>
              <w:textAlignment w:val="bottom"/>
              <w:rPr>
                <w:rFonts w:ascii="宋体" w:hAnsi="宋体" w:cs="宋体"/>
                <w:color w:val="auto"/>
                <w:highlight w:val="none"/>
              </w:rPr>
            </w:pPr>
            <w:r>
              <w:rPr>
                <w:rFonts w:hint="eastAsia" w:ascii="宋体" w:hAnsi="宋体" w:cs="宋体"/>
                <w:color w:val="auto"/>
                <w:highlight w:val="none"/>
              </w:rPr>
              <w:t>邮编:</w:t>
            </w:r>
          </w:p>
          <w:p w14:paraId="5741F8F6">
            <w:pPr>
              <w:widowControl/>
              <w:autoSpaceDE w:val="0"/>
              <w:autoSpaceDN w:val="0"/>
              <w:spacing w:line="440" w:lineRule="atLeast"/>
              <w:textAlignment w:val="bottom"/>
              <w:rPr>
                <w:rFonts w:ascii="宋体" w:hAnsi="宋体" w:cs="宋体"/>
                <w:color w:val="auto"/>
                <w:highlight w:val="none"/>
              </w:rPr>
            </w:pPr>
            <w:r>
              <w:rPr>
                <w:rFonts w:hint="eastAsia" w:ascii="宋体" w:hAnsi="宋体" w:cs="宋体"/>
                <w:color w:val="auto"/>
                <w:highlight w:val="none"/>
              </w:rPr>
              <w:t xml:space="preserve">电话:  </w:t>
            </w:r>
          </w:p>
          <w:p w14:paraId="076D3855">
            <w:pPr>
              <w:widowControl/>
              <w:autoSpaceDE w:val="0"/>
              <w:autoSpaceDN w:val="0"/>
              <w:spacing w:line="440" w:lineRule="atLeast"/>
              <w:textAlignment w:val="bottom"/>
              <w:rPr>
                <w:rFonts w:ascii="宋体" w:hAnsi="宋体" w:cs="宋体"/>
                <w:color w:val="auto"/>
                <w:highlight w:val="none"/>
              </w:rPr>
            </w:pPr>
            <w:r>
              <w:rPr>
                <w:rFonts w:hint="eastAsia" w:ascii="宋体" w:hAnsi="宋体" w:cs="宋体"/>
                <w:color w:val="auto"/>
                <w:highlight w:val="none"/>
              </w:rPr>
              <w:t xml:space="preserve">传真:       </w:t>
            </w:r>
          </w:p>
        </w:tc>
      </w:tr>
      <w:tr w14:paraId="524510A7">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14:paraId="14D97B21">
            <w:pPr>
              <w:widowControl/>
              <w:autoSpaceDE w:val="0"/>
              <w:autoSpaceDN w:val="0"/>
              <w:spacing w:line="440" w:lineRule="atLeast"/>
              <w:ind w:left="105"/>
              <w:jc w:val="center"/>
              <w:textAlignment w:val="bottom"/>
              <w:rPr>
                <w:rFonts w:ascii="宋体" w:hAnsi="宋体" w:cs="宋体"/>
                <w:color w:val="auto"/>
                <w:highlight w:val="none"/>
              </w:rPr>
            </w:pPr>
            <w:r>
              <w:rPr>
                <w:rFonts w:hint="eastAsia" w:ascii="宋体" w:hAnsi="宋体" w:cs="宋体"/>
                <w:color w:val="auto"/>
                <w:highlight w:val="none"/>
              </w:rPr>
              <w:t>开户银行</w:t>
            </w:r>
          </w:p>
        </w:tc>
        <w:tc>
          <w:tcPr>
            <w:tcW w:w="6480" w:type="dxa"/>
            <w:gridSpan w:val="3"/>
            <w:tcBorders>
              <w:top w:val="single" w:color="auto" w:sz="6" w:space="0"/>
              <w:left w:val="single" w:color="auto" w:sz="6" w:space="0"/>
              <w:bottom w:val="single" w:color="auto" w:sz="6" w:space="0"/>
              <w:right w:val="single" w:color="auto" w:sz="6" w:space="0"/>
            </w:tcBorders>
          </w:tcPr>
          <w:p w14:paraId="662B0B0C">
            <w:pPr>
              <w:widowControl/>
              <w:autoSpaceDE w:val="0"/>
              <w:autoSpaceDN w:val="0"/>
              <w:spacing w:line="440" w:lineRule="atLeast"/>
              <w:textAlignment w:val="bottom"/>
              <w:rPr>
                <w:rFonts w:ascii="宋体" w:hAnsi="宋体" w:cs="宋体"/>
                <w:color w:val="auto"/>
                <w:highlight w:val="none"/>
              </w:rPr>
            </w:pPr>
            <w:r>
              <w:rPr>
                <w:rFonts w:hint="eastAsia" w:ascii="宋体" w:hAnsi="宋体" w:cs="宋体"/>
                <w:color w:val="auto"/>
                <w:highlight w:val="none"/>
              </w:rPr>
              <w:t xml:space="preserve">名称:                      账号:          </w:t>
            </w:r>
          </w:p>
        </w:tc>
      </w:tr>
      <w:tr w14:paraId="7956E687">
        <w:tblPrEx>
          <w:tblCellMar>
            <w:top w:w="0" w:type="dxa"/>
            <w:left w:w="28" w:type="dxa"/>
            <w:bottom w:w="0" w:type="dxa"/>
            <w:right w:w="28" w:type="dxa"/>
          </w:tblCellMar>
        </w:tblPrEx>
        <w:trPr>
          <w:cantSplit/>
          <w:trHeight w:val="5279" w:hRule="atLeast"/>
        </w:trPr>
        <w:tc>
          <w:tcPr>
            <w:tcW w:w="2368" w:type="dxa"/>
            <w:tcBorders>
              <w:top w:val="single" w:color="auto" w:sz="6" w:space="0"/>
              <w:left w:val="single" w:color="auto" w:sz="6" w:space="0"/>
              <w:bottom w:val="single" w:color="auto" w:sz="6" w:space="0"/>
              <w:right w:val="single" w:color="auto" w:sz="6" w:space="0"/>
            </w:tcBorders>
          </w:tcPr>
          <w:p w14:paraId="3D232191">
            <w:pPr>
              <w:widowControl/>
              <w:autoSpaceDE w:val="0"/>
              <w:autoSpaceDN w:val="0"/>
              <w:spacing w:line="440" w:lineRule="atLeast"/>
              <w:ind w:left="105"/>
              <w:jc w:val="center"/>
              <w:textAlignment w:val="bottom"/>
              <w:rPr>
                <w:rFonts w:ascii="宋体" w:hAnsi="宋体" w:cs="宋体"/>
                <w:color w:val="auto"/>
                <w:highlight w:val="none"/>
              </w:rPr>
            </w:pPr>
          </w:p>
          <w:p w14:paraId="00238085">
            <w:pPr>
              <w:widowControl/>
              <w:autoSpaceDE w:val="0"/>
              <w:autoSpaceDN w:val="0"/>
              <w:spacing w:line="440" w:lineRule="atLeast"/>
              <w:ind w:left="105"/>
              <w:jc w:val="center"/>
              <w:textAlignment w:val="bottom"/>
              <w:rPr>
                <w:rFonts w:ascii="宋体" w:hAnsi="宋体" w:cs="宋体"/>
                <w:color w:val="auto"/>
                <w:highlight w:val="none"/>
              </w:rPr>
            </w:pPr>
          </w:p>
          <w:p w14:paraId="59258F33">
            <w:pPr>
              <w:widowControl/>
              <w:autoSpaceDE w:val="0"/>
              <w:autoSpaceDN w:val="0"/>
              <w:spacing w:line="440" w:lineRule="atLeast"/>
              <w:ind w:left="105"/>
              <w:jc w:val="center"/>
              <w:textAlignment w:val="bottom"/>
              <w:rPr>
                <w:rFonts w:ascii="宋体" w:hAnsi="宋体" w:cs="宋体"/>
                <w:color w:val="auto"/>
                <w:highlight w:val="none"/>
              </w:rPr>
            </w:pPr>
          </w:p>
          <w:p w14:paraId="5061DC41">
            <w:pPr>
              <w:widowControl/>
              <w:autoSpaceDE w:val="0"/>
              <w:autoSpaceDN w:val="0"/>
              <w:spacing w:line="440" w:lineRule="atLeast"/>
              <w:textAlignment w:val="bottom"/>
              <w:rPr>
                <w:rFonts w:ascii="宋体" w:hAnsi="宋体" w:cs="宋体"/>
                <w:color w:val="auto"/>
                <w:highlight w:val="none"/>
              </w:rPr>
            </w:pPr>
          </w:p>
          <w:p w14:paraId="7590A630">
            <w:pPr>
              <w:widowControl/>
              <w:autoSpaceDE w:val="0"/>
              <w:autoSpaceDN w:val="0"/>
              <w:spacing w:line="440" w:lineRule="atLeast"/>
              <w:ind w:left="105"/>
              <w:jc w:val="center"/>
              <w:textAlignment w:val="bottom"/>
              <w:rPr>
                <w:rFonts w:ascii="宋体" w:hAnsi="宋体" w:cs="宋体"/>
                <w:color w:val="auto"/>
                <w:highlight w:val="none"/>
              </w:rPr>
            </w:pPr>
          </w:p>
          <w:p w14:paraId="746FECA7">
            <w:pPr>
              <w:widowControl/>
              <w:autoSpaceDE w:val="0"/>
              <w:autoSpaceDN w:val="0"/>
              <w:spacing w:line="440" w:lineRule="atLeast"/>
              <w:ind w:left="105"/>
              <w:jc w:val="center"/>
              <w:textAlignment w:val="bottom"/>
              <w:rPr>
                <w:rFonts w:ascii="宋体" w:hAnsi="宋体" w:cs="宋体"/>
                <w:color w:val="auto"/>
                <w:highlight w:val="none"/>
              </w:rPr>
            </w:pPr>
          </w:p>
          <w:p w14:paraId="53F83FC8">
            <w:pPr>
              <w:widowControl/>
              <w:autoSpaceDE w:val="0"/>
              <w:autoSpaceDN w:val="0"/>
              <w:spacing w:line="440" w:lineRule="atLeast"/>
              <w:ind w:left="105"/>
              <w:jc w:val="center"/>
              <w:textAlignment w:val="bottom"/>
              <w:rPr>
                <w:rFonts w:ascii="宋体" w:hAnsi="宋体" w:cs="宋体"/>
                <w:color w:val="auto"/>
                <w:highlight w:val="none"/>
              </w:rPr>
            </w:pPr>
            <w:r>
              <w:rPr>
                <w:rFonts w:hint="eastAsia" w:ascii="宋体" w:hAnsi="宋体" w:cs="宋体"/>
                <w:color w:val="auto"/>
                <w:highlight w:val="none"/>
              </w:rPr>
              <w:t>组织机构框图</w:t>
            </w:r>
          </w:p>
          <w:p w14:paraId="3F007CFF">
            <w:pPr>
              <w:widowControl/>
              <w:autoSpaceDE w:val="0"/>
              <w:autoSpaceDN w:val="0"/>
              <w:spacing w:line="440" w:lineRule="atLeast"/>
              <w:ind w:left="105"/>
              <w:jc w:val="center"/>
              <w:textAlignment w:val="bottom"/>
              <w:rPr>
                <w:rFonts w:ascii="宋体" w:hAnsi="宋体" w:cs="宋体"/>
                <w:color w:val="auto"/>
                <w:highlight w:val="none"/>
              </w:rPr>
            </w:pPr>
          </w:p>
          <w:p w14:paraId="19F9BEA2">
            <w:pPr>
              <w:autoSpaceDE w:val="0"/>
              <w:autoSpaceDN w:val="0"/>
              <w:spacing w:line="440" w:lineRule="atLeast"/>
              <w:ind w:left="105"/>
              <w:textAlignment w:val="bottom"/>
              <w:rPr>
                <w:rFonts w:ascii="宋体" w:hAnsi="宋体" w:cs="宋体"/>
                <w:color w:val="auto"/>
                <w:highlight w:val="none"/>
              </w:rPr>
            </w:pPr>
          </w:p>
        </w:tc>
        <w:tc>
          <w:tcPr>
            <w:tcW w:w="6480" w:type="dxa"/>
            <w:gridSpan w:val="3"/>
            <w:tcBorders>
              <w:top w:val="single" w:color="auto" w:sz="6" w:space="0"/>
              <w:left w:val="single" w:color="auto" w:sz="6" w:space="0"/>
              <w:bottom w:val="single" w:color="auto" w:sz="6" w:space="0"/>
              <w:right w:val="single" w:color="auto" w:sz="6" w:space="0"/>
            </w:tcBorders>
          </w:tcPr>
          <w:p w14:paraId="027B426B">
            <w:pPr>
              <w:widowControl/>
              <w:autoSpaceDE w:val="0"/>
              <w:autoSpaceDN w:val="0"/>
              <w:spacing w:line="440" w:lineRule="atLeast"/>
              <w:textAlignment w:val="bottom"/>
              <w:rPr>
                <w:rFonts w:ascii="宋体" w:hAnsi="宋体" w:cs="宋体"/>
                <w:color w:val="auto"/>
                <w:highlight w:val="none"/>
              </w:rPr>
            </w:pPr>
          </w:p>
        </w:tc>
      </w:tr>
    </w:tbl>
    <w:p w14:paraId="125BFA11">
      <w:pPr>
        <w:spacing w:line="360" w:lineRule="auto"/>
        <w:ind w:left="630" w:hanging="630" w:hangingChars="300"/>
        <w:rPr>
          <w:rFonts w:ascii="宋体" w:hAnsi="宋体" w:cs="宋体"/>
          <w:color w:val="auto"/>
          <w:highlight w:val="none"/>
        </w:rPr>
      </w:pPr>
    </w:p>
    <w:p w14:paraId="2CC790E5">
      <w:pPr>
        <w:adjustRightInd w:val="0"/>
        <w:snapToGrid w:val="0"/>
        <w:spacing w:before="120" w:beforeLines="50" w:line="360" w:lineRule="auto"/>
        <w:rPr>
          <w:rFonts w:ascii="宋体" w:hAnsi="宋体" w:cs="宋体"/>
          <w:b/>
          <w:color w:val="auto"/>
          <w:highlight w:val="none"/>
        </w:rPr>
      </w:pPr>
      <w:r>
        <w:rPr>
          <w:rFonts w:hint="eastAsia" w:ascii="宋体" w:hAnsi="宋体"/>
          <w:b/>
          <w:color w:val="auto"/>
          <w:szCs w:val="21"/>
          <w:highlight w:val="none"/>
        </w:rPr>
        <w:t>注：如为联合体投标，</w:t>
      </w:r>
      <w:r>
        <w:rPr>
          <w:rFonts w:hint="eastAsia" w:ascii="宋体" w:hAnsi="宋体" w:cs="宋体"/>
          <w:b/>
          <w:color w:val="auto"/>
          <w:szCs w:val="21"/>
          <w:highlight w:val="none"/>
        </w:rPr>
        <w:t>联</w:t>
      </w:r>
      <w:r>
        <w:rPr>
          <w:rFonts w:hint="eastAsia" w:ascii="宋体" w:hAnsi="宋体"/>
          <w:b/>
          <w:color w:val="auto"/>
          <w:szCs w:val="21"/>
          <w:highlight w:val="none"/>
        </w:rPr>
        <w:t>合体</w:t>
      </w:r>
      <w:r>
        <w:rPr>
          <w:rFonts w:hint="eastAsia" w:ascii="宋体" w:hAnsi="宋体" w:cs="宋体"/>
          <w:b/>
          <w:color w:val="auto"/>
          <w:szCs w:val="21"/>
          <w:highlight w:val="none"/>
        </w:rPr>
        <w:t>每</w:t>
      </w:r>
      <w:r>
        <w:rPr>
          <w:rFonts w:hint="eastAsia" w:ascii="宋体" w:hAnsi="宋体"/>
          <w:b/>
          <w:color w:val="auto"/>
          <w:szCs w:val="21"/>
          <w:highlight w:val="none"/>
        </w:rPr>
        <w:t>个成</w:t>
      </w:r>
      <w:r>
        <w:rPr>
          <w:rFonts w:hint="eastAsia" w:ascii="宋体" w:hAnsi="宋体" w:cs="宋体"/>
          <w:b/>
          <w:color w:val="auto"/>
          <w:szCs w:val="21"/>
          <w:highlight w:val="none"/>
        </w:rPr>
        <w:t>员</w:t>
      </w:r>
      <w:r>
        <w:rPr>
          <w:rFonts w:hint="eastAsia" w:ascii="宋体" w:hAnsi="宋体"/>
          <w:b/>
          <w:color w:val="auto"/>
          <w:szCs w:val="21"/>
          <w:highlight w:val="none"/>
        </w:rPr>
        <w:t>均需提供此表。</w:t>
      </w:r>
      <w:r>
        <w:rPr>
          <w:rFonts w:hint="eastAsia" w:ascii="宋体" w:hAnsi="宋体" w:cs="宋体"/>
          <w:b/>
          <w:color w:val="auto"/>
          <w:sz w:val="24"/>
          <w:highlight w:val="none"/>
        </w:rPr>
        <w:br w:type="page"/>
      </w:r>
      <w:r>
        <w:rPr>
          <w:rFonts w:hint="eastAsia" w:ascii="宋体" w:hAnsi="宋体" w:cs="宋体"/>
          <w:b/>
          <w:color w:val="auto"/>
          <w:highlight w:val="none"/>
        </w:rPr>
        <w:t>3.4法定代表人资格证明及授权委托书</w:t>
      </w:r>
    </w:p>
    <w:p w14:paraId="6B3F389B">
      <w:pP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附件3.4.1</w:t>
      </w:r>
    </w:p>
    <w:p w14:paraId="3E3AEFFD">
      <w:pPr>
        <w:pStyle w:val="19"/>
        <w:spacing w:line="600" w:lineRule="exact"/>
        <w:ind w:firstLine="0"/>
        <w:jc w:val="center"/>
        <w:rPr>
          <w:rFonts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法定代表人资格证明书</w:t>
      </w:r>
    </w:p>
    <w:p w14:paraId="3D51CD40">
      <w:pPr>
        <w:pStyle w:val="19"/>
        <w:spacing w:line="600" w:lineRule="exact"/>
        <w:rPr>
          <w:rFonts w:ascii="宋体" w:hAnsi="宋体" w:eastAsia="宋体" w:cs="宋体"/>
          <w:b/>
          <w:bCs/>
          <w:snapToGrid w:val="0"/>
          <w:color w:val="auto"/>
          <w:kern w:val="0"/>
          <w:sz w:val="36"/>
          <w:highlight w:val="none"/>
        </w:rPr>
      </w:pPr>
    </w:p>
    <w:p w14:paraId="528D0726">
      <w:pPr>
        <w:pStyle w:val="19"/>
        <w:spacing w:line="600" w:lineRule="exact"/>
        <w:ind w:firstLine="420" w:firstLineChars="200"/>
        <w:rPr>
          <w:rFonts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系的法定代表人。身份证号：。</w:t>
      </w:r>
    </w:p>
    <w:p w14:paraId="24F15305">
      <w:pPr>
        <w:pStyle w:val="19"/>
        <w:spacing w:line="600" w:lineRule="exact"/>
        <w:rPr>
          <w:rFonts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特此证明</w:t>
      </w:r>
    </w:p>
    <w:p w14:paraId="795C3F98">
      <w:pPr>
        <w:pStyle w:val="19"/>
        <w:spacing w:line="600" w:lineRule="exact"/>
        <w:rPr>
          <w:rFonts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投标人：(盖公章)</w:t>
      </w:r>
    </w:p>
    <w:p w14:paraId="519D1014">
      <w:pPr>
        <w:pStyle w:val="19"/>
        <w:spacing w:line="600" w:lineRule="exact"/>
        <w:rPr>
          <w:rFonts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日期：年月日</w:t>
      </w:r>
    </w:p>
    <w:p w14:paraId="1C4C74F1">
      <w:pPr>
        <w:adjustRightInd w:val="0"/>
        <w:spacing w:line="360" w:lineRule="auto"/>
        <w:rPr>
          <w:rFonts w:ascii="宋体" w:hAnsi="宋体" w:cs="宋体"/>
          <w:snapToGrid w:val="0"/>
          <w:color w:val="auto"/>
          <w:kern w:val="0"/>
          <w:szCs w:val="21"/>
          <w:highlight w:val="none"/>
        </w:rPr>
      </w:pPr>
    </w:p>
    <w:p w14:paraId="0ED2E0FD">
      <w:pPr>
        <w:adjustRightIn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附：法定代表人身份证原件的扫描件（正反面）</w:t>
      </w:r>
    </w:p>
    <w:p w14:paraId="0B2697FA">
      <w:pPr>
        <w:adjustRightInd w:val="0"/>
        <w:spacing w:line="360" w:lineRule="auto"/>
        <w:rPr>
          <w:rFonts w:ascii="宋体" w:hAnsi="宋体" w:cs="宋体"/>
          <w:snapToGrid w:val="0"/>
          <w:color w:val="auto"/>
          <w:kern w:val="0"/>
          <w:szCs w:val="21"/>
          <w:highlight w:val="none"/>
        </w:rPr>
      </w:pPr>
    </w:p>
    <w:p w14:paraId="61A272E6">
      <w:pPr>
        <w:adjustRightInd w:val="0"/>
        <w:spacing w:line="360" w:lineRule="auto"/>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附件3.4.2</w:t>
      </w:r>
    </w:p>
    <w:p w14:paraId="5A688143">
      <w:pPr>
        <w:adjustRightInd w:val="0"/>
        <w:spacing w:line="360" w:lineRule="auto"/>
        <w:jc w:val="center"/>
        <w:rPr>
          <w:rFonts w:ascii="宋体" w:hAnsi="宋体" w:cs="宋体"/>
          <w:b/>
          <w:snapToGrid w:val="0"/>
          <w:color w:val="auto"/>
          <w:kern w:val="0"/>
          <w:sz w:val="28"/>
          <w:szCs w:val="28"/>
          <w:highlight w:val="none"/>
        </w:rPr>
      </w:pPr>
      <w:r>
        <w:rPr>
          <w:rFonts w:hint="eastAsia" w:ascii="宋体" w:hAnsi="宋体" w:cs="宋体"/>
          <w:b/>
          <w:bCs/>
          <w:snapToGrid w:val="0"/>
          <w:color w:val="auto"/>
          <w:kern w:val="0"/>
          <w:sz w:val="28"/>
          <w:szCs w:val="28"/>
          <w:highlight w:val="none"/>
        </w:rPr>
        <w:t>授权委托书</w:t>
      </w:r>
    </w:p>
    <w:p w14:paraId="0519769E">
      <w:pPr>
        <w:adjustRightInd w:val="0"/>
        <w:spacing w:line="360" w:lineRule="auto"/>
        <w:jc w:val="left"/>
        <w:rPr>
          <w:rFonts w:ascii="宋体" w:hAnsi="宋体" w:cs="宋体"/>
          <w:b/>
          <w:snapToGrid w:val="0"/>
          <w:color w:val="auto"/>
          <w:kern w:val="0"/>
          <w:sz w:val="32"/>
          <w:szCs w:val="20"/>
          <w:highlight w:val="none"/>
        </w:rPr>
      </w:pPr>
    </w:p>
    <w:p w14:paraId="036A3686">
      <w:pPr>
        <w:adjustRightInd w:val="0"/>
        <w:spacing w:line="480" w:lineRule="auto"/>
        <w:ind w:left="4" w:firstLine="455" w:firstLineChars="217"/>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我 （姓名）系（投标人名称）的法定代表人，现授权委托（姓名、身份证号）为我公司授权代表，以本公司的名义参加</w:t>
      </w:r>
      <w:r>
        <w:rPr>
          <w:rFonts w:hint="eastAsia" w:ascii="宋体" w:hAnsi="宋体" w:cs="宋体"/>
          <w:snapToGrid w:val="0"/>
          <w:color w:val="auto"/>
          <w:kern w:val="0"/>
          <w:szCs w:val="21"/>
          <w:highlight w:val="none"/>
          <w:u w:val="single"/>
        </w:rPr>
        <w:t xml:space="preserve">   （采购人）    </w:t>
      </w:r>
      <w:r>
        <w:rPr>
          <w:rFonts w:hint="eastAsia" w:ascii="宋体" w:hAnsi="宋体" w:cs="宋体"/>
          <w:snapToGrid w:val="0"/>
          <w:color w:val="auto"/>
          <w:kern w:val="0"/>
          <w:szCs w:val="21"/>
          <w:highlight w:val="none"/>
        </w:rPr>
        <w:t>的 项目的投标活动。授权代表在开标、评标、合同谈判过程中所签署的一切文件和处理与之有关的一切事务，我均予以承认。</w:t>
      </w:r>
    </w:p>
    <w:p w14:paraId="51508577">
      <w:pPr>
        <w:adjustRightInd w:val="0"/>
        <w:spacing w:line="480" w:lineRule="auto"/>
        <w:ind w:firstLine="420" w:firstLineChars="2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授权代表无权转委托。特此委托。</w:t>
      </w:r>
    </w:p>
    <w:p w14:paraId="7A2354D6">
      <w:pPr>
        <w:spacing w:line="360" w:lineRule="auto"/>
        <w:ind w:right="1800" w:firstLine="3570" w:firstLineChars="17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投标人：（盖公章）       </w:t>
      </w:r>
    </w:p>
    <w:p w14:paraId="1FE3655A">
      <w:pPr>
        <w:autoSpaceDE w:val="0"/>
        <w:autoSpaceDN w:val="0"/>
        <w:adjustRightInd w:val="0"/>
        <w:spacing w:line="360" w:lineRule="auto"/>
        <w:ind w:right="42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法定代表人（签字或盖章） </w:t>
      </w:r>
    </w:p>
    <w:p w14:paraId="5E6EB74C">
      <w:pPr>
        <w:autoSpaceDE w:val="0"/>
        <w:autoSpaceDN w:val="0"/>
        <w:adjustRightInd w:val="0"/>
        <w:spacing w:line="360" w:lineRule="auto"/>
        <w:ind w:right="42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法定代表人身份证号码：</w:t>
      </w:r>
    </w:p>
    <w:p w14:paraId="776E8483">
      <w:pPr>
        <w:autoSpaceDE w:val="0"/>
        <w:autoSpaceDN w:val="0"/>
        <w:adjustRightInd w:val="0"/>
        <w:spacing w:line="360" w:lineRule="auto"/>
        <w:ind w:right="42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授权代表（签字或盖章） </w:t>
      </w:r>
    </w:p>
    <w:p w14:paraId="6E904269">
      <w:pPr>
        <w:autoSpaceDE w:val="0"/>
        <w:autoSpaceDN w:val="0"/>
        <w:adjustRightInd w:val="0"/>
        <w:spacing w:line="360" w:lineRule="auto"/>
        <w:ind w:right="42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授权代表身份证号码：</w:t>
      </w:r>
    </w:p>
    <w:p w14:paraId="40D9F274">
      <w:pPr>
        <w:autoSpaceDE w:val="0"/>
        <w:autoSpaceDN w:val="0"/>
        <w:adjustRightInd w:val="0"/>
        <w:spacing w:line="360" w:lineRule="auto"/>
        <w:ind w:right="420"/>
        <w:rPr>
          <w:rFonts w:ascii="宋体" w:hAnsi="宋体" w:cs="宋体"/>
          <w:snapToGrid w:val="0"/>
          <w:color w:val="auto"/>
          <w:kern w:val="0"/>
          <w:szCs w:val="21"/>
          <w:highlight w:val="none"/>
        </w:rPr>
      </w:pPr>
    </w:p>
    <w:p w14:paraId="3387324D">
      <w:pPr>
        <w:autoSpaceDE w:val="0"/>
        <w:autoSpaceDN w:val="0"/>
        <w:adjustRightInd w:val="0"/>
        <w:spacing w:line="360" w:lineRule="auto"/>
        <w:ind w:right="420"/>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 xml:space="preserve">                                                年    月    日</w:t>
      </w:r>
    </w:p>
    <w:p w14:paraId="6D8929B3">
      <w:pPr>
        <w:autoSpaceDE w:val="0"/>
        <w:autoSpaceDN w:val="0"/>
        <w:adjustRightInd w:val="0"/>
        <w:snapToGrid w:val="0"/>
        <w:spacing w:line="360" w:lineRule="auto"/>
        <w:ind w:right="42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附：法定代表人和授权代表的身份证原件的扫描件。（正反面）</w:t>
      </w:r>
    </w:p>
    <w:p w14:paraId="78B84789">
      <w:pPr>
        <w:autoSpaceDE w:val="0"/>
        <w:autoSpaceDN w:val="0"/>
        <w:adjustRightInd w:val="0"/>
        <w:spacing w:line="360" w:lineRule="auto"/>
        <w:rPr>
          <w:rFonts w:ascii="宋体" w:hAnsi="宋体" w:cs="宋体"/>
          <w:b/>
          <w:color w:val="auto"/>
          <w:sz w:val="24"/>
          <w:highlight w:val="none"/>
        </w:rPr>
      </w:pPr>
      <w:r>
        <w:rPr>
          <w:rFonts w:hint="eastAsia" w:ascii="宋体" w:hAnsi="宋体" w:cs="宋体"/>
          <w:snapToGrid w:val="0"/>
          <w:color w:val="auto"/>
          <w:kern w:val="0"/>
          <w:szCs w:val="21"/>
          <w:highlight w:val="none"/>
        </w:rPr>
        <w:br w:type="page"/>
      </w:r>
      <w:r>
        <w:rPr>
          <w:rFonts w:hint="eastAsia" w:ascii="宋体" w:hAnsi="宋体" w:cs="宋体"/>
          <w:b/>
          <w:color w:val="auto"/>
          <w:highlight w:val="none"/>
        </w:rPr>
        <w:t>3.5廉政承诺书</w:t>
      </w:r>
    </w:p>
    <w:p w14:paraId="664FB8C9">
      <w:pPr>
        <w:autoSpaceDE w:val="0"/>
        <w:autoSpaceDN w:val="0"/>
        <w:adjustRightIn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廉 政 承 诺 书</w:t>
      </w:r>
    </w:p>
    <w:p w14:paraId="33986BCD">
      <w:pPr>
        <w:autoSpaceDE w:val="0"/>
        <w:autoSpaceDN w:val="0"/>
        <w:adjustRightInd w:val="0"/>
        <w:spacing w:line="360" w:lineRule="auto"/>
        <w:rPr>
          <w:rFonts w:ascii="宋体" w:hAnsi="宋体" w:cs="宋体"/>
          <w:bCs/>
          <w:color w:val="auto"/>
          <w:szCs w:val="21"/>
          <w:highlight w:val="none"/>
        </w:rPr>
      </w:pPr>
      <w:r>
        <w:rPr>
          <w:rFonts w:hint="eastAsia" w:ascii="宋体" w:hAnsi="宋体" w:cs="宋体"/>
          <w:color w:val="auto"/>
          <w:kern w:val="0"/>
          <w:szCs w:val="21"/>
          <w:highlight w:val="none"/>
          <w:u w:val="single"/>
          <w:lang w:eastAsia="zh-CN"/>
        </w:rPr>
        <w:t>乌鲁木齐市自然资源局</w:t>
      </w:r>
      <w:r>
        <w:rPr>
          <w:rFonts w:hint="eastAsia" w:ascii="宋体" w:hAnsi="宋体" w:cs="宋体"/>
          <w:bCs/>
          <w:color w:val="auto"/>
          <w:szCs w:val="21"/>
          <w:highlight w:val="none"/>
        </w:rPr>
        <w:t>：</w:t>
      </w:r>
    </w:p>
    <w:p w14:paraId="0E2AFAA0">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我单位响应你单位项目招标要求参加应标。在这次应标过程中和中标后，我们将严格遵守国家法律法规规定要求，并郑重承诺：</w:t>
      </w:r>
    </w:p>
    <w:p w14:paraId="5C31B8F7">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一、不向项目有关人员及部门赠送礼金礼物、有价证券、回扣以及中介费、介绍费、咨询费等好处费；</w:t>
      </w:r>
    </w:p>
    <w:p w14:paraId="217F35B4">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二、不为项目有关人员及部门报销应由你方单位或个人支付的费用；</w:t>
      </w:r>
    </w:p>
    <w:p w14:paraId="65589C5B">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三、不向项目有关人员及部门提供有可能影响公正执行公务的宴请和健身娱乐等活动；</w:t>
      </w:r>
    </w:p>
    <w:p w14:paraId="54EBDFAE">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四、不为项目有关人员及部门出国（境）、旅游等提供方便；</w:t>
      </w:r>
    </w:p>
    <w:p w14:paraId="238925FD">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五、不为项目有关人员个人装修住房、婚丧嫁娶、配偶子女工作安排等提供好处； </w:t>
      </w:r>
    </w:p>
    <w:p w14:paraId="244AE9FF">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六、严格遵守政府采购法、合同法等法律，诚实守信，合法经营，坚决抵制各种违法违纪行为。</w:t>
      </w:r>
    </w:p>
    <w:p w14:paraId="6CFADFEB">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如违反上述承诺，你单位有权立即取消我单位应标、中标或在建项目的资格，有权拒绝我单位在一定时期内进入你单位进行工程建设或其他经营活动，并通报市政府采购办。由此引起的相应损失均由我单位承担。</w:t>
      </w:r>
    </w:p>
    <w:p w14:paraId="0593F41E">
      <w:pPr>
        <w:autoSpaceDE w:val="0"/>
        <w:autoSpaceDN w:val="0"/>
        <w:adjustRightInd w:val="0"/>
        <w:spacing w:line="360" w:lineRule="auto"/>
        <w:rPr>
          <w:rFonts w:ascii="宋体" w:hAnsi="宋体" w:cs="宋体"/>
          <w:bCs/>
          <w:color w:val="auto"/>
          <w:szCs w:val="21"/>
          <w:highlight w:val="none"/>
        </w:rPr>
      </w:pPr>
    </w:p>
    <w:p w14:paraId="6FE8B8F9">
      <w:pPr>
        <w:autoSpaceDE w:val="0"/>
        <w:autoSpaceDN w:val="0"/>
        <w:adjustRightInd w:val="0"/>
        <w:spacing w:line="360" w:lineRule="auto"/>
        <w:rPr>
          <w:rFonts w:ascii="宋体" w:hAnsi="宋体" w:cs="宋体"/>
          <w:bCs/>
          <w:color w:val="auto"/>
          <w:szCs w:val="21"/>
          <w:highlight w:val="none"/>
        </w:rPr>
      </w:pPr>
    </w:p>
    <w:p w14:paraId="2E6A811A">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投标人（盖公章）：                </w:t>
      </w:r>
    </w:p>
    <w:p w14:paraId="4684765A">
      <w:pPr>
        <w:autoSpaceDE w:val="0"/>
        <w:autoSpaceDN w:val="0"/>
        <w:adjustRightIn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法定代表人（签字或盖章）：                             </w:t>
      </w:r>
    </w:p>
    <w:p w14:paraId="67C6A884">
      <w:pPr>
        <w:autoSpaceDE w:val="0"/>
        <w:autoSpaceDN w:val="0"/>
        <w:adjustRightInd w:val="0"/>
        <w:spacing w:line="360" w:lineRule="auto"/>
        <w:rPr>
          <w:rFonts w:ascii="宋体" w:hAnsi="宋体" w:cs="宋体"/>
          <w:bCs/>
          <w:color w:val="auto"/>
          <w:szCs w:val="21"/>
          <w:highlight w:val="none"/>
        </w:rPr>
      </w:pPr>
    </w:p>
    <w:p w14:paraId="75D8E0F8">
      <w:pPr>
        <w:autoSpaceDE w:val="0"/>
        <w:autoSpaceDN w:val="0"/>
        <w:adjustRightInd w:val="0"/>
        <w:spacing w:line="360" w:lineRule="auto"/>
        <w:rPr>
          <w:rFonts w:ascii="宋体" w:hAnsi="宋体" w:cs="宋体"/>
          <w:bCs/>
          <w:color w:val="auto"/>
          <w:szCs w:val="21"/>
          <w:highlight w:val="none"/>
        </w:rPr>
      </w:pPr>
    </w:p>
    <w:p w14:paraId="0D4093A3">
      <w:pPr>
        <w:autoSpaceDE w:val="0"/>
        <w:autoSpaceDN w:val="0"/>
        <w:adjustRightInd w:val="0"/>
        <w:spacing w:line="360" w:lineRule="auto"/>
        <w:rPr>
          <w:rFonts w:ascii="宋体" w:hAnsi="宋体" w:cs="宋体"/>
          <w:bCs/>
          <w:color w:val="auto"/>
          <w:szCs w:val="21"/>
          <w:highlight w:val="none"/>
        </w:rPr>
      </w:pPr>
      <w:r>
        <w:rPr>
          <w:rFonts w:hint="eastAsia" w:ascii="宋体" w:hAnsi="宋体" w:cs="宋体"/>
          <w:color w:val="auto"/>
          <w:highlight w:val="none"/>
        </w:rPr>
        <w:t>年  月  日</w:t>
      </w:r>
    </w:p>
    <w:p w14:paraId="50262F60">
      <w:pPr>
        <w:autoSpaceDE w:val="0"/>
        <w:autoSpaceDN w:val="0"/>
        <w:adjustRightInd w:val="0"/>
        <w:spacing w:line="360" w:lineRule="auto"/>
        <w:rPr>
          <w:rFonts w:ascii="宋体" w:hAnsi="宋体" w:cs="宋体"/>
          <w:b/>
          <w:bCs/>
          <w:color w:val="auto"/>
          <w:szCs w:val="21"/>
          <w:highlight w:val="none"/>
        </w:rPr>
      </w:pPr>
      <w:r>
        <w:rPr>
          <w:rFonts w:hint="eastAsia" w:ascii="宋体" w:hAnsi="宋体" w:cs="宋体"/>
          <w:b/>
          <w:color w:val="auto"/>
          <w:sz w:val="24"/>
          <w:highlight w:val="none"/>
        </w:rPr>
        <w:br w:type="page"/>
      </w:r>
      <w:r>
        <w:rPr>
          <w:rFonts w:hint="eastAsia" w:ascii="宋体" w:hAnsi="宋体" w:cs="宋体"/>
          <w:b/>
          <w:bCs/>
          <w:color w:val="auto"/>
          <w:szCs w:val="21"/>
          <w:highlight w:val="none"/>
        </w:rPr>
        <w:t>3.6类似业绩</w:t>
      </w:r>
    </w:p>
    <w:p w14:paraId="168BF8C1">
      <w:pPr>
        <w:snapToGrid w:val="0"/>
        <w:spacing w:line="360" w:lineRule="auto"/>
        <w:jc w:val="center"/>
        <w:rPr>
          <w:rFonts w:ascii="宋体" w:hAnsi="宋体" w:cs="宋体"/>
          <w:b/>
          <w:snapToGrid w:val="0"/>
          <w:color w:val="auto"/>
          <w:kern w:val="0"/>
          <w:sz w:val="24"/>
          <w:highlight w:val="none"/>
        </w:rPr>
      </w:pPr>
      <w:r>
        <w:rPr>
          <w:rFonts w:hint="eastAsia" w:ascii="宋体" w:hAnsi="宋体" w:cs="宋体"/>
          <w:b/>
          <w:snapToGrid w:val="0"/>
          <w:color w:val="auto"/>
          <w:kern w:val="0"/>
          <w:sz w:val="24"/>
          <w:highlight w:val="none"/>
        </w:rPr>
        <w:t>投标人曾承担过的类似项目业绩一览表</w:t>
      </w:r>
    </w:p>
    <w:tbl>
      <w:tblPr>
        <w:tblStyle w:val="43"/>
        <w:tblW w:w="895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2399"/>
        <w:gridCol w:w="2213"/>
        <w:gridCol w:w="1800"/>
        <w:gridCol w:w="1800"/>
      </w:tblGrid>
      <w:tr w14:paraId="53AA26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43" w:type="dxa"/>
            <w:tcBorders>
              <w:top w:val="single" w:color="auto" w:sz="4" w:space="0"/>
              <w:left w:val="single" w:color="auto" w:sz="4" w:space="0"/>
              <w:bottom w:val="single" w:color="auto" w:sz="4" w:space="0"/>
              <w:right w:val="single" w:color="auto" w:sz="4" w:space="0"/>
            </w:tcBorders>
            <w:vAlign w:val="center"/>
          </w:tcPr>
          <w:p w14:paraId="1D32A48D">
            <w:pPr>
              <w:autoSpaceDE w:val="0"/>
              <w:autoSpaceDN w:val="0"/>
              <w:adjustRightInd w:val="0"/>
              <w:snapToGrid w:val="0"/>
              <w:jc w:val="center"/>
              <w:textAlignment w:val="bottom"/>
              <w:rPr>
                <w:rFonts w:ascii="宋体" w:hAnsi="宋体" w:cs="宋体"/>
                <w:color w:val="auto"/>
                <w:szCs w:val="21"/>
                <w:highlight w:val="none"/>
              </w:rPr>
            </w:pPr>
            <w:r>
              <w:rPr>
                <w:rFonts w:hint="eastAsia" w:ascii="宋体" w:hAnsi="宋体" w:cs="宋体"/>
                <w:color w:val="auto"/>
                <w:spacing w:val="30"/>
                <w:highlight w:val="none"/>
              </w:rPr>
              <w:t>序号</w:t>
            </w:r>
          </w:p>
        </w:tc>
        <w:tc>
          <w:tcPr>
            <w:tcW w:w="2399" w:type="dxa"/>
            <w:tcBorders>
              <w:top w:val="single" w:color="auto" w:sz="4" w:space="0"/>
              <w:left w:val="single" w:color="auto" w:sz="4" w:space="0"/>
              <w:bottom w:val="single" w:color="auto" w:sz="4" w:space="0"/>
              <w:right w:val="single" w:color="auto" w:sz="4" w:space="0"/>
            </w:tcBorders>
            <w:vAlign w:val="center"/>
          </w:tcPr>
          <w:p w14:paraId="5979A040">
            <w:pPr>
              <w:autoSpaceDE w:val="0"/>
              <w:autoSpaceDN w:val="0"/>
              <w:adjustRightInd w:val="0"/>
              <w:snapToGrid w:val="0"/>
              <w:jc w:val="center"/>
              <w:textAlignment w:val="bottom"/>
              <w:rPr>
                <w:rFonts w:ascii="宋体" w:hAnsi="宋体" w:cs="宋体"/>
                <w:color w:val="auto"/>
                <w:szCs w:val="21"/>
                <w:highlight w:val="none"/>
              </w:rPr>
            </w:pPr>
            <w:r>
              <w:rPr>
                <w:rFonts w:hint="eastAsia" w:ascii="宋体" w:hAnsi="宋体" w:cs="宋体"/>
                <w:color w:val="auto"/>
                <w:spacing w:val="30"/>
                <w:highlight w:val="none"/>
              </w:rPr>
              <w:t>项目名称</w:t>
            </w:r>
          </w:p>
        </w:tc>
        <w:tc>
          <w:tcPr>
            <w:tcW w:w="2213" w:type="dxa"/>
            <w:tcBorders>
              <w:top w:val="single" w:color="auto" w:sz="4" w:space="0"/>
              <w:left w:val="single" w:color="auto" w:sz="4" w:space="0"/>
              <w:bottom w:val="single" w:color="auto" w:sz="4" w:space="0"/>
              <w:right w:val="single" w:color="auto" w:sz="4" w:space="0"/>
            </w:tcBorders>
            <w:vAlign w:val="center"/>
          </w:tcPr>
          <w:p w14:paraId="00A68162">
            <w:pPr>
              <w:autoSpaceDE w:val="0"/>
              <w:autoSpaceDN w:val="0"/>
              <w:adjustRightInd w:val="0"/>
              <w:snapToGrid w:val="0"/>
              <w:jc w:val="center"/>
              <w:textAlignment w:val="bottom"/>
              <w:rPr>
                <w:rFonts w:ascii="宋体" w:hAnsi="宋体" w:cs="宋体"/>
                <w:color w:val="auto"/>
                <w:szCs w:val="21"/>
                <w:highlight w:val="none"/>
              </w:rPr>
            </w:pPr>
            <w:r>
              <w:rPr>
                <w:rFonts w:hint="eastAsia" w:ascii="宋体" w:hAnsi="宋体" w:cs="宋体"/>
                <w:color w:val="auto"/>
                <w:spacing w:val="30"/>
                <w:highlight w:val="none"/>
              </w:rPr>
              <w:t>业主单位</w:t>
            </w:r>
          </w:p>
        </w:tc>
        <w:tc>
          <w:tcPr>
            <w:tcW w:w="1800" w:type="dxa"/>
            <w:tcBorders>
              <w:top w:val="single" w:color="auto" w:sz="4" w:space="0"/>
              <w:left w:val="single" w:color="auto" w:sz="4" w:space="0"/>
              <w:bottom w:val="single" w:color="auto" w:sz="4" w:space="0"/>
              <w:right w:val="single" w:color="auto" w:sz="4" w:space="0"/>
            </w:tcBorders>
            <w:vAlign w:val="center"/>
          </w:tcPr>
          <w:p w14:paraId="309C27FF">
            <w:pPr>
              <w:autoSpaceDE w:val="0"/>
              <w:autoSpaceDN w:val="0"/>
              <w:adjustRightInd w:val="0"/>
              <w:snapToGrid w:val="0"/>
              <w:jc w:val="center"/>
              <w:textAlignment w:val="bottom"/>
              <w:rPr>
                <w:rFonts w:ascii="宋体" w:hAnsi="宋体" w:cs="宋体"/>
                <w:bCs/>
                <w:color w:val="auto"/>
                <w:szCs w:val="21"/>
                <w:highlight w:val="none"/>
              </w:rPr>
            </w:pPr>
            <w:r>
              <w:rPr>
                <w:rFonts w:hint="eastAsia" w:ascii="宋体" w:hAnsi="宋体" w:cs="宋体"/>
                <w:bCs/>
                <w:color w:val="auto"/>
                <w:szCs w:val="21"/>
                <w:highlight w:val="none"/>
              </w:rPr>
              <w:t>联系方式</w:t>
            </w:r>
          </w:p>
        </w:tc>
        <w:tc>
          <w:tcPr>
            <w:tcW w:w="1800" w:type="dxa"/>
            <w:tcBorders>
              <w:top w:val="single" w:color="auto" w:sz="4" w:space="0"/>
              <w:left w:val="single" w:color="auto" w:sz="4" w:space="0"/>
              <w:bottom w:val="single" w:color="auto" w:sz="4" w:space="0"/>
              <w:right w:val="single" w:color="auto" w:sz="4" w:space="0"/>
            </w:tcBorders>
            <w:vAlign w:val="center"/>
          </w:tcPr>
          <w:p w14:paraId="0D701100">
            <w:pPr>
              <w:adjustRightInd w:val="0"/>
              <w:snapToGrid w:val="0"/>
              <w:jc w:val="center"/>
              <w:rPr>
                <w:rFonts w:ascii="宋体" w:hAnsi="宋体" w:cs="宋体"/>
                <w:bCs/>
                <w:color w:val="auto"/>
                <w:szCs w:val="21"/>
                <w:highlight w:val="none"/>
              </w:rPr>
            </w:pPr>
            <w:r>
              <w:rPr>
                <w:rFonts w:hint="eastAsia" w:ascii="宋体" w:hAnsi="宋体" w:cs="宋体"/>
                <w:color w:val="auto"/>
                <w:spacing w:val="30"/>
                <w:highlight w:val="none"/>
              </w:rPr>
              <w:t>备注</w:t>
            </w:r>
          </w:p>
        </w:tc>
      </w:tr>
      <w:tr w14:paraId="783DD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14:paraId="5B107A2D">
            <w:pPr>
              <w:snapToGrid w:val="0"/>
              <w:spacing w:before="120" w:beforeLines="50" w:after="50" w:line="460" w:lineRule="exact"/>
              <w:rPr>
                <w:rFonts w:ascii="宋体" w:hAnsi="宋体" w:cs="宋体"/>
                <w:color w:val="auto"/>
                <w:szCs w:val="21"/>
                <w:highlight w:val="none"/>
              </w:rPr>
            </w:pPr>
          </w:p>
        </w:tc>
        <w:tc>
          <w:tcPr>
            <w:tcW w:w="2399" w:type="dxa"/>
            <w:tcBorders>
              <w:top w:val="single" w:color="auto" w:sz="4" w:space="0"/>
              <w:left w:val="single" w:color="auto" w:sz="4" w:space="0"/>
              <w:bottom w:val="single" w:color="auto" w:sz="4" w:space="0"/>
              <w:right w:val="single" w:color="auto" w:sz="4" w:space="0"/>
            </w:tcBorders>
          </w:tcPr>
          <w:p w14:paraId="417550DD">
            <w:pPr>
              <w:snapToGrid w:val="0"/>
              <w:spacing w:before="120" w:beforeLines="50" w:after="50" w:line="460" w:lineRule="exact"/>
              <w:rPr>
                <w:rFonts w:ascii="宋体" w:hAnsi="宋体" w:cs="宋体"/>
                <w:color w:val="auto"/>
                <w:szCs w:val="21"/>
                <w:highlight w:val="none"/>
              </w:rPr>
            </w:pPr>
          </w:p>
        </w:tc>
        <w:tc>
          <w:tcPr>
            <w:tcW w:w="2213" w:type="dxa"/>
            <w:tcBorders>
              <w:top w:val="single" w:color="auto" w:sz="4" w:space="0"/>
              <w:left w:val="single" w:color="auto" w:sz="4" w:space="0"/>
              <w:bottom w:val="single" w:color="auto" w:sz="4" w:space="0"/>
              <w:right w:val="single" w:color="auto" w:sz="4" w:space="0"/>
            </w:tcBorders>
          </w:tcPr>
          <w:p w14:paraId="4A6E52A8">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6FB0BC44">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68FE7125">
            <w:pPr>
              <w:snapToGrid w:val="0"/>
              <w:spacing w:before="120" w:beforeLines="50" w:after="50" w:line="460" w:lineRule="exact"/>
              <w:rPr>
                <w:rFonts w:ascii="宋体" w:hAnsi="宋体" w:cs="宋体"/>
                <w:color w:val="auto"/>
                <w:szCs w:val="21"/>
                <w:highlight w:val="none"/>
              </w:rPr>
            </w:pPr>
          </w:p>
        </w:tc>
      </w:tr>
      <w:tr w14:paraId="71EA7A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14:paraId="413986F4">
            <w:pPr>
              <w:snapToGrid w:val="0"/>
              <w:spacing w:before="120" w:beforeLines="50" w:after="50" w:line="460" w:lineRule="exact"/>
              <w:rPr>
                <w:rFonts w:ascii="宋体" w:hAnsi="宋体" w:cs="宋体"/>
                <w:color w:val="auto"/>
                <w:szCs w:val="21"/>
                <w:highlight w:val="none"/>
              </w:rPr>
            </w:pPr>
          </w:p>
        </w:tc>
        <w:tc>
          <w:tcPr>
            <w:tcW w:w="2399" w:type="dxa"/>
            <w:tcBorders>
              <w:top w:val="single" w:color="auto" w:sz="4" w:space="0"/>
              <w:left w:val="single" w:color="auto" w:sz="4" w:space="0"/>
              <w:bottom w:val="single" w:color="auto" w:sz="4" w:space="0"/>
              <w:right w:val="single" w:color="auto" w:sz="4" w:space="0"/>
            </w:tcBorders>
          </w:tcPr>
          <w:p w14:paraId="6550178E">
            <w:pPr>
              <w:snapToGrid w:val="0"/>
              <w:spacing w:before="120" w:beforeLines="50" w:after="50" w:line="460" w:lineRule="exact"/>
              <w:rPr>
                <w:rFonts w:ascii="宋体" w:hAnsi="宋体" w:cs="宋体"/>
                <w:color w:val="auto"/>
                <w:szCs w:val="21"/>
                <w:highlight w:val="none"/>
              </w:rPr>
            </w:pPr>
          </w:p>
        </w:tc>
        <w:tc>
          <w:tcPr>
            <w:tcW w:w="2213" w:type="dxa"/>
            <w:tcBorders>
              <w:top w:val="single" w:color="auto" w:sz="4" w:space="0"/>
              <w:left w:val="single" w:color="auto" w:sz="4" w:space="0"/>
              <w:bottom w:val="single" w:color="auto" w:sz="4" w:space="0"/>
              <w:right w:val="single" w:color="auto" w:sz="4" w:space="0"/>
            </w:tcBorders>
          </w:tcPr>
          <w:p w14:paraId="1E5DFF9F">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43C2B672">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6CC4155D">
            <w:pPr>
              <w:snapToGrid w:val="0"/>
              <w:spacing w:before="120" w:beforeLines="50" w:after="50" w:line="460" w:lineRule="exact"/>
              <w:rPr>
                <w:rFonts w:ascii="宋体" w:hAnsi="宋体" w:cs="宋体"/>
                <w:color w:val="auto"/>
                <w:szCs w:val="21"/>
                <w:highlight w:val="none"/>
              </w:rPr>
            </w:pPr>
          </w:p>
        </w:tc>
      </w:tr>
      <w:tr w14:paraId="243214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14:paraId="099EE293">
            <w:pPr>
              <w:snapToGrid w:val="0"/>
              <w:spacing w:before="120" w:beforeLines="50" w:after="50" w:line="460" w:lineRule="exact"/>
              <w:rPr>
                <w:rFonts w:ascii="宋体" w:hAnsi="宋体" w:cs="宋体"/>
                <w:color w:val="auto"/>
                <w:szCs w:val="21"/>
                <w:highlight w:val="none"/>
              </w:rPr>
            </w:pPr>
          </w:p>
        </w:tc>
        <w:tc>
          <w:tcPr>
            <w:tcW w:w="2399" w:type="dxa"/>
            <w:tcBorders>
              <w:top w:val="single" w:color="auto" w:sz="4" w:space="0"/>
              <w:left w:val="single" w:color="auto" w:sz="4" w:space="0"/>
              <w:bottom w:val="single" w:color="auto" w:sz="4" w:space="0"/>
              <w:right w:val="single" w:color="auto" w:sz="4" w:space="0"/>
            </w:tcBorders>
          </w:tcPr>
          <w:p w14:paraId="327B7478">
            <w:pPr>
              <w:snapToGrid w:val="0"/>
              <w:spacing w:before="120" w:beforeLines="50" w:after="50" w:line="460" w:lineRule="exact"/>
              <w:rPr>
                <w:rFonts w:ascii="宋体" w:hAnsi="宋体" w:cs="宋体"/>
                <w:color w:val="auto"/>
                <w:szCs w:val="21"/>
                <w:highlight w:val="none"/>
              </w:rPr>
            </w:pPr>
          </w:p>
        </w:tc>
        <w:tc>
          <w:tcPr>
            <w:tcW w:w="2213" w:type="dxa"/>
            <w:tcBorders>
              <w:top w:val="single" w:color="auto" w:sz="4" w:space="0"/>
              <w:left w:val="single" w:color="auto" w:sz="4" w:space="0"/>
              <w:bottom w:val="single" w:color="auto" w:sz="4" w:space="0"/>
              <w:right w:val="single" w:color="auto" w:sz="4" w:space="0"/>
            </w:tcBorders>
          </w:tcPr>
          <w:p w14:paraId="07FDCCF4">
            <w:pPr>
              <w:pStyle w:val="26"/>
              <w:snapToGrid w:val="0"/>
              <w:spacing w:before="120" w:beforeLines="50" w:after="50" w:line="460" w:lineRule="exact"/>
              <w:ind w:left="5250"/>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501F497E">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7AEEE77B">
            <w:pPr>
              <w:snapToGrid w:val="0"/>
              <w:spacing w:before="120" w:beforeLines="50" w:after="50" w:line="460" w:lineRule="exact"/>
              <w:rPr>
                <w:rFonts w:ascii="宋体" w:hAnsi="宋体" w:cs="宋体"/>
                <w:color w:val="auto"/>
                <w:szCs w:val="21"/>
                <w:highlight w:val="none"/>
              </w:rPr>
            </w:pPr>
          </w:p>
        </w:tc>
      </w:tr>
      <w:tr w14:paraId="142C17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14:paraId="1460A126">
            <w:pPr>
              <w:snapToGrid w:val="0"/>
              <w:spacing w:before="120" w:beforeLines="50" w:after="50" w:line="460" w:lineRule="exact"/>
              <w:rPr>
                <w:rFonts w:ascii="宋体" w:hAnsi="宋体" w:cs="宋体"/>
                <w:color w:val="auto"/>
                <w:szCs w:val="21"/>
                <w:highlight w:val="none"/>
              </w:rPr>
            </w:pPr>
          </w:p>
        </w:tc>
        <w:tc>
          <w:tcPr>
            <w:tcW w:w="2399" w:type="dxa"/>
            <w:tcBorders>
              <w:top w:val="single" w:color="auto" w:sz="4" w:space="0"/>
              <w:left w:val="single" w:color="auto" w:sz="4" w:space="0"/>
              <w:bottom w:val="single" w:color="auto" w:sz="4" w:space="0"/>
              <w:right w:val="single" w:color="auto" w:sz="4" w:space="0"/>
            </w:tcBorders>
          </w:tcPr>
          <w:p w14:paraId="229BF903">
            <w:pPr>
              <w:snapToGrid w:val="0"/>
              <w:spacing w:before="120" w:beforeLines="50" w:after="50" w:line="460" w:lineRule="exact"/>
              <w:rPr>
                <w:rFonts w:ascii="宋体" w:hAnsi="宋体" w:cs="宋体"/>
                <w:color w:val="auto"/>
                <w:szCs w:val="21"/>
                <w:highlight w:val="none"/>
              </w:rPr>
            </w:pPr>
          </w:p>
        </w:tc>
        <w:tc>
          <w:tcPr>
            <w:tcW w:w="2213" w:type="dxa"/>
            <w:tcBorders>
              <w:top w:val="single" w:color="auto" w:sz="4" w:space="0"/>
              <w:left w:val="single" w:color="auto" w:sz="4" w:space="0"/>
              <w:bottom w:val="single" w:color="auto" w:sz="4" w:space="0"/>
              <w:right w:val="single" w:color="auto" w:sz="4" w:space="0"/>
            </w:tcBorders>
          </w:tcPr>
          <w:p w14:paraId="1E53C99F">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6AF6E925">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16A8656C">
            <w:pPr>
              <w:snapToGrid w:val="0"/>
              <w:spacing w:before="120" w:beforeLines="50" w:after="50" w:line="460" w:lineRule="exact"/>
              <w:rPr>
                <w:rFonts w:ascii="宋体" w:hAnsi="宋体" w:cs="宋体"/>
                <w:color w:val="auto"/>
                <w:szCs w:val="21"/>
                <w:highlight w:val="none"/>
              </w:rPr>
            </w:pPr>
          </w:p>
        </w:tc>
      </w:tr>
      <w:tr w14:paraId="7B4ECA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14:paraId="30EAE8D7">
            <w:pPr>
              <w:snapToGrid w:val="0"/>
              <w:spacing w:before="120" w:beforeLines="50" w:after="50" w:line="460" w:lineRule="exact"/>
              <w:rPr>
                <w:rFonts w:ascii="宋体" w:hAnsi="宋体" w:cs="宋体"/>
                <w:color w:val="auto"/>
                <w:szCs w:val="21"/>
                <w:highlight w:val="none"/>
              </w:rPr>
            </w:pPr>
          </w:p>
        </w:tc>
        <w:tc>
          <w:tcPr>
            <w:tcW w:w="2399" w:type="dxa"/>
            <w:tcBorders>
              <w:top w:val="single" w:color="auto" w:sz="4" w:space="0"/>
              <w:left w:val="single" w:color="auto" w:sz="4" w:space="0"/>
              <w:bottom w:val="single" w:color="auto" w:sz="4" w:space="0"/>
              <w:right w:val="single" w:color="auto" w:sz="4" w:space="0"/>
            </w:tcBorders>
          </w:tcPr>
          <w:p w14:paraId="6C36E0EA">
            <w:pPr>
              <w:snapToGrid w:val="0"/>
              <w:spacing w:before="120" w:beforeLines="50" w:after="50" w:line="460" w:lineRule="exact"/>
              <w:rPr>
                <w:rFonts w:ascii="宋体" w:hAnsi="宋体" w:cs="宋体"/>
                <w:color w:val="auto"/>
                <w:szCs w:val="21"/>
                <w:highlight w:val="none"/>
              </w:rPr>
            </w:pPr>
          </w:p>
        </w:tc>
        <w:tc>
          <w:tcPr>
            <w:tcW w:w="2213" w:type="dxa"/>
            <w:tcBorders>
              <w:top w:val="single" w:color="auto" w:sz="4" w:space="0"/>
              <w:left w:val="single" w:color="auto" w:sz="4" w:space="0"/>
              <w:bottom w:val="single" w:color="auto" w:sz="4" w:space="0"/>
              <w:right w:val="single" w:color="auto" w:sz="4" w:space="0"/>
            </w:tcBorders>
          </w:tcPr>
          <w:p w14:paraId="0350B35E">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630A0B08">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17C6B530">
            <w:pPr>
              <w:snapToGrid w:val="0"/>
              <w:spacing w:before="120" w:beforeLines="50" w:after="50" w:line="460" w:lineRule="exact"/>
              <w:rPr>
                <w:rFonts w:ascii="宋体" w:hAnsi="宋体" w:cs="宋体"/>
                <w:color w:val="auto"/>
                <w:szCs w:val="21"/>
                <w:highlight w:val="none"/>
              </w:rPr>
            </w:pPr>
          </w:p>
        </w:tc>
      </w:tr>
      <w:tr w14:paraId="1811B1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14:paraId="36C46311">
            <w:pPr>
              <w:snapToGrid w:val="0"/>
              <w:spacing w:before="120" w:beforeLines="50" w:after="50" w:line="460" w:lineRule="exact"/>
              <w:rPr>
                <w:rFonts w:ascii="宋体" w:hAnsi="宋体" w:cs="宋体"/>
                <w:color w:val="auto"/>
                <w:szCs w:val="21"/>
                <w:highlight w:val="none"/>
              </w:rPr>
            </w:pPr>
          </w:p>
        </w:tc>
        <w:tc>
          <w:tcPr>
            <w:tcW w:w="2399" w:type="dxa"/>
            <w:tcBorders>
              <w:top w:val="single" w:color="auto" w:sz="4" w:space="0"/>
              <w:left w:val="single" w:color="auto" w:sz="4" w:space="0"/>
              <w:bottom w:val="single" w:color="auto" w:sz="4" w:space="0"/>
              <w:right w:val="single" w:color="auto" w:sz="4" w:space="0"/>
            </w:tcBorders>
          </w:tcPr>
          <w:p w14:paraId="3CF1211B">
            <w:pPr>
              <w:snapToGrid w:val="0"/>
              <w:spacing w:before="120" w:beforeLines="50" w:after="50" w:line="460" w:lineRule="exact"/>
              <w:rPr>
                <w:rFonts w:ascii="宋体" w:hAnsi="宋体" w:cs="宋体"/>
                <w:color w:val="auto"/>
                <w:szCs w:val="21"/>
                <w:highlight w:val="none"/>
              </w:rPr>
            </w:pPr>
          </w:p>
        </w:tc>
        <w:tc>
          <w:tcPr>
            <w:tcW w:w="2213" w:type="dxa"/>
            <w:tcBorders>
              <w:top w:val="single" w:color="auto" w:sz="4" w:space="0"/>
              <w:left w:val="single" w:color="auto" w:sz="4" w:space="0"/>
              <w:bottom w:val="single" w:color="auto" w:sz="4" w:space="0"/>
              <w:right w:val="single" w:color="auto" w:sz="4" w:space="0"/>
            </w:tcBorders>
          </w:tcPr>
          <w:p w14:paraId="77694BE1">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6357A3C3">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213AA54E">
            <w:pPr>
              <w:snapToGrid w:val="0"/>
              <w:spacing w:before="120" w:beforeLines="50" w:after="50" w:line="460" w:lineRule="exact"/>
              <w:rPr>
                <w:rFonts w:ascii="宋体" w:hAnsi="宋体" w:cs="宋体"/>
                <w:color w:val="auto"/>
                <w:szCs w:val="21"/>
                <w:highlight w:val="none"/>
              </w:rPr>
            </w:pPr>
          </w:p>
        </w:tc>
      </w:tr>
      <w:tr w14:paraId="6CD6AA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14:paraId="2B003D77">
            <w:pPr>
              <w:snapToGrid w:val="0"/>
              <w:spacing w:before="120" w:beforeLines="50" w:after="50" w:line="460" w:lineRule="exact"/>
              <w:rPr>
                <w:rFonts w:ascii="宋体" w:hAnsi="宋体" w:cs="宋体"/>
                <w:color w:val="auto"/>
                <w:szCs w:val="21"/>
                <w:highlight w:val="none"/>
              </w:rPr>
            </w:pPr>
          </w:p>
        </w:tc>
        <w:tc>
          <w:tcPr>
            <w:tcW w:w="2399" w:type="dxa"/>
            <w:tcBorders>
              <w:top w:val="single" w:color="auto" w:sz="4" w:space="0"/>
              <w:left w:val="single" w:color="auto" w:sz="4" w:space="0"/>
              <w:bottom w:val="single" w:color="auto" w:sz="4" w:space="0"/>
              <w:right w:val="single" w:color="auto" w:sz="4" w:space="0"/>
            </w:tcBorders>
          </w:tcPr>
          <w:p w14:paraId="365ACC00">
            <w:pPr>
              <w:snapToGrid w:val="0"/>
              <w:spacing w:before="120" w:beforeLines="50" w:after="50" w:line="460" w:lineRule="exact"/>
              <w:rPr>
                <w:rFonts w:ascii="宋体" w:hAnsi="宋体" w:cs="宋体"/>
                <w:color w:val="auto"/>
                <w:szCs w:val="21"/>
                <w:highlight w:val="none"/>
              </w:rPr>
            </w:pPr>
          </w:p>
        </w:tc>
        <w:tc>
          <w:tcPr>
            <w:tcW w:w="2213" w:type="dxa"/>
            <w:tcBorders>
              <w:top w:val="single" w:color="auto" w:sz="4" w:space="0"/>
              <w:left w:val="single" w:color="auto" w:sz="4" w:space="0"/>
              <w:bottom w:val="single" w:color="auto" w:sz="4" w:space="0"/>
              <w:right w:val="single" w:color="auto" w:sz="4" w:space="0"/>
            </w:tcBorders>
          </w:tcPr>
          <w:p w14:paraId="5CC19CA3">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0BF0F84D">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1B88A0C0">
            <w:pPr>
              <w:snapToGrid w:val="0"/>
              <w:spacing w:before="120" w:beforeLines="50" w:after="50" w:line="460" w:lineRule="exact"/>
              <w:rPr>
                <w:rFonts w:ascii="宋体" w:hAnsi="宋体" w:cs="宋体"/>
                <w:color w:val="auto"/>
                <w:szCs w:val="21"/>
                <w:highlight w:val="none"/>
              </w:rPr>
            </w:pPr>
          </w:p>
        </w:tc>
      </w:tr>
      <w:tr w14:paraId="6F3093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14:paraId="5EA4CB3A">
            <w:pPr>
              <w:snapToGrid w:val="0"/>
              <w:spacing w:before="120" w:beforeLines="50" w:after="50" w:line="460" w:lineRule="exact"/>
              <w:rPr>
                <w:rFonts w:ascii="宋体" w:hAnsi="宋体" w:cs="宋体"/>
                <w:color w:val="auto"/>
                <w:szCs w:val="21"/>
                <w:highlight w:val="none"/>
              </w:rPr>
            </w:pPr>
          </w:p>
        </w:tc>
        <w:tc>
          <w:tcPr>
            <w:tcW w:w="2399" w:type="dxa"/>
            <w:tcBorders>
              <w:top w:val="single" w:color="auto" w:sz="4" w:space="0"/>
              <w:left w:val="single" w:color="auto" w:sz="4" w:space="0"/>
              <w:bottom w:val="single" w:color="auto" w:sz="4" w:space="0"/>
              <w:right w:val="single" w:color="auto" w:sz="4" w:space="0"/>
            </w:tcBorders>
          </w:tcPr>
          <w:p w14:paraId="38AD981B">
            <w:pPr>
              <w:snapToGrid w:val="0"/>
              <w:spacing w:before="120" w:beforeLines="50" w:after="50" w:line="460" w:lineRule="exact"/>
              <w:rPr>
                <w:rFonts w:ascii="宋体" w:hAnsi="宋体" w:cs="宋体"/>
                <w:color w:val="auto"/>
                <w:szCs w:val="21"/>
                <w:highlight w:val="none"/>
              </w:rPr>
            </w:pPr>
          </w:p>
        </w:tc>
        <w:tc>
          <w:tcPr>
            <w:tcW w:w="2213" w:type="dxa"/>
            <w:tcBorders>
              <w:top w:val="single" w:color="auto" w:sz="4" w:space="0"/>
              <w:left w:val="single" w:color="auto" w:sz="4" w:space="0"/>
              <w:bottom w:val="single" w:color="auto" w:sz="4" w:space="0"/>
              <w:right w:val="single" w:color="auto" w:sz="4" w:space="0"/>
            </w:tcBorders>
          </w:tcPr>
          <w:p w14:paraId="7AEE159E">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19D0C50E">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24F21140">
            <w:pPr>
              <w:snapToGrid w:val="0"/>
              <w:spacing w:before="120" w:beforeLines="50" w:after="50" w:line="460" w:lineRule="exact"/>
              <w:rPr>
                <w:rFonts w:ascii="宋体" w:hAnsi="宋体" w:cs="宋体"/>
                <w:color w:val="auto"/>
                <w:szCs w:val="21"/>
                <w:highlight w:val="none"/>
              </w:rPr>
            </w:pPr>
          </w:p>
        </w:tc>
      </w:tr>
      <w:tr w14:paraId="4A29C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14:paraId="2A7EFC4A">
            <w:pPr>
              <w:snapToGrid w:val="0"/>
              <w:spacing w:before="120" w:beforeLines="50" w:after="50" w:line="460" w:lineRule="exact"/>
              <w:rPr>
                <w:rFonts w:ascii="宋体" w:hAnsi="宋体" w:cs="宋体"/>
                <w:color w:val="auto"/>
                <w:szCs w:val="21"/>
                <w:highlight w:val="none"/>
              </w:rPr>
            </w:pPr>
          </w:p>
        </w:tc>
        <w:tc>
          <w:tcPr>
            <w:tcW w:w="2399" w:type="dxa"/>
            <w:tcBorders>
              <w:top w:val="single" w:color="auto" w:sz="4" w:space="0"/>
              <w:left w:val="single" w:color="auto" w:sz="4" w:space="0"/>
              <w:bottom w:val="single" w:color="auto" w:sz="4" w:space="0"/>
              <w:right w:val="single" w:color="auto" w:sz="4" w:space="0"/>
            </w:tcBorders>
          </w:tcPr>
          <w:p w14:paraId="1F7C75FA">
            <w:pPr>
              <w:snapToGrid w:val="0"/>
              <w:spacing w:before="120" w:beforeLines="50" w:after="50" w:line="460" w:lineRule="exact"/>
              <w:rPr>
                <w:rFonts w:ascii="宋体" w:hAnsi="宋体" w:cs="宋体"/>
                <w:color w:val="auto"/>
                <w:szCs w:val="21"/>
                <w:highlight w:val="none"/>
              </w:rPr>
            </w:pPr>
          </w:p>
        </w:tc>
        <w:tc>
          <w:tcPr>
            <w:tcW w:w="2213" w:type="dxa"/>
            <w:tcBorders>
              <w:top w:val="single" w:color="auto" w:sz="4" w:space="0"/>
              <w:left w:val="single" w:color="auto" w:sz="4" w:space="0"/>
              <w:bottom w:val="single" w:color="auto" w:sz="4" w:space="0"/>
              <w:right w:val="single" w:color="auto" w:sz="4" w:space="0"/>
            </w:tcBorders>
          </w:tcPr>
          <w:p w14:paraId="288512C1">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3C030AD9">
            <w:pPr>
              <w:snapToGrid w:val="0"/>
              <w:spacing w:before="120" w:beforeLines="50" w:after="50" w:line="46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tcPr>
          <w:p w14:paraId="66AD33ED">
            <w:pPr>
              <w:snapToGrid w:val="0"/>
              <w:spacing w:before="120" w:beforeLines="50" w:after="50" w:line="460" w:lineRule="exact"/>
              <w:rPr>
                <w:rFonts w:ascii="宋体" w:hAnsi="宋体" w:cs="宋体"/>
                <w:color w:val="auto"/>
                <w:szCs w:val="21"/>
                <w:highlight w:val="none"/>
              </w:rPr>
            </w:pPr>
          </w:p>
        </w:tc>
      </w:tr>
    </w:tbl>
    <w:p w14:paraId="69842408">
      <w:pPr>
        <w:tabs>
          <w:tab w:val="left" w:pos="744"/>
        </w:tabs>
        <w:spacing w:line="400" w:lineRule="exact"/>
        <w:ind w:firstLine="308" w:firstLineChars="147"/>
        <w:rPr>
          <w:rFonts w:ascii="宋体" w:hAnsi="宋体" w:cs="宋体"/>
          <w:color w:val="auto"/>
          <w:highlight w:val="none"/>
        </w:rPr>
      </w:pPr>
      <w:r>
        <w:rPr>
          <w:rFonts w:hint="eastAsia" w:ascii="宋体" w:hAnsi="宋体" w:cs="宋体"/>
          <w:color w:val="auto"/>
          <w:highlight w:val="none"/>
        </w:rPr>
        <w:t>注：1.表中所列业绩如与评分有关的，出具的证明材料需满足评审依据，否则不予得分。</w:t>
      </w:r>
    </w:p>
    <w:p w14:paraId="71AE72D4">
      <w:pPr>
        <w:pStyle w:val="31"/>
        <w:spacing w:line="360" w:lineRule="auto"/>
        <w:rPr>
          <w:rFonts w:ascii="宋体" w:hAnsi="宋体" w:cs="宋体"/>
          <w:bCs w:val="0"/>
          <w:caps w:val="0"/>
          <w:color w:val="auto"/>
          <w:sz w:val="21"/>
          <w:szCs w:val="24"/>
          <w:highlight w:val="none"/>
        </w:rPr>
      </w:pPr>
      <w:r>
        <w:rPr>
          <w:rFonts w:hint="eastAsia" w:ascii="宋体" w:hAnsi="宋体" w:cs="宋体"/>
          <w:bCs w:val="0"/>
          <w:caps w:val="0"/>
          <w:color w:val="auto"/>
          <w:sz w:val="21"/>
          <w:szCs w:val="24"/>
          <w:highlight w:val="none"/>
        </w:rPr>
        <w:t>2、以联合体形式投标的，联合体各方均应分别填写此表，并随此表分别附上联合体各方的业绩证明材料的复印件</w:t>
      </w:r>
    </w:p>
    <w:p w14:paraId="4A494C51">
      <w:pPr>
        <w:tabs>
          <w:tab w:val="left" w:pos="744"/>
        </w:tabs>
        <w:spacing w:line="400" w:lineRule="exact"/>
        <w:ind w:firstLine="308" w:firstLineChars="147"/>
        <w:rPr>
          <w:rFonts w:ascii="宋体" w:hAnsi="宋体" w:cs="宋体"/>
          <w:color w:val="auto"/>
          <w:highlight w:val="none"/>
        </w:rPr>
      </w:pPr>
    </w:p>
    <w:p w14:paraId="1191F060">
      <w:pPr>
        <w:rPr>
          <w:rFonts w:ascii="宋体" w:hAnsi="宋体" w:cs="宋体"/>
          <w:color w:val="auto"/>
          <w:highlight w:val="none"/>
        </w:rPr>
      </w:pPr>
    </w:p>
    <w:p w14:paraId="5B2173A9">
      <w:pPr>
        <w:rPr>
          <w:rFonts w:ascii="宋体" w:hAnsi="宋体" w:cs="宋体"/>
          <w:color w:val="auto"/>
          <w:highlight w:val="none"/>
        </w:rPr>
      </w:pPr>
    </w:p>
    <w:p w14:paraId="47030E84">
      <w:pPr>
        <w:adjustRightInd w:val="0"/>
        <w:snapToGrid w:val="0"/>
        <w:spacing w:line="360" w:lineRule="auto"/>
        <w:ind w:firstLine="4158" w:firstLineChars="198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投标人(盖公章)</w:t>
      </w:r>
    </w:p>
    <w:p w14:paraId="42E81A60">
      <w:pPr>
        <w:adjustRightInd w:val="0"/>
        <w:snapToGrid w:val="0"/>
        <w:spacing w:line="360" w:lineRule="auto"/>
        <w:ind w:firstLine="4158" w:firstLineChars="198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法定代表人或授权代表(签字或盖章)</w:t>
      </w:r>
    </w:p>
    <w:p w14:paraId="0BD94A51">
      <w:pPr>
        <w:adjustRightInd w:val="0"/>
        <w:snapToGrid w:val="0"/>
        <w:spacing w:line="360" w:lineRule="auto"/>
        <w:ind w:firstLine="4158" w:firstLineChars="198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日期：</w:t>
      </w:r>
    </w:p>
    <w:p w14:paraId="1C948C84">
      <w:pPr>
        <w:autoSpaceDE w:val="0"/>
        <w:autoSpaceDN w:val="0"/>
        <w:adjustRightInd w:val="0"/>
        <w:spacing w:line="360" w:lineRule="auto"/>
        <w:rPr>
          <w:rFonts w:ascii="宋体" w:hAnsi="宋体" w:cs="宋体"/>
          <w:b/>
          <w:bCs/>
          <w:color w:val="auto"/>
          <w:szCs w:val="21"/>
          <w:highlight w:val="none"/>
        </w:rPr>
      </w:pPr>
      <w:r>
        <w:rPr>
          <w:rFonts w:hint="eastAsia" w:ascii="宋体" w:hAnsi="宋体" w:cs="宋体"/>
          <w:snapToGrid w:val="0"/>
          <w:color w:val="auto"/>
          <w:kern w:val="0"/>
          <w:szCs w:val="21"/>
          <w:highlight w:val="none"/>
        </w:rPr>
        <w:br w:type="page"/>
      </w:r>
      <w:r>
        <w:rPr>
          <w:rFonts w:hint="eastAsia" w:ascii="宋体" w:hAnsi="宋体" w:cs="宋体"/>
          <w:b/>
          <w:bCs/>
          <w:color w:val="auto"/>
          <w:szCs w:val="21"/>
          <w:highlight w:val="none"/>
        </w:rPr>
        <w:t>3.7合同/商务条款偏离表</w:t>
      </w:r>
    </w:p>
    <w:p w14:paraId="3A8D7BF9">
      <w:pPr>
        <w:spacing w:line="360" w:lineRule="atLeast"/>
        <w:jc w:val="center"/>
        <w:rPr>
          <w:rFonts w:ascii="宋体" w:hAnsi="宋体" w:cs="宋体"/>
          <w:b/>
          <w:color w:val="auto"/>
          <w:sz w:val="28"/>
          <w:szCs w:val="28"/>
          <w:highlight w:val="none"/>
        </w:rPr>
      </w:pPr>
      <w:r>
        <w:rPr>
          <w:rFonts w:hint="eastAsia" w:ascii="宋体" w:hAnsi="宋体" w:cs="宋体"/>
          <w:b/>
          <w:color w:val="auto"/>
          <w:sz w:val="28"/>
          <w:szCs w:val="28"/>
          <w:highlight w:val="none"/>
        </w:rPr>
        <w:t>合同/商务条款偏离表</w:t>
      </w:r>
    </w:p>
    <w:p w14:paraId="7C5301D4">
      <w:pPr>
        <w:spacing w:line="360" w:lineRule="atLeast"/>
        <w:jc w:val="center"/>
        <w:rPr>
          <w:rFonts w:ascii="宋体" w:hAnsi="宋体" w:cs="宋体"/>
          <w:color w:val="auto"/>
          <w:highlight w:val="none"/>
        </w:rPr>
      </w:pPr>
    </w:p>
    <w:tbl>
      <w:tblPr>
        <w:tblStyle w:val="43"/>
        <w:tblW w:w="86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60"/>
        <w:gridCol w:w="1785"/>
        <w:gridCol w:w="1785"/>
        <w:gridCol w:w="1785"/>
        <w:gridCol w:w="1785"/>
        <w:gridCol w:w="840"/>
      </w:tblGrid>
      <w:tr w14:paraId="4831E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74" w:hRule="atLeast"/>
          <w:jc w:val="center"/>
        </w:trPr>
        <w:tc>
          <w:tcPr>
            <w:tcW w:w="660" w:type="dxa"/>
            <w:vMerge w:val="restart"/>
            <w:tcBorders>
              <w:top w:val="single" w:color="000000" w:sz="6" w:space="0"/>
              <w:left w:val="single" w:color="000000" w:sz="6" w:space="0"/>
              <w:bottom w:val="single" w:color="000000" w:sz="6" w:space="0"/>
              <w:right w:val="single" w:color="000000" w:sz="6" w:space="0"/>
            </w:tcBorders>
            <w:vAlign w:val="center"/>
          </w:tcPr>
          <w:p w14:paraId="4328D4F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3570" w:type="dxa"/>
            <w:gridSpan w:val="2"/>
            <w:tcBorders>
              <w:top w:val="single" w:color="000000" w:sz="6" w:space="0"/>
              <w:left w:val="single" w:color="000000" w:sz="6" w:space="0"/>
              <w:bottom w:val="single" w:color="000000" w:sz="6" w:space="0"/>
              <w:right w:val="single" w:color="000000" w:sz="6" w:space="0"/>
            </w:tcBorders>
            <w:vAlign w:val="center"/>
          </w:tcPr>
          <w:p w14:paraId="357856EC">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采购文件要求</w:t>
            </w:r>
          </w:p>
        </w:tc>
        <w:tc>
          <w:tcPr>
            <w:tcW w:w="3570" w:type="dxa"/>
            <w:gridSpan w:val="2"/>
            <w:tcBorders>
              <w:top w:val="single" w:color="000000" w:sz="6" w:space="0"/>
              <w:left w:val="single" w:color="000000" w:sz="6" w:space="0"/>
              <w:bottom w:val="single" w:color="000000" w:sz="6" w:space="0"/>
              <w:right w:val="single" w:color="000000" w:sz="6" w:space="0"/>
            </w:tcBorders>
            <w:vAlign w:val="center"/>
          </w:tcPr>
          <w:p w14:paraId="364C96DC">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投标文件响应</w:t>
            </w:r>
          </w:p>
        </w:tc>
        <w:tc>
          <w:tcPr>
            <w:tcW w:w="840" w:type="dxa"/>
            <w:vMerge w:val="restart"/>
            <w:tcBorders>
              <w:top w:val="single" w:color="000000" w:sz="6" w:space="0"/>
              <w:left w:val="single" w:color="000000" w:sz="6" w:space="0"/>
              <w:bottom w:val="single" w:color="000000" w:sz="6" w:space="0"/>
              <w:right w:val="single" w:color="000000" w:sz="6" w:space="0"/>
            </w:tcBorders>
            <w:vAlign w:val="center"/>
          </w:tcPr>
          <w:p w14:paraId="533D87A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0AA54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vMerge w:val="continue"/>
            <w:tcBorders>
              <w:top w:val="single" w:color="000000" w:sz="6" w:space="0"/>
              <w:left w:val="single" w:color="000000" w:sz="6" w:space="0"/>
              <w:bottom w:val="single" w:color="000000" w:sz="6" w:space="0"/>
              <w:right w:val="single" w:color="000000" w:sz="6" w:space="0"/>
            </w:tcBorders>
          </w:tcPr>
          <w:p w14:paraId="50F764B8">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65CB0433">
            <w:pPr>
              <w:spacing w:line="360" w:lineRule="atLeast"/>
              <w:jc w:val="center"/>
              <w:rPr>
                <w:rFonts w:ascii="宋体" w:hAnsi="宋体" w:cs="宋体"/>
                <w:color w:val="auto"/>
                <w:szCs w:val="21"/>
                <w:highlight w:val="none"/>
              </w:rPr>
            </w:pPr>
            <w:r>
              <w:rPr>
                <w:rFonts w:hint="eastAsia" w:ascii="宋体" w:hAnsi="宋体" w:cs="宋体"/>
                <w:color w:val="auto"/>
                <w:szCs w:val="21"/>
                <w:highlight w:val="none"/>
              </w:rPr>
              <w:t>章节、条款号</w:t>
            </w:r>
          </w:p>
        </w:tc>
        <w:tc>
          <w:tcPr>
            <w:tcW w:w="1785" w:type="dxa"/>
            <w:tcBorders>
              <w:top w:val="single" w:color="000000" w:sz="6" w:space="0"/>
              <w:left w:val="single" w:color="000000" w:sz="6" w:space="0"/>
              <w:bottom w:val="single" w:color="000000" w:sz="6" w:space="0"/>
              <w:right w:val="single" w:color="000000" w:sz="6" w:space="0"/>
            </w:tcBorders>
            <w:vAlign w:val="center"/>
          </w:tcPr>
          <w:p w14:paraId="2B7E5FD1">
            <w:pPr>
              <w:spacing w:line="360" w:lineRule="atLeast"/>
              <w:jc w:val="center"/>
              <w:rPr>
                <w:rFonts w:ascii="宋体" w:hAnsi="宋体" w:cs="宋体"/>
                <w:color w:val="auto"/>
                <w:szCs w:val="21"/>
                <w:highlight w:val="none"/>
              </w:rPr>
            </w:pPr>
            <w:r>
              <w:rPr>
                <w:rFonts w:hint="eastAsia" w:ascii="宋体" w:hAnsi="宋体" w:cs="宋体"/>
                <w:color w:val="auto"/>
                <w:szCs w:val="21"/>
                <w:highlight w:val="none"/>
              </w:rPr>
              <w:t>条款内容描述</w:t>
            </w:r>
          </w:p>
        </w:tc>
        <w:tc>
          <w:tcPr>
            <w:tcW w:w="1785" w:type="dxa"/>
            <w:tcBorders>
              <w:top w:val="single" w:color="000000" w:sz="6" w:space="0"/>
              <w:left w:val="single" w:color="000000" w:sz="6" w:space="0"/>
              <w:bottom w:val="single" w:color="000000" w:sz="6" w:space="0"/>
              <w:right w:val="single" w:color="000000" w:sz="6" w:space="0"/>
            </w:tcBorders>
            <w:vAlign w:val="center"/>
          </w:tcPr>
          <w:p w14:paraId="6DF34790">
            <w:pPr>
              <w:spacing w:line="360" w:lineRule="atLeast"/>
              <w:jc w:val="center"/>
              <w:rPr>
                <w:rFonts w:ascii="宋体" w:hAnsi="宋体" w:cs="宋体"/>
                <w:color w:val="auto"/>
                <w:szCs w:val="21"/>
                <w:highlight w:val="none"/>
              </w:rPr>
            </w:pPr>
            <w:r>
              <w:rPr>
                <w:rFonts w:hint="eastAsia" w:ascii="宋体" w:hAnsi="宋体" w:cs="宋体"/>
                <w:color w:val="auto"/>
                <w:szCs w:val="21"/>
                <w:highlight w:val="none"/>
              </w:rPr>
              <w:t>章节、条款号</w:t>
            </w:r>
          </w:p>
        </w:tc>
        <w:tc>
          <w:tcPr>
            <w:tcW w:w="1785" w:type="dxa"/>
            <w:tcBorders>
              <w:top w:val="single" w:color="000000" w:sz="6" w:space="0"/>
              <w:left w:val="single" w:color="000000" w:sz="6" w:space="0"/>
              <w:bottom w:val="single" w:color="000000" w:sz="6" w:space="0"/>
              <w:right w:val="single" w:color="000000" w:sz="6" w:space="0"/>
            </w:tcBorders>
            <w:vAlign w:val="center"/>
          </w:tcPr>
          <w:p w14:paraId="5D84C359">
            <w:pPr>
              <w:spacing w:line="360" w:lineRule="atLeast"/>
              <w:jc w:val="center"/>
              <w:rPr>
                <w:rFonts w:ascii="宋体" w:hAnsi="宋体" w:cs="宋体"/>
                <w:color w:val="auto"/>
                <w:szCs w:val="21"/>
                <w:highlight w:val="none"/>
              </w:rPr>
            </w:pPr>
            <w:r>
              <w:rPr>
                <w:rFonts w:hint="eastAsia" w:ascii="宋体" w:hAnsi="宋体" w:cs="宋体"/>
                <w:color w:val="auto"/>
                <w:szCs w:val="21"/>
                <w:highlight w:val="none"/>
              </w:rPr>
              <w:t>条款内容描述</w:t>
            </w:r>
          </w:p>
        </w:tc>
        <w:tc>
          <w:tcPr>
            <w:tcW w:w="840" w:type="dxa"/>
            <w:vMerge w:val="continue"/>
            <w:tcBorders>
              <w:top w:val="single" w:color="000000" w:sz="6" w:space="0"/>
              <w:left w:val="single" w:color="000000" w:sz="6" w:space="0"/>
              <w:bottom w:val="single" w:color="000000" w:sz="6" w:space="0"/>
              <w:right w:val="single" w:color="000000" w:sz="6" w:space="0"/>
            </w:tcBorders>
          </w:tcPr>
          <w:p w14:paraId="4569BB70">
            <w:pPr>
              <w:spacing w:line="360" w:lineRule="atLeast"/>
              <w:rPr>
                <w:rFonts w:ascii="宋体" w:hAnsi="宋体" w:cs="宋体"/>
                <w:color w:val="auto"/>
                <w:szCs w:val="21"/>
                <w:highlight w:val="none"/>
              </w:rPr>
            </w:pPr>
          </w:p>
        </w:tc>
      </w:tr>
      <w:tr w14:paraId="09D95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14:paraId="357B1A05">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3CFFEAA8">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2B77BE59">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62EA9A85">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55283EE5">
            <w:pPr>
              <w:spacing w:line="360" w:lineRule="atLeast"/>
              <w:rPr>
                <w:rFonts w:ascii="宋体" w:hAnsi="宋体" w:cs="宋体"/>
                <w:color w:val="auto"/>
                <w:szCs w:val="21"/>
                <w:highlight w:val="none"/>
              </w:rPr>
            </w:pPr>
          </w:p>
        </w:tc>
        <w:tc>
          <w:tcPr>
            <w:tcW w:w="840" w:type="dxa"/>
            <w:tcBorders>
              <w:top w:val="single" w:color="000000" w:sz="6" w:space="0"/>
              <w:left w:val="single" w:color="000000" w:sz="6" w:space="0"/>
              <w:bottom w:val="single" w:color="000000" w:sz="6" w:space="0"/>
              <w:right w:val="single" w:color="000000" w:sz="6" w:space="0"/>
            </w:tcBorders>
          </w:tcPr>
          <w:p w14:paraId="53C3867F">
            <w:pPr>
              <w:spacing w:line="360" w:lineRule="atLeast"/>
              <w:rPr>
                <w:rFonts w:ascii="宋体" w:hAnsi="宋体" w:cs="宋体"/>
                <w:color w:val="auto"/>
                <w:szCs w:val="21"/>
                <w:highlight w:val="none"/>
              </w:rPr>
            </w:pPr>
          </w:p>
        </w:tc>
      </w:tr>
      <w:tr w14:paraId="0ED3D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14:paraId="3EF59FD6">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79608978">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39A0FEBB">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423D3EF1">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38D0C7FB">
            <w:pPr>
              <w:spacing w:line="360" w:lineRule="atLeast"/>
              <w:rPr>
                <w:rFonts w:ascii="宋体" w:hAnsi="宋体" w:cs="宋体"/>
                <w:color w:val="auto"/>
                <w:szCs w:val="21"/>
                <w:highlight w:val="none"/>
              </w:rPr>
            </w:pPr>
          </w:p>
        </w:tc>
        <w:tc>
          <w:tcPr>
            <w:tcW w:w="840" w:type="dxa"/>
            <w:tcBorders>
              <w:top w:val="single" w:color="000000" w:sz="6" w:space="0"/>
              <w:left w:val="single" w:color="000000" w:sz="6" w:space="0"/>
              <w:bottom w:val="single" w:color="000000" w:sz="6" w:space="0"/>
              <w:right w:val="single" w:color="000000" w:sz="6" w:space="0"/>
            </w:tcBorders>
          </w:tcPr>
          <w:p w14:paraId="4D212008">
            <w:pPr>
              <w:spacing w:line="360" w:lineRule="atLeast"/>
              <w:rPr>
                <w:rFonts w:ascii="宋体" w:hAnsi="宋体" w:cs="宋体"/>
                <w:color w:val="auto"/>
                <w:szCs w:val="21"/>
                <w:highlight w:val="none"/>
              </w:rPr>
            </w:pPr>
          </w:p>
        </w:tc>
      </w:tr>
      <w:tr w14:paraId="10DCF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14:paraId="62BCEB33">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1E99BF25">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24BA8925">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215F127B">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218EDFEB">
            <w:pPr>
              <w:spacing w:line="360" w:lineRule="atLeast"/>
              <w:rPr>
                <w:rFonts w:ascii="宋体" w:hAnsi="宋体" w:cs="宋体"/>
                <w:color w:val="auto"/>
                <w:szCs w:val="21"/>
                <w:highlight w:val="none"/>
              </w:rPr>
            </w:pPr>
          </w:p>
        </w:tc>
        <w:tc>
          <w:tcPr>
            <w:tcW w:w="840" w:type="dxa"/>
            <w:tcBorders>
              <w:top w:val="single" w:color="000000" w:sz="6" w:space="0"/>
              <w:left w:val="single" w:color="000000" w:sz="6" w:space="0"/>
              <w:bottom w:val="single" w:color="000000" w:sz="6" w:space="0"/>
              <w:right w:val="single" w:color="000000" w:sz="6" w:space="0"/>
            </w:tcBorders>
          </w:tcPr>
          <w:p w14:paraId="50F6200D">
            <w:pPr>
              <w:spacing w:line="360" w:lineRule="atLeast"/>
              <w:rPr>
                <w:rFonts w:ascii="宋体" w:hAnsi="宋体" w:cs="宋体"/>
                <w:color w:val="auto"/>
                <w:szCs w:val="21"/>
                <w:highlight w:val="none"/>
              </w:rPr>
            </w:pPr>
          </w:p>
        </w:tc>
      </w:tr>
      <w:tr w14:paraId="742C4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14:paraId="0E5B71B6">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296B1D78">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7DFFD23C">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5E317510">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6524A58E">
            <w:pPr>
              <w:spacing w:line="360" w:lineRule="atLeast"/>
              <w:rPr>
                <w:rFonts w:ascii="宋体" w:hAnsi="宋体" w:cs="宋体"/>
                <w:color w:val="auto"/>
                <w:szCs w:val="21"/>
                <w:highlight w:val="none"/>
              </w:rPr>
            </w:pPr>
          </w:p>
        </w:tc>
        <w:tc>
          <w:tcPr>
            <w:tcW w:w="840" w:type="dxa"/>
            <w:tcBorders>
              <w:top w:val="single" w:color="000000" w:sz="6" w:space="0"/>
              <w:left w:val="single" w:color="000000" w:sz="6" w:space="0"/>
              <w:bottom w:val="single" w:color="000000" w:sz="6" w:space="0"/>
              <w:right w:val="single" w:color="000000" w:sz="6" w:space="0"/>
            </w:tcBorders>
          </w:tcPr>
          <w:p w14:paraId="4695D2D0">
            <w:pPr>
              <w:spacing w:line="360" w:lineRule="atLeast"/>
              <w:rPr>
                <w:rFonts w:ascii="宋体" w:hAnsi="宋体" w:cs="宋体"/>
                <w:color w:val="auto"/>
                <w:szCs w:val="21"/>
                <w:highlight w:val="none"/>
              </w:rPr>
            </w:pPr>
          </w:p>
        </w:tc>
      </w:tr>
      <w:tr w14:paraId="2F50A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14:paraId="47E50B81">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1ECE14A0">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6E9E03A0">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0A8DE18B">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2C6D22EF">
            <w:pPr>
              <w:spacing w:line="360" w:lineRule="atLeast"/>
              <w:rPr>
                <w:rFonts w:ascii="宋体" w:hAnsi="宋体" w:cs="宋体"/>
                <w:color w:val="auto"/>
                <w:szCs w:val="21"/>
                <w:highlight w:val="none"/>
              </w:rPr>
            </w:pPr>
          </w:p>
        </w:tc>
        <w:tc>
          <w:tcPr>
            <w:tcW w:w="840" w:type="dxa"/>
            <w:tcBorders>
              <w:top w:val="single" w:color="000000" w:sz="6" w:space="0"/>
              <w:left w:val="single" w:color="000000" w:sz="6" w:space="0"/>
              <w:bottom w:val="single" w:color="000000" w:sz="6" w:space="0"/>
              <w:right w:val="single" w:color="000000" w:sz="6" w:space="0"/>
            </w:tcBorders>
          </w:tcPr>
          <w:p w14:paraId="576AA3A3">
            <w:pPr>
              <w:spacing w:line="360" w:lineRule="atLeast"/>
              <w:rPr>
                <w:rFonts w:ascii="宋体" w:hAnsi="宋体" w:cs="宋体"/>
                <w:color w:val="auto"/>
                <w:szCs w:val="21"/>
                <w:highlight w:val="none"/>
              </w:rPr>
            </w:pPr>
          </w:p>
        </w:tc>
      </w:tr>
      <w:tr w14:paraId="61800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14:paraId="1BFE8B1F">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7D97CFC2">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5BC0E2BE">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2F4B4F1E">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6593947E">
            <w:pPr>
              <w:spacing w:line="360" w:lineRule="atLeast"/>
              <w:rPr>
                <w:rFonts w:ascii="宋体" w:hAnsi="宋体" w:cs="宋体"/>
                <w:color w:val="auto"/>
                <w:szCs w:val="21"/>
                <w:highlight w:val="none"/>
              </w:rPr>
            </w:pPr>
          </w:p>
        </w:tc>
        <w:tc>
          <w:tcPr>
            <w:tcW w:w="840" w:type="dxa"/>
            <w:tcBorders>
              <w:top w:val="single" w:color="000000" w:sz="6" w:space="0"/>
              <w:left w:val="single" w:color="000000" w:sz="6" w:space="0"/>
              <w:bottom w:val="single" w:color="000000" w:sz="6" w:space="0"/>
              <w:right w:val="single" w:color="000000" w:sz="6" w:space="0"/>
            </w:tcBorders>
          </w:tcPr>
          <w:p w14:paraId="2DE50870">
            <w:pPr>
              <w:spacing w:line="360" w:lineRule="atLeast"/>
              <w:rPr>
                <w:rFonts w:ascii="宋体" w:hAnsi="宋体" w:cs="宋体"/>
                <w:color w:val="auto"/>
                <w:szCs w:val="21"/>
                <w:highlight w:val="none"/>
              </w:rPr>
            </w:pPr>
          </w:p>
        </w:tc>
      </w:tr>
      <w:tr w14:paraId="6F678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14:paraId="41F4ADFA">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2E4C223B">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51CF0771">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155F3EEE">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1A870BE7">
            <w:pPr>
              <w:spacing w:line="360" w:lineRule="atLeast"/>
              <w:rPr>
                <w:rFonts w:ascii="宋体" w:hAnsi="宋体" w:cs="宋体"/>
                <w:color w:val="auto"/>
                <w:szCs w:val="21"/>
                <w:highlight w:val="none"/>
              </w:rPr>
            </w:pPr>
          </w:p>
        </w:tc>
        <w:tc>
          <w:tcPr>
            <w:tcW w:w="840" w:type="dxa"/>
            <w:tcBorders>
              <w:top w:val="single" w:color="000000" w:sz="6" w:space="0"/>
              <w:left w:val="single" w:color="000000" w:sz="6" w:space="0"/>
              <w:bottom w:val="single" w:color="000000" w:sz="6" w:space="0"/>
              <w:right w:val="single" w:color="000000" w:sz="6" w:space="0"/>
            </w:tcBorders>
          </w:tcPr>
          <w:p w14:paraId="41475D60">
            <w:pPr>
              <w:spacing w:line="360" w:lineRule="atLeast"/>
              <w:rPr>
                <w:rFonts w:ascii="宋体" w:hAnsi="宋体" w:cs="宋体"/>
                <w:color w:val="auto"/>
                <w:szCs w:val="21"/>
                <w:highlight w:val="none"/>
              </w:rPr>
            </w:pPr>
          </w:p>
        </w:tc>
      </w:tr>
      <w:tr w14:paraId="4B6E5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14:paraId="1BDFABB1">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531DB961">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410D20FF">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5997CEEC">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577D4E73">
            <w:pPr>
              <w:spacing w:line="360" w:lineRule="atLeast"/>
              <w:rPr>
                <w:rFonts w:ascii="宋体" w:hAnsi="宋体" w:cs="宋体"/>
                <w:color w:val="auto"/>
                <w:szCs w:val="21"/>
                <w:highlight w:val="none"/>
              </w:rPr>
            </w:pPr>
          </w:p>
        </w:tc>
        <w:tc>
          <w:tcPr>
            <w:tcW w:w="840" w:type="dxa"/>
            <w:tcBorders>
              <w:top w:val="single" w:color="000000" w:sz="6" w:space="0"/>
              <w:left w:val="single" w:color="000000" w:sz="6" w:space="0"/>
              <w:bottom w:val="single" w:color="000000" w:sz="6" w:space="0"/>
              <w:right w:val="single" w:color="000000" w:sz="6" w:space="0"/>
            </w:tcBorders>
          </w:tcPr>
          <w:p w14:paraId="2458553E">
            <w:pPr>
              <w:spacing w:line="360" w:lineRule="atLeast"/>
              <w:rPr>
                <w:rFonts w:ascii="宋体" w:hAnsi="宋体" w:cs="宋体"/>
                <w:color w:val="auto"/>
                <w:szCs w:val="21"/>
                <w:highlight w:val="none"/>
              </w:rPr>
            </w:pPr>
          </w:p>
        </w:tc>
      </w:tr>
      <w:tr w14:paraId="7F141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14:paraId="08A30DD6">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70D100E6">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7E56C07D">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0628E2B1">
            <w:pPr>
              <w:spacing w:line="360" w:lineRule="atLeast"/>
              <w:rPr>
                <w:rFonts w:ascii="宋体" w:hAnsi="宋体" w:cs="宋体"/>
                <w:color w:val="auto"/>
                <w:szCs w:val="21"/>
                <w:highlight w:val="none"/>
              </w:rPr>
            </w:pPr>
          </w:p>
        </w:tc>
        <w:tc>
          <w:tcPr>
            <w:tcW w:w="1785" w:type="dxa"/>
            <w:tcBorders>
              <w:top w:val="single" w:color="000000" w:sz="6" w:space="0"/>
              <w:left w:val="single" w:color="000000" w:sz="6" w:space="0"/>
              <w:bottom w:val="single" w:color="000000" w:sz="6" w:space="0"/>
              <w:right w:val="single" w:color="000000" w:sz="6" w:space="0"/>
            </w:tcBorders>
            <w:vAlign w:val="center"/>
          </w:tcPr>
          <w:p w14:paraId="0FF9A77E">
            <w:pPr>
              <w:spacing w:line="360" w:lineRule="atLeast"/>
              <w:rPr>
                <w:rFonts w:ascii="宋体" w:hAnsi="宋体" w:cs="宋体"/>
                <w:color w:val="auto"/>
                <w:szCs w:val="21"/>
                <w:highlight w:val="none"/>
              </w:rPr>
            </w:pPr>
          </w:p>
        </w:tc>
        <w:tc>
          <w:tcPr>
            <w:tcW w:w="840" w:type="dxa"/>
            <w:tcBorders>
              <w:top w:val="single" w:color="000000" w:sz="6" w:space="0"/>
              <w:left w:val="single" w:color="000000" w:sz="6" w:space="0"/>
              <w:bottom w:val="single" w:color="000000" w:sz="6" w:space="0"/>
              <w:right w:val="single" w:color="000000" w:sz="6" w:space="0"/>
            </w:tcBorders>
          </w:tcPr>
          <w:p w14:paraId="3C3EF8FB">
            <w:pPr>
              <w:spacing w:line="360" w:lineRule="atLeast"/>
              <w:rPr>
                <w:rFonts w:ascii="宋体" w:hAnsi="宋体" w:cs="宋体"/>
                <w:color w:val="auto"/>
                <w:szCs w:val="21"/>
                <w:highlight w:val="none"/>
              </w:rPr>
            </w:pPr>
          </w:p>
        </w:tc>
      </w:tr>
    </w:tbl>
    <w:p w14:paraId="38DEF100">
      <w:pPr>
        <w:spacing w:line="360" w:lineRule="atLeast"/>
        <w:rPr>
          <w:rFonts w:ascii="宋体" w:hAnsi="宋体" w:cs="宋体"/>
          <w:color w:val="auto"/>
          <w:highlight w:val="none"/>
        </w:rPr>
      </w:pPr>
      <w:r>
        <w:rPr>
          <w:rFonts w:hint="eastAsia" w:ascii="宋体" w:hAnsi="宋体" w:cs="宋体"/>
          <w:color w:val="auto"/>
          <w:highlight w:val="none"/>
        </w:rPr>
        <w:t>注：若不填写或只填写“无”视作完全响应采购文件的要求。</w:t>
      </w:r>
    </w:p>
    <w:p w14:paraId="5F030769">
      <w:pPr>
        <w:spacing w:line="360" w:lineRule="atLeast"/>
        <w:rPr>
          <w:rFonts w:ascii="宋体" w:hAnsi="宋体" w:cs="宋体"/>
          <w:color w:val="auto"/>
          <w:highlight w:val="none"/>
        </w:rPr>
      </w:pPr>
    </w:p>
    <w:p w14:paraId="6730D055">
      <w:pPr>
        <w:spacing w:line="360" w:lineRule="atLeast"/>
        <w:rPr>
          <w:rFonts w:ascii="宋体" w:hAnsi="宋体" w:cs="宋体"/>
          <w:color w:val="auto"/>
          <w:highlight w:val="none"/>
        </w:rPr>
      </w:pPr>
    </w:p>
    <w:p w14:paraId="47BEC9C5">
      <w:pPr>
        <w:spacing w:line="360" w:lineRule="atLeast"/>
        <w:jc w:val="left"/>
        <w:rPr>
          <w:rFonts w:ascii="宋体" w:hAnsi="宋体" w:cs="宋体"/>
          <w:color w:val="auto"/>
          <w:szCs w:val="21"/>
          <w:highlight w:val="none"/>
        </w:rPr>
      </w:pPr>
      <w:r>
        <w:rPr>
          <w:rFonts w:hint="eastAsia" w:ascii="宋体" w:hAnsi="宋体" w:cs="宋体"/>
          <w:color w:val="auto"/>
          <w:szCs w:val="21"/>
          <w:highlight w:val="none"/>
        </w:rPr>
        <w:t>投标人(盖公章)：</w:t>
      </w:r>
    </w:p>
    <w:p w14:paraId="4B134A6C">
      <w:pPr>
        <w:spacing w:line="360" w:lineRule="atLeast"/>
        <w:jc w:val="left"/>
        <w:rPr>
          <w:rFonts w:ascii="宋体" w:hAnsi="宋体" w:cs="宋体"/>
          <w:color w:val="auto"/>
          <w:szCs w:val="21"/>
          <w:highlight w:val="none"/>
        </w:rPr>
      </w:pPr>
    </w:p>
    <w:p w14:paraId="62B0264B">
      <w:pPr>
        <w:spacing w:line="360" w:lineRule="atLeast"/>
        <w:rPr>
          <w:rFonts w:ascii="宋体" w:hAnsi="宋体" w:cs="宋体"/>
          <w:color w:val="auto"/>
          <w:szCs w:val="21"/>
          <w:highlight w:val="none"/>
        </w:rPr>
      </w:pPr>
      <w:r>
        <w:rPr>
          <w:rFonts w:hint="eastAsia" w:ascii="宋体" w:hAnsi="宋体" w:cs="宋体"/>
          <w:color w:val="auto"/>
          <w:szCs w:val="21"/>
          <w:highlight w:val="none"/>
        </w:rPr>
        <w:t>法定代表人或其授权代表(签字或盖章)：__________________</w:t>
      </w:r>
    </w:p>
    <w:p w14:paraId="7855407B">
      <w:pPr>
        <w:spacing w:line="360" w:lineRule="atLeast"/>
        <w:rPr>
          <w:rFonts w:ascii="宋体" w:hAnsi="宋体" w:cs="宋体"/>
          <w:color w:val="auto"/>
          <w:szCs w:val="21"/>
          <w:highlight w:val="none"/>
        </w:rPr>
      </w:pPr>
    </w:p>
    <w:p w14:paraId="5C46FDD6">
      <w:pPr>
        <w:rPr>
          <w:rFonts w:ascii="宋体" w:hAnsi="宋体" w:cs="宋体"/>
          <w:color w:val="auto"/>
          <w:highlight w:val="none"/>
        </w:rPr>
      </w:pPr>
      <w:r>
        <w:rPr>
          <w:rFonts w:hint="eastAsia" w:ascii="宋体" w:hAnsi="宋体" w:cs="宋体"/>
          <w:color w:val="auto"/>
          <w:highlight w:val="none"/>
        </w:rPr>
        <w:t>日</w:t>
      </w:r>
      <w:r>
        <w:rPr>
          <w:rFonts w:hint="eastAsia" w:ascii="宋体" w:hAnsi="宋体" w:cs="宋体"/>
          <w:color w:val="auto"/>
          <w:highlight w:val="none"/>
        </w:rPr>
        <w:tab/>
      </w:r>
      <w:r>
        <w:rPr>
          <w:rFonts w:hint="eastAsia" w:ascii="宋体" w:hAnsi="宋体" w:cs="宋体"/>
          <w:color w:val="auto"/>
          <w:highlight w:val="none"/>
        </w:rPr>
        <w:t>期：</w:t>
      </w:r>
    </w:p>
    <w:p w14:paraId="4E4AD0F0">
      <w:pPr>
        <w:adjustRightInd w:val="0"/>
        <w:spacing w:line="360" w:lineRule="auto"/>
        <w:ind w:firstLine="482" w:firstLineChars="200"/>
        <w:rPr>
          <w:rFonts w:ascii="宋体" w:hAnsi="宋体" w:cs="宋体"/>
          <w:b/>
          <w:snapToGrid w:val="0"/>
          <w:color w:val="auto"/>
          <w:kern w:val="0"/>
          <w:szCs w:val="21"/>
          <w:highlight w:val="none"/>
        </w:rPr>
      </w:pPr>
      <w:r>
        <w:rPr>
          <w:rFonts w:hint="eastAsia" w:ascii="宋体" w:hAnsi="宋体" w:cs="宋体"/>
          <w:b/>
          <w:color w:val="auto"/>
          <w:sz w:val="24"/>
          <w:highlight w:val="none"/>
        </w:rPr>
        <w:br w:type="page"/>
      </w:r>
      <w:r>
        <w:rPr>
          <w:rFonts w:hint="eastAsia" w:ascii="宋体" w:hAnsi="宋体" w:cs="宋体"/>
          <w:b/>
          <w:snapToGrid w:val="0"/>
          <w:color w:val="auto"/>
          <w:kern w:val="0"/>
          <w:szCs w:val="21"/>
          <w:highlight w:val="none"/>
        </w:rPr>
        <w:t>3.8拟派项目团队配备情况表</w:t>
      </w:r>
    </w:p>
    <w:p w14:paraId="78BDC9EA">
      <w:pPr>
        <w:snapToGrid w:val="0"/>
        <w:spacing w:line="360" w:lineRule="auto"/>
        <w:jc w:val="center"/>
        <w:rPr>
          <w:rFonts w:ascii="宋体" w:hAnsi="宋体" w:cs="宋体"/>
          <w:b/>
          <w:snapToGrid w:val="0"/>
          <w:color w:val="auto"/>
          <w:kern w:val="0"/>
          <w:sz w:val="24"/>
          <w:highlight w:val="none"/>
        </w:rPr>
      </w:pPr>
    </w:p>
    <w:p w14:paraId="0725F51C">
      <w:pPr>
        <w:pStyle w:val="24"/>
        <w:snapToGrid w:val="0"/>
        <w:spacing w:line="360" w:lineRule="auto"/>
        <w:jc w:val="center"/>
        <w:rPr>
          <w:rFonts w:ascii="宋体" w:hAnsi="宋体" w:eastAsia="宋体" w:cs="宋体"/>
          <w:b/>
          <w:snapToGrid w:val="0"/>
          <w:color w:val="auto"/>
          <w:kern w:val="0"/>
          <w:sz w:val="28"/>
          <w:szCs w:val="28"/>
          <w:highlight w:val="none"/>
        </w:rPr>
      </w:pPr>
      <w:r>
        <w:rPr>
          <w:rFonts w:hint="eastAsia" w:ascii="宋体" w:hAnsi="宋体" w:eastAsia="宋体" w:cs="宋体"/>
          <w:b/>
          <w:snapToGrid w:val="0"/>
          <w:color w:val="auto"/>
          <w:kern w:val="0"/>
          <w:sz w:val="28"/>
          <w:szCs w:val="28"/>
          <w:highlight w:val="none"/>
        </w:rPr>
        <w:t>（1）拟派项目团队配备情况表</w:t>
      </w:r>
    </w:p>
    <w:tbl>
      <w:tblPr>
        <w:tblStyle w:val="43"/>
        <w:tblW w:w="8931" w:type="dxa"/>
        <w:tblInd w:w="108" w:type="dxa"/>
        <w:tblLayout w:type="fixed"/>
        <w:tblCellMar>
          <w:top w:w="0" w:type="dxa"/>
          <w:left w:w="108" w:type="dxa"/>
          <w:bottom w:w="0" w:type="dxa"/>
          <w:right w:w="108" w:type="dxa"/>
        </w:tblCellMar>
      </w:tblPr>
      <w:tblGrid>
        <w:gridCol w:w="828"/>
        <w:gridCol w:w="1015"/>
        <w:gridCol w:w="1701"/>
        <w:gridCol w:w="749"/>
        <w:gridCol w:w="720"/>
        <w:gridCol w:w="720"/>
        <w:gridCol w:w="720"/>
        <w:gridCol w:w="1344"/>
        <w:gridCol w:w="1134"/>
      </w:tblGrid>
      <w:tr w14:paraId="0A69E6C6">
        <w:tblPrEx>
          <w:tblCellMar>
            <w:top w:w="0" w:type="dxa"/>
            <w:left w:w="108" w:type="dxa"/>
            <w:bottom w:w="0" w:type="dxa"/>
            <w:right w:w="108" w:type="dxa"/>
          </w:tblCellMar>
        </w:tblPrEx>
        <w:trPr>
          <w:trHeight w:val="396" w:hRule="atLeast"/>
        </w:trPr>
        <w:tc>
          <w:tcPr>
            <w:tcW w:w="828" w:type="dxa"/>
            <w:tcBorders>
              <w:top w:val="single" w:color="auto" w:sz="12" w:space="0"/>
              <w:left w:val="single" w:color="auto" w:sz="12" w:space="0"/>
              <w:bottom w:val="single" w:color="auto" w:sz="12" w:space="0"/>
              <w:right w:val="single" w:color="auto" w:sz="6" w:space="0"/>
            </w:tcBorders>
            <w:vAlign w:val="center"/>
          </w:tcPr>
          <w:p w14:paraId="193EDD05">
            <w:pPr>
              <w:autoSpaceDE w:val="0"/>
              <w:autoSpaceDN w:val="0"/>
              <w:adjustRightInd w:val="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015" w:type="dxa"/>
            <w:tcBorders>
              <w:top w:val="single" w:color="auto" w:sz="12" w:space="0"/>
              <w:left w:val="single" w:color="auto" w:sz="6" w:space="0"/>
              <w:bottom w:val="single" w:color="auto" w:sz="12" w:space="0"/>
              <w:right w:val="single" w:color="auto" w:sz="6" w:space="0"/>
            </w:tcBorders>
            <w:vAlign w:val="center"/>
          </w:tcPr>
          <w:p w14:paraId="420BC87D">
            <w:pPr>
              <w:autoSpaceDE w:val="0"/>
              <w:autoSpaceDN w:val="0"/>
              <w:adjustRightInd w:val="0"/>
              <w:jc w:val="center"/>
              <w:rPr>
                <w:rFonts w:ascii="宋体" w:hAnsi="宋体" w:cs="宋体"/>
                <w:color w:val="auto"/>
                <w:szCs w:val="21"/>
                <w:highlight w:val="none"/>
                <w:lang w:val="zh-CN"/>
              </w:rPr>
            </w:pPr>
            <w:r>
              <w:rPr>
                <w:rFonts w:hint="eastAsia" w:ascii="宋体" w:hAnsi="宋体" w:cs="宋体"/>
                <w:color w:val="auto"/>
                <w:szCs w:val="21"/>
                <w:highlight w:val="none"/>
                <w:lang w:val="zh-CN"/>
              </w:rPr>
              <w:t>姓名</w:t>
            </w:r>
          </w:p>
        </w:tc>
        <w:tc>
          <w:tcPr>
            <w:tcW w:w="1701" w:type="dxa"/>
            <w:tcBorders>
              <w:top w:val="single" w:color="auto" w:sz="12" w:space="0"/>
              <w:left w:val="single" w:color="auto" w:sz="6" w:space="0"/>
              <w:bottom w:val="single" w:color="auto" w:sz="12" w:space="0"/>
              <w:right w:val="single" w:color="auto" w:sz="6" w:space="0"/>
            </w:tcBorders>
            <w:vAlign w:val="center"/>
          </w:tcPr>
          <w:p w14:paraId="1BB6E96A">
            <w:pPr>
              <w:autoSpaceDE w:val="0"/>
              <w:autoSpaceDN w:val="0"/>
              <w:adjustRightInd w:val="0"/>
              <w:rPr>
                <w:rFonts w:ascii="宋体" w:hAnsi="宋体" w:cs="宋体"/>
                <w:color w:val="auto"/>
                <w:szCs w:val="21"/>
                <w:highlight w:val="none"/>
              </w:rPr>
            </w:pPr>
            <w:r>
              <w:rPr>
                <w:rFonts w:hint="eastAsia" w:ascii="宋体" w:hAnsi="宋体" w:cs="宋体"/>
                <w:color w:val="auto"/>
                <w:szCs w:val="21"/>
                <w:highlight w:val="none"/>
                <w:lang w:val="zh-CN"/>
              </w:rPr>
              <w:t>本项目拟任岗位</w:t>
            </w:r>
          </w:p>
        </w:tc>
        <w:tc>
          <w:tcPr>
            <w:tcW w:w="749" w:type="dxa"/>
            <w:tcBorders>
              <w:top w:val="single" w:color="auto" w:sz="12" w:space="0"/>
              <w:left w:val="single" w:color="auto" w:sz="6" w:space="0"/>
              <w:bottom w:val="single" w:color="auto" w:sz="12" w:space="0"/>
              <w:right w:val="single" w:color="auto" w:sz="6" w:space="0"/>
            </w:tcBorders>
            <w:vAlign w:val="center"/>
          </w:tcPr>
          <w:p w14:paraId="4A88CDBE">
            <w:pPr>
              <w:autoSpaceDE w:val="0"/>
              <w:autoSpaceDN w:val="0"/>
              <w:adjustRightInd w:val="0"/>
              <w:rPr>
                <w:rFonts w:ascii="宋体" w:hAnsi="宋体" w:cs="宋体"/>
                <w:color w:val="auto"/>
                <w:szCs w:val="21"/>
                <w:highlight w:val="none"/>
              </w:rPr>
            </w:pPr>
            <w:r>
              <w:rPr>
                <w:rFonts w:hint="eastAsia" w:ascii="宋体" w:hAnsi="宋体" w:cs="宋体"/>
                <w:color w:val="auto"/>
                <w:szCs w:val="21"/>
                <w:highlight w:val="none"/>
                <w:lang w:val="zh-CN"/>
              </w:rPr>
              <w:t>年龄</w:t>
            </w:r>
          </w:p>
        </w:tc>
        <w:tc>
          <w:tcPr>
            <w:tcW w:w="720" w:type="dxa"/>
            <w:tcBorders>
              <w:top w:val="single" w:color="auto" w:sz="12" w:space="0"/>
              <w:left w:val="single" w:color="auto" w:sz="6" w:space="0"/>
              <w:bottom w:val="single" w:color="auto" w:sz="12" w:space="0"/>
              <w:right w:val="single" w:color="auto" w:sz="6" w:space="0"/>
            </w:tcBorders>
            <w:vAlign w:val="center"/>
          </w:tcPr>
          <w:p w14:paraId="4BA577FC">
            <w:pPr>
              <w:autoSpaceDE w:val="0"/>
              <w:autoSpaceDN w:val="0"/>
              <w:adjustRightInd w:val="0"/>
              <w:rPr>
                <w:rFonts w:ascii="宋体" w:hAnsi="宋体" w:cs="宋体"/>
                <w:color w:val="auto"/>
                <w:szCs w:val="21"/>
                <w:highlight w:val="none"/>
              </w:rPr>
            </w:pPr>
            <w:r>
              <w:rPr>
                <w:rFonts w:hint="eastAsia" w:ascii="宋体" w:hAnsi="宋体" w:cs="宋体"/>
                <w:color w:val="auto"/>
                <w:szCs w:val="21"/>
                <w:highlight w:val="none"/>
                <w:lang w:val="zh-CN"/>
              </w:rPr>
              <w:t>性别</w:t>
            </w:r>
          </w:p>
        </w:tc>
        <w:tc>
          <w:tcPr>
            <w:tcW w:w="720" w:type="dxa"/>
            <w:tcBorders>
              <w:top w:val="single" w:color="auto" w:sz="12" w:space="0"/>
              <w:left w:val="single" w:color="auto" w:sz="6" w:space="0"/>
              <w:bottom w:val="single" w:color="auto" w:sz="12" w:space="0"/>
              <w:right w:val="single" w:color="auto" w:sz="6" w:space="0"/>
            </w:tcBorders>
            <w:vAlign w:val="center"/>
          </w:tcPr>
          <w:p w14:paraId="203E9DA8">
            <w:pPr>
              <w:autoSpaceDE w:val="0"/>
              <w:autoSpaceDN w:val="0"/>
              <w:adjustRightInd w:val="0"/>
              <w:rPr>
                <w:rFonts w:ascii="宋体" w:hAnsi="宋体" w:cs="宋体"/>
                <w:color w:val="auto"/>
                <w:szCs w:val="21"/>
                <w:highlight w:val="none"/>
              </w:rPr>
            </w:pPr>
            <w:r>
              <w:rPr>
                <w:rFonts w:hint="eastAsia" w:ascii="宋体" w:hAnsi="宋体" w:cs="宋体"/>
                <w:color w:val="auto"/>
                <w:szCs w:val="21"/>
                <w:highlight w:val="none"/>
                <w:lang w:val="zh-CN"/>
              </w:rPr>
              <w:t>专业</w:t>
            </w:r>
          </w:p>
        </w:tc>
        <w:tc>
          <w:tcPr>
            <w:tcW w:w="720" w:type="dxa"/>
            <w:tcBorders>
              <w:top w:val="single" w:color="auto" w:sz="12" w:space="0"/>
              <w:left w:val="single" w:color="auto" w:sz="6" w:space="0"/>
              <w:bottom w:val="single" w:color="auto" w:sz="12" w:space="0"/>
              <w:right w:val="single" w:color="auto" w:sz="6" w:space="0"/>
            </w:tcBorders>
            <w:vAlign w:val="center"/>
          </w:tcPr>
          <w:p w14:paraId="4686DF9F">
            <w:pPr>
              <w:autoSpaceDE w:val="0"/>
              <w:autoSpaceDN w:val="0"/>
              <w:adjustRightInd w:val="0"/>
              <w:rPr>
                <w:rFonts w:ascii="宋体" w:hAnsi="宋体" w:cs="宋体"/>
                <w:color w:val="auto"/>
                <w:szCs w:val="21"/>
                <w:highlight w:val="none"/>
              </w:rPr>
            </w:pPr>
            <w:r>
              <w:rPr>
                <w:rFonts w:hint="eastAsia" w:ascii="宋体" w:hAnsi="宋体" w:cs="宋体"/>
                <w:color w:val="auto"/>
                <w:szCs w:val="21"/>
                <w:highlight w:val="none"/>
                <w:lang w:val="zh-CN"/>
              </w:rPr>
              <w:t>专业年限</w:t>
            </w:r>
          </w:p>
        </w:tc>
        <w:tc>
          <w:tcPr>
            <w:tcW w:w="1344" w:type="dxa"/>
            <w:tcBorders>
              <w:top w:val="single" w:color="auto" w:sz="12" w:space="0"/>
              <w:left w:val="single" w:color="auto" w:sz="6" w:space="0"/>
              <w:bottom w:val="single" w:color="auto" w:sz="12" w:space="0"/>
              <w:right w:val="single" w:color="auto" w:sz="6" w:space="0"/>
            </w:tcBorders>
            <w:vAlign w:val="center"/>
          </w:tcPr>
          <w:p w14:paraId="415D6455">
            <w:pPr>
              <w:autoSpaceDE w:val="0"/>
              <w:autoSpaceDN w:val="0"/>
              <w:adjustRightInd w:val="0"/>
              <w:rPr>
                <w:rFonts w:ascii="宋体" w:hAnsi="宋体" w:cs="宋体"/>
                <w:color w:val="auto"/>
                <w:szCs w:val="21"/>
                <w:highlight w:val="none"/>
              </w:rPr>
            </w:pPr>
            <w:r>
              <w:rPr>
                <w:rFonts w:hint="eastAsia" w:ascii="宋体" w:hAnsi="宋体" w:cs="宋体"/>
                <w:color w:val="auto"/>
                <w:szCs w:val="21"/>
                <w:highlight w:val="none"/>
                <w:lang w:val="zh-CN"/>
              </w:rPr>
              <w:t>职务和职称</w:t>
            </w:r>
          </w:p>
        </w:tc>
        <w:tc>
          <w:tcPr>
            <w:tcW w:w="1134" w:type="dxa"/>
            <w:tcBorders>
              <w:top w:val="single" w:color="auto" w:sz="12" w:space="0"/>
              <w:left w:val="single" w:color="auto" w:sz="6" w:space="0"/>
              <w:bottom w:val="single" w:color="auto" w:sz="12" w:space="0"/>
              <w:right w:val="single" w:color="auto" w:sz="12" w:space="0"/>
            </w:tcBorders>
            <w:vAlign w:val="center"/>
          </w:tcPr>
          <w:p w14:paraId="21C94507">
            <w:pPr>
              <w:autoSpaceDE w:val="0"/>
              <w:autoSpaceDN w:val="0"/>
              <w:adjustRightInd w:val="0"/>
              <w:jc w:val="center"/>
              <w:rPr>
                <w:rFonts w:ascii="宋体" w:hAnsi="宋体" w:cs="宋体"/>
                <w:color w:val="auto"/>
                <w:szCs w:val="21"/>
                <w:highlight w:val="none"/>
                <w:lang w:val="zh-CN"/>
              </w:rPr>
            </w:pPr>
            <w:r>
              <w:rPr>
                <w:rFonts w:hint="eastAsia" w:ascii="宋体" w:hAnsi="宋体" w:cs="宋体"/>
                <w:color w:val="auto"/>
                <w:szCs w:val="21"/>
                <w:highlight w:val="none"/>
                <w:lang w:val="zh-CN"/>
              </w:rPr>
              <w:t>备注</w:t>
            </w:r>
          </w:p>
        </w:tc>
      </w:tr>
      <w:tr w14:paraId="5ABD37A2">
        <w:tblPrEx>
          <w:tblCellMar>
            <w:top w:w="0" w:type="dxa"/>
            <w:left w:w="108" w:type="dxa"/>
            <w:bottom w:w="0" w:type="dxa"/>
            <w:right w:w="108" w:type="dxa"/>
          </w:tblCellMar>
        </w:tblPrEx>
        <w:trPr>
          <w:trHeight w:val="408" w:hRule="atLeast"/>
        </w:trPr>
        <w:tc>
          <w:tcPr>
            <w:tcW w:w="828" w:type="dxa"/>
            <w:tcBorders>
              <w:top w:val="single" w:color="auto" w:sz="12" w:space="0"/>
              <w:left w:val="single" w:color="auto" w:sz="12" w:space="0"/>
              <w:bottom w:val="single" w:color="auto" w:sz="6" w:space="0"/>
              <w:right w:val="single" w:color="auto" w:sz="6" w:space="0"/>
            </w:tcBorders>
            <w:vAlign w:val="center"/>
          </w:tcPr>
          <w:p w14:paraId="33A2F5D3">
            <w:pPr>
              <w:autoSpaceDE w:val="0"/>
              <w:autoSpaceDN w:val="0"/>
              <w:adjustRightInd w:val="0"/>
              <w:rPr>
                <w:rFonts w:ascii="宋体" w:hAnsi="宋体" w:cs="宋体"/>
                <w:color w:val="auto"/>
                <w:szCs w:val="21"/>
                <w:highlight w:val="none"/>
              </w:rPr>
            </w:pPr>
          </w:p>
        </w:tc>
        <w:tc>
          <w:tcPr>
            <w:tcW w:w="1015" w:type="dxa"/>
            <w:tcBorders>
              <w:top w:val="single" w:color="auto" w:sz="12" w:space="0"/>
              <w:left w:val="single" w:color="auto" w:sz="6" w:space="0"/>
              <w:bottom w:val="single" w:color="auto" w:sz="6" w:space="0"/>
              <w:right w:val="single" w:color="auto" w:sz="6" w:space="0"/>
            </w:tcBorders>
          </w:tcPr>
          <w:p w14:paraId="24C3F795">
            <w:pPr>
              <w:autoSpaceDE w:val="0"/>
              <w:autoSpaceDN w:val="0"/>
              <w:adjustRightInd w:val="0"/>
              <w:rPr>
                <w:rFonts w:ascii="宋体" w:hAnsi="宋体" w:cs="宋体"/>
                <w:color w:val="auto"/>
                <w:szCs w:val="21"/>
                <w:highlight w:val="none"/>
              </w:rPr>
            </w:pPr>
          </w:p>
        </w:tc>
        <w:tc>
          <w:tcPr>
            <w:tcW w:w="1701" w:type="dxa"/>
            <w:tcBorders>
              <w:top w:val="single" w:color="auto" w:sz="12" w:space="0"/>
              <w:left w:val="single" w:color="auto" w:sz="6" w:space="0"/>
              <w:bottom w:val="single" w:color="auto" w:sz="6" w:space="0"/>
              <w:right w:val="single" w:color="auto" w:sz="6" w:space="0"/>
            </w:tcBorders>
            <w:vAlign w:val="center"/>
          </w:tcPr>
          <w:p w14:paraId="17E6544C">
            <w:pPr>
              <w:autoSpaceDE w:val="0"/>
              <w:autoSpaceDN w:val="0"/>
              <w:adjustRightInd w:val="0"/>
              <w:rPr>
                <w:rFonts w:ascii="宋体" w:hAnsi="宋体" w:cs="宋体"/>
                <w:color w:val="auto"/>
                <w:szCs w:val="21"/>
                <w:highlight w:val="none"/>
              </w:rPr>
            </w:pPr>
          </w:p>
        </w:tc>
        <w:tc>
          <w:tcPr>
            <w:tcW w:w="749" w:type="dxa"/>
            <w:tcBorders>
              <w:top w:val="single" w:color="auto" w:sz="12" w:space="0"/>
              <w:left w:val="single" w:color="auto" w:sz="6" w:space="0"/>
              <w:bottom w:val="single" w:color="auto" w:sz="6" w:space="0"/>
              <w:right w:val="single" w:color="auto" w:sz="6" w:space="0"/>
            </w:tcBorders>
            <w:vAlign w:val="center"/>
          </w:tcPr>
          <w:p w14:paraId="68B74829">
            <w:pPr>
              <w:autoSpaceDE w:val="0"/>
              <w:autoSpaceDN w:val="0"/>
              <w:adjustRightInd w:val="0"/>
              <w:rPr>
                <w:rFonts w:ascii="宋体" w:hAnsi="宋体" w:cs="宋体"/>
                <w:color w:val="auto"/>
                <w:szCs w:val="21"/>
                <w:highlight w:val="none"/>
              </w:rPr>
            </w:pPr>
          </w:p>
        </w:tc>
        <w:tc>
          <w:tcPr>
            <w:tcW w:w="720" w:type="dxa"/>
            <w:tcBorders>
              <w:top w:val="single" w:color="auto" w:sz="12" w:space="0"/>
              <w:left w:val="single" w:color="auto" w:sz="6" w:space="0"/>
              <w:bottom w:val="single" w:color="auto" w:sz="6" w:space="0"/>
              <w:right w:val="single" w:color="auto" w:sz="6" w:space="0"/>
            </w:tcBorders>
            <w:vAlign w:val="center"/>
          </w:tcPr>
          <w:p w14:paraId="0AF69D58">
            <w:pPr>
              <w:autoSpaceDE w:val="0"/>
              <w:autoSpaceDN w:val="0"/>
              <w:adjustRightInd w:val="0"/>
              <w:rPr>
                <w:rFonts w:ascii="宋体" w:hAnsi="宋体" w:cs="宋体"/>
                <w:color w:val="auto"/>
                <w:szCs w:val="21"/>
                <w:highlight w:val="none"/>
              </w:rPr>
            </w:pPr>
          </w:p>
        </w:tc>
        <w:tc>
          <w:tcPr>
            <w:tcW w:w="720" w:type="dxa"/>
            <w:tcBorders>
              <w:top w:val="single" w:color="auto" w:sz="12" w:space="0"/>
              <w:left w:val="single" w:color="auto" w:sz="6" w:space="0"/>
              <w:bottom w:val="single" w:color="auto" w:sz="6" w:space="0"/>
              <w:right w:val="single" w:color="auto" w:sz="6" w:space="0"/>
            </w:tcBorders>
            <w:vAlign w:val="center"/>
          </w:tcPr>
          <w:p w14:paraId="6B6D3F68">
            <w:pPr>
              <w:autoSpaceDE w:val="0"/>
              <w:autoSpaceDN w:val="0"/>
              <w:adjustRightInd w:val="0"/>
              <w:rPr>
                <w:rFonts w:ascii="宋体" w:hAnsi="宋体" w:cs="宋体"/>
                <w:color w:val="auto"/>
                <w:szCs w:val="21"/>
                <w:highlight w:val="none"/>
              </w:rPr>
            </w:pPr>
          </w:p>
        </w:tc>
        <w:tc>
          <w:tcPr>
            <w:tcW w:w="720" w:type="dxa"/>
            <w:tcBorders>
              <w:top w:val="single" w:color="auto" w:sz="12" w:space="0"/>
              <w:left w:val="single" w:color="auto" w:sz="6" w:space="0"/>
              <w:bottom w:val="single" w:color="auto" w:sz="6" w:space="0"/>
              <w:right w:val="single" w:color="auto" w:sz="6" w:space="0"/>
            </w:tcBorders>
            <w:vAlign w:val="center"/>
          </w:tcPr>
          <w:p w14:paraId="44E16E75">
            <w:pPr>
              <w:autoSpaceDE w:val="0"/>
              <w:autoSpaceDN w:val="0"/>
              <w:adjustRightInd w:val="0"/>
              <w:rPr>
                <w:rFonts w:ascii="宋体" w:hAnsi="宋体" w:cs="宋体"/>
                <w:color w:val="auto"/>
                <w:szCs w:val="21"/>
                <w:highlight w:val="none"/>
              </w:rPr>
            </w:pPr>
          </w:p>
        </w:tc>
        <w:tc>
          <w:tcPr>
            <w:tcW w:w="1344" w:type="dxa"/>
            <w:tcBorders>
              <w:top w:val="single" w:color="auto" w:sz="12" w:space="0"/>
              <w:left w:val="single" w:color="auto" w:sz="6" w:space="0"/>
              <w:bottom w:val="single" w:color="auto" w:sz="6" w:space="0"/>
              <w:right w:val="single" w:color="auto" w:sz="6" w:space="0"/>
            </w:tcBorders>
            <w:vAlign w:val="center"/>
          </w:tcPr>
          <w:p w14:paraId="22308EFA">
            <w:pPr>
              <w:autoSpaceDE w:val="0"/>
              <w:autoSpaceDN w:val="0"/>
              <w:adjustRightInd w:val="0"/>
              <w:ind w:left="5250"/>
              <w:rPr>
                <w:rFonts w:ascii="宋体" w:hAnsi="宋体" w:cs="宋体"/>
                <w:color w:val="auto"/>
                <w:szCs w:val="21"/>
                <w:highlight w:val="none"/>
              </w:rPr>
            </w:pPr>
          </w:p>
        </w:tc>
        <w:tc>
          <w:tcPr>
            <w:tcW w:w="1134" w:type="dxa"/>
            <w:tcBorders>
              <w:top w:val="single" w:color="auto" w:sz="12" w:space="0"/>
              <w:left w:val="single" w:color="auto" w:sz="6" w:space="0"/>
              <w:bottom w:val="single" w:color="auto" w:sz="6" w:space="0"/>
              <w:right w:val="single" w:color="auto" w:sz="12" w:space="0"/>
            </w:tcBorders>
            <w:vAlign w:val="center"/>
          </w:tcPr>
          <w:p w14:paraId="682AB4E2">
            <w:pPr>
              <w:autoSpaceDE w:val="0"/>
              <w:autoSpaceDN w:val="0"/>
              <w:adjustRightInd w:val="0"/>
              <w:rPr>
                <w:rFonts w:ascii="宋体" w:hAnsi="宋体" w:cs="宋体"/>
                <w:color w:val="auto"/>
                <w:szCs w:val="21"/>
                <w:highlight w:val="none"/>
              </w:rPr>
            </w:pPr>
          </w:p>
        </w:tc>
      </w:tr>
      <w:tr w14:paraId="1767E5A3">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26FF2E78">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5A8DC93D">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0EF2B9A2">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77E66725">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7AA643C">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11A9ACB">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72AD0A24">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73011000">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633A2250">
            <w:pPr>
              <w:autoSpaceDE w:val="0"/>
              <w:autoSpaceDN w:val="0"/>
              <w:adjustRightInd w:val="0"/>
              <w:ind w:left="5250"/>
              <w:rPr>
                <w:rFonts w:ascii="宋体" w:hAnsi="宋体" w:cs="宋体"/>
                <w:color w:val="auto"/>
                <w:szCs w:val="21"/>
                <w:highlight w:val="none"/>
              </w:rPr>
            </w:pPr>
          </w:p>
        </w:tc>
      </w:tr>
      <w:tr w14:paraId="57737AB5">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69A40C43">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2B8039F0">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78064970">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7651ED7A">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65D33D23">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62C213CC">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0E9A456">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62C87E0B">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371F4184">
            <w:pPr>
              <w:autoSpaceDE w:val="0"/>
              <w:autoSpaceDN w:val="0"/>
              <w:adjustRightInd w:val="0"/>
              <w:rPr>
                <w:rFonts w:ascii="宋体" w:hAnsi="宋体" w:cs="宋体"/>
                <w:color w:val="auto"/>
                <w:szCs w:val="21"/>
                <w:highlight w:val="none"/>
              </w:rPr>
            </w:pPr>
          </w:p>
        </w:tc>
      </w:tr>
      <w:tr w14:paraId="66235215">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7B4C4082">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775C5DA3">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56224673">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0B8BD70B">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733A1AD">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BE29E00">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4063B967">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1A799E55">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785457C0">
            <w:pPr>
              <w:autoSpaceDE w:val="0"/>
              <w:autoSpaceDN w:val="0"/>
              <w:adjustRightInd w:val="0"/>
              <w:rPr>
                <w:rFonts w:ascii="宋体" w:hAnsi="宋体" w:cs="宋体"/>
                <w:color w:val="auto"/>
                <w:szCs w:val="21"/>
                <w:highlight w:val="none"/>
              </w:rPr>
            </w:pPr>
          </w:p>
        </w:tc>
      </w:tr>
      <w:tr w14:paraId="3C9B8D8D">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427D4D43">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690F5312">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398C694F">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68C98DEE">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7C4D7D7F">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714B3739">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2B678A8C">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73BAC6FC">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60C84DE6">
            <w:pPr>
              <w:autoSpaceDE w:val="0"/>
              <w:autoSpaceDN w:val="0"/>
              <w:adjustRightInd w:val="0"/>
              <w:rPr>
                <w:rFonts w:ascii="宋体" w:hAnsi="宋体" w:cs="宋体"/>
                <w:color w:val="auto"/>
                <w:szCs w:val="21"/>
                <w:highlight w:val="none"/>
              </w:rPr>
            </w:pPr>
          </w:p>
        </w:tc>
      </w:tr>
      <w:tr w14:paraId="0CDCF196">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57B2C7A6">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1DB116CE">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7A2B4578">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774A808E">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5EF9B22A">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36297D55">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50A68FFE">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6C267EE7">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6D44802C">
            <w:pPr>
              <w:autoSpaceDE w:val="0"/>
              <w:autoSpaceDN w:val="0"/>
              <w:adjustRightInd w:val="0"/>
              <w:rPr>
                <w:rFonts w:ascii="宋体" w:hAnsi="宋体" w:cs="宋体"/>
                <w:color w:val="auto"/>
                <w:szCs w:val="21"/>
                <w:highlight w:val="none"/>
              </w:rPr>
            </w:pPr>
          </w:p>
        </w:tc>
      </w:tr>
      <w:tr w14:paraId="3D5D9FF4">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1DDB1E6C">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2990115F">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48AA7FB6">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0A4EC811">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20F58441">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6EB52E10">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7B8F6461">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61335F5B">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5931589A">
            <w:pPr>
              <w:autoSpaceDE w:val="0"/>
              <w:autoSpaceDN w:val="0"/>
              <w:adjustRightInd w:val="0"/>
              <w:rPr>
                <w:rFonts w:ascii="宋体" w:hAnsi="宋体" w:cs="宋体"/>
                <w:color w:val="auto"/>
                <w:szCs w:val="21"/>
                <w:highlight w:val="none"/>
              </w:rPr>
            </w:pPr>
          </w:p>
        </w:tc>
      </w:tr>
      <w:tr w14:paraId="466442B0">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39199AC5">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02847B01">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3D0B211A">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1A830606">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7C741290">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47610F5F">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74F58048">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432E9110">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2E7DA7E2">
            <w:pPr>
              <w:autoSpaceDE w:val="0"/>
              <w:autoSpaceDN w:val="0"/>
              <w:adjustRightInd w:val="0"/>
              <w:rPr>
                <w:rFonts w:ascii="宋体" w:hAnsi="宋体" w:cs="宋体"/>
                <w:color w:val="auto"/>
                <w:szCs w:val="21"/>
                <w:highlight w:val="none"/>
              </w:rPr>
            </w:pPr>
          </w:p>
        </w:tc>
      </w:tr>
      <w:tr w14:paraId="67CBA793">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2EA97DA9">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65AC74E0">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5C6534F9">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37BC2409">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4A74C97F">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76036966">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68CA8356">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4B4AD7CF">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7C7BED52">
            <w:pPr>
              <w:autoSpaceDE w:val="0"/>
              <w:autoSpaceDN w:val="0"/>
              <w:adjustRightInd w:val="0"/>
              <w:rPr>
                <w:rFonts w:ascii="宋体" w:hAnsi="宋体" w:cs="宋体"/>
                <w:color w:val="auto"/>
                <w:szCs w:val="21"/>
                <w:highlight w:val="none"/>
              </w:rPr>
            </w:pPr>
          </w:p>
        </w:tc>
      </w:tr>
      <w:tr w14:paraId="61955471">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55C378DA">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0336130F">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70FF3B7A">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64680B9D">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0AFB71F8">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52CA58B0">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0BB5C76D">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6EA716CC">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3C2DA41A">
            <w:pPr>
              <w:autoSpaceDE w:val="0"/>
              <w:autoSpaceDN w:val="0"/>
              <w:adjustRightInd w:val="0"/>
              <w:rPr>
                <w:rFonts w:ascii="宋体" w:hAnsi="宋体" w:cs="宋体"/>
                <w:color w:val="auto"/>
                <w:szCs w:val="21"/>
                <w:highlight w:val="none"/>
              </w:rPr>
            </w:pPr>
          </w:p>
        </w:tc>
      </w:tr>
      <w:tr w14:paraId="447FE665">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35C98FCA">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09AB8664">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2D624937">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1D5ED409">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6DE304E8">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563FADD3">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EA53B95">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59D2EE60">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5F788617">
            <w:pPr>
              <w:autoSpaceDE w:val="0"/>
              <w:autoSpaceDN w:val="0"/>
              <w:adjustRightInd w:val="0"/>
              <w:rPr>
                <w:rFonts w:ascii="宋体" w:hAnsi="宋体" w:cs="宋体"/>
                <w:color w:val="auto"/>
                <w:szCs w:val="21"/>
                <w:highlight w:val="none"/>
              </w:rPr>
            </w:pPr>
          </w:p>
        </w:tc>
      </w:tr>
      <w:tr w14:paraId="6105FE89">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603DF5A0">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1BB6BA44">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425E346D">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5E32447B">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7EB2E43">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BDE963E">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46E6E308">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1EF7CCD9">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37F94275">
            <w:pPr>
              <w:autoSpaceDE w:val="0"/>
              <w:autoSpaceDN w:val="0"/>
              <w:adjustRightInd w:val="0"/>
              <w:rPr>
                <w:rFonts w:ascii="宋体" w:hAnsi="宋体" w:cs="宋体"/>
                <w:color w:val="auto"/>
                <w:szCs w:val="21"/>
                <w:highlight w:val="none"/>
              </w:rPr>
            </w:pPr>
          </w:p>
        </w:tc>
      </w:tr>
      <w:tr w14:paraId="794B85E9">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4DEEA65E">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186D4DDF">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53B8D298">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5A108A7A">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706187A2">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366743B4">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337A749B">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50B9172C">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1EB1D6D9">
            <w:pPr>
              <w:autoSpaceDE w:val="0"/>
              <w:autoSpaceDN w:val="0"/>
              <w:adjustRightInd w:val="0"/>
              <w:rPr>
                <w:rFonts w:ascii="宋体" w:hAnsi="宋体" w:cs="宋体"/>
                <w:color w:val="auto"/>
                <w:szCs w:val="21"/>
                <w:highlight w:val="none"/>
              </w:rPr>
            </w:pPr>
          </w:p>
        </w:tc>
      </w:tr>
      <w:tr w14:paraId="315F280B">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2DAC1431">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671D9054">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57C0F5CB">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7EC1690B">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A97192D">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6CE1D9AB">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386D0AFD">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6AECDCBF">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49059E08">
            <w:pPr>
              <w:autoSpaceDE w:val="0"/>
              <w:autoSpaceDN w:val="0"/>
              <w:adjustRightInd w:val="0"/>
              <w:rPr>
                <w:rFonts w:ascii="宋体" w:hAnsi="宋体" w:cs="宋体"/>
                <w:color w:val="auto"/>
                <w:szCs w:val="21"/>
                <w:highlight w:val="none"/>
              </w:rPr>
            </w:pPr>
          </w:p>
        </w:tc>
      </w:tr>
      <w:tr w14:paraId="65E70D80">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6" w:space="0"/>
              <w:right w:val="single" w:color="auto" w:sz="6" w:space="0"/>
            </w:tcBorders>
            <w:vAlign w:val="center"/>
          </w:tcPr>
          <w:p w14:paraId="18AEC8FD">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6" w:space="0"/>
              <w:right w:val="single" w:color="auto" w:sz="6" w:space="0"/>
            </w:tcBorders>
          </w:tcPr>
          <w:p w14:paraId="0C62B541">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1E254B3C">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6" w:space="0"/>
              <w:right w:val="single" w:color="auto" w:sz="6" w:space="0"/>
            </w:tcBorders>
            <w:vAlign w:val="center"/>
          </w:tcPr>
          <w:p w14:paraId="3FD7F321">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137C7DEC">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60DBC712">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14:paraId="30A81258">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6" w:space="0"/>
              <w:right w:val="single" w:color="auto" w:sz="6" w:space="0"/>
            </w:tcBorders>
            <w:vAlign w:val="center"/>
          </w:tcPr>
          <w:p w14:paraId="03E978DA">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6" w:space="0"/>
              <w:right w:val="single" w:color="auto" w:sz="12" w:space="0"/>
            </w:tcBorders>
            <w:vAlign w:val="center"/>
          </w:tcPr>
          <w:p w14:paraId="26B0CDCC">
            <w:pPr>
              <w:autoSpaceDE w:val="0"/>
              <w:autoSpaceDN w:val="0"/>
              <w:adjustRightInd w:val="0"/>
              <w:rPr>
                <w:rFonts w:ascii="宋体" w:hAnsi="宋体" w:cs="宋体"/>
                <w:color w:val="auto"/>
                <w:szCs w:val="21"/>
                <w:highlight w:val="none"/>
              </w:rPr>
            </w:pPr>
          </w:p>
        </w:tc>
      </w:tr>
      <w:tr w14:paraId="0FE50091">
        <w:tblPrEx>
          <w:tblCellMar>
            <w:top w:w="0" w:type="dxa"/>
            <w:left w:w="108" w:type="dxa"/>
            <w:bottom w:w="0" w:type="dxa"/>
            <w:right w:w="108" w:type="dxa"/>
          </w:tblCellMar>
        </w:tblPrEx>
        <w:trPr>
          <w:trHeight w:val="408" w:hRule="atLeast"/>
        </w:trPr>
        <w:tc>
          <w:tcPr>
            <w:tcW w:w="828" w:type="dxa"/>
            <w:tcBorders>
              <w:top w:val="single" w:color="auto" w:sz="6" w:space="0"/>
              <w:left w:val="single" w:color="auto" w:sz="12" w:space="0"/>
              <w:bottom w:val="single" w:color="auto" w:sz="12" w:space="0"/>
              <w:right w:val="single" w:color="auto" w:sz="6" w:space="0"/>
            </w:tcBorders>
            <w:vAlign w:val="center"/>
          </w:tcPr>
          <w:p w14:paraId="4E9196F9">
            <w:pPr>
              <w:autoSpaceDE w:val="0"/>
              <w:autoSpaceDN w:val="0"/>
              <w:adjustRightInd w:val="0"/>
              <w:rPr>
                <w:rFonts w:ascii="宋体" w:hAnsi="宋体" w:cs="宋体"/>
                <w:color w:val="auto"/>
                <w:szCs w:val="21"/>
                <w:highlight w:val="none"/>
              </w:rPr>
            </w:pPr>
          </w:p>
        </w:tc>
        <w:tc>
          <w:tcPr>
            <w:tcW w:w="1015" w:type="dxa"/>
            <w:tcBorders>
              <w:top w:val="single" w:color="auto" w:sz="6" w:space="0"/>
              <w:left w:val="single" w:color="auto" w:sz="6" w:space="0"/>
              <w:bottom w:val="single" w:color="auto" w:sz="12" w:space="0"/>
              <w:right w:val="single" w:color="auto" w:sz="6" w:space="0"/>
            </w:tcBorders>
          </w:tcPr>
          <w:p w14:paraId="13648303">
            <w:pPr>
              <w:autoSpaceDE w:val="0"/>
              <w:autoSpaceDN w:val="0"/>
              <w:adjustRightInd w:val="0"/>
              <w:rPr>
                <w:rFonts w:ascii="宋体" w:hAnsi="宋体" w:cs="宋体"/>
                <w:color w:val="auto"/>
                <w:szCs w:val="21"/>
                <w:highlight w:val="none"/>
              </w:rPr>
            </w:pPr>
          </w:p>
        </w:tc>
        <w:tc>
          <w:tcPr>
            <w:tcW w:w="1701" w:type="dxa"/>
            <w:tcBorders>
              <w:top w:val="single" w:color="auto" w:sz="6" w:space="0"/>
              <w:left w:val="single" w:color="auto" w:sz="6" w:space="0"/>
              <w:bottom w:val="single" w:color="auto" w:sz="12" w:space="0"/>
              <w:right w:val="single" w:color="auto" w:sz="6" w:space="0"/>
            </w:tcBorders>
            <w:vAlign w:val="center"/>
          </w:tcPr>
          <w:p w14:paraId="0F05E3FE">
            <w:pPr>
              <w:autoSpaceDE w:val="0"/>
              <w:autoSpaceDN w:val="0"/>
              <w:adjustRightInd w:val="0"/>
              <w:rPr>
                <w:rFonts w:ascii="宋体" w:hAnsi="宋体" w:cs="宋体"/>
                <w:color w:val="auto"/>
                <w:szCs w:val="21"/>
                <w:highlight w:val="none"/>
              </w:rPr>
            </w:pPr>
          </w:p>
        </w:tc>
        <w:tc>
          <w:tcPr>
            <w:tcW w:w="749" w:type="dxa"/>
            <w:tcBorders>
              <w:top w:val="single" w:color="auto" w:sz="6" w:space="0"/>
              <w:left w:val="single" w:color="auto" w:sz="6" w:space="0"/>
              <w:bottom w:val="single" w:color="auto" w:sz="12" w:space="0"/>
              <w:right w:val="single" w:color="auto" w:sz="6" w:space="0"/>
            </w:tcBorders>
            <w:vAlign w:val="center"/>
          </w:tcPr>
          <w:p w14:paraId="7F1B0D73">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12" w:space="0"/>
              <w:right w:val="single" w:color="auto" w:sz="6" w:space="0"/>
            </w:tcBorders>
            <w:vAlign w:val="center"/>
          </w:tcPr>
          <w:p w14:paraId="7DF24588">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12" w:space="0"/>
              <w:right w:val="single" w:color="auto" w:sz="6" w:space="0"/>
            </w:tcBorders>
            <w:vAlign w:val="center"/>
          </w:tcPr>
          <w:p w14:paraId="5ABB6F5A">
            <w:pPr>
              <w:autoSpaceDE w:val="0"/>
              <w:autoSpaceDN w:val="0"/>
              <w:adjustRightInd w:val="0"/>
              <w:rPr>
                <w:rFonts w:ascii="宋体" w:hAnsi="宋体" w:cs="宋体"/>
                <w:color w:val="auto"/>
                <w:szCs w:val="21"/>
                <w:highlight w:val="none"/>
              </w:rPr>
            </w:pPr>
          </w:p>
        </w:tc>
        <w:tc>
          <w:tcPr>
            <w:tcW w:w="720" w:type="dxa"/>
            <w:tcBorders>
              <w:top w:val="single" w:color="auto" w:sz="6" w:space="0"/>
              <w:left w:val="single" w:color="auto" w:sz="6" w:space="0"/>
              <w:bottom w:val="single" w:color="auto" w:sz="12" w:space="0"/>
              <w:right w:val="single" w:color="auto" w:sz="6" w:space="0"/>
            </w:tcBorders>
            <w:vAlign w:val="center"/>
          </w:tcPr>
          <w:p w14:paraId="35CF2F1B">
            <w:pPr>
              <w:autoSpaceDE w:val="0"/>
              <w:autoSpaceDN w:val="0"/>
              <w:adjustRightInd w:val="0"/>
              <w:rPr>
                <w:rFonts w:ascii="宋体" w:hAnsi="宋体" w:cs="宋体"/>
                <w:color w:val="auto"/>
                <w:szCs w:val="21"/>
                <w:highlight w:val="none"/>
              </w:rPr>
            </w:pPr>
          </w:p>
        </w:tc>
        <w:tc>
          <w:tcPr>
            <w:tcW w:w="1344" w:type="dxa"/>
            <w:tcBorders>
              <w:top w:val="single" w:color="auto" w:sz="6" w:space="0"/>
              <w:left w:val="single" w:color="auto" w:sz="6" w:space="0"/>
              <w:bottom w:val="single" w:color="auto" w:sz="12" w:space="0"/>
              <w:right w:val="single" w:color="auto" w:sz="6" w:space="0"/>
            </w:tcBorders>
            <w:vAlign w:val="center"/>
          </w:tcPr>
          <w:p w14:paraId="7088CEA4">
            <w:pPr>
              <w:autoSpaceDE w:val="0"/>
              <w:autoSpaceDN w:val="0"/>
              <w:adjustRightInd w:val="0"/>
              <w:rPr>
                <w:rFonts w:ascii="宋体" w:hAnsi="宋体" w:cs="宋体"/>
                <w:color w:val="auto"/>
                <w:szCs w:val="21"/>
                <w:highlight w:val="none"/>
              </w:rPr>
            </w:pPr>
          </w:p>
        </w:tc>
        <w:tc>
          <w:tcPr>
            <w:tcW w:w="1134" w:type="dxa"/>
            <w:tcBorders>
              <w:top w:val="single" w:color="auto" w:sz="6" w:space="0"/>
              <w:left w:val="single" w:color="auto" w:sz="6" w:space="0"/>
              <w:bottom w:val="single" w:color="auto" w:sz="12" w:space="0"/>
              <w:right w:val="single" w:color="auto" w:sz="12" w:space="0"/>
            </w:tcBorders>
            <w:vAlign w:val="center"/>
          </w:tcPr>
          <w:p w14:paraId="50C2192A">
            <w:pPr>
              <w:autoSpaceDE w:val="0"/>
              <w:autoSpaceDN w:val="0"/>
              <w:adjustRightInd w:val="0"/>
              <w:rPr>
                <w:rFonts w:ascii="宋体" w:hAnsi="宋体" w:cs="宋体"/>
                <w:color w:val="auto"/>
                <w:szCs w:val="21"/>
                <w:highlight w:val="none"/>
              </w:rPr>
            </w:pPr>
          </w:p>
        </w:tc>
      </w:tr>
    </w:tbl>
    <w:p w14:paraId="0B399DA9">
      <w:pPr>
        <w:autoSpaceDE w:val="0"/>
        <w:autoSpaceDN w:val="0"/>
        <w:adjustRightInd w:val="0"/>
        <w:snapToGrid w:val="0"/>
        <w:spacing w:line="360" w:lineRule="auto"/>
        <w:rPr>
          <w:rFonts w:ascii="宋体" w:hAnsi="宋体"/>
          <w:b/>
          <w:color w:val="auto"/>
          <w:szCs w:val="21"/>
          <w:highlight w:val="none"/>
        </w:rPr>
      </w:pPr>
      <w:r>
        <w:rPr>
          <w:rFonts w:hint="eastAsia" w:ascii="宋体" w:hAnsi="宋体" w:cs="宋体"/>
          <w:b/>
          <w:snapToGrid w:val="0"/>
          <w:color w:val="auto"/>
          <w:kern w:val="0"/>
          <w:szCs w:val="21"/>
          <w:highlight w:val="none"/>
        </w:rPr>
        <w:t>注：涉及评分项的其它证明材料附后。</w:t>
      </w:r>
      <w:r>
        <w:rPr>
          <w:rFonts w:hint="eastAsia" w:ascii="宋体" w:hAnsi="宋体"/>
          <w:b/>
          <w:color w:val="auto"/>
          <w:szCs w:val="21"/>
          <w:highlight w:val="none"/>
        </w:rPr>
        <w:t>如以联合体形式投标，联合体各方均应分别填写此表。</w:t>
      </w:r>
    </w:p>
    <w:p w14:paraId="6803AC83">
      <w:pPr>
        <w:snapToGrid w:val="0"/>
        <w:spacing w:line="360" w:lineRule="auto"/>
        <w:rPr>
          <w:rFonts w:ascii="宋体" w:hAnsi="宋体" w:cs="宋体"/>
          <w:b/>
          <w:snapToGrid w:val="0"/>
          <w:color w:val="auto"/>
          <w:kern w:val="0"/>
          <w:szCs w:val="21"/>
          <w:highlight w:val="none"/>
        </w:rPr>
      </w:pPr>
    </w:p>
    <w:p w14:paraId="754FEAA2">
      <w:pPr>
        <w:adjustRightInd w:val="0"/>
        <w:snapToGrid w:val="0"/>
        <w:spacing w:line="360" w:lineRule="auto"/>
        <w:ind w:firstLine="4158" w:firstLineChars="1980"/>
        <w:rPr>
          <w:rFonts w:ascii="宋体" w:hAnsi="宋体" w:cs="宋体"/>
          <w:snapToGrid w:val="0"/>
          <w:color w:val="auto"/>
          <w:kern w:val="0"/>
          <w:szCs w:val="21"/>
          <w:highlight w:val="none"/>
        </w:rPr>
      </w:pPr>
    </w:p>
    <w:p w14:paraId="244B4A1C">
      <w:pPr>
        <w:adjustRightInd w:val="0"/>
        <w:snapToGrid w:val="0"/>
        <w:spacing w:line="360" w:lineRule="auto"/>
        <w:ind w:firstLine="4158" w:firstLineChars="1980"/>
        <w:rPr>
          <w:rFonts w:ascii="宋体" w:hAnsi="宋体" w:cs="宋体"/>
          <w:snapToGrid w:val="0"/>
          <w:color w:val="auto"/>
          <w:kern w:val="0"/>
          <w:szCs w:val="21"/>
          <w:highlight w:val="none"/>
        </w:rPr>
      </w:pPr>
    </w:p>
    <w:p w14:paraId="40F379EA">
      <w:pPr>
        <w:adjustRightInd w:val="0"/>
        <w:snapToGrid w:val="0"/>
        <w:spacing w:line="360" w:lineRule="auto"/>
        <w:ind w:firstLine="4158" w:firstLineChars="198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投标人(盖公章)</w:t>
      </w:r>
    </w:p>
    <w:p w14:paraId="1A476627">
      <w:pPr>
        <w:adjustRightInd w:val="0"/>
        <w:snapToGrid w:val="0"/>
        <w:spacing w:line="360" w:lineRule="auto"/>
        <w:ind w:firstLine="4158" w:firstLineChars="198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法定代表人或授权代表(签字或盖章)</w:t>
      </w:r>
    </w:p>
    <w:p w14:paraId="5F7FC5B9">
      <w:pPr>
        <w:snapToGrid w:val="0"/>
        <w:spacing w:line="360" w:lineRule="auto"/>
        <w:ind w:firstLine="4200" w:firstLineChars="20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日期：</w:t>
      </w:r>
    </w:p>
    <w:p w14:paraId="4E7BA046">
      <w:pPr>
        <w:adjustRightInd w:val="0"/>
        <w:snapToGrid w:val="0"/>
        <w:spacing w:line="360" w:lineRule="auto"/>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br w:type="page"/>
      </w:r>
    </w:p>
    <w:p w14:paraId="4CC2E09C">
      <w:pPr>
        <w:pStyle w:val="24"/>
        <w:snapToGrid w:val="0"/>
        <w:spacing w:line="360" w:lineRule="auto"/>
        <w:jc w:val="center"/>
        <w:rPr>
          <w:rFonts w:ascii="宋体" w:hAnsi="宋体" w:eastAsia="宋体" w:cs="宋体"/>
          <w:b/>
          <w:snapToGrid w:val="0"/>
          <w:color w:val="auto"/>
          <w:kern w:val="0"/>
          <w:sz w:val="28"/>
          <w:szCs w:val="28"/>
          <w:highlight w:val="none"/>
        </w:rPr>
      </w:pPr>
      <w:r>
        <w:rPr>
          <w:rFonts w:hint="eastAsia" w:ascii="宋体" w:hAnsi="宋体" w:eastAsia="宋体" w:cs="宋体"/>
          <w:b/>
          <w:snapToGrid w:val="0"/>
          <w:color w:val="auto"/>
          <w:kern w:val="0"/>
          <w:sz w:val="28"/>
          <w:szCs w:val="28"/>
          <w:highlight w:val="none"/>
        </w:rPr>
        <w:t>（2）项目负责人简历表</w:t>
      </w:r>
    </w:p>
    <w:tbl>
      <w:tblPr>
        <w:tblStyle w:val="43"/>
        <w:tblW w:w="8640" w:type="dxa"/>
        <w:tblInd w:w="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468"/>
        <w:gridCol w:w="6"/>
        <w:gridCol w:w="1389"/>
        <w:gridCol w:w="1155"/>
        <w:gridCol w:w="1050"/>
        <w:gridCol w:w="210"/>
        <w:gridCol w:w="1830"/>
        <w:gridCol w:w="262"/>
        <w:gridCol w:w="1270"/>
      </w:tblGrid>
      <w:tr w14:paraId="56D87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6" w:hRule="atLeast"/>
        </w:trPr>
        <w:tc>
          <w:tcPr>
            <w:tcW w:w="1474" w:type="dxa"/>
            <w:gridSpan w:val="2"/>
            <w:vAlign w:val="center"/>
          </w:tcPr>
          <w:p w14:paraId="1204C642">
            <w:pPr>
              <w:snapToGrid w:val="0"/>
              <w:spacing w:line="320" w:lineRule="atLeast"/>
              <w:jc w:val="center"/>
              <w:rPr>
                <w:rFonts w:ascii="宋体" w:hAnsi="宋体" w:cs="宋体"/>
                <w:color w:val="auto"/>
                <w:highlight w:val="none"/>
              </w:rPr>
            </w:pPr>
            <w:r>
              <w:rPr>
                <w:rFonts w:hint="eastAsia" w:ascii="宋体" w:hAnsi="宋体" w:cs="宋体"/>
                <w:color w:val="auto"/>
                <w:highlight w:val="none"/>
              </w:rPr>
              <w:t>姓   名</w:t>
            </w:r>
          </w:p>
        </w:tc>
        <w:tc>
          <w:tcPr>
            <w:tcW w:w="1389" w:type="dxa"/>
            <w:vAlign w:val="center"/>
          </w:tcPr>
          <w:p w14:paraId="19402BF9">
            <w:pPr>
              <w:snapToGrid w:val="0"/>
              <w:spacing w:line="320" w:lineRule="atLeast"/>
              <w:jc w:val="center"/>
              <w:rPr>
                <w:rFonts w:ascii="宋体" w:hAnsi="宋体" w:cs="宋体"/>
                <w:color w:val="auto"/>
                <w:highlight w:val="none"/>
              </w:rPr>
            </w:pPr>
          </w:p>
        </w:tc>
        <w:tc>
          <w:tcPr>
            <w:tcW w:w="1155" w:type="dxa"/>
            <w:vAlign w:val="center"/>
          </w:tcPr>
          <w:p w14:paraId="0130A595">
            <w:pPr>
              <w:snapToGrid w:val="0"/>
              <w:spacing w:line="320" w:lineRule="atLeast"/>
              <w:jc w:val="center"/>
              <w:rPr>
                <w:rFonts w:ascii="宋体" w:hAnsi="宋体" w:cs="宋体"/>
                <w:color w:val="auto"/>
                <w:highlight w:val="none"/>
              </w:rPr>
            </w:pPr>
            <w:r>
              <w:rPr>
                <w:rFonts w:hint="eastAsia" w:ascii="宋体" w:hAnsi="宋体" w:cs="宋体"/>
                <w:color w:val="auto"/>
                <w:highlight w:val="none"/>
              </w:rPr>
              <w:t>年   龄</w:t>
            </w:r>
          </w:p>
        </w:tc>
        <w:tc>
          <w:tcPr>
            <w:tcW w:w="1260" w:type="dxa"/>
            <w:gridSpan w:val="2"/>
            <w:vAlign w:val="center"/>
          </w:tcPr>
          <w:p w14:paraId="3B08C232">
            <w:pPr>
              <w:snapToGrid w:val="0"/>
              <w:spacing w:line="320" w:lineRule="atLeast"/>
              <w:jc w:val="center"/>
              <w:rPr>
                <w:rFonts w:ascii="宋体" w:hAnsi="宋体" w:cs="宋体"/>
                <w:color w:val="auto"/>
                <w:highlight w:val="none"/>
              </w:rPr>
            </w:pPr>
          </w:p>
        </w:tc>
        <w:tc>
          <w:tcPr>
            <w:tcW w:w="2092" w:type="dxa"/>
            <w:gridSpan w:val="2"/>
            <w:vAlign w:val="center"/>
          </w:tcPr>
          <w:p w14:paraId="6E560354">
            <w:pPr>
              <w:snapToGrid w:val="0"/>
              <w:spacing w:line="320" w:lineRule="atLeast"/>
              <w:jc w:val="center"/>
              <w:rPr>
                <w:rFonts w:ascii="宋体" w:hAnsi="宋体" w:cs="宋体"/>
                <w:color w:val="auto"/>
                <w:highlight w:val="none"/>
              </w:rPr>
            </w:pPr>
            <w:r>
              <w:rPr>
                <w:rFonts w:hint="eastAsia" w:ascii="宋体" w:hAnsi="宋体" w:cs="宋体"/>
                <w:color w:val="auto"/>
                <w:highlight w:val="none"/>
              </w:rPr>
              <w:t>专   业</w:t>
            </w:r>
          </w:p>
        </w:tc>
        <w:tc>
          <w:tcPr>
            <w:tcW w:w="1270" w:type="dxa"/>
            <w:vAlign w:val="center"/>
          </w:tcPr>
          <w:p w14:paraId="1610A3A8">
            <w:pPr>
              <w:snapToGrid w:val="0"/>
              <w:spacing w:line="320" w:lineRule="atLeast"/>
              <w:jc w:val="center"/>
              <w:rPr>
                <w:rFonts w:ascii="宋体" w:hAnsi="宋体" w:cs="宋体"/>
                <w:color w:val="auto"/>
                <w:highlight w:val="none"/>
              </w:rPr>
            </w:pPr>
          </w:p>
        </w:tc>
      </w:tr>
      <w:tr w14:paraId="378FF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1474" w:type="dxa"/>
            <w:gridSpan w:val="2"/>
            <w:vAlign w:val="center"/>
          </w:tcPr>
          <w:p w14:paraId="3BA495C1">
            <w:pPr>
              <w:snapToGrid w:val="0"/>
              <w:spacing w:line="320" w:lineRule="atLeast"/>
              <w:jc w:val="center"/>
              <w:rPr>
                <w:rFonts w:ascii="宋体" w:hAnsi="宋体" w:cs="宋体"/>
                <w:color w:val="auto"/>
                <w:highlight w:val="none"/>
              </w:rPr>
            </w:pPr>
            <w:r>
              <w:rPr>
                <w:rFonts w:hint="eastAsia" w:ascii="宋体" w:hAnsi="宋体" w:cs="宋体"/>
                <w:color w:val="auto"/>
                <w:highlight w:val="none"/>
              </w:rPr>
              <w:t>职   称</w:t>
            </w:r>
          </w:p>
        </w:tc>
        <w:tc>
          <w:tcPr>
            <w:tcW w:w="1389" w:type="dxa"/>
            <w:vAlign w:val="center"/>
          </w:tcPr>
          <w:p w14:paraId="61E92E87">
            <w:pPr>
              <w:snapToGrid w:val="0"/>
              <w:spacing w:line="320" w:lineRule="atLeast"/>
              <w:jc w:val="center"/>
              <w:rPr>
                <w:rFonts w:ascii="宋体" w:hAnsi="宋体" w:cs="宋体"/>
                <w:color w:val="auto"/>
                <w:highlight w:val="none"/>
              </w:rPr>
            </w:pPr>
          </w:p>
        </w:tc>
        <w:tc>
          <w:tcPr>
            <w:tcW w:w="1155" w:type="dxa"/>
            <w:vAlign w:val="center"/>
          </w:tcPr>
          <w:p w14:paraId="03AA218F">
            <w:pPr>
              <w:snapToGrid w:val="0"/>
              <w:spacing w:line="320" w:lineRule="atLeast"/>
              <w:jc w:val="center"/>
              <w:rPr>
                <w:rFonts w:ascii="宋体" w:hAnsi="宋体" w:cs="宋体"/>
                <w:color w:val="auto"/>
                <w:highlight w:val="none"/>
              </w:rPr>
            </w:pPr>
            <w:r>
              <w:rPr>
                <w:rFonts w:hint="eastAsia" w:ascii="宋体" w:hAnsi="宋体" w:cs="宋体"/>
                <w:color w:val="auto"/>
                <w:highlight w:val="none"/>
              </w:rPr>
              <w:t>职   务</w:t>
            </w:r>
          </w:p>
        </w:tc>
        <w:tc>
          <w:tcPr>
            <w:tcW w:w="1260" w:type="dxa"/>
            <w:gridSpan w:val="2"/>
            <w:vAlign w:val="center"/>
          </w:tcPr>
          <w:p w14:paraId="00E4E753">
            <w:pPr>
              <w:snapToGrid w:val="0"/>
              <w:spacing w:line="320" w:lineRule="atLeast"/>
              <w:jc w:val="center"/>
              <w:rPr>
                <w:rFonts w:ascii="宋体" w:hAnsi="宋体" w:cs="宋体"/>
                <w:color w:val="auto"/>
                <w:highlight w:val="none"/>
              </w:rPr>
            </w:pPr>
          </w:p>
        </w:tc>
        <w:tc>
          <w:tcPr>
            <w:tcW w:w="2092" w:type="dxa"/>
            <w:gridSpan w:val="2"/>
            <w:vAlign w:val="center"/>
          </w:tcPr>
          <w:p w14:paraId="3E224E58">
            <w:pPr>
              <w:snapToGrid w:val="0"/>
              <w:spacing w:line="320" w:lineRule="atLeast"/>
              <w:jc w:val="center"/>
              <w:rPr>
                <w:rFonts w:ascii="宋体" w:hAnsi="宋体" w:cs="宋体"/>
                <w:color w:val="auto"/>
                <w:highlight w:val="none"/>
              </w:rPr>
            </w:pPr>
            <w:r>
              <w:rPr>
                <w:rFonts w:hint="eastAsia" w:ascii="宋体" w:hAnsi="宋体" w:cs="宋体"/>
                <w:color w:val="auto"/>
                <w:highlight w:val="none"/>
              </w:rPr>
              <w:t>拟在本合同</w:t>
            </w:r>
          </w:p>
          <w:p w14:paraId="20874AB5">
            <w:pPr>
              <w:snapToGrid w:val="0"/>
              <w:spacing w:line="320" w:lineRule="atLeast"/>
              <w:jc w:val="center"/>
              <w:rPr>
                <w:rFonts w:ascii="宋体" w:hAnsi="宋体" w:cs="宋体"/>
                <w:color w:val="auto"/>
                <w:highlight w:val="none"/>
              </w:rPr>
            </w:pPr>
            <w:r>
              <w:rPr>
                <w:rFonts w:hint="eastAsia" w:ascii="宋体" w:hAnsi="宋体" w:cs="宋体"/>
                <w:color w:val="auto"/>
                <w:highlight w:val="none"/>
              </w:rPr>
              <w:t>项目担任职务</w:t>
            </w:r>
          </w:p>
        </w:tc>
        <w:tc>
          <w:tcPr>
            <w:tcW w:w="1270" w:type="dxa"/>
            <w:vAlign w:val="center"/>
          </w:tcPr>
          <w:p w14:paraId="5A221F7E">
            <w:pPr>
              <w:snapToGrid w:val="0"/>
              <w:spacing w:line="320" w:lineRule="atLeast"/>
              <w:jc w:val="center"/>
              <w:rPr>
                <w:rFonts w:ascii="宋体" w:hAnsi="宋体" w:cs="宋体"/>
                <w:color w:val="auto"/>
                <w:highlight w:val="none"/>
              </w:rPr>
            </w:pPr>
          </w:p>
        </w:tc>
      </w:tr>
      <w:tr w14:paraId="0D701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4" w:hRule="atLeast"/>
        </w:trPr>
        <w:tc>
          <w:tcPr>
            <w:tcW w:w="1474" w:type="dxa"/>
            <w:gridSpan w:val="2"/>
            <w:vAlign w:val="center"/>
          </w:tcPr>
          <w:p w14:paraId="4036878C">
            <w:pPr>
              <w:snapToGrid w:val="0"/>
              <w:spacing w:line="320" w:lineRule="atLeast"/>
              <w:jc w:val="center"/>
              <w:rPr>
                <w:rFonts w:ascii="宋体" w:hAnsi="宋体" w:cs="宋体"/>
                <w:color w:val="auto"/>
                <w:highlight w:val="none"/>
              </w:rPr>
            </w:pPr>
            <w:r>
              <w:rPr>
                <w:rFonts w:hint="eastAsia" w:ascii="宋体" w:hAnsi="宋体" w:cs="宋体"/>
                <w:color w:val="auto"/>
                <w:highlight w:val="none"/>
              </w:rPr>
              <w:t>毕业学校</w:t>
            </w:r>
          </w:p>
        </w:tc>
        <w:tc>
          <w:tcPr>
            <w:tcW w:w="7166" w:type="dxa"/>
            <w:gridSpan w:val="7"/>
            <w:vAlign w:val="center"/>
          </w:tcPr>
          <w:p w14:paraId="0B160305">
            <w:pPr>
              <w:snapToGrid w:val="0"/>
              <w:spacing w:line="320" w:lineRule="atLeast"/>
              <w:jc w:val="center"/>
              <w:rPr>
                <w:rFonts w:ascii="宋体" w:hAnsi="宋体" w:cs="宋体"/>
                <w:color w:val="auto"/>
                <w:highlight w:val="none"/>
              </w:rPr>
            </w:pPr>
            <w:r>
              <w:rPr>
                <w:rFonts w:hint="eastAsia" w:ascii="宋体" w:hAnsi="宋体" w:cs="宋体"/>
                <w:color w:val="auto"/>
                <w:highlight w:val="none"/>
              </w:rPr>
              <w:t>年月毕业于学校系(科)，学制年</w:t>
            </w:r>
          </w:p>
        </w:tc>
      </w:tr>
      <w:tr w14:paraId="27370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0" w:hRule="atLeast"/>
        </w:trPr>
        <w:tc>
          <w:tcPr>
            <w:tcW w:w="8640" w:type="dxa"/>
            <w:gridSpan w:val="9"/>
            <w:vAlign w:val="center"/>
          </w:tcPr>
          <w:p w14:paraId="7DF8FAD5">
            <w:pPr>
              <w:snapToGrid w:val="0"/>
              <w:spacing w:line="320" w:lineRule="atLeast"/>
              <w:jc w:val="center"/>
              <w:rPr>
                <w:rFonts w:ascii="宋体" w:hAnsi="宋体" w:cs="宋体"/>
                <w:color w:val="auto"/>
                <w:highlight w:val="none"/>
              </w:rPr>
            </w:pPr>
            <w:r>
              <w:rPr>
                <w:rFonts w:hint="eastAsia" w:ascii="宋体" w:hAnsi="宋体" w:cs="宋体"/>
                <w:color w:val="auto"/>
                <w:highlight w:val="none"/>
              </w:rPr>
              <w:t>经                        历</w:t>
            </w:r>
          </w:p>
        </w:tc>
      </w:tr>
      <w:tr w14:paraId="57D7D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1" w:hRule="atLeast"/>
        </w:trPr>
        <w:tc>
          <w:tcPr>
            <w:tcW w:w="1468" w:type="dxa"/>
            <w:vAlign w:val="center"/>
          </w:tcPr>
          <w:p w14:paraId="01689E4A">
            <w:pPr>
              <w:snapToGrid w:val="0"/>
              <w:spacing w:line="320" w:lineRule="atLeast"/>
              <w:jc w:val="center"/>
              <w:rPr>
                <w:rFonts w:ascii="宋体" w:hAnsi="宋体" w:cs="宋体"/>
                <w:color w:val="auto"/>
                <w:highlight w:val="none"/>
              </w:rPr>
            </w:pPr>
            <w:r>
              <w:rPr>
                <w:rFonts w:hint="eastAsia" w:ascii="宋体" w:hAnsi="宋体" w:cs="宋体"/>
                <w:color w:val="auto"/>
                <w:highlight w:val="none"/>
              </w:rPr>
              <w:t>年   月</w:t>
            </w:r>
          </w:p>
        </w:tc>
        <w:tc>
          <w:tcPr>
            <w:tcW w:w="3600" w:type="dxa"/>
            <w:gridSpan w:val="4"/>
            <w:vAlign w:val="center"/>
          </w:tcPr>
          <w:p w14:paraId="507E716A">
            <w:pPr>
              <w:snapToGrid w:val="0"/>
              <w:spacing w:line="320" w:lineRule="atLeast"/>
              <w:jc w:val="center"/>
              <w:rPr>
                <w:rFonts w:ascii="宋体" w:hAnsi="宋体" w:cs="宋体"/>
                <w:color w:val="auto"/>
                <w:highlight w:val="none"/>
              </w:rPr>
            </w:pPr>
            <w:r>
              <w:rPr>
                <w:rFonts w:hint="eastAsia" w:ascii="宋体" w:hAnsi="宋体" w:cs="宋体"/>
                <w:color w:val="auto"/>
                <w:highlight w:val="none"/>
              </w:rPr>
              <w:t>工作经历</w:t>
            </w:r>
          </w:p>
        </w:tc>
        <w:tc>
          <w:tcPr>
            <w:tcW w:w="2040" w:type="dxa"/>
            <w:gridSpan w:val="2"/>
            <w:vAlign w:val="center"/>
          </w:tcPr>
          <w:p w14:paraId="1FBC7FBF">
            <w:pPr>
              <w:snapToGrid w:val="0"/>
              <w:spacing w:line="320" w:lineRule="atLeast"/>
              <w:jc w:val="center"/>
              <w:rPr>
                <w:rFonts w:ascii="宋体" w:hAnsi="宋体" w:cs="宋体"/>
                <w:color w:val="auto"/>
                <w:highlight w:val="none"/>
              </w:rPr>
            </w:pPr>
            <w:r>
              <w:rPr>
                <w:rFonts w:hint="eastAsia" w:ascii="宋体" w:hAnsi="宋体" w:cs="宋体"/>
                <w:color w:val="auto"/>
                <w:highlight w:val="none"/>
              </w:rPr>
              <w:t>担 任 何 职</w:t>
            </w:r>
          </w:p>
        </w:tc>
        <w:tc>
          <w:tcPr>
            <w:tcW w:w="1532" w:type="dxa"/>
            <w:gridSpan w:val="2"/>
            <w:vAlign w:val="center"/>
          </w:tcPr>
          <w:p w14:paraId="76CAD760">
            <w:pPr>
              <w:snapToGrid w:val="0"/>
              <w:spacing w:line="320" w:lineRule="atLeast"/>
              <w:jc w:val="center"/>
              <w:rPr>
                <w:rFonts w:ascii="宋体" w:hAnsi="宋体" w:cs="宋体"/>
                <w:color w:val="auto"/>
                <w:highlight w:val="none"/>
              </w:rPr>
            </w:pPr>
            <w:r>
              <w:rPr>
                <w:rFonts w:hint="eastAsia" w:ascii="宋体" w:hAnsi="宋体" w:cs="宋体"/>
                <w:color w:val="auto"/>
                <w:highlight w:val="none"/>
              </w:rPr>
              <w:t>备   注</w:t>
            </w:r>
          </w:p>
        </w:tc>
      </w:tr>
      <w:tr w14:paraId="3428B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38" w:hRule="atLeast"/>
        </w:trPr>
        <w:tc>
          <w:tcPr>
            <w:tcW w:w="1468" w:type="dxa"/>
            <w:vAlign w:val="center"/>
          </w:tcPr>
          <w:p w14:paraId="3440472C">
            <w:pPr>
              <w:snapToGrid w:val="0"/>
              <w:spacing w:line="320" w:lineRule="atLeast"/>
              <w:jc w:val="center"/>
              <w:rPr>
                <w:rFonts w:ascii="宋体" w:hAnsi="宋体" w:cs="宋体"/>
                <w:color w:val="auto"/>
                <w:highlight w:val="none"/>
              </w:rPr>
            </w:pPr>
          </w:p>
          <w:p w14:paraId="65B17ABE">
            <w:pPr>
              <w:snapToGrid w:val="0"/>
              <w:spacing w:line="320" w:lineRule="atLeast"/>
              <w:jc w:val="center"/>
              <w:rPr>
                <w:rFonts w:ascii="宋体" w:hAnsi="宋体" w:cs="宋体"/>
                <w:color w:val="auto"/>
                <w:highlight w:val="none"/>
              </w:rPr>
            </w:pPr>
          </w:p>
          <w:p w14:paraId="61806774">
            <w:pPr>
              <w:snapToGrid w:val="0"/>
              <w:spacing w:line="320" w:lineRule="atLeast"/>
              <w:jc w:val="center"/>
              <w:rPr>
                <w:rFonts w:ascii="宋体" w:hAnsi="宋体" w:cs="宋体"/>
                <w:color w:val="auto"/>
                <w:highlight w:val="none"/>
              </w:rPr>
            </w:pPr>
          </w:p>
          <w:p w14:paraId="3EACB7B8">
            <w:pPr>
              <w:snapToGrid w:val="0"/>
              <w:spacing w:line="320" w:lineRule="atLeast"/>
              <w:jc w:val="center"/>
              <w:rPr>
                <w:rFonts w:ascii="宋体" w:hAnsi="宋体" w:cs="宋体"/>
                <w:color w:val="auto"/>
                <w:highlight w:val="none"/>
              </w:rPr>
            </w:pPr>
          </w:p>
          <w:p w14:paraId="0F175C4E">
            <w:pPr>
              <w:snapToGrid w:val="0"/>
              <w:spacing w:line="320" w:lineRule="atLeast"/>
              <w:jc w:val="center"/>
              <w:rPr>
                <w:rFonts w:ascii="宋体" w:hAnsi="宋体" w:cs="宋体"/>
                <w:color w:val="auto"/>
                <w:highlight w:val="none"/>
              </w:rPr>
            </w:pPr>
          </w:p>
          <w:p w14:paraId="16FDB2F4">
            <w:pPr>
              <w:snapToGrid w:val="0"/>
              <w:spacing w:line="320" w:lineRule="atLeast"/>
              <w:jc w:val="center"/>
              <w:rPr>
                <w:rFonts w:ascii="宋体" w:hAnsi="宋体" w:cs="宋体"/>
                <w:color w:val="auto"/>
                <w:highlight w:val="none"/>
              </w:rPr>
            </w:pPr>
          </w:p>
          <w:p w14:paraId="3305A21B">
            <w:pPr>
              <w:snapToGrid w:val="0"/>
              <w:spacing w:line="320" w:lineRule="atLeast"/>
              <w:jc w:val="center"/>
              <w:rPr>
                <w:rFonts w:ascii="宋体" w:hAnsi="宋体" w:cs="宋体"/>
                <w:color w:val="auto"/>
                <w:highlight w:val="none"/>
              </w:rPr>
            </w:pPr>
          </w:p>
          <w:p w14:paraId="29E1D881">
            <w:pPr>
              <w:snapToGrid w:val="0"/>
              <w:spacing w:line="320" w:lineRule="atLeast"/>
              <w:jc w:val="center"/>
              <w:rPr>
                <w:rFonts w:ascii="宋体" w:hAnsi="宋体" w:cs="宋体"/>
                <w:color w:val="auto"/>
                <w:highlight w:val="none"/>
              </w:rPr>
            </w:pPr>
          </w:p>
        </w:tc>
        <w:tc>
          <w:tcPr>
            <w:tcW w:w="3600" w:type="dxa"/>
            <w:gridSpan w:val="4"/>
            <w:vAlign w:val="center"/>
          </w:tcPr>
          <w:p w14:paraId="6BA7A6F1">
            <w:pPr>
              <w:snapToGrid w:val="0"/>
              <w:spacing w:line="320" w:lineRule="atLeast"/>
              <w:jc w:val="center"/>
              <w:rPr>
                <w:rFonts w:ascii="宋体" w:hAnsi="宋体" w:cs="宋体"/>
                <w:color w:val="auto"/>
                <w:highlight w:val="none"/>
              </w:rPr>
            </w:pPr>
          </w:p>
        </w:tc>
        <w:tc>
          <w:tcPr>
            <w:tcW w:w="2040" w:type="dxa"/>
            <w:gridSpan w:val="2"/>
            <w:vAlign w:val="center"/>
          </w:tcPr>
          <w:p w14:paraId="6BAAC405">
            <w:pPr>
              <w:snapToGrid w:val="0"/>
              <w:spacing w:line="320" w:lineRule="atLeast"/>
              <w:jc w:val="center"/>
              <w:rPr>
                <w:rFonts w:ascii="宋体" w:hAnsi="宋体" w:cs="宋体"/>
                <w:color w:val="auto"/>
                <w:highlight w:val="none"/>
              </w:rPr>
            </w:pPr>
          </w:p>
        </w:tc>
        <w:tc>
          <w:tcPr>
            <w:tcW w:w="1532" w:type="dxa"/>
            <w:gridSpan w:val="2"/>
            <w:vAlign w:val="center"/>
          </w:tcPr>
          <w:p w14:paraId="5E1A4F3A">
            <w:pPr>
              <w:snapToGrid w:val="0"/>
              <w:spacing w:line="320" w:lineRule="atLeast"/>
              <w:jc w:val="center"/>
              <w:rPr>
                <w:rFonts w:ascii="宋体" w:hAnsi="宋体" w:cs="宋体"/>
                <w:color w:val="auto"/>
                <w:highlight w:val="none"/>
              </w:rPr>
            </w:pPr>
          </w:p>
          <w:p w14:paraId="167D0B2F">
            <w:pPr>
              <w:snapToGrid w:val="0"/>
              <w:spacing w:line="320" w:lineRule="atLeast"/>
              <w:jc w:val="center"/>
              <w:rPr>
                <w:rFonts w:ascii="宋体" w:hAnsi="宋体" w:cs="宋体"/>
                <w:color w:val="auto"/>
                <w:highlight w:val="none"/>
              </w:rPr>
            </w:pPr>
          </w:p>
          <w:p w14:paraId="271EC3FB">
            <w:pPr>
              <w:snapToGrid w:val="0"/>
              <w:spacing w:line="320" w:lineRule="atLeast"/>
              <w:jc w:val="center"/>
              <w:rPr>
                <w:rFonts w:ascii="宋体" w:hAnsi="宋体" w:cs="宋体"/>
                <w:color w:val="auto"/>
                <w:highlight w:val="none"/>
              </w:rPr>
            </w:pPr>
          </w:p>
          <w:p w14:paraId="6DB3BD20">
            <w:pPr>
              <w:snapToGrid w:val="0"/>
              <w:spacing w:line="320" w:lineRule="atLeast"/>
              <w:jc w:val="center"/>
              <w:rPr>
                <w:rFonts w:ascii="宋体" w:hAnsi="宋体" w:cs="宋体"/>
                <w:color w:val="auto"/>
                <w:highlight w:val="none"/>
              </w:rPr>
            </w:pPr>
          </w:p>
          <w:p w14:paraId="7DB34D7F">
            <w:pPr>
              <w:snapToGrid w:val="0"/>
              <w:spacing w:line="320" w:lineRule="atLeast"/>
              <w:jc w:val="center"/>
              <w:rPr>
                <w:rFonts w:ascii="宋体" w:hAnsi="宋体" w:cs="宋体"/>
                <w:color w:val="auto"/>
                <w:highlight w:val="none"/>
              </w:rPr>
            </w:pPr>
          </w:p>
        </w:tc>
      </w:tr>
    </w:tbl>
    <w:p w14:paraId="2B3F6696">
      <w:pPr>
        <w:snapToGrid w:val="0"/>
        <w:spacing w:line="360" w:lineRule="auto"/>
        <w:rPr>
          <w:rFonts w:ascii="宋体" w:hAnsi="宋体" w:cs="宋体"/>
          <w:color w:val="auto"/>
          <w:highlight w:val="none"/>
        </w:rPr>
      </w:pPr>
      <w:r>
        <w:rPr>
          <w:rFonts w:hint="eastAsia" w:ascii="宋体" w:hAnsi="宋体" w:cs="宋体"/>
          <w:color w:val="auto"/>
          <w:highlight w:val="none"/>
        </w:rPr>
        <w:t xml:space="preserve"> 注：与评分有关的证明材料附后。</w:t>
      </w:r>
    </w:p>
    <w:p w14:paraId="70F9F26A">
      <w:pPr>
        <w:snapToGrid w:val="0"/>
        <w:spacing w:line="360" w:lineRule="auto"/>
        <w:rPr>
          <w:rFonts w:ascii="宋体" w:hAnsi="宋体" w:cs="宋体"/>
          <w:color w:val="auto"/>
          <w:highlight w:val="none"/>
        </w:rPr>
      </w:pPr>
    </w:p>
    <w:p w14:paraId="7E569F59">
      <w:pPr>
        <w:snapToGrid w:val="0"/>
        <w:spacing w:line="360" w:lineRule="auto"/>
        <w:rPr>
          <w:rFonts w:ascii="宋体" w:hAnsi="宋体" w:cs="宋体"/>
          <w:color w:val="auto"/>
          <w:highlight w:val="none"/>
        </w:rPr>
      </w:pPr>
    </w:p>
    <w:p w14:paraId="63DE7820">
      <w:pPr>
        <w:snapToGrid w:val="0"/>
        <w:spacing w:line="360" w:lineRule="auto"/>
        <w:rPr>
          <w:rFonts w:ascii="宋体" w:hAnsi="宋体" w:cs="宋体"/>
          <w:b/>
          <w:snapToGrid w:val="0"/>
          <w:color w:val="auto"/>
          <w:kern w:val="0"/>
          <w:sz w:val="24"/>
          <w:highlight w:val="none"/>
        </w:rPr>
      </w:pPr>
    </w:p>
    <w:p w14:paraId="31FAB51D">
      <w:pPr>
        <w:adjustRightInd w:val="0"/>
        <w:snapToGrid w:val="0"/>
        <w:spacing w:line="360" w:lineRule="auto"/>
        <w:ind w:firstLine="4158" w:firstLineChars="198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投标人(盖公章)</w:t>
      </w:r>
    </w:p>
    <w:p w14:paraId="52E45522">
      <w:pPr>
        <w:adjustRightInd w:val="0"/>
        <w:snapToGrid w:val="0"/>
        <w:spacing w:line="360" w:lineRule="auto"/>
        <w:ind w:firstLine="4158" w:firstLineChars="198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法定代表人或授权代表(签字或盖章)</w:t>
      </w:r>
    </w:p>
    <w:p w14:paraId="1AFD8197">
      <w:pPr>
        <w:snapToGrid w:val="0"/>
        <w:spacing w:line="360" w:lineRule="auto"/>
        <w:ind w:firstLine="4200" w:firstLineChars="20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日期：</w:t>
      </w:r>
    </w:p>
    <w:p w14:paraId="5349F150">
      <w:pPr>
        <w:adjustRightInd w:val="0"/>
        <w:snapToGrid w:val="0"/>
        <w:spacing w:line="360" w:lineRule="auto"/>
        <w:rPr>
          <w:rFonts w:ascii="宋体" w:hAnsi="宋体" w:cs="宋体"/>
          <w:b/>
          <w:snapToGrid w:val="0"/>
          <w:color w:val="auto"/>
          <w:kern w:val="0"/>
          <w:szCs w:val="21"/>
          <w:highlight w:val="none"/>
        </w:rPr>
      </w:pPr>
      <w:r>
        <w:rPr>
          <w:rFonts w:hint="eastAsia" w:ascii="宋体" w:hAnsi="宋体" w:cs="宋体"/>
          <w:snapToGrid w:val="0"/>
          <w:color w:val="auto"/>
          <w:kern w:val="0"/>
          <w:szCs w:val="21"/>
          <w:highlight w:val="none"/>
        </w:rPr>
        <w:br w:type="page"/>
      </w:r>
      <w:r>
        <w:rPr>
          <w:rFonts w:hint="eastAsia" w:ascii="宋体" w:hAnsi="宋体" w:cs="宋体"/>
          <w:b/>
          <w:snapToGrid w:val="0"/>
          <w:color w:val="auto"/>
          <w:kern w:val="0"/>
          <w:szCs w:val="21"/>
          <w:highlight w:val="none"/>
        </w:rPr>
        <w:t>3.9知识产权承诺函</w:t>
      </w:r>
    </w:p>
    <w:p w14:paraId="299D6201">
      <w:pPr>
        <w:snapToGrid w:val="0"/>
        <w:spacing w:line="360" w:lineRule="auto"/>
        <w:jc w:val="center"/>
        <w:rPr>
          <w:rFonts w:ascii="宋体" w:hAnsi="宋体" w:cs="宋体"/>
          <w:b/>
          <w:snapToGrid w:val="0"/>
          <w:color w:val="auto"/>
          <w:kern w:val="0"/>
          <w:sz w:val="24"/>
          <w:highlight w:val="none"/>
        </w:rPr>
      </w:pPr>
    </w:p>
    <w:p w14:paraId="76B86296">
      <w:pPr>
        <w:pStyle w:val="24"/>
        <w:snapToGrid w:val="0"/>
        <w:spacing w:line="360" w:lineRule="auto"/>
        <w:jc w:val="center"/>
        <w:rPr>
          <w:rFonts w:ascii="宋体" w:hAnsi="宋体" w:eastAsia="宋体" w:cs="宋体"/>
          <w:b/>
          <w:snapToGrid w:val="0"/>
          <w:color w:val="auto"/>
          <w:kern w:val="0"/>
          <w:sz w:val="28"/>
          <w:szCs w:val="28"/>
          <w:highlight w:val="none"/>
        </w:rPr>
      </w:pPr>
      <w:r>
        <w:rPr>
          <w:rFonts w:hint="eastAsia" w:ascii="宋体" w:hAnsi="宋体" w:eastAsia="宋体" w:cs="宋体"/>
          <w:b/>
          <w:snapToGrid w:val="0"/>
          <w:color w:val="auto"/>
          <w:kern w:val="0"/>
          <w:sz w:val="28"/>
          <w:szCs w:val="28"/>
          <w:highlight w:val="none"/>
        </w:rPr>
        <w:t>知识产权承诺函</w:t>
      </w:r>
    </w:p>
    <w:p w14:paraId="5971EC4E">
      <w:pPr>
        <w:pStyle w:val="24"/>
        <w:spacing w:line="360" w:lineRule="auto"/>
        <w:rPr>
          <w:rFonts w:ascii="宋体" w:hAnsi="宋体" w:eastAsia="宋体" w:cs="宋体"/>
          <w:b/>
          <w:snapToGrid w:val="0"/>
          <w:color w:val="auto"/>
          <w:kern w:val="0"/>
          <w:highlight w:val="none"/>
        </w:rPr>
      </w:pPr>
    </w:p>
    <w:p w14:paraId="06E21354">
      <w:pPr>
        <w:pStyle w:val="24"/>
        <w:spacing w:line="360" w:lineRule="auto"/>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lang w:eastAsia="zh-CN"/>
        </w:rPr>
        <w:t>乌鲁木齐市自然资源局</w:t>
      </w:r>
      <w:r>
        <w:rPr>
          <w:rFonts w:hint="eastAsia" w:ascii="宋体" w:hAnsi="宋体" w:eastAsia="宋体" w:cs="宋体"/>
          <w:bCs/>
          <w:snapToGrid w:val="0"/>
          <w:color w:val="auto"/>
          <w:kern w:val="0"/>
          <w:highlight w:val="none"/>
        </w:rPr>
        <w:t>：</w:t>
      </w:r>
    </w:p>
    <w:p w14:paraId="5F1537E6">
      <w:pPr>
        <w:pStyle w:val="24"/>
        <w:spacing w:line="360" w:lineRule="auto"/>
        <w:ind w:firstLine="420" w:firstLineChars="200"/>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我公司承诺：</w:t>
      </w:r>
    </w:p>
    <w:p w14:paraId="337B1BE3">
      <w:pPr>
        <w:pStyle w:val="24"/>
        <w:spacing w:line="360" w:lineRule="auto"/>
        <w:ind w:firstLine="420" w:firstLineChars="200"/>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如中标，合同所包含的所有物料、影像资料、制作素材（包含画面、音乐、配音等）的著作权与使用权归属采购人所有。</w:t>
      </w:r>
    </w:p>
    <w:p w14:paraId="0C1FEB9C">
      <w:pPr>
        <w:pStyle w:val="24"/>
        <w:spacing w:line="360" w:lineRule="auto"/>
        <w:ind w:firstLine="420" w:firstLineChars="200"/>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我公司所交付成果材料中，如有画面、音乐、配音等，未侵犯他人的商标权、专利权、肖像权、著作权等在先权利。否则因此产生的一切法律后果以及责任由我方承担。</w:t>
      </w:r>
    </w:p>
    <w:p w14:paraId="189462F5">
      <w:pPr>
        <w:pStyle w:val="24"/>
        <w:spacing w:line="360" w:lineRule="auto"/>
        <w:ind w:firstLine="420" w:firstLineChars="200"/>
        <w:rPr>
          <w:rFonts w:ascii="宋体" w:hAnsi="宋体" w:eastAsia="宋体" w:cs="宋体"/>
          <w:bCs/>
          <w:snapToGrid w:val="0"/>
          <w:color w:val="auto"/>
          <w:kern w:val="0"/>
          <w:highlight w:val="none"/>
        </w:rPr>
      </w:pPr>
    </w:p>
    <w:p w14:paraId="7B9C4812">
      <w:pPr>
        <w:pStyle w:val="24"/>
        <w:spacing w:line="360" w:lineRule="auto"/>
        <w:ind w:firstLine="420" w:firstLineChars="200"/>
        <w:rPr>
          <w:rFonts w:ascii="宋体" w:hAnsi="宋体" w:eastAsia="宋体" w:cs="宋体"/>
          <w:bCs/>
          <w:snapToGrid w:val="0"/>
          <w:color w:val="auto"/>
          <w:kern w:val="0"/>
          <w:highlight w:val="none"/>
        </w:rPr>
      </w:pPr>
    </w:p>
    <w:p w14:paraId="18B86378">
      <w:pPr>
        <w:pStyle w:val="24"/>
        <w:spacing w:line="360" w:lineRule="auto"/>
        <w:ind w:firstLine="422" w:firstLineChars="200"/>
        <w:rPr>
          <w:rFonts w:ascii="宋体" w:hAnsi="宋体" w:eastAsia="宋体" w:cs="宋体"/>
          <w:b/>
          <w:snapToGrid w:val="0"/>
          <w:color w:val="auto"/>
          <w:kern w:val="0"/>
          <w:highlight w:val="none"/>
        </w:rPr>
      </w:pPr>
    </w:p>
    <w:p w14:paraId="3F2B7FA3">
      <w:pPr>
        <w:adjustRightInd w:val="0"/>
        <w:snapToGrid w:val="0"/>
        <w:spacing w:line="360" w:lineRule="auto"/>
        <w:ind w:firstLine="4158" w:firstLineChars="198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投标人(盖公章)</w:t>
      </w:r>
    </w:p>
    <w:p w14:paraId="441B048B">
      <w:pPr>
        <w:adjustRightInd w:val="0"/>
        <w:snapToGrid w:val="0"/>
        <w:spacing w:line="360" w:lineRule="auto"/>
        <w:ind w:firstLine="4158" w:firstLineChars="198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法定代表人或授权代表(签字或盖章)</w:t>
      </w:r>
    </w:p>
    <w:p w14:paraId="48AA4C4A">
      <w:pPr>
        <w:snapToGrid w:val="0"/>
        <w:spacing w:line="360" w:lineRule="auto"/>
        <w:ind w:firstLine="4200" w:firstLineChars="2000"/>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日期：</w:t>
      </w:r>
    </w:p>
    <w:p w14:paraId="7DC66740">
      <w:pPr>
        <w:adjustRightInd w:val="0"/>
        <w:snapToGrid w:val="0"/>
        <w:spacing w:line="360" w:lineRule="auto"/>
        <w:rPr>
          <w:rFonts w:ascii="宋体" w:hAnsi="宋体" w:cs="宋体"/>
          <w:b/>
          <w:color w:val="auto"/>
          <w:kern w:val="0"/>
          <w:highlight w:val="none"/>
        </w:rPr>
      </w:pPr>
      <w:r>
        <w:rPr>
          <w:rFonts w:ascii="宋体" w:hAnsi="宋体" w:cs="宋体"/>
          <w:snapToGrid w:val="0"/>
          <w:color w:val="auto"/>
          <w:kern w:val="0"/>
          <w:szCs w:val="21"/>
          <w:highlight w:val="none"/>
        </w:rPr>
        <w:br w:type="page"/>
      </w:r>
      <w:r>
        <w:rPr>
          <w:rFonts w:hint="eastAsia" w:ascii="宋体" w:hAnsi="宋体" w:cs="宋体"/>
          <w:b/>
          <w:color w:val="auto"/>
          <w:kern w:val="0"/>
          <w:szCs w:val="21"/>
          <w:highlight w:val="none"/>
        </w:rPr>
        <w:t>3.10履约承诺函</w:t>
      </w:r>
    </w:p>
    <w:p w14:paraId="33D8D792">
      <w:pPr>
        <w:snapToGrid w:val="0"/>
        <w:spacing w:line="360" w:lineRule="auto"/>
        <w:jc w:val="center"/>
        <w:rPr>
          <w:rFonts w:ascii="宋体" w:hAnsi="宋体" w:cs="宋体"/>
          <w:b/>
          <w:color w:val="auto"/>
          <w:kern w:val="0"/>
          <w:sz w:val="24"/>
          <w:highlight w:val="none"/>
        </w:rPr>
      </w:pPr>
    </w:p>
    <w:p w14:paraId="669E953E">
      <w:pPr>
        <w:pStyle w:val="39"/>
        <w:widowControl w:val="0"/>
        <w:snapToGrid w:val="0"/>
        <w:spacing w:before="0" w:beforeAutospacing="0" w:after="0" w:afterAutospacing="0"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履约承诺函</w:t>
      </w:r>
    </w:p>
    <w:p w14:paraId="6D2B9E87">
      <w:pPr>
        <w:pStyle w:val="39"/>
        <w:widowControl w:val="0"/>
        <w:spacing w:before="0" w:beforeAutospacing="0" w:after="0" w:afterAutospacing="0" w:line="360" w:lineRule="auto"/>
        <w:jc w:val="both"/>
        <w:rPr>
          <w:rFonts w:ascii="宋体" w:hAnsi="宋体" w:cs="宋体"/>
          <w:b/>
          <w:color w:val="auto"/>
          <w:highlight w:val="none"/>
        </w:rPr>
      </w:pPr>
    </w:p>
    <w:p w14:paraId="6E4E3E6A">
      <w:pPr>
        <w:pStyle w:val="39"/>
        <w:widowControl w:val="0"/>
        <w:spacing w:before="0" w:beforeAutospacing="0" w:after="0" w:afterAutospacing="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lang w:eastAsia="zh-CN"/>
        </w:rPr>
        <w:t>乌鲁木齐市自然资源局</w:t>
      </w:r>
      <w:r>
        <w:rPr>
          <w:rFonts w:hint="eastAsia" w:ascii="宋体" w:hAnsi="宋体" w:cs="宋体"/>
          <w:color w:val="auto"/>
          <w:sz w:val="21"/>
          <w:szCs w:val="21"/>
          <w:highlight w:val="none"/>
        </w:rPr>
        <w:t>：</w:t>
      </w:r>
    </w:p>
    <w:p w14:paraId="01A75254">
      <w:pPr>
        <w:pStyle w:val="39"/>
        <w:widowControl w:val="0"/>
        <w:spacing w:before="0" w:beforeAutospacing="0" w:after="0" w:afterAutospacing="0" w:line="360" w:lineRule="auto"/>
        <w:ind w:firstLine="420" w:firstLineChars="200"/>
        <w:jc w:val="both"/>
        <w:rPr>
          <w:rFonts w:ascii="宋体" w:hAnsi="宋体" w:cs="宋体"/>
          <w:color w:val="auto"/>
          <w:highlight w:val="none"/>
        </w:rPr>
      </w:pPr>
      <w:r>
        <w:rPr>
          <w:rFonts w:hint="eastAsia" w:ascii="宋体" w:hAnsi="宋体" w:cs="宋体"/>
          <w:color w:val="auto"/>
          <w:sz w:val="21"/>
          <w:szCs w:val="21"/>
          <w:highlight w:val="none"/>
        </w:rPr>
        <w:t>我公司承诺：</w:t>
      </w:r>
    </w:p>
    <w:p w14:paraId="6D6414AD">
      <w:pPr>
        <w:pStyle w:val="39"/>
        <w:widowControl w:val="0"/>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1、如中标，将按照招标文件规定的技术要求和成果要求、项目组人员要求及验收标准完成本项目，否则将承担以下违约责任：我方未能如期提供服务的，每日向贵方支付合同款项的千分之六作为违约金。我方超过约定日期10个工作日仍不能提供服务的，贵方可解除本合同。我方因未能如期提供服务或因其他违约行为导致贵方解除合同的，我方应向贵方支付合同总值5%的违约金，如造成贵方损失超过违约金的，超出部分由我方继续承担赔偿责任。</w:t>
      </w:r>
    </w:p>
    <w:p w14:paraId="64DC7688">
      <w:pPr>
        <w:pStyle w:val="39"/>
        <w:widowControl w:val="0"/>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2、我方承诺，若未能履约愿意接受采购人或行业主管部门包括但不限于纳入不良诚信记录、通报等处罚。</w:t>
      </w:r>
    </w:p>
    <w:p w14:paraId="4075D646">
      <w:pPr>
        <w:pStyle w:val="39"/>
        <w:widowControl w:val="0"/>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3、我方将自行负责采集项目工作过程中有关数据、图件，自行负责相关定级资料的收集、整理和处理，不将相关义务转嫁给贵方，不会以贵方未提供相关资料而降低服务质量或延迟提交项目成果时间。</w:t>
      </w:r>
    </w:p>
    <w:p w14:paraId="7C6799C1">
      <w:pPr>
        <w:pStyle w:val="39"/>
        <w:widowControl w:val="0"/>
        <w:spacing w:before="0" w:beforeAutospacing="0" w:after="0" w:afterAutospacing="0" w:line="360" w:lineRule="auto"/>
        <w:ind w:firstLine="420" w:firstLineChars="200"/>
        <w:jc w:val="both"/>
        <w:rPr>
          <w:rFonts w:ascii="宋体" w:hAnsi="宋体" w:cs="宋体"/>
          <w:color w:val="auto"/>
          <w:highlight w:val="none"/>
        </w:rPr>
      </w:pPr>
      <w:r>
        <w:rPr>
          <w:rFonts w:hint="eastAsia" w:ascii="宋体" w:hAnsi="宋体" w:cs="宋体"/>
          <w:color w:val="auto"/>
          <w:sz w:val="21"/>
          <w:szCs w:val="21"/>
          <w:highlight w:val="none"/>
        </w:rPr>
        <w:t>否则因此产生的一切法律后果以及责任由我方承担。</w:t>
      </w:r>
    </w:p>
    <w:p w14:paraId="6510CFD4">
      <w:pPr>
        <w:pStyle w:val="39"/>
        <w:widowControl w:val="0"/>
        <w:spacing w:before="0" w:beforeAutospacing="0" w:after="0" w:afterAutospacing="0" w:line="360" w:lineRule="auto"/>
        <w:ind w:firstLine="360" w:firstLineChars="200"/>
        <w:jc w:val="both"/>
        <w:rPr>
          <w:rFonts w:ascii="宋体" w:hAnsi="宋体" w:cs="宋体"/>
          <w:color w:val="auto"/>
          <w:highlight w:val="none"/>
        </w:rPr>
      </w:pPr>
    </w:p>
    <w:p w14:paraId="5AC7CD82">
      <w:pPr>
        <w:pStyle w:val="39"/>
        <w:widowControl w:val="0"/>
        <w:spacing w:before="0" w:beforeAutospacing="0" w:after="0" w:afterAutospacing="0" w:line="360" w:lineRule="auto"/>
        <w:ind w:firstLine="361" w:firstLineChars="200"/>
        <w:jc w:val="both"/>
        <w:rPr>
          <w:rFonts w:ascii="宋体" w:hAnsi="宋体" w:cs="宋体"/>
          <w:b/>
          <w:color w:val="auto"/>
          <w:highlight w:val="none"/>
        </w:rPr>
      </w:pPr>
    </w:p>
    <w:p w14:paraId="6A648468">
      <w:pPr>
        <w:adjustRightInd w:val="0"/>
        <w:snapToGrid w:val="0"/>
        <w:spacing w:line="360" w:lineRule="auto"/>
        <w:ind w:firstLine="4158" w:firstLineChars="1980"/>
        <w:rPr>
          <w:rFonts w:ascii="宋体" w:hAnsi="宋体" w:cs="宋体"/>
          <w:color w:val="auto"/>
          <w:kern w:val="0"/>
          <w:highlight w:val="none"/>
        </w:rPr>
      </w:pPr>
      <w:r>
        <w:rPr>
          <w:rFonts w:hint="eastAsia" w:ascii="宋体" w:hAnsi="宋体" w:cs="宋体"/>
          <w:color w:val="auto"/>
          <w:kern w:val="0"/>
          <w:szCs w:val="21"/>
          <w:highlight w:val="none"/>
        </w:rPr>
        <w:t>投标人(盖公章)</w:t>
      </w:r>
    </w:p>
    <w:p w14:paraId="14731EC5">
      <w:pPr>
        <w:adjustRightInd w:val="0"/>
        <w:snapToGrid w:val="0"/>
        <w:spacing w:line="360" w:lineRule="auto"/>
        <w:ind w:firstLine="4158" w:firstLineChars="1980"/>
        <w:rPr>
          <w:rFonts w:ascii="宋体" w:hAnsi="宋体" w:cs="宋体"/>
          <w:color w:val="auto"/>
          <w:kern w:val="0"/>
          <w:highlight w:val="none"/>
        </w:rPr>
      </w:pPr>
      <w:r>
        <w:rPr>
          <w:rFonts w:hint="eastAsia" w:ascii="宋体" w:hAnsi="宋体" w:cs="宋体"/>
          <w:color w:val="auto"/>
          <w:kern w:val="0"/>
          <w:szCs w:val="21"/>
          <w:highlight w:val="none"/>
        </w:rPr>
        <w:t>法定代表人或授权代表(签字或盖章)</w:t>
      </w:r>
    </w:p>
    <w:p w14:paraId="022C0548">
      <w:pPr>
        <w:snapToGrid w:val="0"/>
        <w:spacing w:line="360" w:lineRule="auto"/>
        <w:ind w:firstLine="4200" w:firstLineChars="2000"/>
        <w:rPr>
          <w:rFonts w:ascii="宋体" w:hAnsi="宋体" w:cs="宋体"/>
          <w:color w:val="auto"/>
          <w:kern w:val="0"/>
          <w:szCs w:val="21"/>
          <w:highlight w:val="none"/>
        </w:rPr>
      </w:pPr>
      <w:r>
        <w:rPr>
          <w:rFonts w:hint="eastAsia" w:ascii="宋体" w:hAnsi="宋体" w:cs="宋体"/>
          <w:color w:val="auto"/>
          <w:kern w:val="0"/>
          <w:szCs w:val="21"/>
          <w:highlight w:val="none"/>
        </w:rPr>
        <w:t>日期：</w:t>
      </w:r>
    </w:p>
    <w:p w14:paraId="45065A27">
      <w:pPr>
        <w:snapToGrid w:val="0"/>
        <w:spacing w:line="360" w:lineRule="auto"/>
        <w:ind w:firstLine="4216" w:firstLineChars="2000"/>
        <w:rPr>
          <w:rFonts w:ascii="宋体" w:hAnsi="宋体" w:cs="宋体"/>
          <w:b/>
          <w:color w:val="auto"/>
          <w:kern w:val="0"/>
          <w:szCs w:val="21"/>
          <w:highlight w:val="none"/>
        </w:rPr>
      </w:pPr>
    </w:p>
    <w:p w14:paraId="1EA2CD80">
      <w:pPr>
        <w:snapToGrid w:val="0"/>
        <w:spacing w:line="360" w:lineRule="auto"/>
        <w:ind w:firstLine="4216" w:firstLineChars="2000"/>
        <w:rPr>
          <w:rFonts w:ascii="宋体" w:hAnsi="宋体" w:cs="宋体"/>
          <w:b/>
          <w:color w:val="auto"/>
          <w:kern w:val="0"/>
          <w:szCs w:val="21"/>
          <w:highlight w:val="none"/>
        </w:rPr>
      </w:pPr>
    </w:p>
    <w:p w14:paraId="0B52FB34">
      <w:pPr>
        <w:snapToGrid w:val="0"/>
        <w:spacing w:line="360" w:lineRule="auto"/>
        <w:ind w:firstLine="4216" w:firstLineChars="2000"/>
        <w:rPr>
          <w:rFonts w:ascii="宋体" w:hAnsi="宋体" w:cs="宋体"/>
          <w:b/>
          <w:color w:val="auto"/>
          <w:kern w:val="0"/>
          <w:szCs w:val="21"/>
          <w:highlight w:val="none"/>
        </w:rPr>
      </w:pPr>
    </w:p>
    <w:p w14:paraId="37222B34">
      <w:pPr>
        <w:snapToGrid w:val="0"/>
        <w:spacing w:line="360" w:lineRule="auto"/>
        <w:ind w:firstLine="4216" w:firstLineChars="2000"/>
        <w:rPr>
          <w:rFonts w:ascii="宋体" w:hAnsi="宋体" w:cs="宋体"/>
          <w:b/>
          <w:color w:val="auto"/>
          <w:kern w:val="0"/>
          <w:szCs w:val="21"/>
          <w:highlight w:val="none"/>
        </w:rPr>
      </w:pPr>
    </w:p>
    <w:p w14:paraId="08E29505">
      <w:pPr>
        <w:snapToGrid w:val="0"/>
        <w:spacing w:line="360" w:lineRule="auto"/>
        <w:ind w:firstLine="4216" w:firstLineChars="2000"/>
        <w:rPr>
          <w:rFonts w:ascii="宋体" w:hAnsi="宋体" w:cs="宋体"/>
          <w:b/>
          <w:color w:val="auto"/>
          <w:kern w:val="0"/>
          <w:szCs w:val="21"/>
          <w:highlight w:val="none"/>
        </w:rPr>
      </w:pPr>
    </w:p>
    <w:p w14:paraId="1ABDD38F">
      <w:pPr>
        <w:snapToGrid w:val="0"/>
        <w:spacing w:line="360" w:lineRule="auto"/>
        <w:ind w:firstLine="4216" w:firstLineChars="2000"/>
        <w:rPr>
          <w:rFonts w:ascii="宋体" w:hAnsi="宋体" w:cs="宋体"/>
          <w:b/>
          <w:color w:val="auto"/>
          <w:kern w:val="0"/>
          <w:szCs w:val="21"/>
          <w:highlight w:val="none"/>
        </w:rPr>
      </w:pPr>
    </w:p>
    <w:p w14:paraId="31A65EA1">
      <w:pPr>
        <w:snapToGrid w:val="0"/>
        <w:spacing w:line="360" w:lineRule="auto"/>
        <w:ind w:firstLine="4216" w:firstLineChars="2000"/>
        <w:rPr>
          <w:rFonts w:ascii="宋体" w:hAnsi="宋体" w:cs="宋体"/>
          <w:b/>
          <w:color w:val="auto"/>
          <w:kern w:val="0"/>
          <w:szCs w:val="21"/>
          <w:highlight w:val="none"/>
        </w:rPr>
      </w:pPr>
    </w:p>
    <w:p w14:paraId="6271899A">
      <w:pPr>
        <w:snapToGrid w:val="0"/>
        <w:spacing w:line="360" w:lineRule="auto"/>
        <w:ind w:firstLine="4216" w:firstLineChars="2000"/>
        <w:rPr>
          <w:rFonts w:ascii="宋体" w:hAnsi="宋体" w:cs="宋体"/>
          <w:b/>
          <w:color w:val="auto"/>
          <w:kern w:val="0"/>
          <w:szCs w:val="21"/>
          <w:highlight w:val="none"/>
        </w:rPr>
      </w:pPr>
    </w:p>
    <w:p w14:paraId="23EFBB10">
      <w:pPr>
        <w:snapToGrid w:val="0"/>
        <w:spacing w:line="360" w:lineRule="auto"/>
        <w:ind w:firstLine="4216" w:firstLineChars="2000"/>
        <w:rPr>
          <w:rFonts w:ascii="宋体" w:hAnsi="宋体" w:cs="宋体"/>
          <w:b/>
          <w:color w:val="auto"/>
          <w:kern w:val="0"/>
          <w:szCs w:val="21"/>
          <w:highlight w:val="none"/>
        </w:rPr>
      </w:pPr>
    </w:p>
    <w:p w14:paraId="1628AABC">
      <w:pPr>
        <w:snapToGrid w:val="0"/>
        <w:spacing w:line="360" w:lineRule="auto"/>
        <w:ind w:firstLine="4216" w:firstLineChars="2000"/>
        <w:rPr>
          <w:rFonts w:ascii="宋体" w:hAnsi="宋体" w:cs="宋体"/>
          <w:b/>
          <w:color w:val="auto"/>
          <w:kern w:val="0"/>
          <w:szCs w:val="21"/>
          <w:highlight w:val="none"/>
        </w:rPr>
      </w:pPr>
    </w:p>
    <w:p w14:paraId="6E9F1FB6">
      <w:pPr>
        <w:snapToGrid w:val="0"/>
        <w:spacing w:line="360" w:lineRule="auto"/>
        <w:ind w:firstLine="4216" w:firstLineChars="2000"/>
        <w:rPr>
          <w:rFonts w:ascii="宋体" w:hAnsi="宋体" w:cs="宋体"/>
          <w:b/>
          <w:color w:val="auto"/>
          <w:kern w:val="0"/>
          <w:szCs w:val="21"/>
          <w:highlight w:val="none"/>
        </w:rPr>
      </w:pPr>
    </w:p>
    <w:p w14:paraId="0B8DDD38">
      <w:pPr>
        <w:snapToGrid w:val="0"/>
        <w:spacing w:line="360" w:lineRule="auto"/>
        <w:ind w:firstLine="4216" w:firstLineChars="2000"/>
        <w:rPr>
          <w:rFonts w:ascii="宋体" w:hAnsi="宋体" w:cs="宋体"/>
          <w:b/>
          <w:color w:val="auto"/>
          <w:kern w:val="0"/>
          <w:szCs w:val="21"/>
          <w:highlight w:val="none"/>
        </w:rPr>
      </w:pPr>
    </w:p>
    <w:p w14:paraId="28FEFD74">
      <w:pPr>
        <w:snapToGrid w:val="0"/>
        <w:spacing w:line="360" w:lineRule="auto"/>
        <w:ind w:firstLine="4216" w:firstLineChars="2000"/>
        <w:rPr>
          <w:rFonts w:ascii="宋体" w:hAnsi="宋体" w:cs="宋体"/>
          <w:b/>
          <w:color w:val="auto"/>
          <w:kern w:val="0"/>
          <w:szCs w:val="21"/>
          <w:highlight w:val="none"/>
        </w:rPr>
      </w:pPr>
    </w:p>
    <w:p w14:paraId="5FB59827">
      <w:pPr>
        <w:snapToGrid w:val="0"/>
        <w:spacing w:line="360" w:lineRule="auto"/>
        <w:rPr>
          <w:rFonts w:hint="eastAsia" w:ascii="宋体" w:hAnsi="宋体" w:cs="宋体"/>
          <w:b/>
          <w:color w:val="auto"/>
          <w:kern w:val="0"/>
          <w:szCs w:val="21"/>
          <w:highlight w:val="yellow"/>
        </w:rPr>
      </w:pPr>
      <w:r>
        <w:rPr>
          <w:rFonts w:hint="eastAsia" w:ascii="宋体" w:hAnsi="宋体" w:cs="宋体"/>
          <w:b/>
          <w:color w:val="auto"/>
          <w:kern w:val="0"/>
          <w:szCs w:val="21"/>
          <w:highlight w:val="yellow"/>
        </w:rPr>
        <w:t>3.11.</w:t>
      </w:r>
      <w:r>
        <w:rPr>
          <w:rFonts w:hint="eastAsia" w:ascii="宋体" w:hAnsi="宋体" w:cs="宋体"/>
          <w:b/>
          <w:color w:val="auto"/>
          <w:kern w:val="0"/>
          <w:szCs w:val="21"/>
          <w:highlight w:val="yellow"/>
          <w:lang w:val="en-US" w:eastAsia="zh-CN"/>
        </w:rPr>
        <w:t>售后服务期</w:t>
      </w:r>
      <w:r>
        <w:rPr>
          <w:rFonts w:hint="eastAsia" w:ascii="宋体" w:hAnsi="宋体" w:cs="宋体"/>
          <w:b/>
          <w:color w:val="auto"/>
          <w:kern w:val="0"/>
          <w:szCs w:val="21"/>
          <w:highlight w:val="yellow"/>
        </w:rPr>
        <w:t>承诺函</w:t>
      </w:r>
    </w:p>
    <w:p w14:paraId="4616464D">
      <w:pPr>
        <w:pStyle w:val="189"/>
        <w:jc w:val="center"/>
        <w:rPr>
          <w:rStyle w:val="45"/>
          <w:rFonts w:ascii="宋体" w:hAnsi="宋体" w:cs="宋体"/>
          <w:b/>
          <w:sz w:val="28"/>
          <w:szCs w:val="28"/>
          <w:highlight w:val="yellow"/>
        </w:rPr>
      </w:pPr>
      <w:r>
        <w:rPr>
          <w:rStyle w:val="45"/>
          <w:rFonts w:hint="eastAsia" w:ascii="宋体" w:hAnsi="宋体" w:cs="宋体"/>
          <w:b/>
          <w:bCs/>
          <w:sz w:val="36"/>
          <w:szCs w:val="32"/>
          <w:highlight w:val="yellow"/>
          <w:lang w:val="en-US" w:eastAsia="zh-CN"/>
        </w:rPr>
        <w:t>售后服务期</w:t>
      </w:r>
      <w:r>
        <w:rPr>
          <w:rStyle w:val="45"/>
          <w:rFonts w:hint="eastAsia" w:ascii="宋体" w:hAnsi="宋体" w:eastAsia="宋体" w:cs="宋体"/>
          <w:b/>
          <w:bCs/>
          <w:sz w:val="36"/>
          <w:szCs w:val="32"/>
          <w:highlight w:val="yellow"/>
        </w:rPr>
        <w:t>承诺函</w:t>
      </w:r>
    </w:p>
    <w:p w14:paraId="079DE541">
      <w:pPr>
        <w:pStyle w:val="39"/>
        <w:widowControl w:val="0"/>
        <w:shd w:val="clear" w:color="auto" w:fill="FFFFFF"/>
        <w:spacing w:before="0" w:beforeAutospacing="0" w:after="0" w:afterAutospacing="0" w:line="360" w:lineRule="auto"/>
        <w:jc w:val="both"/>
        <w:rPr>
          <w:rFonts w:hint="eastAsia" w:ascii="宋体" w:hAnsi="宋体" w:cs="宋体"/>
          <w:color w:val="auto"/>
          <w:sz w:val="21"/>
          <w:szCs w:val="21"/>
          <w:highlight w:val="yellow"/>
        </w:rPr>
      </w:pPr>
      <w:r>
        <w:rPr>
          <w:rFonts w:hint="eastAsia" w:ascii="宋体" w:hAnsi="宋体" w:cs="宋体"/>
          <w:color w:val="auto"/>
          <w:sz w:val="21"/>
          <w:szCs w:val="21"/>
          <w:highlight w:val="yellow"/>
          <w:lang w:val="en-US" w:eastAsia="zh-CN"/>
        </w:rPr>
        <w:t>乌鲁木齐市自然资源局</w:t>
      </w:r>
      <w:r>
        <w:rPr>
          <w:rFonts w:hint="eastAsia" w:ascii="宋体" w:hAnsi="宋体" w:cs="宋体"/>
          <w:color w:val="auto"/>
          <w:sz w:val="21"/>
          <w:szCs w:val="21"/>
          <w:highlight w:val="yellow"/>
        </w:rPr>
        <w:t>：</w:t>
      </w:r>
    </w:p>
    <w:p w14:paraId="0118C665">
      <w:pPr>
        <w:pStyle w:val="39"/>
        <w:widowControl w:val="0"/>
        <w:shd w:val="clear" w:color="auto" w:fill="FFFFFF"/>
        <w:spacing w:before="0" w:beforeAutospacing="0" w:after="0" w:afterAutospacing="0" w:line="360" w:lineRule="auto"/>
        <w:ind w:firstLine="420" w:firstLineChars="200"/>
        <w:jc w:val="both"/>
        <w:rPr>
          <w:rFonts w:hint="eastAsia" w:ascii="宋体" w:hAnsi="宋体" w:cs="宋体"/>
          <w:color w:val="auto"/>
          <w:sz w:val="21"/>
          <w:szCs w:val="21"/>
          <w:highlight w:val="yellow"/>
        </w:rPr>
      </w:pPr>
      <w:r>
        <w:rPr>
          <w:rFonts w:hint="eastAsia" w:ascii="宋体" w:hAnsi="宋体" w:cs="宋体"/>
          <w:color w:val="auto"/>
          <w:sz w:val="21"/>
          <w:szCs w:val="21"/>
          <w:highlight w:val="yellow"/>
        </w:rPr>
        <w:t>如我公司在本项目中标，我公司承诺达到以下要求：</w:t>
      </w:r>
    </w:p>
    <w:p w14:paraId="13EE1F9C">
      <w:pPr>
        <w:pStyle w:val="39"/>
        <w:widowControl w:val="0"/>
        <w:shd w:val="clear" w:color="auto" w:fill="FFFFFF"/>
        <w:spacing w:before="0" w:beforeAutospacing="0" w:after="0" w:afterAutospacing="0" w:line="360" w:lineRule="auto"/>
        <w:ind w:firstLine="420" w:firstLineChars="200"/>
        <w:jc w:val="both"/>
        <w:rPr>
          <w:rFonts w:hint="eastAsia" w:ascii="宋体" w:hAnsi="宋体" w:cs="宋体"/>
          <w:color w:val="auto"/>
          <w:sz w:val="21"/>
          <w:szCs w:val="21"/>
          <w:highlight w:val="yellow"/>
        </w:rPr>
      </w:pPr>
      <w:r>
        <w:rPr>
          <w:rFonts w:hint="eastAsia" w:ascii="宋体" w:hAnsi="宋体" w:cs="宋体"/>
          <w:color w:val="auto"/>
          <w:sz w:val="21"/>
          <w:szCs w:val="21"/>
          <w:highlight w:val="yellow"/>
        </w:rPr>
        <w:t>1.本项目整体（含利旧设备）质保期不少于3年（不得少于3年，投标人可自行承诺3年或以上年限），项目中若涉及到防水的，防水部分保修5年（不得少于5年，投标人可自行承诺5年或以上年限）。质保期从正式验收合格并交付使用之日开始计算，质保期内出现质量问题，由</w:t>
      </w:r>
      <w:r>
        <w:rPr>
          <w:rFonts w:hint="eastAsia" w:ascii="宋体" w:hAnsi="宋体" w:cs="宋体"/>
          <w:color w:val="auto"/>
          <w:sz w:val="21"/>
          <w:szCs w:val="21"/>
          <w:highlight w:val="yellow"/>
          <w:lang w:val="en-US" w:eastAsia="zh-CN"/>
        </w:rPr>
        <w:t>我公司</w:t>
      </w:r>
      <w:r>
        <w:rPr>
          <w:rFonts w:hint="eastAsia" w:ascii="宋体" w:hAnsi="宋体" w:cs="宋体"/>
          <w:color w:val="auto"/>
          <w:sz w:val="21"/>
          <w:szCs w:val="21"/>
          <w:highlight w:val="yellow"/>
        </w:rPr>
        <w:t>负责维修并承担维修费用。</w:t>
      </w:r>
    </w:p>
    <w:p w14:paraId="1B5B3D86">
      <w:pPr>
        <w:pStyle w:val="39"/>
        <w:widowControl w:val="0"/>
        <w:shd w:val="clear" w:color="auto" w:fill="FFFFFF"/>
        <w:spacing w:before="0" w:beforeAutospacing="0" w:after="0" w:afterAutospacing="0" w:line="360" w:lineRule="auto"/>
        <w:ind w:firstLine="420" w:firstLineChars="200"/>
        <w:jc w:val="both"/>
        <w:rPr>
          <w:rFonts w:hint="eastAsia" w:ascii="宋体" w:hAnsi="宋体" w:cs="宋体"/>
          <w:color w:val="auto"/>
          <w:sz w:val="21"/>
          <w:szCs w:val="21"/>
          <w:highlight w:val="yellow"/>
        </w:rPr>
      </w:pPr>
      <w:r>
        <w:rPr>
          <w:rFonts w:hint="eastAsia" w:ascii="宋体" w:hAnsi="宋体" w:cs="宋体"/>
          <w:color w:val="auto"/>
          <w:sz w:val="21"/>
          <w:szCs w:val="21"/>
          <w:highlight w:val="yellow"/>
        </w:rPr>
        <w:t>2.</w:t>
      </w:r>
      <w:r>
        <w:rPr>
          <w:rFonts w:hint="eastAsia" w:ascii="宋体" w:hAnsi="宋体" w:cs="宋体"/>
          <w:color w:val="auto"/>
          <w:sz w:val="21"/>
          <w:szCs w:val="21"/>
          <w:highlight w:val="yellow"/>
          <w:lang w:val="en-US" w:eastAsia="zh-CN"/>
        </w:rPr>
        <w:t>我公司承诺为所有</w:t>
      </w:r>
      <w:r>
        <w:rPr>
          <w:rFonts w:hint="eastAsia" w:ascii="宋体" w:hAnsi="宋体" w:cs="宋体"/>
          <w:color w:val="auto"/>
          <w:sz w:val="21"/>
          <w:szCs w:val="21"/>
          <w:highlight w:val="yellow"/>
        </w:rPr>
        <w:t>多媒体内容（包括但不限于三维数字模型、影片、动画、图片、文字、软件等）以及实体沙盘、模型、展板等提供为期不少于3年（不得少于3年，投标人可自行承诺3年或以上年限）的修改、更新、更替、升级等服务，</w:t>
      </w:r>
      <w:r>
        <w:rPr>
          <w:rFonts w:hint="eastAsia" w:ascii="宋体" w:hAnsi="宋体" w:cs="宋体"/>
          <w:color w:val="auto"/>
          <w:sz w:val="21"/>
          <w:szCs w:val="21"/>
          <w:highlight w:val="yellow"/>
          <w:lang w:val="en-US" w:eastAsia="zh-CN"/>
        </w:rPr>
        <w:t>所承诺年限</w:t>
      </w:r>
      <w:r>
        <w:rPr>
          <w:rFonts w:hint="eastAsia" w:ascii="宋体" w:hAnsi="宋体" w:cs="宋体"/>
          <w:color w:val="auto"/>
          <w:sz w:val="21"/>
          <w:szCs w:val="21"/>
          <w:highlight w:val="yellow"/>
        </w:rPr>
        <w:t>年内提供全免费服务，</w:t>
      </w:r>
      <w:r>
        <w:rPr>
          <w:rFonts w:hint="eastAsia" w:ascii="宋体" w:hAnsi="宋体" w:cs="宋体"/>
          <w:color w:val="auto"/>
          <w:sz w:val="21"/>
          <w:szCs w:val="21"/>
          <w:highlight w:val="yellow"/>
          <w:lang w:val="en-US" w:eastAsia="zh-CN"/>
        </w:rPr>
        <w:t>所承诺年限</w:t>
      </w:r>
      <w:r>
        <w:rPr>
          <w:rFonts w:hint="eastAsia" w:ascii="宋体" w:hAnsi="宋体" w:cs="宋体"/>
          <w:color w:val="auto"/>
          <w:sz w:val="21"/>
          <w:szCs w:val="21"/>
          <w:highlight w:val="yellow"/>
        </w:rPr>
        <w:t>年后按成本价格提供服务。从项目试运行开始，提供上述所有内容的可编辑源文件，去除演示水印及加密措施。若影片发生修改，在修改后的10个工作日内提供可编辑的源文件。</w:t>
      </w:r>
    </w:p>
    <w:p w14:paraId="331DC31A">
      <w:pPr>
        <w:pStyle w:val="39"/>
        <w:widowControl w:val="0"/>
        <w:shd w:val="clear" w:color="auto" w:fill="FFFFFF"/>
        <w:spacing w:before="0" w:beforeAutospacing="0" w:after="0" w:afterAutospacing="0" w:line="360" w:lineRule="auto"/>
        <w:ind w:firstLine="420" w:firstLineChars="200"/>
        <w:jc w:val="both"/>
        <w:rPr>
          <w:rFonts w:hint="eastAsia" w:ascii="宋体" w:hAnsi="宋体" w:cs="宋体"/>
          <w:color w:val="auto"/>
          <w:sz w:val="21"/>
          <w:szCs w:val="21"/>
          <w:highlight w:val="yellow"/>
        </w:rPr>
      </w:pPr>
      <w:r>
        <w:rPr>
          <w:rFonts w:hint="eastAsia" w:ascii="宋体" w:hAnsi="宋体" w:cs="宋体"/>
          <w:color w:val="auto"/>
          <w:sz w:val="21"/>
          <w:szCs w:val="21"/>
          <w:highlight w:val="yellow"/>
        </w:rPr>
        <w:t>我公司如未按上述承诺执行，因此产生的一切法律后果以及责任由我公司承担。</w:t>
      </w:r>
    </w:p>
    <w:p w14:paraId="712097E5">
      <w:pPr>
        <w:pStyle w:val="39"/>
        <w:widowControl w:val="0"/>
        <w:spacing w:before="0" w:beforeAutospacing="0" w:after="0" w:afterAutospacing="0" w:line="360" w:lineRule="auto"/>
        <w:ind w:firstLine="360" w:firstLineChars="200"/>
        <w:jc w:val="both"/>
        <w:rPr>
          <w:rStyle w:val="45"/>
          <w:szCs w:val="24"/>
          <w:highlight w:val="yellow"/>
        </w:rPr>
      </w:pPr>
    </w:p>
    <w:p w14:paraId="62A9EC9D">
      <w:pPr>
        <w:pStyle w:val="39"/>
        <w:widowControl w:val="0"/>
        <w:spacing w:before="0" w:beforeAutospacing="0" w:after="0" w:afterAutospacing="0" w:line="360" w:lineRule="auto"/>
        <w:ind w:firstLine="361" w:firstLineChars="200"/>
        <w:jc w:val="both"/>
        <w:rPr>
          <w:rStyle w:val="45"/>
          <w:b/>
          <w:szCs w:val="24"/>
          <w:highlight w:val="yellow"/>
        </w:rPr>
      </w:pPr>
    </w:p>
    <w:p w14:paraId="59C885FF">
      <w:pPr>
        <w:pStyle w:val="189"/>
        <w:adjustRightInd w:val="0"/>
        <w:snapToGrid w:val="0"/>
        <w:spacing w:line="360" w:lineRule="auto"/>
        <w:ind w:firstLine="4752" w:firstLineChars="1980"/>
        <w:rPr>
          <w:rStyle w:val="45"/>
          <w:rFonts w:ascii="宋体" w:hAnsi="宋体" w:cs="宋体"/>
          <w:kern w:val="0"/>
          <w:sz w:val="24"/>
          <w:szCs w:val="24"/>
          <w:highlight w:val="yellow"/>
        </w:rPr>
      </w:pPr>
      <w:r>
        <w:rPr>
          <w:rStyle w:val="45"/>
          <w:rFonts w:hint="eastAsia" w:ascii="宋体" w:hAnsi="宋体" w:cs="宋体"/>
          <w:kern w:val="0"/>
          <w:sz w:val="24"/>
          <w:szCs w:val="24"/>
          <w:highlight w:val="yellow"/>
        </w:rPr>
        <w:t>投标人(盖公章)：</w:t>
      </w:r>
    </w:p>
    <w:p w14:paraId="212AC7D8">
      <w:pPr>
        <w:pStyle w:val="189"/>
        <w:adjustRightInd w:val="0"/>
        <w:snapToGrid w:val="0"/>
        <w:spacing w:line="360" w:lineRule="auto"/>
        <w:ind w:firstLine="4752" w:firstLineChars="1980"/>
        <w:rPr>
          <w:rStyle w:val="45"/>
          <w:rFonts w:ascii="宋体" w:hAnsi="宋体" w:cs="宋体"/>
          <w:kern w:val="0"/>
          <w:sz w:val="24"/>
          <w:szCs w:val="24"/>
          <w:highlight w:val="yellow"/>
        </w:rPr>
      </w:pPr>
      <w:r>
        <w:rPr>
          <w:rStyle w:val="45"/>
          <w:rFonts w:hint="eastAsia" w:ascii="宋体" w:hAnsi="宋体" w:cs="宋体"/>
          <w:kern w:val="0"/>
          <w:sz w:val="24"/>
          <w:szCs w:val="24"/>
          <w:highlight w:val="yellow"/>
        </w:rPr>
        <w:t>法定代表人或授权代表(签字或盖章)：</w:t>
      </w:r>
    </w:p>
    <w:p w14:paraId="5DBE29F2">
      <w:pPr>
        <w:pStyle w:val="189"/>
        <w:snapToGrid w:val="0"/>
        <w:spacing w:line="360" w:lineRule="auto"/>
        <w:ind w:firstLine="4800" w:firstLineChars="2000"/>
        <w:rPr>
          <w:rStyle w:val="45"/>
          <w:rFonts w:ascii="宋体" w:hAnsi="宋体" w:cs="宋体"/>
          <w:kern w:val="0"/>
          <w:sz w:val="24"/>
          <w:szCs w:val="24"/>
          <w:highlight w:val="yellow"/>
        </w:rPr>
      </w:pPr>
      <w:r>
        <w:rPr>
          <w:rStyle w:val="45"/>
          <w:rFonts w:hint="eastAsia" w:ascii="宋体" w:hAnsi="宋体" w:cs="宋体"/>
          <w:kern w:val="0"/>
          <w:sz w:val="24"/>
          <w:szCs w:val="24"/>
          <w:highlight w:val="yellow"/>
        </w:rPr>
        <w:t>日期：</w:t>
      </w:r>
    </w:p>
    <w:p w14:paraId="58727C1E">
      <w:pPr>
        <w:pStyle w:val="190"/>
        <w:outlineLvl w:val="1"/>
        <w:rPr>
          <w:rStyle w:val="45"/>
          <w:highlight w:val="yellow"/>
        </w:rPr>
      </w:pPr>
    </w:p>
    <w:p w14:paraId="16AF963E">
      <w:pPr>
        <w:pStyle w:val="190"/>
        <w:outlineLvl w:val="1"/>
        <w:rPr>
          <w:rStyle w:val="45"/>
          <w:highlight w:val="yellow"/>
        </w:rPr>
      </w:pPr>
    </w:p>
    <w:p w14:paraId="0F26FF46">
      <w:pPr>
        <w:pStyle w:val="190"/>
        <w:outlineLvl w:val="1"/>
        <w:rPr>
          <w:rStyle w:val="45"/>
          <w:highlight w:val="yellow"/>
        </w:rPr>
      </w:pPr>
    </w:p>
    <w:p w14:paraId="7A43FD00">
      <w:pPr>
        <w:pStyle w:val="190"/>
        <w:outlineLvl w:val="1"/>
        <w:rPr>
          <w:rStyle w:val="45"/>
          <w:highlight w:val="yellow"/>
        </w:rPr>
      </w:pPr>
    </w:p>
    <w:p w14:paraId="5011B4E6">
      <w:pPr>
        <w:pStyle w:val="190"/>
        <w:outlineLvl w:val="1"/>
        <w:rPr>
          <w:rStyle w:val="45"/>
          <w:highlight w:val="yellow"/>
        </w:rPr>
      </w:pPr>
    </w:p>
    <w:p w14:paraId="17D59C95">
      <w:pPr>
        <w:pStyle w:val="190"/>
        <w:outlineLvl w:val="1"/>
        <w:rPr>
          <w:rStyle w:val="45"/>
          <w:highlight w:val="yellow"/>
        </w:rPr>
      </w:pPr>
    </w:p>
    <w:p w14:paraId="325BB44C">
      <w:pPr>
        <w:pStyle w:val="190"/>
        <w:outlineLvl w:val="1"/>
        <w:rPr>
          <w:rStyle w:val="45"/>
          <w:highlight w:val="yellow"/>
        </w:rPr>
      </w:pPr>
    </w:p>
    <w:p w14:paraId="1F23D741">
      <w:pPr>
        <w:pStyle w:val="190"/>
        <w:outlineLvl w:val="1"/>
        <w:rPr>
          <w:rStyle w:val="45"/>
          <w:highlight w:val="yellow"/>
        </w:rPr>
      </w:pPr>
    </w:p>
    <w:p w14:paraId="7FD2FBDC">
      <w:pPr>
        <w:pStyle w:val="190"/>
        <w:outlineLvl w:val="1"/>
        <w:rPr>
          <w:rStyle w:val="45"/>
          <w:highlight w:val="yellow"/>
        </w:rPr>
      </w:pPr>
    </w:p>
    <w:p w14:paraId="017F743C">
      <w:pPr>
        <w:pStyle w:val="190"/>
        <w:outlineLvl w:val="1"/>
        <w:rPr>
          <w:rStyle w:val="45"/>
          <w:highlight w:val="yellow"/>
        </w:rPr>
      </w:pPr>
    </w:p>
    <w:p w14:paraId="372FA3B9">
      <w:pPr>
        <w:pStyle w:val="190"/>
        <w:outlineLvl w:val="1"/>
        <w:rPr>
          <w:rStyle w:val="45"/>
          <w:highlight w:val="yellow"/>
        </w:rPr>
      </w:pPr>
    </w:p>
    <w:p w14:paraId="27FADCF4">
      <w:pPr>
        <w:pStyle w:val="190"/>
        <w:outlineLvl w:val="1"/>
        <w:rPr>
          <w:rStyle w:val="45"/>
          <w:highlight w:val="yellow"/>
        </w:rPr>
      </w:pPr>
    </w:p>
    <w:p w14:paraId="275C470C">
      <w:pPr>
        <w:pStyle w:val="190"/>
        <w:outlineLvl w:val="1"/>
        <w:rPr>
          <w:rStyle w:val="45"/>
          <w:highlight w:val="yellow"/>
        </w:rPr>
      </w:pPr>
    </w:p>
    <w:p w14:paraId="110E3CDE">
      <w:pPr>
        <w:pStyle w:val="190"/>
        <w:outlineLvl w:val="1"/>
        <w:rPr>
          <w:rStyle w:val="45"/>
          <w:highlight w:val="yellow"/>
        </w:rPr>
      </w:pPr>
    </w:p>
    <w:p w14:paraId="4A90B72E">
      <w:pPr>
        <w:pStyle w:val="190"/>
        <w:outlineLvl w:val="1"/>
        <w:rPr>
          <w:rStyle w:val="45"/>
          <w:highlight w:val="yellow"/>
        </w:rPr>
      </w:pPr>
    </w:p>
    <w:p w14:paraId="458455B0">
      <w:pPr>
        <w:pStyle w:val="190"/>
        <w:outlineLvl w:val="1"/>
        <w:rPr>
          <w:rStyle w:val="45"/>
          <w:highlight w:val="yellow"/>
        </w:rPr>
      </w:pPr>
    </w:p>
    <w:p w14:paraId="6BA5C7DA">
      <w:pPr>
        <w:pStyle w:val="190"/>
        <w:outlineLvl w:val="1"/>
        <w:rPr>
          <w:rStyle w:val="45"/>
          <w:highlight w:val="yellow"/>
        </w:rPr>
      </w:pPr>
    </w:p>
    <w:p w14:paraId="0838E92F">
      <w:pPr>
        <w:pStyle w:val="190"/>
        <w:outlineLvl w:val="1"/>
        <w:rPr>
          <w:rStyle w:val="45"/>
          <w:highlight w:val="yellow"/>
        </w:rPr>
      </w:pPr>
    </w:p>
    <w:p w14:paraId="2EA62C9A">
      <w:pPr>
        <w:pStyle w:val="190"/>
        <w:outlineLvl w:val="1"/>
        <w:rPr>
          <w:rStyle w:val="45"/>
          <w:highlight w:val="yellow"/>
        </w:rPr>
      </w:pPr>
    </w:p>
    <w:p w14:paraId="04E4D6FD">
      <w:pPr>
        <w:pStyle w:val="190"/>
        <w:outlineLvl w:val="1"/>
        <w:rPr>
          <w:rStyle w:val="45"/>
          <w:highlight w:val="yellow"/>
        </w:rPr>
      </w:pPr>
    </w:p>
    <w:p w14:paraId="33DB34C0">
      <w:pPr>
        <w:pStyle w:val="190"/>
        <w:outlineLvl w:val="1"/>
        <w:rPr>
          <w:rStyle w:val="45"/>
          <w:highlight w:val="yellow"/>
        </w:rPr>
      </w:pPr>
    </w:p>
    <w:p w14:paraId="531B0B1A">
      <w:pPr>
        <w:pStyle w:val="190"/>
        <w:outlineLvl w:val="1"/>
        <w:rPr>
          <w:rStyle w:val="45"/>
          <w:highlight w:val="yellow"/>
        </w:rPr>
      </w:pPr>
    </w:p>
    <w:p w14:paraId="1C054E1F">
      <w:pPr>
        <w:pStyle w:val="2"/>
        <w:rPr>
          <w:highlight w:val="yellow"/>
        </w:rPr>
      </w:pPr>
    </w:p>
    <w:p w14:paraId="31E02DBB">
      <w:pPr>
        <w:snapToGrid w:val="0"/>
        <w:spacing w:line="360" w:lineRule="auto"/>
        <w:rPr>
          <w:rFonts w:ascii="宋体" w:hAnsi="宋体" w:cs="宋体"/>
          <w:b/>
          <w:color w:val="auto"/>
          <w:kern w:val="0"/>
          <w:szCs w:val="21"/>
          <w:highlight w:val="yellow"/>
        </w:rPr>
      </w:pPr>
      <w:r>
        <w:rPr>
          <w:rFonts w:hint="eastAsia" w:ascii="宋体" w:hAnsi="宋体" w:cs="宋体"/>
          <w:b/>
          <w:color w:val="auto"/>
          <w:kern w:val="0"/>
          <w:szCs w:val="21"/>
          <w:highlight w:val="yellow"/>
        </w:rPr>
        <w:t>3.</w:t>
      </w:r>
      <w:r>
        <w:rPr>
          <w:rFonts w:hint="eastAsia" w:ascii="宋体" w:hAnsi="宋体" w:cs="宋体"/>
          <w:b/>
          <w:color w:val="auto"/>
          <w:kern w:val="0"/>
          <w:szCs w:val="21"/>
          <w:highlight w:val="yellow"/>
          <w:lang w:val="en-US" w:eastAsia="zh-CN"/>
        </w:rPr>
        <w:t>12技术响应偏离表</w:t>
      </w:r>
    </w:p>
    <w:p w14:paraId="6DC0E938">
      <w:pPr>
        <w:pStyle w:val="39"/>
        <w:widowControl w:val="0"/>
        <w:shd w:val="clear" w:color="auto" w:fill="FFFFFF"/>
        <w:snapToGrid w:val="0"/>
        <w:spacing w:before="0" w:beforeAutospacing="0" w:after="0" w:afterAutospacing="0" w:line="360" w:lineRule="auto"/>
        <w:jc w:val="center"/>
        <w:rPr>
          <w:rFonts w:hint="eastAsia" w:ascii="宋体" w:hAnsi="宋体" w:cs="宋体"/>
          <w:b/>
          <w:color w:val="auto"/>
          <w:sz w:val="28"/>
          <w:szCs w:val="28"/>
          <w:highlight w:val="yellow"/>
        </w:rPr>
      </w:pPr>
      <w:r>
        <w:rPr>
          <w:rFonts w:hint="eastAsia" w:ascii="宋体" w:hAnsi="宋体" w:cs="宋体"/>
          <w:b/>
          <w:color w:val="auto"/>
          <w:sz w:val="28"/>
          <w:szCs w:val="28"/>
          <w:highlight w:val="yellow"/>
        </w:rPr>
        <w:t>技术响应偏离表</w:t>
      </w:r>
    </w:p>
    <w:p w14:paraId="4AE3E5AE">
      <w:pPr>
        <w:pStyle w:val="177"/>
        <w:adjustRightInd w:val="0"/>
        <w:snapToGrid w:val="0"/>
        <w:rPr>
          <w:rStyle w:val="45"/>
          <w:rFonts w:ascii="宋体" w:hAnsi="宋体"/>
          <w:szCs w:val="21"/>
          <w:highlight w:val="yellow"/>
          <w:u w:val="single"/>
        </w:rPr>
      </w:pPr>
      <w:r>
        <w:rPr>
          <w:rStyle w:val="45"/>
          <w:rFonts w:hint="eastAsia" w:ascii="宋体" w:hAnsi="宋体"/>
          <w:spacing w:val="28"/>
          <w:szCs w:val="21"/>
          <w:highlight w:val="yellow"/>
        </w:rPr>
        <w:t>政府采购编号</w:t>
      </w:r>
      <w:r>
        <w:rPr>
          <w:rStyle w:val="45"/>
          <w:rFonts w:hint="eastAsia" w:ascii="宋体" w:hAnsi="宋体"/>
          <w:szCs w:val="21"/>
          <w:highlight w:val="yellow"/>
        </w:rPr>
        <w:t xml:space="preserve">: </w:t>
      </w:r>
      <w:r>
        <w:rPr>
          <w:rStyle w:val="45"/>
          <w:rFonts w:hint="eastAsia" w:ascii="宋体" w:hAnsi="宋体"/>
          <w:szCs w:val="21"/>
          <w:highlight w:val="yellow"/>
          <w:u w:val="single"/>
        </w:rPr>
        <w:t xml:space="preserve">                        </w:t>
      </w:r>
    </w:p>
    <w:p w14:paraId="27EB61F1">
      <w:pPr>
        <w:pStyle w:val="177"/>
        <w:adjustRightInd w:val="0"/>
        <w:snapToGrid w:val="0"/>
        <w:rPr>
          <w:rStyle w:val="45"/>
          <w:rFonts w:ascii="宋体" w:hAnsi="宋体"/>
          <w:szCs w:val="21"/>
          <w:highlight w:val="yellow"/>
          <w:u w:val="single"/>
        </w:rPr>
      </w:pPr>
      <w:r>
        <w:rPr>
          <w:rStyle w:val="45"/>
          <w:rFonts w:hint="eastAsia" w:ascii="宋体" w:hAnsi="宋体"/>
          <w:szCs w:val="21"/>
          <w:highlight w:val="yellow"/>
        </w:rPr>
        <w:t xml:space="preserve"> </w:t>
      </w:r>
    </w:p>
    <w:tbl>
      <w:tblPr>
        <w:tblStyle w:val="4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664"/>
        <w:gridCol w:w="1890"/>
        <w:gridCol w:w="1711"/>
        <w:gridCol w:w="1784"/>
        <w:gridCol w:w="1875"/>
        <w:gridCol w:w="1290"/>
        <w:gridCol w:w="1308"/>
      </w:tblGrid>
      <w:tr w14:paraId="72945E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64" w:type="dxa"/>
            <w:vMerge w:val="restart"/>
            <w:tcBorders>
              <w:top w:val="double" w:color="auto" w:sz="4" w:space="0"/>
              <w:left w:val="double" w:color="auto" w:sz="4" w:space="0"/>
              <w:right w:val="single" w:color="auto" w:sz="6" w:space="0"/>
            </w:tcBorders>
            <w:noWrap w:val="0"/>
            <w:vAlign w:val="center"/>
          </w:tcPr>
          <w:p w14:paraId="203C586A">
            <w:pPr>
              <w:pStyle w:val="39"/>
              <w:widowControl w:val="0"/>
              <w:shd w:val="clear" w:color="auto" w:fill="FFFFFF"/>
              <w:spacing w:before="0" w:beforeAutospacing="0" w:after="0" w:afterAutospacing="0" w:line="360" w:lineRule="auto"/>
              <w:jc w:val="both"/>
              <w:rPr>
                <w:rFonts w:hint="eastAsia"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yellow"/>
                <w:lang w:val="en-US" w:eastAsia="zh-CN"/>
              </w:rPr>
              <w:t>序号</w:t>
            </w:r>
          </w:p>
        </w:tc>
        <w:tc>
          <w:tcPr>
            <w:tcW w:w="3601" w:type="dxa"/>
            <w:gridSpan w:val="2"/>
            <w:tcBorders>
              <w:top w:val="double" w:color="auto" w:sz="4" w:space="0"/>
              <w:left w:val="single" w:color="auto" w:sz="6" w:space="0"/>
              <w:bottom w:val="single" w:color="auto" w:sz="6" w:space="0"/>
              <w:right w:val="single" w:color="auto" w:sz="6" w:space="0"/>
            </w:tcBorders>
            <w:noWrap w:val="0"/>
            <w:vAlign w:val="center"/>
          </w:tcPr>
          <w:p w14:paraId="69B194BF">
            <w:pPr>
              <w:pStyle w:val="39"/>
              <w:widowControl w:val="0"/>
              <w:shd w:val="clear" w:color="auto" w:fill="FFFFFF"/>
              <w:spacing w:before="0" w:beforeAutospacing="0" w:after="0" w:afterAutospacing="0" w:line="360" w:lineRule="auto"/>
              <w:jc w:val="center"/>
              <w:rPr>
                <w:rFonts w:hint="eastAsia"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yellow"/>
                <w:lang w:val="en-US" w:eastAsia="zh-CN"/>
              </w:rPr>
              <w:t>招标文件要求</w:t>
            </w:r>
          </w:p>
        </w:tc>
        <w:tc>
          <w:tcPr>
            <w:tcW w:w="3659" w:type="dxa"/>
            <w:gridSpan w:val="2"/>
            <w:tcBorders>
              <w:top w:val="double" w:color="auto" w:sz="4" w:space="0"/>
              <w:left w:val="single" w:color="auto" w:sz="6" w:space="0"/>
              <w:bottom w:val="single" w:color="auto" w:sz="6" w:space="0"/>
              <w:right w:val="single" w:color="auto" w:sz="6" w:space="0"/>
            </w:tcBorders>
            <w:noWrap w:val="0"/>
            <w:vAlign w:val="center"/>
          </w:tcPr>
          <w:p w14:paraId="72C4D180">
            <w:pPr>
              <w:pStyle w:val="39"/>
              <w:widowControl w:val="0"/>
              <w:shd w:val="clear" w:color="auto" w:fill="FFFFFF"/>
              <w:spacing w:before="0" w:beforeAutospacing="0" w:after="0" w:afterAutospacing="0" w:line="360" w:lineRule="auto"/>
              <w:jc w:val="center"/>
              <w:rPr>
                <w:rFonts w:hint="eastAsia"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yellow"/>
                <w:lang w:val="en-US" w:eastAsia="zh-CN"/>
              </w:rPr>
              <w:t>投标文件响应</w:t>
            </w:r>
          </w:p>
        </w:tc>
        <w:tc>
          <w:tcPr>
            <w:tcW w:w="1290" w:type="dxa"/>
            <w:vMerge w:val="restart"/>
            <w:tcBorders>
              <w:top w:val="double" w:color="auto" w:sz="4" w:space="0"/>
              <w:left w:val="single" w:color="auto" w:sz="6" w:space="0"/>
              <w:right w:val="single" w:color="auto" w:sz="6" w:space="0"/>
            </w:tcBorders>
            <w:noWrap w:val="0"/>
            <w:vAlign w:val="center"/>
          </w:tcPr>
          <w:p w14:paraId="12FB98BB">
            <w:pPr>
              <w:pStyle w:val="39"/>
              <w:widowControl w:val="0"/>
              <w:shd w:val="clear" w:color="auto" w:fill="FFFFFF"/>
              <w:spacing w:before="0" w:beforeAutospacing="0" w:after="0" w:afterAutospacing="0" w:line="360" w:lineRule="auto"/>
              <w:jc w:val="center"/>
              <w:rPr>
                <w:rFonts w:hint="eastAsia"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yellow"/>
                <w:lang w:val="en-US" w:eastAsia="zh-CN"/>
              </w:rPr>
              <w:t>响应/偏离</w:t>
            </w:r>
          </w:p>
        </w:tc>
        <w:tc>
          <w:tcPr>
            <w:tcW w:w="1308" w:type="dxa"/>
            <w:vMerge w:val="restart"/>
            <w:tcBorders>
              <w:top w:val="double" w:color="auto" w:sz="4" w:space="0"/>
              <w:left w:val="single" w:color="auto" w:sz="6" w:space="0"/>
              <w:right w:val="double" w:color="auto" w:sz="4" w:space="0"/>
            </w:tcBorders>
            <w:noWrap w:val="0"/>
            <w:vAlign w:val="center"/>
          </w:tcPr>
          <w:p w14:paraId="2E01AD67">
            <w:pPr>
              <w:pStyle w:val="39"/>
              <w:widowControl w:val="0"/>
              <w:shd w:val="clear" w:color="auto" w:fill="FFFFFF"/>
              <w:spacing w:before="0" w:beforeAutospacing="0" w:after="0" w:afterAutospacing="0" w:line="360" w:lineRule="auto"/>
              <w:jc w:val="center"/>
              <w:rPr>
                <w:rFonts w:hint="eastAsia"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yellow"/>
                <w:lang w:val="en-US" w:eastAsia="zh-CN"/>
              </w:rPr>
              <w:t>说明</w:t>
            </w:r>
          </w:p>
        </w:tc>
      </w:tr>
      <w:tr w14:paraId="00C73A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64" w:type="dxa"/>
            <w:vMerge w:val="continue"/>
            <w:tcBorders>
              <w:left w:val="double" w:color="auto" w:sz="4" w:space="0"/>
              <w:bottom w:val="single" w:color="auto" w:sz="6" w:space="0"/>
              <w:right w:val="single" w:color="auto" w:sz="6" w:space="0"/>
            </w:tcBorders>
            <w:noWrap w:val="0"/>
            <w:vAlign w:val="center"/>
          </w:tcPr>
          <w:p w14:paraId="455BEBAE">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90" w:type="dxa"/>
            <w:tcBorders>
              <w:top w:val="double" w:color="auto" w:sz="4" w:space="0"/>
              <w:left w:val="single" w:color="auto" w:sz="6" w:space="0"/>
              <w:bottom w:val="single" w:color="auto" w:sz="6" w:space="0"/>
              <w:right w:val="single" w:color="auto" w:sz="4" w:space="0"/>
            </w:tcBorders>
            <w:noWrap w:val="0"/>
            <w:vAlign w:val="center"/>
          </w:tcPr>
          <w:p w14:paraId="29FB5A42">
            <w:pPr>
              <w:pStyle w:val="39"/>
              <w:widowControl w:val="0"/>
              <w:shd w:val="clear" w:color="auto" w:fill="FFFFFF"/>
              <w:spacing w:before="0" w:beforeAutospacing="0" w:after="0" w:afterAutospacing="0" w:line="360" w:lineRule="auto"/>
              <w:jc w:val="center"/>
              <w:rPr>
                <w:rFonts w:hint="eastAsia"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yellow"/>
                <w:lang w:val="en-US" w:eastAsia="zh-CN"/>
              </w:rPr>
              <w:t>章节、条款号</w:t>
            </w:r>
          </w:p>
        </w:tc>
        <w:tc>
          <w:tcPr>
            <w:tcW w:w="1711" w:type="dxa"/>
            <w:tcBorders>
              <w:top w:val="double" w:color="auto" w:sz="4" w:space="0"/>
              <w:left w:val="single" w:color="auto" w:sz="4" w:space="0"/>
              <w:bottom w:val="single" w:color="auto" w:sz="6" w:space="0"/>
              <w:right w:val="single" w:color="auto" w:sz="6" w:space="0"/>
            </w:tcBorders>
            <w:noWrap w:val="0"/>
            <w:vAlign w:val="center"/>
          </w:tcPr>
          <w:p w14:paraId="3685A40E">
            <w:pPr>
              <w:pStyle w:val="39"/>
              <w:widowControl w:val="0"/>
              <w:shd w:val="clear" w:color="auto" w:fill="FFFFFF"/>
              <w:spacing w:before="0" w:beforeAutospacing="0" w:after="0" w:afterAutospacing="0" w:line="360" w:lineRule="auto"/>
              <w:jc w:val="center"/>
              <w:rPr>
                <w:rFonts w:hint="eastAsia"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yellow"/>
                <w:lang w:val="en-US" w:eastAsia="zh-CN"/>
              </w:rPr>
              <w:t>条款内容描述</w:t>
            </w:r>
          </w:p>
        </w:tc>
        <w:tc>
          <w:tcPr>
            <w:tcW w:w="1784" w:type="dxa"/>
            <w:tcBorders>
              <w:top w:val="double" w:color="auto" w:sz="4" w:space="0"/>
              <w:left w:val="single" w:color="auto" w:sz="6" w:space="0"/>
              <w:bottom w:val="single" w:color="auto" w:sz="6" w:space="0"/>
              <w:right w:val="single" w:color="auto" w:sz="4" w:space="0"/>
            </w:tcBorders>
            <w:noWrap w:val="0"/>
            <w:vAlign w:val="center"/>
          </w:tcPr>
          <w:p w14:paraId="64D6E542">
            <w:pPr>
              <w:pStyle w:val="39"/>
              <w:widowControl w:val="0"/>
              <w:shd w:val="clear" w:color="auto" w:fill="FFFFFF"/>
              <w:spacing w:before="0" w:beforeAutospacing="0" w:after="0" w:afterAutospacing="0" w:line="360" w:lineRule="auto"/>
              <w:jc w:val="center"/>
              <w:rPr>
                <w:rFonts w:hint="eastAsia"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yellow"/>
                <w:lang w:val="en-US" w:eastAsia="zh-CN"/>
              </w:rPr>
              <w:t>章节、条款号</w:t>
            </w:r>
          </w:p>
        </w:tc>
        <w:tc>
          <w:tcPr>
            <w:tcW w:w="1875" w:type="dxa"/>
            <w:tcBorders>
              <w:top w:val="double" w:color="auto" w:sz="4" w:space="0"/>
              <w:left w:val="single" w:color="auto" w:sz="4" w:space="0"/>
              <w:bottom w:val="single" w:color="auto" w:sz="6" w:space="0"/>
              <w:right w:val="single" w:color="auto" w:sz="6" w:space="0"/>
            </w:tcBorders>
            <w:noWrap w:val="0"/>
            <w:vAlign w:val="center"/>
          </w:tcPr>
          <w:p w14:paraId="669868E6">
            <w:pPr>
              <w:pStyle w:val="39"/>
              <w:widowControl w:val="0"/>
              <w:shd w:val="clear" w:color="auto" w:fill="FFFFFF"/>
              <w:spacing w:before="0" w:beforeAutospacing="0" w:after="0" w:afterAutospacing="0" w:line="360" w:lineRule="auto"/>
              <w:jc w:val="center"/>
              <w:rPr>
                <w:rFonts w:hint="eastAsia" w:asciiTheme="minorEastAsia" w:hAnsiTheme="minorEastAsia" w:eastAsiaTheme="minorEastAsia" w:cstheme="minorEastAsia"/>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yellow"/>
                <w:lang w:val="en-US" w:eastAsia="zh-CN"/>
              </w:rPr>
              <w:t>条款内容描述</w:t>
            </w:r>
          </w:p>
        </w:tc>
        <w:tc>
          <w:tcPr>
            <w:tcW w:w="1290" w:type="dxa"/>
            <w:vMerge w:val="continue"/>
            <w:tcBorders>
              <w:left w:val="single" w:color="auto" w:sz="6" w:space="0"/>
              <w:bottom w:val="single" w:color="auto" w:sz="6" w:space="0"/>
              <w:right w:val="single" w:color="auto" w:sz="6" w:space="0"/>
            </w:tcBorders>
            <w:noWrap w:val="0"/>
            <w:vAlign w:val="center"/>
          </w:tcPr>
          <w:p w14:paraId="4CA1BE88">
            <w:pPr>
              <w:pStyle w:val="39"/>
              <w:widowControl w:val="0"/>
              <w:shd w:val="clear" w:color="auto" w:fill="FFFFFF"/>
              <w:spacing w:before="0" w:beforeAutospacing="0" w:after="0" w:afterAutospacing="0" w:line="360" w:lineRule="auto"/>
              <w:ind w:firstLine="420" w:firstLineChars="200"/>
              <w:jc w:val="center"/>
              <w:rPr>
                <w:rFonts w:hint="eastAsia" w:asciiTheme="minorEastAsia" w:hAnsiTheme="minorEastAsia" w:eastAsiaTheme="minorEastAsia" w:cstheme="minorEastAsia"/>
                <w:color w:val="auto"/>
                <w:sz w:val="21"/>
                <w:szCs w:val="21"/>
                <w:highlight w:val="yellow"/>
                <w:lang w:val="en-US" w:eastAsia="zh-CN"/>
              </w:rPr>
            </w:pPr>
          </w:p>
        </w:tc>
        <w:tc>
          <w:tcPr>
            <w:tcW w:w="1308" w:type="dxa"/>
            <w:vMerge w:val="continue"/>
            <w:tcBorders>
              <w:left w:val="single" w:color="auto" w:sz="6" w:space="0"/>
              <w:bottom w:val="single" w:color="auto" w:sz="6" w:space="0"/>
              <w:right w:val="double" w:color="auto" w:sz="4" w:space="0"/>
            </w:tcBorders>
            <w:noWrap w:val="0"/>
            <w:vAlign w:val="center"/>
          </w:tcPr>
          <w:p w14:paraId="2C973BF5">
            <w:pPr>
              <w:pStyle w:val="39"/>
              <w:widowControl w:val="0"/>
              <w:shd w:val="clear" w:color="auto" w:fill="FFFFFF"/>
              <w:spacing w:before="0" w:beforeAutospacing="0" w:after="0" w:afterAutospacing="0" w:line="360" w:lineRule="auto"/>
              <w:ind w:firstLine="420" w:firstLineChars="200"/>
              <w:jc w:val="center"/>
              <w:rPr>
                <w:rFonts w:hint="eastAsia" w:asciiTheme="minorEastAsia" w:hAnsiTheme="minorEastAsia" w:eastAsiaTheme="minorEastAsia" w:cstheme="minorEastAsia"/>
                <w:color w:val="auto"/>
                <w:sz w:val="21"/>
                <w:szCs w:val="21"/>
                <w:highlight w:val="yellow"/>
                <w:lang w:val="en-US" w:eastAsia="zh-CN"/>
              </w:rPr>
            </w:pPr>
          </w:p>
        </w:tc>
      </w:tr>
      <w:tr w14:paraId="70E40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64" w:type="dxa"/>
            <w:tcBorders>
              <w:top w:val="single" w:color="auto" w:sz="6" w:space="0"/>
              <w:left w:val="double" w:color="auto" w:sz="4" w:space="0"/>
              <w:bottom w:val="single" w:color="auto" w:sz="6" w:space="0"/>
              <w:right w:val="single" w:color="auto" w:sz="6" w:space="0"/>
            </w:tcBorders>
            <w:noWrap w:val="0"/>
            <w:vAlign w:val="center"/>
          </w:tcPr>
          <w:p w14:paraId="57528C5A">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90" w:type="dxa"/>
            <w:tcBorders>
              <w:top w:val="single" w:color="auto" w:sz="6" w:space="0"/>
              <w:left w:val="single" w:color="auto" w:sz="6" w:space="0"/>
              <w:bottom w:val="single" w:color="auto" w:sz="6" w:space="0"/>
              <w:right w:val="single" w:color="auto" w:sz="4" w:space="0"/>
            </w:tcBorders>
            <w:noWrap w:val="0"/>
            <w:vAlign w:val="center"/>
          </w:tcPr>
          <w:p w14:paraId="471FD64C">
            <w:pPr>
              <w:pStyle w:val="39"/>
              <w:widowControl w:val="0"/>
              <w:shd w:val="clear" w:color="auto" w:fill="FFFFFF"/>
              <w:spacing w:before="0" w:beforeAutospacing="0" w:after="0" w:afterAutospacing="0" w:line="360" w:lineRule="auto"/>
              <w:ind w:firstLine="420" w:firstLineChars="200"/>
              <w:jc w:val="center"/>
              <w:rPr>
                <w:rFonts w:hint="eastAsia" w:asciiTheme="minorEastAsia" w:hAnsiTheme="minorEastAsia" w:eastAsiaTheme="minorEastAsia" w:cstheme="minorEastAsia"/>
                <w:color w:val="auto"/>
                <w:sz w:val="21"/>
                <w:szCs w:val="21"/>
                <w:highlight w:val="yellow"/>
                <w:lang w:val="en-US" w:eastAsia="zh-CN"/>
              </w:rPr>
            </w:pPr>
          </w:p>
        </w:tc>
        <w:tc>
          <w:tcPr>
            <w:tcW w:w="1711" w:type="dxa"/>
            <w:tcBorders>
              <w:top w:val="single" w:color="auto" w:sz="6" w:space="0"/>
              <w:left w:val="single" w:color="auto" w:sz="4" w:space="0"/>
              <w:bottom w:val="single" w:color="auto" w:sz="6" w:space="0"/>
              <w:right w:val="single" w:color="auto" w:sz="6" w:space="0"/>
            </w:tcBorders>
            <w:noWrap w:val="0"/>
            <w:vAlign w:val="center"/>
          </w:tcPr>
          <w:p w14:paraId="4A578EFB">
            <w:pPr>
              <w:pStyle w:val="39"/>
              <w:widowControl w:val="0"/>
              <w:shd w:val="clear" w:color="auto" w:fill="FFFFFF"/>
              <w:spacing w:before="0" w:beforeAutospacing="0" w:after="0" w:afterAutospacing="0" w:line="360" w:lineRule="auto"/>
              <w:ind w:firstLine="420" w:firstLineChars="200"/>
              <w:jc w:val="center"/>
              <w:rPr>
                <w:rFonts w:hint="eastAsia" w:asciiTheme="minorEastAsia" w:hAnsiTheme="minorEastAsia" w:eastAsiaTheme="minorEastAsia" w:cstheme="minorEastAsia"/>
                <w:color w:val="auto"/>
                <w:sz w:val="21"/>
                <w:szCs w:val="21"/>
                <w:highlight w:val="yellow"/>
                <w:lang w:val="en-US" w:eastAsia="zh-CN"/>
              </w:rPr>
            </w:pPr>
          </w:p>
        </w:tc>
        <w:tc>
          <w:tcPr>
            <w:tcW w:w="1784" w:type="dxa"/>
            <w:tcBorders>
              <w:top w:val="single" w:color="auto" w:sz="6" w:space="0"/>
              <w:left w:val="single" w:color="auto" w:sz="6" w:space="0"/>
              <w:bottom w:val="single" w:color="auto" w:sz="6" w:space="0"/>
              <w:right w:val="single" w:color="auto" w:sz="4" w:space="0"/>
            </w:tcBorders>
            <w:noWrap w:val="0"/>
            <w:vAlign w:val="center"/>
          </w:tcPr>
          <w:p w14:paraId="0A9C9B62">
            <w:pPr>
              <w:pStyle w:val="39"/>
              <w:widowControl w:val="0"/>
              <w:shd w:val="clear" w:color="auto" w:fill="FFFFFF"/>
              <w:spacing w:before="0" w:beforeAutospacing="0" w:after="0" w:afterAutospacing="0" w:line="360" w:lineRule="auto"/>
              <w:ind w:firstLine="420" w:firstLineChars="200"/>
              <w:jc w:val="center"/>
              <w:rPr>
                <w:rFonts w:hint="eastAsia" w:asciiTheme="minorEastAsia" w:hAnsiTheme="minorEastAsia" w:eastAsiaTheme="minorEastAsia" w:cstheme="minorEastAsia"/>
                <w:color w:val="auto"/>
                <w:sz w:val="21"/>
                <w:szCs w:val="21"/>
                <w:highlight w:val="yellow"/>
                <w:lang w:val="en-US" w:eastAsia="zh-CN"/>
              </w:rPr>
            </w:pPr>
          </w:p>
        </w:tc>
        <w:tc>
          <w:tcPr>
            <w:tcW w:w="1875" w:type="dxa"/>
            <w:tcBorders>
              <w:top w:val="single" w:color="auto" w:sz="6" w:space="0"/>
              <w:left w:val="single" w:color="auto" w:sz="4" w:space="0"/>
              <w:bottom w:val="single" w:color="auto" w:sz="6" w:space="0"/>
              <w:right w:val="single" w:color="auto" w:sz="6" w:space="0"/>
            </w:tcBorders>
            <w:noWrap w:val="0"/>
            <w:vAlign w:val="center"/>
          </w:tcPr>
          <w:p w14:paraId="1E56FE4D">
            <w:pPr>
              <w:pStyle w:val="39"/>
              <w:widowControl w:val="0"/>
              <w:shd w:val="clear" w:color="auto" w:fill="FFFFFF"/>
              <w:spacing w:before="0" w:beforeAutospacing="0" w:after="0" w:afterAutospacing="0" w:line="360" w:lineRule="auto"/>
              <w:ind w:firstLine="420" w:firstLineChars="200"/>
              <w:jc w:val="center"/>
              <w:rPr>
                <w:rFonts w:hint="eastAsia" w:asciiTheme="minorEastAsia" w:hAnsiTheme="minorEastAsia" w:eastAsiaTheme="minorEastAsia" w:cstheme="minorEastAsia"/>
                <w:color w:val="auto"/>
                <w:sz w:val="21"/>
                <w:szCs w:val="21"/>
                <w:highlight w:val="yellow"/>
                <w:lang w:val="en-US" w:eastAsia="zh-CN"/>
              </w:rPr>
            </w:pPr>
          </w:p>
        </w:tc>
        <w:tc>
          <w:tcPr>
            <w:tcW w:w="1290" w:type="dxa"/>
            <w:tcBorders>
              <w:top w:val="single" w:color="auto" w:sz="6" w:space="0"/>
              <w:left w:val="single" w:color="auto" w:sz="6" w:space="0"/>
              <w:bottom w:val="single" w:color="auto" w:sz="6" w:space="0"/>
              <w:right w:val="single" w:color="auto" w:sz="6" w:space="0"/>
            </w:tcBorders>
            <w:noWrap w:val="0"/>
            <w:vAlign w:val="center"/>
          </w:tcPr>
          <w:p w14:paraId="5B617E62">
            <w:pPr>
              <w:pStyle w:val="39"/>
              <w:widowControl w:val="0"/>
              <w:shd w:val="clear" w:color="auto" w:fill="FFFFFF"/>
              <w:spacing w:before="0" w:beforeAutospacing="0" w:after="0" w:afterAutospacing="0" w:line="360" w:lineRule="auto"/>
              <w:ind w:firstLine="420" w:firstLineChars="200"/>
              <w:jc w:val="center"/>
              <w:rPr>
                <w:rFonts w:hint="eastAsia" w:asciiTheme="minorEastAsia" w:hAnsiTheme="minorEastAsia" w:eastAsiaTheme="minorEastAsia" w:cstheme="minorEastAsia"/>
                <w:color w:val="auto"/>
                <w:sz w:val="21"/>
                <w:szCs w:val="21"/>
                <w:highlight w:val="yellow"/>
                <w:lang w:val="en-US" w:eastAsia="zh-CN"/>
              </w:rPr>
            </w:pPr>
          </w:p>
        </w:tc>
        <w:tc>
          <w:tcPr>
            <w:tcW w:w="1308" w:type="dxa"/>
            <w:tcBorders>
              <w:top w:val="single" w:color="auto" w:sz="6" w:space="0"/>
              <w:left w:val="single" w:color="auto" w:sz="6" w:space="0"/>
              <w:bottom w:val="single" w:color="auto" w:sz="6" w:space="0"/>
              <w:right w:val="double" w:color="auto" w:sz="4" w:space="0"/>
            </w:tcBorders>
            <w:noWrap w:val="0"/>
            <w:vAlign w:val="center"/>
          </w:tcPr>
          <w:p w14:paraId="13C67AE8">
            <w:pPr>
              <w:pStyle w:val="39"/>
              <w:widowControl w:val="0"/>
              <w:shd w:val="clear" w:color="auto" w:fill="FFFFFF"/>
              <w:spacing w:before="0" w:beforeAutospacing="0" w:after="0" w:afterAutospacing="0" w:line="360" w:lineRule="auto"/>
              <w:ind w:firstLine="420" w:firstLineChars="200"/>
              <w:jc w:val="center"/>
              <w:rPr>
                <w:rFonts w:hint="eastAsia" w:asciiTheme="minorEastAsia" w:hAnsiTheme="minorEastAsia" w:eastAsiaTheme="minorEastAsia" w:cstheme="minorEastAsia"/>
                <w:color w:val="auto"/>
                <w:sz w:val="21"/>
                <w:szCs w:val="21"/>
                <w:highlight w:val="yellow"/>
                <w:lang w:val="en-US" w:eastAsia="zh-CN"/>
              </w:rPr>
            </w:pPr>
          </w:p>
        </w:tc>
      </w:tr>
      <w:tr w14:paraId="4EB3AA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64" w:type="dxa"/>
            <w:tcBorders>
              <w:top w:val="single" w:color="auto" w:sz="6" w:space="0"/>
              <w:left w:val="double" w:color="auto" w:sz="4" w:space="0"/>
              <w:bottom w:val="single" w:color="auto" w:sz="6" w:space="0"/>
              <w:right w:val="single" w:color="auto" w:sz="6" w:space="0"/>
            </w:tcBorders>
            <w:noWrap w:val="0"/>
            <w:vAlign w:val="center"/>
          </w:tcPr>
          <w:p w14:paraId="07CFEB2C">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90" w:type="dxa"/>
            <w:tcBorders>
              <w:top w:val="single" w:color="auto" w:sz="6" w:space="0"/>
              <w:left w:val="single" w:color="auto" w:sz="6" w:space="0"/>
              <w:bottom w:val="single" w:color="auto" w:sz="6" w:space="0"/>
              <w:right w:val="single" w:color="auto" w:sz="4" w:space="0"/>
            </w:tcBorders>
            <w:noWrap w:val="0"/>
            <w:vAlign w:val="center"/>
          </w:tcPr>
          <w:p w14:paraId="62D34A0A">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11" w:type="dxa"/>
            <w:tcBorders>
              <w:top w:val="single" w:color="auto" w:sz="6" w:space="0"/>
              <w:left w:val="single" w:color="auto" w:sz="4" w:space="0"/>
              <w:bottom w:val="single" w:color="auto" w:sz="6" w:space="0"/>
              <w:right w:val="single" w:color="auto" w:sz="6" w:space="0"/>
            </w:tcBorders>
            <w:noWrap w:val="0"/>
            <w:vAlign w:val="center"/>
          </w:tcPr>
          <w:p w14:paraId="2C68B03B">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84" w:type="dxa"/>
            <w:tcBorders>
              <w:top w:val="single" w:color="auto" w:sz="6" w:space="0"/>
              <w:left w:val="single" w:color="auto" w:sz="6" w:space="0"/>
              <w:bottom w:val="single" w:color="auto" w:sz="6" w:space="0"/>
              <w:right w:val="single" w:color="auto" w:sz="4" w:space="0"/>
            </w:tcBorders>
            <w:noWrap w:val="0"/>
            <w:vAlign w:val="center"/>
          </w:tcPr>
          <w:p w14:paraId="2349FE4D">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75" w:type="dxa"/>
            <w:tcBorders>
              <w:top w:val="single" w:color="auto" w:sz="6" w:space="0"/>
              <w:left w:val="single" w:color="auto" w:sz="4" w:space="0"/>
              <w:bottom w:val="single" w:color="auto" w:sz="6" w:space="0"/>
              <w:right w:val="single" w:color="auto" w:sz="6" w:space="0"/>
            </w:tcBorders>
            <w:noWrap w:val="0"/>
            <w:vAlign w:val="center"/>
          </w:tcPr>
          <w:p w14:paraId="030C7FDF">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290" w:type="dxa"/>
            <w:tcBorders>
              <w:top w:val="single" w:color="auto" w:sz="6" w:space="0"/>
              <w:left w:val="single" w:color="auto" w:sz="6" w:space="0"/>
              <w:bottom w:val="single" w:color="auto" w:sz="6" w:space="0"/>
              <w:right w:val="single" w:color="auto" w:sz="6" w:space="0"/>
            </w:tcBorders>
            <w:noWrap w:val="0"/>
            <w:vAlign w:val="center"/>
          </w:tcPr>
          <w:p w14:paraId="092CED29">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308" w:type="dxa"/>
            <w:tcBorders>
              <w:top w:val="single" w:color="auto" w:sz="6" w:space="0"/>
              <w:left w:val="single" w:color="auto" w:sz="6" w:space="0"/>
              <w:bottom w:val="single" w:color="auto" w:sz="6" w:space="0"/>
              <w:right w:val="double" w:color="auto" w:sz="4" w:space="0"/>
            </w:tcBorders>
            <w:noWrap w:val="0"/>
            <w:vAlign w:val="center"/>
          </w:tcPr>
          <w:p w14:paraId="446D3964">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r>
      <w:tr w14:paraId="264528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64" w:type="dxa"/>
            <w:tcBorders>
              <w:top w:val="single" w:color="auto" w:sz="6" w:space="0"/>
              <w:left w:val="double" w:color="auto" w:sz="4" w:space="0"/>
              <w:bottom w:val="single" w:color="auto" w:sz="6" w:space="0"/>
              <w:right w:val="single" w:color="auto" w:sz="6" w:space="0"/>
            </w:tcBorders>
            <w:noWrap w:val="0"/>
            <w:vAlign w:val="center"/>
          </w:tcPr>
          <w:p w14:paraId="267E7190">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90" w:type="dxa"/>
            <w:tcBorders>
              <w:top w:val="single" w:color="auto" w:sz="6" w:space="0"/>
              <w:left w:val="single" w:color="auto" w:sz="6" w:space="0"/>
              <w:bottom w:val="single" w:color="auto" w:sz="6" w:space="0"/>
              <w:right w:val="single" w:color="auto" w:sz="4" w:space="0"/>
            </w:tcBorders>
            <w:noWrap w:val="0"/>
            <w:vAlign w:val="center"/>
          </w:tcPr>
          <w:p w14:paraId="04DC9F11">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11" w:type="dxa"/>
            <w:tcBorders>
              <w:top w:val="single" w:color="auto" w:sz="6" w:space="0"/>
              <w:left w:val="single" w:color="auto" w:sz="4" w:space="0"/>
              <w:bottom w:val="single" w:color="auto" w:sz="6" w:space="0"/>
              <w:right w:val="single" w:color="auto" w:sz="6" w:space="0"/>
            </w:tcBorders>
            <w:noWrap w:val="0"/>
            <w:vAlign w:val="center"/>
          </w:tcPr>
          <w:p w14:paraId="0512E32F">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84" w:type="dxa"/>
            <w:tcBorders>
              <w:top w:val="single" w:color="auto" w:sz="6" w:space="0"/>
              <w:left w:val="single" w:color="auto" w:sz="6" w:space="0"/>
              <w:bottom w:val="single" w:color="auto" w:sz="6" w:space="0"/>
              <w:right w:val="single" w:color="auto" w:sz="4" w:space="0"/>
            </w:tcBorders>
            <w:noWrap w:val="0"/>
            <w:vAlign w:val="center"/>
          </w:tcPr>
          <w:p w14:paraId="5C70E6B9">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75" w:type="dxa"/>
            <w:tcBorders>
              <w:top w:val="single" w:color="auto" w:sz="6" w:space="0"/>
              <w:left w:val="single" w:color="auto" w:sz="4" w:space="0"/>
              <w:bottom w:val="single" w:color="auto" w:sz="6" w:space="0"/>
              <w:right w:val="single" w:color="auto" w:sz="6" w:space="0"/>
            </w:tcBorders>
            <w:noWrap w:val="0"/>
            <w:vAlign w:val="center"/>
          </w:tcPr>
          <w:p w14:paraId="5D08826C">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290" w:type="dxa"/>
            <w:tcBorders>
              <w:top w:val="single" w:color="auto" w:sz="6" w:space="0"/>
              <w:left w:val="single" w:color="auto" w:sz="6" w:space="0"/>
              <w:bottom w:val="single" w:color="auto" w:sz="6" w:space="0"/>
              <w:right w:val="single" w:color="auto" w:sz="6" w:space="0"/>
            </w:tcBorders>
            <w:noWrap w:val="0"/>
            <w:vAlign w:val="center"/>
          </w:tcPr>
          <w:p w14:paraId="1BAB5E9D">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308" w:type="dxa"/>
            <w:tcBorders>
              <w:top w:val="single" w:color="auto" w:sz="6" w:space="0"/>
              <w:left w:val="single" w:color="auto" w:sz="6" w:space="0"/>
              <w:bottom w:val="single" w:color="auto" w:sz="6" w:space="0"/>
              <w:right w:val="double" w:color="auto" w:sz="4" w:space="0"/>
            </w:tcBorders>
            <w:noWrap w:val="0"/>
            <w:vAlign w:val="center"/>
          </w:tcPr>
          <w:p w14:paraId="1FC82AE4">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r>
      <w:tr w14:paraId="591C98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64" w:type="dxa"/>
            <w:tcBorders>
              <w:top w:val="single" w:color="auto" w:sz="6" w:space="0"/>
              <w:left w:val="double" w:color="auto" w:sz="4" w:space="0"/>
              <w:bottom w:val="single" w:color="auto" w:sz="6" w:space="0"/>
              <w:right w:val="single" w:color="auto" w:sz="6" w:space="0"/>
            </w:tcBorders>
            <w:noWrap w:val="0"/>
            <w:vAlign w:val="center"/>
          </w:tcPr>
          <w:p w14:paraId="0DFD06A2">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90" w:type="dxa"/>
            <w:tcBorders>
              <w:top w:val="single" w:color="auto" w:sz="6" w:space="0"/>
              <w:left w:val="single" w:color="auto" w:sz="6" w:space="0"/>
              <w:bottom w:val="single" w:color="auto" w:sz="6" w:space="0"/>
              <w:right w:val="single" w:color="auto" w:sz="4" w:space="0"/>
            </w:tcBorders>
            <w:noWrap w:val="0"/>
            <w:vAlign w:val="center"/>
          </w:tcPr>
          <w:p w14:paraId="7DFFC497">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11" w:type="dxa"/>
            <w:tcBorders>
              <w:top w:val="single" w:color="auto" w:sz="6" w:space="0"/>
              <w:left w:val="single" w:color="auto" w:sz="4" w:space="0"/>
              <w:bottom w:val="single" w:color="auto" w:sz="6" w:space="0"/>
              <w:right w:val="single" w:color="auto" w:sz="6" w:space="0"/>
            </w:tcBorders>
            <w:noWrap w:val="0"/>
            <w:vAlign w:val="center"/>
          </w:tcPr>
          <w:p w14:paraId="5CE591B6">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84" w:type="dxa"/>
            <w:tcBorders>
              <w:top w:val="single" w:color="auto" w:sz="6" w:space="0"/>
              <w:left w:val="single" w:color="auto" w:sz="6" w:space="0"/>
              <w:bottom w:val="single" w:color="auto" w:sz="6" w:space="0"/>
              <w:right w:val="single" w:color="auto" w:sz="4" w:space="0"/>
            </w:tcBorders>
            <w:noWrap w:val="0"/>
            <w:vAlign w:val="center"/>
          </w:tcPr>
          <w:p w14:paraId="06D16DEE">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75" w:type="dxa"/>
            <w:tcBorders>
              <w:top w:val="single" w:color="auto" w:sz="6" w:space="0"/>
              <w:left w:val="single" w:color="auto" w:sz="4" w:space="0"/>
              <w:bottom w:val="single" w:color="auto" w:sz="6" w:space="0"/>
              <w:right w:val="single" w:color="auto" w:sz="6" w:space="0"/>
            </w:tcBorders>
            <w:noWrap w:val="0"/>
            <w:vAlign w:val="center"/>
          </w:tcPr>
          <w:p w14:paraId="45326025">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290" w:type="dxa"/>
            <w:tcBorders>
              <w:top w:val="single" w:color="auto" w:sz="6" w:space="0"/>
              <w:left w:val="single" w:color="auto" w:sz="6" w:space="0"/>
              <w:bottom w:val="single" w:color="auto" w:sz="6" w:space="0"/>
              <w:right w:val="single" w:color="auto" w:sz="6" w:space="0"/>
            </w:tcBorders>
            <w:noWrap w:val="0"/>
            <w:vAlign w:val="center"/>
          </w:tcPr>
          <w:p w14:paraId="4887CB79">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308" w:type="dxa"/>
            <w:tcBorders>
              <w:top w:val="single" w:color="auto" w:sz="6" w:space="0"/>
              <w:left w:val="single" w:color="auto" w:sz="6" w:space="0"/>
              <w:bottom w:val="single" w:color="auto" w:sz="6" w:space="0"/>
              <w:right w:val="double" w:color="auto" w:sz="4" w:space="0"/>
            </w:tcBorders>
            <w:noWrap w:val="0"/>
            <w:vAlign w:val="center"/>
          </w:tcPr>
          <w:p w14:paraId="7ADC87C1">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r>
      <w:tr w14:paraId="6BD400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64" w:type="dxa"/>
            <w:tcBorders>
              <w:top w:val="single" w:color="auto" w:sz="6" w:space="0"/>
              <w:left w:val="double" w:color="auto" w:sz="4" w:space="0"/>
              <w:bottom w:val="single" w:color="auto" w:sz="6" w:space="0"/>
              <w:right w:val="single" w:color="auto" w:sz="6" w:space="0"/>
            </w:tcBorders>
            <w:noWrap w:val="0"/>
            <w:vAlign w:val="center"/>
          </w:tcPr>
          <w:p w14:paraId="3CA07C0F">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90" w:type="dxa"/>
            <w:tcBorders>
              <w:top w:val="single" w:color="auto" w:sz="6" w:space="0"/>
              <w:left w:val="single" w:color="auto" w:sz="6" w:space="0"/>
              <w:bottom w:val="single" w:color="auto" w:sz="6" w:space="0"/>
              <w:right w:val="single" w:color="auto" w:sz="4" w:space="0"/>
            </w:tcBorders>
            <w:noWrap w:val="0"/>
            <w:vAlign w:val="center"/>
          </w:tcPr>
          <w:p w14:paraId="703C5CEB">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11" w:type="dxa"/>
            <w:tcBorders>
              <w:top w:val="single" w:color="auto" w:sz="6" w:space="0"/>
              <w:left w:val="single" w:color="auto" w:sz="4" w:space="0"/>
              <w:bottom w:val="single" w:color="auto" w:sz="6" w:space="0"/>
              <w:right w:val="single" w:color="auto" w:sz="6" w:space="0"/>
            </w:tcBorders>
            <w:noWrap w:val="0"/>
            <w:vAlign w:val="center"/>
          </w:tcPr>
          <w:p w14:paraId="1CD8D362">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84" w:type="dxa"/>
            <w:tcBorders>
              <w:top w:val="single" w:color="auto" w:sz="6" w:space="0"/>
              <w:left w:val="single" w:color="auto" w:sz="6" w:space="0"/>
              <w:bottom w:val="single" w:color="auto" w:sz="6" w:space="0"/>
              <w:right w:val="single" w:color="auto" w:sz="4" w:space="0"/>
            </w:tcBorders>
            <w:noWrap w:val="0"/>
            <w:vAlign w:val="center"/>
          </w:tcPr>
          <w:p w14:paraId="1B946DDF">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75" w:type="dxa"/>
            <w:tcBorders>
              <w:top w:val="single" w:color="auto" w:sz="6" w:space="0"/>
              <w:left w:val="single" w:color="auto" w:sz="4" w:space="0"/>
              <w:bottom w:val="single" w:color="auto" w:sz="6" w:space="0"/>
              <w:right w:val="single" w:color="auto" w:sz="6" w:space="0"/>
            </w:tcBorders>
            <w:noWrap w:val="0"/>
            <w:vAlign w:val="center"/>
          </w:tcPr>
          <w:p w14:paraId="2660DAB1">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290" w:type="dxa"/>
            <w:tcBorders>
              <w:top w:val="single" w:color="auto" w:sz="6" w:space="0"/>
              <w:left w:val="single" w:color="auto" w:sz="6" w:space="0"/>
              <w:bottom w:val="single" w:color="auto" w:sz="6" w:space="0"/>
              <w:right w:val="single" w:color="auto" w:sz="6" w:space="0"/>
            </w:tcBorders>
            <w:noWrap w:val="0"/>
            <w:vAlign w:val="center"/>
          </w:tcPr>
          <w:p w14:paraId="52346F0A">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308" w:type="dxa"/>
            <w:tcBorders>
              <w:top w:val="single" w:color="auto" w:sz="6" w:space="0"/>
              <w:left w:val="single" w:color="auto" w:sz="6" w:space="0"/>
              <w:bottom w:val="single" w:color="auto" w:sz="6" w:space="0"/>
              <w:right w:val="double" w:color="auto" w:sz="4" w:space="0"/>
            </w:tcBorders>
            <w:noWrap w:val="0"/>
            <w:vAlign w:val="center"/>
          </w:tcPr>
          <w:p w14:paraId="4A7C03D7">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r>
      <w:tr w14:paraId="19FB45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64" w:type="dxa"/>
            <w:tcBorders>
              <w:top w:val="single" w:color="auto" w:sz="6" w:space="0"/>
              <w:left w:val="double" w:color="auto" w:sz="4" w:space="0"/>
              <w:bottom w:val="single" w:color="auto" w:sz="6" w:space="0"/>
              <w:right w:val="single" w:color="auto" w:sz="6" w:space="0"/>
            </w:tcBorders>
            <w:noWrap w:val="0"/>
            <w:vAlign w:val="center"/>
          </w:tcPr>
          <w:p w14:paraId="502FFD96">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90" w:type="dxa"/>
            <w:tcBorders>
              <w:top w:val="single" w:color="auto" w:sz="6" w:space="0"/>
              <w:left w:val="single" w:color="auto" w:sz="6" w:space="0"/>
              <w:bottom w:val="single" w:color="auto" w:sz="6" w:space="0"/>
              <w:right w:val="single" w:color="auto" w:sz="4" w:space="0"/>
            </w:tcBorders>
            <w:noWrap w:val="0"/>
            <w:vAlign w:val="center"/>
          </w:tcPr>
          <w:p w14:paraId="33B03D3B">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11" w:type="dxa"/>
            <w:tcBorders>
              <w:top w:val="single" w:color="auto" w:sz="6" w:space="0"/>
              <w:left w:val="single" w:color="auto" w:sz="4" w:space="0"/>
              <w:bottom w:val="single" w:color="auto" w:sz="6" w:space="0"/>
              <w:right w:val="single" w:color="auto" w:sz="6" w:space="0"/>
            </w:tcBorders>
            <w:noWrap w:val="0"/>
            <w:vAlign w:val="center"/>
          </w:tcPr>
          <w:p w14:paraId="1BE3944F">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84" w:type="dxa"/>
            <w:tcBorders>
              <w:top w:val="single" w:color="auto" w:sz="6" w:space="0"/>
              <w:left w:val="single" w:color="auto" w:sz="6" w:space="0"/>
              <w:bottom w:val="single" w:color="auto" w:sz="6" w:space="0"/>
              <w:right w:val="single" w:color="auto" w:sz="4" w:space="0"/>
            </w:tcBorders>
            <w:noWrap w:val="0"/>
            <w:vAlign w:val="center"/>
          </w:tcPr>
          <w:p w14:paraId="64A13C41">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75" w:type="dxa"/>
            <w:tcBorders>
              <w:top w:val="single" w:color="auto" w:sz="6" w:space="0"/>
              <w:left w:val="single" w:color="auto" w:sz="4" w:space="0"/>
              <w:bottom w:val="single" w:color="auto" w:sz="6" w:space="0"/>
              <w:right w:val="single" w:color="auto" w:sz="6" w:space="0"/>
            </w:tcBorders>
            <w:noWrap w:val="0"/>
            <w:vAlign w:val="center"/>
          </w:tcPr>
          <w:p w14:paraId="0193D609">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290" w:type="dxa"/>
            <w:tcBorders>
              <w:top w:val="single" w:color="auto" w:sz="6" w:space="0"/>
              <w:left w:val="single" w:color="auto" w:sz="6" w:space="0"/>
              <w:bottom w:val="single" w:color="auto" w:sz="6" w:space="0"/>
              <w:right w:val="single" w:color="auto" w:sz="6" w:space="0"/>
            </w:tcBorders>
            <w:noWrap w:val="0"/>
            <w:vAlign w:val="center"/>
          </w:tcPr>
          <w:p w14:paraId="55687FC7">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308" w:type="dxa"/>
            <w:tcBorders>
              <w:top w:val="single" w:color="auto" w:sz="6" w:space="0"/>
              <w:left w:val="single" w:color="auto" w:sz="6" w:space="0"/>
              <w:bottom w:val="single" w:color="auto" w:sz="6" w:space="0"/>
              <w:right w:val="double" w:color="auto" w:sz="4" w:space="0"/>
            </w:tcBorders>
            <w:noWrap w:val="0"/>
            <w:vAlign w:val="center"/>
          </w:tcPr>
          <w:p w14:paraId="6E6AD4B9">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r>
      <w:tr w14:paraId="2E872A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64" w:type="dxa"/>
            <w:tcBorders>
              <w:top w:val="single" w:color="auto" w:sz="6" w:space="0"/>
              <w:left w:val="double" w:color="auto" w:sz="4" w:space="0"/>
              <w:bottom w:val="single" w:color="auto" w:sz="6" w:space="0"/>
              <w:right w:val="single" w:color="auto" w:sz="6" w:space="0"/>
            </w:tcBorders>
            <w:noWrap w:val="0"/>
            <w:vAlign w:val="center"/>
          </w:tcPr>
          <w:p w14:paraId="4151C2B7">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90" w:type="dxa"/>
            <w:tcBorders>
              <w:top w:val="single" w:color="auto" w:sz="6" w:space="0"/>
              <w:left w:val="single" w:color="auto" w:sz="6" w:space="0"/>
              <w:bottom w:val="single" w:color="auto" w:sz="6" w:space="0"/>
              <w:right w:val="single" w:color="auto" w:sz="4" w:space="0"/>
            </w:tcBorders>
            <w:noWrap w:val="0"/>
            <w:vAlign w:val="center"/>
          </w:tcPr>
          <w:p w14:paraId="68C5B019">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11" w:type="dxa"/>
            <w:tcBorders>
              <w:top w:val="single" w:color="auto" w:sz="6" w:space="0"/>
              <w:left w:val="single" w:color="auto" w:sz="4" w:space="0"/>
              <w:bottom w:val="single" w:color="auto" w:sz="6" w:space="0"/>
              <w:right w:val="single" w:color="auto" w:sz="6" w:space="0"/>
            </w:tcBorders>
            <w:noWrap w:val="0"/>
            <w:vAlign w:val="center"/>
          </w:tcPr>
          <w:p w14:paraId="3EB9416C">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84" w:type="dxa"/>
            <w:tcBorders>
              <w:top w:val="single" w:color="auto" w:sz="6" w:space="0"/>
              <w:left w:val="single" w:color="auto" w:sz="6" w:space="0"/>
              <w:bottom w:val="single" w:color="auto" w:sz="6" w:space="0"/>
              <w:right w:val="single" w:color="auto" w:sz="4" w:space="0"/>
            </w:tcBorders>
            <w:noWrap w:val="0"/>
            <w:vAlign w:val="center"/>
          </w:tcPr>
          <w:p w14:paraId="7B94F23F">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75" w:type="dxa"/>
            <w:tcBorders>
              <w:top w:val="single" w:color="auto" w:sz="6" w:space="0"/>
              <w:left w:val="single" w:color="auto" w:sz="4" w:space="0"/>
              <w:bottom w:val="single" w:color="auto" w:sz="6" w:space="0"/>
              <w:right w:val="single" w:color="auto" w:sz="6" w:space="0"/>
            </w:tcBorders>
            <w:noWrap w:val="0"/>
            <w:vAlign w:val="center"/>
          </w:tcPr>
          <w:p w14:paraId="4E80436F">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290" w:type="dxa"/>
            <w:tcBorders>
              <w:top w:val="single" w:color="auto" w:sz="6" w:space="0"/>
              <w:left w:val="single" w:color="auto" w:sz="6" w:space="0"/>
              <w:bottom w:val="single" w:color="auto" w:sz="6" w:space="0"/>
              <w:right w:val="single" w:color="auto" w:sz="6" w:space="0"/>
            </w:tcBorders>
            <w:noWrap w:val="0"/>
            <w:vAlign w:val="center"/>
          </w:tcPr>
          <w:p w14:paraId="52C4F18E">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308" w:type="dxa"/>
            <w:tcBorders>
              <w:top w:val="single" w:color="auto" w:sz="6" w:space="0"/>
              <w:left w:val="single" w:color="auto" w:sz="6" w:space="0"/>
              <w:bottom w:val="single" w:color="auto" w:sz="6" w:space="0"/>
              <w:right w:val="double" w:color="auto" w:sz="4" w:space="0"/>
            </w:tcBorders>
            <w:noWrap w:val="0"/>
            <w:vAlign w:val="center"/>
          </w:tcPr>
          <w:p w14:paraId="6181B5F5">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r>
      <w:tr w14:paraId="3E85A2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64" w:type="dxa"/>
            <w:tcBorders>
              <w:top w:val="single" w:color="auto" w:sz="6" w:space="0"/>
              <w:left w:val="double" w:color="auto" w:sz="4" w:space="0"/>
              <w:bottom w:val="double" w:color="auto" w:sz="4" w:space="0"/>
              <w:right w:val="single" w:color="auto" w:sz="6" w:space="0"/>
            </w:tcBorders>
            <w:noWrap w:val="0"/>
            <w:vAlign w:val="center"/>
          </w:tcPr>
          <w:p w14:paraId="0995EE8C">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90" w:type="dxa"/>
            <w:tcBorders>
              <w:top w:val="single" w:color="auto" w:sz="6" w:space="0"/>
              <w:left w:val="single" w:color="auto" w:sz="6" w:space="0"/>
              <w:bottom w:val="double" w:color="auto" w:sz="4" w:space="0"/>
              <w:right w:val="single" w:color="auto" w:sz="4" w:space="0"/>
            </w:tcBorders>
            <w:noWrap w:val="0"/>
            <w:vAlign w:val="center"/>
          </w:tcPr>
          <w:p w14:paraId="4AB4E45C">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11" w:type="dxa"/>
            <w:tcBorders>
              <w:top w:val="single" w:color="auto" w:sz="6" w:space="0"/>
              <w:left w:val="single" w:color="auto" w:sz="4" w:space="0"/>
              <w:bottom w:val="double" w:color="auto" w:sz="4" w:space="0"/>
              <w:right w:val="single" w:color="auto" w:sz="6" w:space="0"/>
            </w:tcBorders>
            <w:noWrap w:val="0"/>
            <w:vAlign w:val="center"/>
          </w:tcPr>
          <w:p w14:paraId="43A06C59">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784" w:type="dxa"/>
            <w:tcBorders>
              <w:top w:val="single" w:color="auto" w:sz="6" w:space="0"/>
              <w:left w:val="single" w:color="auto" w:sz="6" w:space="0"/>
              <w:bottom w:val="double" w:color="auto" w:sz="4" w:space="0"/>
              <w:right w:val="single" w:color="auto" w:sz="4" w:space="0"/>
            </w:tcBorders>
            <w:noWrap w:val="0"/>
            <w:vAlign w:val="center"/>
          </w:tcPr>
          <w:p w14:paraId="7DB544CE">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875" w:type="dxa"/>
            <w:tcBorders>
              <w:top w:val="single" w:color="auto" w:sz="6" w:space="0"/>
              <w:left w:val="single" w:color="auto" w:sz="4" w:space="0"/>
              <w:bottom w:val="double" w:color="auto" w:sz="4" w:space="0"/>
              <w:right w:val="single" w:color="auto" w:sz="6" w:space="0"/>
            </w:tcBorders>
            <w:noWrap w:val="0"/>
            <w:vAlign w:val="center"/>
          </w:tcPr>
          <w:p w14:paraId="7F665D9B">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290" w:type="dxa"/>
            <w:tcBorders>
              <w:top w:val="single" w:color="auto" w:sz="6" w:space="0"/>
              <w:left w:val="single" w:color="auto" w:sz="6" w:space="0"/>
              <w:bottom w:val="double" w:color="auto" w:sz="4" w:space="0"/>
              <w:right w:val="single" w:color="auto" w:sz="6" w:space="0"/>
            </w:tcBorders>
            <w:noWrap w:val="0"/>
            <w:vAlign w:val="center"/>
          </w:tcPr>
          <w:p w14:paraId="407EAD3C">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c>
          <w:tcPr>
            <w:tcW w:w="1308" w:type="dxa"/>
            <w:tcBorders>
              <w:top w:val="single" w:color="auto" w:sz="6" w:space="0"/>
              <w:left w:val="single" w:color="auto" w:sz="6" w:space="0"/>
              <w:bottom w:val="double" w:color="auto" w:sz="4" w:space="0"/>
              <w:right w:val="double" w:color="auto" w:sz="4" w:space="0"/>
            </w:tcBorders>
            <w:noWrap w:val="0"/>
            <w:vAlign w:val="center"/>
          </w:tcPr>
          <w:p w14:paraId="3DA7F2B2">
            <w:pPr>
              <w:pStyle w:val="39"/>
              <w:widowControl w:val="0"/>
              <w:shd w:val="clear" w:color="auto" w:fill="FFFFFF"/>
              <w:spacing w:before="0" w:beforeAutospacing="0" w:after="0" w:afterAutospacing="0" w:line="360" w:lineRule="auto"/>
              <w:ind w:firstLine="420" w:firstLineChars="200"/>
              <w:jc w:val="both"/>
              <w:rPr>
                <w:rFonts w:hint="eastAsia" w:asciiTheme="minorEastAsia" w:hAnsiTheme="minorEastAsia" w:eastAsiaTheme="minorEastAsia" w:cstheme="minorEastAsia"/>
                <w:color w:val="auto"/>
                <w:sz w:val="21"/>
                <w:szCs w:val="21"/>
                <w:highlight w:val="yellow"/>
                <w:lang w:val="en-US" w:eastAsia="zh-CN"/>
              </w:rPr>
            </w:pPr>
          </w:p>
        </w:tc>
      </w:tr>
    </w:tbl>
    <w:p w14:paraId="5920132B">
      <w:pPr>
        <w:pStyle w:val="178"/>
        <w:adjustRightInd w:val="0"/>
        <w:snapToGrid w:val="0"/>
        <w:ind w:left="-88" w:leftChars="-42"/>
        <w:rPr>
          <w:rStyle w:val="45"/>
          <w:rFonts w:ascii="仿宋_GB2312" w:hAnsi="宋体" w:eastAsia="仿宋_GB2312"/>
          <w:szCs w:val="21"/>
          <w:highlight w:val="yellow"/>
        </w:rPr>
      </w:pPr>
      <w:r>
        <w:rPr>
          <w:rStyle w:val="45"/>
          <w:rFonts w:hint="eastAsia" w:ascii="仿宋_GB2312" w:hAnsi="宋体" w:eastAsia="仿宋_GB2312"/>
          <w:b/>
          <w:szCs w:val="21"/>
          <w:highlight w:val="yellow"/>
        </w:rPr>
        <w:t>备注</w:t>
      </w:r>
      <w:r>
        <w:rPr>
          <w:rStyle w:val="45"/>
          <w:rFonts w:hint="eastAsia" w:ascii="仿宋_GB2312" w:hAnsi="宋体" w:eastAsia="仿宋_GB2312"/>
          <w:szCs w:val="21"/>
          <w:highlight w:val="yellow"/>
        </w:rPr>
        <w:t>：1、“响应/偏离”栏应注明“响应”或“偏离”。</w:t>
      </w:r>
    </w:p>
    <w:p w14:paraId="70ED7858">
      <w:pPr>
        <w:pStyle w:val="178"/>
        <w:adjustRightInd w:val="0"/>
        <w:snapToGrid w:val="0"/>
        <w:ind w:left="-88" w:leftChars="-42" w:firstLine="720" w:firstLineChars="300"/>
        <w:rPr>
          <w:rStyle w:val="45"/>
          <w:rFonts w:ascii="仿宋_GB2312" w:hAnsi="宋体" w:eastAsia="仿宋_GB2312"/>
          <w:szCs w:val="21"/>
          <w:highlight w:val="yellow"/>
        </w:rPr>
      </w:pPr>
      <w:r>
        <w:rPr>
          <w:rStyle w:val="45"/>
          <w:rFonts w:hint="eastAsia" w:ascii="仿宋_GB2312" w:hAnsi="宋体" w:eastAsia="仿宋_GB2312"/>
          <w:szCs w:val="21"/>
          <w:highlight w:val="yellow"/>
        </w:rPr>
        <w:t>2、投标人对第三部分 项目技术规范和服务要求的所有条款逐条进行响应，未进行响应、响应不完整、缺漏项的，视为负偏离。</w:t>
      </w:r>
    </w:p>
    <w:p w14:paraId="4C80E016">
      <w:pPr>
        <w:pStyle w:val="177"/>
        <w:adjustRightInd w:val="0"/>
        <w:snapToGrid w:val="0"/>
        <w:spacing w:before="50" w:line="360" w:lineRule="auto"/>
        <w:rPr>
          <w:rStyle w:val="45"/>
        </w:rPr>
      </w:pPr>
    </w:p>
    <w:p w14:paraId="7E51AB8C">
      <w:pPr>
        <w:pStyle w:val="177"/>
        <w:adjustRightInd w:val="0"/>
        <w:snapToGrid w:val="0"/>
        <w:spacing w:before="50" w:line="360" w:lineRule="auto"/>
        <w:rPr>
          <w:rStyle w:val="45"/>
        </w:rPr>
      </w:pPr>
    </w:p>
    <w:p w14:paraId="7110BDCB">
      <w:pPr>
        <w:spacing w:line="360" w:lineRule="atLeast"/>
        <w:jc w:val="left"/>
        <w:rPr>
          <w:rFonts w:ascii="宋体" w:hAnsi="宋体" w:cs="宋体"/>
          <w:color w:val="auto"/>
          <w:szCs w:val="21"/>
          <w:highlight w:val="none"/>
        </w:rPr>
      </w:pPr>
      <w:r>
        <w:rPr>
          <w:rFonts w:hint="eastAsia" w:ascii="宋体" w:hAnsi="宋体" w:cs="宋体"/>
          <w:color w:val="auto"/>
          <w:szCs w:val="21"/>
          <w:highlight w:val="none"/>
        </w:rPr>
        <w:t>投标人(盖公章)：</w:t>
      </w:r>
    </w:p>
    <w:p w14:paraId="40A99C4A">
      <w:pPr>
        <w:spacing w:line="360" w:lineRule="atLeast"/>
        <w:jc w:val="left"/>
        <w:rPr>
          <w:rFonts w:ascii="宋体" w:hAnsi="宋体" w:cs="宋体"/>
          <w:color w:val="auto"/>
          <w:szCs w:val="21"/>
          <w:highlight w:val="none"/>
        </w:rPr>
      </w:pPr>
    </w:p>
    <w:p w14:paraId="48FBA2AA">
      <w:pPr>
        <w:spacing w:line="360" w:lineRule="atLeast"/>
        <w:rPr>
          <w:rFonts w:ascii="宋体" w:hAnsi="宋体" w:cs="宋体"/>
          <w:color w:val="auto"/>
          <w:szCs w:val="21"/>
          <w:highlight w:val="none"/>
        </w:rPr>
      </w:pPr>
      <w:r>
        <w:rPr>
          <w:rFonts w:hint="eastAsia" w:ascii="宋体" w:hAnsi="宋体" w:cs="宋体"/>
          <w:color w:val="auto"/>
          <w:szCs w:val="21"/>
          <w:highlight w:val="none"/>
        </w:rPr>
        <w:t>法定代表人或其授权代表(签字或盖章)：__________________</w:t>
      </w:r>
    </w:p>
    <w:p w14:paraId="20784704">
      <w:pPr>
        <w:spacing w:line="360" w:lineRule="atLeast"/>
        <w:rPr>
          <w:rFonts w:ascii="宋体" w:hAnsi="宋体" w:cs="宋体"/>
          <w:color w:val="auto"/>
          <w:szCs w:val="21"/>
          <w:highlight w:val="none"/>
        </w:rPr>
      </w:pPr>
    </w:p>
    <w:p w14:paraId="2808A557">
      <w:pPr>
        <w:rPr>
          <w:rFonts w:ascii="宋体" w:hAnsi="宋体" w:cs="宋体"/>
          <w:color w:val="auto"/>
          <w:highlight w:val="none"/>
        </w:rPr>
      </w:pPr>
      <w:r>
        <w:rPr>
          <w:rFonts w:hint="eastAsia" w:ascii="宋体" w:hAnsi="宋体" w:cs="宋体"/>
          <w:color w:val="auto"/>
          <w:highlight w:val="none"/>
        </w:rPr>
        <w:t>日</w:t>
      </w:r>
      <w:r>
        <w:rPr>
          <w:rFonts w:hint="eastAsia" w:ascii="宋体" w:hAnsi="宋体" w:cs="宋体"/>
          <w:color w:val="auto"/>
          <w:highlight w:val="none"/>
        </w:rPr>
        <w:tab/>
      </w:r>
      <w:r>
        <w:rPr>
          <w:rFonts w:hint="eastAsia" w:ascii="宋体" w:hAnsi="宋体" w:cs="宋体"/>
          <w:color w:val="auto"/>
          <w:highlight w:val="none"/>
        </w:rPr>
        <w:t>期：</w:t>
      </w:r>
    </w:p>
    <w:p w14:paraId="5B19B865">
      <w:pPr>
        <w:snapToGrid w:val="0"/>
        <w:spacing w:line="360" w:lineRule="auto"/>
        <w:ind w:firstLine="4216" w:firstLineChars="2000"/>
        <w:rPr>
          <w:rFonts w:ascii="宋体" w:hAnsi="宋体" w:cs="宋体"/>
          <w:snapToGrid w:val="0"/>
          <w:color w:val="auto"/>
          <w:kern w:val="0"/>
          <w:szCs w:val="21"/>
          <w:highlight w:val="none"/>
        </w:rPr>
      </w:pPr>
      <w:r>
        <w:rPr>
          <w:rFonts w:ascii="宋体" w:hAnsi="宋体" w:cs="宋体"/>
          <w:b/>
          <w:color w:val="auto"/>
          <w:kern w:val="0"/>
          <w:szCs w:val="21"/>
          <w:highlight w:val="none"/>
        </w:rPr>
        <w:br w:type="page"/>
      </w:r>
    </w:p>
    <w:p w14:paraId="4586DE0E">
      <w:pPr>
        <w:autoSpaceDE w:val="0"/>
        <w:autoSpaceDN w:val="0"/>
        <w:adjustRightInd w:val="0"/>
        <w:spacing w:line="360" w:lineRule="auto"/>
        <w:outlineLvl w:val="1"/>
        <w:rPr>
          <w:rFonts w:ascii="宋体" w:hAnsi="宋体" w:cs="宋体"/>
          <w:b/>
          <w:bCs/>
          <w:color w:val="auto"/>
          <w:sz w:val="24"/>
          <w:highlight w:val="none"/>
        </w:rPr>
      </w:pPr>
      <w:bookmarkStart w:id="157" w:name="_Toc28558"/>
      <w:bookmarkStart w:id="158" w:name="_Toc20965"/>
      <w:bookmarkStart w:id="159" w:name="_Toc31252"/>
      <w:bookmarkStart w:id="160" w:name="_Toc85359524"/>
      <w:r>
        <w:rPr>
          <w:rFonts w:hint="eastAsia" w:ascii="宋体" w:hAnsi="宋体" w:cs="宋体"/>
          <w:b/>
          <w:bCs/>
          <w:color w:val="auto"/>
          <w:sz w:val="24"/>
          <w:highlight w:val="none"/>
        </w:rPr>
        <w:t>四、报价文件部分格式</w:t>
      </w:r>
      <w:bookmarkEnd w:id="157"/>
      <w:bookmarkEnd w:id="158"/>
      <w:bookmarkEnd w:id="159"/>
      <w:bookmarkEnd w:id="160"/>
    </w:p>
    <w:p w14:paraId="04BC537A">
      <w:pPr>
        <w:autoSpaceDE w:val="0"/>
        <w:autoSpaceDN w:val="0"/>
        <w:adjustRightIn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4.1投标函</w:t>
      </w:r>
    </w:p>
    <w:p w14:paraId="38FA4742">
      <w:pPr>
        <w:pStyle w:val="24"/>
        <w:spacing w:line="360" w:lineRule="auto"/>
        <w:jc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投标函</w:t>
      </w:r>
    </w:p>
    <w:p w14:paraId="061DC21E">
      <w:pPr>
        <w:pStyle w:val="24"/>
        <w:spacing w:line="360" w:lineRule="auto"/>
        <w:rPr>
          <w:rFonts w:ascii="宋体" w:hAnsi="宋体" w:eastAsia="宋体" w:cs="宋体"/>
          <w:color w:val="auto"/>
          <w:highlight w:val="none"/>
          <w:u w:val="single"/>
        </w:rPr>
      </w:pPr>
      <w:r>
        <w:rPr>
          <w:rFonts w:hint="eastAsia" w:ascii="宋体" w:hAnsi="宋体" w:eastAsia="宋体" w:cs="宋体"/>
          <w:color w:val="auto"/>
          <w:highlight w:val="none"/>
          <w:u w:val="single"/>
          <w:lang w:eastAsia="zh-CN"/>
        </w:rPr>
        <w:t>乌鲁木齐市自然资源局</w:t>
      </w:r>
      <w:r>
        <w:rPr>
          <w:rFonts w:hint="eastAsia" w:ascii="宋体" w:hAnsi="宋体" w:eastAsia="宋体" w:cs="宋体"/>
          <w:color w:val="auto"/>
          <w:highlight w:val="none"/>
        </w:rPr>
        <w:t>：</w:t>
      </w:r>
    </w:p>
    <w:p w14:paraId="6EEC6AF8">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u w:val="single"/>
        </w:rPr>
        <w:t>(投标人全称)</w:t>
      </w:r>
      <w:r>
        <w:rPr>
          <w:rFonts w:hint="eastAsia" w:ascii="宋体" w:hAnsi="宋体" w:eastAsia="宋体" w:cs="宋体"/>
          <w:color w:val="auto"/>
          <w:highlight w:val="none"/>
        </w:rPr>
        <w:t>授权</w:t>
      </w:r>
      <w:r>
        <w:rPr>
          <w:rFonts w:hint="eastAsia" w:ascii="宋体" w:hAnsi="宋体" w:eastAsia="宋体" w:cs="宋体"/>
          <w:color w:val="auto"/>
          <w:highlight w:val="none"/>
          <w:u w:val="single"/>
        </w:rPr>
        <w:t>(全权代表姓名)(职务、职称)</w:t>
      </w:r>
      <w:r>
        <w:rPr>
          <w:rFonts w:hint="eastAsia" w:ascii="宋体" w:hAnsi="宋体" w:eastAsia="宋体" w:cs="宋体"/>
          <w:color w:val="auto"/>
          <w:highlight w:val="none"/>
        </w:rPr>
        <w:t>为全权代表，参加贵方组织的项目 (采购编号：</w:t>
      </w:r>
      <w:r>
        <w:rPr>
          <w:rFonts w:hint="eastAsia" w:ascii="宋体" w:hAnsi="宋体" w:eastAsia="宋体" w:cs="宋体"/>
          <w:color w:val="auto"/>
          <w:highlight w:val="none"/>
          <w:u w:val="single"/>
          <w:lang w:eastAsia="zh-CN"/>
        </w:rPr>
        <w:t>ZFCGHY-20250009（1）</w:t>
      </w:r>
      <w:r>
        <w:rPr>
          <w:rFonts w:hint="eastAsia" w:ascii="宋体" w:hAnsi="宋体" w:eastAsia="宋体" w:cs="宋体"/>
          <w:color w:val="auto"/>
          <w:highlight w:val="none"/>
        </w:rPr>
        <w:t>)的有关活动，并对此项目进行投标。为此：</w:t>
      </w:r>
    </w:p>
    <w:p w14:paraId="737568FA">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1、我方同意在投标人编制和提交投标文件须知规定的开标日期起遵守本投标书中的承诺且在投标有效期满之前均具有约束力。</w:t>
      </w:r>
    </w:p>
    <w:p w14:paraId="1E3591A7">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2、我方承诺已经具备《中华人民共和国政府采购法》中规定的参加政府采购活动的投标人应当具备的条件：</w:t>
      </w:r>
    </w:p>
    <w:p w14:paraId="53FB05B6">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(1)具有独立承担民事责任的能力；</w:t>
      </w:r>
    </w:p>
    <w:p w14:paraId="50D0AAF1">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(2)遵守国家法律、行政法规，具有良好的信誉和商业道德；</w:t>
      </w:r>
    </w:p>
    <w:p w14:paraId="0926DBFB">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(3)具有履行合同的能力和良好的履行合同记录；</w:t>
      </w:r>
    </w:p>
    <w:p w14:paraId="2C130800">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(4)良好的资金、财务状况；</w:t>
      </w:r>
    </w:p>
    <w:p w14:paraId="1FFE5E8F">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(5)没有违反政府采购法规、政策的记录；</w:t>
      </w:r>
    </w:p>
    <w:p w14:paraId="7E5FA8DB">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(6)没有发生重大经济纠纷和走私犯罪记录。</w:t>
      </w:r>
    </w:p>
    <w:p w14:paraId="1FFF5E74">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3、提供编制和提交投标文件须知规定的全部投标文件，包括一份电子加密标书（后缀格式为.jmbs），一份备份标书文件（后缀格式为.bfbs）。具体内容为：</w:t>
      </w:r>
    </w:p>
    <w:p w14:paraId="48BFA214">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(1)资格文件、商务技术文件、报价文件；</w:t>
      </w:r>
    </w:p>
    <w:p w14:paraId="5A275999">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(2)编制和提交投标文件须知要求投标人提交的全部文件；</w:t>
      </w:r>
    </w:p>
    <w:p w14:paraId="72E17D80">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(3)按采购文件要求提供和交付的货物和服务的投标报价详见开标一览表；</w:t>
      </w:r>
    </w:p>
    <w:p w14:paraId="49DF13D1">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(4)保证忠实地执行双方所签订的合同，并承担合同规定的责任和义务；</w:t>
      </w:r>
    </w:p>
    <w:p w14:paraId="47FEE1C9">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(5)保证遵守采购文件中的其他有关规定。</w:t>
      </w:r>
    </w:p>
    <w:p w14:paraId="668992D9">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4、我方完全理解贵方不一定要接受最低价的投标。</w:t>
      </w:r>
    </w:p>
    <w:p w14:paraId="0D6BA8D4">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5、我方愿意向贵方提供任何与该项投标有关的数据、情况和技术资料。若贵方需要，我方愿意提供我方作出的一切承诺的证明材料。</w:t>
      </w:r>
    </w:p>
    <w:p w14:paraId="246BBB2A">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6、我方已详细审核全部采购文件，包括采购文件修改书(如果有)、参考资料及有关附件，确认无误。</w:t>
      </w:r>
    </w:p>
    <w:p w14:paraId="183511FB">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7、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83C0CAA">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a)提供虚假材料谋取中标、成交的；</w:t>
      </w:r>
    </w:p>
    <w:p w14:paraId="79EAA0F3">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b)采取不正当手段诋毁、排挤其他投标人的；</w:t>
      </w:r>
    </w:p>
    <w:p w14:paraId="58387C1F">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c)与采购人、其它投标人或者采购代理机构恶意串通的；</w:t>
      </w:r>
    </w:p>
    <w:p w14:paraId="0DB1B3AD">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d)向采购人、采购代理机构行贿或者提供其他不正当利益的；</w:t>
      </w:r>
    </w:p>
    <w:p w14:paraId="5D980346">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e)在招标采购过程中与采购人进行协商谈判的；</w:t>
      </w:r>
    </w:p>
    <w:p w14:paraId="64475029">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f)拒绝有关部门监督检查或提供虚假情况的。</w:t>
      </w:r>
    </w:p>
    <w:p w14:paraId="7B27D2CC">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投标人有前款第a)至e)项情形之一的，中标、成交无效。</w:t>
      </w:r>
    </w:p>
    <w:p w14:paraId="108CF031">
      <w:pPr>
        <w:pStyle w:val="24"/>
        <w:spacing w:line="420" w:lineRule="exact"/>
        <w:ind w:firstLine="420" w:firstLineChars="200"/>
        <w:rPr>
          <w:rFonts w:ascii="宋体" w:hAnsi="宋体" w:eastAsia="宋体" w:cs="宋体"/>
          <w:color w:val="auto"/>
          <w:highlight w:val="none"/>
        </w:rPr>
      </w:pPr>
    </w:p>
    <w:p w14:paraId="7D147BE2">
      <w:pPr>
        <w:pStyle w:val="24"/>
        <w:spacing w:line="420" w:lineRule="exact"/>
        <w:ind w:firstLine="420" w:firstLineChars="200"/>
        <w:rPr>
          <w:rFonts w:ascii="宋体" w:hAnsi="宋体" w:eastAsia="宋体" w:cs="宋体"/>
          <w:color w:val="auto"/>
          <w:highlight w:val="none"/>
        </w:rPr>
      </w:pPr>
    </w:p>
    <w:p w14:paraId="1D7A1AB9">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rPr>
        <w:tab/>
      </w:r>
    </w:p>
    <w:p w14:paraId="08A508EB">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授权委托人（签字）：</w:t>
      </w:r>
    </w:p>
    <w:p w14:paraId="08683826">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投标人（盖公章）：</w:t>
      </w:r>
    </w:p>
    <w:p w14:paraId="5CEAFCFB">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联系人：    联系电话</w:t>
      </w:r>
      <w:r>
        <w:rPr>
          <w:rFonts w:hint="eastAsia" w:ascii="宋体" w:hAnsi="宋体" w:eastAsia="宋体" w:cs="宋体"/>
          <w:color w:val="auto"/>
          <w:highlight w:val="none"/>
          <w:u w:val="single"/>
        </w:rPr>
        <w:t xml:space="preserve">：                 </w:t>
      </w:r>
    </w:p>
    <w:p w14:paraId="54AAB6D3">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联系地址：</w:t>
      </w:r>
    </w:p>
    <w:p w14:paraId="57528813">
      <w:pPr>
        <w:pStyle w:val="24"/>
        <w:spacing w:line="420" w:lineRule="exact"/>
        <w:ind w:firstLine="420" w:firstLineChars="200"/>
        <w:rPr>
          <w:rFonts w:ascii="宋体" w:hAnsi="宋体" w:eastAsia="宋体" w:cs="宋体"/>
          <w:color w:val="auto"/>
          <w:highlight w:val="none"/>
        </w:rPr>
      </w:pPr>
      <w:r>
        <w:rPr>
          <w:rFonts w:hint="eastAsia" w:ascii="宋体" w:hAnsi="宋体" w:eastAsia="宋体" w:cs="宋体"/>
          <w:color w:val="auto"/>
          <w:highlight w:val="none"/>
        </w:rPr>
        <w:t>邮政编码：传真号码</w:t>
      </w:r>
      <w:r>
        <w:rPr>
          <w:rFonts w:hint="eastAsia" w:ascii="宋体" w:hAnsi="宋体" w:eastAsia="宋体" w:cs="宋体"/>
          <w:color w:val="auto"/>
          <w:highlight w:val="none"/>
          <w:u w:val="single"/>
        </w:rPr>
        <w:t xml:space="preserve">：                     </w:t>
      </w:r>
    </w:p>
    <w:p w14:paraId="217C8098">
      <w:pPr>
        <w:pStyle w:val="24"/>
        <w:spacing w:line="420" w:lineRule="exact"/>
        <w:jc w:val="center"/>
        <w:rPr>
          <w:rFonts w:ascii="宋体" w:hAnsi="宋体" w:eastAsia="宋体" w:cs="宋体"/>
          <w:color w:val="auto"/>
          <w:highlight w:val="none"/>
        </w:rPr>
      </w:pPr>
      <w:r>
        <w:rPr>
          <w:rFonts w:hint="eastAsia" w:ascii="宋体" w:hAnsi="宋体" w:eastAsia="宋体" w:cs="宋体"/>
          <w:color w:val="auto"/>
          <w:highlight w:val="none"/>
        </w:rPr>
        <w:t>日    期：  年  月  日</w:t>
      </w:r>
    </w:p>
    <w:p w14:paraId="2943225E">
      <w:pPr>
        <w:autoSpaceDE w:val="0"/>
        <w:autoSpaceDN w:val="0"/>
        <w:adjustRightInd w:val="0"/>
        <w:spacing w:line="360" w:lineRule="auto"/>
        <w:rPr>
          <w:rFonts w:ascii="宋体" w:hAnsi="宋体" w:cs="宋体"/>
          <w:b/>
          <w:bCs/>
          <w:color w:val="auto"/>
          <w:szCs w:val="21"/>
          <w:highlight w:val="none"/>
        </w:rPr>
      </w:pPr>
      <w:r>
        <w:rPr>
          <w:rFonts w:hint="eastAsia" w:ascii="宋体" w:hAnsi="宋体" w:cs="宋体"/>
          <w:bCs/>
          <w:color w:val="auto"/>
          <w:szCs w:val="21"/>
          <w:highlight w:val="none"/>
        </w:rPr>
        <w:br w:type="page"/>
      </w:r>
      <w:r>
        <w:rPr>
          <w:rFonts w:hint="eastAsia" w:ascii="宋体" w:hAnsi="宋体" w:cs="宋体"/>
          <w:b/>
          <w:bCs/>
          <w:color w:val="auto"/>
          <w:szCs w:val="21"/>
          <w:highlight w:val="none"/>
        </w:rPr>
        <w:t>4.2开标一览表</w:t>
      </w:r>
    </w:p>
    <w:p w14:paraId="4F7949FD">
      <w:pPr>
        <w:pStyle w:val="19"/>
        <w:spacing w:line="600" w:lineRule="exact"/>
        <w:ind w:firstLine="0"/>
        <w:jc w:val="center"/>
        <w:rPr>
          <w:rFonts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开标一览表</w:t>
      </w:r>
    </w:p>
    <w:p w14:paraId="362F83F4">
      <w:pPr>
        <w:adjustRightInd w:val="0"/>
        <w:spacing w:line="360" w:lineRule="auto"/>
        <w:rPr>
          <w:rFonts w:ascii="宋体" w:hAnsi="宋体" w:cs="宋体"/>
          <w:color w:val="auto"/>
          <w:szCs w:val="21"/>
          <w:highlight w:val="none"/>
        </w:rPr>
      </w:pPr>
    </w:p>
    <w:p w14:paraId="25A58615">
      <w:pPr>
        <w:adjustRightInd w:val="0"/>
        <w:spacing w:line="360" w:lineRule="auto"/>
        <w:rPr>
          <w:rFonts w:ascii="宋体" w:hAnsi="宋体" w:cs="宋体"/>
          <w:color w:val="auto"/>
          <w:szCs w:val="21"/>
          <w:highlight w:val="none"/>
        </w:rPr>
      </w:pPr>
      <w:r>
        <w:rPr>
          <w:rFonts w:hint="eastAsia" w:ascii="宋体" w:hAnsi="宋体" w:cs="宋体"/>
          <w:color w:val="auto"/>
          <w:szCs w:val="21"/>
          <w:highlight w:val="none"/>
        </w:rPr>
        <w:t>项目名称：                                 采购编号：</w:t>
      </w:r>
    </w:p>
    <w:tbl>
      <w:tblPr>
        <w:tblStyle w:val="43"/>
        <w:tblW w:w="10133"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50"/>
        <w:gridCol w:w="4253"/>
        <w:gridCol w:w="3417"/>
        <w:gridCol w:w="1413"/>
      </w:tblGrid>
      <w:tr w14:paraId="486851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050" w:type="dxa"/>
            <w:noWrap w:val="0"/>
            <w:vAlign w:val="center"/>
          </w:tcPr>
          <w:p w14:paraId="06668C7F">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序号</w:t>
            </w:r>
          </w:p>
        </w:tc>
        <w:tc>
          <w:tcPr>
            <w:tcW w:w="4253" w:type="dxa"/>
            <w:noWrap w:val="0"/>
            <w:vAlign w:val="center"/>
          </w:tcPr>
          <w:p w14:paraId="68D1FCD5">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服务项目名称</w:t>
            </w:r>
          </w:p>
        </w:tc>
        <w:tc>
          <w:tcPr>
            <w:tcW w:w="3417" w:type="dxa"/>
            <w:noWrap w:val="0"/>
            <w:vAlign w:val="center"/>
          </w:tcPr>
          <w:p w14:paraId="07C3839A">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投标价格（元）</w:t>
            </w:r>
          </w:p>
        </w:tc>
        <w:tc>
          <w:tcPr>
            <w:tcW w:w="1413" w:type="dxa"/>
            <w:noWrap w:val="0"/>
            <w:vAlign w:val="center"/>
          </w:tcPr>
          <w:p w14:paraId="65FE4A48">
            <w:pPr>
              <w:pStyle w:val="169"/>
              <w:widowControl w:val="0"/>
              <w:adjustRightInd w:val="0"/>
              <w:snapToGrid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备注</w:t>
            </w:r>
          </w:p>
        </w:tc>
      </w:tr>
      <w:tr w14:paraId="747499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050" w:type="dxa"/>
            <w:noWrap w:val="0"/>
            <w:vAlign w:val="center"/>
          </w:tcPr>
          <w:p w14:paraId="64B11ECF">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1</w:t>
            </w:r>
          </w:p>
        </w:tc>
        <w:tc>
          <w:tcPr>
            <w:tcW w:w="4253" w:type="dxa"/>
            <w:noWrap w:val="0"/>
            <w:vAlign w:val="center"/>
          </w:tcPr>
          <w:p w14:paraId="18FD6008">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项目设计费</w:t>
            </w:r>
          </w:p>
        </w:tc>
        <w:tc>
          <w:tcPr>
            <w:tcW w:w="3417" w:type="dxa"/>
            <w:noWrap w:val="0"/>
            <w:vAlign w:val="top"/>
          </w:tcPr>
          <w:p w14:paraId="7E7367FC">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c>
          <w:tcPr>
            <w:tcW w:w="1413" w:type="dxa"/>
            <w:noWrap w:val="0"/>
            <w:vAlign w:val="top"/>
          </w:tcPr>
          <w:p w14:paraId="4DE8D933">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r>
      <w:tr w14:paraId="3F6F1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050" w:type="dxa"/>
            <w:noWrap w:val="0"/>
            <w:vAlign w:val="center"/>
          </w:tcPr>
          <w:p w14:paraId="473C7A4F">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2</w:t>
            </w:r>
          </w:p>
        </w:tc>
        <w:tc>
          <w:tcPr>
            <w:tcW w:w="4253" w:type="dxa"/>
            <w:noWrap w:val="0"/>
            <w:vAlign w:val="center"/>
          </w:tcPr>
          <w:p w14:paraId="24204FCE">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设备购置费（含硬件和软件设备）</w:t>
            </w:r>
          </w:p>
        </w:tc>
        <w:tc>
          <w:tcPr>
            <w:tcW w:w="3417" w:type="dxa"/>
            <w:noWrap w:val="0"/>
            <w:vAlign w:val="top"/>
          </w:tcPr>
          <w:p w14:paraId="6402EA17">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c>
          <w:tcPr>
            <w:tcW w:w="1413" w:type="dxa"/>
            <w:noWrap w:val="0"/>
            <w:vAlign w:val="top"/>
          </w:tcPr>
          <w:p w14:paraId="63A79194">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r>
      <w:tr w14:paraId="685320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050" w:type="dxa"/>
            <w:noWrap w:val="0"/>
            <w:vAlign w:val="center"/>
          </w:tcPr>
          <w:p w14:paraId="34B4BA8B">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3</w:t>
            </w:r>
          </w:p>
        </w:tc>
        <w:tc>
          <w:tcPr>
            <w:tcW w:w="4253" w:type="dxa"/>
            <w:noWrap w:val="0"/>
            <w:vAlign w:val="center"/>
          </w:tcPr>
          <w:p w14:paraId="4D35A1F5">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装饰装修工程费</w:t>
            </w:r>
          </w:p>
        </w:tc>
        <w:tc>
          <w:tcPr>
            <w:tcW w:w="3417" w:type="dxa"/>
            <w:noWrap w:val="0"/>
            <w:vAlign w:val="top"/>
          </w:tcPr>
          <w:p w14:paraId="6978FBB9">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c>
          <w:tcPr>
            <w:tcW w:w="1413" w:type="dxa"/>
            <w:noWrap w:val="0"/>
            <w:vAlign w:val="top"/>
          </w:tcPr>
          <w:p w14:paraId="13B259AE">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r>
      <w:tr w14:paraId="0B3BA3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050" w:type="dxa"/>
            <w:noWrap w:val="0"/>
            <w:vAlign w:val="center"/>
          </w:tcPr>
          <w:p w14:paraId="4E327472">
            <w:pPr>
              <w:pStyle w:val="171"/>
              <w:widowControl w:val="0"/>
              <w:spacing w:after="12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4</w:t>
            </w:r>
          </w:p>
        </w:tc>
        <w:tc>
          <w:tcPr>
            <w:tcW w:w="4253" w:type="dxa"/>
            <w:noWrap w:val="0"/>
            <w:vAlign w:val="center"/>
          </w:tcPr>
          <w:p w14:paraId="25ADE6C7">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设备安装费</w:t>
            </w:r>
          </w:p>
        </w:tc>
        <w:tc>
          <w:tcPr>
            <w:tcW w:w="3417" w:type="dxa"/>
            <w:noWrap w:val="0"/>
            <w:vAlign w:val="top"/>
          </w:tcPr>
          <w:p w14:paraId="1015489A">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c>
          <w:tcPr>
            <w:tcW w:w="1413" w:type="dxa"/>
            <w:noWrap w:val="0"/>
            <w:vAlign w:val="top"/>
          </w:tcPr>
          <w:p w14:paraId="7C20479A">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r>
      <w:tr w14:paraId="6B0905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050" w:type="dxa"/>
            <w:noWrap w:val="0"/>
            <w:vAlign w:val="center"/>
          </w:tcPr>
          <w:p w14:paraId="443F0B6B">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5</w:t>
            </w:r>
          </w:p>
        </w:tc>
        <w:tc>
          <w:tcPr>
            <w:tcW w:w="4253" w:type="dxa"/>
            <w:noWrap w:val="0"/>
            <w:vAlign w:val="center"/>
          </w:tcPr>
          <w:p w14:paraId="363C9DC0">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模型制作费</w:t>
            </w:r>
          </w:p>
        </w:tc>
        <w:tc>
          <w:tcPr>
            <w:tcW w:w="3417" w:type="dxa"/>
            <w:noWrap w:val="0"/>
            <w:vAlign w:val="top"/>
          </w:tcPr>
          <w:p w14:paraId="3B71686E">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c>
          <w:tcPr>
            <w:tcW w:w="1413" w:type="dxa"/>
            <w:noWrap w:val="0"/>
            <w:vAlign w:val="top"/>
          </w:tcPr>
          <w:p w14:paraId="5C014523">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r>
      <w:tr w14:paraId="56D9BE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050" w:type="dxa"/>
            <w:noWrap w:val="0"/>
            <w:vAlign w:val="center"/>
          </w:tcPr>
          <w:p w14:paraId="3AC9D0E8">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6</w:t>
            </w:r>
          </w:p>
        </w:tc>
        <w:tc>
          <w:tcPr>
            <w:tcW w:w="4253" w:type="dxa"/>
            <w:noWrap w:val="0"/>
            <w:vAlign w:val="center"/>
          </w:tcPr>
          <w:p w14:paraId="7621025B">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多媒体影片制作费（根据不同的应用场景分别报价）</w:t>
            </w:r>
          </w:p>
        </w:tc>
        <w:tc>
          <w:tcPr>
            <w:tcW w:w="3417" w:type="dxa"/>
            <w:noWrap w:val="0"/>
            <w:vAlign w:val="top"/>
          </w:tcPr>
          <w:p w14:paraId="07D98873">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c>
          <w:tcPr>
            <w:tcW w:w="1413" w:type="dxa"/>
            <w:noWrap w:val="0"/>
            <w:vAlign w:val="top"/>
          </w:tcPr>
          <w:p w14:paraId="1BB6C9AD">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r>
      <w:tr w14:paraId="7D9DAA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050" w:type="dxa"/>
            <w:noWrap w:val="0"/>
            <w:vAlign w:val="center"/>
          </w:tcPr>
          <w:p w14:paraId="03DBB6FA">
            <w:pPr>
              <w:pStyle w:val="170"/>
              <w:widowControl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7</w:t>
            </w:r>
          </w:p>
        </w:tc>
        <w:tc>
          <w:tcPr>
            <w:tcW w:w="4253" w:type="dxa"/>
            <w:noWrap w:val="0"/>
            <w:vAlign w:val="center"/>
          </w:tcPr>
          <w:p w14:paraId="36DE2AF7">
            <w:pPr>
              <w:pStyle w:val="172"/>
              <w:widowControl w:val="0"/>
              <w:autoSpaceDE w:val="0"/>
              <w:autoSpaceDN w:val="0"/>
              <w:adjustRightInd w:val="0"/>
              <w:snapToGrid w:val="0"/>
              <w:jc w:val="center"/>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其他费用</w:t>
            </w:r>
          </w:p>
        </w:tc>
        <w:tc>
          <w:tcPr>
            <w:tcW w:w="3417" w:type="dxa"/>
            <w:noWrap w:val="0"/>
            <w:vAlign w:val="top"/>
          </w:tcPr>
          <w:p w14:paraId="71D4CC00">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c>
          <w:tcPr>
            <w:tcW w:w="1413" w:type="dxa"/>
            <w:noWrap w:val="0"/>
            <w:vAlign w:val="top"/>
          </w:tcPr>
          <w:p w14:paraId="304B42D4">
            <w:pPr>
              <w:pStyle w:val="169"/>
              <w:widowControl w:val="0"/>
              <w:adjustRightInd w:val="0"/>
              <w:snapToGrid w:val="0"/>
              <w:ind w:left="-88" w:leftChars="-42"/>
              <w:jc w:val="center"/>
              <w:rPr>
                <w:rStyle w:val="45"/>
                <w:rFonts w:ascii="仿宋_GB2312" w:hAnsi="宋体" w:eastAsia="仿宋_GB2312" w:cs="Times New Roman"/>
                <w:color w:val="auto"/>
                <w:kern w:val="2"/>
                <w:sz w:val="21"/>
                <w:szCs w:val="21"/>
                <w:highlight w:val="none"/>
                <w:lang w:val="en-US" w:eastAsia="zh-CN" w:bidi="ar-SA"/>
              </w:rPr>
            </w:pPr>
          </w:p>
        </w:tc>
      </w:tr>
      <w:tr w14:paraId="2FD188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35" w:hRule="atLeast"/>
          <w:jc w:val="center"/>
        </w:trPr>
        <w:tc>
          <w:tcPr>
            <w:tcW w:w="10133" w:type="dxa"/>
            <w:gridSpan w:val="4"/>
            <w:noWrap w:val="0"/>
            <w:vAlign w:val="center"/>
          </w:tcPr>
          <w:p w14:paraId="61245009">
            <w:pPr>
              <w:pStyle w:val="169"/>
              <w:widowControl w:val="0"/>
              <w:adjustRightInd w:val="0"/>
              <w:snapToGrid w:val="0"/>
              <w:ind w:left="71" w:leftChars="34"/>
              <w:jc w:val="both"/>
              <w:rPr>
                <w:rStyle w:val="45"/>
                <w:rFonts w:ascii="仿宋_GB2312" w:hAnsi="宋体" w:eastAsia="仿宋_GB2312" w:cs="Times New Roman"/>
                <w:b/>
                <w:color w:val="auto"/>
                <w:kern w:val="2"/>
                <w:sz w:val="21"/>
                <w:szCs w:val="21"/>
                <w:highlight w:val="none"/>
                <w:lang w:val="en-US" w:eastAsia="zh-CN" w:bidi="ar-SA"/>
              </w:rPr>
            </w:pPr>
            <w:r>
              <w:rPr>
                <w:rStyle w:val="45"/>
                <w:rFonts w:hint="eastAsia" w:ascii="仿宋_GB2312" w:hAnsi="宋体" w:eastAsia="仿宋_GB2312" w:cs="Times New Roman"/>
                <w:b/>
                <w:color w:val="auto"/>
                <w:kern w:val="2"/>
                <w:sz w:val="21"/>
                <w:szCs w:val="21"/>
                <w:highlight w:val="none"/>
                <w:lang w:val="en-US" w:eastAsia="zh-CN" w:bidi="ar-SA"/>
              </w:rPr>
              <w:t>投标总价（已包含</w:t>
            </w:r>
            <w:r>
              <w:rPr>
                <w:rStyle w:val="45"/>
                <w:rFonts w:hint="eastAsia" w:ascii="仿宋_GB2312" w:hAnsi="宋体" w:eastAsia="仿宋_GB2312" w:cs="Times New Roman"/>
                <w:color w:val="auto"/>
                <w:kern w:val="2"/>
                <w:sz w:val="21"/>
                <w:szCs w:val="21"/>
                <w:highlight w:val="none"/>
                <w:lang w:val="en-US" w:eastAsia="zh-CN" w:bidi="ar-SA"/>
              </w:rPr>
              <w:t>价格折扣</w:t>
            </w:r>
            <w:r>
              <w:rPr>
                <w:rStyle w:val="45"/>
                <w:rFonts w:hint="eastAsia" w:ascii="仿宋_GB2312" w:hAnsi="宋体" w:eastAsia="仿宋_GB2312" w:cs="Times New Roman"/>
                <w:b/>
                <w:color w:val="auto"/>
                <w:kern w:val="2"/>
                <w:sz w:val="21"/>
                <w:szCs w:val="21"/>
                <w:highlight w:val="none"/>
                <w:lang w:val="en-US" w:eastAsia="zh-CN" w:bidi="ar-SA"/>
              </w:rPr>
              <w:t>）：</w:t>
            </w:r>
          </w:p>
          <w:p w14:paraId="785216FF">
            <w:pPr>
              <w:pStyle w:val="169"/>
              <w:widowControl w:val="0"/>
              <w:adjustRightInd w:val="0"/>
              <w:snapToGrid w:val="0"/>
              <w:ind w:left="71" w:leftChars="34"/>
              <w:jc w:val="both"/>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小写：</w:t>
            </w:r>
            <w:r>
              <w:rPr>
                <w:rStyle w:val="45"/>
                <w:rFonts w:hint="eastAsia" w:ascii="仿宋_GB2312" w:hAnsi="宋体" w:eastAsia="仿宋_GB2312" w:cs="Times New Roman"/>
                <w:color w:val="auto"/>
                <w:kern w:val="2"/>
                <w:sz w:val="21"/>
                <w:szCs w:val="21"/>
                <w:highlight w:val="none"/>
                <w:u w:val="single"/>
                <w:lang w:val="en-US" w:eastAsia="zh-CN" w:bidi="ar-SA"/>
              </w:rPr>
              <w:t xml:space="preserve">                                                 </w:t>
            </w:r>
            <w:r>
              <w:rPr>
                <w:rStyle w:val="45"/>
                <w:rFonts w:hint="eastAsia" w:ascii="仿宋_GB2312" w:hAnsi="宋体" w:eastAsia="仿宋_GB2312" w:cs="Times New Roman"/>
                <w:color w:val="auto"/>
                <w:kern w:val="2"/>
                <w:sz w:val="21"/>
                <w:szCs w:val="21"/>
                <w:highlight w:val="none"/>
                <w:lang w:val="en-US" w:eastAsia="zh-CN" w:bidi="ar-SA"/>
              </w:rPr>
              <w:t xml:space="preserve">  </w:t>
            </w:r>
          </w:p>
          <w:p w14:paraId="15DACA18">
            <w:pPr>
              <w:pStyle w:val="169"/>
              <w:widowControl w:val="0"/>
              <w:adjustRightInd w:val="0"/>
              <w:snapToGrid w:val="0"/>
              <w:ind w:firstLine="105" w:firstLineChars="50"/>
              <w:jc w:val="both"/>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大写：</w:t>
            </w:r>
            <w:r>
              <w:rPr>
                <w:rStyle w:val="45"/>
                <w:rFonts w:hint="eastAsia" w:ascii="仿宋_GB2312" w:hAnsi="宋体" w:eastAsia="仿宋_GB2312" w:cs="Times New Roman"/>
                <w:color w:val="auto"/>
                <w:kern w:val="2"/>
                <w:sz w:val="21"/>
                <w:szCs w:val="21"/>
                <w:highlight w:val="none"/>
                <w:u w:val="single"/>
                <w:lang w:val="en-US" w:eastAsia="zh-CN" w:bidi="ar-SA"/>
              </w:rPr>
              <w:t xml:space="preserve">                                                 </w:t>
            </w:r>
            <w:r>
              <w:rPr>
                <w:rStyle w:val="45"/>
                <w:rFonts w:hint="eastAsia" w:ascii="仿宋_GB2312" w:hAnsi="宋体" w:eastAsia="仿宋_GB2312" w:cs="Times New Roman"/>
                <w:color w:val="auto"/>
                <w:kern w:val="2"/>
                <w:sz w:val="21"/>
                <w:szCs w:val="21"/>
                <w:highlight w:val="none"/>
                <w:lang w:val="en-US" w:eastAsia="zh-CN" w:bidi="ar-SA"/>
              </w:rPr>
              <w:t xml:space="preserve">      </w:t>
            </w:r>
          </w:p>
        </w:tc>
      </w:tr>
      <w:tr w14:paraId="18CA43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62" w:hRule="atLeast"/>
          <w:jc w:val="center"/>
        </w:trPr>
        <w:tc>
          <w:tcPr>
            <w:tcW w:w="10133" w:type="dxa"/>
            <w:gridSpan w:val="4"/>
            <w:noWrap w:val="0"/>
            <w:vAlign w:val="center"/>
          </w:tcPr>
          <w:p w14:paraId="472AE30D">
            <w:pPr>
              <w:pStyle w:val="169"/>
              <w:widowControl w:val="0"/>
              <w:adjustRightInd w:val="0"/>
              <w:snapToGrid w:val="0"/>
              <w:jc w:val="both"/>
              <w:rPr>
                <w:rStyle w:val="45"/>
                <w:rFonts w:ascii="仿宋_GB2312" w:hAnsi="宋体" w:eastAsia="仿宋_GB2312" w:cs="Times New Roman"/>
                <w:color w:val="auto"/>
                <w:kern w:val="2"/>
                <w:sz w:val="21"/>
                <w:szCs w:val="21"/>
                <w:highlight w:val="none"/>
                <w:lang w:val="en-US" w:eastAsia="zh-CN" w:bidi="ar-SA"/>
              </w:rPr>
            </w:pPr>
            <w:r>
              <w:rPr>
                <w:rStyle w:val="45"/>
                <w:rFonts w:hint="eastAsia" w:ascii="仿宋_GB2312" w:hAnsi="宋体" w:eastAsia="仿宋_GB2312" w:cs="Times New Roman"/>
                <w:color w:val="auto"/>
                <w:kern w:val="2"/>
                <w:sz w:val="21"/>
                <w:szCs w:val="21"/>
                <w:highlight w:val="none"/>
                <w:lang w:val="en-US" w:eastAsia="zh-CN" w:bidi="ar-SA"/>
              </w:rPr>
              <w:t>备注： 投标总价为序号1-7项的合计金额。</w:t>
            </w:r>
          </w:p>
        </w:tc>
      </w:tr>
    </w:tbl>
    <w:p w14:paraId="1E5E4CA6">
      <w:pPr>
        <w:adjustRightInd w:val="0"/>
        <w:spacing w:line="360" w:lineRule="auto"/>
        <w:jc w:val="left"/>
        <w:rPr>
          <w:rFonts w:ascii="宋体" w:hAnsi="宋体" w:cs="宋体"/>
          <w:color w:val="auto"/>
          <w:szCs w:val="21"/>
          <w:highlight w:val="none"/>
        </w:rPr>
      </w:pPr>
    </w:p>
    <w:p w14:paraId="167A5533">
      <w:pPr>
        <w:adjustRightIn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注：“报价方式”以一次报清，完成本项目所需的所有费用必须包含在总报价中，如以后已实施而未列入报价的费用将被视为投标人优惠，采购人均不予支付</w:t>
      </w:r>
      <w:r>
        <w:rPr>
          <w:rFonts w:hint="eastAsia" w:ascii="宋体" w:hAnsi="宋体" w:cs="宋体"/>
          <w:b/>
          <w:bCs/>
          <w:color w:val="auto"/>
          <w:szCs w:val="21"/>
          <w:highlight w:val="none"/>
          <w:lang w:eastAsia="zh-CN"/>
        </w:rPr>
        <w:t>，投标人根据招标文件“11．投标报价”项要求填报报价</w:t>
      </w:r>
      <w:r>
        <w:rPr>
          <w:rFonts w:hint="eastAsia" w:ascii="宋体" w:hAnsi="宋体" w:cs="宋体"/>
          <w:b/>
          <w:bCs/>
          <w:color w:val="auto"/>
          <w:szCs w:val="21"/>
          <w:highlight w:val="none"/>
        </w:rPr>
        <w:t>。</w:t>
      </w:r>
    </w:p>
    <w:p w14:paraId="2215E196">
      <w:pPr>
        <w:adjustRightInd w:val="0"/>
        <w:spacing w:line="360" w:lineRule="auto"/>
        <w:ind w:firstLine="420" w:firstLineChars="200"/>
        <w:rPr>
          <w:rFonts w:ascii="宋体" w:hAnsi="宋体" w:cs="宋体"/>
          <w:color w:val="auto"/>
          <w:szCs w:val="21"/>
          <w:highlight w:val="none"/>
        </w:rPr>
      </w:pPr>
    </w:p>
    <w:p w14:paraId="3C1362D6">
      <w:pPr>
        <w:adjustRightInd w:val="0"/>
        <w:spacing w:line="360" w:lineRule="auto"/>
        <w:ind w:firstLine="420" w:firstLineChars="200"/>
        <w:rPr>
          <w:rFonts w:ascii="宋体" w:hAnsi="宋体" w:cs="宋体"/>
          <w:color w:val="auto"/>
          <w:szCs w:val="21"/>
          <w:highlight w:val="none"/>
        </w:rPr>
      </w:pPr>
    </w:p>
    <w:p w14:paraId="65608557">
      <w:pPr>
        <w:adjustRightInd w:val="0"/>
        <w:spacing w:line="360" w:lineRule="auto"/>
        <w:ind w:firstLine="420" w:firstLineChars="200"/>
        <w:rPr>
          <w:rFonts w:ascii="宋体" w:hAnsi="宋体" w:cs="宋体"/>
          <w:color w:val="auto"/>
          <w:szCs w:val="21"/>
          <w:highlight w:val="none"/>
        </w:rPr>
      </w:pPr>
    </w:p>
    <w:p w14:paraId="16587C96">
      <w:pPr>
        <w:adjustRightInd w:val="0"/>
        <w:spacing w:line="360" w:lineRule="auto"/>
        <w:ind w:firstLine="4515" w:firstLineChars="2150"/>
        <w:rPr>
          <w:rFonts w:ascii="宋体" w:hAnsi="宋体" w:cs="宋体"/>
          <w:color w:val="auto"/>
          <w:szCs w:val="21"/>
          <w:highlight w:val="none"/>
        </w:rPr>
      </w:pPr>
      <w:r>
        <w:rPr>
          <w:rFonts w:hint="eastAsia" w:ascii="宋体" w:hAnsi="宋体" w:cs="宋体"/>
          <w:color w:val="auto"/>
          <w:szCs w:val="21"/>
          <w:highlight w:val="none"/>
        </w:rPr>
        <w:t>投标人(盖公章)</w:t>
      </w:r>
    </w:p>
    <w:p w14:paraId="39CBE102">
      <w:pPr>
        <w:adjustRightInd w:val="0"/>
        <w:spacing w:line="360" w:lineRule="auto"/>
        <w:ind w:firstLine="4515" w:firstLineChars="2150"/>
        <w:rPr>
          <w:rFonts w:ascii="宋体" w:hAnsi="宋体" w:cs="宋体"/>
          <w:color w:val="auto"/>
          <w:szCs w:val="21"/>
          <w:highlight w:val="none"/>
        </w:rPr>
      </w:pPr>
      <w:r>
        <w:rPr>
          <w:rFonts w:hint="eastAsia" w:ascii="宋体" w:hAnsi="宋体" w:cs="宋体"/>
          <w:color w:val="auto"/>
          <w:szCs w:val="21"/>
          <w:highlight w:val="none"/>
        </w:rPr>
        <w:t>法定代表人或授权代表(签字或盖章)</w:t>
      </w:r>
    </w:p>
    <w:p w14:paraId="65BF249F">
      <w:pPr>
        <w:pStyle w:val="24"/>
        <w:spacing w:line="420" w:lineRule="exact"/>
        <w:ind w:firstLine="4515" w:firstLineChars="2150"/>
        <w:rPr>
          <w:rFonts w:ascii="宋体" w:hAnsi="宋体" w:eastAsia="宋体" w:cs="宋体"/>
          <w:color w:val="auto"/>
          <w:highlight w:val="none"/>
        </w:rPr>
      </w:pPr>
      <w:r>
        <w:rPr>
          <w:rFonts w:hint="eastAsia" w:ascii="宋体" w:hAnsi="宋体" w:eastAsia="宋体" w:cs="宋体"/>
          <w:color w:val="auto"/>
          <w:highlight w:val="none"/>
        </w:rPr>
        <w:t>日     期：</w:t>
      </w:r>
    </w:p>
    <w:p w14:paraId="2BE206B8">
      <w:pPr>
        <w:snapToGrid w:val="0"/>
        <w:spacing w:line="360" w:lineRule="auto"/>
        <w:rPr>
          <w:rFonts w:hint="eastAsia" w:ascii="宋体" w:hAnsi="宋体" w:cs="宋体"/>
          <w:b/>
          <w:bCs/>
          <w:color w:val="auto"/>
          <w:szCs w:val="21"/>
          <w:highlight w:val="yellow"/>
        </w:rPr>
      </w:pPr>
      <w:r>
        <w:rPr>
          <w:rFonts w:hint="eastAsia" w:ascii="宋体" w:hAnsi="宋体" w:cs="宋体"/>
          <w:color w:val="auto"/>
          <w:highlight w:val="none"/>
        </w:rPr>
        <w:br w:type="page"/>
      </w:r>
      <w:r>
        <w:rPr>
          <w:rFonts w:hint="eastAsia" w:ascii="宋体" w:hAnsi="宋体" w:cs="宋体"/>
          <w:b/>
          <w:bCs/>
          <w:color w:val="auto"/>
          <w:szCs w:val="21"/>
          <w:highlight w:val="yellow"/>
        </w:rPr>
        <w:t>4.3投标报价明细表</w:t>
      </w:r>
    </w:p>
    <w:p w14:paraId="50F9B252">
      <w:pPr>
        <w:pStyle w:val="181"/>
        <w:autoSpaceDE w:val="0"/>
        <w:autoSpaceDN w:val="0"/>
        <w:adjustRightInd w:val="0"/>
        <w:snapToGrid w:val="0"/>
        <w:spacing w:line="360" w:lineRule="auto"/>
        <w:ind w:right="-20"/>
        <w:jc w:val="center"/>
        <w:rPr>
          <w:rStyle w:val="45"/>
          <w:rFonts w:ascii="宋体" w:hAnsi="宋体" w:cs="微软雅黑"/>
          <w:b/>
          <w:kern w:val="0"/>
          <w:sz w:val="28"/>
          <w:szCs w:val="28"/>
          <w:highlight w:val="yellow"/>
        </w:rPr>
      </w:pPr>
      <w:r>
        <w:rPr>
          <w:rStyle w:val="45"/>
          <w:rFonts w:hint="eastAsia" w:ascii="宋体" w:hAnsi="宋体"/>
          <w:b/>
          <w:kern w:val="0"/>
          <w:sz w:val="28"/>
          <w:szCs w:val="28"/>
          <w:highlight w:val="yellow"/>
        </w:rPr>
        <w:t>1、投标报价明细表</w:t>
      </w:r>
      <w:r>
        <w:rPr>
          <w:rStyle w:val="45"/>
          <w:rFonts w:hint="eastAsia" w:ascii="宋体" w:hAnsi="宋体" w:cs="微软雅黑"/>
          <w:b/>
          <w:kern w:val="0"/>
          <w:sz w:val="28"/>
          <w:szCs w:val="28"/>
          <w:highlight w:val="yellow"/>
        </w:rPr>
        <w:t>说明</w:t>
      </w:r>
    </w:p>
    <w:p w14:paraId="2442EDB0">
      <w:pPr>
        <w:pStyle w:val="181"/>
        <w:adjustRightInd w:val="0"/>
        <w:snapToGrid w:val="0"/>
        <w:spacing w:line="360" w:lineRule="auto"/>
        <w:rPr>
          <w:rStyle w:val="45"/>
          <w:rFonts w:ascii="宋体" w:hAnsi="宋体"/>
          <w:sz w:val="21"/>
          <w:szCs w:val="21"/>
          <w:highlight w:val="yellow"/>
        </w:rPr>
      </w:pPr>
      <w:r>
        <w:rPr>
          <w:rStyle w:val="45"/>
          <w:rFonts w:hint="eastAsia" w:ascii="宋体" w:hAnsi="宋体"/>
          <w:szCs w:val="21"/>
          <w:highlight w:val="yellow"/>
        </w:rPr>
        <w:t>备注：（1）本表应对应“开标一览表”。投标人如果不提供投标报价明细表，其投标无效。</w:t>
      </w:r>
    </w:p>
    <w:p w14:paraId="6D8D65E8">
      <w:pPr>
        <w:pStyle w:val="181"/>
        <w:adjustRightInd w:val="0"/>
        <w:snapToGrid w:val="0"/>
        <w:spacing w:line="360" w:lineRule="auto"/>
        <w:ind w:firstLine="480" w:firstLineChars="200"/>
        <w:rPr>
          <w:rStyle w:val="45"/>
          <w:rFonts w:ascii="宋体" w:hAnsi="宋体"/>
          <w:szCs w:val="21"/>
          <w:highlight w:val="yellow"/>
        </w:rPr>
      </w:pPr>
      <w:r>
        <w:rPr>
          <w:rStyle w:val="45"/>
          <w:rFonts w:hint="eastAsia" w:ascii="宋体" w:hAnsi="宋体"/>
          <w:szCs w:val="21"/>
          <w:highlight w:val="yellow"/>
        </w:rPr>
        <w:t>（2）不得填写“免费”或“赠与”，也不得进行“零”报价，否则投标无效。</w:t>
      </w:r>
    </w:p>
    <w:p w14:paraId="044952E1">
      <w:pPr>
        <w:pStyle w:val="181"/>
        <w:adjustRightInd w:val="0"/>
        <w:snapToGrid w:val="0"/>
        <w:spacing w:line="360" w:lineRule="auto"/>
        <w:ind w:firstLine="480" w:firstLineChars="200"/>
        <w:rPr>
          <w:rStyle w:val="45"/>
          <w:rFonts w:hint="eastAsia" w:ascii="宋体" w:hAnsi="宋体"/>
          <w:szCs w:val="21"/>
          <w:highlight w:val="yellow"/>
        </w:rPr>
      </w:pPr>
      <w:r>
        <w:rPr>
          <w:rStyle w:val="45"/>
          <w:rFonts w:hint="eastAsia" w:ascii="宋体" w:hAnsi="宋体"/>
          <w:szCs w:val="21"/>
          <w:highlight w:val="yellow"/>
        </w:rPr>
        <w:t>（3）投标人在提交投标文件的截止时间前修改“开标一览表”中的投标报价的，本表相应内容应同时修改。否则，投标报价明细表按投标报价修改的相同比例进行调整，其风险由投标人自己承担。</w:t>
      </w:r>
    </w:p>
    <w:p w14:paraId="31AA3747">
      <w:pPr>
        <w:pStyle w:val="181"/>
        <w:adjustRightInd w:val="0"/>
        <w:snapToGrid w:val="0"/>
        <w:spacing w:line="360" w:lineRule="auto"/>
        <w:ind w:firstLine="480" w:firstLineChars="200"/>
        <w:rPr>
          <w:rStyle w:val="45"/>
          <w:rFonts w:hint="default" w:ascii="宋体" w:hAnsi="宋体" w:eastAsia="宋体"/>
          <w:szCs w:val="21"/>
          <w:highlight w:val="yellow"/>
          <w:lang w:val="en-US" w:eastAsia="zh-CN"/>
        </w:rPr>
      </w:pPr>
      <w:r>
        <w:rPr>
          <w:rStyle w:val="45"/>
          <w:rFonts w:hint="eastAsia" w:ascii="宋体" w:hAnsi="宋体"/>
          <w:szCs w:val="21"/>
          <w:highlight w:val="yellow"/>
          <w:lang w:eastAsia="zh-CN"/>
        </w:rPr>
        <w:t>（</w:t>
      </w:r>
      <w:r>
        <w:rPr>
          <w:rStyle w:val="45"/>
          <w:rFonts w:hint="eastAsia" w:ascii="宋体" w:hAnsi="宋体"/>
          <w:szCs w:val="21"/>
          <w:highlight w:val="yellow"/>
          <w:lang w:val="en-US" w:eastAsia="zh-CN"/>
        </w:rPr>
        <w:t>4</w:t>
      </w:r>
      <w:r>
        <w:rPr>
          <w:rStyle w:val="45"/>
          <w:rFonts w:hint="eastAsia" w:ascii="宋体" w:hAnsi="宋体"/>
          <w:szCs w:val="21"/>
          <w:highlight w:val="yellow"/>
          <w:lang w:eastAsia="zh-CN"/>
        </w:rPr>
        <w:t>）投标人根据招标文件“11．投标报价”项要求填报报价。</w:t>
      </w:r>
    </w:p>
    <w:p w14:paraId="41C48E5B">
      <w:pPr>
        <w:pStyle w:val="181"/>
        <w:autoSpaceDE w:val="0"/>
        <w:autoSpaceDN w:val="0"/>
        <w:adjustRightInd w:val="0"/>
        <w:snapToGrid w:val="0"/>
        <w:spacing w:line="360" w:lineRule="auto"/>
        <w:ind w:right="-20"/>
        <w:jc w:val="center"/>
        <w:rPr>
          <w:rStyle w:val="45"/>
          <w:rFonts w:ascii="宋体" w:hAnsi="宋体"/>
          <w:b/>
          <w:color w:val="000000"/>
          <w:kern w:val="0"/>
          <w:position w:val="-3"/>
          <w:sz w:val="28"/>
          <w:szCs w:val="28"/>
          <w:highlight w:val="yellow"/>
        </w:rPr>
      </w:pPr>
    </w:p>
    <w:p w14:paraId="204AF72E">
      <w:pPr>
        <w:pStyle w:val="182"/>
        <w:autoSpaceDE w:val="0"/>
        <w:autoSpaceDN w:val="0"/>
        <w:adjustRightInd w:val="0"/>
        <w:snapToGrid w:val="0"/>
        <w:spacing w:line="360" w:lineRule="auto"/>
        <w:ind w:right="-20"/>
        <w:jc w:val="center"/>
        <w:rPr>
          <w:rStyle w:val="45"/>
          <w:rFonts w:ascii="宋体" w:hAnsi="宋体" w:cs="微软雅黑"/>
          <w:b/>
          <w:color w:val="000000"/>
          <w:sz w:val="28"/>
          <w:szCs w:val="28"/>
          <w:highlight w:val="yellow"/>
        </w:rPr>
      </w:pPr>
      <w:r>
        <w:rPr>
          <w:rStyle w:val="45"/>
          <w:rFonts w:ascii="宋体" w:hAnsi="宋体"/>
          <w:b/>
          <w:color w:val="000000"/>
          <w:position w:val="-3"/>
          <w:sz w:val="28"/>
          <w:szCs w:val="28"/>
          <w:highlight w:val="yellow"/>
        </w:rPr>
        <w:t>2</w:t>
      </w:r>
      <w:r>
        <w:rPr>
          <w:rStyle w:val="45"/>
          <w:rFonts w:hint="eastAsia" w:ascii="宋体" w:hAnsi="宋体"/>
          <w:b/>
          <w:color w:val="000000"/>
          <w:position w:val="-3"/>
          <w:sz w:val="28"/>
          <w:szCs w:val="28"/>
          <w:highlight w:val="yellow"/>
        </w:rPr>
        <w:t>、投标报价明细表</w:t>
      </w:r>
    </w:p>
    <w:p w14:paraId="7CF36155">
      <w:pPr>
        <w:pStyle w:val="183"/>
        <w:adjustRightInd w:val="0"/>
        <w:snapToGrid w:val="0"/>
        <w:spacing w:after="200" w:line="360" w:lineRule="auto"/>
        <w:ind w:left="-88" w:leftChars="-42"/>
        <w:rPr>
          <w:rStyle w:val="45"/>
          <w:rFonts w:hint="default" w:ascii="宋体" w:hAnsi="宋体" w:eastAsia="宋体" w:cs="宋体"/>
          <w:sz w:val="21"/>
          <w:szCs w:val="21"/>
          <w:highlight w:val="yellow"/>
          <w:lang w:val="en-US" w:eastAsia="zh-CN"/>
        </w:rPr>
      </w:pPr>
      <w:r>
        <w:rPr>
          <w:rStyle w:val="45"/>
          <w:rFonts w:hint="eastAsia" w:ascii="宋体" w:hAnsi="宋体" w:cs="宋体"/>
          <w:sz w:val="21"/>
          <w:szCs w:val="21"/>
          <w:highlight w:val="yellow"/>
        </w:rPr>
        <w:t>2.1项目设计费</w:t>
      </w:r>
      <w:r>
        <w:rPr>
          <w:rStyle w:val="45"/>
          <w:rFonts w:hint="eastAsia" w:ascii="宋体" w:hAnsi="宋体" w:cs="宋体"/>
          <w:sz w:val="21"/>
          <w:szCs w:val="21"/>
          <w:highlight w:val="yellow"/>
          <w:lang w:val="en-US" w:eastAsia="zh-CN"/>
        </w:rPr>
        <w:t>报价明细表</w:t>
      </w:r>
    </w:p>
    <w:p w14:paraId="07E430A8">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格式自拟。</w:t>
      </w:r>
    </w:p>
    <w:p w14:paraId="1A4C8785">
      <w:pPr>
        <w:pStyle w:val="184"/>
        <w:adjustRightInd w:val="0"/>
        <w:snapToGrid w:val="0"/>
        <w:spacing w:line="360" w:lineRule="auto"/>
        <w:rPr>
          <w:rStyle w:val="45"/>
          <w:rFonts w:ascii="宋体" w:hAnsi="宋体" w:cs="宋体"/>
          <w:sz w:val="21"/>
          <w:szCs w:val="21"/>
          <w:highlight w:val="yellow"/>
        </w:rPr>
      </w:pPr>
    </w:p>
    <w:p w14:paraId="4BDB891E">
      <w:pPr>
        <w:pStyle w:val="184"/>
        <w:adjustRightInd w:val="0"/>
        <w:snapToGrid w:val="0"/>
        <w:spacing w:line="360" w:lineRule="auto"/>
        <w:rPr>
          <w:rStyle w:val="45"/>
          <w:rFonts w:ascii="宋体" w:hAnsi="宋体" w:cs="宋体"/>
          <w:sz w:val="21"/>
          <w:szCs w:val="21"/>
          <w:highlight w:val="yellow"/>
        </w:rPr>
      </w:pPr>
    </w:p>
    <w:p w14:paraId="68CEF80E">
      <w:pPr>
        <w:pStyle w:val="184"/>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投标人名称（盖单位章）：</w:t>
      </w:r>
    </w:p>
    <w:p w14:paraId="09ED5813">
      <w:pPr>
        <w:pStyle w:val="183"/>
        <w:adjustRightInd w:val="0"/>
        <w:snapToGrid w:val="0"/>
        <w:spacing w:after="200" w:line="360" w:lineRule="auto"/>
        <w:ind w:left="-88" w:leftChars="-42"/>
        <w:rPr>
          <w:rStyle w:val="45"/>
          <w:rFonts w:ascii="宋体" w:hAnsi="宋体" w:cs="宋体"/>
          <w:sz w:val="21"/>
          <w:szCs w:val="21"/>
          <w:highlight w:val="yellow"/>
        </w:rPr>
      </w:pPr>
      <w:r>
        <w:rPr>
          <w:rStyle w:val="45"/>
          <w:rFonts w:hint="eastAsia" w:ascii="宋体" w:hAnsi="宋体" w:cs="宋体"/>
          <w:kern w:val="2"/>
          <w:sz w:val="21"/>
          <w:szCs w:val="21"/>
          <w:highlight w:val="yellow"/>
        </w:rPr>
        <w:t>日期： 年  月  日</w:t>
      </w:r>
    </w:p>
    <w:p w14:paraId="79897109">
      <w:pPr>
        <w:pStyle w:val="183"/>
        <w:adjustRightInd w:val="0"/>
        <w:snapToGrid w:val="0"/>
        <w:spacing w:after="200" w:line="360" w:lineRule="auto"/>
        <w:ind w:left="-88" w:leftChars="-42"/>
        <w:rPr>
          <w:rStyle w:val="45"/>
          <w:rFonts w:ascii="宋体" w:hAnsi="宋体" w:cs="宋体"/>
          <w:sz w:val="21"/>
          <w:szCs w:val="21"/>
          <w:highlight w:val="yellow"/>
        </w:rPr>
      </w:pPr>
    </w:p>
    <w:p w14:paraId="786B437B">
      <w:pPr>
        <w:pStyle w:val="183"/>
        <w:adjustRightInd w:val="0"/>
        <w:snapToGrid w:val="0"/>
        <w:spacing w:after="200" w:line="360"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2.2设备购置费（含硬件和软件设备）</w:t>
      </w:r>
      <w:r>
        <w:rPr>
          <w:rStyle w:val="45"/>
          <w:rFonts w:hint="eastAsia" w:ascii="宋体" w:hAnsi="宋体" w:cs="宋体"/>
          <w:sz w:val="21"/>
          <w:szCs w:val="21"/>
          <w:highlight w:val="yellow"/>
          <w:lang w:val="en-US" w:eastAsia="zh-CN"/>
        </w:rPr>
        <w:t>报价明细表</w:t>
      </w:r>
    </w:p>
    <w:p w14:paraId="1CDB5FAB">
      <w:pPr>
        <w:pStyle w:val="183"/>
        <w:adjustRightInd w:val="0"/>
        <w:snapToGrid w:val="0"/>
        <w:spacing w:after="200" w:line="360"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项目名称：</w:t>
      </w:r>
      <w:r>
        <w:rPr>
          <w:rStyle w:val="45"/>
          <w:rFonts w:hint="eastAsia" w:ascii="宋体" w:hAnsi="宋体" w:cs="宋体"/>
          <w:sz w:val="21"/>
          <w:szCs w:val="21"/>
          <w:highlight w:val="yellow"/>
          <w:u w:val="single"/>
        </w:rPr>
        <w:t xml:space="preserve">                  </w:t>
      </w:r>
      <w:r>
        <w:rPr>
          <w:rStyle w:val="45"/>
          <w:rFonts w:hint="eastAsia" w:ascii="宋体" w:hAnsi="宋体" w:cs="宋体"/>
          <w:sz w:val="21"/>
          <w:szCs w:val="21"/>
          <w:highlight w:val="yellow"/>
        </w:rPr>
        <w:t xml:space="preserve">       政府采购编号：</w:t>
      </w:r>
      <w:r>
        <w:rPr>
          <w:rStyle w:val="45"/>
          <w:rFonts w:hint="eastAsia" w:ascii="宋体" w:hAnsi="宋体" w:cs="宋体"/>
          <w:sz w:val="21"/>
          <w:szCs w:val="21"/>
          <w:highlight w:val="yellow"/>
          <w:u w:val="single"/>
        </w:rPr>
        <w:t xml:space="preserve">                    </w:t>
      </w:r>
      <w:r>
        <w:rPr>
          <w:rStyle w:val="45"/>
          <w:rFonts w:hint="eastAsia" w:ascii="宋体" w:hAnsi="宋体" w:cs="宋体"/>
          <w:sz w:val="21"/>
          <w:szCs w:val="21"/>
          <w:highlight w:val="yellow"/>
        </w:rPr>
        <w:t xml:space="preserve">      金额单位：人民币元</w:t>
      </w:r>
    </w:p>
    <w:tbl>
      <w:tblPr>
        <w:tblStyle w:val="43"/>
        <w:tblW w:w="0" w:type="auto"/>
        <w:jc w:val="center"/>
        <w:tblLayout w:type="fixed"/>
        <w:tblCellMar>
          <w:top w:w="0" w:type="dxa"/>
          <w:left w:w="0" w:type="dxa"/>
          <w:bottom w:w="0" w:type="dxa"/>
          <w:right w:w="0" w:type="dxa"/>
        </w:tblCellMar>
      </w:tblPr>
      <w:tblGrid>
        <w:gridCol w:w="891"/>
        <w:gridCol w:w="1628"/>
        <w:gridCol w:w="969"/>
        <w:gridCol w:w="1320"/>
        <w:gridCol w:w="968"/>
        <w:gridCol w:w="852"/>
        <w:gridCol w:w="1200"/>
        <w:gridCol w:w="1159"/>
        <w:gridCol w:w="809"/>
      </w:tblGrid>
      <w:tr w14:paraId="1E5BC7E2">
        <w:tblPrEx>
          <w:tblCellMar>
            <w:top w:w="0" w:type="dxa"/>
            <w:left w:w="0" w:type="dxa"/>
            <w:bottom w:w="0" w:type="dxa"/>
            <w:right w:w="0" w:type="dxa"/>
          </w:tblCellMar>
        </w:tblPrEx>
        <w:trPr>
          <w:trHeight w:val="437" w:hRule="exact"/>
          <w:jc w:val="center"/>
        </w:trPr>
        <w:tc>
          <w:tcPr>
            <w:tcW w:w="891" w:type="dxa"/>
            <w:tcBorders>
              <w:top w:val="double" w:color="auto" w:sz="4" w:space="0"/>
              <w:left w:val="double" w:color="auto" w:sz="4" w:space="0"/>
              <w:bottom w:val="single" w:color="auto" w:sz="6" w:space="0"/>
              <w:right w:val="single" w:color="auto" w:sz="6" w:space="0"/>
            </w:tcBorders>
            <w:noWrap w:val="0"/>
            <w:vAlign w:val="center"/>
          </w:tcPr>
          <w:p w14:paraId="48185E82">
            <w:pPr>
              <w:pStyle w:val="185"/>
              <w:widowControl w:val="0"/>
              <w:autoSpaceDE w:val="0"/>
              <w:autoSpaceDN w:val="0"/>
              <w:adjustRightInd w:val="0"/>
              <w:snapToGrid w:val="0"/>
              <w:spacing w:line="360" w:lineRule="auto"/>
              <w:ind w:right="-20"/>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序号</w:t>
            </w:r>
          </w:p>
        </w:tc>
        <w:tc>
          <w:tcPr>
            <w:tcW w:w="1628" w:type="dxa"/>
            <w:tcBorders>
              <w:top w:val="double" w:color="auto" w:sz="4" w:space="0"/>
              <w:left w:val="single" w:color="auto" w:sz="6" w:space="0"/>
              <w:bottom w:val="single" w:color="auto" w:sz="6" w:space="0"/>
              <w:right w:val="single" w:color="auto" w:sz="6" w:space="0"/>
            </w:tcBorders>
            <w:noWrap w:val="0"/>
            <w:vAlign w:val="center"/>
          </w:tcPr>
          <w:p w14:paraId="7F138B8E">
            <w:pPr>
              <w:pStyle w:val="185"/>
              <w:widowControl w:val="0"/>
              <w:autoSpaceDE w:val="0"/>
              <w:autoSpaceDN w:val="0"/>
              <w:adjustRightInd w:val="0"/>
              <w:snapToGrid w:val="0"/>
              <w:spacing w:line="360" w:lineRule="auto"/>
              <w:ind w:right="-20"/>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设备名称</w:t>
            </w:r>
          </w:p>
        </w:tc>
        <w:tc>
          <w:tcPr>
            <w:tcW w:w="969" w:type="dxa"/>
            <w:tcBorders>
              <w:top w:val="double" w:color="auto" w:sz="4" w:space="0"/>
              <w:left w:val="single" w:color="auto" w:sz="6" w:space="0"/>
              <w:bottom w:val="single" w:color="auto" w:sz="6" w:space="0"/>
              <w:right w:val="single" w:color="auto" w:sz="6" w:space="0"/>
            </w:tcBorders>
            <w:noWrap w:val="0"/>
            <w:vAlign w:val="center"/>
          </w:tcPr>
          <w:p w14:paraId="1DAC0C6E">
            <w:pPr>
              <w:pStyle w:val="185"/>
              <w:widowControl w:val="0"/>
              <w:autoSpaceDE w:val="0"/>
              <w:autoSpaceDN w:val="0"/>
              <w:adjustRightInd w:val="0"/>
              <w:snapToGrid w:val="0"/>
              <w:spacing w:line="360" w:lineRule="auto"/>
              <w:ind w:right="-20"/>
              <w:jc w:val="center"/>
              <w:rPr>
                <w:rStyle w:val="45"/>
                <w:rFonts w:ascii="宋体" w:hAnsi="宋体" w:eastAsia="宋体" w:cs="宋体"/>
                <w:position w:val="-1"/>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规格型号</w:t>
            </w:r>
          </w:p>
        </w:tc>
        <w:tc>
          <w:tcPr>
            <w:tcW w:w="1320" w:type="dxa"/>
            <w:tcBorders>
              <w:top w:val="double" w:color="auto" w:sz="4" w:space="0"/>
              <w:left w:val="single" w:color="auto" w:sz="6" w:space="0"/>
              <w:bottom w:val="single" w:color="auto" w:sz="6" w:space="0"/>
              <w:right w:val="single" w:color="auto" w:sz="6" w:space="0"/>
            </w:tcBorders>
            <w:noWrap w:val="0"/>
            <w:vAlign w:val="center"/>
          </w:tcPr>
          <w:p w14:paraId="68CB4B50">
            <w:pPr>
              <w:pStyle w:val="185"/>
              <w:widowControl w:val="0"/>
              <w:autoSpaceDE w:val="0"/>
              <w:autoSpaceDN w:val="0"/>
              <w:adjustRightInd w:val="0"/>
              <w:snapToGrid w:val="0"/>
              <w:spacing w:line="360" w:lineRule="auto"/>
              <w:ind w:right="-20"/>
              <w:jc w:val="center"/>
              <w:rPr>
                <w:rStyle w:val="45"/>
                <w:rFonts w:ascii="宋体" w:hAnsi="宋体" w:eastAsia="宋体" w:cs="宋体"/>
                <w:position w:val="-1"/>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品牌产地</w:t>
            </w:r>
          </w:p>
        </w:tc>
        <w:tc>
          <w:tcPr>
            <w:tcW w:w="968" w:type="dxa"/>
            <w:tcBorders>
              <w:top w:val="double" w:color="auto" w:sz="4" w:space="0"/>
              <w:left w:val="single" w:color="auto" w:sz="6" w:space="0"/>
              <w:bottom w:val="single" w:color="auto" w:sz="6" w:space="0"/>
              <w:right w:val="single" w:color="auto" w:sz="6" w:space="0"/>
            </w:tcBorders>
            <w:noWrap w:val="0"/>
            <w:vAlign w:val="center"/>
          </w:tcPr>
          <w:p w14:paraId="0913B3D0">
            <w:pPr>
              <w:pStyle w:val="185"/>
              <w:widowControl w:val="0"/>
              <w:autoSpaceDE w:val="0"/>
              <w:autoSpaceDN w:val="0"/>
              <w:adjustRightInd w:val="0"/>
              <w:snapToGrid w:val="0"/>
              <w:spacing w:line="360" w:lineRule="auto"/>
              <w:ind w:right="-20"/>
              <w:jc w:val="center"/>
              <w:rPr>
                <w:rStyle w:val="45"/>
                <w:rFonts w:ascii="宋体" w:hAnsi="宋体" w:eastAsia="宋体" w:cs="宋体"/>
                <w:position w:val="-1"/>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单位</w:t>
            </w:r>
          </w:p>
        </w:tc>
        <w:tc>
          <w:tcPr>
            <w:tcW w:w="852" w:type="dxa"/>
            <w:tcBorders>
              <w:top w:val="double" w:color="auto" w:sz="4" w:space="0"/>
              <w:left w:val="single" w:color="auto" w:sz="6" w:space="0"/>
              <w:bottom w:val="single" w:color="auto" w:sz="6" w:space="0"/>
              <w:right w:val="single" w:color="auto" w:sz="6" w:space="0"/>
            </w:tcBorders>
            <w:noWrap w:val="0"/>
            <w:vAlign w:val="center"/>
          </w:tcPr>
          <w:p w14:paraId="5EC2F10A">
            <w:pPr>
              <w:pStyle w:val="185"/>
              <w:widowControl w:val="0"/>
              <w:autoSpaceDE w:val="0"/>
              <w:autoSpaceDN w:val="0"/>
              <w:adjustRightInd w:val="0"/>
              <w:snapToGrid w:val="0"/>
              <w:spacing w:line="360" w:lineRule="auto"/>
              <w:ind w:right="-20"/>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数量</w:t>
            </w:r>
          </w:p>
        </w:tc>
        <w:tc>
          <w:tcPr>
            <w:tcW w:w="1200" w:type="dxa"/>
            <w:tcBorders>
              <w:top w:val="double" w:color="auto" w:sz="4" w:space="0"/>
              <w:left w:val="single" w:color="auto" w:sz="6" w:space="0"/>
              <w:bottom w:val="single" w:color="auto" w:sz="6" w:space="0"/>
              <w:right w:val="single" w:color="auto" w:sz="6" w:space="0"/>
            </w:tcBorders>
            <w:noWrap w:val="0"/>
            <w:vAlign w:val="center"/>
          </w:tcPr>
          <w:p w14:paraId="2B758716">
            <w:pPr>
              <w:pStyle w:val="185"/>
              <w:widowControl w:val="0"/>
              <w:autoSpaceDE w:val="0"/>
              <w:autoSpaceDN w:val="0"/>
              <w:adjustRightInd w:val="0"/>
              <w:snapToGrid w:val="0"/>
              <w:spacing w:line="360" w:lineRule="auto"/>
              <w:ind w:right="-20"/>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单价（元）</w:t>
            </w:r>
          </w:p>
        </w:tc>
        <w:tc>
          <w:tcPr>
            <w:tcW w:w="1159" w:type="dxa"/>
            <w:tcBorders>
              <w:top w:val="double" w:color="auto" w:sz="4" w:space="0"/>
              <w:left w:val="single" w:color="auto" w:sz="6" w:space="0"/>
              <w:bottom w:val="single" w:color="auto" w:sz="6" w:space="0"/>
              <w:right w:val="single" w:color="auto" w:sz="6" w:space="0"/>
            </w:tcBorders>
            <w:noWrap w:val="0"/>
            <w:vAlign w:val="center"/>
          </w:tcPr>
          <w:p w14:paraId="2090B3F5">
            <w:pPr>
              <w:pStyle w:val="185"/>
              <w:widowControl w:val="0"/>
              <w:autoSpaceDE w:val="0"/>
              <w:autoSpaceDN w:val="0"/>
              <w:adjustRightInd w:val="0"/>
              <w:snapToGrid w:val="0"/>
              <w:spacing w:line="360" w:lineRule="auto"/>
              <w:ind w:right="-20"/>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总价（元）</w:t>
            </w:r>
          </w:p>
        </w:tc>
        <w:tc>
          <w:tcPr>
            <w:tcW w:w="809" w:type="dxa"/>
            <w:tcBorders>
              <w:top w:val="double" w:color="auto" w:sz="4" w:space="0"/>
              <w:left w:val="single" w:color="auto" w:sz="6" w:space="0"/>
              <w:bottom w:val="single" w:color="auto" w:sz="6" w:space="0"/>
              <w:right w:val="double" w:color="auto" w:sz="4" w:space="0"/>
            </w:tcBorders>
            <w:noWrap w:val="0"/>
            <w:vAlign w:val="center"/>
          </w:tcPr>
          <w:p w14:paraId="4498B244">
            <w:pPr>
              <w:pStyle w:val="185"/>
              <w:widowControl w:val="0"/>
              <w:autoSpaceDE w:val="0"/>
              <w:autoSpaceDN w:val="0"/>
              <w:adjustRightInd w:val="0"/>
              <w:snapToGrid w:val="0"/>
              <w:spacing w:line="360" w:lineRule="auto"/>
              <w:ind w:right="-20"/>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备注</w:t>
            </w:r>
          </w:p>
        </w:tc>
      </w:tr>
      <w:tr w14:paraId="4EEDA06B">
        <w:tblPrEx>
          <w:tblCellMar>
            <w:top w:w="0" w:type="dxa"/>
            <w:left w:w="0" w:type="dxa"/>
            <w:bottom w:w="0" w:type="dxa"/>
            <w:right w:w="0" w:type="dxa"/>
          </w:tblCellMar>
        </w:tblPrEx>
        <w:trPr>
          <w:trHeight w:val="438" w:hRule="exact"/>
          <w:jc w:val="center"/>
        </w:trPr>
        <w:tc>
          <w:tcPr>
            <w:tcW w:w="891" w:type="dxa"/>
            <w:tcBorders>
              <w:top w:val="single" w:color="auto" w:sz="6" w:space="0"/>
              <w:left w:val="double" w:color="auto" w:sz="4" w:space="0"/>
              <w:bottom w:val="single" w:color="auto" w:sz="6" w:space="0"/>
              <w:right w:val="single" w:color="auto" w:sz="6" w:space="0"/>
            </w:tcBorders>
            <w:noWrap w:val="0"/>
            <w:vAlign w:val="top"/>
          </w:tcPr>
          <w:p w14:paraId="02B0E023">
            <w:pPr>
              <w:pStyle w:val="185"/>
              <w:widowControl w:val="0"/>
              <w:autoSpaceDE w:val="0"/>
              <w:autoSpaceDN w:val="0"/>
              <w:adjustRightInd w:val="0"/>
              <w:snapToGrid w:val="0"/>
              <w:spacing w:line="360" w:lineRule="auto"/>
              <w:ind w:left="258" w:right="241"/>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sz w:val="21"/>
                <w:szCs w:val="21"/>
                <w:highlight w:val="yellow"/>
                <w:lang w:val="en-US" w:eastAsia="zh-CN" w:bidi="ar-SA"/>
              </w:rPr>
              <w:t>1</w:t>
            </w:r>
          </w:p>
        </w:tc>
        <w:tc>
          <w:tcPr>
            <w:tcW w:w="1628" w:type="dxa"/>
            <w:tcBorders>
              <w:top w:val="single" w:color="auto" w:sz="6" w:space="0"/>
              <w:left w:val="single" w:color="auto" w:sz="6" w:space="0"/>
              <w:bottom w:val="single" w:color="auto" w:sz="6" w:space="0"/>
              <w:right w:val="single" w:color="auto" w:sz="6" w:space="0"/>
            </w:tcBorders>
            <w:noWrap w:val="0"/>
            <w:vAlign w:val="top"/>
          </w:tcPr>
          <w:p w14:paraId="509AA5F7">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9" w:type="dxa"/>
            <w:tcBorders>
              <w:top w:val="single" w:color="auto" w:sz="6" w:space="0"/>
              <w:left w:val="single" w:color="auto" w:sz="6" w:space="0"/>
              <w:bottom w:val="single" w:color="auto" w:sz="6" w:space="0"/>
              <w:right w:val="single" w:color="auto" w:sz="6" w:space="0"/>
            </w:tcBorders>
            <w:noWrap w:val="0"/>
            <w:vAlign w:val="top"/>
          </w:tcPr>
          <w:p w14:paraId="459C4FDF">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A4C3BBA">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6EDB2BA5">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52" w:type="dxa"/>
            <w:tcBorders>
              <w:top w:val="single" w:color="auto" w:sz="6" w:space="0"/>
              <w:left w:val="single" w:color="auto" w:sz="6" w:space="0"/>
              <w:bottom w:val="single" w:color="auto" w:sz="6" w:space="0"/>
              <w:right w:val="single" w:color="auto" w:sz="6" w:space="0"/>
            </w:tcBorders>
            <w:noWrap w:val="0"/>
            <w:vAlign w:val="top"/>
          </w:tcPr>
          <w:p w14:paraId="315A87DC">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200" w:type="dxa"/>
            <w:tcBorders>
              <w:top w:val="single" w:color="auto" w:sz="6" w:space="0"/>
              <w:left w:val="single" w:color="auto" w:sz="6" w:space="0"/>
              <w:bottom w:val="single" w:color="auto" w:sz="6" w:space="0"/>
              <w:right w:val="single" w:color="auto" w:sz="6" w:space="0"/>
            </w:tcBorders>
            <w:noWrap w:val="0"/>
            <w:vAlign w:val="top"/>
          </w:tcPr>
          <w:p w14:paraId="08DD4EF1">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159" w:type="dxa"/>
            <w:tcBorders>
              <w:top w:val="single" w:color="auto" w:sz="6" w:space="0"/>
              <w:left w:val="single" w:color="auto" w:sz="6" w:space="0"/>
              <w:bottom w:val="single" w:color="auto" w:sz="6" w:space="0"/>
              <w:right w:val="single" w:color="auto" w:sz="6" w:space="0"/>
            </w:tcBorders>
            <w:noWrap w:val="0"/>
            <w:vAlign w:val="top"/>
          </w:tcPr>
          <w:p w14:paraId="6DFA5FEA">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09" w:type="dxa"/>
            <w:tcBorders>
              <w:top w:val="single" w:color="auto" w:sz="6" w:space="0"/>
              <w:left w:val="single" w:color="auto" w:sz="6" w:space="0"/>
              <w:bottom w:val="single" w:color="auto" w:sz="6" w:space="0"/>
              <w:right w:val="double" w:color="auto" w:sz="4" w:space="0"/>
            </w:tcBorders>
            <w:noWrap w:val="0"/>
            <w:vAlign w:val="top"/>
          </w:tcPr>
          <w:p w14:paraId="549B7D37">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r>
      <w:tr w14:paraId="4B58B2C8">
        <w:tblPrEx>
          <w:tblCellMar>
            <w:top w:w="0" w:type="dxa"/>
            <w:left w:w="0" w:type="dxa"/>
            <w:bottom w:w="0" w:type="dxa"/>
            <w:right w:w="0" w:type="dxa"/>
          </w:tblCellMar>
        </w:tblPrEx>
        <w:trPr>
          <w:trHeight w:val="437" w:hRule="exact"/>
          <w:jc w:val="center"/>
        </w:trPr>
        <w:tc>
          <w:tcPr>
            <w:tcW w:w="891" w:type="dxa"/>
            <w:tcBorders>
              <w:top w:val="single" w:color="auto" w:sz="6" w:space="0"/>
              <w:left w:val="double" w:color="auto" w:sz="4" w:space="0"/>
              <w:bottom w:val="single" w:color="auto" w:sz="6" w:space="0"/>
              <w:right w:val="single" w:color="auto" w:sz="6" w:space="0"/>
            </w:tcBorders>
            <w:noWrap w:val="0"/>
            <w:vAlign w:val="top"/>
          </w:tcPr>
          <w:p w14:paraId="34BB2EF4">
            <w:pPr>
              <w:pStyle w:val="185"/>
              <w:widowControl w:val="0"/>
              <w:autoSpaceDE w:val="0"/>
              <w:autoSpaceDN w:val="0"/>
              <w:adjustRightInd w:val="0"/>
              <w:snapToGrid w:val="0"/>
              <w:spacing w:line="360" w:lineRule="auto"/>
              <w:ind w:left="258" w:right="241"/>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sz w:val="21"/>
                <w:szCs w:val="21"/>
                <w:highlight w:val="yellow"/>
                <w:lang w:val="en-US" w:eastAsia="zh-CN" w:bidi="ar-SA"/>
              </w:rPr>
              <w:t>2</w:t>
            </w:r>
          </w:p>
        </w:tc>
        <w:tc>
          <w:tcPr>
            <w:tcW w:w="1628" w:type="dxa"/>
            <w:tcBorders>
              <w:top w:val="single" w:color="auto" w:sz="6" w:space="0"/>
              <w:left w:val="single" w:color="auto" w:sz="6" w:space="0"/>
              <w:bottom w:val="single" w:color="auto" w:sz="6" w:space="0"/>
              <w:right w:val="single" w:color="auto" w:sz="6" w:space="0"/>
            </w:tcBorders>
            <w:noWrap w:val="0"/>
            <w:vAlign w:val="top"/>
          </w:tcPr>
          <w:p w14:paraId="2B62466B">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9" w:type="dxa"/>
            <w:tcBorders>
              <w:top w:val="single" w:color="auto" w:sz="6" w:space="0"/>
              <w:left w:val="single" w:color="auto" w:sz="6" w:space="0"/>
              <w:bottom w:val="single" w:color="auto" w:sz="6" w:space="0"/>
              <w:right w:val="single" w:color="auto" w:sz="6" w:space="0"/>
            </w:tcBorders>
            <w:noWrap w:val="0"/>
            <w:vAlign w:val="top"/>
          </w:tcPr>
          <w:p w14:paraId="5D6E0ACF">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BEDA9ED">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6F6F5F65">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52" w:type="dxa"/>
            <w:tcBorders>
              <w:top w:val="single" w:color="auto" w:sz="6" w:space="0"/>
              <w:left w:val="single" w:color="auto" w:sz="6" w:space="0"/>
              <w:bottom w:val="single" w:color="auto" w:sz="6" w:space="0"/>
              <w:right w:val="single" w:color="auto" w:sz="6" w:space="0"/>
            </w:tcBorders>
            <w:noWrap w:val="0"/>
            <w:vAlign w:val="top"/>
          </w:tcPr>
          <w:p w14:paraId="5B6161BC">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200" w:type="dxa"/>
            <w:tcBorders>
              <w:top w:val="single" w:color="auto" w:sz="6" w:space="0"/>
              <w:left w:val="single" w:color="auto" w:sz="6" w:space="0"/>
              <w:bottom w:val="single" w:color="auto" w:sz="6" w:space="0"/>
              <w:right w:val="single" w:color="auto" w:sz="6" w:space="0"/>
            </w:tcBorders>
            <w:noWrap w:val="0"/>
            <w:vAlign w:val="top"/>
          </w:tcPr>
          <w:p w14:paraId="04FF1E57">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159" w:type="dxa"/>
            <w:tcBorders>
              <w:top w:val="single" w:color="auto" w:sz="6" w:space="0"/>
              <w:left w:val="single" w:color="auto" w:sz="6" w:space="0"/>
              <w:bottom w:val="single" w:color="auto" w:sz="6" w:space="0"/>
              <w:right w:val="single" w:color="auto" w:sz="6" w:space="0"/>
            </w:tcBorders>
            <w:noWrap w:val="0"/>
            <w:vAlign w:val="top"/>
          </w:tcPr>
          <w:p w14:paraId="57D45FA2">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09" w:type="dxa"/>
            <w:tcBorders>
              <w:top w:val="single" w:color="auto" w:sz="6" w:space="0"/>
              <w:left w:val="single" w:color="auto" w:sz="6" w:space="0"/>
              <w:bottom w:val="single" w:color="auto" w:sz="6" w:space="0"/>
              <w:right w:val="double" w:color="auto" w:sz="4" w:space="0"/>
            </w:tcBorders>
            <w:noWrap w:val="0"/>
            <w:vAlign w:val="top"/>
          </w:tcPr>
          <w:p w14:paraId="577B1F48">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r>
      <w:tr w14:paraId="2086B535">
        <w:tblPrEx>
          <w:tblCellMar>
            <w:top w:w="0" w:type="dxa"/>
            <w:left w:w="0" w:type="dxa"/>
            <w:bottom w:w="0" w:type="dxa"/>
            <w:right w:w="0" w:type="dxa"/>
          </w:tblCellMar>
        </w:tblPrEx>
        <w:trPr>
          <w:trHeight w:val="437" w:hRule="exact"/>
          <w:jc w:val="center"/>
        </w:trPr>
        <w:tc>
          <w:tcPr>
            <w:tcW w:w="891" w:type="dxa"/>
            <w:tcBorders>
              <w:top w:val="single" w:color="auto" w:sz="6" w:space="0"/>
              <w:left w:val="double" w:color="auto" w:sz="4" w:space="0"/>
              <w:bottom w:val="single" w:color="auto" w:sz="6" w:space="0"/>
              <w:right w:val="single" w:color="auto" w:sz="6" w:space="0"/>
            </w:tcBorders>
            <w:noWrap w:val="0"/>
            <w:vAlign w:val="top"/>
          </w:tcPr>
          <w:p w14:paraId="3F411819">
            <w:pPr>
              <w:pStyle w:val="185"/>
              <w:widowControl w:val="0"/>
              <w:autoSpaceDE w:val="0"/>
              <w:autoSpaceDN w:val="0"/>
              <w:adjustRightInd w:val="0"/>
              <w:snapToGrid w:val="0"/>
              <w:spacing w:line="360" w:lineRule="auto"/>
              <w:ind w:left="258" w:right="241"/>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sz w:val="21"/>
                <w:szCs w:val="21"/>
                <w:highlight w:val="yellow"/>
                <w:lang w:val="en-US" w:eastAsia="zh-CN" w:bidi="ar-SA"/>
              </w:rPr>
              <w:t>3</w:t>
            </w:r>
          </w:p>
        </w:tc>
        <w:tc>
          <w:tcPr>
            <w:tcW w:w="1628" w:type="dxa"/>
            <w:tcBorders>
              <w:top w:val="single" w:color="auto" w:sz="6" w:space="0"/>
              <w:left w:val="single" w:color="auto" w:sz="6" w:space="0"/>
              <w:bottom w:val="single" w:color="auto" w:sz="6" w:space="0"/>
              <w:right w:val="single" w:color="auto" w:sz="6" w:space="0"/>
            </w:tcBorders>
            <w:noWrap w:val="0"/>
            <w:vAlign w:val="top"/>
          </w:tcPr>
          <w:p w14:paraId="6EEECD70">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9" w:type="dxa"/>
            <w:tcBorders>
              <w:top w:val="single" w:color="auto" w:sz="6" w:space="0"/>
              <w:left w:val="single" w:color="auto" w:sz="6" w:space="0"/>
              <w:bottom w:val="single" w:color="auto" w:sz="6" w:space="0"/>
              <w:right w:val="single" w:color="auto" w:sz="6" w:space="0"/>
            </w:tcBorders>
            <w:noWrap w:val="0"/>
            <w:vAlign w:val="top"/>
          </w:tcPr>
          <w:p w14:paraId="0ABC69F0">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6AF17A6">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6AF9E02A">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52" w:type="dxa"/>
            <w:tcBorders>
              <w:top w:val="single" w:color="auto" w:sz="6" w:space="0"/>
              <w:left w:val="single" w:color="auto" w:sz="6" w:space="0"/>
              <w:bottom w:val="single" w:color="auto" w:sz="6" w:space="0"/>
              <w:right w:val="single" w:color="auto" w:sz="6" w:space="0"/>
            </w:tcBorders>
            <w:noWrap w:val="0"/>
            <w:vAlign w:val="top"/>
          </w:tcPr>
          <w:p w14:paraId="65C9A0E8">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200" w:type="dxa"/>
            <w:tcBorders>
              <w:top w:val="single" w:color="auto" w:sz="6" w:space="0"/>
              <w:left w:val="single" w:color="auto" w:sz="6" w:space="0"/>
              <w:bottom w:val="single" w:color="auto" w:sz="6" w:space="0"/>
              <w:right w:val="single" w:color="auto" w:sz="6" w:space="0"/>
            </w:tcBorders>
            <w:noWrap w:val="0"/>
            <w:vAlign w:val="top"/>
          </w:tcPr>
          <w:p w14:paraId="5462E4C0">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159" w:type="dxa"/>
            <w:tcBorders>
              <w:top w:val="single" w:color="auto" w:sz="6" w:space="0"/>
              <w:left w:val="single" w:color="auto" w:sz="6" w:space="0"/>
              <w:bottom w:val="single" w:color="auto" w:sz="6" w:space="0"/>
              <w:right w:val="single" w:color="auto" w:sz="6" w:space="0"/>
            </w:tcBorders>
            <w:noWrap w:val="0"/>
            <w:vAlign w:val="top"/>
          </w:tcPr>
          <w:p w14:paraId="5ED769C9">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09" w:type="dxa"/>
            <w:tcBorders>
              <w:top w:val="single" w:color="auto" w:sz="6" w:space="0"/>
              <w:left w:val="single" w:color="auto" w:sz="6" w:space="0"/>
              <w:bottom w:val="single" w:color="auto" w:sz="6" w:space="0"/>
              <w:right w:val="double" w:color="auto" w:sz="4" w:space="0"/>
            </w:tcBorders>
            <w:noWrap w:val="0"/>
            <w:vAlign w:val="top"/>
          </w:tcPr>
          <w:p w14:paraId="08ECB73F">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r>
      <w:tr w14:paraId="4B0C3855">
        <w:tblPrEx>
          <w:tblCellMar>
            <w:top w:w="0" w:type="dxa"/>
            <w:left w:w="0" w:type="dxa"/>
            <w:bottom w:w="0" w:type="dxa"/>
            <w:right w:w="0" w:type="dxa"/>
          </w:tblCellMar>
        </w:tblPrEx>
        <w:trPr>
          <w:trHeight w:val="437" w:hRule="exact"/>
          <w:jc w:val="center"/>
        </w:trPr>
        <w:tc>
          <w:tcPr>
            <w:tcW w:w="891" w:type="dxa"/>
            <w:tcBorders>
              <w:top w:val="single" w:color="auto" w:sz="6" w:space="0"/>
              <w:left w:val="double" w:color="auto" w:sz="4" w:space="0"/>
              <w:bottom w:val="single" w:color="auto" w:sz="6" w:space="0"/>
              <w:right w:val="single" w:color="auto" w:sz="6" w:space="0"/>
            </w:tcBorders>
            <w:noWrap w:val="0"/>
            <w:vAlign w:val="top"/>
          </w:tcPr>
          <w:p w14:paraId="508F2B14">
            <w:pPr>
              <w:pStyle w:val="185"/>
              <w:widowControl w:val="0"/>
              <w:autoSpaceDE w:val="0"/>
              <w:autoSpaceDN w:val="0"/>
              <w:adjustRightInd w:val="0"/>
              <w:snapToGrid w:val="0"/>
              <w:spacing w:line="360" w:lineRule="auto"/>
              <w:ind w:left="258" w:right="241"/>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sz w:val="21"/>
                <w:szCs w:val="21"/>
                <w:highlight w:val="yellow"/>
                <w:lang w:val="en-US" w:eastAsia="zh-CN" w:bidi="ar-SA"/>
              </w:rPr>
              <w:t>4</w:t>
            </w:r>
          </w:p>
        </w:tc>
        <w:tc>
          <w:tcPr>
            <w:tcW w:w="1628" w:type="dxa"/>
            <w:tcBorders>
              <w:top w:val="single" w:color="auto" w:sz="6" w:space="0"/>
              <w:left w:val="single" w:color="auto" w:sz="6" w:space="0"/>
              <w:bottom w:val="single" w:color="auto" w:sz="6" w:space="0"/>
              <w:right w:val="single" w:color="auto" w:sz="6" w:space="0"/>
            </w:tcBorders>
            <w:noWrap w:val="0"/>
            <w:vAlign w:val="top"/>
          </w:tcPr>
          <w:p w14:paraId="08BD1837">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9" w:type="dxa"/>
            <w:tcBorders>
              <w:top w:val="single" w:color="auto" w:sz="6" w:space="0"/>
              <w:left w:val="single" w:color="auto" w:sz="6" w:space="0"/>
              <w:bottom w:val="single" w:color="auto" w:sz="6" w:space="0"/>
              <w:right w:val="single" w:color="auto" w:sz="6" w:space="0"/>
            </w:tcBorders>
            <w:noWrap w:val="0"/>
            <w:vAlign w:val="top"/>
          </w:tcPr>
          <w:p w14:paraId="49BD5FFF">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DCEE10E">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2B28BD4C">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52" w:type="dxa"/>
            <w:tcBorders>
              <w:top w:val="single" w:color="auto" w:sz="6" w:space="0"/>
              <w:left w:val="single" w:color="auto" w:sz="6" w:space="0"/>
              <w:bottom w:val="single" w:color="auto" w:sz="6" w:space="0"/>
              <w:right w:val="single" w:color="auto" w:sz="6" w:space="0"/>
            </w:tcBorders>
            <w:noWrap w:val="0"/>
            <w:vAlign w:val="top"/>
          </w:tcPr>
          <w:p w14:paraId="6CA456DF">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200" w:type="dxa"/>
            <w:tcBorders>
              <w:top w:val="single" w:color="auto" w:sz="6" w:space="0"/>
              <w:left w:val="single" w:color="auto" w:sz="6" w:space="0"/>
              <w:bottom w:val="single" w:color="auto" w:sz="6" w:space="0"/>
              <w:right w:val="single" w:color="auto" w:sz="6" w:space="0"/>
            </w:tcBorders>
            <w:noWrap w:val="0"/>
            <w:vAlign w:val="top"/>
          </w:tcPr>
          <w:p w14:paraId="0846D64C">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159" w:type="dxa"/>
            <w:tcBorders>
              <w:top w:val="single" w:color="auto" w:sz="6" w:space="0"/>
              <w:left w:val="single" w:color="auto" w:sz="6" w:space="0"/>
              <w:bottom w:val="single" w:color="auto" w:sz="6" w:space="0"/>
              <w:right w:val="single" w:color="auto" w:sz="6" w:space="0"/>
            </w:tcBorders>
            <w:noWrap w:val="0"/>
            <w:vAlign w:val="top"/>
          </w:tcPr>
          <w:p w14:paraId="6C62555C">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09" w:type="dxa"/>
            <w:tcBorders>
              <w:top w:val="single" w:color="auto" w:sz="6" w:space="0"/>
              <w:left w:val="single" w:color="auto" w:sz="6" w:space="0"/>
              <w:bottom w:val="single" w:color="auto" w:sz="6" w:space="0"/>
              <w:right w:val="double" w:color="auto" w:sz="4" w:space="0"/>
            </w:tcBorders>
            <w:noWrap w:val="0"/>
            <w:vAlign w:val="top"/>
          </w:tcPr>
          <w:p w14:paraId="61F8414B">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r>
      <w:tr w14:paraId="2336F349">
        <w:tblPrEx>
          <w:tblCellMar>
            <w:top w:w="0" w:type="dxa"/>
            <w:left w:w="0" w:type="dxa"/>
            <w:bottom w:w="0" w:type="dxa"/>
            <w:right w:w="0" w:type="dxa"/>
          </w:tblCellMar>
        </w:tblPrEx>
        <w:trPr>
          <w:trHeight w:val="437" w:hRule="exact"/>
          <w:jc w:val="center"/>
        </w:trPr>
        <w:tc>
          <w:tcPr>
            <w:tcW w:w="891" w:type="dxa"/>
            <w:tcBorders>
              <w:top w:val="single" w:color="auto" w:sz="6" w:space="0"/>
              <w:left w:val="double" w:color="auto" w:sz="4" w:space="0"/>
              <w:bottom w:val="single" w:color="auto" w:sz="6" w:space="0"/>
              <w:right w:val="single" w:color="auto" w:sz="6" w:space="0"/>
            </w:tcBorders>
            <w:noWrap w:val="0"/>
            <w:vAlign w:val="top"/>
          </w:tcPr>
          <w:p w14:paraId="7A87837E">
            <w:pPr>
              <w:pStyle w:val="185"/>
              <w:widowControl w:val="0"/>
              <w:autoSpaceDE w:val="0"/>
              <w:autoSpaceDN w:val="0"/>
              <w:adjustRightInd w:val="0"/>
              <w:snapToGrid w:val="0"/>
              <w:spacing w:line="360" w:lineRule="auto"/>
              <w:ind w:left="258" w:right="241"/>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sz w:val="21"/>
                <w:szCs w:val="21"/>
                <w:highlight w:val="yellow"/>
                <w:lang w:val="en-US" w:eastAsia="zh-CN" w:bidi="ar-SA"/>
              </w:rPr>
              <w:t>5</w:t>
            </w:r>
          </w:p>
        </w:tc>
        <w:tc>
          <w:tcPr>
            <w:tcW w:w="1628" w:type="dxa"/>
            <w:tcBorders>
              <w:top w:val="single" w:color="auto" w:sz="6" w:space="0"/>
              <w:left w:val="single" w:color="auto" w:sz="6" w:space="0"/>
              <w:bottom w:val="single" w:color="auto" w:sz="6" w:space="0"/>
              <w:right w:val="single" w:color="auto" w:sz="6" w:space="0"/>
            </w:tcBorders>
            <w:noWrap w:val="0"/>
            <w:vAlign w:val="top"/>
          </w:tcPr>
          <w:p w14:paraId="695AD552">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9" w:type="dxa"/>
            <w:tcBorders>
              <w:top w:val="single" w:color="auto" w:sz="6" w:space="0"/>
              <w:left w:val="single" w:color="auto" w:sz="6" w:space="0"/>
              <w:bottom w:val="single" w:color="auto" w:sz="6" w:space="0"/>
              <w:right w:val="single" w:color="auto" w:sz="6" w:space="0"/>
            </w:tcBorders>
            <w:noWrap w:val="0"/>
            <w:vAlign w:val="top"/>
          </w:tcPr>
          <w:p w14:paraId="088EBAC8">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26A5D4C">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26F479F0">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52" w:type="dxa"/>
            <w:tcBorders>
              <w:top w:val="single" w:color="auto" w:sz="6" w:space="0"/>
              <w:left w:val="single" w:color="auto" w:sz="6" w:space="0"/>
              <w:bottom w:val="single" w:color="auto" w:sz="6" w:space="0"/>
              <w:right w:val="single" w:color="auto" w:sz="6" w:space="0"/>
            </w:tcBorders>
            <w:noWrap w:val="0"/>
            <w:vAlign w:val="top"/>
          </w:tcPr>
          <w:p w14:paraId="0BAC3542">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200" w:type="dxa"/>
            <w:tcBorders>
              <w:top w:val="single" w:color="auto" w:sz="6" w:space="0"/>
              <w:left w:val="single" w:color="auto" w:sz="6" w:space="0"/>
              <w:bottom w:val="single" w:color="auto" w:sz="6" w:space="0"/>
              <w:right w:val="single" w:color="auto" w:sz="6" w:space="0"/>
            </w:tcBorders>
            <w:noWrap w:val="0"/>
            <w:vAlign w:val="top"/>
          </w:tcPr>
          <w:p w14:paraId="513F84D6">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159" w:type="dxa"/>
            <w:tcBorders>
              <w:top w:val="single" w:color="auto" w:sz="6" w:space="0"/>
              <w:left w:val="single" w:color="auto" w:sz="6" w:space="0"/>
              <w:bottom w:val="single" w:color="auto" w:sz="6" w:space="0"/>
              <w:right w:val="single" w:color="auto" w:sz="6" w:space="0"/>
            </w:tcBorders>
            <w:noWrap w:val="0"/>
            <w:vAlign w:val="top"/>
          </w:tcPr>
          <w:p w14:paraId="38FF47EC">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09" w:type="dxa"/>
            <w:tcBorders>
              <w:top w:val="single" w:color="auto" w:sz="6" w:space="0"/>
              <w:left w:val="single" w:color="auto" w:sz="6" w:space="0"/>
              <w:bottom w:val="single" w:color="auto" w:sz="6" w:space="0"/>
              <w:right w:val="double" w:color="auto" w:sz="4" w:space="0"/>
            </w:tcBorders>
            <w:noWrap w:val="0"/>
            <w:vAlign w:val="top"/>
          </w:tcPr>
          <w:p w14:paraId="6C9F7E95">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r>
      <w:tr w14:paraId="700D9F56">
        <w:tblPrEx>
          <w:tblCellMar>
            <w:top w:w="0" w:type="dxa"/>
            <w:left w:w="0" w:type="dxa"/>
            <w:bottom w:w="0" w:type="dxa"/>
            <w:right w:w="0" w:type="dxa"/>
          </w:tblCellMar>
        </w:tblPrEx>
        <w:trPr>
          <w:trHeight w:val="437" w:hRule="exact"/>
          <w:jc w:val="center"/>
        </w:trPr>
        <w:tc>
          <w:tcPr>
            <w:tcW w:w="891" w:type="dxa"/>
            <w:tcBorders>
              <w:top w:val="single" w:color="auto" w:sz="6" w:space="0"/>
              <w:left w:val="double" w:color="auto" w:sz="4" w:space="0"/>
              <w:bottom w:val="single" w:color="auto" w:sz="6" w:space="0"/>
              <w:right w:val="single" w:color="auto" w:sz="6" w:space="0"/>
            </w:tcBorders>
            <w:noWrap w:val="0"/>
            <w:vAlign w:val="top"/>
          </w:tcPr>
          <w:p w14:paraId="3146A5DE">
            <w:pPr>
              <w:pStyle w:val="185"/>
              <w:widowControl w:val="0"/>
              <w:autoSpaceDE w:val="0"/>
              <w:autoSpaceDN w:val="0"/>
              <w:adjustRightInd w:val="0"/>
              <w:snapToGrid w:val="0"/>
              <w:spacing w:line="360" w:lineRule="auto"/>
              <w:ind w:left="138" w:right="-20"/>
              <w:jc w:val="left"/>
              <w:rPr>
                <w:rStyle w:val="45"/>
                <w:rFonts w:ascii="宋体" w:hAnsi="宋体" w:eastAsia="宋体" w:cs="宋体"/>
                <w:sz w:val="21"/>
                <w:szCs w:val="21"/>
                <w:highlight w:val="yellow"/>
                <w:lang w:val="en-US" w:eastAsia="zh-CN" w:bidi="ar-SA"/>
              </w:rPr>
            </w:pPr>
            <w:r>
              <w:rPr>
                <w:rStyle w:val="45"/>
                <w:rFonts w:hint="eastAsia" w:ascii="宋体" w:hAnsi="宋体" w:eastAsia="宋体" w:cs="宋体"/>
                <w:sz w:val="21"/>
                <w:szCs w:val="21"/>
                <w:highlight w:val="yellow"/>
                <w:lang w:val="en-US" w:eastAsia="zh-CN" w:bidi="ar-SA"/>
              </w:rPr>
              <w:t>……</w:t>
            </w:r>
          </w:p>
        </w:tc>
        <w:tc>
          <w:tcPr>
            <w:tcW w:w="1628" w:type="dxa"/>
            <w:tcBorders>
              <w:top w:val="single" w:color="auto" w:sz="6" w:space="0"/>
              <w:left w:val="single" w:color="auto" w:sz="6" w:space="0"/>
              <w:bottom w:val="single" w:color="auto" w:sz="6" w:space="0"/>
              <w:right w:val="single" w:color="auto" w:sz="6" w:space="0"/>
            </w:tcBorders>
            <w:noWrap w:val="0"/>
            <w:vAlign w:val="top"/>
          </w:tcPr>
          <w:p w14:paraId="5193A8AA">
            <w:pPr>
              <w:pStyle w:val="185"/>
              <w:widowControl w:val="0"/>
              <w:autoSpaceDE w:val="0"/>
              <w:autoSpaceDN w:val="0"/>
              <w:adjustRightInd w:val="0"/>
              <w:snapToGrid w:val="0"/>
              <w:spacing w:line="360" w:lineRule="auto"/>
              <w:ind w:left="527" w:right="507"/>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sz w:val="21"/>
                <w:szCs w:val="21"/>
                <w:highlight w:val="yellow"/>
                <w:lang w:val="en-US" w:eastAsia="zh-CN" w:bidi="ar-SA"/>
              </w:rPr>
              <w:t>……</w:t>
            </w:r>
          </w:p>
        </w:tc>
        <w:tc>
          <w:tcPr>
            <w:tcW w:w="969" w:type="dxa"/>
            <w:tcBorders>
              <w:top w:val="single" w:color="auto" w:sz="6" w:space="0"/>
              <w:left w:val="single" w:color="auto" w:sz="6" w:space="0"/>
              <w:bottom w:val="single" w:color="auto" w:sz="6" w:space="0"/>
              <w:right w:val="single" w:color="auto" w:sz="6" w:space="0"/>
            </w:tcBorders>
            <w:noWrap w:val="0"/>
            <w:vAlign w:val="top"/>
          </w:tcPr>
          <w:p w14:paraId="767BF079">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BAD1FF8">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60449574">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52" w:type="dxa"/>
            <w:tcBorders>
              <w:top w:val="single" w:color="auto" w:sz="6" w:space="0"/>
              <w:left w:val="single" w:color="auto" w:sz="6" w:space="0"/>
              <w:bottom w:val="single" w:color="auto" w:sz="6" w:space="0"/>
              <w:right w:val="single" w:color="auto" w:sz="6" w:space="0"/>
            </w:tcBorders>
            <w:noWrap w:val="0"/>
            <w:vAlign w:val="top"/>
          </w:tcPr>
          <w:p w14:paraId="2662055C">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200" w:type="dxa"/>
            <w:tcBorders>
              <w:top w:val="single" w:color="auto" w:sz="6" w:space="0"/>
              <w:left w:val="single" w:color="auto" w:sz="6" w:space="0"/>
              <w:bottom w:val="single" w:color="auto" w:sz="6" w:space="0"/>
              <w:right w:val="single" w:color="auto" w:sz="6" w:space="0"/>
            </w:tcBorders>
            <w:noWrap w:val="0"/>
            <w:vAlign w:val="top"/>
          </w:tcPr>
          <w:p w14:paraId="1D0B035C">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1159" w:type="dxa"/>
            <w:tcBorders>
              <w:top w:val="single" w:color="auto" w:sz="6" w:space="0"/>
              <w:left w:val="single" w:color="auto" w:sz="6" w:space="0"/>
              <w:bottom w:val="single" w:color="auto" w:sz="6" w:space="0"/>
              <w:right w:val="single" w:color="auto" w:sz="6" w:space="0"/>
            </w:tcBorders>
            <w:noWrap w:val="0"/>
            <w:vAlign w:val="top"/>
          </w:tcPr>
          <w:p w14:paraId="0893A074">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09" w:type="dxa"/>
            <w:tcBorders>
              <w:top w:val="single" w:color="auto" w:sz="6" w:space="0"/>
              <w:left w:val="single" w:color="auto" w:sz="6" w:space="0"/>
              <w:bottom w:val="single" w:color="auto" w:sz="6" w:space="0"/>
              <w:right w:val="double" w:color="auto" w:sz="4" w:space="0"/>
            </w:tcBorders>
            <w:noWrap w:val="0"/>
            <w:vAlign w:val="top"/>
          </w:tcPr>
          <w:p w14:paraId="085DB0DE">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r>
      <w:tr w14:paraId="5D0E3E44">
        <w:tblPrEx>
          <w:tblCellMar>
            <w:top w:w="0" w:type="dxa"/>
            <w:left w:w="0" w:type="dxa"/>
            <w:bottom w:w="0" w:type="dxa"/>
            <w:right w:w="0" w:type="dxa"/>
          </w:tblCellMar>
        </w:tblPrEx>
        <w:trPr>
          <w:trHeight w:val="437" w:hRule="exact"/>
          <w:jc w:val="center"/>
        </w:trPr>
        <w:tc>
          <w:tcPr>
            <w:tcW w:w="7828" w:type="dxa"/>
            <w:gridSpan w:val="7"/>
            <w:tcBorders>
              <w:top w:val="single" w:color="auto" w:sz="6" w:space="0"/>
              <w:left w:val="double" w:color="auto" w:sz="4" w:space="0"/>
              <w:bottom w:val="double" w:color="auto" w:sz="4" w:space="0"/>
              <w:right w:val="single" w:color="auto" w:sz="6" w:space="0"/>
            </w:tcBorders>
            <w:noWrap w:val="0"/>
            <w:vAlign w:val="top"/>
          </w:tcPr>
          <w:p w14:paraId="6D6EEFF9">
            <w:pPr>
              <w:pStyle w:val="185"/>
              <w:widowControl w:val="0"/>
              <w:autoSpaceDE w:val="0"/>
              <w:autoSpaceDN w:val="0"/>
              <w:adjustRightInd w:val="0"/>
              <w:snapToGrid w:val="0"/>
              <w:spacing w:line="360" w:lineRule="auto"/>
              <w:ind w:left="2443" w:right="2423"/>
              <w:jc w:val="center"/>
              <w:rPr>
                <w:rStyle w:val="45"/>
                <w:rFonts w:ascii="宋体" w:hAnsi="宋体" w:eastAsia="宋体" w:cs="宋体"/>
                <w:sz w:val="21"/>
                <w:szCs w:val="21"/>
                <w:highlight w:val="yellow"/>
                <w:lang w:val="en-US" w:eastAsia="zh-CN" w:bidi="ar-SA"/>
              </w:rPr>
            </w:pPr>
            <w:r>
              <w:rPr>
                <w:rStyle w:val="45"/>
                <w:rFonts w:hint="eastAsia" w:ascii="宋体" w:hAnsi="宋体" w:eastAsia="宋体" w:cs="宋体"/>
                <w:position w:val="-1"/>
                <w:sz w:val="21"/>
                <w:szCs w:val="21"/>
                <w:highlight w:val="yellow"/>
                <w:lang w:val="en-US" w:eastAsia="zh-CN" w:bidi="ar-SA"/>
              </w:rPr>
              <w:t>合计报价</w:t>
            </w:r>
          </w:p>
        </w:tc>
        <w:tc>
          <w:tcPr>
            <w:tcW w:w="1159" w:type="dxa"/>
            <w:tcBorders>
              <w:top w:val="single" w:color="auto" w:sz="6" w:space="0"/>
              <w:left w:val="single" w:color="auto" w:sz="6" w:space="0"/>
              <w:bottom w:val="double" w:color="auto" w:sz="4" w:space="0"/>
              <w:right w:val="single" w:color="auto" w:sz="6" w:space="0"/>
            </w:tcBorders>
            <w:noWrap w:val="0"/>
            <w:vAlign w:val="top"/>
          </w:tcPr>
          <w:p w14:paraId="01E0ABDF">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c>
          <w:tcPr>
            <w:tcW w:w="809" w:type="dxa"/>
            <w:tcBorders>
              <w:top w:val="single" w:color="auto" w:sz="6" w:space="0"/>
              <w:left w:val="single" w:color="auto" w:sz="6" w:space="0"/>
              <w:bottom w:val="double" w:color="auto" w:sz="4" w:space="0"/>
              <w:right w:val="double" w:color="auto" w:sz="4" w:space="0"/>
            </w:tcBorders>
            <w:noWrap w:val="0"/>
            <w:vAlign w:val="top"/>
          </w:tcPr>
          <w:p w14:paraId="774E91BA">
            <w:pPr>
              <w:pStyle w:val="185"/>
              <w:widowControl w:val="0"/>
              <w:autoSpaceDE w:val="0"/>
              <w:autoSpaceDN w:val="0"/>
              <w:adjustRightInd w:val="0"/>
              <w:snapToGrid w:val="0"/>
              <w:spacing w:line="360" w:lineRule="auto"/>
              <w:jc w:val="left"/>
              <w:rPr>
                <w:rStyle w:val="45"/>
                <w:rFonts w:ascii="宋体" w:hAnsi="宋体" w:eastAsia="宋体" w:cs="宋体"/>
                <w:sz w:val="21"/>
                <w:szCs w:val="21"/>
                <w:highlight w:val="yellow"/>
                <w:lang w:val="en-US" w:eastAsia="zh-CN" w:bidi="ar-SA"/>
              </w:rPr>
            </w:pPr>
          </w:p>
        </w:tc>
      </w:tr>
    </w:tbl>
    <w:p w14:paraId="36029D29">
      <w:pPr>
        <w:pStyle w:val="183"/>
        <w:adjustRightInd w:val="0"/>
        <w:snapToGrid w:val="0"/>
        <w:spacing w:after="200" w:line="360" w:lineRule="auto"/>
        <w:ind w:left="-88" w:leftChars="-42"/>
        <w:rPr>
          <w:rStyle w:val="45"/>
          <w:rFonts w:ascii="宋体" w:hAnsi="宋体" w:cs="宋体"/>
          <w:sz w:val="21"/>
          <w:szCs w:val="21"/>
          <w:highlight w:val="yellow"/>
        </w:rPr>
      </w:pPr>
    </w:p>
    <w:p w14:paraId="608D0F97">
      <w:pPr>
        <w:pStyle w:val="184"/>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投标人名称（盖单位章）：</w:t>
      </w:r>
    </w:p>
    <w:p w14:paraId="5073B2E8">
      <w:pPr>
        <w:pStyle w:val="186"/>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日期： 年  月  日</w:t>
      </w:r>
    </w:p>
    <w:p w14:paraId="7FF50CEC">
      <w:pPr>
        <w:pStyle w:val="187"/>
        <w:rPr>
          <w:rStyle w:val="45"/>
          <w:rFonts w:ascii="宋体" w:hAnsi="宋体"/>
          <w:szCs w:val="21"/>
          <w:highlight w:val="yellow"/>
        </w:rPr>
      </w:pPr>
    </w:p>
    <w:p w14:paraId="64944850">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2.3装饰装修工程费</w:t>
      </w:r>
      <w:r>
        <w:rPr>
          <w:rStyle w:val="45"/>
          <w:rFonts w:hint="eastAsia" w:ascii="宋体" w:hAnsi="宋体" w:cs="宋体"/>
          <w:sz w:val="21"/>
          <w:szCs w:val="21"/>
          <w:highlight w:val="yellow"/>
          <w:lang w:val="en-US" w:eastAsia="zh-CN"/>
        </w:rPr>
        <w:t>报价明细表</w:t>
      </w:r>
    </w:p>
    <w:p w14:paraId="04C770FC">
      <w:pPr>
        <w:pStyle w:val="183"/>
        <w:adjustRightInd w:val="0"/>
        <w:snapToGrid w:val="0"/>
        <w:spacing w:after="200" w:line="276" w:lineRule="auto"/>
        <w:rPr>
          <w:rStyle w:val="45"/>
          <w:rFonts w:ascii="宋体" w:hAnsi="宋体" w:cs="宋体"/>
          <w:sz w:val="21"/>
          <w:szCs w:val="21"/>
          <w:highlight w:val="yellow"/>
        </w:rPr>
      </w:pPr>
      <w:r>
        <w:rPr>
          <w:rStyle w:val="45"/>
          <w:rFonts w:hint="eastAsia" w:ascii="宋体" w:hAnsi="宋体" w:cs="宋体"/>
          <w:sz w:val="21"/>
          <w:szCs w:val="21"/>
          <w:highlight w:val="yellow"/>
        </w:rPr>
        <w:t>说明：</w:t>
      </w:r>
    </w:p>
    <w:p w14:paraId="01522DA9">
      <w:pPr>
        <w:pStyle w:val="183"/>
        <w:adjustRightInd w:val="0"/>
        <w:snapToGrid w:val="0"/>
        <w:spacing w:after="200" w:line="276" w:lineRule="auto"/>
        <w:ind w:firstLine="420" w:firstLineChars="200"/>
        <w:rPr>
          <w:rStyle w:val="45"/>
          <w:rFonts w:ascii="宋体" w:hAnsi="宋体" w:cs="宋体"/>
          <w:sz w:val="21"/>
          <w:szCs w:val="21"/>
          <w:highlight w:val="yellow"/>
        </w:rPr>
      </w:pPr>
      <w:r>
        <w:rPr>
          <w:rStyle w:val="45"/>
          <w:rFonts w:hint="eastAsia" w:ascii="宋体" w:hAnsi="宋体" w:cs="宋体"/>
          <w:sz w:val="21"/>
          <w:szCs w:val="21"/>
          <w:highlight w:val="yellow"/>
        </w:rPr>
        <w:t>1.装饰装修部分、安装部分的计价依据：《建设工程工程量清单计价规范》（GB50500-2013）文件中规定的计价办法、工程消耗量标准及配套文件、乌鲁木齐市财政资金综合评价中心的相关规定。</w:t>
      </w:r>
    </w:p>
    <w:p w14:paraId="64C7CD3E">
      <w:pPr>
        <w:pStyle w:val="183"/>
        <w:adjustRightInd w:val="0"/>
        <w:snapToGrid w:val="0"/>
        <w:spacing w:after="200" w:line="276" w:lineRule="auto"/>
        <w:ind w:firstLine="420" w:firstLineChars="200"/>
        <w:rPr>
          <w:rStyle w:val="45"/>
          <w:rFonts w:ascii="宋体" w:hAnsi="宋体" w:cs="宋体"/>
          <w:kern w:val="2"/>
          <w:sz w:val="21"/>
          <w:szCs w:val="21"/>
          <w:highlight w:val="yellow"/>
        </w:rPr>
      </w:pPr>
      <w:r>
        <w:rPr>
          <w:rStyle w:val="45"/>
          <w:rFonts w:hint="eastAsia" w:ascii="宋体" w:hAnsi="宋体" w:cs="宋体"/>
          <w:sz w:val="21"/>
          <w:szCs w:val="21"/>
          <w:highlight w:val="yellow"/>
        </w:rPr>
        <w:t>2.</w:t>
      </w:r>
      <w:r>
        <w:rPr>
          <w:rStyle w:val="45"/>
          <w:rFonts w:hint="eastAsia" w:ascii="宋体" w:hAnsi="宋体" w:cs="宋体"/>
          <w:sz w:val="21"/>
          <w:szCs w:val="21"/>
          <w:highlight w:val="yellow"/>
          <w:lang w:val="en-US" w:eastAsia="zh-CN"/>
        </w:rPr>
        <w:t>报价明细表</w:t>
      </w:r>
      <w:r>
        <w:rPr>
          <w:rStyle w:val="45"/>
          <w:rFonts w:hint="eastAsia" w:ascii="宋体" w:hAnsi="宋体" w:cs="宋体"/>
          <w:sz w:val="21"/>
          <w:szCs w:val="21"/>
          <w:highlight w:val="yellow"/>
        </w:rPr>
        <w:t>根据上述依据文件编制。</w:t>
      </w:r>
    </w:p>
    <w:p w14:paraId="7410FF25">
      <w:pPr>
        <w:pStyle w:val="184"/>
        <w:adjustRightInd w:val="0"/>
        <w:snapToGrid w:val="0"/>
        <w:spacing w:line="360" w:lineRule="auto"/>
        <w:rPr>
          <w:rStyle w:val="45"/>
          <w:rFonts w:ascii="宋体" w:hAnsi="宋体" w:cs="宋体"/>
          <w:kern w:val="2"/>
          <w:sz w:val="21"/>
          <w:szCs w:val="21"/>
          <w:highlight w:val="yellow"/>
        </w:rPr>
      </w:pPr>
    </w:p>
    <w:p w14:paraId="73333EED">
      <w:pPr>
        <w:pStyle w:val="184"/>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投标人名称（盖单位章）：</w:t>
      </w:r>
    </w:p>
    <w:p w14:paraId="3F9BD5BE">
      <w:pPr>
        <w:pStyle w:val="186"/>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日期： 年  月  日</w:t>
      </w:r>
    </w:p>
    <w:p w14:paraId="62BE8965">
      <w:pPr>
        <w:pStyle w:val="183"/>
        <w:adjustRightInd w:val="0"/>
        <w:snapToGrid w:val="0"/>
        <w:spacing w:after="200" w:line="276" w:lineRule="auto"/>
        <w:ind w:left="-88" w:leftChars="-42"/>
        <w:rPr>
          <w:rStyle w:val="45"/>
          <w:rFonts w:ascii="宋体" w:hAnsi="宋体" w:cs="宋体"/>
          <w:sz w:val="21"/>
          <w:szCs w:val="21"/>
          <w:highlight w:val="yellow"/>
        </w:rPr>
      </w:pPr>
    </w:p>
    <w:p w14:paraId="7E0AA635">
      <w:pPr>
        <w:pStyle w:val="183"/>
        <w:adjustRightInd w:val="0"/>
        <w:snapToGrid w:val="0"/>
        <w:spacing w:after="200" w:line="276" w:lineRule="auto"/>
        <w:ind w:left="-88" w:leftChars="-42"/>
        <w:rPr>
          <w:rStyle w:val="45"/>
          <w:rFonts w:ascii="宋体" w:hAnsi="宋体" w:cs="宋体"/>
          <w:sz w:val="21"/>
          <w:szCs w:val="21"/>
          <w:highlight w:val="yellow"/>
        </w:rPr>
      </w:pPr>
    </w:p>
    <w:p w14:paraId="1D9B8CA2">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2.4设备安装费</w:t>
      </w:r>
      <w:r>
        <w:rPr>
          <w:rStyle w:val="45"/>
          <w:rFonts w:hint="eastAsia" w:ascii="宋体" w:hAnsi="宋体" w:cs="宋体"/>
          <w:sz w:val="21"/>
          <w:szCs w:val="21"/>
          <w:highlight w:val="yellow"/>
          <w:lang w:val="en-US" w:eastAsia="zh-CN"/>
        </w:rPr>
        <w:t>报价明细表</w:t>
      </w:r>
    </w:p>
    <w:p w14:paraId="0C73EB23">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格式自拟。</w:t>
      </w:r>
    </w:p>
    <w:p w14:paraId="3F01CD34">
      <w:pPr>
        <w:pStyle w:val="183"/>
        <w:adjustRightInd w:val="0"/>
        <w:snapToGrid w:val="0"/>
        <w:spacing w:after="200" w:line="276" w:lineRule="auto"/>
        <w:ind w:left="-88" w:leftChars="-42"/>
        <w:rPr>
          <w:rStyle w:val="45"/>
          <w:rFonts w:ascii="宋体" w:hAnsi="宋体" w:cs="宋体"/>
          <w:sz w:val="21"/>
          <w:szCs w:val="21"/>
          <w:highlight w:val="yellow"/>
        </w:rPr>
      </w:pPr>
    </w:p>
    <w:p w14:paraId="7BAF9492">
      <w:pPr>
        <w:pStyle w:val="183"/>
        <w:adjustRightInd w:val="0"/>
        <w:snapToGrid w:val="0"/>
        <w:spacing w:after="200" w:line="276" w:lineRule="auto"/>
        <w:ind w:left="-88" w:leftChars="-42"/>
        <w:rPr>
          <w:rStyle w:val="45"/>
          <w:rFonts w:ascii="宋体" w:hAnsi="宋体" w:cs="宋体"/>
          <w:sz w:val="21"/>
          <w:szCs w:val="21"/>
          <w:highlight w:val="yellow"/>
        </w:rPr>
      </w:pPr>
    </w:p>
    <w:p w14:paraId="30C5F92F">
      <w:pPr>
        <w:pStyle w:val="183"/>
        <w:adjustRightInd w:val="0"/>
        <w:snapToGrid w:val="0"/>
        <w:spacing w:after="200" w:line="276" w:lineRule="auto"/>
        <w:ind w:left="-88" w:leftChars="-42"/>
        <w:rPr>
          <w:rStyle w:val="45"/>
          <w:rFonts w:ascii="宋体" w:hAnsi="宋体" w:cs="宋体"/>
          <w:sz w:val="21"/>
          <w:szCs w:val="21"/>
          <w:highlight w:val="yellow"/>
        </w:rPr>
      </w:pPr>
    </w:p>
    <w:p w14:paraId="33DF2D6D">
      <w:pPr>
        <w:pStyle w:val="184"/>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投标人名称（盖单位章）：</w:t>
      </w:r>
    </w:p>
    <w:p w14:paraId="327D43E4">
      <w:pPr>
        <w:pStyle w:val="186"/>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日期： 年  月  日</w:t>
      </w:r>
    </w:p>
    <w:p w14:paraId="095E561C">
      <w:pPr>
        <w:pStyle w:val="183"/>
        <w:adjustRightInd w:val="0"/>
        <w:snapToGrid w:val="0"/>
        <w:spacing w:after="200" w:line="276" w:lineRule="auto"/>
        <w:ind w:left="-88" w:leftChars="-42"/>
        <w:rPr>
          <w:rStyle w:val="45"/>
          <w:rFonts w:ascii="宋体" w:hAnsi="宋体" w:cs="宋体"/>
          <w:sz w:val="21"/>
          <w:szCs w:val="21"/>
          <w:highlight w:val="yellow"/>
        </w:rPr>
      </w:pPr>
    </w:p>
    <w:p w14:paraId="3957AC19">
      <w:pPr>
        <w:pStyle w:val="183"/>
        <w:adjustRightInd w:val="0"/>
        <w:snapToGrid w:val="0"/>
        <w:spacing w:after="200" w:line="276" w:lineRule="auto"/>
        <w:ind w:left="-88" w:leftChars="-42"/>
        <w:rPr>
          <w:rStyle w:val="45"/>
          <w:rFonts w:ascii="宋体" w:hAnsi="宋体" w:cs="宋体"/>
          <w:sz w:val="21"/>
          <w:szCs w:val="21"/>
          <w:highlight w:val="yellow"/>
        </w:rPr>
      </w:pPr>
    </w:p>
    <w:p w14:paraId="0D8AF5D7">
      <w:pPr>
        <w:pStyle w:val="183"/>
        <w:adjustRightInd w:val="0"/>
        <w:snapToGrid w:val="0"/>
        <w:spacing w:after="200" w:line="276" w:lineRule="auto"/>
        <w:ind w:left="-88" w:leftChars="-42"/>
        <w:rPr>
          <w:rStyle w:val="45"/>
          <w:rFonts w:ascii="宋体" w:hAnsi="宋体" w:cs="宋体"/>
          <w:sz w:val="21"/>
          <w:szCs w:val="21"/>
          <w:highlight w:val="yellow"/>
        </w:rPr>
      </w:pPr>
    </w:p>
    <w:p w14:paraId="19963F4C">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2.5模型制作费</w:t>
      </w:r>
      <w:r>
        <w:rPr>
          <w:rStyle w:val="45"/>
          <w:rFonts w:hint="eastAsia" w:ascii="宋体" w:hAnsi="宋体" w:cs="宋体"/>
          <w:sz w:val="21"/>
          <w:szCs w:val="21"/>
          <w:highlight w:val="yellow"/>
          <w:lang w:val="en-US" w:eastAsia="zh-CN"/>
        </w:rPr>
        <w:t>报价明细表</w:t>
      </w:r>
    </w:p>
    <w:p w14:paraId="065C5EBB">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格式自拟。</w:t>
      </w:r>
    </w:p>
    <w:p w14:paraId="057F59E0">
      <w:pPr>
        <w:pStyle w:val="183"/>
        <w:adjustRightInd w:val="0"/>
        <w:snapToGrid w:val="0"/>
        <w:spacing w:after="200" w:line="276" w:lineRule="auto"/>
        <w:ind w:left="-88" w:leftChars="-42"/>
        <w:rPr>
          <w:rStyle w:val="45"/>
          <w:rFonts w:ascii="宋体" w:hAnsi="宋体" w:cs="宋体"/>
          <w:kern w:val="2"/>
          <w:sz w:val="21"/>
          <w:szCs w:val="21"/>
          <w:highlight w:val="yellow"/>
        </w:rPr>
      </w:pPr>
    </w:p>
    <w:p w14:paraId="31561F69">
      <w:pPr>
        <w:pStyle w:val="183"/>
        <w:adjustRightInd w:val="0"/>
        <w:snapToGrid w:val="0"/>
        <w:spacing w:after="200" w:line="276" w:lineRule="auto"/>
        <w:ind w:left="-88" w:leftChars="-42"/>
        <w:rPr>
          <w:rStyle w:val="45"/>
          <w:rFonts w:ascii="宋体" w:hAnsi="宋体" w:cs="宋体"/>
          <w:kern w:val="2"/>
          <w:sz w:val="21"/>
          <w:szCs w:val="21"/>
          <w:highlight w:val="yellow"/>
        </w:rPr>
      </w:pPr>
    </w:p>
    <w:p w14:paraId="67746F6F">
      <w:pPr>
        <w:pStyle w:val="183"/>
        <w:adjustRightInd w:val="0"/>
        <w:snapToGrid w:val="0"/>
        <w:spacing w:after="200" w:line="276" w:lineRule="auto"/>
        <w:ind w:left="-88" w:leftChars="-42"/>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投标人名称（盖单位章）：</w:t>
      </w:r>
    </w:p>
    <w:p w14:paraId="6809E02E">
      <w:pPr>
        <w:pStyle w:val="183"/>
        <w:adjustRightInd w:val="0"/>
        <w:snapToGrid w:val="0"/>
        <w:spacing w:after="200" w:line="276" w:lineRule="auto"/>
        <w:ind w:left="-88" w:leftChars="-42"/>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日期： 年  月  日</w:t>
      </w:r>
    </w:p>
    <w:p w14:paraId="08EB7B4A">
      <w:pPr>
        <w:pStyle w:val="183"/>
        <w:adjustRightInd w:val="0"/>
        <w:snapToGrid w:val="0"/>
        <w:spacing w:after="200" w:line="276" w:lineRule="auto"/>
        <w:ind w:left="-88" w:leftChars="-42"/>
        <w:rPr>
          <w:rStyle w:val="45"/>
          <w:rFonts w:ascii="宋体" w:hAnsi="宋体" w:cs="宋体"/>
          <w:sz w:val="21"/>
          <w:szCs w:val="21"/>
          <w:highlight w:val="yellow"/>
        </w:rPr>
      </w:pPr>
    </w:p>
    <w:p w14:paraId="32B824A7">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2.6多媒体影片制作费（根据不同的应用场景分别报价）</w:t>
      </w:r>
      <w:r>
        <w:rPr>
          <w:rStyle w:val="45"/>
          <w:rFonts w:hint="eastAsia" w:ascii="宋体" w:hAnsi="宋体" w:cs="宋体"/>
          <w:sz w:val="21"/>
          <w:szCs w:val="21"/>
          <w:highlight w:val="yellow"/>
          <w:lang w:val="en-US" w:eastAsia="zh-CN"/>
        </w:rPr>
        <w:t>报价明细表</w:t>
      </w:r>
    </w:p>
    <w:p w14:paraId="1EBEDF61">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说明：投标人需根据不同的应用场景分别报价，格式自拟。</w:t>
      </w:r>
    </w:p>
    <w:p w14:paraId="776254BE">
      <w:pPr>
        <w:pStyle w:val="184"/>
        <w:adjustRightInd w:val="0"/>
        <w:snapToGrid w:val="0"/>
        <w:spacing w:line="360" w:lineRule="auto"/>
        <w:rPr>
          <w:rStyle w:val="45"/>
          <w:rFonts w:ascii="宋体" w:hAnsi="宋体" w:cs="宋体"/>
          <w:kern w:val="2"/>
          <w:sz w:val="21"/>
          <w:szCs w:val="21"/>
          <w:highlight w:val="yellow"/>
        </w:rPr>
      </w:pPr>
    </w:p>
    <w:p w14:paraId="1AD4BC9A">
      <w:pPr>
        <w:pStyle w:val="184"/>
        <w:adjustRightInd w:val="0"/>
        <w:snapToGrid w:val="0"/>
        <w:spacing w:line="360" w:lineRule="auto"/>
        <w:rPr>
          <w:rStyle w:val="45"/>
          <w:rFonts w:ascii="宋体" w:hAnsi="宋体" w:cs="宋体"/>
          <w:kern w:val="2"/>
          <w:sz w:val="21"/>
          <w:szCs w:val="21"/>
          <w:highlight w:val="yellow"/>
        </w:rPr>
      </w:pPr>
    </w:p>
    <w:p w14:paraId="2ACF660C">
      <w:pPr>
        <w:pStyle w:val="184"/>
        <w:adjustRightInd w:val="0"/>
        <w:snapToGrid w:val="0"/>
        <w:spacing w:line="360" w:lineRule="auto"/>
        <w:rPr>
          <w:rStyle w:val="45"/>
          <w:rFonts w:ascii="宋体" w:hAnsi="宋体" w:cs="宋体"/>
          <w:kern w:val="2"/>
          <w:sz w:val="21"/>
          <w:szCs w:val="21"/>
          <w:highlight w:val="yellow"/>
        </w:rPr>
      </w:pPr>
    </w:p>
    <w:p w14:paraId="24C7D515">
      <w:pPr>
        <w:pStyle w:val="184"/>
        <w:adjustRightInd w:val="0"/>
        <w:snapToGrid w:val="0"/>
        <w:spacing w:line="360" w:lineRule="auto"/>
        <w:rPr>
          <w:rStyle w:val="45"/>
          <w:rFonts w:ascii="宋体" w:hAnsi="宋体" w:cs="宋体"/>
          <w:kern w:val="2"/>
          <w:sz w:val="21"/>
          <w:szCs w:val="21"/>
          <w:highlight w:val="yellow"/>
        </w:rPr>
      </w:pPr>
    </w:p>
    <w:p w14:paraId="2E3D314C">
      <w:pPr>
        <w:pStyle w:val="184"/>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投标人名称（盖单位章）：</w:t>
      </w:r>
    </w:p>
    <w:p w14:paraId="591AE954">
      <w:pPr>
        <w:pStyle w:val="186"/>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日期： 年  月  日</w:t>
      </w:r>
    </w:p>
    <w:p w14:paraId="69919B46">
      <w:pPr>
        <w:pStyle w:val="183"/>
        <w:adjustRightInd w:val="0"/>
        <w:snapToGrid w:val="0"/>
        <w:spacing w:after="200" w:line="276" w:lineRule="auto"/>
        <w:ind w:left="-88" w:leftChars="-42"/>
        <w:rPr>
          <w:rStyle w:val="45"/>
          <w:rFonts w:ascii="宋体" w:hAnsi="宋体" w:cs="宋体"/>
          <w:color w:val="FF0000"/>
          <w:sz w:val="21"/>
          <w:szCs w:val="21"/>
          <w:highlight w:val="yellow"/>
        </w:rPr>
      </w:pPr>
    </w:p>
    <w:p w14:paraId="5D449B2C">
      <w:pPr>
        <w:pStyle w:val="183"/>
        <w:adjustRightInd w:val="0"/>
        <w:snapToGrid w:val="0"/>
        <w:spacing w:after="200" w:line="276" w:lineRule="auto"/>
        <w:ind w:left="-88" w:leftChars="-42"/>
        <w:rPr>
          <w:rStyle w:val="45"/>
          <w:rFonts w:ascii="宋体" w:hAnsi="宋体" w:cs="宋体"/>
          <w:color w:val="FF0000"/>
          <w:sz w:val="21"/>
          <w:szCs w:val="21"/>
          <w:highlight w:val="yellow"/>
        </w:rPr>
      </w:pPr>
    </w:p>
    <w:p w14:paraId="6CBD93BE">
      <w:pPr>
        <w:pStyle w:val="183"/>
        <w:adjustRightInd w:val="0"/>
        <w:snapToGrid w:val="0"/>
        <w:spacing w:after="200" w:line="276" w:lineRule="auto"/>
        <w:ind w:left="-88" w:leftChars="-42"/>
        <w:rPr>
          <w:rStyle w:val="45"/>
          <w:rFonts w:ascii="宋体" w:hAnsi="宋体" w:cs="宋体"/>
          <w:color w:val="FF0000"/>
          <w:sz w:val="21"/>
          <w:szCs w:val="21"/>
          <w:highlight w:val="yellow"/>
        </w:rPr>
      </w:pPr>
    </w:p>
    <w:p w14:paraId="3942F109">
      <w:pPr>
        <w:pStyle w:val="183"/>
        <w:adjustRightInd w:val="0"/>
        <w:snapToGrid w:val="0"/>
        <w:spacing w:after="200" w:line="276" w:lineRule="auto"/>
        <w:ind w:left="-88" w:leftChars="-42"/>
        <w:rPr>
          <w:rStyle w:val="45"/>
          <w:rFonts w:ascii="宋体" w:hAnsi="宋体" w:cs="宋体"/>
          <w:sz w:val="21"/>
          <w:szCs w:val="21"/>
          <w:highlight w:val="yellow"/>
        </w:rPr>
      </w:pPr>
    </w:p>
    <w:p w14:paraId="781B13A9">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2.7其他费用</w:t>
      </w:r>
      <w:r>
        <w:rPr>
          <w:rStyle w:val="45"/>
          <w:rFonts w:hint="eastAsia" w:ascii="宋体" w:hAnsi="宋体" w:cs="宋体"/>
          <w:sz w:val="21"/>
          <w:szCs w:val="21"/>
          <w:highlight w:val="yellow"/>
          <w:lang w:val="en-US" w:eastAsia="zh-CN"/>
        </w:rPr>
        <w:t>报价明细表</w:t>
      </w:r>
    </w:p>
    <w:p w14:paraId="101F139B">
      <w:pPr>
        <w:pStyle w:val="183"/>
        <w:adjustRightInd w:val="0"/>
        <w:snapToGrid w:val="0"/>
        <w:spacing w:after="200" w:line="276" w:lineRule="auto"/>
        <w:ind w:left="-88" w:leftChars="-42"/>
        <w:rPr>
          <w:rStyle w:val="45"/>
          <w:rFonts w:ascii="宋体" w:hAnsi="宋体" w:cs="宋体"/>
          <w:sz w:val="21"/>
          <w:szCs w:val="21"/>
          <w:highlight w:val="yellow"/>
        </w:rPr>
      </w:pPr>
      <w:r>
        <w:rPr>
          <w:rStyle w:val="45"/>
          <w:rFonts w:hint="eastAsia" w:ascii="宋体" w:hAnsi="宋体" w:cs="宋体"/>
          <w:sz w:val="21"/>
          <w:szCs w:val="21"/>
          <w:highlight w:val="yellow"/>
        </w:rPr>
        <w:t>格式自拟。</w:t>
      </w:r>
    </w:p>
    <w:p w14:paraId="672F6FBD">
      <w:pPr>
        <w:pStyle w:val="184"/>
        <w:adjustRightInd w:val="0"/>
        <w:snapToGrid w:val="0"/>
        <w:spacing w:line="360" w:lineRule="auto"/>
        <w:rPr>
          <w:rStyle w:val="45"/>
          <w:rFonts w:ascii="宋体" w:hAnsi="宋体" w:cs="宋体"/>
          <w:sz w:val="21"/>
          <w:szCs w:val="21"/>
          <w:highlight w:val="yellow"/>
        </w:rPr>
      </w:pPr>
    </w:p>
    <w:p w14:paraId="59AE303C">
      <w:pPr>
        <w:pStyle w:val="184"/>
        <w:adjustRightInd w:val="0"/>
        <w:snapToGrid w:val="0"/>
        <w:spacing w:line="360" w:lineRule="auto"/>
        <w:rPr>
          <w:rStyle w:val="45"/>
          <w:rFonts w:ascii="宋体" w:hAnsi="宋体" w:cs="宋体"/>
          <w:sz w:val="21"/>
          <w:szCs w:val="21"/>
          <w:highlight w:val="yellow"/>
        </w:rPr>
      </w:pPr>
    </w:p>
    <w:p w14:paraId="7289A98A">
      <w:pPr>
        <w:pStyle w:val="184"/>
        <w:adjustRightInd w:val="0"/>
        <w:snapToGrid w:val="0"/>
        <w:spacing w:line="360" w:lineRule="auto"/>
        <w:rPr>
          <w:rStyle w:val="45"/>
          <w:rFonts w:ascii="宋体" w:hAnsi="宋体" w:cs="宋体"/>
          <w:sz w:val="21"/>
          <w:szCs w:val="21"/>
          <w:highlight w:val="yellow"/>
        </w:rPr>
      </w:pPr>
    </w:p>
    <w:p w14:paraId="58379B22">
      <w:pPr>
        <w:pStyle w:val="184"/>
        <w:adjustRightInd w:val="0"/>
        <w:snapToGrid w:val="0"/>
        <w:spacing w:line="360" w:lineRule="auto"/>
        <w:rPr>
          <w:rStyle w:val="45"/>
          <w:rFonts w:ascii="宋体" w:hAnsi="宋体" w:cs="宋体"/>
          <w:sz w:val="21"/>
          <w:szCs w:val="21"/>
          <w:highlight w:val="yellow"/>
        </w:rPr>
      </w:pPr>
    </w:p>
    <w:p w14:paraId="031A98D6">
      <w:pPr>
        <w:pStyle w:val="184"/>
        <w:adjustRightInd w:val="0"/>
        <w:snapToGrid w:val="0"/>
        <w:spacing w:line="360" w:lineRule="auto"/>
        <w:rPr>
          <w:rStyle w:val="45"/>
          <w:rFonts w:ascii="宋体" w:hAnsi="宋体" w:cs="宋体"/>
          <w:sz w:val="21"/>
          <w:szCs w:val="21"/>
          <w:highlight w:val="yellow"/>
        </w:rPr>
      </w:pPr>
    </w:p>
    <w:p w14:paraId="2959428C">
      <w:pPr>
        <w:pStyle w:val="184"/>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投标人名称（盖单位章）：</w:t>
      </w:r>
    </w:p>
    <w:p w14:paraId="3D01BA44">
      <w:pPr>
        <w:pStyle w:val="186"/>
        <w:adjustRightInd w:val="0"/>
        <w:snapToGrid w:val="0"/>
        <w:spacing w:line="360" w:lineRule="auto"/>
        <w:rPr>
          <w:rStyle w:val="45"/>
          <w:rFonts w:ascii="宋体" w:hAnsi="宋体" w:cs="宋体"/>
          <w:kern w:val="2"/>
          <w:sz w:val="21"/>
          <w:szCs w:val="21"/>
          <w:highlight w:val="yellow"/>
        </w:rPr>
      </w:pPr>
      <w:r>
        <w:rPr>
          <w:rStyle w:val="45"/>
          <w:rFonts w:hint="eastAsia" w:ascii="宋体" w:hAnsi="宋体" w:cs="宋体"/>
          <w:kern w:val="2"/>
          <w:sz w:val="21"/>
          <w:szCs w:val="21"/>
          <w:highlight w:val="yellow"/>
        </w:rPr>
        <w:t>日期： 年  月  日</w:t>
      </w:r>
    </w:p>
    <w:p w14:paraId="0F8E4248">
      <w:pPr>
        <w:pStyle w:val="2"/>
        <w:rPr>
          <w:rFonts w:ascii="宋体" w:hAnsi="宋体" w:eastAsia="宋体" w:cs="宋体"/>
          <w:b/>
          <w:color w:val="auto"/>
          <w:highlight w:val="none"/>
        </w:rPr>
      </w:pPr>
      <w:r>
        <w:rPr>
          <w:rStyle w:val="45"/>
          <w:highlight w:val="yellow"/>
        </w:rPr>
        <w:br w:type="page"/>
      </w:r>
      <w:r>
        <w:rPr>
          <w:rFonts w:hint="eastAsia" w:ascii="宋体" w:hAnsi="宋体" w:cs="宋体"/>
          <w:b/>
          <w:color w:val="auto"/>
          <w:highlight w:val="none"/>
        </w:rPr>
        <w:t>4.</w:t>
      </w:r>
      <w:r>
        <w:rPr>
          <w:rFonts w:hint="eastAsia" w:ascii="宋体" w:hAnsi="宋体" w:eastAsia="宋体" w:cs="宋体"/>
          <w:b/>
          <w:color w:val="auto"/>
          <w:highlight w:val="none"/>
        </w:rPr>
        <w:t>4</w:t>
      </w:r>
      <w:r>
        <w:rPr>
          <w:rFonts w:hint="eastAsia" w:ascii="宋体" w:hAnsi="宋体" w:cs="宋体"/>
          <w:b/>
          <w:color w:val="auto"/>
          <w:highlight w:val="none"/>
        </w:rPr>
        <w:t>中小企业声明函</w:t>
      </w:r>
      <w:r>
        <w:rPr>
          <w:rFonts w:hint="eastAsia" w:ascii="宋体" w:hAnsi="宋体" w:eastAsia="宋体" w:cs="宋体"/>
          <w:b/>
          <w:color w:val="auto"/>
          <w:highlight w:val="none"/>
        </w:rPr>
        <w:t>（如有）</w:t>
      </w:r>
    </w:p>
    <w:p w14:paraId="4F9F93A1">
      <w:pPr>
        <w:pStyle w:val="19"/>
        <w:spacing w:line="600" w:lineRule="exact"/>
        <w:ind w:firstLine="0"/>
        <w:jc w:val="center"/>
        <w:rPr>
          <w:rFonts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中小企业声明函</w:t>
      </w:r>
    </w:p>
    <w:p w14:paraId="43D8DF10">
      <w:pPr>
        <w:pStyle w:val="39"/>
        <w:spacing w:before="0" w:beforeAutospacing="0" w:after="0" w:afterAutospacing="0" w:line="360" w:lineRule="auto"/>
        <w:jc w:val="center"/>
        <w:rPr>
          <w:rFonts w:ascii="宋体" w:hAnsi="宋体" w:cs="宋体"/>
          <w:color w:val="auto"/>
          <w:highlight w:val="none"/>
        </w:rPr>
      </w:pPr>
    </w:p>
    <w:p w14:paraId="142A98E7">
      <w:pPr>
        <w:pStyle w:val="39"/>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本公司（联合体）郑重声明，根据《政府采购促进中小企业发展管理办法》 （财库﹝2020﹞46 号）的规定，本公司（联合体）参加</w:t>
      </w:r>
      <w:r>
        <w:rPr>
          <w:rFonts w:hint="eastAsia" w:ascii="宋体" w:hAnsi="宋体" w:cs="宋体"/>
          <w:color w:val="auto"/>
          <w:sz w:val="21"/>
          <w:szCs w:val="21"/>
          <w:highlight w:val="none"/>
          <w:u w:val="single"/>
        </w:rPr>
        <w:t xml:space="preserve">（单位名称） </w:t>
      </w:r>
      <w:r>
        <w:rPr>
          <w:rFonts w:hint="eastAsia" w:ascii="宋体" w:hAnsi="宋体" w:cs="宋体"/>
          <w:color w:val="auto"/>
          <w:sz w:val="21"/>
          <w:szCs w:val="21"/>
          <w:highlight w:val="none"/>
        </w:rPr>
        <w:t>的</w:t>
      </w:r>
      <w:r>
        <w:rPr>
          <w:rFonts w:hint="eastAsia" w:ascii="宋体" w:hAnsi="宋体" w:cs="宋体"/>
          <w:color w:val="auto"/>
          <w:sz w:val="21"/>
          <w:szCs w:val="21"/>
          <w:highlight w:val="none"/>
          <w:u w:val="single"/>
        </w:rPr>
        <w:t xml:space="preserve"> （项目名称） </w:t>
      </w:r>
      <w:r>
        <w:rPr>
          <w:rFonts w:hint="eastAsia" w:ascii="宋体" w:hAnsi="宋体" w:cs="宋体"/>
          <w:color w:val="auto"/>
          <w:sz w:val="21"/>
          <w:szCs w:val="21"/>
          <w:highlight w:val="none"/>
        </w:rPr>
        <w:t>采购活动，服务全部由符合政策要求的中小企业承接。相关企业（含联合体中的中小企业、签订分包意向协议的中小企业）的具体情况如下：</w:t>
      </w:r>
    </w:p>
    <w:p w14:paraId="073019A5">
      <w:pPr>
        <w:pStyle w:val="39"/>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1.（标的名称），属于（采购文件中明确的所属行业）；承接企业为</w:t>
      </w:r>
      <w:r>
        <w:rPr>
          <w:rFonts w:hint="eastAsia" w:ascii="宋体" w:hAnsi="宋体" w:cs="宋体"/>
          <w:color w:val="auto"/>
          <w:sz w:val="21"/>
          <w:szCs w:val="21"/>
          <w:highlight w:val="none"/>
          <w:u w:val="single"/>
        </w:rPr>
        <w:t xml:space="preserve"> （企业名称） </w:t>
      </w:r>
      <w:r>
        <w:rPr>
          <w:rFonts w:hint="eastAsia" w:ascii="宋体" w:hAnsi="宋体" w:cs="宋体"/>
          <w:color w:val="auto"/>
          <w:sz w:val="21"/>
          <w:szCs w:val="21"/>
          <w:highlight w:val="none"/>
        </w:rPr>
        <w:t>，从业人员</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人，营业收入为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万元，资产总额为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万元，属于</w:t>
      </w:r>
      <w:r>
        <w:rPr>
          <w:rFonts w:hint="eastAsia" w:ascii="宋体" w:hAnsi="宋体" w:cs="宋体"/>
          <w:color w:val="auto"/>
          <w:sz w:val="21"/>
          <w:szCs w:val="21"/>
          <w:highlight w:val="none"/>
          <w:u w:val="single"/>
        </w:rPr>
        <w:t xml:space="preserve"> （中型企业、小型企业、微型企业）</w:t>
      </w:r>
      <w:r>
        <w:rPr>
          <w:rFonts w:hint="eastAsia" w:ascii="宋体" w:hAnsi="宋体" w:cs="宋体"/>
          <w:color w:val="auto"/>
          <w:sz w:val="21"/>
          <w:szCs w:val="21"/>
          <w:highlight w:val="none"/>
        </w:rPr>
        <w:t>；</w:t>
      </w:r>
    </w:p>
    <w:p w14:paraId="4A8A2E08">
      <w:pPr>
        <w:pStyle w:val="39"/>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2.（标的名称），属于（采购文件中明确的所属行业）；承接企业为</w:t>
      </w:r>
      <w:r>
        <w:rPr>
          <w:rFonts w:hint="eastAsia" w:ascii="宋体" w:hAnsi="宋体" w:cs="宋体"/>
          <w:color w:val="auto"/>
          <w:sz w:val="21"/>
          <w:szCs w:val="21"/>
          <w:highlight w:val="none"/>
          <w:u w:val="single"/>
        </w:rPr>
        <w:t xml:space="preserve"> （企业名称） </w:t>
      </w:r>
      <w:r>
        <w:rPr>
          <w:rFonts w:hint="eastAsia" w:ascii="宋体" w:hAnsi="宋体" w:cs="宋体"/>
          <w:color w:val="auto"/>
          <w:sz w:val="21"/>
          <w:szCs w:val="21"/>
          <w:highlight w:val="none"/>
        </w:rPr>
        <w:t>，从业人员</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人，营业收入为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万元，资产总额为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万元，属于</w:t>
      </w:r>
      <w:r>
        <w:rPr>
          <w:rFonts w:hint="eastAsia" w:ascii="宋体" w:hAnsi="宋体" w:cs="宋体"/>
          <w:color w:val="auto"/>
          <w:sz w:val="21"/>
          <w:szCs w:val="21"/>
          <w:highlight w:val="none"/>
          <w:u w:val="single"/>
        </w:rPr>
        <w:t xml:space="preserve"> （中型企业、小型企业、微型企业）</w:t>
      </w:r>
      <w:r>
        <w:rPr>
          <w:rFonts w:hint="eastAsia" w:ascii="宋体" w:hAnsi="宋体" w:cs="宋体"/>
          <w:color w:val="auto"/>
          <w:sz w:val="21"/>
          <w:szCs w:val="21"/>
          <w:highlight w:val="none"/>
        </w:rPr>
        <w:t>；</w:t>
      </w:r>
    </w:p>
    <w:p w14:paraId="4346C591">
      <w:pPr>
        <w:pStyle w:val="39"/>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w:t>
      </w:r>
    </w:p>
    <w:p w14:paraId="31756F12">
      <w:pPr>
        <w:pStyle w:val="39"/>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以上企业，不属于大企业的分支机构，不存在控股股东为大企业的情形，也不存在与大企业的负责人为同一人的情形。</w:t>
      </w:r>
    </w:p>
    <w:p w14:paraId="06BA19EF">
      <w:pPr>
        <w:pStyle w:val="39"/>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本企业对上述声明内容的真实性负责。如有虚假，将依法承担相应责任。</w:t>
      </w:r>
    </w:p>
    <w:p w14:paraId="5F02A486">
      <w:pPr>
        <w:pStyle w:val="39"/>
        <w:spacing w:before="0" w:beforeAutospacing="0" w:after="0" w:afterAutospacing="0" w:line="360" w:lineRule="auto"/>
        <w:ind w:firstLine="420" w:firstLineChars="200"/>
        <w:jc w:val="both"/>
        <w:rPr>
          <w:rFonts w:ascii="宋体" w:hAnsi="宋体" w:cs="宋体"/>
          <w:color w:val="auto"/>
          <w:sz w:val="21"/>
          <w:szCs w:val="21"/>
          <w:highlight w:val="none"/>
        </w:rPr>
      </w:pPr>
    </w:p>
    <w:p w14:paraId="57ED6272">
      <w:pPr>
        <w:pStyle w:val="39"/>
        <w:spacing w:before="0" w:beforeAutospacing="0" w:after="0" w:afterAutospacing="0" w:line="360" w:lineRule="auto"/>
        <w:ind w:firstLine="420" w:firstLineChars="200"/>
        <w:jc w:val="both"/>
        <w:rPr>
          <w:rFonts w:ascii="宋体" w:hAnsi="宋体" w:cs="宋体"/>
          <w:color w:val="auto"/>
          <w:sz w:val="21"/>
          <w:szCs w:val="21"/>
          <w:highlight w:val="none"/>
        </w:rPr>
      </w:pPr>
      <w:r>
        <w:rPr>
          <w:rFonts w:hint="eastAsia" w:ascii="宋体" w:hAnsi="宋体" w:cs="宋体"/>
          <w:color w:val="auto"/>
          <w:sz w:val="21"/>
          <w:szCs w:val="21"/>
          <w:highlight w:val="none"/>
        </w:rPr>
        <w:t>企业名称（盖章）：</w:t>
      </w:r>
    </w:p>
    <w:p w14:paraId="462966DC">
      <w:pPr>
        <w:snapToGrid w:val="0"/>
        <w:spacing w:line="360" w:lineRule="auto"/>
        <w:ind w:firstLine="420" w:firstLineChars="200"/>
        <w:rPr>
          <w:rFonts w:ascii="宋体" w:hAnsi="宋体" w:cs="宋体"/>
          <w:b/>
          <w:bCs/>
          <w:snapToGrid w:val="0"/>
          <w:color w:val="auto"/>
          <w:kern w:val="0"/>
          <w:szCs w:val="21"/>
          <w:highlight w:val="none"/>
        </w:rPr>
      </w:pPr>
      <w:r>
        <w:rPr>
          <w:rFonts w:hint="eastAsia" w:ascii="宋体" w:hAnsi="宋体" w:cs="宋体"/>
          <w:color w:val="auto"/>
          <w:szCs w:val="21"/>
          <w:highlight w:val="none"/>
        </w:rPr>
        <w:t>日   期：</w:t>
      </w:r>
    </w:p>
    <w:p w14:paraId="62A9F085">
      <w:pPr>
        <w:snapToGrid w:val="0"/>
        <w:spacing w:line="360" w:lineRule="auto"/>
        <w:rPr>
          <w:rFonts w:ascii="宋体" w:hAnsi="宋体" w:cs="宋体"/>
          <w:b/>
          <w:color w:val="auto"/>
          <w:sz w:val="24"/>
          <w:highlight w:val="none"/>
        </w:rPr>
      </w:pPr>
    </w:p>
    <w:p w14:paraId="0BD6DBEC">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特别说明：</w:t>
      </w:r>
    </w:p>
    <w:p w14:paraId="72E78E9E">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投标人在填写上述声明函前，须先自查本企业是否满足小微企业认定标准，可通过“国家企业信用信息公示系统——小微企业名录”页面查询，未按要求出具声明函的，投标报价不予扣减。未如实填写的，将依法承担相应责任。</w:t>
      </w:r>
      <w:r>
        <w:rPr>
          <w:rFonts w:hint="eastAsia" w:ascii="宋体" w:hAnsi="宋体" w:cs="宋体"/>
          <w:b/>
          <w:color w:val="auto"/>
          <w:sz w:val="24"/>
          <w:highlight w:val="none"/>
        </w:rPr>
        <w:br w:type="page"/>
      </w:r>
      <w:r>
        <w:rPr>
          <w:rFonts w:hint="eastAsia" w:ascii="宋体" w:hAnsi="宋体" w:cs="宋体"/>
          <w:b/>
          <w:color w:val="auto"/>
          <w:szCs w:val="21"/>
          <w:highlight w:val="none"/>
        </w:rPr>
        <w:t>4.5投标人为监狱企业的证明文件：省级以上监狱管理局、戒毒管理局（含新疆生产建设兵团）出具（如有）</w:t>
      </w:r>
    </w:p>
    <w:p w14:paraId="5B7AAADD">
      <w:pPr>
        <w:snapToGrid w:val="0"/>
        <w:spacing w:line="360" w:lineRule="auto"/>
        <w:rPr>
          <w:rFonts w:ascii="宋体" w:hAnsi="宋体" w:cs="宋体"/>
          <w:snapToGrid w:val="0"/>
          <w:color w:val="auto"/>
          <w:kern w:val="0"/>
          <w:szCs w:val="21"/>
          <w:highlight w:val="none"/>
        </w:rPr>
      </w:pPr>
    </w:p>
    <w:p w14:paraId="1CD17222">
      <w:pPr>
        <w:snapToGrid w:val="0"/>
        <w:spacing w:line="360" w:lineRule="auto"/>
        <w:rPr>
          <w:rFonts w:ascii="宋体" w:hAnsi="宋体" w:cs="宋体"/>
          <w:snapToGrid w:val="0"/>
          <w:color w:val="auto"/>
          <w:kern w:val="0"/>
          <w:szCs w:val="21"/>
          <w:highlight w:val="none"/>
        </w:rPr>
      </w:pPr>
    </w:p>
    <w:p w14:paraId="014AD6DD">
      <w:pPr>
        <w:snapToGrid w:val="0"/>
        <w:spacing w:line="360" w:lineRule="auto"/>
        <w:rPr>
          <w:rFonts w:ascii="宋体" w:hAnsi="宋体" w:cs="宋体"/>
          <w:snapToGrid w:val="0"/>
          <w:color w:val="auto"/>
          <w:kern w:val="0"/>
          <w:szCs w:val="21"/>
          <w:highlight w:val="none"/>
        </w:rPr>
      </w:pPr>
    </w:p>
    <w:p w14:paraId="5B8B9AED">
      <w:pPr>
        <w:snapToGrid w:val="0"/>
        <w:spacing w:line="360" w:lineRule="auto"/>
        <w:rPr>
          <w:rFonts w:ascii="宋体" w:hAnsi="宋体" w:cs="宋体"/>
          <w:snapToGrid w:val="0"/>
          <w:color w:val="auto"/>
          <w:kern w:val="0"/>
          <w:szCs w:val="21"/>
          <w:highlight w:val="none"/>
        </w:rPr>
      </w:pPr>
    </w:p>
    <w:p w14:paraId="78D77973">
      <w:pPr>
        <w:snapToGrid w:val="0"/>
        <w:spacing w:line="360" w:lineRule="auto"/>
        <w:rPr>
          <w:rFonts w:ascii="宋体" w:hAnsi="宋体" w:cs="宋体"/>
          <w:snapToGrid w:val="0"/>
          <w:color w:val="auto"/>
          <w:kern w:val="0"/>
          <w:szCs w:val="21"/>
          <w:highlight w:val="none"/>
        </w:rPr>
      </w:pPr>
    </w:p>
    <w:p w14:paraId="79B291C9">
      <w:pPr>
        <w:snapToGrid w:val="0"/>
        <w:spacing w:line="360" w:lineRule="auto"/>
        <w:rPr>
          <w:rFonts w:ascii="宋体" w:hAnsi="宋体" w:cs="宋体"/>
          <w:snapToGrid w:val="0"/>
          <w:color w:val="auto"/>
          <w:kern w:val="0"/>
          <w:szCs w:val="21"/>
          <w:highlight w:val="none"/>
        </w:rPr>
      </w:pPr>
    </w:p>
    <w:p w14:paraId="46163F0E">
      <w:pPr>
        <w:spacing w:line="588" w:lineRule="exact"/>
        <w:rPr>
          <w:rFonts w:ascii="宋体" w:hAnsi="宋体" w:cs="宋体"/>
          <w:b/>
          <w:color w:val="auto"/>
          <w:szCs w:val="21"/>
          <w:highlight w:val="none"/>
        </w:rPr>
      </w:pPr>
      <w:r>
        <w:rPr>
          <w:rFonts w:hint="eastAsia" w:ascii="宋体" w:hAnsi="宋体" w:cs="宋体"/>
          <w:snapToGrid w:val="0"/>
          <w:color w:val="auto"/>
          <w:kern w:val="0"/>
          <w:szCs w:val="21"/>
          <w:highlight w:val="none"/>
        </w:rPr>
        <w:br w:type="page"/>
      </w:r>
      <w:bookmarkStart w:id="161" w:name="OLE_LINK14"/>
      <w:bookmarkStart w:id="162" w:name="OLE_LINK13"/>
      <w:r>
        <w:rPr>
          <w:rFonts w:hint="eastAsia" w:ascii="宋体" w:hAnsi="宋体" w:cs="宋体"/>
          <w:b/>
          <w:color w:val="auto"/>
          <w:szCs w:val="21"/>
          <w:highlight w:val="none"/>
        </w:rPr>
        <w:t>4.6残疾人福利性单位声明函（如有）</w:t>
      </w:r>
    </w:p>
    <w:p w14:paraId="53733DD0">
      <w:pPr>
        <w:pStyle w:val="19"/>
        <w:spacing w:line="600" w:lineRule="exact"/>
        <w:ind w:firstLine="0"/>
        <w:jc w:val="center"/>
        <w:rPr>
          <w:rFonts w:ascii="宋体" w:hAnsi="宋体" w:eastAsia="宋体" w:cs="宋体"/>
          <w:b/>
          <w:bCs/>
          <w:snapToGrid w:val="0"/>
          <w:color w:val="auto"/>
          <w:kern w:val="0"/>
          <w:sz w:val="28"/>
          <w:szCs w:val="28"/>
          <w:highlight w:val="none"/>
        </w:rPr>
      </w:pPr>
    </w:p>
    <w:p w14:paraId="7C83DF31">
      <w:pPr>
        <w:spacing w:line="360" w:lineRule="atLeast"/>
        <w:jc w:val="center"/>
        <w:rPr>
          <w:rFonts w:ascii="宋体" w:hAnsi="宋体" w:cs="宋体"/>
          <w:b/>
          <w:color w:val="auto"/>
          <w:sz w:val="28"/>
          <w:szCs w:val="28"/>
          <w:highlight w:val="none"/>
        </w:rPr>
      </w:pPr>
      <w:r>
        <w:rPr>
          <w:rFonts w:hint="eastAsia" w:ascii="宋体" w:hAnsi="宋体" w:cs="宋体"/>
          <w:b/>
          <w:color w:val="auto"/>
          <w:sz w:val="28"/>
          <w:szCs w:val="28"/>
          <w:highlight w:val="none"/>
        </w:rPr>
        <w:t>残疾人福利性单位声明函</w:t>
      </w:r>
    </w:p>
    <w:bookmarkEnd w:id="161"/>
    <w:bookmarkEnd w:id="162"/>
    <w:p w14:paraId="231559DF">
      <w:pPr>
        <w:spacing w:line="588" w:lineRule="exact"/>
        <w:rPr>
          <w:rFonts w:ascii="宋体" w:hAnsi="宋体" w:cs="宋体"/>
          <w:b/>
          <w:color w:val="auto"/>
          <w:spacing w:val="6"/>
          <w:sz w:val="30"/>
          <w:szCs w:val="30"/>
          <w:highlight w:val="none"/>
        </w:rPr>
      </w:pPr>
    </w:p>
    <w:p w14:paraId="67E552FC">
      <w:pPr>
        <w:spacing w:line="588" w:lineRule="exact"/>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cs="宋体"/>
          <w:color w:val="auto"/>
          <w:szCs w:val="21"/>
          <w:highlight w:val="none"/>
        </w:rPr>
        <w:t>〔2017〕 141</w:t>
      </w:r>
      <w:r>
        <w:rPr>
          <w:rFonts w:hint="eastAsia" w:ascii="宋体" w:hAnsi="宋体" w:cs="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0B1265D">
      <w:pPr>
        <w:spacing w:line="588" w:lineRule="exact"/>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2365F0D4">
      <w:pPr>
        <w:spacing w:line="588" w:lineRule="exact"/>
        <w:ind w:firstLine="444" w:firstLineChars="200"/>
        <w:rPr>
          <w:rFonts w:ascii="宋体" w:hAnsi="宋体" w:cs="宋体"/>
          <w:color w:val="auto"/>
          <w:spacing w:val="6"/>
          <w:szCs w:val="21"/>
          <w:highlight w:val="none"/>
        </w:rPr>
      </w:pPr>
    </w:p>
    <w:p w14:paraId="0A532EF2">
      <w:pPr>
        <w:spacing w:line="588" w:lineRule="exact"/>
        <w:ind w:firstLine="444" w:firstLineChars="200"/>
        <w:rPr>
          <w:rFonts w:ascii="宋体" w:hAnsi="宋体" w:cs="宋体"/>
          <w:color w:val="auto"/>
          <w:spacing w:val="6"/>
          <w:szCs w:val="21"/>
          <w:highlight w:val="none"/>
        </w:rPr>
      </w:pPr>
    </w:p>
    <w:p w14:paraId="605C24E3">
      <w:pPr>
        <w:tabs>
          <w:tab w:val="left" w:pos="4860"/>
        </w:tabs>
        <w:spacing w:line="588" w:lineRule="exact"/>
        <w:ind w:right="1560" w:firstLine="444" w:firstLineChars="200"/>
        <w:jc w:val="center"/>
        <w:rPr>
          <w:rFonts w:ascii="宋体" w:hAnsi="宋体" w:cs="宋体"/>
          <w:color w:val="auto"/>
          <w:spacing w:val="6"/>
          <w:szCs w:val="21"/>
          <w:highlight w:val="none"/>
        </w:rPr>
      </w:pPr>
      <w:r>
        <w:rPr>
          <w:rFonts w:hint="eastAsia" w:ascii="宋体" w:hAnsi="宋体" w:cs="宋体"/>
          <w:color w:val="auto"/>
          <w:spacing w:val="6"/>
          <w:szCs w:val="21"/>
          <w:highlight w:val="none"/>
        </w:rPr>
        <w:t xml:space="preserve">               单位名称（盖章）：</w:t>
      </w:r>
    </w:p>
    <w:p w14:paraId="7C2CA7DF">
      <w:pPr>
        <w:tabs>
          <w:tab w:val="left" w:pos="4860"/>
        </w:tabs>
        <w:spacing w:line="588" w:lineRule="exact"/>
        <w:ind w:right="1560" w:firstLine="444" w:firstLineChars="200"/>
        <w:jc w:val="center"/>
        <w:rPr>
          <w:rFonts w:ascii="宋体" w:hAnsi="宋体" w:cs="宋体"/>
          <w:color w:val="auto"/>
          <w:spacing w:val="6"/>
          <w:szCs w:val="21"/>
          <w:highlight w:val="none"/>
        </w:rPr>
      </w:pPr>
      <w:r>
        <w:rPr>
          <w:rFonts w:hint="eastAsia" w:ascii="宋体" w:hAnsi="宋体" w:cs="宋体"/>
          <w:color w:val="auto"/>
          <w:spacing w:val="6"/>
          <w:szCs w:val="21"/>
          <w:highlight w:val="none"/>
        </w:rPr>
        <w:t xml:space="preserve">      日  期：</w:t>
      </w:r>
    </w:p>
    <w:p w14:paraId="19254FDC">
      <w:pPr>
        <w:tabs>
          <w:tab w:val="left" w:pos="4860"/>
        </w:tabs>
        <w:spacing w:line="588" w:lineRule="exact"/>
        <w:ind w:right="1560" w:firstLine="444" w:firstLineChars="200"/>
        <w:jc w:val="center"/>
        <w:rPr>
          <w:rFonts w:ascii="宋体" w:hAnsi="宋体" w:cs="宋体"/>
          <w:color w:val="auto"/>
          <w:spacing w:val="6"/>
          <w:szCs w:val="21"/>
          <w:highlight w:val="none"/>
        </w:rPr>
        <w:sectPr>
          <w:pgSz w:w="11906" w:h="16838"/>
          <w:pgMar w:top="1247" w:right="1588" w:bottom="1089" w:left="1588" w:header="851" w:footer="992" w:gutter="0"/>
          <w:cols w:space="720" w:num="1"/>
          <w:docGrid w:linePitch="312" w:charSpace="0"/>
        </w:sectPr>
      </w:pPr>
    </w:p>
    <w:p w14:paraId="53C163AA">
      <w:pPr>
        <w:adjustRightInd w:val="0"/>
        <w:snapToGrid w:val="0"/>
        <w:spacing w:before="120" w:beforeLines="50" w:after="120" w:afterLines="50" w:line="360" w:lineRule="auto"/>
        <w:jc w:val="center"/>
        <w:outlineLvl w:val="0"/>
        <w:rPr>
          <w:rFonts w:ascii="宋体" w:hAnsi="宋体" w:cs="宋体"/>
          <w:b/>
          <w:color w:val="auto"/>
          <w:sz w:val="30"/>
          <w:szCs w:val="30"/>
          <w:highlight w:val="none"/>
        </w:rPr>
      </w:pPr>
      <w:bookmarkStart w:id="163" w:name="_Toc85359525"/>
      <w:bookmarkStart w:id="164" w:name="_Toc29263"/>
      <w:bookmarkStart w:id="165" w:name="_Toc31396"/>
      <w:bookmarkStart w:id="166" w:name="_Toc43"/>
      <w:r>
        <w:rPr>
          <w:rFonts w:hint="eastAsia" w:ascii="宋体" w:hAnsi="宋体" w:cs="宋体"/>
          <w:b/>
          <w:color w:val="auto"/>
          <w:sz w:val="30"/>
          <w:szCs w:val="30"/>
          <w:highlight w:val="none"/>
        </w:rPr>
        <w:t>第七部分   其它</w:t>
      </w:r>
      <w:bookmarkEnd w:id="163"/>
      <w:bookmarkEnd w:id="164"/>
      <w:bookmarkEnd w:id="165"/>
      <w:bookmarkEnd w:id="166"/>
    </w:p>
    <w:p w14:paraId="502A7BB2">
      <w:pPr>
        <w:pStyle w:val="100"/>
        <w:widowControl w:val="0"/>
        <w:snapToGrid w:val="0"/>
        <w:spacing w:line="500" w:lineRule="exact"/>
        <w:jc w:val="center"/>
        <w:outlineLvl w:val="0"/>
        <w:rPr>
          <w:rFonts w:hint="default" w:hAnsi="宋体" w:cs="方正小标宋简体"/>
          <w:b/>
          <w:color w:val="auto"/>
          <w:sz w:val="28"/>
          <w:szCs w:val="28"/>
          <w:highlight w:val="none"/>
        </w:rPr>
      </w:pPr>
      <w:bookmarkStart w:id="167" w:name="_Toc11663"/>
      <w:bookmarkStart w:id="168" w:name="_Toc85359527"/>
      <w:r>
        <w:rPr>
          <w:rFonts w:hAnsi="宋体" w:cs="方正小标宋简体"/>
          <w:b/>
          <w:color w:val="auto"/>
          <w:sz w:val="28"/>
          <w:szCs w:val="28"/>
          <w:highlight w:val="none"/>
        </w:rPr>
        <w:t>政府采购活动现场确认声明书</w:t>
      </w:r>
      <w:bookmarkEnd w:id="167"/>
      <w:bookmarkEnd w:id="168"/>
    </w:p>
    <w:p w14:paraId="3E7F227C">
      <w:pPr>
        <w:pStyle w:val="100"/>
        <w:widowControl w:val="0"/>
        <w:adjustRightInd w:val="0"/>
        <w:snapToGrid w:val="0"/>
        <w:spacing w:line="360" w:lineRule="auto"/>
        <w:jc w:val="both"/>
        <w:rPr>
          <w:rFonts w:hint="default" w:ascii="仿宋" w:hAnsi="仿宋"/>
          <w:color w:val="auto"/>
          <w:kern w:val="0"/>
          <w:szCs w:val="21"/>
          <w:highlight w:val="none"/>
          <w:u w:val="single"/>
        </w:rPr>
      </w:pPr>
    </w:p>
    <w:p w14:paraId="3223074D">
      <w:pPr>
        <w:pStyle w:val="100"/>
        <w:widowControl w:val="0"/>
        <w:adjustRightInd w:val="0"/>
        <w:snapToGrid w:val="0"/>
        <w:spacing w:line="360" w:lineRule="auto"/>
        <w:jc w:val="both"/>
        <w:rPr>
          <w:rFonts w:hint="default" w:ascii="仿宋" w:hAnsi="仿宋"/>
          <w:b/>
          <w:color w:val="auto"/>
          <w:szCs w:val="21"/>
          <w:highlight w:val="none"/>
        </w:rPr>
      </w:pPr>
      <w:r>
        <w:rPr>
          <w:rFonts w:hint="eastAsia" w:ascii="仿宋" w:hAnsi="仿宋"/>
          <w:color w:val="auto"/>
          <w:kern w:val="0"/>
          <w:szCs w:val="21"/>
          <w:highlight w:val="none"/>
          <w:u w:val="single"/>
          <w:lang w:eastAsia="zh-CN"/>
        </w:rPr>
        <w:t>新疆华域建设工程项目管理咨询有限公司</w:t>
      </w:r>
      <w:r>
        <w:rPr>
          <w:rFonts w:ascii="仿宋" w:hAnsi="仿宋"/>
          <w:color w:val="auto"/>
          <w:kern w:val="0"/>
          <w:szCs w:val="21"/>
          <w:highlight w:val="none"/>
        </w:rPr>
        <w:t>：</w:t>
      </w:r>
    </w:p>
    <w:p w14:paraId="4B28B8FB">
      <w:pPr>
        <w:pStyle w:val="100"/>
        <w:widowControl w:val="0"/>
        <w:adjustRightInd w:val="0"/>
        <w:snapToGrid w:val="0"/>
        <w:spacing w:line="360" w:lineRule="auto"/>
        <w:ind w:firstLine="444" w:firstLineChars="200"/>
        <w:jc w:val="both"/>
        <w:rPr>
          <w:rFonts w:hint="default" w:ascii="仿宋" w:hAnsi="仿宋"/>
          <w:color w:val="auto"/>
          <w:spacing w:val="6"/>
          <w:szCs w:val="21"/>
          <w:highlight w:val="none"/>
        </w:rPr>
      </w:pPr>
      <w:r>
        <w:rPr>
          <w:rFonts w:ascii="仿宋" w:hAnsi="仿宋"/>
          <w:color w:val="auto"/>
          <w:spacing w:val="6"/>
          <w:szCs w:val="21"/>
          <w:highlight w:val="none"/>
        </w:rPr>
        <w:t>本人经由</w:t>
      </w:r>
      <w:r>
        <w:rPr>
          <w:rFonts w:ascii="仿宋" w:hAnsi="仿宋"/>
          <w:color w:val="auto"/>
          <w:spacing w:val="6"/>
          <w:szCs w:val="21"/>
          <w:highlight w:val="none"/>
          <w:u w:val="single"/>
        </w:rPr>
        <w:t xml:space="preserve">            （单位）</w:t>
      </w:r>
      <w:r>
        <w:rPr>
          <w:rFonts w:ascii="仿宋" w:hAnsi="仿宋"/>
          <w:color w:val="auto"/>
          <w:spacing w:val="6"/>
          <w:szCs w:val="21"/>
          <w:highlight w:val="none"/>
        </w:rPr>
        <w:t>负责人</w:t>
      </w:r>
      <w:r>
        <w:rPr>
          <w:rFonts w:ascii="仿宋" w:hAnsi="仿宋"/>
          <w:color w:val="auto"/>
          <w:spacing w:val="6"/>
          <w:szCs w:val="21"/>
          <w:highlight w:val="none"/>
          <w:u w:val="single"/>
        </w:rPr>
        <w:t xml:space="preserve">        （姓名）</w:t>
      </w:r>
      <w:r>
        <w:rPr>
          <w:rFonts w:ascii="仿宋" w:hAnsi="仿宋"/>
          <w:color w:val="auto"/>
          <w:spacing w:val="6"/>
          <w:szCs w:val="21"/>
          <w:highlight w:val="none"/>
        </w:rPr>
        <w:t>合法授权参加</w:t>
      </w:r>
      <w:r>
        <w:rPr>
          <w:rFonts w:hint="eastAsia" w:hAnsi="宋体" w:cs="宋体"/>
          <w:color w:val="auto"/>
          <w:kern w:val="0"/>
          <w:szCs w:val="21"/>
          <w:highlight w:val="none"/>
          <w:u w:val="single"/>
          <w:lang w:val="en-US" w:eastAsia="zh-CN"/>
        </w:rPr>
        <w:t xml:space="preserve">          </w:t>
      </w:r>
      <w:r>
        <w:rPr>
          <w:rFonts w:ascii="仿宋" w:hAnsi="仿宋"/>
          <w:color w:val="auto"/>
          <w:spacing w:val="6"/>
          <w:szCs w:val="21"/>
          <w:highlight w:val="none"/>
        </w:rPr>
        <w:t>项目</w:t>
      </w:r>
      <w:r>
        <w:rPr>
          <w:rFonts w:ascii="仿宋" w:hAnsi="仿宋"/>
          <w:color w:val="auto"/>
          <w:spacing w:val="6"/>
          <w:szCs w:val="21"/>
          <w:highlight w:val="none"/>
          <w:u w:val="single"/>
        </w:rPr>
        <w:t>（编号：</w:t>
      </w:r>
      <w:r>
        <w:rPr>
          <w:rFonts w:hint="eastAsia" w:asciiTheme="minorEastAsia" w:hAnsiTheme="minorEastAsia" w:eastAsiaTheme="minorEastAsia" w:cstheme="minorEastAsia"/>
          <w:color w:val="auto"/>
          <w:spacing w:val="6"/>
          <w:szCs w:val="21"/>
          <w:highlight w:val="none"/>
          <w:u w:val="single"/>
          <w:lang w:eastAsia="zh-CN"/>
        </w:rPr>
        <w:t>ZFCGHY-20250009（1）</w:t>
      </w:r>
      <w:r>
        <w:rPr>
          <w:rFonts w:ascii="仿宋" w:hAnsi="仿宋"/>
          <w:color w:val="auto"/>
          <w:spacing w:val="6"/>
          <w:szCs w:val="21"/>
          <w:highlight w:val="none"/>
          <w:u w:val="single"/>
        </w:rPr>
        <w:t>）</w:t>
      </w:r>
      <w:r>
        <w:rPr>
          <w:rFonts w:ascii="仿宋" w:hAnsi="仿宋"/>
          <w:color w:val="auto"/>
          <w:spacing w:val="6"/>
          <w:szCs w:val="21"/>
          <w:highlight w:val="none"/>
        </w:rPr>
        <w:t xml:space="preserve">政府采购活动，经与本单位法人代表（负责人）联系确认，现就有关公平竞争事项郑重声明如下： </w:t>
      </w:r>
    </w:p>
    <w:p w14:paraId="328B4FB9">
      <w:pPr>
        <w:pStyle w:val="83"/>
        <w:widowControl/>
        <w:numPr>
          <w:ilvl w:val="0"/>
          <w:numId w:val="19"/>
        </w:numPr>
        <w:adjustRightInd w:val="0"/>
        <w:snapToGrid w:val="0"/>
        <w:spacing w:line="360" w:lineRule="auto"/>
        <w:ind w:firstLine="396" w:firstLineChars="189"/>
        <w:rPr>
          <w:rFonts w:hint="default" w:ascii="仿宋" w:hAnsi="仿宋"/>
          <w:color w:val="auto"/>
          <w:kern w:val="0"/>
          <w:szCs w:val="21"/>
          <w:highlight w:val="none"/>
        </w:rPr>
      </w:pPr>
      <w:r>
        <w:rPr>
          <w:rFonts w:ascii="仿宋" w:hAnsi="仿宋"/>
          <w:color w:val="auto"/>
          <w:kern w:val="0"/>
          <w:szCs w:val="21"/>
          <w:highlight w:val="none"/>
        </w:rPr>
        <w:t xml:space="preserve">本单位与采购人之间 </w:t>
      </w:r>
      <w:r>
        <w:rPr>
          <w:rFonts w:ascii="宋体" w:hAnsi="宋体" w:cs="宋体"/>
          <w:color w:val="auto"/>
          <w:kern w:val="0"/>
          <w:szCs w:val="21"/>
          <w:highlight w:val="none"/>
        </w:rPr>
        <w:t>□</w:t>
      </w:r>
      <w:r>
        <w:rPr>
          <w:rFonts w:ascii="仿宋" w:hAnsi="仿宋"/>
          <w:color w:val="auto"/>
          <w:kern w:val="0"/>
          <w:szCs w:val="21"/>
          <w:highlight w:val="none"/>
        </w:rPr>
        <w:t xml:space="preserve">不存在利害关系 </w:t>
      </w:r>
      <w:r>
        <w:rPr>
          <w:rFonts w:ascii="宋体" w:hAnsi="宋体" w:cs="宋体"/>
          <w:color w:val="auto"/>
          <w:kern w:val="0"/>
          <w:szCs w:val="21"/>
          <w:highlight w:val="none"/>
        </w:rPr>
        <w:t>□</w:t>
      </w:r>
      <w:r>
        <w:rPr>
          <w:rFonts w:ascii="仿宋" w:hAnsi="仿宋"/>
          <w:color w:val="auto"/>
          <w:kern w:val="0"/>
          <w:szCs w:val="21"/>
          <w:highlight w:val="none"/>
        </w:rPr>
        <w:t>存在下列利害关系：</w:t>
      </w:r>
    </w:p>
    <w:p w14:paraId="06D33B08">
      <w:pPr>
        <w:pStyle w:val="83"/>
        <w:widowControl/>
        <w:adjustRightInd w:val="0"/>
        <w:snapToGrid w:val="0"/>
        <w:spacing w:line="360" w:lineRule="auto"/>
        <w:ind w:firstLine="200"/>
        <w:rPr>
          <w:rFonts w:hint="default" w:ascii="仿宋" w:hAnsi="仿宋"/>
          <w:color w:val="auto"/>
          <w:kern w:val="0"/>
          <w:szCs w:val="21"/>
          <w:highlight w:val="none"/>
        </w:rPr>
      </w:pPr>
      <w:r>
        <w:rPr>
          <w:rFonts w:ascii="仿宋" w:hAnsi="仿宋"/>
          <w:color w:val="auto"/>
          <w:kern w:val="0"/>
          <w:szCs w:val="21"/>
          <w:highlight w:val="none"/>
        </w:rPr>
        <w:t xml:space="preserve">  A.投资关系    B.行政隶属关系    C.业务指导关系</w:t>
      </w:r>
    </w:p>
    <w:p w14:paraId="228D459A">
      <w:pPr>
        <w:pStyle w:val="83"/>
        <w:widowControl/>
        <w:adjustRightInd w:val="0"/>
        <w:snapToGrid w:val="0"/>
        <w:spacing w:line="360" w:lineRule="auto"/>
        <w:ind w:firstLine="200"/>
        <w:rPr>
          <w:rFonts w:hint="default" w:ascii="仿宋" w:hAnsi="仿宋"/>
          <w:color w:val="auto"/>
          <w:kern w:val="0"/>
          <w:szCs w:val="21"/>
          <w:highlight w:val="none"/>
        </w:rPr>
      </w:pPr>
      <w:r>
        <w:rPr>
          <w:rFonts w:ascii="仿宋" w:hAnsi="仿宋"/>
          <w:color w:val="auto"/>
          <w:kern w:val="0"/>
          <w:szCs w:val="21"/>
          <w:highlight w:val="none"/>
        </w:rPr>
        <w:t xml:space="preserve">  D.其他可能</w:t>
      </w:r>
      <w:r>
        <w:rPr>
          <w:rFonts w:ascii="仿宋" w:hAnsi="仿宋"/>
          <w:color w:val="auto"/>
          <w:szCs w:val="21"/>
          <w:highlight w:val="none"/>
        </w:rPr>
        <w:t>影响采购公正的</w:t>
      </w:r>
      <w:r>
        <w:rPr>
          <w:rFonts w:ascii="仿宋" w:hAnsi="仿宋"/>
          <w:color w:val="auto"/>
          <w:kern w:val="0"/>
          <w:szCs w:val="21"/>
          <w:highlight w:val="none"/>
        </w:rPr>
        <w:t>利害关系</w:t>
      </w:r>
      <w:r>
        <w:rPr>
          <w:rFonts w:ascii="仿宋" w:hAnsi="仿宋"/>
          <w:color w:val="auto"/>
          <w:kern w:val="0"/>
          <w:szCs w:val="21"/>
          <w:highlight w:val="none"/>
          <w:u w:val="single"/>
        </w:rPr>
        <w:t xml:space="preserve">（如有，请如实说明）                 </w:t>
      </w:r>
      <w:r>
        <w:rPr>
          <w:rFonts w:ascii="仿宋" w:hAnsi="仿宋"/>
          <w:color w:val="auto"/>
          <w:kern w:val="0"/>
          <w:szCs w:val="21"/>
          <w:highlight w:val="none"/>
        </w:rPr>
        <w:t>。</w:t>
      </w:r>
    </w:p>
    <w:p w14:paraId="3BFA2588">
      <w:pPr>
        <w:pStyle w:val="83"/>
        <w:widowControl/>
        <w:adjustRightInd w:val="0"/>
        <w:snapToGrid w:val="0"/>
        <w:spacing w:line="360" w:lineRule="auto"/>
        <w:ind w:firstLine="200"/>
        <w:rPr>
          <w:rFonts w:hint="default" w:ascii="仿宋" w:hAnsi="仿宋"/>
          <w:color w:val="auto"/>
          <w:kern w:val="0"/>
          <w:szCs w:val="21"/>
          <w:highlight w:val="none"/>
        </w:rPr>
      </w:pPr>
      <w:r>
        <w:rPr>
          <w:rFonts w:ascii="仿宋" w:hAnsi="仿宋"/>
          <w:color w:val="auto"/>
          <w:spacing w:val="6"/>
          <w:szCs w:val="21"/>
          <w:highlight w:val="none"/>
        </w:rPr>
        <w:t xml:space="preserve">  二、</w:t>
      </w:r>
      <w:r>
        <w:rPr>
          <w:rFonts w:ascii="仿宋" w:hAnsi="仿宋"/>
          <w:color w:val="auto"/>
          <w:kern w:val="0"/>
          <w:szCs w:val="21"/>
          <w:highlight w:val="none"/>
        </w:rPr>
        <w:t xml:space="preserve">现已清楚知道参加本项目采购活动的其他所有供应商名称，本单位 </w:t>
      </w:r>
      <w:r>
        <w:rPr>
          <w:rFonts w:ascii="宋体" w:hAnsi="宋体" w:cs="宋体"/>
          <w:color w:val="auto"/>
          <w:kern w:val="0"/>
          <w:szCs w:val="21"/>
          <w:highlight w:val="none"/>
        </w:rPr>
        <w:t>□与其他所有供应商之间均</w:t>
      </w:r>
      <w:r>
        <w:rPr>
          <w:rFonts w:ascii="仿宋" w:hAnsi="仿宋"/>
          <w:color w:val="auto"/>
          <w:kern w:val="0"/>
          <w:szCs w:val="21"/>
          <w:highlight w:val="none"/>
        </w:rPr>
        <w:t xml:space="preserve">不存在利害关系 </w:t>
      </w:r>
      <w:r>
        <w:rPr>
          <w:rFonts w:ascii="宋体" w:hAnsi="宋体" w:cs="宋体"/>
          <w:color w:val="auto"/>
          <w:kern w:val="0"/>
          <w:szCs w:val="21"/>
          <w:highlight w:val="none"/>
        </w:rPr>
        <w:t>□与</w:t>
      </w:r>
      <w:r>
        <w:rPr>
          <w:rFonts w:ascii="宋体" w:hAnsi="宋体" w:cs="宋体"/>
          <w:color w:val="auto"/>
          <w:kern w:val="0"/>
          <w:szCs w:val="21"/>
          <w:highlight w:val="none"/>
          <w:u w:val="single"/>
        </w:rPr>
        <w:t xml:space="preserve">           （供应商名称）</w:t>
      </w:r>
      <w:r>
        <w:rPr>
          <w:rFonts w:ascii="宋体" w:hAnsi="宋体" w:cs="宋体"/>
          <w:color w:val="auto"/>
          <w:kern w:val="0"/>
          <w:szCs w:val="21"/>
          <w:highlight w:val="none"/>
        </w:rPr>
        <w:t>之间</w:t>
      </w:r>
      <w:r>
        <w:rPr>
          <w:rFonts w:ascii="仿宋" w:hAnsi="仿宋"/>
          <w:color w:val="auto"/>
          <w:kern w:val="0"/>
          <w:szCs w:val="21"/>
          <w:highlight w:val="none"/>
        </w:rPr>
        <w:t>存在下列利害关系：</w:t>
      </w:r>
    </w:p>
    <w:p w14:paraId="0F15AA6F">
      <w:pPr>
        <w:pStyle w:val="100"/>
        <w:widowControl w:val="0"/>
        <w:adjustRightInd w:val="0"/>
        <w:snapToGrid w:val="0"/>
        <w:spacing w:line="360" w:lineRule="auto"/>
        <w:ind w:firstLine="200"/>
        <w:jc w:val="both"/>
        <w:rPr>
          <w:rFonts w:hint="default" w:ascii="仿宋" w:hAnsi="仿宋"/>
          <w:color w:val="auto"/>
          <w:kern w:val="0"/>
          <w:szCs w:val="21"/>
          <w:highlight w:val="none"/>
        </w:rPr>
      </w:pPr>
      <w:r>
        <w:rPr>
          <w:rFonts w:ascii="仿宋" w:hAnsi="仿宋"/>
          <w:color w:val="auto"/>
          <w:kern w:val="0"/>
          <w:szCs w:val="21"/>
          <w:highlight w:val="none"/>
        </w:rPr>
        <w:t xml:space="preserve">  A.法定代表人或负责人或实际控制人是同一人</w:t>
      </w:r>
    </w:p>
    <w:p w14:paraId="01DE59EF">
      <w:pPr>
        <w:pStyle w:val="100"/>
        <w:widowControl w:val="0"/>
        <w:adjustRightInd w:val="0"/>
        <w:snapToGrid w:val="0"/>
        <w:spacing w:line="360" w:lineRule="auto"/>
        <w:ind w:firstLine="200"/>
        <w:jc w:val="both"/>
        <w:rPr>
          <w:rFonts w:hint="default" w:ascii="仿宋" w:hAnsi="仿宋"/>
          <w:color w:val="auto"/>
          <w:spacing w:val="6"/>
          <w:szCs w:val="21"/>
          <w:highlight w:val="none"/>
        </w:rPr>
      </w:pPr>
      <w:r>
        <w:rPr>
          <w:rFonts w:ascii="仿宋" w:hAnsi="仿宋"/>
          <w:color w:val="auto"/>
          <w:kern w:val="0"/>
          <w:szCs w:val="21"/>
          <w:highlight w:val="none"/>
        </w:rPr>
        <w:t xml:space="preserve">  B.法定代表人或负责人或实际控制人是夫妻关系</w:t>
      </w:r>
    </w:p>
    <w:p w14:paraId="280A83D3">
      <w:pPr>
        <w:pStyle w:val="100"/>
        <w:widowControl w:val="0"/>
        <w:adjustRightInd w:val="0"/>
        <w:snapToGrid w:val="0"/>
        <w:spacing w:line="360" w:lineRule="auto"/>
        <w:ind w:firstLine="200"/>
        <w:jc w:val="both"/>
        <w:rPr>
          <w:rFonts w:hint="default" w:ascii="仿宋" w:hAnsi="仿宋"/>
          <w:color w:val="auto"/>
          <w:spacing w:val="6"/>
          <w:szCs w:val="21"/>
          <w:highlight w:val="none"/>
        </w:rPr>
      </w:pPr>
      <w:r>
        <w:rPr>
          <w:rFonts w:ascii="仿宋" w:hAnsi="仿宋"/>
          <w:color w:val="auto"/>
          <w:kern w:val="0"/>
          <w:szCs w:val="21"/>
          <w:highlight w:val="none"/>
        </w:rPr>
        <w:t xml:space="preserve">  C.法定代表人或负责人或实际控制人是直系血亲关系</w:t>
      </w:r>
    </w:p>
    <w:p w14:paraId="6DA7C2AE">
      <w:pPr>
        <w:pStyle w:val="100"/>
        <w:widowControl w:val="0"/>
        <w:adjustRightInd w:val="0"/>
        <w:snapToGrid w:val="0"/>
        <w:spacing w:line="360" w:lineRule="auto"/>
        <w:ind w:firstLine="200"/>
        <w:jc w:val="both"/>
        <w:rPr>
          <w:rFonts w:hint="default" w:ascii="仿宋" w:hAnsi="仿宋"/>
          <w:color w:val="auto"/>
          <w:spacing w:val="6"/>
          <w:szCs w:val="21"/>
          <w:highlight w:val="none"/>
        </w:rPr>
      </w:pPr>
      <w:r>
        <w:rPr>
          <w:rFonts w:ascii="仿宋" w:hAnsi="仿宋"/>
          <w:color w:val="auto"/>
          <w:kern w:val="0"/>
          <w:szCs w:val="21"/>
          <w:highlight w:val="none"/>
        </w:rPr>
        <w:t xml:space="preserve">  D.法定代表人或负责人或实际控制人存在三代以内旁系血亲关系</w:t>
      </w:r>
    </w:p>
    <w:p w14:paraId="2AB45EAF">
      <w:pPr>
        <w:pStyle w:val="100"/>
        <w:widowControl w:val="0"/>
        <w:adjustRightInd w:val="0"/>
        <w:snapToGrid w:val="0"/>
        <w:spacing w:line="360" w:lineRule="auto"/>
        <w:ind w:firstLine="200"/>
        <w:jc w:val="both"/>
        <w:rPr>
          <w:rFonts w:hint="default" w:ascii="仿宋" w:hAnsi="仿宋"/>
          <w:color w:val="auto"/>
          <w:kern w:val="0"/>
          <w:szCs w:val="21"/>
          <w:highlight w:val="none"/>
        </w:rPr>
      </w:pPr>
      <w:r>
        <w:rPr>
          <w:rFonts w:ascii="仿宋" w:hAnsi="仿宋"/>
          <w:color w:val="auto"/>
          <w:kern w:val="0"/>
          <w:szCs w:val="21"/>
          <w:highlight w:val="none"/>
        </w:rPr>
        <w:t xml:space="preserve">  E.法定代表人或负责人或实际控制人存在近姻亲关系</w:t>
      </w:r>
    </w:p>
    <w:p w14:paraId="2351C84E">
      <w:pPr>
        <w:pStyle w:val="100"/>
        <w:widowControl w:val="0"/>
        <w:adjustRightInd w:val="0"/>
        <w:snapToGrid w:val="0"/>
        <w:spacing w:line="360" w:lineRule="auto"/>
        <w:ind w:firstLine="200"/>
        <w:jc w:val="both"/>
        <w:rPr>
          <w:rFonts w:hint="default" w:ascii="仿宋" w:hAnsi="仿宋"/>
          <w:color w:val="auto"/>
          <w:kern w:val="0"/>
          <w:szCs w:val="21"/>
          <w:highlight w:val="none"/>
        </w:rPr>
      </w:pPr>
      <w:r>
        <w:rPr>
          <w:rFonts w:ascii="仿宋" w:hAnsi="仿宋"/>
          <w:color w:val="auto"/>
          <w:kern w:val="0"/>
          <w:szCs w:val="21"/>
          <w:highlight w:val="none"/>
        </w:rPr>
        <w:t xml:space="preserve">  F.法定代表人或负责人或实际控制人存在股份控制或实际控制关系</w:t>
      </w:r>
    </w:p>
    <w:p w14:paraId="5315376C">
      <w:pPr>
        <w:pStyle w:val="100"/>
        <w:widowControl w:val="0"/>
        <w:adjustRightInd w:val="0"/>
        <w:snapToGrid w:val="0"/>
        <w:spacing w:line="360" w:lineRule="auto"/>
        <w:ind w:firstLine="200"/>
        <w:jc w:val="both"/>
        <w:rPr>
          <w:rFonts w:hint="default" w:ascii="仿宋" w:hAnsi="仿宋"/>
          <w:color w:val="auto"/>
          <w:kern w:val="0"/>
          <w:szCs w:val="21"/>
          <w:highlight w:val="none"/>
        </w:rPr>
      </w:pPr>
      <w:r>
        <w:rPr>
          <w:rFonts w:ascii="仿宋" w:hAnsi="仿宋"/>
          <w:color w:val="auto"/>
          <w:kern w:val="0"/>
          <w:szCs w:val="21"/>
          <w:highlight w:val="none"/>
        </w:rPr>
        <w:t xml:space="preserve">  G.存在共同直接或间接投资设立子公司、联营企业和合营企业情况</w:t>
      </w:r>
    </w:p>
    <w:p w14:paraId="2C48A10E">
      <w:pPr>
        <w:pStyle w:val="100"/>
        <w:widowControl w:val="0"/>
        <w:adjustRightInd w:val="0"/>
        <w:snapToGrid w:val="0"/>
        <w:spacing w:line="360" w:lineRule="auto"/>
        <w:ind w:firstLine="200"/>
        <w:jc w:val="both"/>
        <w:rPr>
          <w:rFonts w:hint="default" w:ascii="仿宋" w:hAnsi="仿宋"/>
          <w:color w:val="auto"/>
          <w:szCs w:val="21"/>
          <w:highlight w:val="none"/>
        </w:rPr>
      </w:pPr>
      <w:r>
        <w:rPr>
          <w:rFonts w:ascii="仿宋" w:hAnsi="仿宋"/>
          <w:color w:val="auto"/>
          <w:kern w:val="0"/>
          <w:szCs w:val="21"/>
          <w:highlight w:val="none"/>
        </w:rPr>
        <w:t xml:space="preserve">  H.存在分级代理或代销关系、同一生产制造商关系、</w:t>
      </w:r>
      <w:r>
        <w:rPr>
          <w:rFonts w:ascii="仿宋" w:hAnsi="仿宋"/>
          <w:color w:val="auto"/>
          <w:szCs w:val="21"/>
          <w:highlight w:val="none"/>
        </w:rPr>
        <w:t>管理关系、重要业务（占主营业务收入50%以上）或重要财务往来关系（如融资）等其他实质性控制关系</w:t>
      </w:r>
    </w:p>
    <w:p w14:paraId="42C88903">
      <w:pPr>
        <w:spacing w:line="360" w:lineRule="auto"/>
        <w:ind w:firstLine="420" w:firstLineChars="200"/>
        <w:rPr>
          <w:rFonts w:ascii="宋体" w:hAnsi="宋体"/>
          <w:bCs/>
          <w:color w:val="auto"/>
          <w:szCs w:val="21"/>
          <w:highlight w:val="none"/>
        </w:rPr>
      </w:pPr>
      <w:bookmarkStart w:id="169" w:name="_Toc5810"/>
      <w:r>
        <w:rPr>
          <w:rFonts w:hint="eastAsia" w:ascii="宋体" w:hAnsi="宋体"/>
          <w:bCs/>
          <w:color w:val="auto"/>
          <w:szCs w:val="21"/>
          <w:highlight w:val="none"/>
        </w:rPr>
        <w:t>I.其他利害关系情况。</w:t>
      </w:r>
      <w:bookmarkEnd w:id="169"/>
    </w:p>
    <w:p w14:paraId="57520B84">
      <w:pPr>
        <w:pStyle w:val="83"/>
        <w:widowControl/>
        <w:numPr>
          <w:ilvl w:val="0"/>
          <w:numId w:val="20"/>
        </w:numPr>
        <w:adjustRightInd w:val="0"/>
        <w:snapToGrid w:val="0"/>
        <w:spacing w:line="360" w:lineRule="auto"/>
        <w:ind w:firstLine="396" w:firstLineChars="189"/>
        <w:rPr>
          <w:rFonts w:hint="default" w:ascii="仿宋" w:hAnsi="仿宋"/>
          <w:color w:val="auto"/>
          <w:kern w:val="0"/>
          <w:szCs w:val="21"/>
          <w:highlight w:val="none"/>
        </w:rPr>
      </w:pPr>
      <w:r>
        <w:rPr>
          <w:rFonts w:ascii="仿宋" w:hAnsi="仿宋"/>
          <w:color w:val="auto"/>
          <w:szCs w:val="21"/>
          <w:highlight w:val="none"/>
        </w:rPr>
        <w:t>现已清楚知道并</w:t>
      </w:r>
      <w:r>
        <w:rPr>
          <w:rFonts w:ascii="仿宋" w:hAnsi="仿宋"/>
          <w:color w:val="auto"/>
          <w:kern w:val="0"/>
          <w:szCs w:val="21"/>
          <w:highlight w:val="none"/>
        </w:rPr>
        <w:t>严格遵守政府采购法律法规和现场纪律。</w:t>
      </w:r>
    </w:p>
    <w:p w14:paraId="0BAB9C64">
      <w:pPr>
        <w:pStyle w:val="83"/>
        <w:widowControl/>
        <w:numPr>
          <w:ilvl w:val="0"/>
          <w:numId w:val="20"/>
        </w:numPr>
        <w:adjustRightInd w:val="0"/>
        <w:snapToGrid w:val="0"/>
        <w:spacing w:line="360" w:lineRule="auto"/>
        <w:ind w:firstLine="396" w:firstLineChars="189"/>
        <w:rPr>
          <w:rFonts w:hint="default" w:ascii="仿宋" w:hAnsi="仿宋"/>
          <w:color w:val="auto"/>
          <w:kern w:val="0"/>
          <w:szCs w:val="21"/>
          <w:highlight w:val="none"/>
        </w:rPr>
      </w:pPr>
      <w:r>
        <w:rPr>
          <w:rFonts w:ascii="仿宋" w:hAnsi="仿宋"/>
          <w:color w:val="auto"/>
          <w:kern w:val="0"/>
          <w:szCs w:val="21"/>
          <w:highlight w:val="none"/>
        </w:rPr>
        <w:t>我发现供应商之间存在或可能存在上述第二条第项利害关系。</w:t>
      </w:r>
    </w:p>
    <w:p w14:paraId="2C0E78F4">
      <w:pPr>
        <w:pStyle w:val="83"/>
        <w:widowControl/>
        <w:adjustRightInd w:val="0"/>
        <w:snapToGrid w:val="0"/>
        <w:spacing w:line="360" w:lineRule="auto"/>
        <w:rPr>
          <w:rFonts w:hint="default" w:ascii="仿宋" w:hAnsi="仿宋"/>
          <w:color w:val="auto"/>
          <w:kern w:val="0"/>
          <w:szCs w:val="21"/>
          <w:highlight w:val="none"/>
        </w:rPr>
      </w:pPr>
    </w:p>
    <w:p w14:paraId="57B54D83">
      <w:pPr>
        <w:pStyle w:val="83"/>
        <w:widowControl/>
        <w:adjustRightInd w:val="0"/>
        <w:snapToGrid w:val="0"/>
        <w:spacing w:line="360" w:lineRule="auto"/>
        <w:rPr>
          <w:rFonts w:hint="default" w:ascii="仿宋" w:hAnsi="仿宋"/>
          <w:color w:val="auto"/>
          <w:kern w:val="0"/>
          <w:szCs w:val="21"/>
          <w:highlight w:val="none"/>
        </w:rPr>
      </w:pPr>
    </w:p>
    <w:p w14:paraId="21B78572">
      <w:pPr>
        <w:pStyle w:val="100"/>
        <w:widowControl w:val="0"/>
        <w:adjustRightInd w:val="0"/>
        <w:snapToGrid w:val="0"/>
        <w:spacing w:line="360" w:lineRule="auto"/>
        <w:ind w:firstLine="420" w:firstLineChars="200"/>
        <w:jc w:val="both"/>
        <w:rPr>
          <w:rFonts w:hint="default" w:ascii="仿宋" w:hAnsi="仿宋"/>
          <w:color w:val="auto"/>
          <w:szCs w:val="21"/>
          <w:highlight w:val="none"/>
        </w:rPr>
      </w:pPr>
      <w:r>
        <w:rPr>
          <w:rFonts w:ascii="仿宋" w:hAnsi="仿宋"/>
          <w:color w:val="auto"/>
          <w:szCs w:val="21"/>
          <w:highlight w:val="none"/>
        </w:rPr>
        <w:t xml:space="preserve">                                （供应商代表签名）</w:t>
      </w:r>
    </w:p>
    <w:p w14:paraId="70B58048">
      <w:pPr>
        <w:adjustRightInd w:val="0"/>
        <w:snapToGrid w:val="0"/>
        <w:spacing w:line="360" w:lineRule="auto"/>
        <w:ind w:right="420"/>
        <w:jc w:val="center"/>
        <w:rPr>
          <w:color w:val="auto"/>
          <w:szCs w:val="21"/>
          <w:highlight w:val="none"/>
        </w:rPr>
      </w:pPr>
      <w:r>
        <w:rPr>
          <w:rFonts w:hint="eastAsia"/>
          <w:color w:val="auto"/>
          <w:szCs w:val="21"/>
          <w:highlight w:val="none"/>
        </w:rPr>
        <w:t xml:space="preserve"> </w:t>
      </w:r>
      <w:r>
        <w:rPr>
          <w:color w:val="auto"/>
          <w:szCs w:val="21"/>
          <w:highlight w:val="none"/>
        </w:rPr>
        <w:t xml:space="preserve">                                                     年</w:t>
      </w:r>
      <w:r>
        <w:rPr>
          <w:rFonts w:hint="eastAsia"/>
          <w:color w:val="auto"/>
          <w:szCs w:val="21"/>
          <w:highlight w:val="none"/>
        </w:rPr>
        <w:t xml:space="preserve"> </w:t>
      </w:r>
      <w:r>
        <w:rPr>
          <w:color w:val="auto"/>
          <w:szCs w:val="21"/>
          <w:highlight w:val="none"/>
        </w:rPr>
        <w:t xml:space="preserve">  月</w:t>
      </w:r>
      <w:r>
        <w:rPr>
          <w:rFonts w:hint="eastAsia"/>
          <w:color w:val="auto"/>
          <w:szCs w:val="21"/>
          <w:highlight w:val="none"/>
        </w:rPr>
        <w:t xml:space="preserve"> </w:t>
      </w:r>
      <w:r>
        <w:rPr>
          <w:color w:val="auto"/>
          <w:szCs w:val="21"/>
          <w:highlight w:val="none"/>
        </w:rPr>
        <w:t xml:space="preserve">  日</w:t>
      </w:r>
    </w:p>
    <w:p w14:paraId="699CAA50">
      <w:pPr>
        <w:spacing w:line="360" w:lineRule="auto"/>
        <w:rPr>
          <w:rFonts w:ascii="宋体" w:hAnsi="宋体" w:cs="宋体"/>
          <w:color w:val="auto"/>
          <w:szCs w:val="21"/>
          <w:highlight w:val="none"/>
        </w:rPr>
      </w:pPr>
    </w:p>
    <w:p w14:paraId="6CF95210">
      <w:pPr>
        <w:adjustRightInd w:val="0"/>
        <w:snapToGrid w:val="0"/>
        <w:spacing w:line="360" w:lineRule="auto"/>
        <w:jc w:val="right"/>
        <w:rPr>
          <w:color w:val="auto"/>
          <w:szCs w:val="21"/>
          <w:highlight w:val="none"/>
        </w:rPr>
      </w:pPr>
    </w:p>
    <w:p w14:paraId="620E2371">
      <w:pPr>
        <w:spacing w:line="360" w:lineRule="auto"/>
        <w:rPr>
          <w:rFonts w:ascii="宋体" w:hAnsi="宋体" w:cs="宋体"/>
          <w:color w:val="auto"/>
          <w:szCs w:val="21"/>
          <w:highlight w:val="none"/>
        </w:rPr>
      </w:pPr>
    </w:p>
    <w:p w14:paraId="34768BB7">
      <w:pPr>
        <w:spacing w:line="360" w:lineRule="auto"/>
        <w:jc w:val="center"/>
        <w:rPr>
          <w:rFonts w:ascii="宋体" w:hAnsi="宋体" w:cs="宋体"/>
          <w:color w:val="auto"/>
          <w:sz w:val="30"/>
          <w:szCs w:val="30"/>
          <w:highlight w:val="none"/>
        </w:rPr>
      </w:pPr>
    </w:p>
    <w:p w14:paraId="00B854CC">
      <w:pPr>
        <w:rPr>
          <w:rFonts w:ascii="宋体" w:hAnsi="宋体"/>
          <w:color w:val="auto"/>
          <w:szCs w:val="21"/>
          <w:highlight w:val="none"/>
        </w:rPr>
      </w:pPr>
    </w:p>
    <w:p w14:paraId="0AAB801F">
      <w:pPr>
        <w:pStyle w:val="2"/>
        <w:rPr>
          <w:rFonts w:ascii="宋体" w:hAnsi="宋体"/>
          <w:color w:val="auto"/>
          <w:szCs w:val="21"/>
          <w:highlight w:val="none"/>
        </w:rPr>
      </w:pPr>
    </w:p>
    <w:p w14:paraId="02CAB28B">
      <w:pPr>
        <w:pStyle w:val="2"/>
        <w:rPr>
          <w:rFonts w:ascii="宋体" w:hAnsi="宋体"/>
          <w:color w:val="auto"/>
          <w:szCs w:val="21"/>
          <w:highlight w:val="none"/>
        </w:rPr>
      </w:pPr>
      <w:r>
        <w:rPr>
          <w:rStyle w:val="45"/>
        </w:rPr>
        <w:br w:type="page"/>
      </w:r>
    </w:p>
    <w:sectPr>
      <w:pgSz w:w="11906" w:h="16838"/>
      <w:pgMar w:top="1247" w:right="1588" w:bottom="1089"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onsolas">
    <w:panose1 w:val="020B0609020204030204"/>
    <w:charset w:val="00"/>
    <w:family w:val="modern"/>
    <w:pitch w:val="default"/>
    <w:sig w:usb0="E00006FF" w:usb1="0000FCFF" w:usb2="00000001" w:usb3="00000000" w:csb0="6000019F" w:csb1="DFD7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altName w:val="方正舒体"/>
    <w:panose1 w:val="02000000000000000000"/>
    <w:charset w:val="86"/>
    <w:family w:val="auto"/>
    <w:pitch w:val="default"/>
    <w:sig w:usb0="00000000" w:usb1="00000000" w:usb2="00000012"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237B1">
    <w:pPr>
      <w:pStyle w:val="29"/>
      <w:tabs>
        <w:tab w:val="clear" w:pos="4153"/>
        <w:tab w:val="clear" w:pos="8306"/>
      </w:tabs>
      <w:jc w:val="center"/>
    </w:pPr>
    <w:r>
      <w:fldChar w:fldCharType="begin"/>
    </w:r>
    <w:r>
      <w:rPr>
        <w:rStyle w:val="47"/>
      </w:rPr>
      <w:instrText xml:space="preserve"> PAGE </w:instrText>
    </w:r>
    <w:r>
      <w:fldChar w:fldCharType="separate"/>
    </w:r>
    <w:r>
      <w:rPr>
        <w:rStyle w:val="47"/>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97B6F">
    <w:pPr>
      <w:pStyle w:val="29"/>
      <w:framePr w:wrap="around" w:vAnchor="text" w:hAnchor="margin" w:xAlign="center" w:y="1"/>
      <w:rPr>
        <w:rStyle w:val="47"/>
      </w:rPr>
    </w:pPr>
    <w:r>
      <w:fldChar w:fldCharType="begin"/>
    </w:r>
    <w:r>
      <w:rPr>
        <w:rStyle w:val="47"/>
      </w:rPr>
      <w:instrText xml:space="preserve">PAGE  </w:instrText>
    </w:r>
    <w:r>
      <w:fldChar w:fldCharType="end"/>
    </w:r>
  </w:p>
  <w:p w14:paraId="09E62CD8">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7F2F7">
    <w:pPr>
      <w:pStyle w:val="30"/>
      <w:pBdr>
        <w:bottom w:val="single" w:color="auto" w:sz="6" w:space="0"/>
      </w:pBdr>
      <w:jc w:val="right"/>
      <w:rPr>
        <w:rFonts w:ascii="宋体" w:hAnsi="宋体" w:cs="宋体"/>
      </w:rPr>
    </w:pPr>
    <w:r>
      <w:rPr>
        <w:rFonts w:hint="eastAsia" w:ascii="宋体" w:hAnsi="宋体" w:cs="Arial"/>
        <w:szCs w:val="21"/>
        <w:lang w:eastAsia="zh-CN"/>
      </w:rPr>
      <w:t>乌鲁木齐市城市规划馆展陈更新服务项目</w:t>
    </w:r>
    <w:r>
      <w:rPr>
        <w:rFonts w:hint="eastAsia" w:ascii="宋体" w:hAnsi="宋体" w:cs="Arial"/>
        <w:szCs w:val="21"/>
      </w:rPr>
      <w:t>项目</w:t>
    </w:r>
    <w:r>
      <w:rPr>
        <w:rFonts w:hint="eastAsia" w:ascii="宋体" w:hAnsi="宋体" w:cs="宋体"/>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3C9365"/>
    <w:multiLevelType w:val="multilevel"/>
    <w:tmpl w:val="C13C9365"/>
    <w:lvl w:ilvl="0" w:tentative="0">
      <w:start w:val="1"/>
      <w:numFmt w:val="decimal"/>
      <w:lvlText w:val="（%1）"/>
      <w:lvlJc w:val="left"/>
      <w:pPr>
        <w:tabs>
          <w:tab w:val="left" w:pos="937"/>
        </w:tabs>
        <w:ind w:left="926" w:hanging="50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C58C3928"/>
    <w:multiLevelType w:val="singleLevel"/>
    <w:tmpl w:val="C58C3928"/>
    <w:lvl w:ilvl="0" w:tentative="0">
      <w:start w:val="1"/>
      <w:numFmt w:val="decimalEnclosedCircleChinese"/>
      <w:suff w:val="nothing"/>
      <w:lvlText w:val="%1　"/>
      <w:lvlJc w:val="left"/>
      <w:pPr>
        <w:ind w:left="0" w:firstLine="400"/>
      </w:pPr>
      <w:rPr>
        <w:rFonts w:hint="eastAsia"/>
      </w:rPr>
    </w:lvl>
  </w:abstractNum>
  <w:abstractNum w:abstractNumId="2">
    <w:nsid w:val="E595AE59"/>
    <w:multiLevelType w:val="singleLevel"/>
    <w:tmpl w:val="E595AE59"/>
    <w:lvl w:ilvl="0" w:tentative="0">
      <w:start w:val="1"/>
      <w:numFmt w:val="decimalEnclosedCircleChinese"/>
      <w:suff w:val="nothing"/>
      <w:lvlText w:val="%1　"/>
      <w:lvlJc w:val="left"/>
      <w:pPr>
        <w:ind w:left="0" w:firstLine="400"/>
      </w:pPr>
      <w:rPr>
        <w:rFonts w:hint="eastAsia"/>
      </w:rPr>
    </w:lvl>
  </w:abstractNum>
  <w:abstractNum w:abstractNumId="3">
    <w:nsid w:val="00000001"/>
    <w:multiLevelType w:val="singleLevel"/>
    <w:tmpl w:val="00000001"/>
    <w:lvl w:ilvl="0" w:tentative="0">
      <w:start w:val="1"/>
      <w:numFmt w:val="decimal"/>
      <w:suff w:val="nothing"/>
      <w:lvlText w:val="（%1）"/>
      <w:lvlJc w:val="left"/>
    </w:lvl>
  </w:abstractNum>
  <w:abstractNum w:abstractNumId="4">
    <w:nsid w:val="00000002"/>
    <w:multiLevelType w:val="singleLevel"/>
    <w:tmpl w:val="00000002"/>
    <w:lvl w:ilvl="0" w:tentative="0">
      <w:start w:val="1"/>
      <w:numFmt w:val="decimal"/>
      <w:lvlText w:val="%1."/>
      <w:lvlJc w:val="left"/>
      <w:pPr>
        <w:tabs>
          <w:tab w:val="left" w:pos="312"/>
        </w:tabs>
      </w:pPr>
    </w:lvl>
  </w:abstractNum>
  <w:abstractNum w:abstractNumId="5">
    <w:nsid w:val="00000003"/>
    <w:multiLevelType w:val="singleLevel"/>
    <w:tmpl w:val="00000003"/>
    <w:lvl w:ilvl="0" w:tentative="0">
      <w:start w:val="1"/>
      <w:numFmt w:val="decimalEnclosedCircleChinese"/>
      <w:suff w:val="nothing"/>
      <w:lvlText w:val="%1　"/>
      <w:lvlJc w:val="left"/>
      <w:pPr>
        <w:ind w:left="0" w:firstLine="400"/>
      </w:pPr>
      <w:rPr>
        <w:rFonts w:hint="eastAsia"/>
      </w:rPr>
    </w:lvl>
  </w:abstractNum>
  <w:abstractNum w:abstractNumId="6">
    <w:nsid w:val="00000006"/>
    <w:multiLevelType w:val="singleLevel"/>
    <w:tmpl w:val="00000006"/>
    <w:lvl w:ilvl="0" w:tentative="0">
      <w:start w:val="1"/>
      <w:numFmt w:val="decimal"/>
      <w:lvlText w:val="(%1)"/>
      <w:lvlJc w:val="left"/>
      <w:pPr>
        <w:ind w:left="425" w:hanging="425"/>
      </w:pPr>
      <w:rPr>
        <w:rFonts w:hint="default"/>
      </w:rPr>
    </w:lvl>
  </w:abstractNum>
  <w:abstractNum w:abstractNumId="7">
    <w:nsid w:val="00000007"/>
    <w:multiLevelType w:val="singleLevel"/>
    <w:tmpl w:val="00000007"/>
    <w:lvl w:ilvl="0" w:tentative="0">
      <w:start w:val="1"/>
      <w:numFmt w:val="decimalEnclosedCircleChinese"/>
      <w:suff w:val="nothing"/>
      <w:lvlText w:val="%1　"/>
      <w:lvlJc w:val="left"/>
      <w:pPr>
        <w:ind w:left="0" w:firstLine="400"/>
      </w:pPr>
      <w:rPr>
        <w:rFonts w:hint="eastAsia"/>
      </w:rPr>
    </w:lvl>
  </w:abstractNum>
  <w:abstractNum w:abstractNumId="8">
    <w:nsid w:val="00000009"/>
    <w:multiLevelType w:val="singleLevel"/>
    <w:tmpl w:val="00000009"/>
    <w:lvl w:ilvl="0" w:tentative="0">
      <w:start w:val="1"/>
      <w:numFmt w:val="decimalEnclosedCircleChinese"/>
      <w:suff w:val="nothing"/>
      <w:lvlText w:val="%1　"/>
      <w:lvlJc w:val="left"/>
      <w:pPr>
        <w:ind w:left="0" w:firstLine="400"/>
      </w:pPr>
      <w:rPr>
        <w:rFonts w:hint="eastAsia"/>
      </w:rPr>
    </w:lvl>
  </w:abstractNum>
  <w:abstractNum w:abstractNumId="9">
    <w:nsid w:val="0000000A"/>
    <w:multiLevelType w:val="singleLevel"/>
    <w:tmpl w:val="0000000A"/>
    <w:lvl w:ilvl="0" w:tentative="0">
      <w:start w:val="1"/>
      <w:numFmt w:val="decimalEnclosedCircleChinese"/>
      <w:suff w:val="nothing"/>
      <w:lvlText w:val="%1　"/>
      <w:lvlJc w:val="left"/>
      <w:pPr>
        <w:ind w:left="0" w:firstLine="400"/>
      </w:pPr>
      <w:rPr>
        <w:rFonts w:hint="eastAsia"/>
      </w:rPr>
    </w:lvl>
  </w:abstractNum>
  <w:abstractNum w:abstractNumId="10">
    <w:nsid w:val="0000000B"/>
    <w:multiLevelType w:val="singleLevel"/>
    <w:tmpl w:val="0000000B"/>
    <w:lvl w:ilvl="0" w:tentative="0">
      <w:start w:val="1"/>
      <w:numFmt w:val="lowerLetter"/>
      <w:lvlText w:val="%1."/>
      <w:lvlJc w:val="left"/>
      <w:pPr>
        <w:ind w:left="425" w:hanging="425"/>
      </w:pPr>
      <w:rPr>
        <w:rFonts w:hint="default"/>
      </w:rPr>
    </w:lvl>
  </w:abstractNum>
  <w:abstractNum w:abstractNumId="11">
    <w:nsid w:val="0000000C"/>
    <w:multiLevelType w:val="multilevel"/>
    <w:tmpl w:val="0000000C"/>
    <w:lvl w:ilvl="0" w:tentative="0">
      <w:start w:val="1"/>
      <w:numFmt w:val="decimal"/>
      <w:lvlText w:val="（%1）"/>
      <w:lvlJc w:val="left"/>
      <w:pPr>
        <w:tabs>
          <w:tab w:val="left" w:pos="937"/>
        </w:tabs>
        <w:ind w:left="926" w:hanging="50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0E"/>
    <w:multiLevelType w:val="multilevel"/>
    <w:tmpl w:val="0000000E"/>
    <w:lvl w:ilvl="0" w:tentative="0">
      <w:start w:val="1"/>
      <w:numFmt w:val="decimal"/>
      <w:lvlText w:val="（%1）"/>
      <w:lvlJc w:val="left"/>
      <w:pPr>
        <w:tabs>
          <w:tab w:val="left" w:pos="1273"/>
        </w:tabs>
        <w:ind w:left="1262" w:hanging="500"/>
      </w:pPr>
      <w:rPr>
        <w:rFonts w:hint="eastAsia"/>
      </w:rPr>
    </w:lvl>
    <w:lvl w:ilvl="1" w:tentative="0">
      <w:start w:val="1"/>
      <w:numFmt w:val="japaneseCounting"/>
      <w:lvlText w:val="（%2）"/>
      <w:lvlJc w:val="left"/>
      <w:pPr>
        <w:ind w:left="1562" w:hanging="720"/>
      </w:pPr>
      <w:rPr>
        <w:rFonts w:hint="default"/>
      </w:r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13">
    <w:nsid w:val="0000000F"/>
    <w:multiLevelType w:val="singleLevel"/>
    <w:tmpl w:val="0000000F"/>
    <w:lvl w:ilvl="0" w:tentative="0">
      <w:start w:val="13"/>
      <w:numFmt w:val="decimal"/>
      <w:suff w:val="nothing"/>
      <w:lvlText w:val="%1．"/>
      <w:lvlJc w:val="left"/>
    </w:lvl>
  </w:abstractNum>
  <w:abstractNum w:abstractNumId="14">
    <w:nsid w:val="00000015"/>
    <w:multiLevelType w:val="singleLevel"/>
    <w:tmpl w:val="00000015"/>
    <w:lvl w:ilvl="0" w:tentative="0">
      <w:start w:val="1"/>
      <w:numFmt w:val="lowerLetter"/>
      <w:lvlText w:val="%1."/>
      <w:lvlJc w:val="left"/>
      <w:pPr>
        <w:ind w:left="425" w:hanging="425"/>
      </w:pPr>
      <w:rPr>
        <w:rFonts w:hint="default"/>
      </w:rPr>
    </w:lvl>
  </w:abstractNum>
  <w:abstractNum w:abstractNumId="15">
    <w:nsid w:val="00000016"/>
    <w:multiLevelType w:val="singleLevel"/>
    <w:tmpl w:val="00000016"/>
    <w:lvl w:ilvl="0" w:tentative="0">
      <w:start w:val="1"/>
      <w:numFmt w:val="decimal"/>
      <w:lvlText w:val="%1)"/>
      <w:lvlJc w:val="left"/>
      <w:pPr>
        <w:ind w:left="425" w:hanging="425"/>
      </w:pPr>
      <w:rPr>
        <w:rFonts w:hint="default"/>
      </w:rPr>
    </w:lvl>
  </w:abstractNum>
  <w:abstractNum w:abstractNumId="16">
    <w:nsid w:val="00000018"/>
    <w:multiLevelType w:val="multilevel"/>
    <w:tmpl w:val="00000018"/>
    <w:lvl w:ilvl="0" w:tentative="0">
      <w:start w:val="1"/>
      <w:numFmt w:val="decimal"/>
      <w:lvlText w:val="（%1）"/>
      <w:lvlJc w:val="left"/>
      <w:pPr>
        <w:ind w:left="1249" w:hanging="420"/>
      </w:pPr>
      <w:rPr>
        <w:rFonts w:hint="eastAsia"/>
      </w:rPr>
    </w:lvl>
    <w:lvl w:ilvl="1" w:tentative="0">
      <w:start w:val="1"/>
      <w:numFmt w:val="decimal"/>
      <w:lvlText w:val="（%2）"/>
      <w:lvlJc w:val="left"/>
      <w:pPr>
        <w:ind w:left="3398" w:hanging="420"/>
      </w:pPr>
      <w:rPr>
        <w:rFonts w:hint="eastAsia"/>
      </w:rPr>
    </w:lvl>
    <w:lvl w:ilvl="2" w:tentative="0">
      <w:start w:val="1"/>
      <w:numFmt w:val="lowerRoman"/>
      <w:lvlText w:val="%3."/>
      <w:lvlJc w:val="right"/>
      <w:pPr>
        <w:ind w:left="2089" w:hanging="420"/>
      </w:pPr>
    </w:lvl>
    <w:lvl w:ilvl="3" w:tentative="0">
      <w:start w:val="1"/>
      <w:numFmt w:val="decimal"/>
      <w:lvlText w:val="%4."/>
      <w:lvlJc w:val="left"/>
      <w:pPr>
        <w:ind w:left="2509" w:hanging="420"/>
      </w:pPr>
    </w:lvl>
    <w:lvl w:ilvl="4" w:tentative="0">
      <w:start w:val="1"/>
      <w:numFmt w:val="lowerLetter"/>
      <w:lvlText w:val="%5)"/>
      <w:lvlJc w:val="left"/>
      <w:pPr>
        <w:ind w:left="2929" w:hanging="420"/>
      </w:pPr>
    </w:lvl>
    <w:lvl w:ilvl="5" w:tentative="0">
      <w:start w:val="1"/>
      <w:numFmt w:val="lowerRoman"/>
      <w:lvlText w:val="%6."/>
      <w:lvlJc w:val="right"/>
      <w:pPr>
        <w:ind w:left="3349" w:hanging="420"/>
      </w:pPr>
    </w:lvl>
    <w:lvl w:ilvl="6" w:tentative="0">
      <w:start w:val="1"/>
      <w:numFmt w:val="decimal"/>
      <w:lvlText w:val="%7."/>
      <w:lvlJc w:val="left"/>
      <w:pPr>
        <w:ind w:left="3769" w:hanging="420"/>
      </w:pPr>
    </w:lvl>
    <w:lvl w:ilvl="7" w:tentative="0">
      <w:start w:val="1"/>
      <w:numFmt w:val="lowerLetter"/>
      <w:lvlText w:val="%8)"/>
      <w:lvlJc w:val="left"/>
      <w:pPr>
        <w:ind w:left="4189" w:hanging="420"/>
      </w:pPr>
    </w:lvl>
    <w:lvl w:ilvl="8" w:tentative="0">
      <w:start w:val="1"/>
      <w:numFmt w:val="lowerRoman"/>
      <w:lvlText w:val="%9."/>
      <w:lvlJc w:val="right"/>
      <w:pPr>
        <w:ind w:left="4609" w:hanging="420"/>
      </w:pPr>
    </w:lvl>
  </w:abstractNum>
  <w:abstractNum w:abstractNumId="17">
    <w:nsid w:val="54F403B5"/>
    <w:multiLevelType w:val="singleLevel"/>
    <w:tmpl w:val="54F403B5"/>
    <w:lvl w:ilvl="0" w:tentative="0">
      <w:start w:val="1"/>
      <w:numFmt w:val="chineseCounting"/>
      <w:suff w:val="nothing"/>
      <w:lvlText w:val="%1、"/>
      <w:lvlJc w:val="left"/>
    </w:lvl>
  </w:abstractNum>
  <w:abstractNum w:abstractNumId="18">
    <w:nsid w:val="557FD3DA"/>
    <w:multiLevelType w:val="singleLevel"/>
    <w:tmpl w:val="557FD3DA"/>
    <w:lvl w:ilvl="0" w:tentative="0">
      <w:start w:val="3"/>
      <w:numFmt w:val="chineseCounting"/>
      <w:suff w:val="nothing"/>
      <w:lvlText w:val="%1、"/>
      <w:lvlJc w:val="left"/>
    </w:lvl>
  </w:abstractNum>
  <w:abstractNum w:abstractNumId="19">
    <w:nsid w:val="69077442"/>
    <w:multiLevelType w:val="singleLevel"/>
    <w:tmpl w:val="69077442"/>
    <w:lvl w:ilvl="0" w:tentative="0">
      <w:start w:val="6"/>
      <w:numFmt w:val="decimal"/>
      <w:suff w:val="space"/>
      <w:lvlText w:val="%1."/>
      <w:lvlJc w:val="left"/>
    </w:lvl>
  </w:abstractNum>
  <w:num w:numId="1">
    <w:abstractNumId w:val="4"/>
  </w:num>
  <w:num w:numId="2">
    <w:abstractNumId w:val="14"/>
  </w:num>
  <w:num w:numId="3">
    <w:abstractNumId w:val="1"/>
  </w:num>
  <w:num w:numId="4">
    <w:abstractNumId w:val="7"/>
  </w:num>
  <w:num w:numId="5">
    <w:abstractNumId w:val="15"/>
  </w:num>
  <w:num w:numId="6">
    <w:abstractNumId w:val="5"/>
  </w:num>
  <w:num w:numId="7">
    <w:abstractNumId w:val="11"/>
  </w:num>
  <w:num w:numId="8">
    <w:abstractNumId w:val="0"/>
  </w:num>
  <w:num w:numId="9">
    <w:abstractNumId w:val="13"/>
  </w:num>
  <w:num w:numId="10">
    <w:abstractNumId w:val="3"/>
  </w:num>
  <w:num w:numId="11">
    <w:abstractNumId w:val="6"/>
  </w:num>
  <w:num w:numId="12">
    <w:abstractNumId w:val="12"/>
  </w:num>
  <w:num w:numId="13">
    <w:abstractNumId w:val="19"/>
  </w:num>
  <w:num w:numId="14">
    <w:abstractNumId w:val="16"/>
  </w:num>
  <w:num w:numId="15">
    <w:abstractNumId w:val="10"/>
  </w:num>
  <w:num w:numId="16">
    <w:abstractNumId w:val="8"/>
  </w:num>
  <w:num w:numId="17">
    <w:abstractNumId w:val="9"/>
  </w:num>
  <w:num w:numId="18">
    <w:abstractNumId w:val="2"/>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A4E"/>
    <w:rsid w:val="00014C8A"/>
    <w:rsid w:val="000160CF"/>
    <w:rsid w:val="00034743"/>
    <w:rsid w:val="00037017"/>
    <w:rsid w:val="00042E4C"/>
    <w:rsid w:val="000543EA"/>
    <w:rsid w:val="000576DD"/>
    <w:rsid w:val="00063038"/>
    <w:rsid w:val="000760E4"/>
    <w:rsid w:val="00084DF1"/>
    <w:rsid w:val="00092161"/>
    <w:rsid w:val="00096CC9"/>
    <w:rsid w:val="000A0A4E"/>
    <w:rsid w:val="000B0FB9"/>
    <w:rsid w:val="000B41B8"/>
    <w:rsid w:val="000C09A2"/>
    <w:rsid w:val="000D0070"/>
    <w:rsid w:val="000D51A6"/>
    <w:rsid w:val="000E0D47"/>
    <w:rsid w:val="00100D91"/>
    <w:rsid w:val="00105F9A"/>
    <w:rsid w:val="00113CF9"/>
    <w:rsid w:val="00116EDC"/>
    <w:rsid w:val="00121129"/>
    <w:rsid w:val="00126D88"/>
    <w:rsid w:val="001433C8"/>
    <w:rsid w:val="00143A7F"/>
    <w:rsid w:val="00167146"/>
    <w:rsid w:val="00183975"/>
    <w:rsid w:val="001C2A6E"/>
    <w:rsid w:val="001D79A6"/>
    <w:rsid w:val="001F7EB2"/>
    <w:rsid w:val="00201146"/>
    <w:rsid w:val="00227546"/>
    <w:rsid w:val="00230531"/>
    <w:rsid w:val="00233A2C"/>
    <w:rsid w:val="00245C9F"/>
    <w:rsid w:val="0024618A"/>
    <w:rsid w:val="0025656A"/>
    <w:rsid w:val="00260FA0"/>
    <w:rsid w:val="00275DCB"/>
    <w:rsid w:val="00291784"/>
    <w:rsid w:val="002B0612"/>
    <w:rsid w:val="002B18E6"/>
    <w:rsid w:val="002B1F62"/>
    <w:rsid w:val="002E3134"/>
    <w:rsid w:val="002E3330"/>
    <w:rsid w:val="002E6ABC"/>
    <w:rsid w:val="002F692B"/>
    <w:rsid w:val="00312293"/>
    <w:rsid w:val="00316524"/>
    <w:rsid w:val="00321610"/>
    <w:rsid w:val="00331B06"/>
    <w:rsid w:val="00350405"/>
    <w:rsid w:val="00363528"/>
    <w:rsid w:val="00363B5C"/>
    <w:rsid w:val="003718BE"/>
    <w:rsid w:val="003745E3"/>
    <w:rsid w:val="00380906"/>
    <w:rsid w:val="00397089"/>
    <w:rsid w:val="003B2531"/>
    <w:rsid w:val="003C34DC"/>
    <w:rsid w:val="003E2371"/>
    <w:rsid w:val="003F01E9"/>
    <w:rsid w:val="003F13B4"/>
    <w:rsid w:val="003F3143"/>
    <w:rsid w:val="003F6BEF"/>
    <w:rsid w:val="00415236"/>
    <w:rsid w:val="00425584"/>
    <w:rsid w:val="004365B9"/>
    <w:rsid w:val="004635DE"/>
    <w:rsid w:val="0047461C"/>
    <w:rsid w:val="00480196"/>
    <w:rsid w:val="004A466E"/>
    <w:rsid w:val="004A67D8"/>
    <w:rsid w:val="004B4BE3"/>
    <w:rsid w:val="004F0BF5"/>
    <w:rsid w:val="004F67DA"/>
    <w:rsid w:val="00520827"/>
    <w:rsid w:val="00521AEB"/>
    <w:rsid w:val="00531CCE"/>
    <w:rsid w:val="00571A7F"/>
    <w:rsid w:val="005836B2"/>
    <w:rsid w:val="00587CDA"/>
    <w:rsid w:val="005906D7"/>
    <w:rsid w:val="00592F2D"/>
    <w:rsid w:val="00596FE2"/>
    <w:rsid w:val="005D13DB"/>
    <w:rsid w:val="005D6239"/>
    <w:rsid w:val="005D7CCA"/>
    <w:rsid w:val="005F408C"/>
    <w:rsid w:val="00616C8B"/>
    <w:rsid w:val="00647507"/>
    <w:rsid w:val="00651B12"/>
    <w:rsid w:val="00656DAB"/>
    <w:rsid w:val="006611C5"/>
    <w:rsid w:val="00670533"/>
    <w:rsid w:val="00671C87"/>
    <w:rsid w:val="006805D1"/>
    <w:rsid w:val="00687B99"/>
    <w:rsid w:val="0069710E"/>
    <w:rsid w:val="006A1714"/>
    <w:rsid w:val="006C5B77"/>
    <w:rsid w:val="006C7F82"/>
    <w:rsid w:val="006E1497"/>
    <w:rsid w:val="006E3535"/>
    <w:rsid w:val="00712DDF"/>
    <w:rsid w:val="00717BE3"/>
    <w:rsid w:val="007231D9"/>
    <w:rsid w:val="00735C96"/>
    <w:rsid w:val="007406F4"/>
    <w:rsid w:val="00742EEF"/>
    <w:rsid w:val="00753F66"/>
    <w:rsid w:val="00756178"/>
    <w:rsid w:val="00761514"/>
    <w:rsid w:val="007B012D"/>
    <w:rsid w:val="007B0A3B"/>
    <w:rsid w:val="007C75BB"/>
    <w:rsid w:val="007D3B09"/>
    <w:rsid w:val="007D4D96"/>
    <w:rsid w:val="00801795"/>
    <w:rsid w:val="00811D22"/>
    <w:rsid w:val="00811DDD"/>
    <w:rsid w:val="008146D8"/>
    <w:rsid w:val="008325F2"/>
    <w:rsid w:val="00837996"/>
    <w:rsid w:val="00840A00"/>
    <w:rsid w:val="008644B4"/>
    <w:rsid w:val="00877AF0"/>
    <w:rsid w:val="008856D6"/>
    <w:rsid w:val="008A17FF"/>
    <w:rsid w:val="008A25D1"/>
    <w:rsid w:val="008A6142"/>
    <w:rsid w:val="008B444B"/>
    <w:rsid w:val="008B6D37"/>
    <w:rsid w:val="008D54CA"/>
    <w:rsid w:val="008D59DF"/>
    <w:rsid w:val="008E300B"/>
    <w:rsid w:val="00900E4D"/>
    <w:rsid w:val="00917BDD"/>
    <w:rsid w:val="00926114"/>
    <w:rsid w:val="00932B65"/>
    <w:rsid w:val="00945EAE"/>
    <w:rsid w:val="00983108"/>
    <w:rsid w:val="00987283"/>
    <w:rsid w:val="009953BB"/>
    <w:rsid w:val="009A2A23"/>
    <w:rsid w:val="009A5FA6"/>
    <w:rsid w:val="009A7FEA"/>
    <w:rsid w:val="009B50DE"/>
    <w:rsid w:val="009E1060"/>
    <w:rsid w:val="009E4DF8"/>
    <w:rsid w:val="009F10EA"/>
    <w:rsid w:val="009F5F54"/>
    <w:rsid w:val="009F6438"/>
    <w:rsid w:val="00A22171"/>
    <w:rsid w:val="00A235E5"/>
    <w:rsid w:val="00A27B56"/>
    <w:rsid w:val="00A342C5"/>
    <w:rsid w:val="00A4392C"/>
    <w:rsid w:val="00A45A22"/>
    <w:rsid w:val="00A51BBB"/>
    <w:rsid w:val="00A8209E"/>
    <w:rsid w:val="00AA0260"/>
    <w:rsid w:val="00AA27C0"/>
    <w:rsid w:val="00AB769C"/>
    <w:rsid w:val="00AD71C6"/>
    <w:rsid w:val="00AE09D1"/>
    <w:rsid w:val="00AE1015"/>
    <w:rsid w:val="00AE28BE"/>
    <w:rsid w:val="00AE2959"/>
    <w:rsid w:val="00AF1ADE"/>
    <w:rsid w:val="00AF28B6"/>
    <w:rsid w:val="00AF7391"/>
    <w:rsid w:val="00B11D58"/>
    <w:rsid w:val="00B138EA"/>
    <w:rsid w:val="00B15BCE"/>
    <w:rsid w:val="00B22E00"/>
    <w:rsid w:val="00B30E7D"/>
    <w:rsid w:val="00B3250F"/>
    <w:rsid w:val="00B435CB"/>
    <w:rsid w:val="00B44F6D"/>
    <w:rsid w:val="00B57D18"/>
    <w:rsid w:val="00B753A3"/>
    <w:rsid w:val="00B767AD"/>
    <w:rsid w:val="00B801BD"/>
    <w:rsid w:val="00B80244"/>
    <w:rsid w:val="00B82EEE"/>
    <w:rsid w:val="00B8413F"/>
    <w:rsid w:val="00B90A2F"/>
    <w:rsid w:val="00B91750"/>
    <w:rsid w:val="00B92A98"/>
    <w:rsid w:val="00BA5789"/>
    <w:rsid w:val="00BB069F"/>
    <w:rsid w:val="00BE32CE"/>
    <w:rsid w:val="00BF75CB"/>
    <w:rsid w:val="00C04716"/>
    <w:rsid w:val="00C1025C"/>
    <w:rsid w:val="00C17D41"/>
    <w:rsid w:val="00C25470"/>
    <w:rsid w:val="00C358B1"/>
    <w:rsid w:val="00C4567F"/>
    <w:rsid w:val="00C50B5B"/>
    <w:rsid w:val="00C51C6A"/>
    <w:rsid w:val="00C73F6C"/>
    <w:rsid w:val="00C80A41"/>
    <w:rsid w:val="00C928F9"/>
    <w:rsid w:val="00CA7C8C"/>
    <w:rsid w:val="00CE1543"/>
    <w:rsid w:val="00CE1F47"/>
    <w:rsid w:val="00CE4A44"/>
    <w:rsid w:val="00CF6F5F"/>
    <w:rsid w:val="00D00727"/>
    <w:rsid w:val="00D12E86"/>
    <w:rsid w:val="00D2612B"/>
    <w:rsid w:val="00D308D0"/>
    <w:rsid w:val="00D32E90"/>
    <w:rsid w:val="00D4422C"/>
    <w:rsid w:val="00D55897"/>
    <w:rsid w:val="00D70484"/>
    <w:rsid w:val="00D71196"/>
    <w:rsid w:val="00D71307"/>
    <w:rsid w:val="00D72C1C"/>
    <w:rsid w:val="00D92EDC"/>
    <w:rsid w:val="00DA0F55"/>
    <w:rsid w:val="00DC1D54"/>
    <w:rsid w:val="00DE497E"/>
    <w:rsid w:val="00DE647A"/>
    <w:rsid w:val="00DF5090"/>
    <w:rsid w:val="00E102AF"/>
    <w:rsid w:val="00E1543F"/>
    <w:rsid w:val="00E17166"/>
    <w:rsid w:val="00E61E14"/>
    <w:rsid w:val="00E67B88"/>
    <w:rsid w:val="00E94603"/>
    <w:rsid w:val="00EA2296"/>
    <w:rsid w:val="00EB63C6"/>
    <w:rsid w:val="00ED4C7D"/>
    <w:rsid w:val="00ED6755"/>
    <w:rsid w:val="00EE4AB9"/>
    <w:rsid w:val="00EF3975"/>
    <w:rsid w:val="00F13E7A"/>
    <w:rsid w:val="00F21C54"/>
    <w:rsid w:val="00F33623"/>
    <w:rsid w:val="00F53FF3"/>
    <w:rsid w:val="00F8268C"/>
    <w:rsid w:val="00F86959"/>
    <w:rsid w:val="00F956B7"/>
    <w:rsid w:val="00FA2515"/>
    <w:rsid w:val="00FA5C41"/>
    <w:rsid w:val="00FB4D6F"/>
    <w:rsid w:val="00FC47D3"/>
    <w:rsid w:val="00FD0C89"/>
    <w:rsid w:val="00FD5848"/>
    <w:rsid w:val="00FE0CED"/>
    <w:rsid w:val="00FE3FBC"/>
    <w:rsid w:val="02206CB5"/>
    <w:rsid w:val="02BF1C86"/>
    <w:rsid w:val="031CA0BD"/>
    <w:rsid w:val="033B5F45"/>
    <w:rsid w:val="034208FE"/>
    <w:rsid w:val="04C444E7"/>
    <w:rsid w:val="052C7D2E"/>
    <w:rsid w:val="0568257A"/>
    <w:rsid w:val="05946929"/>
    <w:rsid w:val="061B1E67"/>
    <w:rsid w:val="06251FF4"/>
    <w:rsid w:val="06974FC3"/>
    <w:rsid w:val="072B700F"/>
    <w:rsid w:val="07386903"/>
    <w:rsid w:val="077B4FE3"/>
    <w:rsid w:val="07AB76CE"/>
    <w:rsid w:val="07D233F1"/>
    <w:rsid w:val="07DD28C2"/>
    <w:rsid w:val="08586CE9"/>
    <w:rsid w:val="086E058C"/>
    <w:rsid w:val="08AE00F1"/>
    <w:rsid w:val="08CF4DCC"/>
    <w:rsid w:val="08E95E7A"/>
    <w:rsid w:val="09D8104F"/>
    <w:rsid w:val="0A3D0C77"/>
    <w:rsid w:val="0AD55C72"/>
    <w:rsid w:val="0B2822A9"/>
    <w:rsid w:val="0B3B71BE"/>
    <w:rsid w:val="0F861497"/>
    <w:rsid w:val="10B77A90"/>
    <w:rsid w:val="12525A4E"/>
    <w:rsid w:val="12D44128"/>
    <w:rsid w:val="15892CDF"/>
    <w:rsid w:val="15921B5C"/>
    <w:rsid w:val="15CA74F0"/>
    <w:rsid w:val="168E3310"/>
    <w:rsid w:val="17222676"/>
    <w:rsid w:val="17A90B46"/>
    <w:rsid w:val="17F43647"/>
    <w:rsid w:val="187A5A05"/>
    <w:rsid w:val="189F256F"/>
    <w:rsid w:val="19187857"/>
    <w:rsid w:val="196A58AD"/>
    <w:rsid w:val="197A3E19"/>
    <w:rsid w:val="199C08D9"/>
    <w:rsid w:val="19E91F39"/>
    <w:rsid w:val="1A907657"/>
    <w:rsid w:val="1B133893"/>
    <w:rsid w:val="1B43291B"/>
    <w:rsid w:val="1B531E1B"/>
    <w:rsid w:val="1B6D2B8F"/>
    <w:rsid w:val="1BD46945"/>
    <w:rsid w:val="1D2C6B0C"/>
    <w:rsid w:val="1E643CFF"/>
    <w:rsid w:val="1EF42B97"/>
    <w:rsid w:val="1EFA3F1A"/>
    <w:rsid w:val="1F4C1CFE"/>
    <w:rsid w:val="1F4E7315"/>
    <w:rsid w:val="200D1C1C"/>
    <w:rsid w:val="22504B80"/>
    <w:rsid w:val="22793BF3"/>
    <w:rsid w:val="23531910"/>
    <w:rsid w:val="241712DE"/>
    <w:rsid w:val="247228AA"/>
    <w:rsid w:val="25090BDC"/>
    <w:rsid w:val="252F213A"/>
    <w:rsid w:val="26065307"/>
    <w:rsid w:val="2649605F"/>
    <w:rsid w:val="26B40B71"/>
    <w:rsid w:val="279B4665"/>
    <w:rsid w:val="27E9026D"/>
    <w:rsid w:val="286B0803"/>
    <w:rsid w:val="297A63E4"/>
    <w:rsid w:val="2A7C4276"/>
    <w:rsid w:val="2A9C72BB"/>
    <w:rsid w:val="2ACE1AD5"/>
    <w:rsid w:val="2B17347C"/>
    <w:rsid w:val="2C372CE0"/>
    <w:rsid w:val="2E8075CB"/>
    <w:rsid w:val="2F08280F"/>
    <w:rsid w:val="2F992124"/>
    <w:rsid w:val="304842BB"/>
    <w:rsid w:val="31557995"/>
    <w:rsid w:val="32104D51"/>
    <w:rsid w:val="324F3FC7"/>
    <w:rsid w:val="35760929"/>
    <w:rsid w:val="35790785"/>
    <w:rsid w:val="35D6A9E8"/>
    <w:rsid w:val="36161609"/>
    <w:rsid w:val="365F0A9A"/>
    <w:rsid w:val="3705785F"/>
    <w:rsid w:val="373F4487"/>
    <w:rsid w:val="37D8709E"/>
    <w:rsid w:val="38713641"/>
    <w:rsid w:val="38924250"/>
    <w:rsid w:val="38B0147F"/>
    <w:rsid w:val="39B95A2A"/>
    <w:rsid w:val="3DB33CAC"/>
    <w:rsid w:val="3DCB3BB6"/>
    <w:rsid w:val="3DF5589F"/>
    <w:rsid w:val="3E196036"/>
    <w:rsid w:val="3EEC3AEF"/>
    <w:rsid w:val="41074B1F"/>
    <w:rsid w:val="41B25FFB"/>
    <w:rsid w:val="42251C57"/>
    <w:rsid w:val="425A1BA7"/>
    <w:rsid w:val="43864D3F"/>
    <w:rsid w:val="43EB0F4B"/>
    <w:rsid w:val="459C4852"/>
    <w:rsid w:val="467170D7"/>
    <w:rsid w:val="469F03D9"/>
    <w:rsid w:val="46DC254C"/>
    <w:rsid w:val="46FC5383"/>
    <w:rsid w:val="47D95B40"/>
    <w:rsid w:val="490919B6"/>
    <w:rsid w:val="49E15038"/>
    <w:rsid w:val="49FB5172"/>
    <w:rsid w:val="4AA322C8"/>
    <w:rsid w:val="4B9A47CA"/>
    <w:rsid w:val="4BAA119B"/>
    <w:rsid w:val="4BCD1E4E"/>
    <w:rsid w:val="4BE55C16"/>
    <w:rsid w:val="4C4150B7"/>
    <w:rsid w:val="4C69458D"/>
    <w:rsid w:val="4CF86E6D"/>
    <w:rsid w:val="4D267823"/>
    <w:rsid w:val="4D2C2D7D"/>
    <w:rsid w:val="4DD92411"/>
    <w:rsid w:val="4DDD7944"/>
    <w:rsid w:val="4E1F24C4"/>
    <w:rsid w:val="4EDA5182"/>
    <w:rsid w:val="4F2B6587"/>
    <w:rsid w:val="503F33EA"/>
    <w:rsid w:val="50685347"/>
    <w:rsid w:val="50891C35"/>
    <w:rsid w:val="51865E80"/>
    <w:rsid w:val="52D804B0"/>
    <w:rsid w:val="53BB5B26"/>
    <w:rsid w:val="53D247DE"/>
    <w:rsid w:val="553C430E"/>
    <w:rsid w:val="55A22F34"/>
    <w:rsid w:val="55A922FD"/>
    <w:rsid w:val="55AE6AED"/>
    <w:rsid w:val="55BD57DB"/>
    <w:rsid w:val="56550D87"/>
    <w:rsid w:val="572657DF"/>
    <w:rsid w:val="573677FF"/>
    <w:rsid w:val="57A44E20"/>
    <w:rsid w:val="588562C6"/>
    <w:rsid w:val="590A4C77"/>
    <w:rsid w:val="597A3BB3"/>
    <w:rsid w:val="5A172C93"/>
    <w:rsid w:val="5AE73800"/>
    <w:rsid w:val="5B9C52B4"/>
    <w:rsid w:val="5CDF4239"/>
    <w:rsid w:val="5D1234A3"/>
    <w:rsid w:val="5D21406C"/>
    <w:rsid w:val="5DB0093E"/>
    <w:rsid w:val="5F727970"/>
    <w:rsid w:val="5FD8072A"/>
    <w:rsid w:val="5FF94D3B"/>
    <w:rsid w:val="60800924"/>
    <w:rsid w:val="610E7495"/>
    <w:rsid w:val="62726A4A"/>
    <w:rsid w:val="63455BF9"/>
    <w:rsid w:val="635C06A5"/>
    <w:rsid w:val="6512615A"/>
    <w:rsid w:val="65332EDE"/>
    <w:rsid w:val="66341F67"/>
    <w:rsid w:val="667F3970"/>
    <w:rsid w:val="673D08C2"/>
    <w:rsid w:val="689F18B0"/>
    <w:rsid w:val="6A2D299D"/>
    <w:rsid w:val="6A4C3739"/>
    <w:rsid w:val="6C33758E"/>
    <w:rsid w:val="6D45772E"/>
    <w:rsid w:val="6E0F4F0D"/>
    <w:rsid w:val="6ECE0DEB"/>
    <w:rsid w:val="6F836263"/>
    <w:rsid w:val="6FF2DDB1"/>
    <w:rsid w:val="722725BB"/>
    <w:rsid w:val="72C0571E"/>
    <w:rsid w:val="75313952"/>
    <w:rsid w:val="760320F7"/>
    <w:rsid w:val="76693CC9"/>
    <w:rsid w:val="76E011C9"/>
    <w:rsid w:val="76ED04FE"/>
    <w:rsid w:val="775F7D88"/>
    <w:rsid w:val="77726BCC"/>
    <w:rsid w:val="777E1C1D"/>
    <w:rsid w:val="77EFC8DD"/>
    <w:rsid w:val="77FAC202"/>
    <w:rsid w:val="77FC2DAB"/>
    <w:rsid w:val="77FFED37"/>
    <w:rsid w:val="781E495D"/>
    <w:rsid w:val="78621980"/>
    <w:rsid w:val="78716ADB"/>
    <w:rsid w:val="7ABF306B"/>
    <w:rsid w:val="7BEB7CF7"/>
    <w:rsid w:val="7CBF727F"/>
    <w:rsid w:val="7D52701F"/>
    <w:rsid w:val="7E2E00BA"/>
    <w:rsid w:val="7E504C82"/>
    <w:rsid w:val="7EB64D1B"/>
    <w:rsid w:val="7EB65A4D"/>
    <w:rsid w:val="7EB73142"/>
    <w:rsid w:val="7F3FD02A"/>
    <w:rsid w:val="7F9F4F36"/>
    <w:rsid w:val="7FEF5E6B"/>
    <w:rsid w:val="8F9C228A"/>
    <w:rsid w:val="9FF38F8E"/>
    <w:rsid w:val="ADBCFD30"/>
    <w:rsid w:val="BE7BFBEA"/>
    <w:rsid w:val="CFD286E0"/>
    <w:rsid w:val="DFEF51EC"/>
    <w:rsid w:val="E59EBAE6"/>
    <w:rsid w:val="E7D5F12A"/>
    <w:rsid w:val="EB7F7E3A"/>
    <w:rsid w:val="EBCD3150"/>
    <w:rsid w:val="EEF84B69"/>
    <w:rsid w:val="F6BB2DE1"/>
    <w:rsid w:val="F77A43A7"/>
    <w:rsid w:val="F97F73C7"/>
    <w:rsid w:val="FB396A46"/>
    <w:rsid w:val="FBB6C6DC"/>
    <w:rsid w:val="FD9F9C9C"/>
    <w:rsid w:val="FDF7DFC9"/>
    <w:rsid w:val="FDFE6E12"/>
    <w:rsid w:val="FF7D6D8F"/>
    <w:rsid w:val="FFF1D8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4"/>
      <w:lang w:val="en-US" w:eastAsia="zh-CN" w:bidi="ar-SA"/>
    </w:rPr>
  </w:style>
  <w:style w:type="paragraph" w:styleId="4">
    <w:name w:val="heading 1"/>
    <w:basedOn w:val="1"/>
    <w:next w:val="1"/>
    <w:link w:val="77"/>
    <w:qFormat/>
    <w:uiPriority w:val="0"/>
    <w:pPr>
      <w:keepNext/>
      <w:keepLines/>
      <w:spacing w:before="340" w:after="330" w:line="578" w:lineRule="auto"/>
      <w:outlineLvl w:val="0"/>
    </w:pPr>
    <w:rPr>
      <w:rFonts w:eastAsia="Century Gothic"/>
      <w:b/>
      <w:bCs/>
      <w:kern w:val="44"/>
      <w:sz w:val="44"/>
      <w:szCs w:val="44"/>
    </w:rPr>
  </w:style>
  <w:style w:type="paragraph" w:styleId="5">
    <w:name w:val="heading 2"/>
    <w:basedOn w:val="1"/>
    <w:next w:val="1"/>
    <w:qFormat/>
    <w:uiPriority w:val="0"/>
    <w:pPr>
      <w:keepNext/>
      <w:keepLines/>
      <w:adjustRightInd w:val="0"/>
      <w:spacing w:before="260" w:after="260" w:line="415" w:lineRule="auto"/>
      <w:jc w:val="left"/>
      <w:outlineLvl w:val="1"/>
    </w:pPr>
    <w:rPr>
      <w:rFonts w:ascii="黑体" w:hAnsi="黑体" w:eastAsia="楷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8"/>
    <w:qFormat/>
    <w:uiPriority w:val="0"/>
    <w:pPr>
      <w:keepNext/>
      <w:widowControl/>
      <w:jc w:val="center"/>
      <w:outlineLvl w:val="3"/>
    </w:pPr>
    <w:rPr>
      <w:rFonts w:ascii="MS Sans Serif" w:hAnsi="仿宋_GB2312" w:eastAsia="MS Sans Serif"/>
      <w:snapToGrid w:val="0"/>
      <w:kern w:val="0"/>
      <w:sz w:val="24"/>
      <w:szCs w:val="20"/>
    </w:rPr>
  </w:style>
  <w:style w:type="paragraph" w:styleId="9">
    <w:name w:val="heading 5"/>
    <w:basedOn w:val="1"/>
    <w:next w:val="1"/>
    <w:qFormat/>
    <w:uiPriority w:val="0"/>
    <w:pPr>
      <w:widowControl/>
      <w:spacing w:before="240" w:after="60"/>
      <w:jc w:val="left"/>
      <w:outlineLvl w:val="4"/>
    </w:pPr>
    <w:rPr>
      <w:rFonts w:ascii="MS Sans Serif" w:eastAsia="MS Sans Serif"/>
      <w:kern w:val="0"/>
      <w:sz w:val="24"/>
      <w:szCs w:val="20"/>
    </w:rPr>
  </w:style>
  <w:style w:type="paragraph" w:styleId="10">
    <w:name w:val="heading 6"/>
    <w:basedOn w:val="1"/>
    <w:next w:val="8"/>
    <w:qFormat/>
    <w:uiPriority w:val="0"/>
    <w:pPr>
      <w:keepNext/>
      <w:keepLines/>
      <w:spacing w:before="240" w:after="64" w:line="320" w:lineRule="auto"/>
      <w:outlineLvl w:val="5"/>
    </w:pPr>
    <w:rPr>
      <w:rFonts w:ascii="黑体" w:hAnsi="黑体" w:eastAsia="楷体"/>
      <w:b/>
      <w:sz w:val="24"/>
      <w:szCs w:val="20"/>
    </w:rPr>
  </w:style>
  <w:style w:type="paragraph" w:styleId="11">
    <w:name w:val="heading 7"/>
    <w:basedOn w:val="1"/>
    <w:next w:val="8"/>
    <w:qFormat/>
    <w:uiPriority w:val="0"/>
    <w:pPr>
      <w:keepNext/>
      <w:keepLines/>
      <w:spacing w:before="240" w:after="64" w:line="320" w:lineRule="auto"/>
      <w:outlineLvl w:val="6"/>
    </w:pPr>
    <w:rPr>
      <w:b/>
      <w:sz w:val="24"/>
      <w:szCs w:val="20"/>
    </w:rPr>
  </w:style>
  <w:style w:type="paragraph" w:styleId="12">
    <w:name w:val="heading 8"/>
    <w:basedOn w:val="1"/>
    <w:next w:val="8"/>
    <w:qFormat/>
    <w:uiPriority w:val="0"/>
    <w:pPr>
      <w:keepNext/>
      <w:keepLines/>
      <w:spacing w:before="240" w:after="64" w:line="320" w:lineRule="auto"/>
      <w:outlineLvl w:val="7"/>
    </w:pPr>
    <w:rPr>
      <w:rFonts w:ascii="黑体" w:hAnsi="黑体" w:eastAsia="楷体"/>
      <w:sz w:val="24"/>
      <w:szCs w:val="20"/>
    </w:rPr>
  </w:style>
  <w:style w:type="paragraph" w:styleId="13">
    <w:name w:val="heading 9"/>
    <w:basedOn w:val="1"/>
    <w:next w:val="8"/>
    <w:qFormat/>
    <w:uiPriority w:val="0"/>
    <w:pPr>
      <w:keepNext/>
      <w:keepLines/>
      <w:spacing w:before="240" w:after="64" w:line="320" w:lineRule="auto"/>
      <w:outlineLvl w:val="8"/>
    </w:pPr>
    <w:rPr>
      <w:rFonts w:ascii="黑体" w:hAnsi="黑体" w:eastAsia="楷体"/>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pPr>
  </w:style>
  <w:style w:type="paragraph" w:styleId="3">
    <w:name w:val="Body Text"/>
    <w:basedOn w:val="1"/>
    <w:next w:val="1"/>
    <w:qFormat/>
    <w:uiPriority w:val="0"/>
    <w:pPr>
      <w:spacing w:after="120"/>
    </w:pPr>
  </w:style>
  <w:style w:type="paragraph" w:styleId="8">
    <w:name w:val="Normal Indent"/>
    <w:basedOn w:val="1"/>
    <w:link w:val="73"/>
    <w:qFormat/>
    <w:uiPriority w:val="0"/>
    <w:pPr>
      <w:widowControl/>
      <w:ind w:firstLine="420"/>
      <w:jc w:val="left"/>
    </w:pPr>
    <w:rPr>
      <w:rFonts w:ascii="Arial" w:hAnsi="Arial" w:cs="Arial"/>
      <w:kern w:val="0"/>
      <w:sz w:val="20"/>
      <w:szCs w:val="20"/>
    </w:rPr>
  </w:style>
  <w:style w:type="paragraph" w:styleId="14">
    <w:name w:val="toc 7"/>
    <w:basedOn w:val="1"/>
    <w:next w:val="1"/>
    <w:qFormat/>
    <w:uiPriority w:val="0"/>
    <w:pPr>
      <w:ind w:left="1260"/>
      <w:jc w:val="left"/>
    </w:pPr>
    <w:rPr>
      <w:sz w:val="18"/>
      <w:szCs w:val="18"/>
    </w:rPr>
  </w:style>
  <w:style w:type="paragraph" w:styleId="15">
    <w:name w:val="List Number"/>
    <w:basedOn w:val="1"/>
    <w:qFormat/>
    <w:uiPriority w:val="0"/>
    <w:pPr>
      <w:widowControl/>
      <w:tabs>
        <w:tab w:val="left" w:pos="420"/>
        <w:tab w:val="left" w:pos="454"/>
      </w:tabs>
      <w:spacing w:afterLines="50"/>
      <w:ind w:left="454" w:hanging="284"/>
      <w:jc w:val="left"/>
    </w:pPr>
    <w:rPr>
      <w:kern w:val="0"/>
      <w:sz w:val="24"/>
      <w:szCs w:val="20"/>
    </w:rPr>
  </w:style>
  <w:style w:type="paragraph" w:styleId="16">
    <w:name w:val="caption"/>
    <w:basedOn w:val="1"/>
    <w:next w:val="1"/>
    <w:qFormat/>
    <w:uiPriority w:val="0"/>
    <w:rPr>
      <w:rFonts w:ascii="黑体" w:hAnsi="黑体" w:eastAsia="楷体" w:cs="黑体"/>
      <w:sz w:val="20"/>
      <w:szCs w:val="20"/>
    </w:rPr>
  </w:style>
  <w:style w:type="paragraph" w:styleId="17">
    <w:name w:val="Document Map"/>
    <w:basedOn w:val="1"/>
    <w:qFormat/>
    <w:uiPriority w:val="0"/>
    <w:pPr>
      <w:shd w:val="clear" w:color="auto" w:fill="000080"/>
    </w:pPr>
  </w:style>
  <w:style w:type="paragraph" w:styleId="18">
    <w:name w:val="annotation text"/>
    <w:basedOn w:val="1"/>
    <w:qFormat/>
    <w:uiPriority w:val="0"/>
    <w:pPr>
      <w:jc w:val="left"/>
    </w:pPr>
  </w:style>
  <w:style w:type="paragraph" w:styleId="19">
    <w:name w:val="Body Text Indent"/>
    <w:basedOn w:val="1"/>
    <w:next w:val="1"/>
    <w:link w:val="65"/>
    <w:qFormat/>
    <w:uiPriority w:val="0"/>
    <w:pPr>
      <w:adjustRightInd w:val="0"/>
      <w:spacing w:line="360" w:lineRule="auto"/>
      <w:ind w:firstLine="490"/>
      <w:jc w:val="left"/>
    </w:pPr>
    <w:rPr>
      <w:rFonts w:ascii="Century Gothic" w:hAnsi="Century Gothic" w:eastAsia="Century Gothic"/>
      <w:sz w:val="24"/>
      <w:szCs w:val="20"/>
    </w:rPr>
  </w:style>
  <w:style w:type="paragraph" w:styleId="20">
    <w:name w:val="List Number 3"/>
    <w:basedOn w:val="1"/>
    <w:qFormat/>
    <w:uiPriority w:val="0"/>
    <w:pPr>
      <w:widowControl/>
      <w:tabs>
        <w:tab w:val="left" w:pos="482"/>
        <w:tab w:val="left" w:pos="1157"/>
      </w:tabs>
      <w:spacing w:afterLines="50"/>
      <w:ind w:left="482" w:hanging="340"/>
      <w:jc w:val="left"/>
    </w:pPr>
    <w:rPr>
      <w:kern w:val="0"/>
      <w:sz w:val="24"/>
      <w:szCs w:val="20"/>
    </w:rPr>
  </w:style>
  <w:style w:type="paragraph" w:styleId="21">
    <w:name w:val="Block Text"/>
    <w:basedOn w:val="1"/>
    <w:qFormat/>
    <w:uiPriority w:val="0"/>
    <w:pPr>
      <w:adjustRightInd w:val="0"/>
      <w:snapToGrid w:val="0"/>
      <w:spacing w:line="300" w:lineRule="auto"/>
      <w:ind w:left="958" w:right="-120" w:rightChars="-120"/>
      <w:jc w:val="left"/>
    </w:pPr>
    <w:rPr>
      <w:rFonts w:hint="eastAsia" w:ascii="Century Gothic" w:hAnsi="Century Gothic"/>
      <w:sz w:val="28"/>
      <w:szCs w:val="20"/>
    </w:rPr>
  </w:style>
  <w:style w:type="paragraph" w:styleId="22">
    <w:name w:val="toc 5"/>
    <w:basedOn w:val="1"/>
    <w:next w:val="1"/>
    <w:qFormat/>
    <w:uiPriority w:val="0"/>
    <w:pPr>
      <w:ind w:left="840"/>
      <w:jc w:val="left"/>
    </w:pPr>
    <w:rPr>
      <w:sz w:val="18"/>
      <w:szCs w:val="18"/>
    </w:rPr>
  </w:style>
  <w:style w:type="paragraph" w:styleId="23">
    <w:name w:val="toc 3"/>
    <w:basedOn w:val="1"/>
    <w:next w:val="1"/>
    <w:qFormat/>
    <w:uiPriority w:val="0"/>
    <w:pPr>
      <w:ind w:left="420"/>
      <w:jc w:val="left"/>
    </w:pPr>
    <w:rPr>
      <w:i/>
      <w:iCs/>
      <w:sz w:val="20"/>
      <w:szCs w:val="20"/>
    </w:rPr>
  </w:style>
  <w:style w:type="paragraph" w:styleId="24">
    <w:name w:val="Plain Text"/>
    <w:basedOn w:val="1"/>
    <w:link w:val="70"/>
    <w:qFormat/>
    <w:uiPriority w:val="0"/>
    <w:rPr>
      <w:rFonts w:ascii="Century Gothic" w:hAnsi="楷体_GB2312" w:eastAsia="Century Gothic" w:cs="楷体_GB2312"/>
      <w:szCs w:val="21"/>
    </w:rPr>
  </w:style>
  <w:style w:type="paragraph" w:styleId="25">
    <w:name w:val="toc 8"/>
    <w:basedOn w:val="1"/>
    <w:next w:val="1"/>
    <w:qFormat/>
    <w:uiPriority w:val="0"/>
    <w:pPr>
      <w:ind w:left="1470"/>
      <w:jc w:val="left"/>
    </w:pPr>
    <w:rPr>
      <w:sz w:val="18"/>
      <w:szCs w:val="18"/>
    </w:rPr>
  </w:style>
  <w:style w:type="paragraph" w:styleId="26">
    <w:name w:val="Date"/>
    <w:basedOn w:val="1"/>
    <w:next w:val="1"/>
    <w:qFormat/>
    <w:uiPriority w:val="0"/>
    <w:pPr>
      <w:ind w:left="100" w:leftChars="2500"/>
    </w:pPr>
  </w:style>
  <w:style w:type="paragraph" w:styleId="27">
    <w:name w:val="Body Text Indent 2"/>
    <w:basedOn w:val="1"/>
    <w:qFormat/>
    <w:uiPriority w:val="0"/>
    <w:pPr>
      <w:adjustRightInd w:val="0"/>
      <w:spacing w:line="360" w:lineRule="auto"/>
      <w:ind w:firstLine="504" w:firstLineChars="210"/>
      <w:jc w:val="left"/>
    </w:pPr>
    <w:rPr>
      <w:rFonts w:hint="eastAsia" w:ascii="Century Gothic" w:hAnsi="Century Gothic"/>
      <w:sz w:val="24"/>
      <w:szCs w:val="20"/>
    </w:rPr>
  </w:style>
  <w:style w:type="paragraph" w:styleId="28">
    <w:name w:val="Balloon Text"/>
    <w:basedOn w:val="1"/>
    <w:qFormat/>
    <w:uiPriority w:val="0"/>
    <w:rPr>
      <w:sz w:val="18"/>
      <w:szCs w:val="18"/>
    </w:rPr>
  </w:style>
  <w:style w:type="paragraph" w:styleId="29">
    <w:name w:val="footer"/>
    <w:basedOn w:val="1"/>
    <w:link w:val="63"/>
    <w:qFormat/>
    <w:uiPriority w:val="0"/>
    <w:pPr>
      <w:tabs>
        <w:tab w:val="center" w:pos="4153"/>
        <w:tab w:val="right" w:pos="8306"/>
      </w:tabs>
      <w:adjustRightInd w:val="0"/>
      <w:jc w:val="left"/>
    </w:pPr>
    <w:rPr>
      <w:rFonts w:eastAsia="Century Gothic"/>
      <w:sz w:val="18"/>
      <w:szCs w:val="20"/>
    </w:rPr>
  </w:style>
  <w:style w:type="paragraph" w:styleId="30">
    <w:name w:val="header"/>
    <w:basedOn w:val="1"/>
    <w:qFormat/>
    <w:uiPriority w:val="0"/>
    <w:pPr>
      <w:pBdr>
        <w:bottom w:val="single" w:color="auto" w:sz="6" w:space="1"/>
      </w:pBdr>
      <w:tabs>
        <w:tab w:val="center" w:pos="4153"/>
        <w:tab w:val="right" w:pos="8306"/>
      </w:tabs>
      <w:adjustRightInd w:val="0"/>
      <w:jc w:val="center"/>
    </w:pPr>
    <w:rPr>
      <w:sz w:val="18"/>
      <w:szCs w:val="20"/>
    </w:rPr>
  </w:style>
  <w:style w:type="paragraph" w:styleId="31">
    <w:name w:val="toc 1"/>
    <w:basedOn w:val="1"/>
    <w:next w:val="1"/>
    <w:qFormat/>
    <w:uiPriority w:val="39"/>
    <w:pPr>
      <w:tabs>
        <w:tab w:val="right" w:leader="dot" w:pos="8720"/>
      </w:tabs>
      <w:spacing w:before="120" w:after="120"/>
      <w:jc w:val="left"/>
    </w:pPr>
    <w:rPr>
      <w:rFonts w:ascii="Century Gothic" w:hAnsi="Century Gothic"/>
      <w:bCs/>
      <w:caps/>
      <w:sz w:val="20"/>
      <w:szCs w:val="20"/>
    </w:rPr>
  </w:style>
  <w:style w:type="paragraph" w:styleId="32">
    <w:name w:val="toc 4"/>
    <w:basedOn w:val="1"/>
    <w:next w:val="1"/>
    <w:qFormat/>
    <w:uiPriority w:val="0"/>
    <w:pPr>
      <w:ind w:left="630"/>
      <w:jc w:val="left"/>
    </w:pPr>
    <w:rPr>
      <w:sz w:val="18"/>
      <w:szCs w:val="18"/>
    </w:rPr>
  </w:style>
  <w:style w:type="paragraph" w:styleId="33">
    <w:name w:val="toc 6"/>
    <w:basedOn w:val="1"/>
    <w:next w:val="1"/>
    <w:qFormat/>
    <w:uiPriority w:val="0"/>
    <w:pPr>
      <w:ind w:left="1050"/>
      <w:jc w:val="left"/>
    </w:pPr>
    <w:rPr>
      <w:sz w:val="18"/>
      <w:szCs w:val="18"/>
    </w:rPr>
  </w:style>
  <w:style w:type="paragraph" w:styleId="34">
    <w:name w:val="List 5"/>
    <w:basedOn w:val="1"/>
    <w:qFormat/>
    <w:uiPriority w:val="0"/>
    <w:pPr>
      <w:ind w:left="100" w:leftChars="800" w:hanging="200" w:hangingChars="200"/>
    </w:pPr>
    <w:rPr>
      <w:szCs w:val="20"/>
    </w:rPr>
  </w:style>
  <w:style w:type="paragraph" w:styleId="35">
    <w:name w:val="Body Text Indent 3"/>
    <w:basedOn w:val="1"/>
    <w:qFormat/>
    <w:uiPriority w:val="0"/>
    <w:pPr>
      <w:spacing w:after="120"/>
      <w:ind w:left="420" w:leftChars="200"/>
    </w:pPr>
    <w:rPr>
      <w:sz w:val="16"/>
      <w:szCs w:val="16"/>
    </w:rPr>
  </w:style>
  <w:style w:type="paragraph" w:styleId="36">
    <w:name w:val="toc 2"/>
    <w:basedOn w:val="1"/>
    <w:next w:val="1"/>
    <w:qFormat/>
    <w:uiPriority w:val="39"/>
    <w:pPr>
      <w:tabs>
        <w:tab w:val="right" w:leader="dot" w:pos="8720"/>
      </w:tabs>
      <w:adjustRightInd w:val="0"/>
      <w:snapToGrid w:val="0"/>
      <w:jc w:val="left"/>
    </w:pPr>
    <w:rPr>
      <w:smallCaps/>
      <w:sz w:val="20"/>
      <w:szCs w:val="20"/>
    </w:rPr>
  </w:style>
  <w:style w:type="paragraph" w:styleId="37">
    <w:name w:val="toc 9"/>
    <w:basedOn w:val="1"/>
    <w:next w:val="1"/>
    <w:qFormat/>
    <w:uiPriority w:val="0"/>
    <w:pPr>
      <w:ind w:left="1680"/>
      <w:jc w:val="left"/>
    </w:pPr>
    <w:rPr>
      <w:sz w:val="18"/>
      <w:szCs w:val="18"/>
    </w:rPr>
  </w:style>
  <w:style w:type="paragraph" w:styleId="38">
    <w:name w:val="Body Text 2"/>
    <w:basedOn w:val="1"/>
    <w:qFormat/>
    <w:uiPriority w:val="0"/>
    <w:rPr>
      <w:sz w:val="24"/>
    </w:rPr>
  </w:style>
  <w:style w:type="paragraph" w:styleId="39">
    <w:name w:val="Normal (Web)"/>
    <w:basedOn w:val="1"/>
    <w:qFormat/>
    <w:uiPriority w:val="0"/>
    <w:pPr>
      <w:widowControl/>
      <w:shd w:val="clear" w:color="auto" w:fill="FFFFFF"/>
      <w:spacing w:before="100" w:beforeAutospacing="1" w:after="100" w:afterAutospacing="1"/>
      <w:jc w:val="left"/>
    </w:pPr>
    <w:rPr>
      <w:rFonts w:ascii="Century Gothic" w:hAnsi="Century Gothic"/>
      <w:kern w:val="0"/>
      <w:sz w:val="18"/>
      <w:szCs w:val="18"/>
    </w:rPr>
  </w:style>
  <w:style w:type="paragraph" w:styleId="40">
    <w:name w:val="Title"/>
    <w:basedOn w:val="1"/>
    <w:qFormat/>
    <w:uiPriority w:val="0"/>
    <w:pPr>
      <w:tabs>
        <w:tab w:val="left" w:pos="1200"/>
      </w:tabs>
      <w:spacing w:afterLines="200"/>
      <w:ind w:left="1440" w:hanging="720"/>
      <w:jc w:val="center"/>
    </w:pPr>
    <w:rPr>
      <w:b/>
      <w:bCs/>
      <w:spacing w:val="60"/>
      <w:sz w:val="32"/>
    </w:rPr>
  </w:style>
  <w:style w:type="paragraph" w:styleId="41">
    <w:name w:val="annotation subject"/>
    <w:basedOn w:val="18"/>
    <w:next w:val="18"/>
    <w:qFormat/>
    <w:uiPriority w:val="0"/>
    <w:rPr>
      <w:b/>
      <w:bCs/>
    </w:rPr>
  </w:style>
  <w:style w:type="paragraph" w:styleId="42">
    <w:name w:val="Body Text First Indent 2"/>
    <w:basedOn w:val="19"/>
    <w:qFormat/>
    <w:uiPriority w:val="0"/>
    <w:pPr>
      <w:adjustRightInd/>
      <w:spacing w:after="120" w:line="240" w:lineRule="auto"/>
      <w:ind w:left="420" w:leftChars="200" w:firstLine="210"/>
    </w:pPr>
    <w:rPr>
      <w:sz w:val="21"/>
    </w:rPr>
  </w:style>
  <w:style w:type="table" w:styleId="44">
    <w:name w:val="Table Grid"/>
    <w:basedOn w:val="4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0"/>
    <w:rPr>
      <w:b/>
      <w:bCs/>
    </w:rPr>
  </w:style>
  <w:style w:type="character" w:styleId="47">
    <w:name w:val="page number"/>
    <w:basedOn w:val="45"/>
    <w:qFormat/>
    <w:uiPriority w:val="0"/>
  </w:style>
  <w:style w:type="character" w:styleId="48">
    <w:name w:val="FollowedHyperlink"/>
    <w:basedOn w:val="45"/>
    <w:qFormat/>
    <w:uiPriority w:val="0"/>
    <w:rPr>
      <w:color w:val="3177FD"/>
      <w:u w:val="none"/>
    </w:rPr>
  </w:style>
  <w:style w:type="character" w:styleId="49">
    <w:name w:val="HTML Definition"/>
    <w:basedOn w:val="45"/>
    <w:semiHidden/>
    <w:unhideWhenUsed/>
    <w:qFormat/>
    <w:uiPriority w:val="99"/>
    <w:rPr>
      <w:i/>
      <w:iCs/>
    </w:rPr>
  </w:style>
  <w:style w:type="character" w:styleId="50">
    <w:name w:val="Hyperlink"/>
    <w:basedOn w:val="45"/>
    <w:qFormat/>
    <w:uiPriority w:val="99"/>
    <w:rPr>
      <w:color w:val="3177FD"/>
      <w:u w:val="none"/>
    </w:rPr>
  </w:style>
  <w:style w:type="character" w:styleId="51">
    <w:name w:val="HTML Code"/>
    <w:basedOn w:val="45"/>
    <w:semiHidden/>
    <w:unhideWhenUsed/>
    <w:qFormat/>
    <w:uiPriority w:val="99"/>
    <w:rPr>
      <w:rFonts w:hint="default" w:ascii="Consolas" w:hAnsi="Consolas" w:eastAsia="Consolas" w:cs="Consolas"/>
      <w:sz w:val="21"/>
      <w:szCs w:val="21"/>
    </w:rPr>
  </w:style>
  <w:style w:type="character" w:styleId="52">
    <w:name w:val="annotation reference"/>
    <w:qFormat/>
    <w:uiPriority w:val="0"/>
    <w:rPr>
      <w:sz w:val="21"/>
      <w:szCs w:val="21"/>
    </w:rPr>
  </w:style>
  <w:style w:type="character" w:styleId="53">
    <w:name w:val="HTML Keyboard"/>
    <w:basedOn w:val="45"/>
    <w:semiHidden/>
    <w:unhideWhenUsed/>
    <w:qFormat/>
    <w:uiPriority w:val="99"/>
    <w:rPr>
      <w:rFonts w:ascii="Consolas" w:hAnsi="Consolas" w:eastAsia="Consolas" w:cs="Consolas"/>
      <w:sz w:val="21"/>
      <w:szCs w:val="21"/>
    </w:rPr>
  </w:style>
  <w:style w:type="character" w:styleId="54">
    <w:name w:val="HTML Sample"/>
    <w:basedOn w:val="45"/>
    <w:semiHidden/>
    <w:unhideWhenUsed/>
    <w:qFormat/>
    <w:uiPriority w:val="99"/>
    <w:rPr>
      <w:rFonts w:hint="default" w:ascii="Consolas" w:hAnsi="Consolas" w:eastAsia="Consolas" w:cs="Consolas"/>
      <w:sz w:val="21"/>
      <w:szCs w:val="21"/>
    </w:rPr>
  </w:style>
  <w:style w:type="paragraph" w:customStyle="1" w:styleId="5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Default"/>
    <w:qFormat/>
    <w:uiPriority w:val="0"/>
    <w:pPr>
      <w:widowControl w:val="0"/>
      <w:autoSpaceDE w:val="0"/>
      <w:autoSpaceDN w:val="0"/>
      <w:adjustRightInd w:val="0"/>
    </w:pPr>
    <w:rPr>
      <w:rFonts w:ascii="楷体" w:hAnsi="Calibri" w:eastAsia="楷体" w:cs="Calibri"/>
      <w:color w:val="000000"/>
      <w:sz w:val="24"/>
      <w:szCs w:val="24"/>
      <w:lang w:val="en-US" w:eastAsia="zh-CN" w:bidi="ar-SA"/>
    </w:rPr>
  </w:style>
  <w:style w:type="paragraph" w:customStyle="1" w:styleId="57">
    <w:name w:val="DAS正文"/>
    <w:basedOn w:val="1"/>
    <w:qFormat/>
    <w:uiPriority w:val="0"/>
    <w:pPr>
      <w:spacing w:line="360" w:lineRule="auto"/>
      <w:ind w:right="181" w:firstLine="480" w:firstLineChars="200"/>
    </w:pPr>
    <w:rPr>
      <w:rFonts w:ascii="Verdana" w:hAnsi="Verdana"/>
      <w:sz w:val="24"/>
    </w:rPr>
  </w:style>
  <w:style w:type="paragraph" w:customStyle="1" w:styleId="58">
    <w:name w:val="Char"/>
    <w:basedOn w:val="1"/>
    <w:qFormat/>
    <w:uiPriority w:val="0"/>
    <w:pPr>
      <w:tabs>
        <w:tab w:val="left" w:pos="432"/>
      </w:tabs>
      <w:spacing w:beforeLines="50" w:afterLines="50"/>
      <w:ind w:left="432" w:hanging="432"/>
      <w:jc w:val="center"/>
    </w:pPr>
    <w:rPr>
      <w:sz w:val="24"/>
    </w:rPr>
  </w:style>
  <w:style w:type="character" w:customStyle="1" w:styleId="59">
    <w:name w:val="普通文字 Char Char1"/>
    <w:qFormat/>
    <w:uiPriority w:val="0"/>
    <w:rPr>
      <w:rFonts w:ascii="Century Gothic" w:hAnsi="楷体_GB2312" w:eastAsia="Century Gothic" w:cs="楷体_GB2312"/>
      <w:kern w:val="2"/>
      <w:sz w:val="21"/>
      <w:szCs w:val="21"/>
      <w:lang w:val="en-US" w:eastAsia="zh-CN" w:bidi="ar-SA"/>
    </w:rPr>
  </w:style>
  <w:style w:type="character" w:customStyle="1" w:styleId="60">
    <w:name w:val="zbggtop11 style5"/>
    <w:basedOn w:val="45"/>
    <w:qFormat/>
    <w:uiPriority w:val="0"/>
  </w:style>
  <w:style w:type="character" w:customStyle="1" w:styleId="61">
    <w:name w:val="正文2 Char"/>
    <w:link w:val="62"/>
    <w:qFormat/>
    <w:uiPriority w:val="0"/>
    <w:rPr>
      <w:rFonts w:eastAsia="宋体"/>
      <w:kern w:val="2"/>
      <w:sz w:val="24"/>
      <w:lang w:val="en-US" w:eastAsia="zh-CN" w:bidi="ar-SA"/>
    </w:rPr>
  </w:style>
  <w:style w:type="paragraph" w:customStyle="1" w:styleId="62">
    <w:name w:val="正文2"/>
    <w:basedOn w:val="1"/>
    <w:link w:val="61"/>
    <w:qFormat/>
    <w:uiPriority w:val="0"/>
    <w:pPr>
      <w:spacing w:before="156" w:line="360" w:lineRule="auto"/>
      <w:ind w:firstLine="510" w:firstLineChars="200"/>
    </w:pPr>
    <w:rPr>
      <w:sz w:val="24"/>
      <w:szCs w:val="20"/>
    </w:rPr>
  </w:style>
  <w:style w:type="character" w:customStyle="1" w:styleId="63">
    <w:name w:val="页脚 Char"/>
    <w:link w:val="29"/>
    <w:qFormat/>
    <w:uiPriority w:val="0"/>
    <w:rPr>
      <w:rFonts w:eastAsia="Century Gothic"/>
      <w:kern w:val="2"/>
      <w:sz w:val="18"/>
      <w:lang w:val="en-US" w:eastAsia="zh-CN" w:bidi="ar-SA"/>
    </w:rPr>
  </w:style>
  <w:style w:type="character" w:customStyle="1" w:styleId="64">
    <w:name w:val="bulletintext1"/>
    <w:qFormat/>
    <w:uiPriority w:val="0"/>
    <w:rPr>
      <w:color w:val="000000"/>
      <w:sz w:val="18"/>
    </w:rPr>
  </w:style>
  <w:style w:type="character" w:customStyle="1" w:styleId="65">
    <w:name w:val="正文文本缩进 Char"/>
    <w:link w:val="19"/>
    <w:qFormat/>
    <w:uiPriority w:val="0"/>
    <w:rPr>
      <w:rFonts w:ascii="Century Gothic" w:hAnsi="Century Gothic" w:eastAsia="Century Gothic"/>
      <w:kern w:val="2"/>
      <w:sz w:val="24"/>
      <w:lang w:val="en-US" w:eastAsia="zh-CN" w:bidi="ar-SA"/>
    </w:rPr>
  </w:style>
  <w:style w:type="character" w:customStyle="1" w:styleId="66">
    <w:name w:val="Char Char"/>
    <w:qFormat/>
    <w:uiPriority w:val="0"/>
    <w:rPr>
      <w:rFonts w:ascii="Courier New" w:eastAsia="Courier New"/>
      <w:color w:val="FF0000"/>
      <w:kern w:val="2"/>
      <w:sz w:val="24"/>
      <w:szCs w:val="24"/>
      <w:u w:val="single"/>
      <w:lang w:val="en-US" w:eastAsia="zh-CN" w:bidi="ar-SA"/>
    </w:rPr>
  </w:style>
  <w:style w:type="character" w:customStyle="1" w:styleId="67">
    <w:name w:val="zbggmain style9"/>
    <w:qFormat/>
    <w:uiPriority w:val="0"/>
    <w:rPr>
      <w:rFonts w:ascii="Courier New" w:eastAsia="Courier New"/>
      <w:b/>
      <w:kern w:val="2"/>
      <w:sz w:val="32"/>
      <w:szCs w:val="32"/>
      <w:lang w:val="en-US" w:eastAsia="zh-CN" w:bidi="ar-SA"/>
    </w:rPr>
  </w:style>
  <w:style w:type="character" w:customStyle="1" w:styleId="68">
    <w:name w:val="标准文本 Char"/>
    <w:link w:val="69"/>
    <w:qFormat/>
    <w:uiPriority w:val="0"/>
    <w:rPr>
      <w:rFonts w:eastAsia="宋体" w:cs="宋体"/>
      <w:kern w:val="2"/>
      <w:sz w:val="24"/>
      <w:lang w:val="en-US" w:eastAsia="zh-CN" w:bidi="ar-SA"/>
    </w:rPr>
  </w:style>
  <w:style w:type="paragraph" w:customStyle="1" w:styleId="69">
    <w:name w:val="标准文本"/>
    <w:basedOn w:val="1"/>
    <w:link w:val="68"/>
    <w:qFormat/>
    <w:uiPriority w:val="0"/>
    <w:pPr>
      <w:spacing w:line="360" w:lineRule="auto"/>
      <w:ind w:firstLine="480" w:firstLineChars="200"/>
    </w:pPr>
    <w:rPr>
      <w:rFonts w:cs="宋体"/>
      <w:sz w:val="24"/>
      <w:szCs w:val="20"/>
    </w:rPr>
  </w:style>
  <w:style w:type="character" w:customStyle="1" w:styleId="70">
    <w:name w:val="纯文本 Char"/>
    <w:link w:val="24"/>
    <w:qFormat/>
    <w:uiPriority w:val="0"/>
    <w:rPr>
      <w:rFonts w:ascii="Century Gothic" w:hAnsi="楷体_GB2312" w:eastAsia="Century Gothic" w:cs="楷体_GB2312"/>
      <w:kern w:val="2"/>
      <w:sz w:val="21"/>
      <w:szCs w:val="21"/>
      <w:lang w:val="en-US" w:eastAsia="zh-CN" w:bidi="ar-SA"/>
    </w:rPr>
  </w:style>
  <w:style w:type="character" w:customStyle="1" w:styleId="71">
    <w:name w:val="style1"/>
    <w:basedOn w:val="45"/>
    <w:qFormat/>
    <w:uiPriority w:val="0"/>
  </w:style>
  <w:style w:type="character" w:customStyle="1" w:styleId="72">
    <w:name w:val="highlight1"/>
    <w:qFormat/>
    <w:uiPriority w:val="0"/>
    <w:rPr>
      <w:sz w:val="22"/>
      <w:szCs w:val="22"/>
    </w:rPr>
  </w:style>
  <w:style w:type="character" w:customStyle="1" w:styleId="73">
    <w:name w:val="正文缩进 Char"/>
    <w:link w:val="8"/>
    <w:qFormat/>
    <w:uiPriority w:val="0"/>
    <w:rPr>
      <w:rFonts w:ascii="Arial" w:hAnsi="Arial" w:eastAsia="宋体" w:cs="Arial"/>
      <w:lang w:val="en-US" w:eastAsia="zh-CN" w:bidi="ar-SA"/>
    </w:rPr>
  </w:style>
  <w:style w:type="character" w:customStyle="1" w:styleId="74">
    <w:name w:val="Char Char21"/>
    <w:qFormat/>
    <w:uiPriority w:val="0"/>
    <w:rPr>
      <w:rFonts w:eastAsia="Century Gothic"/>
      <w:b/>
      <w:bCs/>
      <w:kern w:val="44"/>
      <w:sz w:val="32"/>
      <w:szCs w:val="44"/>
      <w:lang w:val="en-US" w:eastAsia="zh-CN" w:bidi="ar-SA"/>
    </w:rPr>
  </w:style>
  <w:style w:type="character" w:customStyle="1" w:styleId="75">
    <w:name w:val="tpc_content1"/>
    <w:qFormat/>
    <w:uiPriority w:val="0"/>
    <w:rPr>
      <w:sz w:val="20"/>
      <w:szCs w:val="20"/>
    </w:rPr>
  </w:style>
  <w:style w:type="character" w:customStyle="1" w:styleId="76">
    <w:name w:val="Char Char12"/>
    <w:qFormat/>
    <w:uiPriority w:val="0"/>
    <w:rPr>
      <w:rFonts w:ascii="Century Gothic" w:hAnsi="楷体_GB2312" w:eastAsia="Century Gothic" w:cs="楷体_GB2312"/>
      <w:kern w:val="2"/>
      <w:sz w:val="21"/>
      <w:szCs w:val="21"/>
      <w:lang w:val="en-US" w:eastAsia="zh-CN" w:bidi="ar-SA"/>
    </w:rPr>
  </w:style>
  <w:style w:type="character" w:customStyle="1" w:styleId="77">
    <w:name w:val="标题 1 Char"/>
    <w:link w:val="4"/>
    <w:qFormat/>
    <w:uiPriority w:val="0"/>
    <w:rPr>
      <w:rFonts w:eastAsia="Century Gothic"/>
      <w:b/>
      <w:bCs/>
      <w:kern w:val="44"/>
      <w:sz w:val="44"/>
      <w:szCs w:val="44"/>
      <w:lang w:val="en-US" w:eastAsia="zh-CN" w:bidi="ar-SA"/>
    </w:rPr>
  </w:style>
  <w:style w:type="paragraph" w:customStyle="1" w:styleId="7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79">
    <w:name w:val="Char11"/>
    <w:basedOn w:val="1"/>
    <w:qFormat/>
    <w:uiPriority w:val="0"/>
  </w:style>
  <w:style w:type="paragraph" w:styleId="80">
    <w:name w:val="List Paragraph"/>
    <w:basedOn w:val="1"/>
    <w:qFormat/>
    <w:uiPriority w:val="1"/>
    <w:pPr>
      <w:ind w:firstLine="420" w:firstLineChars="200"/>
    </w:pPr>
    <w:rPr>
      <w:rFonts w:ascii="Times New Roman" w:hAnsi="Times New Roman" w:cs="Times New Roman"/>
    </w:rPr>
  </w:style>
  <w:style w:type="paragraph" w:customStyle="1" w:styleId="81">
    <w:name w:val="正文文本 21"/>
    <w:basedOn w:val="1"/>
    <w:qFormat/>
    <w:uiPriority w:val="0"/>
    <w:pPr>
      <w:adjustRightInd w:val="0"/>
      <w:spacing w:line="300" w:lineRule="auto"/>
      <w:jc w:val="center"/>
    </w:pPr>
    <w:rPr>
      <w:rFonts w:hint="eastAsia" w:ascii="Century Gothic" w:hAnsi="Century Gothic"/>
      <w:sz w:val="24"/>
      <w:szCs w:val="20"/>
    </w:rPr>
  </w:style>
  <w:style w:type="paragraph" w:customStyle="1" w:styleId="82">
    <w:name w:val="xl38"/>
    <w:basedOn w:val="1"/>
    <w:qFormat/>
    <w:uiPriority w:val="0"/>
    <w:pPr>
      <w:widowControl/>
      <w:spacing w:before="100" w:beforeAutospacing="1" w:after="100" w:afterAutospacing="1"/>
      <w:jc w:val="left"/>
    </w:pPr>
    <w:rPr>
      <w:rFonts w:ascii="Century Gothic" w:hAnsi="Century Gothic" w:cs="Century Gothic"/>
      <w:kern w:val="0"/>
      <w:sz w:val="18"/>
      <w:szCs w:val="18"/>
    </w:rPr>
  </w:style>
  <w:style w:type="paragraph" w:customStyle="1" w:styleId="83">
    <w:name w:val="正文1"/>
    <w:qFormat/>
    <w:uiPriority w:val="0"/>
    <w:pPr>
      <w:widowControl w:val="0"/>
      <w:jc w:val="both"/>
    </w:pPr>
    <w:rPr>
      <w:rFonts w:hint="eastAsia" w:ascii="Times New Roman" w:hAnsi="Times New Roman" w:eastAsia="宋体" w:cs="Calibri"/>
      <w:kern w:val="2"/>
      <w:sz w:val="21"/>
      <w:lang w:val="en-US" w:eastAsia="zh-CN" w:bidi="ar-SA"/>
    </w:rPr>
  </w:style>
  <w:style w:type="paragraph" w:customStyle="1" w:styleId="84">
    <w:name w:val="List Paragraph1"/>
    <w:basedOn w:val="1"/>
    <w:qFormat/>
    <w:uiPriority w:val="0"/>
    <w:pPr>
      <w:ind w:firstLine="420" w:firstLineChars="200"/>
    </w:pPr>
  </w:style>
  <w:style w:type="paragraph" w:customStyle="1" w:styleId="8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86">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87">
    <w:name w:val="Char1"/>
    <w:basedOn w:val="1"/>
    <w:qFormat/>
    <w:uiPriority w:val="0"/>
    <w:pPr>
      <w:widowControl/>
      <w:spacing w:after="160" w:line="240" w:lineRule="exact"/>
      <w:jc w:val="left"/>
    </w:pPr>
    <w:rPr>
      <w:szCs w:val="20"/>
    </w:rPr>
  </w:style>
  <w:style w:type="paragraph" w:customStyle="1" w:styleId="8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90">
    <w:name w:val="p0"/>
    <w:basedOn w:val="1"/>
    <w:qFormat/>
    <w:uiPriority w:val="0"/>
    <w:pPr>
      <w:widowControl/>
    </w:pPr>
    <w:rPr>
      <w:rFonts w:hint="eastAsia"/>
    </w:rPr>
  </w:style>
  <w:style w:type="paragraph" w:customStyle="1" w:styleId="91">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92">
    <w:name w:val="xl3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93">
    <w:name w:val="表头"/>
    <w:basedOn w:val="1"/>
    <w:qFormat/>
    <w:uiPriority w:val="0"/>
    <w:pPr>
      <w:adjustRightInd w:val="0"/>
      <w:spacing w:before="60" w:after="60" w:line="420" w:lineRule="atLeast"/>
      <w:jc w:val="left"/>
      <w:textAlignment w:val="baseline"/>
    </w:pPr>
    <w:rPr>
      <w:rFonts w:ascii="黑体" w:hAnsi="Times New Roman" w:eastAsia="黑体" w:cs="Times New Roman"/>
      <w:b/>
      <w:kern w:val="0"/>
      <w:szCs w:val="20"/>
    </w:rPr>
  </w:style>
  <w:style w:type="paragraph" w:customStyle="1" w:styleId="94">
    <w:name w:val="标书标题4"/>
    <w:basedOn w:val="7"/>
    <w:qFormat/>
    <w:uiPriority w:val="0"/>
    <w:pPr>
      <w:widowControl w:val="0"/>
      <w:adjustRightInd w:val="0"/>
      <w:snapToGrid w:val="0"/>
      <w:spacing w:line="300" w:lineRule="auto"/>
      <w:jc w:val="both"/>
    </w:pPr>
    <w:rPr>
      <w:rFonts w:eastAsia="Courier New"/>
      <w:b/>
      <w:snapToGrid/>
      <w:color w:val="000000"/>
      <w:sz w:val="28"/>
      <w:szCs w:val="32"/>
    </w:rPr>
  </w:style>
  <w:style w:type="paragraph" w:customStyle="1" w:styleId="95">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96">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97">
    <w:name w:val="Char Char Char Char Char Char Char Char"/>
    <w:basedOn w:val="1"/>
    <w:qFormat/>
    <w:uiPriority w:val="0"/>
    <w:pPr>
      <w:tabs>
        <w:tab w:val="left" w:pos="360"/>
      </w:tabs>
    </w:pPr>
    <w:rPr>
      <w:rFonts w:cs="Times New Roman"/>
      <w:szCs w:val="20"/>
    </w:rPr>
  </w:style>
  <w:style w:type="paragraph" w:customStyle="1" w:styleId="98">
    <w:name w:val="小节"/>
    <w:basedOn w:val="6"/>
    <w:qFormat/>
    <w:uiPriority w:val="0"/>
    <w:pPr>
      <w:spacing w:before="200" w:after="200" w:line="560" w:lineRule="exact"/>
      <w:jc w:val="left"/>
    </w:pPr>
    <w:rPr>
      <w:rFonts w:ascii="Century Gothic" w:hAnsi="Century Gothic"/>
      <w:bCs w:val="0"/>
      <w:color w:val="000000"/>
      <w:spacing w:val="10"/>
      <w:kern w:val="24"/>
      <w:sz w:val="28"/>
    </w:rPr>
  </w:style>
  <w:style w:type="paragraph" w:customStyle="1" w:styleId="9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100">
    <w:name w:val="纯文本1"/>
    <w:basedOn w:val="83"/>
    <w:qFormat/>
    <w:uiPriority w:val="0"/>
    <w:pPr>
      <w:widowControl/>
      <w:jc w:val="left"/>
    </w:pPr>
    <w:rPr>
      <w:rFonts w:ascii="宋体" w:hAnsi="Courier New"/>
    </w:rPr>
  </w:style>
  <w:style w:type="paragraph" w:customStyle="1" w:styleId="101">
    <w:name w:val="font5"/>
    <w:basedOn w:val="1"/>
    <w:qFormat/>
    <w:uiPriority w:val="0"/>
    <w:pPr>
      <w:widowControl/>
      <w:spacing w:before="100" w:beforeAutospacing="1" w:after="100" w:afterAutospacing="1"/>
      <w:jc w:val="left"/>
    </w:pPr>
    <w:rPr>
      <w:rFonts w:ascii="Century Gothic" w:hAnsi="Century Gothic" w:cs="Century Gothic"/>
      <w:kern w:val="0"/>
      <w:sz w:val="18"/>
      <w:szCs w:val="18"/>
    </w:rPr>
  </w:style>
  <w:style w:type="paragraph" w:customStyle="1" w:styleId="102">
    <w:name w:val="Char Char11 Char Char Char Char Char Char Char Char Char Char Char"/>
    <w:basedOn w:val="1"/>
    <w:qFormat/>
    <w:uiPriority w:val="0"/>
    <w:pPr>
      <w:spacing w:line="360" w:lineRule="auto"/>
    </w:pPr>
    <w:rPr>
      <w:rFonts w:eastAsia="黑体"/>
      <w:snapToGrid w:val="0"/>
      <w:kern w:val="0"/>
      <w:szCs w:val="21"/>
    </w:rPr>
  </w:style>
  <w:style w:type="paragraph" w:customStyle="1" w:styleId="103">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104">
    <w:name w:val="标书标题2"/>
    <w:basedOn w:val="5"/>
    <w:qFormat/>
    <w:uiPriority w:val="0"/>
    <w:pPr>
      <w:keepLines w:val="0"/>
      <w:widowControl/>
      <w:tabs>
        <w:tab w:val="left" w:pos="1320"/>
      </w:tabs>
      <w:snapToGrid w:val="0"/>
      <w:spacing w:beforeLines="50" w:after="60" w:line="300" w:lineRule="auto"/>
      <w:ind w:left="1320" w:hanging="420"/>
      <w:jc w:val="both"/>
    </w:pPr>
    <w:rPr>
      <w:rFonts w:eastAsia="Courier New"/>
      <w:color w:val="000000"/>
      <w:kern w:val="0"/>
      <w:sz w:val="28"/>
      <w:szCs w:val="20"/>
    </w:rPr>
  </w:style>
  <w:style w:type="paragraph" w:customStyle="1" w:styleId="105">
    <w:name w:val="font1"/>
    <w:basedOn w:val="1"/>
    <w:qFormat/>
    <w:uiPriority w:val="0"/>
    <w:pPr>
      <w:widowControl/>
      <w:spacing w:before="100" w:beforeAutospacing="1" w:after="100" w:afterAutospacing="1"/>
      <w:jc w:val="left"/>
    </w:pPr>
    <w:rPr>
      <w:rFonts w:ascii="Century Gothic" w:hAnsi="Century Gothic"/>
      <w:kern w:val="0"/>
      <w:sz w:val="24"/>
      <w:szCs w:val="20"/>
    </w:rPr>
  </w:style>
  <w:style w:type="paragraph" w:customStyle="1" w:styleId="106">
    <w:name w:val="title11"/>
    <w:basedOn w:val="1"/>
    <w:qFormat/>
    <w:uiPriority w:val="0"/>
    <w:pPr>
      <w:spacing w:before="150"/>
      <w:jc w:val="left"/>
    </w:pPr>
    <w:rPr>
      <w:rFonts w:cs="Times New Roman"/>
      <w:b/>
      <w:kern w:val="0"/>
    </w:rPr>
  </w:style>
  <w:style w:type="paragraph" w:customStyle="1" w:styleId="107">
    <w:name w:val="Char Char Char Char"/>
    <w:basedOn w:val="1"/>
    <w:qFormat/>
    <w:uiPriority w:val="0"/>
    <w:rPr>
      <w:rFonts w:cs="Times New Roman"/>
      <w:szCs w:val="20"/>
    </w:rPr>
  </w:style>
  <w:style w:type="paragraph" w:customStyle="1" w:styleId="108">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109">
    <w:name w:val="节"/>
    <w:basedOn w:val="5"/>
    <w:qFormat/>
    <w:uiPriority w:val="0"/>
    <w:pPr>
      <w:adjustRightInd/>
      <w:spacing w:before="160" w:after="160" w:line="720" w:lineRule="exact"/>
      <w:jc w:val="center"/>
    </w:pPr>
    <w:rPr>
      <w:rFonts w:ascii="Arial" w:hAnsi="Arial"/>
      <w:b w:val="0"/>
      <w:color w:val="000000"/>
      <w:spacing w:val="14"/>
      <w:kern w:val="24"/>
      <w:sz w:val="28"/>
      <w:szCs w:val="20"/>
    </w:rPr>
  </w:style>
  <w:style w:type="paragraph" w:customStyle="1" w:styleId="110">
    <w:name w:val="Char Char Char Char Char"/>
    <w:basedOn w:val="1"/>
    <w:qFormat/>
    <w:uiPriority w:val="0"/>
    <w:pPr>
      <w:widowControl/>
      <w:spacing w:after="160" w:line="240" w:lineRule="exact"/>
      <w:jc w:val="left"/>
    </w:pPr>
    <w:rPr>
      <w:rFonts w:ascii="Verdana" w:hAnsi="Verdana" w:eastAsia="华文细黑" w:cs="Times New Roman"/>
    </w:rPr>
  </w:style>
  <w:style w:type="paragraph" w:customStyle="1" w:styleId="111">
    <w:name w:val="font6"/>
    <w:basedOn w:val="1"/>
    <w:qFormat/>
    <w:uiPriority w:val="0"/>
    <w:pPr>
      <w:widowControl/>
      <w:spacing w:before="100" w:beforeAutospacing="1" w:after="100" w:afterAutospacing="1"/>
      <w:jc w:val="left"/>
    </w:pPr>
    <w:rPr>
      <w:kern w:val="0"/>
      <w:sz w:val="18"/>
      <w:szCs w:val="18"/>
    </w:rPr>
  </w:style>
  <w:style w:type="paragraph" w:customStyle="1" w:styleId="112">
    <w:name w:val="正文文字格式"/>
    <w:basedOn w:val="1"/>
    <w:qFormat/>
    <w:uiPriority w:val="0"/>
    <w:pPr>
      <w:spacing w:line="460" w:lineRule="exact"/>
      <w:ind w:firstLine="505"/>
      <w:jc w:val="left"/>
    </w:pPr>
    <w:rPr>
      <w:rFonts w:ascii="Century Gothic"/>
      <w:kern w:val="24"/>
      <w:sz w:val="24"/>
      <w:szCs w:val="20"/>
    </w:rPr>
  </w:style>
  <w:style w:type="paragraph" w:customStyle="1" w:styleId="113">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14">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11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cs="Times New Roman"/>
      <w:kern w:val="0"/>
      <w:sz w:val="24"/>
      <w:szCs w:val="20"/>
    </w:rPr>
  </w:style>
  <w:style w:type="paragraph" w:customStyle="1" w:styleId="116">
    <w:name w:val="Char3 Char Char Char"/>
    <w:basedOn w:val="1"/>
    <w:qFormat/>
    <w:uiPriority w:val="0"/>
    <w:pPr>
      <w:widowControl/>
      <w:spacing w:after="160" w:line="240" w:lineRule="exact"/>
      <w:jc w:val="left"/>
    </w:pPr>
    <w:rPr>
      <w:szCs w:val="20"/>
    </w:rPr>
  </w:style>
  <w:style w:type="paragraph" w:customStyle="1" w:styleId="117">
    <w:name w:val="xl3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118">
    <w:name w:val="xl27"/>
    <w:basedOn w:val="1"/>
    <w:qFormat/>
    <w:uiPriority w:val="0"/>
    <w:pPr>
      <w:widowControl/>
      <w:pBdr>
        <w:bottom w:val="single" w:color="auto" w:sz="4" w:space="0"/>
      </w:pBdr>
      <w:spacing w:before="100" w:beforeAutospacing="1" w:after="100" w:afterAutospacing="1"/>
      <w:jc w:val="center"/>
      <w:textAlignment w:val="center"/>
    </w:pPr>
    <w:rPr>
      <w:rFonts w:ascii="Arial Narrow" w:hAnsi="Century Gothic" w:eastAsia="Arial Narrow" w:cs="Century Gothic"/>
      <w:kern w:val="0"/>
      <w:sz w:val="36"/>
      <w:szCs w:val="36"/>
    </w:rPr>
  </w:style>
  <w:style w:type="paragraph" w:customStyle="1" w:styleId="119">
    <w:name w:val="无间隔1"/>
    <w:qFormat/>
    <w:uiPriority w:val="0"/>
    <w:rPr>
      <w:rFonts w:ascii="Calibri" w:hAnsi="Calibri" w:eastAsia="宋体" w:cs="Calibri"/>
      <w:sz w:val="22"/>
      <w:szCs w:val="22"/>
      <w:lang w:val="en-US" w:eastAsia="en-US" w:bidi="ar-SA"/>
    </w:rPr>
  </w:style>
  <w:style w:type="paragraph" w:customStyle="1" w:styleId="120">
    <w:name w:val="标书标题3"/>
    <w:basedOn w:val="6"/>
    <w:qFormat/>
    <w:uiPriority w:val="0"/>
    <w:pPr>
      <w:keepLines w:val="0"/>
      <w:widowControl/>
      <w:adjustRightInd w:val="0"/>
      <w:snapToGrid w:val="0"/>
      <w:spacing w:before="120" w:after="60" w:line="300" w:lineRule="auto"/>
      <w:jc w:val="left"/>
    </w:pPr>
    <w:rPr>
      <w:rFonts w:eastAsia="Courier New"/>
      <w:b w:val="0"/>
      <w:bCs w:val="0"/>
      <w:color w:val="000000"/>
      <w:kern w:val="0"/>
      <w:sz w:val="28"/>
    </w:rPr>
  </w:style>
  <w:style w:type="paragraph" w:customStyle="1" w:styleId="121">
    <w:name w:val="正文段"/>
    <w:basedOn w:val="1"/>
    <w:qFormat/>
    <w:uiPriority w:val="0"/>
    <w:pPr>
      <w:widowControl/>
      <w:snapToGrid w:val="0"/>
      <w:spacing w:afterLines="50"/>
      <w:ind w:firstLine="200" w:firstLineChars="200"/>
    </w:pPr>
    <w:rPr>
      <w:kern w:val="0"/>
      <w:sz w:val="24"/>
      <w:szCs w:val="20"/>
    </w:rPr>
  </w:style>
  <w:style w:type="paragraph" w:customStyle="1" w:styleId="12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23">
    <w:name w:val="无间隔2"/>
    <w:qFormat/>
    <w:uiPriority w:val="0"/>
    <w:rPr>
      <w:rFonts w:ascii="Calibri" w:hAnsi="Calibri" w:eastAsia="宋体" w:cs="Calibri"/>
      <w:sz w:val="22"/>
      <w:szCs w:val="22"/>
      <w:lang w:val="en-US" w:eastAsia="en-US" w:bidi="ar-SA"/>
    </w:rPr>
  </w:style>
  <w:style w:type="paragraph" w:customStyle="1" w:styleId="124">
    <w:name w:val="样式5"/>
    <w:basedOn w:val="7"/>
    <w:qFormat/>
    <w:uiPriority w:val="0"/>
    <w:pPr>
      <w:keepLines/>
      <w:widowControl w:val="0"/>
      <w:spacing w:before="280" w:after="290" w:line="376" w:lineRule="auto"/>
    </w:pPr>
    <w:rPr>
      <w:rFonts w:ascii="Century Gothic" w:hAnsi="Century Gothic" w:eastAsia="Century Gothic"/>
      <w:b/>
      <w:bCs/>
      <w:snapToGrid/>
      <w:kern w:val="2"/>
      <w:sz w:val="32"/>
      <w:szCs w:val="32"/>
    </w:rPr>
  </w:style>
  <w:style w:type="paragraph" w:customStyle="1" w:styleId="125">
    <w:name w:val="Char2"/>
    <w:basedOn w:val="1"/>
    <w:qFormat/>
    <w:uiPriority w:val="0"/>
    <w:rPr>
      <w:rFonts w:ascii="Courier New" w:eastAsia="Courier New"/>
      <w:b/>
      <w:sz w:val="32"/>
      <w:szCs w:val="32"/>
    </w:rPr>
  </w:style>
  <w:style w:type="paragraph" w:customStyle="1" w:styleId="126">
    <w:name w:val="表格文字"/>
    <w:basedOn w:val="1"/>
    <w:next w:val="3"/>
    <w:qFormat/>
    <w:uiPriority w:val="0"/>
    <w:pPr>
      <w:adjustRightInd w:val="0"/>
      <w:spacing w:line="420" w:lineRule="atLeast"/>
      <w:jc w:val="left"/>
      <w:textAlignment w:val="baseline"/>
    </w:pPr>
    <w:rPr>
      <w:kern w:val="0"/>
      <w:sz w:val="24"/>
    </w:rPr>
  </w:style>
  <w:style w:type="paragraph" w:customStyle="1" w:styleId="127">
    <w:name w:val="样式"/>
    <w:basedOn w:val="1"/>
    <w:qFormat/>
    <w:uiPriority w:val="0"/>
    <w:pPr>
      <w:tabs>
        <w:tab w:val="left" w:pos="567"/>
      </w:tabs>
      <w:snapToGrid w:val="0"/>
      <w:spacing w:line="460" w:lineRule="atLeast"/>
    </w:pPr>
    <w:rPr>
      <w:rFonts w:ascii="Arial" w:hAnsi="Arial" w:cs="Times New Roman"/>
      <w:spacing w:val="6"/>
      <w:sz w:val="24"/>
      <w:szCs w:val="20"/>
    </w:rPr>
  </w:style>
  <w:style w:type="paragraph" w:customStyle="1" w:styleId="128">
    <w:name w:val="WPSOffice手动目录 1"/>
    <w:qFormat/>
    <w:uiPriority w:val="0"/>
    <w:rPr>
      <w:rFonts w:asciiTheme="minorHAnsi" w:hAnsiTheme="minorHAnsi" w:eastAsiaTheme="minorEastAsia" w:cstheme="minorBidi"/>
      <w:lang w:val="en-US" w:eastAsia="zh-CN" w:bidi="ar-SA"/>
    </w:rPr>
  </w:style>
  <w:style w:type="paragraph" w:customStyle="1" w:styleId="12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30">
    <w:name w:val="正文缩进_0"/>
    <w:basedOn w:val="1"/>
    <w:qFormat/>
    <w:uiPriority w:val="0"/>
    <w:pPr>
      <w:ind w:firstLine="420"/>
    </w:pPr>
    <w:rPr>
      <w:kern w:val="0"/>
      <w:sz w:val="24"/>
      <w:szCs w:val="20"/>
    </w:rPr>
  </w:style>
  <w:style w:type="character" w:customStyle="1" w:styleId="131">
    <w:name w:val="ant-select-tree-checkbox2"/>
    <w:basedOn w:val="45"/>
    <w:qFormat/>
    <w:uiPriority w:val="0"/>
  </w:style>
  <w:style w:type="character" w:customStyle="1" w:styleId="132">
    <w:name w:val="ant-tree-icon_loading"/>
    <w:basedOn w:val="45"/>
    <w:qFormat/>
    <w:uiPriority w:val="0"/>
    <w:rPr>
      <w:shd w:val="clear" w:color="auto" w:fill="FFFFFF"/>
    </w:rPr>
  </w:style>
  <w:style w:type="character" w:customStyle="1" w:styleId="133">
    <w:name w:val="ant-tree-switcher"/>
    <w:basedOn w:val="45"/>
    <w:qFormat/>
    <w:uiPriority w:val="0"/>
  </w:style>
  <w:style w:type="character" w:customStyle="1" w:styleId="134">
    <w:name w:val="ant-radio+*"/>
    <w:basedOn w:val="45"/>
    <w:qFormat/>
    <w:uiPriority w:val="0"/>
  </w:style>
  <w:style w:type="character" w:customStyle="1" w:styleId="135">
    <w:name w:val="ant-radio+*1"/>
    <w:basedOn w:val="45"/>
    <w:qFormat/>
    <w:uiPriority w:val="0"/>
  </w:style>
  <w:style w:type="character" w:customStyle="1" w:styleId="136">
    <w:name w:val="ant-tree-iconele"/>
    <w:basedOn w:val="45"/>
    <w:qFormat/>
    <w:uiPriority w:val="0"/>
  </w:style>
  <w:style w:type="character" w:customStyle="1" w:styleId="137">
    <w:name w:val="ant-select-tree-switcher"/>
    <w:basedOn w:val="45"/>
    <w:qFormat/>
    <w:uiPriority w:val="0"/>
  </w:style>
  <w:style w:type="character" w:customStyle="1" w:styleId="138">
    <w:name w:val="ant-select-tree-iconele"/>
    <w:basedOn w:val="45"/>
    <w:qFormat/>
    <w:uiPriority w:val="0"/>
  </w:style>
  <w:style w:type="character" w:customStyle="1" w:styleId="139">
    <w:name w:val="ant-input14"/>
    <w:basedOn w:val="45"/>
    <w:qFormat/>
    <w:uiPriority w:val="0"/>
  </w:style>
  <w:style w:type="character" w:customStyle="1" w:styleId="140">
    <w:name w:val="ant-transfer-list-search-action"/>
    <w:basedOn w:val="45"/>
    <w:qFormat/>
    <w:uiPriority w:val="0"/>
  </w:style>
  <w:style w:type="character" w:customStyle="1" w:styleId="141">
    <w:name w:val="ant-tree-checkbox2"/>
    <w:basedOn w:val="45"/>
    <w:qFormat/>
    <w:uiPriority w:val="0"/>
  </w:style>
  <w:style w:type="character" w:customStyle="1" w:styleId="142">
    <w:name w:val="ant-select-tree-checkbox"/>
    <w:basedOn w:val="45"/>
    <w:qFormat/>
    <w:uiPriority w:val="0"/>
  </w:style>
  <w:style w:type="character" w:customStyle="1" w:styleId="143">
    <w:name w:val="ant-input18"/>
    <w:basedOn w:val="45"/>
    <w:qFormat/>
    <w:uiPriority w:val="0"/>
  </w:style>
  <w:style w:type="character" w:customStyle="1" w:styleId="144">
    <w:name w:val="ant-upload-download"/>
    <w:basedOn w:val="45"/>
    <w:qFormat/>
    <w:uiPriority w:val="0"/>
  </w:style>
  <w:style w:type="character" w:customStyle="1" w:styleId="145">
    <w:name w:val="nc-lang-cnt"/>
    <w:basedOn w:val="45"/>
    <w:qFormat/>
    <w:uiPriority w:val="0"/>
  </w:style>
  <w:style w:type="character" w:customStyle="1" w:styleId="146">
    <w:name w:val="nc-lang-cnt1"/>
    <w:basedOn w:val="45"/>
    <w:qFormat/>
    <w:uiPriority w:val="0"/>
  </w:style>
  <w:style w:type="character" w:customStyle="1" w:styleId="147">
    <w:name w:val="nc-lang-cnt2"/>
    <w:basedOn w:val="45"/>
    <w:qFormat/>
    <w:uiPriority w:val="0"/>
    <w:rPr>
      <w:rFonts w:hint="cs"/>
      <w:rtl/>
    </w:rPr>
  </w:style>
  <w:style w:type="character" w:customStyle="1" w:styleId="148">
    <w:name w:val="nc-lang-cnt3"/>
    <w:basedOn w:val="45"/>
    <w:qFormat/>
    <w:uiPriority w:val="0"/>
    <w:rPr>
      <w:rFonts w:hint="cs"/>
      <w:rtl/>
    </w:rPr>
  </w:style>
  <w:style w:type="character" w:customStyle="1" w:styleId="149">
    <w:name w:val="nc-lang-cnt4"/>
    <w:basedOn w:val="45"/>
    <w:qFormat/>
    <w:uiPriority w:val="0"/>
    <w:rPr>
      <w:rFonts w:hint="cs"/>
      <w:rtl/>
    </w:rPr>
  </w:style>
  <w:style w:type="character" w:customStyle="1" w:styleId="150">
    <w:name w:val="nc-lang-cnt5"/>
    <w:basedOn w:val="45"/>
    <w:qFormat/>
    <w:uiPriority w:val="0"/>
    <w:rPr>
      <w:rFonts w:hint="cs"/>
      <w:rtl/>
    </w:rPr>
  </w:style>
  <w:style w:type="character" w:customStyle="1" w:styleId="151">
    <w:name w:val="nc-lang-cnt6"/>
    <w:basedOn w:val="45"/>
    <w:qFormat/>
    <w:uiPriority w:val="0"/>
  </w:style>
  <w:style w:type="character" w:customStyle="1" w:styleId="152">
    <w:name w:val="ant-table-tbody1"/>
    <w:basedOn w:val="45"/>
    <w:qFormat/>
    <w:uiPriority w:val="0"/>
  </w:style>
  <w:style w:type="paragraph" w:customStyle="1" w:styleId="153">
    <w:name w:val="CM25"/>
    <w:basedOn w:val="56"/>
    <w:next w:val="56"/>
    <w:qFormat/>
    <w:uiPriority w:val="0"/>
    <w:pPr>
      <w:spacing w:line="440" w:lineRule="atLeast"/>
    </w:pPr>
    <w:rPr>
      <w:color w:val="auto"/>
    </w:rPr>
  </w:style>
  <w:style w:type="paragraph" w:customStyle="1" w:styleId="154">
    <w:name w:val="CM44"/>
    <w:basedOn w:val="56"/>
    <w:next w:val="56"/>
    <w:qFormat/>
    <w:uiPriority w:val="0"/>
    <w:pPr>
      <w:spacing w:line="440" w:lineRule="atLeast"/>
    </w:pPr>
    <w:rPr>
      <w:color w:val="auto"/>
    </w:rPr>
  </w:style>
  <w:style w:type="paragraph" w:customStyle="1" w:styleId="155">
    <w:name w:val="CM24"/>
    <w:basedOn w:val="56"/>
    <w:next w:val="56"/>
    <w:qFormat/>
    <w:uiPriority w:val="0"/>
    <w:pPr>
      <w:spacing w:line="440" w:lineRule="atLeast"/>
    </w:pPr>
    <w:rPr>
      <w:color w:val="auto"/>
    </w:rPr>
  </w:style>
  <w:style w:type="paragraph" w:customStyle="1" w:styleId="156">
    <w:name w:val="CM99"/>
    <w:basedOn w:val="56"/>
    <w:next w:val="56"/>
    <w:qFormat/>
    <w:uiPriority w:val="0"/>
    <w:rPr>
      <w:color w:val="auto"/>
    </w:rPr>
  </w:style>
  <w:style w:type="paragraph" w:customStyle="1" w:styleId="157">
    <w:name w:val="_Style 3"/>
    <w:qFormat/>
    <w:uiPriority w:val="0"/>
    <w:rPr>
      <w:rFonts w:ascii="Calibri" w:hAnsi="Calibri" w:eastAsia="宋体" w:cs="Times New Roman"/>
      <w:sz w:val="22"/>
      <w:szCs w:val="22"/>
      <w:lang w:val="en-US" w:eastAsia="zh-CN" w:bidi="ar-SA"/>
    </w:rPr>
  </w:style>
  <w:style w:type="paragraph" w:customStyle="1" w:styleId="158">
    <w:name w:val="仿宋3号正文"/>
    <w:basedOn w:val="1"/>
    <w:qFormat/>
    <w:uiPriority w:val="0"/>
    <w:pPr>
      <w:widowControl/>
      <w:ind w:firstLine="200" w:firstLineChars="200"/>
      <w:jc w:val="left"/>
    </w:pPr>
    <w:rPr>
      <w:rFonts w:ascii="仿宋_GB2312" w:eastAsia="仿宋_GB2312"/>
      <w:kern w:val="0"/>
      <w:sz w:val="32"/>
      <w:szCs w:val="32"/>
    </w:rPr>
  </w:style>
  <w:style w:type="paragraph" w:customStyle="1" w:styleId="159">
    <w:name w:val="列出段落1"/>
    <w:basedOn w:val="160"/>
    <w:next w:val="161"/>
    <w:qFormat/>
    <w:uiPriority w:val="0"/>
    <w:pPr>
      <w:ind w:firstLine="420" w:firstLineChars="200"/>
    </w:pPr>
    <w:rPr>
      <w:sz w:val="21"/>
    </w:rPr>
  </w:style>
  <w:style w:type="paragraph" w:customStyle="1" w:styleId="160">
    <w:name w:val="正文_10_42"/>
    <w:qFormat/>
    <w:uiPriority w:val="0"/>
    <w:pPr>
      <w:widowControl w:val="0"/>
      <w:jc w:val="both"/>
    </w:pPr>
    <w:rPr>
      <w:rFonts w:ascii="Calibri" w:hAnsi="Calibri" w:eastAsia="宋体" w:cs="Times New Roman"/>
      <w:kern w:val="2"/>
      <w:sz w:val="24"/>
      <w:szCs w:val="22"/>
      <w:lang w:val="en-US" w:eastAsia="zh-CN" w:bidi="ar-SA"/>
    </w:rPr>
  </w:style>
  <w:style w:type="paragraph" w:customStyle="1" w:styleId="161">
    <w:name w:val="标题 7_0"/>
    <w:basedOn w:val="162"/>
    <w:next w:val="162"/>
    <w:unhideWhenUsed/>
    <w:qFormat/>
    <w:uiPriority w:val="9"/>
    <w:pPr>
      <w:keepNext/>
      <w:keepLines/>
      <w:adjustRightInd w:val="0"/>
      <w:spacing w:before="240" w:after="64" w:line="320" w:lineRule="atLeast"/>
      <w:jc w:val="left"/>
      <w:textAlignment w:val="baseline"/>
      <w:outlineLvl w:val="6"/>
    </w:pPr>
    <w:rPr>
      <w:b/>
      <w:bCs/>
      <w:kern w:val="0"/>
      <w:sz w:val="24"/>
    </w:rPr>
  </w:style>
  <w:style w:type="paragraph" w:customStyle="1" w:styleId="162">
    <w:name w:val="正文_37"/>
    <w:next w:val="16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3">
    <w:name w:val="纯文本_37"/>
    <w:basedOn w:val="162"/>
    <w:qFormat/>
    <w:uiPriority w:val="0"/>
    <w:rPr>
      <w:rFonts w:ascii="宋体" w:hAnsi="Courier New" w:cs="Courier New"/>
      <w:szCs w:val="21"/>
    </w:rPr>
  </w:style>
  <w:style w:type="paragraph" w:customStyle="1" w:styleId="164">
    <w:name w:val="目录 81"/>
    <w:basedOn w:val="1"/>
    <w:next w:val="1"/>
    <w:qFormat/>
    <w:uiPriority w:val="0"/>
    <w:pPr>
      <w:ind w:left="2940"/>
    </w:pPr>
  </w:style>
  <w:style w:type="paragraph" w:customStyle="1" w:styleId="165">
    <w:name w:val="正文_31_0"/>
    <w:next w:val="16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
    <w:name w:val="正文首行缩进 2_30"/>
    <w:basedOn w:val="167"/>
    <w:unhideWhenUsed/>
    <w:qFormat/>
    <w:uiPriority w:val="99"/>
    <w:pPr>
      <w:spacing w:before="100" w:beforeAutospacing="1"/>
      <w:ind w:firstLine="420" w:firstLineChars="200"/>
    </w:pPr>
    <w:rPr>
      <w:rFonts w:ascii="宋体" w:hAnsi="宋体" w:cs="宋体"/>
      <w:szCs w:val="21"/>
    </w:rPr>
  </w:style>
  <w:style w:type="paragraph" w:customStyle="1" w:styleId="167">
    <w:name w:val="正文文本缩进_31"/>
    <w:basedOn w:val="165"/>
    <w:qFormat/>
    <w:uiPriority w:val="0"/>
    <w:pPr>
      <w:spacing w:after="120"/>
      <w:ind w:left="420" w:leftChars="200"/>
    </w:pPr>
    <w:rPr>
      <w:kern w:val="0"/>
      <w:sz w:val="20"/>
    </w:rPr>
  </w:style>
  <w:style w:type="paragraph" w:customStyle="1" w:styleId="168">
    <w:name w:val="Normal_0_1"/>
    <w:qFormat/>
    <w:uiPriority w:val="0"/>
    <w:rPr>
      <w:rFonts w:ascii="Times New Roman" w:hAnsi="Times New Roman" w:eastAsia="宋体" w:cs="Times New Roman"/>
      <w:sz w:val="24"/>
      <w:szCs w:val="24"/>
    </w:rPr>
  </w:style>
  <w:style w:type="paragraph" w:customStyle="1" w:styleId="169">
    <w:name w:val="正文_0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0">
    <w:name w:val="正文_1_4"/>
    <w:next w:val="171"/>
    <w:qFormat/>
    <w:uiPriority w:val="0"/>
    <w:pPr>
      <w:widowControl w:val="0"/>
      <w:jc w:val="both"/>
    </w:pPr>
    <w:rPr>
      <w:rFonts w:ascii="Calibri" w:hAnsi="Calibri" w:eastAsia="宋体" w:cs="Times New Roman"/>
      <w:kern w:val="2"/>
      <w:sz w:val="24"/>
      <w:szCs w:val="22"/>
      <w:lang w:val="en-US" w:eastAsia="zh-CN" w:bidi="ar-SA"/>
    </w:rPr>
  </w:style>
  <w:style w:type="paragraph" w:customStyle="1" w:styleId="171">
    <w:name w:val="正文文本_170"/>
    <w:basedOn w:val="170"/>
    <w:next w:val="170"/>
    <w:qFormat/>
    <w:uiPriority w:val="0"/>
    <w:pPr>
      <w:spacing w:after="120"/>
    </w:pPr>
    <w:rPr>
      <w:rFonts w:ascii="Times New Roman" w:hAnsi="Times New Roman"/>
      <w:kern w:val="0"/>
      <w:sz w:val="20"/>
      <w:szCs w:val="24"/>
    </w:rPr>
  </w:style>
  <w:style w:type="paragraph" w:customStyle="1" w:styleId="172">
    <w:name w:val="Normal_5_7"/>
    <w:qFormat/>
    <w:uiPriority w:val="0"/>
    <w:pPr>
      <w:widowControl w:val="0"/>
      <w:jc w:val="both"/>
    </w:pPr>
    <w:rPr>
      <w:rFonts w:ascii="Times New Roman" w:hAnsi="Times New Roman" w:eastAsia="宋体" w:cs="Times New Roman"/>
      <w:szCs w:val="24"/>
      <w:lang w:val="en-US" w:eastAsia="zh-CN" w:bidi="ar-SA"/>
    </w:rPr>
  </w:style>
  <w:style w:type="paragraph" w:customStyle="1" w:styleId="173">
    <w:name w:val="NormalIndent"/>
    <w:basedOn w:val="1"/>
    <w:qFormat/>
    <w:uiPriority w:val="0"/>
    <w:pPr>
      <w:ind w:firstLine="420" w:firstLineChars="200"/>
    </w:pPr>
    <w:rPr>
      <w:rFonts w:cs="Times New Roman"/>
    </w:rPr>
  </w:style>
  <w:style w:type="paragraph" w:customStyle="1" w:styleId="174">
    <w:name w:val="Table Paragraph"/>
    <w:basedOn w:val="1"/>
    <w:qFormat/>
    <w:uiPriority w:val="1"/>
  </w:style>
  <w:style w:type="character" w:customStyle="1" w:styleId="175">
    <w:name w:val="NormalCharacter"/>
    <w:semiHidden/>
    <w:qFormat/>
    <w:uiPriority w:val="0"/>
    <w:rPr>
      <w:rFonts w:ascii="Times New Roman" w:hAnsi="Times New Roman" w:eastAsia="宋体" w:cs="Times New Roman"/>
      <w:kern w:val="2"/>
      <w:sz w:val="21"/>
      <w:szCs w:val="21"/>
      <w:lang w:val="en-US" w:eastAsia="zh-CN" w:bidi="ar-SA"/>
    </w:rPr>
  </w:style>
  <w:style w:type="paragraph" w:customStyle="1" w:styleId="176">
    <w:name w:val="Normal_16"/>
    <w:qFormat/>
    <w:uiPriority w:val="0"/>
    <w:rPr>
      <w:rFonts w:ascii="Times New Roman" w:hAnsi="Times New Roman" w:eastAsia="宋体" w:cs="Times New Roman"/>
      <w:sz w:val="24"/>
      <w:szCs w:val="24"/>
    </w:rPr>
  </w:style>
  <w:style w:type="paragraph" w:customStyle="1" w:styleId="177">
    <w:name w:val="Normal_16_0"/>
    <w:qFormat/>
    <w:uiPriority w:val="0"/>
    <w:pPr>
      <w:widowControl w:val="0"/>
      <w:jc w:val="both"/>
    </w:pPr>
    <w:rPr>
      <w:rFonts w:ascii="Calibri" w:hAnsi="Calibri" w:eastAsia="宋体" w:cs="Times New Roman"/>
      <w:kern w:val="2"/>
      <w:sz w:val="24"/>
      <w:szCs w:val="22"/>
      <w:lang w:val="en-US" w:eastAsia="zh-CN" w:bidi="ar-SA"/>
    </w:rPr>
  </w:style>
  <w:style w:type="paragraph" w:customStyle="1" w:styleId="178">
    <w:name w:val="正文_6_2"/>
    <w:qFormat/>
    <w:uiPriority w:val="0"/>
    <w:pPr>
      <w:widowControl w:val="0"/>
      <w:jc w:val="both"/>
    </w:pPr>
    <w:rPr>
      <w:rFonts w:ascii="Calibri" w:hAnsi="Calibri" w:eastAsia="宋体" w:cs="Times New Roman"/>
      <w:kern w:val="2"/>
      <w:sz w:val="24"/>
      <w:szCs w:val="22"/>
      <w:lang w:val="en-US" w:eastAsia="zh-CN" w:bidi="ar-SA"/>
    </w:rPr>
  </w:style>
  <w:style w:type="paragraph" w:customStyle="1" w:styleId="179">
    <w:name w:val="Normal_18"/>
    <w:qFormat/>
    <w:uiPriority w:val="0"/>
    <w:rPr>
      <w:rFonts w:ascii="Times New Roman" w:hAnsi="Times New Roman" w:eastAsia="宋体" w:cs="Times New Roman"/>
      <w:sz w:val="24"/>
      <w:szCs w:val="24"/>
    </w:rPr>
  </w:style>
  <w:style w:type="paragraph" w:customStyle="1" w:styleId="180">
    <w:name w:val="Normal_7"/>
    <w:qFormat/>
    <w:uiPriority w:val="0"/>
    <w:rPr>
      <w:rFonts w:ascii="Times New Roman" w:hAnsi="Times New Roman" w:eastAsia="宋体" w:cs="Times New Roman"/>
      <w:sz w:val="24"/>
      <w:szCs w:val="24"/>
    </w:rPr>
  </w:style>
  <w:style w:type="paragraph" w:customStyle="1" w:styleId="181">
    <w:name w:val="正文_1"/>
    <w:qFormat/>
    <w:uiPriority w:val="0"/>
    <w:pPr>
      <w:widowControl w:val="0"/>
      <w:jc w:val="both"/>
    </w:pPr>
    <w:rPr>
      <w:rFonts w:ascii="Calibri" w:hAnsi="Calibri" w:eastAsia="宋体" w:cs="Times New Roman"/>
      <w:kern w:val="2"/>
      <w:sz w:val="24"/>
      <w:szCs w:val="22"/>
      <w:lang w:val="en-US" w:eastAsia="zh-CN" w:bidi="ar-SA"/>
    </w:rPr>
  </w:style>
  <w:style w:type="paragraph" w:customStyle="1" w:styleId="182">
    <w:name w:val="Normal_5_5"/>
    <w:qFormat/>
    <w:uiPriority w:val="0"/>
    <w:pPr>
      <w:widowControl w:val="0"/>
      <w:jc w:val="both"/>
    </w:pPr>
    <w:rPr>
      <w:rFonts w:ascii="Times New Roman" w:hAnsi="Times New Roman" w:eastAsia="宋体" w:cs="Times New Roman"/>
      <w:szCs w:val="24"/>
      <w:lang w:val="en-US" w:eastAsia="zh-CN" w:bidi="ar-SA"/>
    </w:rPr>
  </w:style>
  <w:style w:type="paragraph" w:customStyle="1" w:styleId="183">
    <w:name w:val="Normal_5_6"/>
    <w:qFormat/>
    <w:uiPriority w:val="0"/>
    <w:pPr>
      <w:widowControl w:val="0"/>
      <w:jc w:val="both"/>
    </w:pPr>
    <w:rPr>
      <w:rFonts w:ascii="Times New Roman" w:hAnsi="Times New Roman" w:eastAsia="宋体" w:cs="Times New Roman"/>
      <w:szCs w:val="24"/>
      <w:lang w:val="en-US" w:eastAsia="zh-CN" w:bidi="ar-SA"/>
    </w:rPr>
  </w:style>
  <w:style w:type="paragraph" w:customStyle="1" w:styleId="184">
    <w:name w:val="Normal_5_10"/>
    <w:qFormat/>
    <w:uiPriority w:val="0"/>
    <w:pPr>
      <w:widowControl w:val="0"/>
      <w:jc w:val="both"/>
    </w:pPr>
    <w:rPr>
      <w:rFonts w:ascii="Times New Roman" w:hAnsi="Times New Roman" w:eastAsia="宋体" w:cs="Times New Roman"/>
      <w:szCs w:val="24"/>
      <w:lang w:val="en-US" w:eastAsia="zh-CN" w:bidi="ar-SA"/>
    </w:rPr>
  </w:style>
  <w:style w:type="paragraph" w:customStyle="1" w:styleId="185">
    <w:name w:val="Normal_5_7_0"/>
    <w:qFormat/>
    <w:uiPriority w:val="0"/>
    <w:pPr>
      <w:widowControl w:val="0"/>
      <w:jc w:val="both"/>
    </w:pPr>
    <w:rPr>
      <w:rFonts w:ascii="Times New Roman" w:hAnsi="Times New Roman" w:eastAsia="宋体" w:cs="Times New Roman"/>
      <w:szCs w:val="24"/>
      <w:lang w:val="en-US" w:eastAsia="zh-CN" w:bidi="ar-SA"/>
    </w:rPr>
  </w:style>
  <w:style w:type="paragraph" w:customStyle="1" w:styleId="186">
    <w:name w:val="Normal_5_11"/>
    <w:qFormat/>
    <w:uiPriority w:val="0"/>
    <w:pPr>
      <w:widowControl w:val="0"/>
      <w:jc w:val="both"/>
    </w:pPr>
    <w:rPr>
      <w:rFonts w:ascii="Times New Roman" w:hAnsi="Times New Roman" w:eastAsia="宋体" w:cs="Times New Roman"/>
      <w:szCs w:val="24"/>
      <w:lang w:val="en-US" w:eastAsia="zh-CN" w:bidi="ar-SA"/>
    </w:rPr>
  </w:style>
  <w:style w:type="paragraph" w:customStyle="1" w:styleId="187">
    <w:name w:val="Normal_8"/>
    <w:qFormat/>
    <w:uiPriority w:val="0"/>
    <w:pPr>
      <w:widowControl w:val="0"/>
      <w:jc w:val="both"/>
    </w:pPr>
    <w:rPr>
      <w:rFonts w:ascii="Calibri" w:hAnsi="Calibri" w:eastAsia="宋体" w:cs="Times New Roman"/>
      <w:kern w:val="2"/>
      <w:sz w:val="24"/>
      <w:szCs w:val="22"/>
      <w:lang w:val="en-US" w:eastAsia="zh-CN" w:bidi="ar-SA"/>
    </w:rPr>
  </w:style>
  <w:style w:type="paragraph" w:customStyle="1" w:styleId="188">
    <w:name w:val="Normal_9"/>
    <w:qFormat/>
    <w:uiPriority w:val="0"/>
    <w:rPr>
      <w:rFonts w:ascii="Times New Roman" w:hAnsi="Times New Roman" w:eastAsia="宋体" w:cs="Times New Roman"/>
      <w:sz w:val="24"/>
      <w:szCs w:val="24"/>
    </w:rPr>
  </w:style>
  <w:style w:type="paragraph" w:customStyle="1" w:styleId="189">
    <w:name w:val="正文_6"/>
    <w:qFormat/>
    <w:uiPriority w:val="0"/>
    <w:pPr>
      <w:widowControl w:val="0"/>
      <w:jc w:val="both"/>
    </w:pPr>
    <w:rPr>
      <w:rFonts w:ascii="Calibri" w:hAnsi="Calibri" w:eastAsia="宋体" w:cs="Times New Roman"/>
      <w:kern w:val="2"/>
      <w:sz w:val="24"/>
      <w:szCs w:val="22"/>
      <w:lang w:val="en-US" w:eastAsia="zh-CN" w:bidi="ar-SA"/>
    </w:rPr>
  </w:style>
  <w:style w:type="paragraph" w:customStyle="1" w:styleId="190">
    <w:name w:val="Normal_20"/>
    <w:qFormat/>
    <w:uiPriority w:val="0"/>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119</Pages>
  <Words>31710</Words>
  <Characters>33296</Characters>
  <Lines>70</Lines>
  <Paragraphs>119</Paragraphs>
  <TotalTime>12</TotalTime>
  <ScaleCrop>false</ScaleCrop>
  <LinksUpToDate>false</LinksUpToDate>
  <CharactersWithSpaces>33502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2021-10-20T19:16:00Z</dcterms:created>
  <dc:creator>admin</dc:creator>
  <cp:lastModifiedBy>mEng</cp:lastModifiedBy>
  <cp:lastPrinted>2025-01-23T06:15:00Z</cp:lastPrinted>
  <dcterms:modified xsi:type="dcterms:W3CDTF">2025-04-03T09:30:32Z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BB7589E07C5048C5B9BADAB9C6FFA0D9_13</vt:lpwstr>
  </property>
  <property fmtid="{D5CDD505-2E9C-101B-9397-08002B2CF9AE}" pid="4" name="KSOTemplateDocerSaveRecord">
    <vt:lpwstr>eyJoZGlkIjoiYzIzNjhjZjkxMjg2OGJjOTQ0NThhNzBhOGI4YTVmYWYiLCJ1c2VySWQiOiI5ODgwMjcxOTMifQ==</vt:lpwstr>
  </property>
</Properties>
</file>