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3B58D">
      <w:pPr>
        <w:spacing w:line="242" w:lineRule="auto"/>
        <w:jc w:val="center"/>
        <w:rPr>
          <w:rFonts w:hint="eastAsia" w:ascii="黑体" w:hAnsi="黑体" w:eastAsia="黑体" w:cs="黑体"/>
          <w:b/>
          <w:bCs w:val="0"/>
          <w:color w:val="auto"/>
          <w:sz w:val="21"/>
        </w:rPr>
      </w:pPr>
      <w:r>
        <w:rPr>
          <w:rFonts w:hint="eastAsia" w:ascii="黑体" w:hAnsi="黑体" w:eastAsia="黑体" w:cs="黑体"/>
          <w:b/>
          <w:bCs w:val="0"/>
          <w:color w:val="auto"/>
          <w:sz w:val="52"/>
          <w:szCs w:val="52"/>
          <w:lang w:val="en-US" w:eastAsia="zh-CN"/>
        </w:rPr>
        <w:t>哈巴河县萨尔塔木乡2024年1.28万亩高标准农田建设项目（追加）</w:t>
      </w:r>
    </w:p>
    <w:p w14:paraId="04E88719">
      <w:pPr>
        <w:spacing w:line="242" w:lineRule="auto"/>
        <w:rPr>
          <w:rFonts w:hint="eastAsia" w:ascii="黑体" w:hAnsi="黑体" w:eastAsia="黑体" w:cs="黑体"/>
          <w:b/>
          <w:bCs w:val="0"/>
          <w:color w:val="auto"/>
          <w:sz w:val="21"/>
        </w:rPr>
      </w:pPr>
    </w:p>
    <w:p w14:paraId="33249DDE">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p>
    <w:p w14:paraId="4E8BA0CB">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p>
    <w:p w14:paraId="190CF251">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p>
    <w:p w14:paraId="5FF3A5E1">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p>
    <w:p w14:paraId="6DD4E739">
      <w:pPr>
        <w:pStyle w:val="13"/>
        <w:ind w:left="0" w:leftChars="0" w:firstLine="0" w:firstLineChars="0"/>
        <w:jc w:val="center"/>
        <w:rPr>
          <w:rFonts w:hint="eastAsia" w:ascii="黑体" w:hAnsi="黑体" w:eastAsia="黑体" w:cs="黑体"/>
          <w:b/>
          <w:bCs w:val="0"/>
          <w:color w:val="auto"/>
          <w:sz w:val="48"/>
          <w:szCs w:val="13"/>
          <w:highlight w:val="none"/>
          <w:lang w:val="en-US" w:eastAsia="zh-CN"/>
        </w:rPr>
      </w:pPr>
      <w:r>
        <w:rPr>
          <w:rFonts w:hint="eastAsia" w:ascii="黑体" w:hAnsi="黑体" w:eastAsia="黑体" w:cs="黑体"/>
          <w:b/>
          <w:bCs w:val="0"/>
          <w:color w:val="auto"/>
          <w:sz w:val="48"/>
          <w:szCs w:val="13"/>
          <w:highlight w:val="none"/>
          <w:lang w:val="en-US" w:eastAsia="zh-CN"/>
        </w:rPr>
        <w:t>竞争性磋商文件</w:t>
      </w:r>
    </w:p>
    <w:p w14:paraId="1B10BC62">
      <w:pPr>
        <w:spacing w:line="243" w:lineRule="auto"/>
        <w:rPr>
          <w:rFonts w:hint="eastAsia" w:ascii="黑体" w:hAnsi="黑体" w:eastAsia="黑体" w:cs="黑体"/>
          <w:b/>
          <w:bCs w:val="0"/>
          <w:color w:val="auto"/>
          <w:sz w:val="21"/>
        </w:rPr>
      </w:pPr>
    </w:p>
    <w:p w14:paraId="58C43659">
      <w:pPr>
        <w:spacing w:line="243" w:lineRule="auto"/>
        <w:rPr>
          <w:rFonts w:hint="eastAsia" w:ascii="黑体" w:hAnsi="黑体" w:eastAsia="黑体" w:cs="黑体"/>
          <w:b/>
          <w:bCs w:val="0"/>
          <w:color w:val="auto"/>
          <w:sz w:val="21"/>
        </w:rPr>
      </w:pPr>
    </w:p>
    <w:p w14:paraId="3DF3A682">
      <w:pPr>
        <w:pStyle w:val="4"/>
        <w:rPr>
          <w:rFonts w:hint="eastAsia"/>
          <w:color w:val="auto"/>
        </w:rPr>
      </w:pPr>
    </w:p>
    <w:p w14:paraId="52A62F9F">
      <w:pPr>
        <w:spacing w:line="243" w:lineRule="auto"/>
        <w:rPr>
          <w:rFonts w:hint="eastAsia" w:ascii="黑体" w:hAnsi="黑体" w:eastAsia="黑体" w:cs="黑体"/>
          <w:b/>
          <w:bCs w:val="0"/>
          <w:color w:val="auto"/>
          <w:sz w:val="21"/>
        </w:rPr>
      </w:pPr>
    </w:p>
    <w:p w14:paraId="551F2E73">
      <w:pPr>
        <w:spacing w:line="243" w:lineRule="auto"/>
        <w:rPr>
          <w:rFonts w:hint="eastAsia" w:ascii="黑体" w:hAnsi="黑体" w:eastAsia="黑体" w:cs="黑体"/>
          <w:b/>
          <w:bCs w:val="0"/>
          <w:color w:val="auto"/>
          <w:sz w:val="21"/>
        </w:rPr>
      </w:pPr>
    </w:p>
    <w:p w14:paraId="191C2025">
      <w:pPr>
        <w:autoSpaceDE w:val="0"/>
        <w:autoSpaceDN w:val="0"/>
        <w:spacing w:line="360" w:lineRule="auto"/>
        <w:jc w:val="center"/>
        <w:outlineLvl w:val="0"/>
        <w:rPr>
          <w:rFonts w:hint="default" w:ascii="黑体" w:hAnsi="黑体" w:eastAsia="黑体" w:cs="黑体"/>
          <w:b/>
          <w:bCs w:val="0"/>
          <w:color w:val="auto"/>
          <w:sz w:val="32"/>
          <w:highlight w:val="yellow"/>
          <w:lang w:val="en-US"/>
        </w:rPr>
      </w:pPr>
      <w:r>
        <w:rPr>
          <w:rFonts w:hint="eastAsia" w:ascii="黑体" w:hAnsi="黑体" w:eastAsia="黑体" w:cs="黑体"/>
          <w:b/>
          <w:bCs w:val="0"/>
          <w:color w:val="auto"/>
          <w:sz w:val="40"/>
          <w:szCs w:val="21"/>
          <w:highlight w:val="none"/>
        </w:rPr>
        <w:t>项目编号：</w:t>
      </w:r>
      <w:r>
        <w:rPr>
          <w:rFonts w:hint="eastAsia" w:ascii="黑体" w:hAnsi="黑体" w:eastAsia="黑体" w:cs="黑体"/>
          <w:b/>
          <w:bCs w:val="0"/>
          <w:color w:val="auto"/>
          <w:sz w:val="40"/>
          <w:szCs w:val="21"/>
          <w:highlight w:val="none"/>
          <w:lang w:val="en-US" w:eastAsia="zh-CN"/>
        </w:rPr>
        <w:t>ZFCG-HZBY2025007</w:t>
      </w:r>
    </w:p>
    <w:p w14:paraId="3DEACAB6">
      <w:pPr>
        <w:autoSpaceDE w:val="0"/>
        <w:autoSpaceDN w:val="0"/>
        <w:spacing w:line="360" w:lineRule="auto"/>
        <w:jc w:val="center"/>
        <w:outlineLvl w:val="0"/>
        <w:rPr>
          <w:rFonts w:hint="default" w:ascii="黑体" w:hAnsi="黑体" w:eastAsia="黑体" w:cs="黑体"/>
          <w:b/>
          <w:bCs w:val="0"/>
          <w:color w:val="auto"/>
          <w:sz w:val="32"/>
          <w:highlight w:val="none"/>
          <w:lang w:val="en-US"/>
        </w:rPr>
      </w:pPr>
    </w:p>
    <w:p w14:paraId="1FBD4F87">
      <w:pPr>
        <w:pStyle w:val="5"/>
        <w:rPr>
          <w:rFonts w:hint="eastAsia" w:ascii="黑体" w:hAnsi="黑体" w:eastAsia="黑体" w:cs="黑体"/>
          <w:b/>
          <w:bCs w:val="0"/>
          <w:color w:val="auto"/>
          <w:sz w:val="32"/>
          <w:highlight w:val="none"/>
          <w:lang w:val="zh-CN"/>
        </w:rPr>
      </w:pPr>
    </w:p>
    <w:p w14:paraId="1C8134CE">
      <w:pPr>
        <w:pStyle w:val="5"/>
        <w:ind w:left="0" w:leftChars="0" w:firstLine="0" w:firstLineChars="0"/>
        <w:rPr>
          <w:rFonts w:hint="eastAsia" w:ascii="黑体" w:hAnsi="黑体" w:eastAsia="黑体" w:cs="黑体"/>
          <w:b/>
          <w:bCs w:val="0"/>
          <w:color w:val="auto"/>
          <w:sz w:val="32"/>
          <w:highlight w:val="none"/>
          <w:lang w:val="zh-CN"/>
        </w:rPr>
      </w:pPr>
    </w:p>
    <w:p w14:paraId="2A96A403">
      <w:pPr>
        <w:pStyle w:val="5"/>
        <w:rPr>
          <w:rFonts w:hint="eastAsia" w:ascii="黑体" w:hAnsi="黑体" w:eastAsia="黑体" w:cs="黑体"/>
          <w:b/>
          <w:bCs w:val="0"/>
          <w:color w:val="auto"/>
          <w:sz w:val="32"/>
          <w:highlight w:val="none"/>
          <w:lang w:val="zh-CN"/>
        </w:rPr>
      </w:pPr>
    </w:p>
    <w:p w14:paraId="5BDF1C9E">
      <w:pPr>
        <w:pStyle w:val="7"/>
        <w:rPr>
          <w:rFonts w:hint="eastAsia" w:ascii="黑体" w:hAnsi="黑体" w:eastAsia="黑体" w:cs="黑体"/>
          <w:b/>
          <w:bCs w:val="0"/>
          <w:color w:val="auto"/>
          <w:sz w:val="36"/>
          <w:highlight w:val="none"/>
        </w:rPr>
      </w:pPr>
    </w:p>
    <w:p w14:paraId="4048F82D">
      <w:pPr>
        <w:pStyle w:val="7"/>
        <w:rPr>
          <w:rFonts w:hint="eastAsia" w:ascii="黑体" w:hAnsi="黑体" w:eastAsia="黑体" w:cs="黑体"/>
          <w:b/>
          <w:bCs w:val="0"/>
          <w:color w:val="auto"/>
          <w:sz w:val="36"/>
          <w:highlight w:val="none"/>
          <w:lang w:eastAsia="zh-CN"/>
        </w:rPr>
      </w:pPr>
    </w:p>
    <w:p w14:paraId="5FC411C3">
      <w:pPr>
        <w:pStyle w:val="7"/>
        <w:rPr>
          <w:rFonts w:hint="eastAsia" w:ascii="黑体" w:hAnsi="黑体" w:eastAsia="黑体" w:cs="黑体"/>
          <w:b/>
          <w:bCs w:val="0"/>
          <w:color w:val="auto"/>
          <w:sz w:val="36"/>
          <w:highlight w:val="none"/>
        </w:rPr>
      </w:pPr>
    </w:p>
    <w:p w14:paraId="4416AE32">
      <w:pPr>
        <w:spacing w:after="312" w:afterLines="100"/>
        <w:rPr>
          <w:rFonts w:hint="eastAsia" w:ascii="黑体" w:hAnsi="黑体" w:eastAsia="黑体" w:cs="黑体"/>
          <w:b/>
          <w:bCs w:val="0"/>
          <w:color w:val="auto"/>
          <w:sz w:val="36"/>
          <w:highlight w:val="none"/>
          <w:u w:val="single"/>
          <w:lang w:eastAsia="zh-CN"/>
        </w:rPr>
      </w:pPr>
      <w:r>
        <w:rPr>
          <w:rFonts w:hint="eastAsia" w:ascii="黑体" w:hAnsi="黑体" w:eastAsia="黑体" w:cs="黑体"/>
          <w:b/>
          <w:bCs w:val="0"/>
          <w:color w:val="auto"/>
          <w:sz w:val="36"/>
          <w:highlight w:val="none"/>
        </w:rPr>
        <w:t>建设单位（章）：</w:t>
      </w:r>
      <w:r>
        <w:rPr>
          <w:rFonts w:hint="eastAsia" w:ascii="黑体" w:hAnsi="黑体" w:eastAsia="黑体" w:cs="黑体"/>
          <w:b/>
          <w:bCs w:val="0"/>
          <w:color w:val="auto"/>
          <w:sz w:val="36"/>
          <w:highlight w:val="none"/>
          <w:lang w:eastAsia="zh-CN"/>
        </w:rPr>
        <w:t>哈巴河县农业农村局</w:t>
      </w:r>
    </w:p>
    <w:p w14:paraId="7EF21576">
      <w:pPr>
        <w:spacing w:line="360" w:lineRule="auto"/>
        <w:rPr>
          <w:rFonts w:hint="eastAsia" w:ascii="黑体" w:hAnsi="黑体" w:eastAsia="黑体" w:cs="黑体"/>
          <w:b/>
          <w:bCs w:val="0"/>
          <w:color w:val="auto"/>
          <w:sz w:val="36"/>
          <w:highlight w:val="none"/>
        </w:rPr>
      </w:pPr>
    </w:p>
    <w:p w14:paraId="437B7AD8">
      <w:pPr>
        <w:spacing w:line="360" w:lineRule="auto"/>
        <w:rPr>
          <w:rFonts w:hint="eastAsia" w:ascii="黑体" w:hAnsi="黑体" w:eastAsia="黑体" w:cs="黑体"/>
          <w:b/>
          <w:bCs w:val="0"/>
          <w:color w:val="auto"/>
          <w:sz w:val="36"/>
          <w:highlight w:val="none"/>
          <w:u w:val="single"/>
          <w:lang w:val="en-US" w:eastAsia="zh-CN"/>
        </w:rPr>
      </w:pPr>
      <w:r>
        <w:rPr>
          <w:rFonts w:hint="eastAsia" w:ascii="黑体" w:hAnsi="黑体" w:eastAsia="黑体" w:cs="黑体"/>
          <w:b/>
          <w:bCs w:val="0"/>
          <w:color w:val="auto"/>
          <w:sz w:val="36"/>
          <w:highlight w:val="none"/>
        </w:rPr>
        <w:t>代理机构（章）：</w:t>
      </w:r>
      <w:r>
        <w:rPr>
          <w:rFonts w:hint="eastAsia" w:ascii="黑体" w:hAnsi="黑体" w:eastAsia="黑体" w:cs="黑体"/>
          <w:b/>
          <w:bCs w:val="0"/>
          <w:color w:val="auto"/>
          <w:sz w:val="36"/>
          <w:highlight w:val="none"/>
          <w:lang w:eastAsia="zh-CN"/>
        </w:rPr>
        <w:t>新疆瀚展博源项目管理有限公司</w:t>
      </w:r>
    </w:p>
    <w:p w14:paraId="0F5CB2AD">
      <w:pPr>
        <w:jc w:val="center"/>
        <w:rPr>
          <w:rFonts w:hint="eastAsia" w:ascii="黑体" w:hAnsi="黑体" w:eastAsia="黑体" w:cs="黑体"/>
          <w:b/>
          <w:bCs w:val="0"/>
          <w:color w:val="auto"/>
          <w:sz w:val="36"/>
          <w:highlight w:val="none"/>
        </w:rPr>
      </w:pPr>
    </w:p>
    <w:p w14:paraId="3B46BEFA">
      <w:pPr>
        <w:ind w:firstLine="2530" w:firstLineChars="700"/>
        <w:jc w:val="both"/>
        <w:rPr>
          <w:rFonts w:ascii="宋体" w:hAnsi="宋体" w:eastAsia="宋体" w:cs="宋体"/>
          <w:color w:val="auto"/>
          <w:spacing w:val="8"/>
          <w:sz w:val="43"/>
          <w:szCs w:val="43"/>
          <w14:textOutline w14:w="7972" w14:cap="sq" w14:cmpd="sng">
            <w14:solidFill>
              <w14:srgbClr w14:val="000000"/>
            </w14:solidFill>
            <w14:prstDash w14:val="solid"/>
            <w14:bevel/>
          </w14:textOutline>
        </w:rPr>
      </w:pPr>
      <w:r>
        <w:rPr>
          <w:rFonts w:hint="eastAsia" w:ascii="黑体" w:hAnsi="黑体" w:eastAsia="黑体" w:cs="黑体"/>
          <w:b/>
          <w:bCs w:val="0"/>
          <w:color w:val="auto"/>
          <w:sz w:val="36"/>
          <w:highlight w:val="none"/>
        </w:rPr>
        <w:t>日期：</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 xml:space="preserve"> </w:t>
      </w:r>
      <w:r>
        <w:rPr>
          <w:rFonts w:hint="eastAsia" w:ascii="黑体" w:hAnsi="黑体" w:eastAsia="黑体" w:cs="黑体"/>
          <w:b/>
          <w:bCs w:val="0"/>
          <w:color w:val="auto"/>
          <w:sz w:val="36"/>
          <w:highlight w:val="none"/>
          <w:u w:val="single"/>
        </w:rPr>
        <w:t xml:space="preserve"> </w:t>
      </w:r>
      <w:r>
        <w:rPr>
          <w:rFonts w:hint="eastAsia" w:ascii="黑体" w:hAnsi="黑体" w:eastAsia="黑体" w:cs="黑体"/>
          <w:b/>
          <w:bCs w:val="0"/>
          <w:color w:val="auto"/>
          <w:sz w:val="36"/>
          <w:highlight w:val="none"/>
          <w:u w:val="single"/>
          <w:lang w:val="en-US" w:eastAsia="zh-CN"/>
        </w:rPr>
        <w:t xml:space="preserve">2025 </w:t>
      </w:r>
      <w:r>
        <w:rPr>
          <w:rFonts w:hint="eastAsia" w:ascii="黑体" w:hAnsi="黑体" w:eastAsia="黑体" w:cs="黑体"/>
          <w:b/>
          <w:bCs w:val="0"/>
          <w:color w:val="auto"/>
          <w:sz w:val="36"/>
          <w:highlight w:val="none"/>
        </w:rPr>
        <w:t>年</w:t>
      </w:r>
      <w:r>
        <w:rPr>
          <w:rFonts w:hint="eastAsia" w:ascii="黑体" w:hAnsi="黑体" w:eastAsia="黑体" w:cs="黑体"/>
          <w:b/>
          <w:bCs w:val="0"/>
          <w:color w:val="auto"/>
          <w:sz w:val="36"/>
          <w:highlight w:val="none"/>
          <w:u w:val="single"/>
          <w:lang w:val="en-US" w:eastAsia="zh-CN"/>
        </w:rPr>
        <w:t xml:space="preserve"> 03 </w:t>
      </w:r>
      <w:r>
        <w:rPr>
          <w:rFonts w:hint="eastAsia" w:ascii="黑体" w:hAnsi="黑体" w:eastAsia="黑体" w:cs="黑体"/>
          <w:b/>
          <w:bCs w:val="0"/>
          <w:color w:val="auto"/>
          <w:sz w:val="36"/>
          <w:highlight w:val="none"/>
        </w:rPr>
        <w:t>月</w:t>
      </w:r>
    </w:p>
    <w:p w14:paraId="23947205">
      <w:pPr>
        <w:pStyle w:val="2"/>
        <w:tabs>
          <w:tab w:val="left" w:pos="0"/>
          <w:tab w:val="left" w:pos="3165"/>
          <w:tab w:val="center" w:pos="4153"/>
        </w:tabs>
        <w:autoSpaceDE w:val="0"/>
        <w:autoSpaceDN w:val="0"/>
        <w:adjustRightInd w:val="0"/>
        <w:spacing w:line="360" w:lineRule="auto"/>
        <w:jc w:val="center"/>
        <w:rPr>
          <w:rFonts w:ascii="华文中宋" w:hAnsi="华文中宋" w:eastAsia="华文中宋"/>
          <w:color w:val="auto"/>
          <w:lang w:eastAsia="zh-CN"/>
        </w:rPr>
      </w:pPr>
      <w:bookmarkStart w:id="0" w:name="_Toc35393789"/>
      <w:bookmarkStart w:id="1" w:name="_Toc28359001"/>
      <w:bookmarkStart w:id="2" w:name="_Toc35393796"/>
      <w:bookmarkStart w:id="3" w:name="_Toc28359085"/>
      <w:bookmarkStart w:id="4" w:name="_Toc35393627"/>
      <w:bookmarkStart w:id="5" w:name="_Toc28359008"/>
      <w:r>
        <w:rPr>
          <w:rFonts w:hint="eastAsia" w:ascii="华文中宋" w:hAnsi="华文中宋" w:eastAsia="华文中宋"/>
          <w:color w:val="auto"/>
          <w:lang w:val="en-US" w:eastAsia="zh-CN"/>
        </w:rPr>
        <w:t xml:space="preserve">第一章  </w:t>
      </w:r>
      <w:r>
        <w:rPr>
          <w:rFonts w:hint="eastAsia" w:ascii="华文中宋" w:hAnsi="华文中宋" w:eastAsia="华文中宋"/>
          <w:color w:val="auto"/>
          <w:lang w:eastAsia="zh-CN"/>
        </w:rPr>
        <w:t>竞争性磋商公告</w:t>
      </w:r>
      <w:bookmarkEnd w:id="0"/>
      <w:bookmarkEnd w:id="1"/>
    </w:p>
    <w:p w14:paraId="7F000C6B">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olor w:val="auto"/>
          <w:sz w:val="28"/>
          <w:szCs w:val="28"/>
          <w:u w:val="single"/>
        </w:rPr>
      </w:pPr>
      <w:bookmarkStart w:id="6" w:name="_Toc35393790"/>
      <w:bookmarkStart w:id="7" w:name="_Hlk24379207"/>
      <w:bookmarkStart w:id="8" w:name="_Toc28359002"/>
      <w:bookmarkStart w:id="9" w:name="_Toc35393621"/>
      <w:bookmarkStart w:id="10" w:name="_Toc28359079"/>
      <w:r>
        <w:rPr>
          <w:rFonts w:hint="eastAsia" w:ascii="仿宋" w:hAnsi="仿宋" w:eastAsia="仿宋"/>
          <w:color w:val="auto"/>
          <w:sz w:val="28"/>
          <w:szCs w:val="28"/>
        </w:rPr>
        <w:t>项目概况</w:t>
      </w:r>
    </w:p>
    <w:p w14:paraId="1CC59547">
      <w:pPr>
        <w:pBdr>
          <w:top w:val="single" w:color="auto" w:sz="4" w:space="1"/>
          <w:left w:val="single" w:color="auto" w:sz="4" w:space="4"/>
          <w:bottom w:val="single" w:color="auto" w:sz="4" w:space="1"/>
          <w:right w:val="single" w:color="auto" w:sz="4" w:space="4"/>
        </w:pBdr>
        <w:spacing w:line="240" w:lineRule="auto"/>
        <w:ind w:firstLine="560" w:firstLineChars="200"/>
        <w:rPr>
          <w:color w:val="auto"/>
          <w:sz w:val="28"/>
          <w:szCs w:val="28"/>
          <w:highlight w:val="none"/>
          <w:u w:val="none"/>
        </w:rPr>
      </w:pPr>
      <w:r>
        <w:rPr>
          <w:rFonts w:hint="eastAsia" w:ascii="仿宋" w:hAnsi="仿宋" w:eastAsia="仿宋"/>
          <w:color w:val="auto"/>
          <w:sz w:val="28"/>
          <w:szCs w:val="28"/>
          <w:u w:val="single"/>
          <w:lang w:val="en-US" w:eastAsia="zh-CN"/>
        </w:rPr>
        <w:t>哈巴河县萨尔塔木乡2024年1.28万亩高标准农田建设项目（追加）</w:t>
      </w:r>
      <w:r>
        <w:rPr>
          <w:rFonts w:hint="eastAsia" w:ascii="仿宋" w:hAnsi="仿宋" w:eastAsia="仿宋"/>
          <w:color w:val="auto"/>
          <w:sz w:val="28"/>
          <w:szCs w:val="28"/>
          <w:u w:val="none"/>
          <w:lang w:val="en-US" w:eastAsia="zh-CN"/>
        </w:rPr>
        <w:t>的潜在投标人应在政采云平台https://www.zcygov.cn/在线申请获取招标文件，并于</w:t>
      </w:r>
      <w:r>
        <w:rPr>
          <w:rFonts w:hint="eastAsia" w:ascii="仿宋" w:hAnsi="仿宋" w:eastAsia="仿宋"/>
          <w:color w:val="auto"/>
          <w:sz w:val="28"/>
          <w:szCs w:val="28"/>
          <w:highlight w:val="none"/>
          <w:u w:val="single"/>
          <w:lang w:val="en-US" w:eastAsia="zh-CN"/>
        </w:rPr>
        <w:t>2025年03月21日16</w:t>
      </w:r>
      <w:r>
        <w:rPr>
          <w:rFonts w:hint="eastAsia" w:ascii="仿宋" w:hAnsi="仿宋" w:eastAsia="仿宋" w:cs="仿宋"/>
          <w:i w:val="0"/>
          <w:iCs w:val="0"/>
          <w:caps w:val="0"/>
          <w:color w:val="auto"/>
          <w:spacing w:val="0"/>
          <w:sz w:val="27"/>
          <w:szCs w:val="27"/>
          <w:highlight w:val="none"/>
          <w:u w:val="single"/>
          <w:lang w:val="en-US" w:eastAsia="zh-CN"/>
        </w:rPr>
        <w:t>点00分</w:t>
      </w:r>
      <w:r>
        <w:rPr>
          <w:rFonts w:hint="eastAsia" w:ascii="仿宋" w:hAnsi="仿宋" w:eastAsia="仿宋"/>
          <w:color w:val="auto"/>
          <w:sz w:val="28"/>
          <w:szCs w:val="28"/>
          <w:u w:val="single"/>
          <w:lang w:val="en-US" w:eastAsia="zh-CN"/>
        </w:rPr>
        <w:t>（北京时间）</w:t>
      </w:r>
      <w:r>
        <w:rPr>
          <w:rFonts w:ascii="仿宋" w:hAnsi="仿宋" w:eastAsia="仿宋" w:cs="仿宋"/>
          <w:color w:val="auto"/>
          <w:spacing w:val="-13"/>
          <w:sz w:val="28"/>
          <w:szCs w:val="28"/>
        </w:rPr>
        <w:t>前提交响应文件。</w:t>
      </w:r>
    </w:p>
    <w:bookmarkEnd w:id="6"/>
    <w:bookmarkEnd w:id="7"/>
    <w:bookmarkEnd w:id="8"/>
    <w:bookmarkEnd w:id="9"/>
    <w:bookmarkEnd w:id="10"/>
    <w:p w14:paraId="7FFADEBC">
      <w:pPr>
        <w:pStyle w:val="3"/>
        <w:spacing w:line="360" w:lineRule="auto"/>
        <w:rPr>
          <w:rFonts w:ascii="黑体" w:hAnsi="黑体" w:cs="宋体"/>
          <w:b w:val="0"/>
          <w:color w:val="auto"/>
          <w:sz w:val="28"/>
          <w:szCs w:val="28"/>
        </w:rPr>
      </w:pPr>
      <w:bookmarkStart w:id="11" w:name="_Toc14129"/>
      <w:r>
        <w:rPr>
          <w:rFonts w:hint="eastAsia" w:ascii="黑体" w:hAnsi="黑体" w:cs="宋体"/>
          <w:b w:val="0"/>
          <w:color w:val="auto"/>
          <w:sz w:val="28"/>
          <w:szCs w:val="28"/>
        </w:rPr>
        <w:t>一、项目基本情况</w:t>
      </w:r>
      <w:bookmarkEnd w:id="11"/>
    </w:p>
    <w:p w14:paraId="7B375606">
      <w:pPr>
        <w:spacing w:line="360" w:lineRule="auto"/>
        <w:ind w:firstLine="540"/>
        <w:rPr>
          <w:rFonts w:hint="default" w:ascii="仿宋" w:hAnsi="仿宋" w:eastAsia="仿宋" w:cs="仿宋"/>
          <w:i w:val="0"/>
          <w:iCs w:val="0"/>
          <w:caps w:val="0"/>
          <w:color w:val="auto"/>
          <w:spacing w:val="0"/>
          <w:sz w:val="27"/>
          <w:szCs w:val="27"/>
          <w:highlight w:val="green"/>
          <w:lang w:val="en-US" w:eastAsia="zh-CN"/>
        </w:rPr>
      </w:pPr>
      <w:r>
        <w:rPr>
          <w:rFonts w:hint="eastAsia" w:ascii="仿宋" w:hAnsi="仿宋" w:eastAsia="仿宋" w:cs="仿宋"/>
          <w:i w:val="0"/>
          <w:iCs w:val="0"/>
          <w:caps w:val="0"/>
          <w:color w:val="auto"/>
          <w:spacing w:val="0"/>
          <w:sz w:val="27"/>
          <w:szCs w:val="27"/>
        </w:rPr>
        <w:t>项目编号：</w:t>
      </w:r>
      <w:r>
        <w:rPr>
          <w:rFonts w:hint="eastAsia" w:ascii="仿宋" w:hAnsi="仿宋" w:eastAsia="仿宋" w:cs="仿宋"/>
          <w:i w:val="0"/>
          <w:iCs w:val="0"/>
          <w:caps w:val="0"/>
          <w:color w:val="auto"/>
          <w:spacing w:val="0"/>
          <w:sz w:val="27"/>
          <w:szCs w:val="27"/>
          <w:highlight w:val="none"/>
          <w:lang w:val="en-US" w:eastAsia="zh-CN"/>
        </w:rPr>
        <w:t>ZFCG-HZBY2025007</w:t>
      </w:r>
    </w:p>
    <w:p w14:paraId="5BA8D196">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项目名称：</w:t>
      </w:r>
      <w:r>
        <w:rPr>
          <w:rFonts w:hint="eastAsia" w:ascii="仿宋" w:hAnsi="仿宋" w:eastAsia="仿宋" w:cs="仿宋"/>
          <w:i w:val="0"/>
          <w:iCs w:val="0"/>
          <w:caps w:val="0"/>
          <w:color w:val="auto"/>
          <w:spacing w:val="0"/>
          <w:sz w:val="27"/>
          <w:szCs w:val="27"/>
          <w:lang w:val="en-US" w:eastAsia="zh-CN"/>
        </w:rPr>
        <w:t>哈巴河县萨尔塔木乡2024年1.28万亩高标准农田建设项目（追加）</w:t>
      </w:r>
    </w:p>
    <w:p w14:paraId="600BBFC6">
      <w:pPr>
        <w:spacing w:line="360" w:lineRule="auto"/>
        <w:ind w:firstLine="540"/>
        <w:rPr>
          <w:rFonts w:hint="eastAsia" w:ascii="仿宋" w:hAnsi="仿宋" w:eastAsia="仿宋" w:cs="仿宋"/>
          <w:i w:val="0"/>
          <w:iCs w:val="0"/>
          <w:caps w:val="0"/>
          <w:color w:val="auto"/>
          <w:spacing w:val="0"/>
          <w:sz w:val="27"/>
          <w:szCs w:val="27"/>
          <w:highlight w:val="yellow"/>
          <w:lang w:val="en-US" w:eastAsia="zh-CN"/>
        </w:rPr>
      </w:pPr>
      <w:r>
        <w:rPr>
          <w:rFonts w:hint="eastAsia" w:ascii="仿宋" w:hAnsi="仿宋" w:eastAsia="仿宋" w:cs="仿宋"/>
          <w:i w:val="0"/>
          <w:iCs w:val="0"/>
          <w:caps w:val="0"/>
          <w:color w:val="auto"/>
          <w:spacing w:val="0"/>
          <w:sz w:val="27"/>
          <w:szCs w:val="27"/>
          <w:lang w:val="en-US"/>
        </w:rPr>
        <w:t>预算金额：</w:t>
      </w:r>
      <w:r>
        <w:rPr>
          <w:rFonts w:hint="eastAsia" w:ascii="仿宋" w:hAnsi="仿宋" w:eastAsia="仿宋" w:cs="仿宋"/>
          <w:i w:val="0"/>
          <w:iCs w:val="0"/>
          <w:caps w:val="0"/>
          <w:color w:val="auto"/>
          <w:spacing w:val="0"/>
          <w:sz w:val="27"/>
          <w:szCs w:val="27"/>
          <w:lang w:val="en-US" w:eastAsia="zh-CN"/>
        </w:rPr>
        <w:t>2938161.85</w:t>
      </w:r>
      <w:r>
        <w:rPr>
          <w:rFonts w:hint="eastAsia" w:ascii="仿宋" w:hAnsi="仿宋" w:eastAsia="仿宋" w:cs="仿宋"/>
          <w:i w:val="0"/>
          <w:iCs w:val="0"/>
          <w:caps w:val="0"/>
          <w:color w:val="auto"/>
          <w:spacing w:val="0"/>
          <w:sz w:val="27"/>
          <w:szCs w:val="27"/>
          <w:highlight w:val="none"/>
          <w:lang w:val="en-US" w:eastAsia="zh-CN"/>
        </w:rPr>
        <w:t>元</w:t>
      </w:r>
    </w:p>
    <w:p w14:paraId="032DA8E6">
      <w:pPr>
        <w:spacing w:line="360" w:lineRule="auto"/>
        <w:ind w:firstLine="540"/>
        <w:rPr>
          <w:rFonts w:hint="default" w:ascii="仿宋" w:hAnsi="仿宋" w:eastAsia="仿宋" w:cs="仿宋"/>
          <w:i w:val="0"/>
          <w:iCs w:val="0"/>
          <w:caps w:val="0"/>
          <w:color w:val="auto"/>
          <w:spacing w:val="0"/>
          <w:sz w:val="27"/>
          <w:szCs w:val="27"/>
          <w:highlight w:val="none"/>
          <w:lang w:val="en-US"/>
        </w:rPr>
      </w:pPr>
      <w:r>
        <w:rPr>
          <w:rFonts w:hint="eastAsia" w:ascii="仿宋" w:hAnsi="仿宋" w:eastAsia="仿宋" w:cs="仿宋"/>
          <w:i w:val="0"/>
          <w:iCs w:val="0"/>
          <w:caps w:val="0"/>
          <w:color w:val="auto"/>
          <w:spacing w:val="0"/>
          <w:sz w:val="27"/>
          <w:szCs w:val="27"/>
          <w:highlight w:val="none"/>
          <w:lang w:val="en-US" w:eastAsia="zh-CN"/>
        </w:rPr>
        <w:t>最高限价：</w:t>
      </w:r>
      <w:r>
        <w:rPr>
          <w:rFonts w:hint="eastAsia" w:ascii="仿宋" w:hAnsi="仿宋" w:eastAsia="仿宋" w:cs="仿宋"/>
          <w:i w:val="0"/>
          <w:iCs w:val="0"/>
          <w:caps w:val="0"/>
          <w:color w:val="auto"/>
          <w:spacing w:val="0"/>
          <w:sz w:val="27"/>
          <w:szCs w:val="27"/>
          <w:lang w:val="en-US" w:eastAsia="zh-CN"/>
        </w:rPr>
        <w:t>2938161.85</w:t>
      </w:r>
      <w:r>
        <w:rPr>
          <w:rFonts w:hint="eastAsia" w:ascii="仿宋" w:hAnsi="仿宋" w:eastAsia="仿宋" w:cs="仿宋"/>
          <w:i w:val="0"/>
          <w:iCs w:val="0"/>
          <w:caps w:val="0"/>
          <w:color w:val="auto"/>
          <w:spacing w:val="0"/>
          <w:sz w:val="27"/>
          <w:szCs w:val="27"/>
          <w:highlight w:val="none"/>
          <w:lang w:val="en-US" w:eastAsia="zh-CN"/>
        </w:rPr>
        <w:t>元</w:t>
      </w:r>
    </w:p>
    <w:p w14:paraId="1DDA9ED6">
      <w:pPr>
        <w:spacing w:line="360" w:lineRule="auto"/>
        <w:ind w:firstLine="54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rPr>
        <w:t>采购需求：土壤改良工程、灌溉与排水工程、田间道路工程、农田防护与生态环境保护工程</w:t>
      </w:r>
      <w:r>
        <w:rPr>
          <w:rFonts w:hint="eastAsia" w:ascii="仿宋" w:hAnsi="仿宋" w:eastAsia="仿宋" w:cs="仿宋"/>
          <w:i w:val="0"/>
          <w:iCs w:val="0"/>
          <w:caps w:val="0"/>
          <w:color w:val="auto"/>
          <w:spacing w:val="0"/>
          <w:sz w:val="27"/>
          <w:szCs w:val="27"/>
          <w:highlight w:val="none"/>
          <w:lang w:val="en-US" w:eastAsia="zh-CN"/>
        </w:rPr>
        <w:t>（详见招标工程量清单）</w:t>
      </w:r>
    </w:p>
    <w:p w14:paraId="5CA4C72D">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合同履行期限：</w:t>
      </w:r>
      <w:r>
        <w:rPr>
          <w:rFonts w:hint="eastAsia" w:ascii="仿宋" w:hAnsi="仿宋" w:eastAsia="仿宋" w:cs="仿宋"/>
          <w:i w:val="0"/>
          <w:iCs w:val="0"/>
          <w:caps w:val="0"/>
          <w:color w:val="auto"/>
          <w:spacing w:val="0"/>
          <w:sz w:val="27"/>
          <w:szCs w:val="27"/>
          <w:lang w:val="en-US" w:eastAsia="zh-CN"/>
        </w:rPr>
        <w:t>甲乙双方协商</w:t>
      </w:r>
    </w:p>
    <w:p w14:paraId="0227EE52">
      <w:pPr>
        <w:spacing w:line="360" w:lineRule="auto"/>
        <w:ind w:firstLine="540"/>
        <w:rPr>
          <w:rFonts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本项目</w:t>
      </w:r>
      <w:r>
        <w:rPr>
          <w:rFonts w:hint="eastAsia" w:ascii="仿宋" w:hAnsi="仿宋" w:eastAsia="仿宋" w:cs="仿宋"/>
          <w:i w:val="0"/>
          <w:iCs w:val="0"/>
          <w:caps w:val="0"/>
          <w:color w:val="auto"/>
          <w:spacing w:val="0"/>
          <w:sz w:val="27"/>
          <w:szCs w:val="27"/>
          <w:lang w:eastAsia="zh-CN"/>
        </w:rPr>
        <w:t>不</w:t>
      </w:r>
      <w:r>
        <w:rPr>
          <w:rFonts w:hint="eastAsia" w:ascii="仿宋" w:hAnsi="仿宋" w:eastAsia="仿宋" w:cs="仿宋"/>
          <w:i w:val="0"/>
          <w:iCs w:val="0"/>
          <w:caps w:val="0"/>
          <w:color w:val="auto"/>
          <w:spacing w:val="0"/>
          <w:sz w:val="27"/>
          <w:szCs w:val="27"/>
        </w:rPr>
        <w:t>接受联合体投标。</w:t>
      </w:r>
    </w:p>
    <w:p w14:paraId="00136BA6">
      <w:pPr>
        <w:pStyle w:val="3"/>
        <w:spacing w:line="360" w:lineRule="auto"/>
        <w:rPr>
          <w:rFonts w:ascii="黑体" w:hAnsi="黑体" w:cs="宋体"/>
          <w:b w:val="0"/>
          <w:color w:val="auto"/>
          <w:sz w:val="28"/>
          <w:szCs w:val="28"/>
          <w:highlight w:val="none"/>
        </w:rPr>
      </w:pPr>
      <w:bookmarkStart w:id="12" w:name="_Toc35393791"/>
      <w:bookmarkStart w:id="13" w:name="_Toc35393622"/>
      <w:bookmarkStart w:id="14" w:name="_Toc28359080"/>
      <w:bookmarkStart w:id="15" w:name="_Toc28359003"/>
      <w:bookmarkStart w:id="16" w:name="_Toc25257"/>
      <w:r>
        <w:rPr>
          <w:rFonts w:hint="eastAsia" w:ascii="黑体" w:hAnsi="黑体" w:cs="宋体"/>
          <w:b w:val="0"/>
          <w:color w:val="auto"/>
          <w:sz w:val="28"/>
          <w:szCs w:val="28"/>
          <w:highlight w:val="none"/>
        </w:rPr>
        <w:t>二、申请人的资格要求：</w:t>
      </w:r>
      <w:bookmarkEnd w:id="12"/>
      <w:bookmarkEnd w:id="13"/>
      <w:bookmarkEnd w:id="14"/>
      <w:bookmarkEnd w:id="15"/>
      <w:bookmarkEnd w:id="16"/>
    </w:p>
    <w:p w14:paraId="6E21ABCE">
      <w:pPr>
        <w:spacing w:line="360" w:lineRule="auto"/>
        <w:ind w:firstLine="540"/>
        <w:rPr>
          <w:rFonts w:ascii="仿宋" w:hAnsi="仿宋" w:eastAsia="仿宋" w:cs="仿宋"/>
          <w:i w:val="0"/>
          <w:iCs w:val="0"/>
          <w:caps w:val="0"/>
          <w:color w:val="auto"/>
          <w:spacing w:val="0"/>
          <w:sz w:val="27"/>
          <w:szCs w:val="27"/>
        </w:rPr>
      </w:pPr>
      <w:bookmarkStart w:id="17" w:name="_Toc35393792"/>
      <w:bookmarkStart w:id="18" w:name="_Toc28359081"/>
      <w:bookmarkStart w:id="19" w:name="_Toc2583"/>
      <w:bookmarkStart w:id="20" w:name="_Toc28359004"/>
      <w:bookmarkStart w:id="21" w:name="_Toc35393623"/>
      <w:r>
        <w:rPr>
          <w:rFonts w:hint="eastAsia" w:ascii="仿宋" w:hAnsi="仿宋" w:eastAsia="仿宋" w:cs="仿宋"/>
          <w:i w:val="0"/>
          <w:iCs w:val="0"/>
          <w:caps w:val="0"/>
          <w:color w:val="auto"/>
          <w:spacing w:val="0"/>
          <w:sz w:val="27"/>
          <w:szCs w:val="27"/>
        </w:rPr>
        <w:t>1.满足《中华人民共和国政府采购法》第二十二条规定</w:t>
      </w:r>
      <w:r>
        <w:rPr>
          <w:rFonts w:hint="eastAsia" w:ascii="仿宋" w:hAnsi="仿宋" w:eastAsia="仿宋" w:cs="仿宋"/>
          <w:i w:val="0"/>
          <w:iCs w:val="0"/>
          <w:caps w:val="0"/>
          <w:color w:val="auto"/>
          <w:spacing w:val="0"/>
          <w:sz w:val="27"/>
          <w:szCs w:val="27"/>
          <w:lang w:eastAsia="zh-CN"/>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07667B01">
      <w:pPr>
        <w:spacing w:line="360" w:lineRule="auto"/>
        <w:ind w:firstLine="540"/>
        <w:rPr>
          <w:rFonts w:hint="eastAsia" w:ascii="仿宋" w:hAnsi="仿宋" w:eastAsia="仿宋" w:cs="仿宋"/>
          <w:i w:val="0"/>
          <w:iCs w:val="0"/>
          <w:caps w:val="0"/>
          <w:color w:val="auto"/>
          <w:spacing w:val="0"/>
          <w:sz w:val="27"/>
          <w:szCs w:val="27"/>
          <w:lang w:eastAsia="zh-CN"/>
        </w:rPr>
      </w:pPr>
      <w:r>
        <w:rPr>
          <w:rFonts w:ascii="仿宋" w:hAnsi="仿宋" w:eastAsia="仿宋" w:cs="仿宋"/>
          <w:i w:val="0"/>
          <w:iCs w:val="0"/>
          <w:caps w:val="0"/>
          <w:color w:val="auto"/>
          <w:spacing w:val="0"/>
          <w:sz w:val="27"/>
          <w:szCs w:val="27"/>
        </w:rPr>
        <w:t>2</w:t>
      </w:r>
      <w:r>
        <w:rPr>
          <w:rFonts w:hint="eastAsia" w:ascii="仿宋" w:hAnsi="仿宋" w:eastAsia="仿宋" w:cs="仿宋"/>
          <w:i w:val="0"/>
          <w:iCs w:val="0"/>
          <w:caps w:val="0"/>
          <w:color w:val="auto"/>
          <w:spacing w:val="0"/>
          <w:sz w:val="27"/>
          <w:szCs w:val="27"/>
        </w:rPr>
        <w:t>. 落实政府采购政策需满足的资格要求：</w:t>
      </w:r>
      <w:r>
        <w:rPr>
          <w:rFonts w:hint="eastAsia" w:ascii="仿宋" w:hAnsi="仿宋" w:eastAsia="仿宋" w:cs="仿宋"/>
          <w:i w:val="0"/>
          <w:iCs w:val="0"/>
          <w:caps w:val="0"/>
          <w:color w:val="auto"/>
          <w:spacing w:val="0"/>
          <w:sz w:val="27"/>
          <w:szCs w:val="27"/>
          <w:lang w:val="en-US" w:eastAsia="zh-CN"/>
        </w:rPr>
        <w:t>标项1：供应商为中小企业，所属行业为：建筑业</w:t>
      </w:r>
      <w:r>
        <w:rPr>
          <w:rFonts w:hint="eastAsia" w:ascii="仿宋" w:hAnsi="仿宋" w:eastAsia="仿宋" w:cs="仿宋"/>
          <w:i w:val="0"/>
          <w:iCs w:val="0"/>
          <w:caps w:val="0"/>
          <w:color w:val="auto"/>
          <w:spacing w:val="0"/>
          <w:sz w:val="27"/>
          <w:szCs w:val="27"/>
          <w:lang w:eastAsia="zh-CN"/>
        </w:rPr>
        <w:t>；</w:t>
      </w:r>
      <w:r>
        <w:rPr>
          <w:rFonts w:ascii="仿宋" w:hAnsi="仿宋" w:eastAsia="仿宋" w:cs="仿宋"/>
          <w:i w:val="0"/>
          <w:iCs w:val="0"/>
          <w:caps w:val="0"/>
          <w:color w:val="auto"/>
          <w:spacing w:val="0"/>
          <w:sz w:val="27"/>
          <w:szCs w:val="27"/>
        </w:rPr>
        <w:t>《政府采购促进中小企业发展管理办法》(财库﹝2020﹞46</w:t>
      </w:r>
      <w:r>
        <w:rPr>
          <w:rFonts w:hint="eastAsia" w:ascii="仿宋" w:hAnsi="仿宋" w:eastAsia="仿宋" w:cs="仿宋"/>
          <w:i w:val="0"/>
          <w:iCs w:val="0"/>
          <w:caps w:val="0"/>
          <w:color w:val="auto"/>
          <w:spacing w:val="0"/>
          <w:sz w:val="27"/>
          <w:szCs w:val="27"/>
          <w:lang w:eastAsia="zh-CN"/>
        </w:rPr>
        <w:t>号）</w:t>
      </w:r>
    </w:p>
    <w:p w14:paraId="15432ED5">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.本项目的特定资格要求：</w:t>
      </w:r>
      <w:r>
        <w:rPr>
          <w:rFonts w:hint="eastAsia" w:ascii="仿宋" w:hAnsi="仿宋" w:eastAsia="仿宋" w:cs="仿宋"/>
          <w:i w:val="0"/>
          <w:iCs w:val="0"/>
          <w:caps w:val="0"/>
          <w:color w:val="auto"/>
          <w:spacing w:val="0"/>
          <w:sz w:val="27"/>
          <w:szCs w:val="27"/>
          <w:lang w:val="en-US" w:eastAsia="zh-CN"/>
        </w:rPr>
        <w:t>（1）企业具有[水利水电工程施工总承包贰级](含)以上资质、企业安全生产许可证；（2）拟派项目负责人具有二级（含）以上建造师资格（水利水电工程专业）和</w:t>
      </w:r>
      <w:bookmarkStart w:id="174" w:name="_GoBack"/>
      <w:bookmarkEnd w:id="174"/>
      <w:r>
        <w:rPr>
          <w:rFonts w:hint="eastAsia" w:ascii="仿宋" w:hAnsi="仿宋" w:eastAsia="仿宋" w:cs="仿宋"/>
          <w:i w:val="0"/>
          <w:iCs w:val="0"/>
          <w:caps w:val="0"/>
          <w:color w:val="auto"/>
          <w:spacing w:val="0"/>
          <w:sz w:val="27"/>
          <w:szCs w:val="27"/>
          <w:lang w:val="en-US" w:eastAsia="zh-CN"/>
        </w:rPr>
        <w:t>安全生产考核合格证书B证（均合格有效），且不得担任其他在建工程项目的项目负责人，技术负责人、施工员、质检员、安全员、资料员、材料员等项目管理机构班组人员必须持证上岗</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w:t>
      </w:r>
      <w:r>
        <w:rPr>
          <w:rFonts w:ascii="仿宋" w:hAnsi="仿宋" w:eastAsia="仿宋" w:cs="仿宋"/>
          <w:i w:val="0"/>
          <w:iCs w:val="0"/>
          <w:caps w:val="0"/>
          <w:color w:val="auto"/>
          <w:spacing w:val="0"/>
          <w:sz w:val="27"/>
          <w:szCs w:val="27"/>
        </w:rPr>
        <w:t xml:space="preserve">根据《关于在招标投标活动中对失信被执行人实施联合惩戒的通知》之规定，供应商应通过“信用中国”网站（www.creditchina.gov.cn）和“中国政府采购网”（ </w:t>
      </w:r>
      <w:r>
        <w:rPr>
          <w:rFonts w:ascii="仿宋" w:hAnsi="仿宋" w:eastAsia="仿宋" w:cs="仿宋"/>
          <w:i w:val="0"/>
          <w:iCs w:val="0"/>
          <w:caps w:val="0"/>
          <w:color w:val="auto"/>
          <w:spacing w:val="0"/>
          <w:sz w:val="27"/>
          <w:szCs w:val="27"/>
        </w:rPr>
        <w:fldChar w:fldCharType="begin"/>
      </w:r>
      <w:r>
        <w:rPr>
          <w:rFonts w:ascii="仿宋" w:hAnsi="仿宋" w:eastAsia="仿宋" w:cs="仿宋"/>
          <w:i w:val="0"/>
          <w:iCs w:val="0"/>
          <w:caps w:val="0"/>
          <w:color w:val="auto"/>
          <w:spacing w:val="0"/>
          <w:sz w:val="27"/>
          <w:szCs w:val="27"/>
        </w:rPr>
        <w:instrText xml:space="preserve"> HYPERLINK "http://www.ccgp.gov.cn）查询未被列为失信被执行人；" </w:instrText>
      </w:r>
      <w:r>
        <w:rPr>
          <w:rFonts w:ascii="仿宋" w:hAnsi="仿宋" w:eastAsia="仿宋" w:cs="仿宋"/>
          <w:i w:val="0"/>
          <w:iCs w:val="0"/>
          <w:caps w:val="0"/>
          <w:color w:val="auto"/>
          <w:spacing w:val="0"/>
          <w:sz w:val="27"/>
          <w:szCs w:val="27"/>
        </w:rPr>
        <w:fldChar w:fldCharType="separate"/>
      </w:r>
      <w:r>
        <w:rPr>
          <w:rFonts w:ascii="仿宋" w:hAnsi="仿宋" w:eastAsia="仿宋" w:cs="仿宋"/>
          <w:i w:val="0"/>
          <w:iCs w:val="0"/>
          <w:caps w:val="0"/>
          <w:color w:val="auto"/>
          <w:spacing w:val="0"/>
          <w:sz w:val="27"/>
          <w:szCs w:val="27"/>
        </w:rPr>
        <w:t>www.ccgp.gov.cn）查询未被列为失信被执行人</w:t>
      </w:r>
      <w:r>
        <w:rPr>
          <w:rFonts w:ascii="仿宋" w:hAnsi="仿宋" w:eastAsia="仿宋" w:cs="仿宋"/>
          <w:i w:val="0"/>
          <w:iCs w:val="0"/>
          <w:caps w:val="0"/>
          <w:color w:val="auto"/>
          <w:spacing w:val="0"/>
          <w:sz w:val="27"/>
          <w:szCs w:val="27"/>
        </w:rPr>
        <w:fldChar w:fldCharType="end"/>
      </w:r>
      <w:r>
        <w:rPr>
          <w:rFonts w:hint="eastAsia" w:ascii="仿宋" w:hAnsi="仿宋" w:eastAsia="仿宋" w:cs="仿宋"/>
          <w:i w:val="0"/>
          <w:iCs w:val="0"/>
          <w:caps w:val="0"/>
          <w:color w:val="auto"/>
          <w:spacing w:val="0"/>
          <w:sz w:val="27"/>
          <w:szCs w:val="27"/>
        </w:rPr>
        <w:t>、重大税收违法案件当事人名单、政府采购严重违法失信行为记录名单</w:t>
      </w:r>
      <w:r>
        <w:rPr>
          <w:rFonts w:hint="eastAsia" w:ascii="仿宋" w:hAnsi="仿宋" w:eastAsia="仿宋" w:cs="仿宋"/>
          <w:i w:val="0"/>
          <w:iCs w:val="0"/>
          <w:caps w:val="0"/>
          <w:color w:val="auto"/>
          <w:spacing w:val="0"/>
          <w:sz w:val="27"/>
          <w:szCs w:val="27"/>
          <w:lang w:eastAsia="zh-CN"/>
        </w:rPr>
        <w:t>。</w:t>
      </w:r>
    </w:p>
    <w:p w14:paraId="24A7A0D4">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17"/>
      <w:bookmarkEnd w:id="18"/>
      <w:bookmarkEnd w:id="19"/>
      <w:bookmarkEnd w:id="20"/>
      <w:bookmarkEnd w:id="21"/>
    </w:p>
    <w:p w14:paraId="0AA1883B">
      <w:pPr>
        <w:spacing w:line="360" w:lineRule="auto"/>
        <w:ind w:firstLine="540"/>
        <w:rPr>
          <w:rFonts w:hint="eastAsia" w:ascii="仿宋" w:hAnsi="仿宋" w:eastAsia="仿宋" w:cs="宋体"/>
          <w:b/>
          <w:bCs/>
          <w:color w:val="auto"/>
          <w:sz w:val="28"/>
          <w:szCs w:val="28"/>
          <w:highlight w:val="none"/>
          <w:u w:val="single"/>
          <w:lang w:val="en-US"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2025年03</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2025年03月18日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10：30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19：30</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14:paraId="7E1BBA1E">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 xml:space="preserve">地点：政采云平台线上获取 </w:t>
      </w:r>
    </w:p>
    <w:p w14:paraId="55719D1A">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highlight w:val="none"/>
        </w:rPr>
        <w:t>方式：</w:t>
      </w:r>
      <w:r>
        <w:rPr>
          <w:rFonts w:ascii="仿宋" w:hAnsi="仿宋" w:eastAsia="仿宋" w:cs="仿宋"/>
          <w:i w:val="0"/>
          <w:iCs w:val="0"/>
          <w:caps w:val="0"/>
          <w:color w:val="auto"/>
          <w:spacing w:val="0"/>
          <w:sz w:val="27"/>
          <w:szCs w:val="27"/>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auto"/>
          <w:spacing w:val="0"/>
          <w:sz w:val="27"/>
          <w:szCs w:val="27"/>
        </w:rPr>
        <w:t> </w:t>
      </w:r>
    </w:p>
    <w:p w14:paraId="5CD5D3D7">
      <w:pPr>
        <w:spacing w:line="360" w:lineRule="auto"/>
        <w:ind w:firstLine="54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rPr>
        <w:t>售</w:t>
      </w:r>
      <w:r>
        <w:rPr>
          <w:rFonts w:hint="eastAsia" w:ascii="仿宋" w:hAnsi="仿宋" w:eastAsia="仿宋" w:cs="宋体"/>
          <w:color w:val="auto"/>
          <w:sz w:val="28"/>
          <w:szCs w:val="28"/>
          <w:highlight w:val="none"/>
        </w:rPr>
        <w:t>价：</w:t>
      </w:r>
      <w:r>
        <w:rPr>
          <w:rFonts w:hint="eastAsia" w:ascii="仿宋" w:hAnsi="仿宋" w:eastAsia="仿宋" w:cs="宋体"/>
          <w:color w:val="auto"/>
          <w:sz w:val="28"/>
          <w:szCs w:val="28"/>
          <w:highlight w:val="none"/>
          <w:lang w:val="en-US" w:eastAsia="zh-CN"/>
        </w:rPr>
        <w:t>0元</w:t>
      </w:r>
    </w:p>
    <w:p w14:paraId="36DB04A7">
      <w:pPr>
        <w:pStyle w:val="3"/>
        <w:spacing w:line="360" w:lineRule="auto"/>
        <w:rPr>
          <w:rFonts w:ascii="黑体" w:hAnsi="黑体" w:cs="宋体"/>
          <w:b w:val="0"/>
          <w:color w:val="auto"/>
          <w:sz w:val="28"/>
          <w:szCs w:val="28"/>
        </w:rPr>
      </w:pPr>
      <w:bookmarkStart w:id="22" w:name="_Toc28359005"/>
      <w:bookmarkStart w:id="23" w:name="_Toc28359082"/>
      <w:bookmarkStart w:id="24" w:name="_Toc35393793"/>
      <w:bookmarkStart w:id="25" w:name="_Toc35393624"/>
      <w:bookmarkStart w:id="26" w:name="_Toc20860"/>
      <w:r>
        <w:rPr>
          <w:rFonts w:hint="eastAsia" w:ascii="黑体" w:hAnsi="黑体" w:cs="宋体"/>
          <w:b w:val="0"/>
          <w:color w:val="auto"/>
          <w:sz w:val="28"/>
          <w:szCs w:val="28"/>
        </w:rPr>
        <w:t>四、提交投标文件</w:t>
      </w:r>
      <w:bookmarkEnd w:id="22"/>
      <w:bookmarkEnd w:id="23"/>
      <w:r>
        <w:rPr>
          <w:rFonts w:hint="eastAsia" w:ascii="黑体" w:hAnsi="黑体" w:cs="宋体"/>
          <w:b w:val="0"/>
          <w:color w:val="auto"/>
          <w:sz w:val="28"/>
          <w:szCs w:val="28"/>
        </w:rPr>
        <w:t>截止时间、开标时间和地点</w:t>
      </w:r>
      <w:bookmarkEnd w:id="24"/>
      <w:bookmarkEnd w:id="25"/>
      <w:bookmarkEnd w:id="26"/>
    </w:p>
    <w:p w14:paraId="773B6332">
      <w:pPr>
        <w:spacing w:line="360" w:lineRule="auto"/>
        <w:ind w:firstLine="54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 xml:space="preserve"> 2025年03月21日16点00分（北京时间）</w:t>
      </w:r>
    </w:p>
    <w:p w14:paraId="5CB1F4A9">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地点：请登录政采云投标客户端投标</w:t>
      </w:r>
    </w:p>
    <w:p w14:paraId="3867767D">
      <w:pPr>
        <w:pStyle w:val="3"/>
        <w:spacing w:line="240" w:lineRule="auto"/>
        <w:rPr>
          <w:rFonts w:ascii="黑体" w:hAnsi="黑体" w:cs="宋体"/>
          <w:b w:val="0"/>
          <w:color w:val="auto"/>
          <w:sz w:val="28"/>
          <w:szCs w:val="28"/>
        </w:rPr>
      </w:pPr>
      <w:bookmarkStart w:id="27" w:name="_Toc20651"/>
      <w:bookmarkStart w:id="28" w:name="_Toc35393625"/>
      <w:bookmarkStart w:id="29" w:name="_Toc28359007"/>
      <w:bookmarkStart w:id="30" w:name="_Toc28359084"/>
      <w:bookmarkStart w:id="31" w:name="_Toc35393794"/>
      <w:r>
        <w:rPr>
          <w:rFonts w:hint="eastAsia" w:ascii="黑体" w:hAnsi="黑体" w:cs="宋体"/>
          <w:b w:val="0"/>
          <w:color w:val="auto"/>
          <w:sz w:val="28"/>
          <w:szCs w:val="28"/>
        </w:rPr>
        <w:t>五、公告期限</w:t>
      </w:r>
      <w:bookmarkEnd w:id="27"/>
      <w:bookmarkEnd w:id="28"/>
      <w:bookmarkEnd w:id="29"/>
      <w:bookmarkEnd w:id="30"/>
      <w:bookmarkEnd w:id="31"/>
    </w:p>
    <w:p w14:paraId="7B12C283">
      <w:pPr>
        <w:spacing w:line="24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14:paraId="289A484F">
      <w:pPr>
        <w:pStyle w:val="3"/>
        <w:spacing w:line="360" w:lineRule="auto"/>
        <w:rPr>
          <w:rFonts w:ascii="黑体" w:hAnsi="黑体" w:cs="宋体"/>
          <w:b w:val="0"/>
          <w:color w:val="auto"/>
          <w:sz w:val="28"/>
          <w:szCs w:val="28"/>
        </w:rPr>
      </w:pPr>
      <w:bookmarkStart w:id="32" w:name="_Toc35393795"/>
      <w:bookmarkStart w:id="33" w:name="_Toc35393626"/>
      <w:bookmarkStart w:id="34" w:name="_Toc26551"/>
      <w:r>
        <w:rPr>
          <w:rFonts w:hint="eastAsia" w:ascii="黑体" w:hAnsi="黑体" w:cs="宋体"/>
          <w:b w:val="0"/>
          <w:color w:val="auto"/>
          <w:sz w:val="28"/>
          <w:szCs w:val="28"/>
        </w:rPr>
        <w:t>六、其他补充事宜</w:t>
      </w:r>
      <w:bookmarkEnd w:id="32"/>
      <w:bookmarkEnd w:id="33"/>
      <w:bookmarkEnd w:id="34"/>
    </w:p>
    <w:p w14:paraId="7A4C7BF9">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1、请供应商随时自行关注本项目的澄清、答疑、变更事项.</w:t>
      </w:r>
    </w:p>
    <w:p w14:paraId="3B452AC3">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2.本项目采用全流程不见面电子开评标，投标供应商需要使用CA加密设备，供应商可通过新疆数字证书认证中心官网(https://www.xjca.com.cn/)或下载“新疆政务通”APP自行进行申领。</w:t>
      </w:r>
    </w:p>
    <w:p w14:paraId="353FBD1A">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3.本项目实行网上投标，采用加密电子投标文件(供应商须使用CA加密设备通过政采云电子投标客户端制作投标文件)。若供应商参与投标，自行承担投标一切费用。</w:t>
      </w:r>
    </w:p>
    <w:p w14:paraId="3E1927D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4E21085">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67FFCE55">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6.供应商在开标时须使用制作加密电子投标文件所使用的CA锁及电脑，电脑须提前配置好浏览器（建议使用谷歌浏览器），以便开标时解锁。</w:t>
      </w:r>
    </w:p>
    <w:p w14:paraId="0BB0AD8E">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7.供应商对不见面开评标系统的技术操作咨询可通过https://edu.zcygov.cn/luban/xinjiang-e-biding自助查询，也可在政采云帮助中心常见问题解答和操作流程讲解视频中自助查询，网址为：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i w:val="0"/>
          <w:iCs w:val="0"/>
          <w:caps w:val="0"/>
          <w:color w:val="auto"/>
          <w:spacing w:val="0"/>
          <w:sz w:val="27"/>
          <w:szCs w:val="27"/>
          <w:lang w:val="en-US" w:eastAsia="zh-CN"/>
        </w:rPr>
        <w:fldChar w:fldCharType="begin"/>
      </w:r>
      <w:r>
        <w:rPr>
          <w:rFonts w:hint="eastAsia" w:ascii="仿宋" w:hAnsi="仿宋" w:eastAsia="仿宋" w:cs="仿宋"/>
          <w:i w:val="0"/>
          <w:iCs w:val="0"/>
          <w:caps w:val="0"/>
          <w:color w:val="auto"/>
          <w:spacing w:val="0"/>
          <w:sz w:val="27"/>
          <w:szCs w:val="27"/>
          <w:lang w:val="en-US" w:eastAsia="zh-CN"/>
        </w:rPr>
        <w:instrText xml:space="preserve"> HYPERLINK "https://service.zcygov.cn/#/help，\“项目采购\”—\“操作流程一电子招投标\”—\“政府采购项目电子交易管理操作指南一供应商\”版面获取操作指南。" </w:instrText>
      </w:r>
      <w:r>
        <w:rPr>
          <w:rFonts w:hint="eastAsia" w:ascii="仿宋" w:hAnsi="仿宋" w:eastAsia="仿宋" w:cs="仿宋"/>
          <w:i w:val="0"/>
          <w:iCs w:val="0"/>
          <w:caps w:val="0"/>
          <w:color w:val="auto"/>
          <w:spacing w:val="0"/>
          <w:sz w:val="27"/>
          <w:szCs w:val="27"/>
          <w:lang w:val="en-US" w:eastAsia="zh-CN"/>
        </w:rPr>
        <w:fldChar w:fldCharType="separate"/>
      </w:r>
      <w:r>
        <w:rPr>
          <w:rFonts w:hint="eastAsia" w:ascii="仿宋" w:hAnsi="仿宋" w:eastAsia="仿宋" w:cs="仿宋"/>
          <w:i w:val="0"/>
          <w:iCs w:val="0"/>
          <w:caps w:val="0"/>
          <w:color w:val="auto"/>
          <w:spacing w:val="0"/>
          <w:sz w:val="27"/>
          <w:szCs w:val="27"/>
          <w:lang w:val="en-US" w:eastAsia="zh-CN"/>
        </w:rPr>
        <w:t>https://service.zcygov.cn/#/help，“项目采购”—“操作流程一电子招投标”—“政府采购项目电子交易管理操作指南一供应商”版面获取操作指南。</w:t>
      </w:r>
      <w:r>
        <w:rPr>
          <w:rFonts w:hint="eastAsia" w:ascii="仿宋" w:hAnsi="仿宋" w:eastAsia="仿宋" w:cs="仿宋"/>
          <w:i w:val="0"/>
          <w:iCs w:val="0"/>
          <w:caps w:val="0"/>
          <w:color w:val="auto"/>
          <w:spacing w:val="0"/>
          <w:sz w:val="27"/>
          <w:szCs w:val="27"/>
          <w:lang w:val="en-US" w:eastAsia="zh-CN"/>
        </w:rPr>
        <w:fldChar w:fldCharType="end"/>
      </w:r>
    </w:p>
    <w:p w14:paraId="2ECBBA4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8.为了保证开评标顺利进行，政采云线上开标功能完全实现，供应商开标所使用的电脑设备须具有视频及语音功能。</w:t>
      </w:r>
    </w:p>
    <w:p w14:paraId="757FD360">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69784EEC">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10、本项目不接受联合体投标，其他要求详见磋商文件；</w:t>
      </w:r>
    </w:p>
    <w:p w14:paraId="297E1143">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特别提示： </w:t>
      </w:r>
    </w:p>
    <w:p w14:paraId="6ACAF1EC">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1、超过 200 万元的货物和服务采购项目、超过 400 万元的工程采购项目中适宜由中小企业提供的，预留该 </w:t>
      </w:r>
    </w:p>
    <w:p w14:paraId="1AB409C4">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部分采购项目预算总额的 30%以上专门面向中小企业采购，其中预留给小微企业的比例不低于 60%。 </w:t>
      </w:r>
    </w:p>
    <w:p w14:paraId="0F200CEF">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2、对于未预留份额专门面向中小企业的采购项目，以及预留份额项目中的非预留部分采购包，采购人、采购代理机构应当对符合规定的小微企业报价给予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7F22AE2F">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3、接受大中型企业与小微企业组成联合体或者允许大中型企业向一家或者多家小微企业分包的采购项目，对于联合协议或者分包意向协议约定小微企业的合同份额占到合同总金额 30%以上的，采购人、采购代理机构应。 </w:t>
      </w:r>
    </w:p>
    <w:p w14:paraId="2EA54B85">
      <w:pPr>
        <w:keepNext w:val="0"/>
        <w:keepLines w:val="0"/>
        <w:widowControl/>
        <w:suppressLineNumbers w:val="0"/>
        <w:jc w:val="left"/>
        <w:rPr>
          <w:rFonts w:ascii="仿宋" w:hAnsi="仿宋" w:eastAsia="仿宋" w:cs="仿宋"/>
          <w:spacing w:val="-1"/>
          <w:sz w:val="28"/>
          <w:szCs w:val="28"/>
        </w:rPr>
      </w:pPr>
      <w:r>
        <w:rPr>
          <w:rFonts w:hint="eastAsia" w:ascii="宋体" w:hAnsi="宋体" w:eastAsia="宋体" w:cs="宋体"/>
          <w:snapToGrid w:val="0"/>
          <w:color w:val="000000"/>
          <w:kern w:val="0"/>
          <w:sz w:val="18"/>
          <w:szCs w:val="18"/>
          <w:lang w:val="en-US" w:eastAsia="zh-CN" w:bidi="ar"/>
        </w:rPr>
        <w:t>4、当对联合体或者大中型企业的报价给予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6017BD32">
      <w:pPr>
        <w:rPr>
          <w:rFonts w:hint="eastAsia" w:ascii="仿宋" w:hAnsi="仿宋" w:eastAsia="仿宋" w:cs="仿宋"/>
          <w:color w:val="auto"/>
          <w:sz w:val="28"/>
          <w:szCs w:val="28"/>
          <w:lang w:val="en-US" w:eastAsia="zh-CN"/>
        </w:rPr>
      </w:pPr>
    </w:p>
    <w:p w14:paraId="19341903">
      <w:pPr>
        <w:pStyle w:val="3"/>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
      <w:bookmarkEnd w:id="3"/>
      <w:bookmarkEnd w:id="4"/>
      <w:bookmarkEnd w:id="5"/>
    </w:p>
    <w:p w14:paraId="3E760A43">
      <w:pPr>
        <w:spacing w:before="92" w:line="384" w:lineRule="auto"/>
        <w:rPr>
          <w:rFonts w:hint="eastAsia" w:ascii="仿宋" w:hAnsi="仿宋" w:eastAsia="仿宋" w:cs="仿宋"/>
          <w:spacing w:val="-7"/>
          <w:sz w:val="28"/>
          <w:szCs w:val="28"/>
          <w:lang w:val="en-US" w:eastAsia="zh-CN"/>
        </w:rPr>
      </w:pPr>
      <w:bookmarkStart w:id="35" w:name="_Toc28359086"/>
      <w:bookmarkStart w:id="36" w:name="_Toc28359009"/>
      <w:r>
        <w:rPr>
          <w:rFonts w:hint="eastAsia" w:ascii="仿宋" w:hAnsi="仿宋" w:eastAsia="仿宋" w:cs="仿宋"/>
          <w:spacing w:val="-7"/>
          <w:sz w:val="28"/>
          <w:szCs w:val="28"/>
          <w:lang w:val="en-US" w:eastAsia="zh-CN"/>
        </w:rPr>
        <w:t>1.采购人信息</w:t>
      </w:r>
    </w:p>
    <w:p w14:paraId="1C064EAC">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称：哈巴河县农业农村局</w:t>
      </w:r>
    </w:p>
    <w:p w14:paraId="25590FAD">
      <w:pPr>
        <w:spacing w:before="92" w:line="384" w:lineRule="auto"/>
        <w:ind w:firstLine="532" w:firstLineChars="200"/>
        <w:rPr>
          <w:rFonts w:hint="default" w:ascii="仿宋" w:hAnsi="仿宋" w:eastAsia="仿宋" w:cs="仿宋"/>
          <w:spacing w:val="-7"/>
          <w:sz w:val="28"/>
          <w:szCs w:val="28"/>
          <w:highlight w:val="none"/>
          <w:lang w:val="en-US" w:eastAsia="zh-CN"/>
        </w:rPr>
      </w:pPr>
      <w:r>
        <w:rPr>
          <w:rFonts w:hint="eastAsia" w:ascii="仿宋" w:hAnsi="仿宋" w:eastAsia="仿宋" w:cs="仿宋"/>
          <w:spacing w:val="-7"/>
          <w:sz w:val="28"/>
          <w:szCs w:val="28"/>
          <w:lang w:val="en-US" w:eastAsia="zh-CN"/>
        </w:rPr>
        <w:t>地 址：哈巴河县</w:t>
      </w:r>
    </w:p>
    <w:p w14:paraId="55630515">
      <w:pPr>
        <w:spacing w:before="92" w:line="384" w:lineRule="auto"/>
        <w:ind w:firstLine="532" w:firstLineChars="200"/>
        <w:rPr>
          <w:rFonts w:hint="default" w:ascii="仿宋" w:hAnsi="仿宋" w:eastAsia="仿宋" w:cs="仿宋"/>
          <w:spacing w:val="-7"/>
          <w:sz w:val="28"/>
          <w:szCs w:val="28"/>
          <w:highlight w:val="none"/>
          <w:lang w:val="en-US" w:eastAsia="zh-CN"/>
        </w:rPr>
      </w:pPr>
      <w:r>
        <w:rPr>
          <w:rFonts w:hint="eastAsia" w:ascii="仿宋" w:hAnsi="仿宋" w:eastAsia="仿宋" w:cs="仿宋"/>
          <w:spacing w:val="-7"/>
          <w:sz w:val="28"/>
          <w:szCs w:val="28"/>
          <w:highlight w:val="none"/>
          <w:lang w:val="en-US" w:eastAsia="zh-CN"/>
        </w:rPr>
        <w:t>联系方式：18690610686</w:t>
      </w:r>
    </w:p>
    <w:p w14:paraId="6F788EE2">
      <w:pPr>
        <w:spacing w:before="92" w:line="384" w:lineRule="auto"/>
        <w:ind w:left="3" w:firstLine="550" w:firstLineChars="207"/>
        <w:rPr>
          <w:rFonts w:hint="eastAsia" w:ascii="仿宋" w:hAnsi="仿宋" w:eastAsia="仿宋" w:cs="仿宋"/>
          <w:spacing w:val="-7"/>
          <w:sz w:val="28"/>
          <w:szCs w:val="28"/>
          <w:lang w:val="en-US" w:eastAsia="zh-CN"/>
        </w:rPr>
      </w:pPr>
      <w:r>
        <w:rPr>
          <w:rFonts w:ascii="仿宋" w:hAnsi="仿宋" w:eastAsia="仿宋" w:cs="仿宋"/>
          <w:spacing w:val="-7"/>
          <w:sz w:val="28"/>
          <w:szCs w:val="28"/>
        </w:rPr>
        <w:t>2.采购代理机构信息</w:t>
      </w:r>
    </w:p>
    <w:bookmarkEnd w:id="35"/>
    <w:bookmarkEnd w:id="36"/>
    <w:p w14:paraId="629B610E">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称：新疆瀚展博源项目管理有限公司</w:t>
      </w:r>
    </w:p>
    <w:p w14:paraId="08949A61">
      <w:pPr>
        <w:spacing w:before="92" w:line="384" w:lineRule="auto"/>
        <w:ind w:firstLine="532" w:firstLineChars="200"/>
        <w:rPr>
          <w:rFonts w:hint="eastAsia" w:ascii="仿宋" w:hAnsi="仿宋" w:eastAsia="仿宋" w:cs="仿宋"/>
          <w:spacing w:val="-7"/>
          <w:sz w:val="28"/>
          <w:szCs w:val="28"/>
          <w:lang w:val="en-US" w:eastAsia="zh-CN"/>
        </w:rPr>
      </w:pPr>
      <w:r>
        <w:rPr>
          <w:rFonts w:ascii="仿宋" w:hAnsi="仿宋" w:eastAsia="仿宋" w:cs="仿宋"/>
          <w:spacing w:val="-7"/>
          <w:sz w:val="28"/>
          <w:szCs w:val="28"/>
        </w:rPr>
        <w:t>地   址：</w:t>
      </w:r>
      <w:r>
        <w:rPr>
          <w:rFonts w:hint="eastAsia" w:ascii="仿宋" w:hAnsi="仿宋" w:eastAsia="仿宋" w:cs="仿宋"/>
          <w:spacing w:val="-7"/>
          <w:sz w:val="28"/>
          <w:szCs w:val="28"/>
          <w:lang w:val="en-US" w:eastAsia="zh-CN"/>
        </w:rPr>
        <w:t>新疆阿勒泰地区阿勒泰市迎宾路克兰区99号万驰广场1栋十四层3-3号</w:t>
      </w:r>
    </w:p>
    <w:p w14:paraId="171FDFEE">
      <w:pPr>
        <w:spacing w:before="92" w:line="384" w:lineRule="auto"/>
        <w:ind w:firstLine="532" w:firstLineChars="200"/>
        <w:rPr>
          <w:rFonts w:hint="default" w:ascii="仿宋" w:hAnsi="仿宋" w:eastAsia="仿宋" w:cs="仿宋"/>
          <w:spacing w:val="-7"/>
          <w:sz w:val="28"/>
          <w:szCs w:val="28"/>
          <w:lang w:val="en-US" w:eastAsia="zh-CN"/>
        </w:rPr>
      </w:pPr>
      <w:r>
        <w:rPr>
          <w:rFonts w:ascii="仿宋" w:hAnsi="仿宋" w:eastAsia="仿宋" w:cs="仿宋"/>
          <w:spacing w:val="-7"/>
          <w:sz w:val="28"/>
          <w:szCs w:val="28"/>
        </w:rPr>
        <w:t>联系方式：</w:t>
      </w:r>
      <w:r>
        <w:rPr>
          <w:rFonts w:hint="eastAsia" w:ascii="仿宋" w:hAnsi="仿宋" w:eastAsia="仿宋" w:cs="仿宋"/>
          <w:spacing w:val="-7"/>
          <w:sz w:val="28"/>
          <w:szCs w:val="28"/>
          <w:lang w:val="en-US" w:eastAsia="zh-CN"/>
        </w:rPr>
        <w:t>18809068299</w:t>
      </w:r>
    </w:p>
    <w:p w14:paraId="233D5DF3">
      <w:pPr>
        <w:spacing w:before="232" w:line="242" w:lineRule="auto"/>
        <w:ind w:left="600"/>
        <w:outlineLvl w:val="0"/>
        <w:rPr>
          <w:rFonts w:ascii="仿宋" w:hAnsi="仿宋" w:eastAsia="仿宋" w:cs="仿宋"/>
          <w:sz w:val="28"/>
          <w:szCs w:val="28"/>
        </w:rPr>
      </w:pPr>
      <w:r>
        <w:rPr>
          <w:rFonts w:ascii="仿宋" w:hAnsi="仿宋" w:eastAsia="仿宋" w:cs="仿宋"/>
          <w:spacing w:val="-2"/>
          <w:sz w:val="28"/>
          <w:szCs w:val="28"/>
        </w:rPr>
        <w:t>3.项目联系方</w:t>
      </w:r>
      <w:r>
        <w:rPr>
          <w:rFonts w:ascii="仿宋" w:hAnsi="仿宋" w:eastAsia="仿宋" w:cs="仿宋"/>
          <w:spacing w:val="-1"/>
          <w:sz w:val="28"/>
          <w:szCs w:val="28"/>
        </w:rPr>
        <w:t>式</w:t>
      </w:r>
    </w:p>
    <w:p w14:paraId="7E330DE4">
      <w:pPr>
        <w:spacing w:line="344" w:lineRule="auto"/>
        <w:rPr>
          <w:rFonts w:ascii="Arial"/>
          <w:sz w:val="21"/>
        </w:rPr>
      </w:pPr>
    </w:p>
    <w:p w14:paraId="78ADC34D">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项目联系人：王曼曼</w:t>
      </w:r>
    </w:p>
    <w:p w14:paraId="54D259EA">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电      话：18809068299</w:t>
      </w:r>
    </w:p>
    <w:p w14:paraId="507F778E">
      <w:pPr>
        <w:spacing w:before="90" w:line="225" w:lineRule="auto"/>
        <w:ind w:left="3142"/>
        <w:rPr>
          <w:rFonts w:ascii="宋体" w:hAnsi="宋体" w:eastAsia="宋体" w:cs="宋体"/>
          <w:color w:val="auto"/>
          <w:spacing w:val="8"/>
          <w:sz w:val="31"/>
          <w:szCs w:val="31"/>
        </w:rPr>
      </w:pPr>
    </w:p>
    <w:p w14:paraId="4BA4AA0B">
      <w:pPr>
        <w:spacing w:before="90" w:line="225" w:lineRule="auto"/>
        <w:ind w:left="3142"/>
        <w:rPr>
          <w:rFonts w:ascii="宋体" w:hAnsi="宋体" w:eastAsia="宋体" w:cs="宋体"/>
          <w:color w:val="auto"/>
          <w:spacing w:val="8"/>
          <w:sz w:val="31"/>
          <w:szCs w:val="31"/>
        </w:rPr>
      </w:pPr>
    </w:p>
    <w:p w14:paraId="49617954">
      <w:pPr>
        <w:spacing w:before="90" w:line="225" w:lineRule="auto"/>
        <w:ind w:left="3142"/>
        <w:rPr>
          <w:rFonts w:ascii="宋体" w:hAnsi="宋体" w:eastAsia="宋体" w:cs="宋体"/>
          <w:color w:val="auto"/>
          <w:spacing w:val="8"/>
          <w:sz w:val="31"/>
          <w:szCs w:val="31"/>
        </w:rPr>
      </w:pPr>
    </w:p>
    <w:p w14:paraId="57AD7F45">
      <w:pPr>
        <w:spacing w:before="90" w:line="225" w:lineRule="auto"/>
        <w:rPr>
          <w:rFonts w:ascii="宋体" w:hAnsi="宋体" w:eastAsia="宋体" w:cs="宋体"/>
          <w:color w:val="auto"/>
          <w:spacing w:val="8"/>
          <w:sz w:val="31"/>
          <w:szCs w:val="31"/>
        </w:rPr>
      </w:pPr>
    </w:p>
    <w:p w14:paraId="3676146F">
      <w:pPr>
        <w:spacing w:before="90" w:line="225" w:lineRule="auto"/>
        <w:ind w:firstLine="3260" w:firstLineChars="1000"/>
        <w:rPr>
          <w:rFonts w:ascii="宋体" w:hAnsi="宋体" w:eastAsia="宋体" w:cs="宋体"/>
          <w:color w:val="auto"/>
          <w:sz w:val="31"/>
          <w:szCs w:val="31"/>
        </w:rPr>
      </w:pPr>
      <w:r>
        <w:rPr>
          <w:rFonts w:ascii="宋体" w:hAnsi="宋体" w:eastAsia="宋体" w:cs="宋体"/>
          <w:color w:val="auto"/>
          <w:spacing w:val="8"/>
          <w:sz w:val="31"/>
          <w:szCs w:val="31"/>
        </w:rPr>
        <w:t>第二章 投标人须</w:t>
      </w:r>
      <w:r>
        <w:rPr>
          <w:rFonts w:ascii="宋体" w:hAnsi="宋体" w:eastAsia="宋体" w:cs="宋体"/>
          <w:color w:val="auto"/>
          <w:spacing w:val="7"/>
          <w:sz w:val="31"/>
          <w:szCs w:val="31"/>
        </w:rPr>
        <w:t>知</w:t>
      </w:r>
    </w:p>
    <w:p w14:paraId="3CCC3851">
      <w:pPr>
        <w:spacing w:before="155" w:line="225" w:lineRule="auto"/>
        <w:ind w:left="3220"/>
        <w:outlineLvl w:val="0"/>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投标人须知前附</w:t>
      </w:r>
      <w:r>
        <w:rPr>
          <w:rFonts w:ascii="宋体" w:hAnsi="宋体" w:eastAsia="宋体" w:cs="宋体"/>
          <w:color w:val="auto"/>
          <w:spacing w:val="8"/>
          <w:sz w:val="31"/>
          <w:szCs w:val="31"/>
          <w14:textOutline w14:w="5793" w14:cap="sq" w14:cmpd="sng">
            <w14:solidFill>
              <w14:srgbClr w14:val="000000"/>
            </w14:solidFill>
            <w14:prstDash w14:val="solid"/>
            <w14:bevel/>
          </w14:textOutline>
        </w:rPr>
        <w:t>表</w:t>
      </w:r>
    </w:p>
    <w:p w14:paraId="463F34D4">
      <w:pPr>
        <w:spacing w:line="96" w:lineRule="exact"/>
        <w:rPr>
          <w:color w:val="auto"/>
        </w:rPr>
      </w:pPr>
    </w:p>
    <w:tbl>
      <w:tblPr>
        <w:tblStyle w:val="17"/>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14A1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2" w:type="dxa"/>
            <w:vAlign w:val="top"/>
          </w:tcPr>
          <w:p w14:paraId="47614C8D">
            <w:pPr>
              <w:spacing w:before="177" w:line="228" w:lineRule="auto"/>
              <w:ind w:left="201"/>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7"/>
                <w:sz w:val="20"/>
                <w:szCs w:val="20"/>
                <w14:textOutline w14:w="3795" w14:cap="sq" w14:cmpd="sng">
                  <w14:solidFill>
                    <w14:srgbClr w14:val="000000"/>
                  </w14:solidFill>
                  <w14:prstDash w14:val="solid"/>
                  <w14:bevel/>
                </w14:textOutline>
              </w:rPr>
              <w:t>条款号</w:t>
            </w:r>
          </w:p>
        </w:tc>
        <w:tc>
          <w:tcPr>
            <w:tcW w:w="2632" w:type="dxa"/>
            <w:vAlign w:val="top"/>
          </w:tcPr>
          <w:p w14:paraId="0F2BE1C9">
            <w:pPr>
              <w:spacing w:before="177" w:line="228" w:lineRule="auto"/>
              <w:ind w:left="583"/>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条</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款</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名</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称</w:t>
            </w:r>
          </w:p>
        </w:tc>
        <w:tc>
          <w:tcPr>
            <w:tcW w:w="5477" w:type="dxa"/>
            <w:vAlign w:val="top"/>
          </w:tcPr>
          <w:p w14:paraId="61789590">
            <w:pPr>
              <w:spacing w:before="177" w:line="228" w:lineRule="auto"/>
              <w:ind w:left="2007"/>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编</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列</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内</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容</w:t>
            </w:r>
          </w:p>
        </w:tc>
      </w:tr>
      <w:tr w14:paraId="2C438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21689F2A">
            <w:pPr>
              <w:spacing w:line="433" w:lineRule="auto"/>
              <w:rPr>
                <w:rFonts w:ascii="Arial"/>
                <w:color w:val="auto"/>
                <w:sz w:val="21"/>
              </w:rPr>
            </w:pPr>
          </w:p>
          <w:p w14:paraId="0B6C8AB0">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.1.1</w:t>
            </w:r>
          </w:p>
        </w:tc>
        <w:tc>
          <w:tcPr>
            <w:tcW w:w="2632" w:type="dxa"/>
            <w:vAlign w:val="top"/>
          </w:tcPr>
          <w:p w14:paraId="2EFD352D">
            <w:pPr>
              <w:spacing w:line="402" w:lineRule="auto"/>
              <w:rPr>
                <w:rFonts w:ascii="Arial"/>
                <w:color w:val="auto"/>
                <w:sz w:val="21"/>
              </w:rPr>
            </w:pPr>
          </w:p>
          <w:p w14:paraId="5798D6D1">
            <w:pPr>
              <w:spacing w:before="65" w:line="229" w:lineRule="auto"/>
              <w:ind w:left="1007"/>
              <w:rPr>
                <w:rFonts w:ascii="宋体" w:hAnsi="宋体" w:eastAsia="宋体" w:cs="宋体"/>
                <w:color w:val="auto"/>
                <w:sz w:val="20"/>
                <w:szCs w:val="20"/>
              </w:rPr>
            </w:pPr>
            <w:r>
              <w:rPr>
                <w:rFonts w:ascii="宋体" w:hAnsi="宋体" w:eastAsia="宋体" w:cs="宋体"/>
                <w:color w:val="auto"/>
                <w:spacing w:val="7"/>
                <w:sz w:val="20"/>
                <w:szCs w:val="20"/>
              </w:rPr>
              <w:t>招</w:t>
            </w:r>
            <w:r>
              <w:rPr>
                <w:rFonts w:ascii="宋体" w:hAnsi="宋体" w:eastAsia="宋体" w:cs="宋体"/>
                <w:color w:val="auto"/>
                <w:spacing w:val="6"/>
                <w:sz w:val="20"/>
                <w:szCs w:val="20"/>
              </w:rPr>
              <w:t>标人</w:t>
            </w:r>
          </w:p>
        </w:tc>
        <w:tc>
          <w:tcPr>
            <w:tcW w:w="5477" w:type="dxa"/>
            <w:vAlign w:val="top"/>
          </w:tcPr>
          <w:p w14:paraId="39B5FAA7">
            <w:pPr>
              <w:spacing w:before="109" w:line="231" w:lineRule="auto"/>
              <w:ind w:left="117"/>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名</w:t>
            </w:r>
            <w:r>
              <w:rPr>
                <w:rFonts w:ascii="宋体" w:hAnsi="宋体" w:eastAsia="宋体" w:cs="宋体"/>
                <w:color w:val="auto"/>
                <w:spacing w:val="8"/>
                <w:sz w:val="20"/>
                <w:szCs w:val="20"/>
              </w:rPr>
              <w:t xml:space="preserve">  称：</w:t>
            </w:r>
            <w:r>
              <w:rPr>
                <w:rFonts w:hint="eastAsia" w:ascii="宋体" w:hAnsi="宋体" w:eastAsia="宋体" w:cs="宋体"/>
                <w:color w:val="auto"/>
                <w:spacing w:val="8"/>
                <w:sz w:val="20"/>
                <w:szCs w:val="20"/>
                <w:highlight w:val="none"/>
                <w:lang w:eastAsia="zh-CN"/>
              </w:rPr>
              <w:t>哈巴河县农业农村局</w:t>
            </w:r>
          </w:p>
          <w:p w14:paraId="39062208">
            <w:pPr>
              <w:spacing w:before="109" w:line="238" w:lineRule="auto"/>
              <w:ind w:left="114"/>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地</w:t>
            </w:r>
            <w:r>
              <w:rPr>
                <w:rFonts w:ascii="宋体" w:hAnsi="宋体" w:eastAsia="宋体" w:cs="宋体"/>
                <w:color w:val="auto"/>
                <w:spacing w:val="7"/>
                <w:sz w:val="20"/>
                <w:szCs w:val="20"/>
              </w:rPr>
              <w:t xml:space="preserve">  址：</w:t>
            </w:r>
            <w:r>
              <w:rPr>
                <w:rFonts w:hint="eastAsia" w:ascii="宋体" w:hAnsi="宋体" w:eastAsia="宋体" w:cs="宋体"/>
                <w:color w:val="auto"/>
                <w:spacing w:val="8"/>
                <w:sz w:val="20"/>
                <w:szCs w:val="20"/>
                <w:highlight w:val="none"/>
                <w:lang w:val="en-US" w:eastAsia="zh-CN"/>
              </w:rPr>
              <w:t>哈巴河县</w:t>
            </w:r>
          </w:p>
          <w:p w14:paraId="5051925A">
            <w:pPr>
              <w:spacing w:before="111" w:line="228" w:lineRule="auto"/>
              <w:ind w:left="115"/>
              <w:rPr>
                <w:rFonts w:hint="default" w:ascii="宋体" w:hAnsi="宋体" w:eastAsia="宋体" w:cs="宋体"/>
                <w:color w:val="auto"/>
                <w:sz w:val="20"/>
                <w:szCs w:val="20"/>
                <w:lang w:val="en-US"/>
              </w:rPr>
            </w:pPr>
            <w:r>
              <w:rPr>
                <w:rFonts w:ascii="宋体" w:hAnsi="宋体" w:eastAsia="宋体" w:cs="宋体"/>
                <w:color w:val="auto"/>
                <w:spacing w:val="12"/>
                <w:sz w:val="20"/>
                <w:szCs w:val="20"/>
                <w:highlight w:val="none"/>
              </w:rPr>
              <w:t>联系</w:t>
            </w:r>
            <w:r>
              <w:rPr>
                <w:rFonts w:ascii="宋体" w:hAnsi="宋体" w:eastAsia="宋体" w:cs="宋体"/>
                <w:color w:val="auto"/>
                <w:spacing w:val="6"/>
                <w:sz w:val="20"/>
                <w:szCs w:val="20"/>
                <w:highlight w:val="none"/>
              </w:rPr>
              <w:t>人</w:t>
            </w:r>
            <w:r>
              <w:rPr>
                <w:rFonts w:hint="eastAsia" w:ascii="宋体" w:hAnsi="宋体" w:eastAsia="宋体" w:cs="宋体"/>
                <w:color w:val="auto"/>
                <w:spacing w:val="9"/>
                <w:sz w:val="20"/>
                <w:szCs w:val="20"/>
                <w:highlight w:val="none"/>
                <w:lang w:val="en-US" w:eastAsia="zh-CN"/>
              </w:rPr>
              <w:t>：董超       电  话：18690610686</w:t>
            </w:r>
          </w:p>
        </w:tc>
      </w:tr>
      <w:tr w14:paraId="3292C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0DBF8FDC">
            <w:pPr>
              <w:spacing w:line="434" w:lineRule="auto"/>
              <w:rPr>
                <w:rFonts w:ascii="Arial"/>
                <w:color w:val="auto"/>
                <w:sz w:val="21"/>
              </w:rPr>
            </w:pPr>
          </w:p>
          <w:p w14:paraId="59E85C56">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1.1.</w:t>
            </w:r>
            <w:r>
              <w:rPr>
                <w:rFonts w:ascii="宋体" w:hAnsi="宋体" w:eastAsia="宋体" w:cs="宋体"/>
                <w:color w:val="auto"/>
                <w:spacing w:val="1"/>
                <w:sz w:val="20"/>
                <w:szCs w:val="20"/>
              </w:rPr>
              <w:t>2</w:t>
            </w:r>
          </w:p>
        </w:tc>
        <w:tc>
          <w:tcPr>
            <w:tcW w:w="2632" w:type="dxa"/>
            <w:vAlign w:val="top"/>
          </w:tcPr>
          <w:p w14:paraId="1985C8D1">
            <w:pPr>
              <w:spacing w:line="402" w:lineRule="auto"/>
              <w:rPr>
                <w:rFonts w:ascii="Arial"/>
                <w:color w:val="auto"/>
                <w:sz w:val="21"/>
              </w:rPr>
            </w:pPr>
          </w:p>
          <w:p w14:paraId="32806784">
            <w:pPr>
              <w:spacing w:before="65" w:line="227" w:lineRule="auto"/>
              <w:ind w:left="690"/>
              <w:rPr>
                <w:rFonts w:ascii="宋体" w:hAnsi="宋体" w:eastAsia="宋体" w:cs="宋体"/>
                <w:color w:val="auto"/>
                <w:sz w:val="20"/>
                <w:szCs w:val="20"/>
              </w:rPr>
            </w:pPr>
            <w:r>
              <w:rPr>
                <w:rFonts w:ascii="宋体" w:hAnsi="宋体" w:eastAsia="宋体" w:cs="宋体"/>
                <w:color w:val="auto"/>
                <w:spacing w:val="8"/>
                <w:sz w:val="20"/>
                <w:szCs w:val="20"/>
              </w:rPr>
              <w:t>招标代理机构</w:t>
            </w:r>
          </w:p>
        </w:tc>
        <w:tc>
          <w:tcPr>
            <w:tcW w:w="5477" w:type="dxa"/>
            <w:vAlign w:val="top"/>
          </w:tcPr>
          <w:p w14:paraId="7CDA1A69">
            <w:pPr>
              <w:spacing w:before="111" w:line="228" w:lineRule="auto"/>
              <w:ind w:left="115"/>
              <w:rPr>
                <w:rFonts w:ascii="宋体" w:hAnsi="宋体" w:eastAsia="宋体" w:cs="宋体"/>
                <w:color w:val="auto"/>
                <w:spacing w:val="9"/>
                <w:sz w:val="20"/>
                <w:szCs w:val="20"/>
              </w:rPr>
            </w:pPr>
            <w:r>
              <w:rPr>
                <w:rFonts w:ascii="宋体" w:hAnsi="宋体" w:eastAsia="宋体" w:cs="宋体"/>
                <w:color w:val="auto"/>
                <w:spacing w:val="16"/>
                <w:sz w:val="20"/>
                <w:szCs w:val="20"/>
              </w:rPr>
              <w:t>名</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 xml:space="preserve"> 称：</w:t>
            </w:r>
            <w:r>
              <w:rPr>
                <w:rFonts w:hint="eastAsia" w:ascii="宋体" w:hAnsi="宋体" w:eastAsia="宋体" w:cs="宋体"/>
                <w:color w:val="auto"/>
                <w:spacing w:val="9"/>
                <w:sz w:val="20"/>
                <w:szCs w:val="20"/>
                <w:lang w:val="en-US" w:eastAsia="zh-CN"/>
              </w:rPr>
              <w:t>新疆瀚展博源项目管理有限公司</w:t>
            </w:r>
          </w:p>
          <w:p w14:paraId="197FF189">
            <w:pPr>
              <w:spacing w:before="111" w:line="228" w:lineRule="auto"/>
              <w:ind w:left="115"/>
              <w:rPr>
                <w:rFonts w:ascii="宋体" w:hAnsi="宋体" w:eastAsia="宋体" w:cs="宋体"/>
                <w:color w:val="auto"/>
                <w:spacing w:val="9"/>
                <w:sz w:val="20"/>
                <w:szCs w:val="20"/>
              </w:rPr>
            </w:pPr>
            <w:r>
              <w:rPr>
                <w:rFonts w:ascii="宋体" w:hAnsi="宋体" w:eastAsia="宋体" w:cs="宋体"/>
                <w:color w:val="auto"/>
                <w:spacing w:val="9"/>
                <w:sz w:val="20"/>
                <w:szCs w:val="20"/>
              </w:rPr>
              <w:t>地  址：</w:t>
            </w:r>
            <w:r>
              <w:rPr>
                <w:rFonts w:hint="eastAsia" w:ascii="宋体" w:hAnsi="宋体" w:eastAsia="宋体" w:cs="宋体"/>
                <w:color w:val="auto"/>
                <w:spacing w:val="9"/>
                <w:sz w:val="20"/>
                <w:szCs w:val="20"/>
                <w:lang w:val="en-US" w:eastAsia="zh-CN"/>
              </w:rPr>
              <w:t>新疆阿勒泰地区阿勒泰市迎宾路克兰区99号万驰广场1栋十四层1号</w:t>
            </w:r>
          </w:p>
          <w:p w14:paraId="78C1AC3B">
            <w:pPr>
              <w:spacing w:before="111" w:line="228" w:lineRule="auto"/>
              <w:ind w:left="115"/>
              <w:rPr>
                <w:rFonts w:hint="eastAsia" w:ascii="宋体" w:hAnsi="宋体" w:eastAsia="宋体" w:cs="宋体"/>
                <w:color w:val="auto"/>
                <w:sz w:val="20"/>
                <w:szCs w:val="20"/>
                <w:lang w:val="en-US" w:eastAsia="zh-CN"/>
              </w:rPr>
            </w:pPr>
            <w:r>
              <w:rPr>
                <w:rFonts w:ascii="宋体" w:hAnsi="宋体" w:eastAsia="宋体" w:cs="宋体"/>
                <w:color w:val="auto"/>
                <w:spacing w:val="9"/>
                <w:sz w:val="20"/>
                <w:szCs w:val="20"/>
              </w:rPr>
              <w:t>联系人：</w:t>
            </w:r>
            <w:r>
              <w:rPr>
                <w:rFonts w:hint="eastAsia" w:ascii="宋体" w:hAnsi="宋体" w:eastAsia="宋体" w:cs="宋体"/>
                <w:color w:val="auto"/>
                <w:spacing w:val="9"/>
                <w:sz w:val="20"/>
                <w:szCs w:val="20"/>
                <w:lang w:val="en-US" w:eastAsia="zh-CN"/>
              </w:rPr>
              <w:t>王曼曼</w:t>
            </w:r>
            <w:r>
              <w:rPr>
                <w:rFonts w:ascii="宋体" w:hAnsi="宋体" w:eastAsia="宋体" w:cs="宋体"/>
                <w:color w:val="auto"/>
                <w:spacing w:val="9"/>
                <w:sz w:val="20"/>
                <w:szCs w:val="20"/>
              </w:rPr>
              <w:t xml:space="preserve">    </w:t>
            </w:r>
            <w:r>
              <w:rPr>
                <w:rFonts w:hint="eastAsia" w:ascii="宋体" w:hAnsi="宋体" w:eastAsia="宋体" w:cs="宋体"/>
                <w:color w:val="auto"/>
                <w:spacing w:val="9"/>
                <w:sz w:val="20"/>
                <w:szCs w:val="20"/>
                <w:lang w:val="en-US" w:eastAsia="zh-CN"/>
              </w:rPr>
              <w:t xml:space="preserve">     </w:t>
            </w:r>
            <w:r>
              <w:rPr>
                <w:rFonts w:ascii="宋体" w:hAnsi="宋体" w:eastAsia="宋体" w:cs="宋体"/>
                <w:color w:val="auto"/>
                <w:spacing w:val="9"/>
                <w:sz w:val="20"/>
                <w:szCs w:val="20"/>
              </w:rPr>
              <w:t>电  话：</w:t>
            </w:r>
            <w:r>
              <w:rPr>
                <w:rFonts w:hint="eastAsia" w:ascii="宋体" w:hAnsi="宋体" w:eastAsia="宋体" w:cs="宋体"/>
                <w:color w:val="auto"/>
                <w:spacing w:val="9"/>
                <w:sz w:val="20"/>
                <w:szCs w:val="20"/>
                <w:lang w:eastAsia="zh-CN"/>
              </w:rPr>
              <w:t>18809068299</w:t>
            </w:r>
          </w:p>
        </w:tc>
      </w:tr>
      <w:tr w14:paraId="70CEA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22" w:type="dxa"/>
            <w:vAlign w:val="top"/>
          </w:tcPr>
          <w:p w14:paraId="2E3865D1">
            <w:pPr>
              <w:spacing w:before="142" w:line="193" w:lineRule="auto"/>
              <w:ind w:left="268"/>
              <w:rPr>
                <w:rFonts w:ascii="宋体" w:hAnsi="宋体" w:eastAsia="宋体" w:cs="宋体"/>
                <w:color w:val="auto"/>
                <w:sz w:val="20"/>
                <w:szCs w:val="20"/>
              </w:rPr>
            </w:pPr>
            <w:r>
              <w:rPr>
                <w:rFonts w:ascii="宋体" w:hAnsi="宋体" w:eastAsia="宋体" w:cs="宋体"/>
                <w:color w:val="auto"/>
                <w:spacing w:val="3"/>
                <w:sz w:val="20"/>
                <w:szCs w:val="20"/>
              </w:rPr>
              <w:t>1</w:t>
            </w:r>
            <w:r>
              <w:rPr>
                <w:rFonts w:ascii="宋体" w:hAnsi="宋体" w:eastAsia="宋体" w:cs="宋体"/>
                <w:color w:val="auto"/>
                <w:spacing w:val="2"/>
                <w:sz w:val="20"/>
                <w:szCs w:val="20"/>
              </w:rPr>
              <w:t>.1.3</w:t>
            </w:r>
          </w:p>
        </w:tc>
        <w:tc>
          <w:tcPr>
            <w:tcW w:w="2632" w:type="dxa"/>
            <w:vAlign w:val="top"/>
          </w:tcPr>
          <w:p w14:paraId="3433F8B1">
            <w:pPr>
              <w:spacing w:before="111" w:line="228" w:lineRule="auto"/>
              <w:ind w:left="904"/>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5477" w:type="dxa"/>
            <w:vAlign w:val="top"/>
          </w:tcPr>
          <w:p w14:paraId="272186C8">
            <w:pPr>
              <w:spacing w:before="110" w:line="228" w:lineRule="auto"/>
              <w:ind w:left="114"/>
              <w:rPr>
                <w:rFonts w:hint="eastAsia" w:ascii="宋体" w:hAnsi="宋体" w:eastAsia="宋体" w:cs="宋体"/>
                <w:color w:val="auto"/>
                <w:sz w:val="20"/>
                <w:szCs w:val="20"/>
                <w:lang w:eastAsia="zh-CN"/>
              </w:rPr>
            </w:pPr>
            <w:r>
              <w:rPr>
                <w:rFonts w:hint="eastAsia" w:ascii="宋体" w:hAnsi="宋体" w:eastAsia="宋体" w:cs="宋体"/>
                <w:color w:val="auto"/>
                <w:spacing w:val="9"/>
                <w:sz w:val="20"/>
                <w:szCs w:val="20"/>
                <w:lang w:val="en-US" w:eastAsia="zh-CN"/>
              </w:rPr>
              <w:t>哈巴河县萨尔塔木乡2024年1.28万亩高标准农田建设项目（追加）</w:t>
            </w:r>
          </w:p>
        </w:tc>
      </w:tr>
      <w:tr w14:paraId="696D2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trPr>
        <w:tc>
          <w:tcPr>
            <w:tcW w:w="1022" w:type="dxa"/>
            <w:vAlign w:val="top"/>
          </w:tcPr>
          <w:p w14:paraId="22D14BD6">
            <w:pPr>
              <w:spacing w:before="111" w:line="280" w:lineRule="auto"/>
              <w:ind w:right="151" w:firstLine="200" w:firstLineChars="100"/>
              <w:rPr>
                <w:rFonts w:ascii="宋体" w:hAnsi="宋体" w:eastAsia="宋体" w:cs="宋体"/>
                <w:color w:val="auto"/>
                <w:sz w:val="20"/>
                <w:szCs w:val="20"/>
              </w:rPr>
            </w:pPr>
            <w:r>
              <w:rPr>
                <w:rFonts w:ascii="宋体" w:hAnsi="宋体" w:eastAsia="宋体" w:cs="宋体"/>
                <w:color w:val="auto"/>
                <w:sz w:val="20"/>
                <w:szCs w:val="20"/>
              </w:rPr>
              <w:t>1.1.4</w:t>
            </w:r>
          </w:p>
        </w:tc>
        <w:tc>
          <w:tcPr>
            <w:tcW w:w="2632" w:type="dxa"/>
            <w:vAlign w:val="top"/>
          </w:tcPr>
          <w:p w14:paraId="5376B5F9">
            <w:pPr>
              <w:spacing w:before="111" w:line="280" w:lineRule="auto"/>
              <w:ind w:left="119" w:right="151" w:hanging="5"/>
              <w:jc w:val="center"/>
              <w:rPr>
                <w:rFonts w:ascii="宋体" w:hAnsi="宋体" w:eastAsia="宋体" w:cs="宋体"/>
                <w:color w:val="auto"/>
                <w:sz w:val="20"/>
                <w:szCs w:val="20"/>
              </w:rPr>
            </w:pPr>
            <w:r>
              <w:rPr>
                <w:rFonts w:ascii="宋体" w:hAnsi="宋体" w:eastAsia="宋体" w:cs="宋体"/>
                <w:color w:val="auto"/>
                <w:sz w:val="20"/>
                <w:szCs w:val="20"/>
              </w:rPr>
              <w:t>建设地点</w:t>
            </w:r>
          </w:p>
        </w:tc>
        <w:tc>
          <w:tcPr>
            <w:tcW w:w="5477" w:type="dxa"/>
            <w:vAlign w:val="top"/>
          </w:tcPr>
          <w:p w14:paraId="4D6D89BE">
            <w:pPr>
              <w:spacing w:before="111" w:line="280" w:lineRule="auto"/>
              <w:ind w:left="119" w:right="151" w:hanging="5"/>
              <w:rPr>
                <w:rFonts w:hint="eastAsia" w:ascii="宋体" w:hAnsi="宋体" w:eastAsia="宋体" w:cs="宋体"/>
                <w:color w:val="auto"/>
                <w:sz w:val="20"/>
                <w:szCs w:val="20"/>
                <w:lang w:val="en-US" w:eastAsia="zh-CN"/>
              </w:rPr>
            </w:pPr>
            <w:r>
              <w:rPr>
                <w:rFonts w:hint="eastAsia" w:ascii="宋体" w:hAnsi="宋体" w:eastAsia="宋体" w:cs="宋体"/>
                <w:color w:val="auto"/>
                <w:spacing w:val="9"/>
                <w:sz w:val="20"/>
                <w:szCs w:val="20"/>
                <w:lang w:val="en-US" w:eastAsia="zh-CN"/>
              </w:rPr>
              <w:t>哈巴河县库勒拜镇</w:t>
            </w:r>
          </w:p>
        </w:tc>
      </w:tr>
      <w:tr w14:paraId="522E0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9149627">
            <w:pPr>
              <w:spacing w:before="143"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1.2</w:t>
            </w:r>
          </w:p>
        </w:tc>
        <w:tc>
          <w:tcPr>
            <w:tcW w:w="2632" w:type="dxa"/>
            <w:vAlign w:val="top"/>
          </w:tcPr>
          <w:p w14:paraId="745BB228">
            <w:pPr>
              <w:spacing w:before="112" w:line="227" w:lineRule="auto"/>
              <w:ind w:left="910"/>
              <w:rPr>
                <w:rFonts w:ascii="宋体" w:hAnsi="宋体" w:eastAsia="宋体" w:cs="宋体"/>
                <w:color w:val="auto"/>
                <w:sz w:val="20"/>
                <w:szCs w:val="20"/>
              </w:rPr>
            </w:pPr>
            <w:r>
              <w:rPr>
                <w:rFonts w:ascii="宋体" w:hAnsi="宋体" w:eastAsia="宋体" w:cs="宋体"/>
                <w:color w:val="auto"/>
                <w:spacing w:val="5"/>
                <w:sz w:val="20"/>
                <w:szCs w:val="20"/>
              </w:rPr>
              <w:t>资金来源</w:t>
            </w:r>
          </w:p>
        </w:tc>
        <w:tc>
          <w:tcPr>
            <w:tcW w:w="5477" w:type="dxa"/>
            <w:vAlign w:val="top"/>
          </w:tcPr>
          <w:p w14:paraId="1473481D">
            <w:pPr>
              <w:spacing w:before="112" w:line="227" w:lineRule="auto"/>
              <w:ind w:left="14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中央、自治区农田建设补助资金</w:t>
            </w:r>
          </w:p>
        </w:tc>
      </w:tr>
      <w:tr w14:paraId="54075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22" w:type="dxa"/>
            <w:vAlign w:val="top"/>
          </w:tcPr>
          <w:p w14:paraId="0F153F0C">
            <w:pPr>
              <w:spacing w:before="143"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.3.1</w:t>
            </w:r>
          </w:p>
        </w:tc>
        <w:tc>
          <w:tcPr>
            <w:tcW w:w="2632" w:type="dxa"/>
            <w:vAlign w:val="top"/>
          </w:tcPr>
          <w:p w14:paraId="00697E3B">
            <w:pPr>
              <w:spacing w:before="111"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招标范围</w:t>
            </w:r>
          </w:p>
        </w:tc>
        <w:tc>
          <w:tcPr>
            <w:tcW w:w="5477" w:type="dxa"/>
            <w:vAlign w:val="top"/>
          </w:tcPr>
          <w:p w14:paraId="73C73EDF">
            <w:pPr>
              <w:spacing w:before="111" w:line="228" w:lineRule="auto"/>
              <w:ind w:left="115"/>
              <w:rPr>
                <w:rFonts w:ascii="宋体" w:hAnsi="宋体" w:eastAsia="宋体" w:cs="宋体"/>
                <w:color w:val="auto"/>
                <w:sz w:val="20"/>
                <w:szCs w:val="20"/>
              </w:rPr>
            </w:pPr>
            <w:r>
              <w:rPr>
                <w:rFonts w:ascii="宋体" w:hAnsi="宋体" w:eastAsia="宋体" w:cs="宋体"/>
                <w:color w:val="auto"/>
                <w:spacing w:val="18"/>
                <w:sz w:val="20"/>
                <w:szCs w:val="20"/>
              </w:rPr>
              <w:t>招</w:t>
            </w:r>
            <w:r>
              <w:rPr>
                <w:rFonts w:ascii="宋体" w:hAnsi="宋体" w:eastAsia="宋体" w:cs="宋体"/>
                <w:color w:val="auto"/>
                <w:spacing w:val="10"/>
                <w:sz w:val="20"/>
                <w:szCs w:val="20"/>
              </w:rPr>
              <w:t>标</w:t>
            </w:r>
            <w:r>
              <w:rPr>
                <w:rFonts w:ascii="宋体" w:hAnsi="宋体" w:eastAsia="宋体" w:cs="宋体"/>
                <w:color w:val="auto"/>
                <w:spacing w:val="9"/>
                <w:sz w:val="20"/>
                <w:szCs w:val="20"/>
              </w:rPr>
              <w:t>文件、工程量清单及答疑范围内的全部内容</w:t>
            </w:r>
          </w:p>
        </w:tc>
      </w:tr>
      <w:tr w14:paraId="62078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2" w:type="dxa"/>
            <w:vAlign w:val="top"/>
          </w:tcPr>
          <w:p w14:paraId="4A0F84BF">
            <w:pPr>
              <w:spacing w:line="405" w:lineRule="auto"/>
              <w:rPr>
                <w:rFonts w:ascii="Arial"/>
                <w:color w:val="auto"/>
                <w:sz w:val="21"/>
              </w:rPr>
            </w:pPr>
          </w:p>
          <w:p w14:paraId="52E703C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3.2</w:t>
            </w:r>
          </w:p>
        </w:tc>
        <w:tc>
          <w:tcPr>
            <w:tcW w:w="2632" w:type="dxa"/>
            <w:vAlign w:val="top"/>
          </w:tcPr>
          <w:p w14:paraId="567CF8F4">
            <w:pPr>
              <w:spacing w:line="374" w:lineRule="auto"/>
              <w:rPr>
                <w:rFonts w:ascii="Arial"/>
                <w:color w:val="auto"/>
                <w:sz w:val="21"/>
              </w:rPr>
            </w:pPr>
          </w:p>
          <w:p w14:paraId="371E0682">
            <w:pPr>
              <w:spacing w:before="65" w:line="229" w:lineRule="auto"/>
              <w:ind w:left="901"/>
              <w:rPr>
                <w:rFonts w:ascii="宋体" w:hAnsi="宋体" w:eastAsia="宋体" w:cs="宋体"/>
                <w:color w:val="auto"/>
                <w:sz w:val="20"/>
                <w:szCs w:val="20"/>
              </w:rPr>
            </w:pPr>
            <w:r>
              <w:rPr>
                <w:rFonts w:ascii="宋体" w:hAnsi="宋体" w:eastAsia="宋体" w:cs="宋体"/>
                <w:color w:val="auto"/>
                <w:spacing w:val="8"/>
                <w:sz w:val="20"/>
                <w:szCs w:val="20"/>
              </w:rPr>
              <w:t>计</w:t>
            </w:r>
            <w:r>
              <w:rPr>
                <w:rFonts w:ascii="宋体" w:hAnsi="宋体" w:eastAsia="宋体" w:cs="宋体"/>
                <w:color w:val="auto"/>
                <w:spacing w:val="7"/>
                <w:sz w:val="20"/>
                <w:szCs w:val="20"/>
              </w:rPr>
              <w:t>划工期</w:t>
            </w:r>
          </w:p>
        </w:tc>
        <w:tc>
          <w:tcPr>
            <w:tcW w:w="5477" w:type="dxa"/>
            <w:vAlign w:val="top"/>
          </w:tcPr>
          <w:p w14:paraId="36EA1B6A">
            <w:pPr>
              <w:spacing w:before="65" w:line="228" w:lineRule="auto"/>
              <w:ind w:firstLine="188" w:firstLineChars="100"/>
              <w:outlineLvl w:val="0"/>
              <w:rPr>
                <w:rFonts w:ascii="宋体" w:hAnsi="宋体" w:eastAsia="宋体" w:cs="宋体"/>
                <w:color w:val="auto"/>
                <w:spacing w:val="-3"/>
                <w:sz w:val="20"/>
                <w:szCs w:val="20"/>
                <w:highlight w:val="none"/>
              </w:rPr>
            </w:pPr>
            <w:r>
              <w:rPr>
                <w:rFonts w:ascii="宋体" w:hAnsi="宋体" w:eastAsia="宋体" w:cs="宋体"/>
                <w:color w:val="auto"/>
                <w:spacing w:val="-6"/>
                <w:sz w:val="20"/>
                <w:szCs w:val="20"/>
                <w:highlight w:val="none"/>
              </w:rPr>
              <w:t>总</w:t>
            </w:r>
            <w:r>
              <w:rPr>
                <w:rFonts w:ascii="宋体" w:hAnsi="宋体" w:eastAsia="宋体" w:cs="宋体"/>
                <w:color w:val="auto"/>
                <w:spacing w:val="-3"/>
                <w:sz w:val="20"/>
                <w:szCs w:val="20"/>
                <w:highlight w:val="none"/>
              </w:rPr>
              <w:t>工期：</w:t>
            </w:r>
            <w:r>
              <w:rPr>
                <w:rFonts w:hint="eastAsia" w:ascii="宋体" w:hAnsi="宋体" w:eastAsia="宋体" w:cs="宋体"/>
                <w:color w:val="auto"/>
                <w:spacing w:val="-3"/>
                <w:sz w:val="20"/>
                <w:szCs w:val="20"/>
                <w:highlight w:val="none"/>
                <w:lang w:val="en-US" w:eastAsia="zh-CN"/>
              </w:rPr>
              <w:t>91</w:t>
            </w:r>
            <w:r>
              <w:rPr>
                <w:rFonts w:ascii="宋体" w:hAnsi="宋体" w:eastAsia="宋体" w:cs="宋体"/>
                <w:color w:val="auto"/>
                <w:spacing w:val="-3"/>
                <w:sz w:val="20"/>
                <w:szCs w:val="20"/>
                <w:highlight w:val="none"/>
              </w:rPr>
              <w:t>天 ( 日历天)</w:t>
            </w:r>
            <w:r>
              <w:rPr>
                <w:rFonts w:hint="eastAsia" w:ascii="宋体" w:hAnsi="宋体" w:eastAsia="宋体" w:cs="宋体"/>
                <w:color w:val="auto"/>
                <w:spacing w:val="-3"/>
                <w:sz w:val="20"/>
                <w:szCs w:val="20"/>
                <w:highlight w:val="none"/>
                <w:lang w:eastAsia="zh-CN"/>
              </w:rPr>
              <w:t>，</w:t>
            </w:r>
            <w:r>
              <w:rPr>
                <w:rFonts w:ascii="宋体" w:hAnsi="宋体" w:eastAsia="宋体" w:cs="宋体"/>
                <w:color w:val="auto"/>
                <w:spacing w:val="-3"/>
                <w:sz w:val="20"/>
                <w:szCs w:val="20"/>
                <w:highlight w:val="none"/>
              </w:rPr>
              <w:t>计划工期：202</w:t>
            </w:r>
            <w:r>
              <w:rPr>
                <w:rFonts w:hint="eastAsia" w:ascii="宋体" w:hAnsi="宋体" w:eastAsia="宋体" w:cs="宋体"/>
                <w:color w:val="auto"/>
                <w:spacing w:val="-3"/>
                <w:sz w:val="20"/>
                <w:szCs w:val="20"/>
                <w:highlight w:val="none"/>
                <w:lang w:val="en-US" w:eastAsia="zh-CN"/>
              </w:rPr>
              <w:t>5</w:t>
            </w:r>
            <w:r>
              <w:rPr>
                <w:rFonts w:ascii="宋体" w:hAnsi="宋体" w:eastAsia="宋体" w:cs="宋体"/>
                <w:color w:val="auto"/>
                <w:spacing w:val="-3"/>
                <w:sz w:val="20"/>
                <w:szCs w:val="20"/>
                <w:highlight w:val="none"/>
              </w:rPr>
              <w:t xml:space="preserve">年 </w:t>
            </w:r>
            <w:r>
              <w:rPr>
                <w:rFonts w:hint="eastAsia" w:ascii="宋体" w:hAnsi="宋体" w:eastAsia="宋体" w:cs="宋体"/>
                <w:color w:val="auto"/>
                <w:spacing w:val="-3"/>
                <w:sz w:val="20"/>
                <w:szCs w:val="20"/>
                <w:highlight w:val="none"/>
                <w:lang w:val="en-US" w:eastAsia="zh-CN"/>
              </w:rPr>
              <w:t>04</w:t>
            </w:r>
            <w:r>
              <w:rPr>
                <w:rFonts w:ascii="宋体" w:hAnsi="宋体" w:eastAsia="宋体" w:cs="宋体"/>
                <w:color w:val="auto"/>
                <w:spacing w:val="-3"/>
                <w:sz w:val="20"/>
                <w:szCs w:val="20"/>
                <w:highlight w:val="none"/>
              </w:rPr>
              <w:t xml:space="preserve"> 月 </w:t>
            </w:r>
            <w:r>
              <w:rPr>
                <w:rFonts w:hint="eastAsia" w:ascii="宋体" w:hAnsi="宋体" w:eastAsia="宋体" w:cs="宋体"/>
                <w:color w:val="auto"/>
                <w:spacing w:val="-3"/>
                <w:sz w:val="20"/>
                <w:szCs w:val="20"/>
                <w:highlight w:val="none"/>
                <w:lang w:val="en-US" w:eastAsia="zh-CN"/>
              </w:rPr>
              <w:t>01</w:t>
            </w:r>
            <w:r>
              <w:rPr>
                <w:rFonts w:ascii="宋体" w:hAnsi="宋体" w:eastAsia="宋体" w:cs="宋体"/>
                <w:color w:val="auto"/>
                <w:spacing w:val="-3"/>
                <w:sz w:val="20"/>
                <w:szCs w:val="20"/>
                <w:highlight w:val="none"/>
              </w:rPr>
              <w:t xml:space="preserve"> 至 202</w:t>
            </w:r>
            <w:r>
              <w:rPr>
                <w:rFonts w:hint="eastAsia" w:ascii="宋体" w:hAnsi="宋体" w:eastAsia="宋体" w:cs="宋体"/>
                <w:color w:val="auto"/>
                <w:spacing w:val="-3"/>
                <w:sz w:val="20"/>
                <w:szCs w:val="20"/>
                <w:highlight w:val="none"/>
                <w:lang w:val="en-US" w:eastAsia="zh-CN"/>
              </w:rPr>
              <w:t>5</w:t>
            </w:r>
            <w:r>
              <w:rPr>
                <w:rFonts w:ascii="宋体" w:hAnsi="宋体" w:eastAsia="宋体" w:cs="宋体"/>
                <w:color w:val="auto"/>
                <w:spacing w:val="-3"/>
                <w:sz w:val="20"/>
                <w:szCs w:val="20"/>
                <w:highlight w:val="none"/>
              </w:rPr>
              <w:t xml:space="preserve"> 年 </w:t>
            </w:r>
            <w:r>
              <w:rPr>
                <w:rFonts w:hint="eastAsia" w:ascii="宋体" w:hAnsi="宋体" w:eastAsia="宋体" w:cs="宋体"/>
                <w:color w:val="auto"/>
                <w:spacing w:val="-3"/>
                <w:sz w:val="20"/>
                <w:szCs w:val="20"/>
                <w:highlight w:val="none"/>
                <w:lang w:val="en-US" w:eastAsia="zh-CN"/>
              </w:rPr>
              <w:t>06</w:t>
            </w:r>
            <w:r>
              <w:rPr>
                <w:rFonts w:ascii="宋体" w:hAnsi="宋体" w:eastAsia="宋体" w:cs="宋体"/>
                <w:color w:val="auto"/>
                <w:spacing w:val="-3"/>
                <w:sz w:val="20"/>
                <w:szCs w:val="20"/>
                <w:highlight w:val="none"/>
              </w:rPr>
              <w:t xml:space="preserve"> 月 </w:t>
            </w:r>
            <w:r>
              <w:rPr>
                <w:rFonts w:hint="eastAsia" w:ascii="宋体" w:hAnsi="宋体" w:eastAsia="宋体" w:cs="宋体"/>
                <w:color w:val="auto"/>
                <w:spacing w:val="-3"/>
                <w:sz w:val="20"/>
                <w:szCs w:val="20"/>
                <w:highlight w:val="none"/>
                <w:lang w:val="en-US" w:eastAsia="zh-CN"/>
              </w:rPr>
              <w:t>31</w:t>
            </w:r>
            <w:r>
              <w:rPr>
                <w:rFonts w:ascii="宋体" w:hAnsi="宋体" w:eastAsia="宋体" w:cs="宋体"/>
                <w:color w:val="auto"/>
                <w:spacing w:val="-3"/>
                <w:sz w:val="20"/>
                <w:szCs w:val="20"/>
                <w:highlight w:val="none"/>
              </w:rPr>
              <w:t xml:space="preserve"> 日 </w:t>
            </w:r>
          </w:p>
          <w:p w14:paraId="25EC1EC4">
            <w:pPr>
              <w:spacing w:before="65" w:line="228" w:lineRule="auto"/>
              <w:ind w:left="117"/>
              <w:outlineLvl w:val="0"/>
              <w:rPr>
                <w:rFonts w:hint="default" w:ascii="宋体" w:hAnsi="宋体" w:eastAsia="宋体" w:cs="宋体"/>
                <w:color w:val="auto"/>
                <w:spacing w:val="-6"/>
                <w:sz w:val="20"/>
                <w:szCs w:val="20"/>
                <w:lang w:val="en-US" w:eastAsia="zh-CN"/>
              </w:rPr>
            </w:pPr>
            <w:r>
              <w:rPr>
                <w:rFonts w:hint="eastAsia" w:ascii="宋体" w:hAnsi="宋体" w:eastAsia="宋体" w:cs="宋体"/>
                <w:color w:val="auto"/>
                <w:spacing w:val="4"/>
                <w:kern w:val="2"/>
                <w:sz w:val="20"/>
                <w:szCs w:val="20"/>
                <w:highlight w:val="none"/>
                <w:lang w:val="en-US" w:eastAsia="zh-CN" w:bidi="ar-SA"/>
              </w:rPr>
              <w:t>具体以签订合同日期为准，如遇冬季无法施工，工期顺延，总工期不变。</w:t>
            </w:r>
          </w:p>
        </w:tc>
      </w:tr>
      <w:tr w14:paraId="69E89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22" w:type="dxa"/>
            <w:vAlign w:val="center"/>
          </w:tcPr>
          <w:p w14:paraId="3B5B582C">
            <w:pPr>
              <w:spacing w:line="258" w:lineRule="auto"/>
              <w:jc w:val="center"/>
              <w:rPr>
                <w:rFonts w:ascii="Arial"/>
                <w:color w:val="auto"/>
                <w:sz w:val="21"/>
              </w:rPr>
            </w:pPr>
          </w:p>
          <w:p w14:paraId="1B390D04">
            <w:pPr>
              <w:spacing w:before="65" w:line="193" w:lineRule="auto"/>
              <w:jc w:val="center"/>
              <w:rPr>
                <w:rFonts w:ascii="宋体" w:hAnsi="宋体" w:eastAsia="宋体" w:cs="宋体"/>
                <w:color w:val="auto"/>
                <w:sz w:val="20"/>
                <w:szCs w:val="20"/>
              </w:rPr>
            </w:pPr>
            <w:r>
              <w:rPr>
                <w:rFonts w:ascii="宋体" w:hAnsi="宋体" w:eastAsia="宋体" w:cs="宋体"/>
                <w:color w:val="auto"/>
                <w:spacing w:val="2"/>
                <w:sz w:val="20"/>
                <w:szCs w:val="20"/>
              </w:rPr>
              <w:t>1.3</w:t>
            </w:r>
            <w:r>
              <w:rPr>
                <w:rFonts w:ascii="宋体" w:hAnsi="宋体" w:eastAsia="宋体" w:cs="宋体"/>
                <w:color w:val="auto"/>
                <w:spacing w:val="1"/>
                <w:sz w:val="20"/>
                <w:szCs w:val="20"/>
              </w:rPr>
              <w:t>.3</w:t>
            </w:r>
          </w:p>
        </w:tc>
        <w:tc>
          <w:tcPr>
            <w:tcW w:w="2632" w:type="dxa"/>
            <w:vAlign w:val="center"/>
          </w:tcPr>
          <w:p w14:paraId="249AFF93">
            <w:pPr>
              <w:spacing w:before="293" w:line="229" w:lineRule="auto"/>
              <w:jc w:val="center"/>
              <w:rPr>
                <w:rFonts w:ascii="宋体" w:hAnsi="宋体" w:eastAsia="宋体" w:cs="宋体"/>
                <w:color w:val="auto"/>
                <w:sz w:val="20"/>
                <w:szCs w:val="20"/>
              </w:rPr>
            </w:pPr>
            <w:r>
              <w:rPr>
                <w:rFonts w:ascii="宋体" w:hAnsi="宋体" w:eastAsia="宋体" w:cs="宋体"/>
                <w:color w:val="auto"/>
                <w:spacing w:val="7"/>
                <w:sz w:val="20"/>
                <w:szCs w:val="20"/>
              </w:rPr>
              <w:t>质量要求</w:t>
            </w:r>
          </w:p>
        </w:tc>
        <w:tc>
          <w:tcPr>
            <w:tcW w:w="5477" w:type="dxa"/>
            <w:vAlign w:val="center"/>
          </w:tcPr>
          <w:p w14:paraId="4D74B1A4">
            <w:pPr>
              <w:spacing w:before="113" w:line="228" w:lineRule="auto"/>
              <w:ind w:left="115"/>
              <w:jc w:val="both"/>
              <w:rPr>
                <w:rFonts w:ascii="宋体" w:hAnsi="宋体" w:eastAsia="宋体" w:cs="宋体"/>
                <w:color w:val="auto"/>
                <w:sz w:val="20"/>
                <w:szCs w:val="20"/>
              </w:rPr>
            </w:pPr>
            <w:r>
              <w:rPr>
                <w:rFonts w:ascii="宋体" w:hAnsi="宋体" w:eastAsia="宋体" w:cs="宋体"/>
                <w:color w:val="auto"/>
                <w:spacing w:val="8"/>
                <w:sz w:val="20"/>
                <w:szCs w:val="20"/>
              </w:rPr>
              <w:t>质量标准：合</w:t>
            </w:r>
            <w:r>
              <w:rPr>
                <w:rFonts w:ascii="宋体" w:hAnsi="宋体" w:eastAsia="宋体" w:cs="宋体"/>
                <w:color w:val="auto"/>
                <w:spacing w:val="7"/>
                <w:sz w:val="20"/>
                <w:szCs w:val="20"/>
              </w:rPr>
              <w:t>格</w:t>
            </w:r>
          </w:p>
        </w:tc>
      </w:tr>
      <w:tr w14:paraId="38D94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71FD0D62">
            <w:pPr>
              <w:spacing w:line="251" w:lineRule="auto"/>
              <w:rPr>
                <w:rFonts w:ascii="Arial"/>
                <w:color w:val="auto"/>
                <w:sz w:val="21"/>
              </w:rPr>
            </w:pPr>
          </w:p>
          <w:p w14:paraId="6231E1DC">
            <w:pPr>
              <w:spacing w:line="251" w:lineRule="auto"/>
              <w:rPr>
                <w:rFonts w:ascii="Arial"/>
                <w:color w:val="auto"/>
                <w:sz w:val="21"/>
              </w:rPr>
            </w:pPr>
          </w:p>
          <w:p w14:paraId="1A53DDAE">
            <w:pPr>
              <w:spacing w:line="252" w:lineRule="auto"/>
              <w:rPr>
                <w:rFonts w:ascii="Arial"/>
                <w:color w:val="auto"/>
                <w:sz w:val="21"/>
              </w:rPr>
            </w:pPr>
          </w:p>
          <w:p w14:paraId="63D7F899">
            <w:pPr>
              <w:spacing w:line="252" w:lineRule="auto"/>
              <w:rPr>
                <w:rFonts w:ascii="Arial"/>
                <w:color w:val="auto"/>
                <w:sz w:val="21"/>
              </w:rPr>
            </w:pPr>
          </w:p>
          <w:p w14:paraId="0908B1FB">
            <w:pPr>
              <w:spacing w:line="252" w:lineRule="auto"/>
              <w:rPr>
                <w:rFonts w:ascii="Arial"/>
                <w:color w:val="auto"/>
                <w:sz w:val="21"/>
              </w:rPr>
            </w:pPr>
          </w:p>
          <w:p w14:paraId="5C25A9D9">
            <w:pPr>
              <w:spacing w:line="252" w:lineRule="auto"/>
              <w:rPr>
                <w:rFonts w:ascii="Arial"/>
                <w:color w:val="auto"/>
                <w:sz w:val="21"/>
              </w:rPr>
            </w:pPr>
          </w:p>
          <w:p w14:paraId="5E70E7BD">
            <w:pPr>
              <w:spacing w:before="65"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1.4.</w:t>
            </w:r>
            <w:r>
              <w:rPr>
                <w:rFonts w:ascii="宋体" w:hAnsi="宋体" w:eastAsia="宋体" w:cs="宋体"/>
                <w:color w:val="auto"/>
                <w:spacing w:val="3"/>
                <w:sz w:val="20"/>
                <w:szCs w:val="20"/>
              </w:rPr>
              <w:t>1</w:t>
            </w:r>
          </w:p>
        </w:tc>
        <w:tc>
          <w:tcPr>
            <w:tcW w:w="2632" w:type="dxa"/>
            <w:vAlign w:val="top"/>
          </w:tcPr>
          <w:p w14:paraId="4D8C64F8">
            <w:pPr>
              <w:spacing w:line="260" w:lineRule="auto"/>
              <w:rPr>
                <w:rFonts w:ascii="Arial"/>
                <w:color w:val="auto"/>
                <w:sz w:val="21"/>
              </w:rPr>
            </w:pPr>
          </w:p>
          <w:p w14:paraId="24943ABF">
            <w:pPr>
              <w:spacing w:line="260" w:lineRule="auto"/>
              <w:rPr>
                <w:rFonts w:ascii="Arial"/>
                <w:color w:val="auto"/>
                <w:sz w:val="21"/>
              </w:rPr>
            </w:pPr>
          </w:p>
          <w:p w14:paraId="40F83C16">
            <w:pPr>
              <w:spacing w:line="260" w:lineRule="auto"/>
              <w:rPr>
                <w:rFonts w:ascii="Arial"/>
                <w:color w:val="auto"/>
                <w:sz w:val="21"/>
              </w:rPr>
            </w:pPr>
          </w:p>
          <w:p w14:paraId="6CCED4B0">
            <w:pPr>
              <w:spacing w:line="260" w:lineRule="auto"/>
              <w:rPr>
                <w:rFonts w:ascii="Arial"/>
                <w:color w:val="auto"/>
                <w:sz w:val="21"/>
              </w:rPr>
            </w:pPr>
          </w:p>
          <w:p w14:paraId="13EFAA48">
            <w:pPr>
              <w:spacing w:line="260" w:lineRule="auto"/>
              <w:rPr>
                <w:rFonts w:ascii="Arial"/>
                <w:color w:val="auto"/>
                <w:sz w:val="21"/>
              </w:rPr>
            </w:pPr>
          </w:p>
          <w:p w14:paraId="498D17EF">
            <w:pPr>
              <w:spacing w:before="65" w:line="342" w:lineRule="auto"/>
              <w:ind w:left="1109" w:right="159" w:hanging="940"/>
              <w:rPr>
                <w:rFonts w:ascii="宋体" w:hAnsi="宋体" w:eastAsia="宋体" w:cs="宋体"/>
                <w:color w:val="auto"/>
                <w:sz w:val="20"/>
                <w:szCs w:val="20"/>
              </w:rPr>
            </w:pPr>
            <w:r>
              <w:rPr>
                <w:rFonts w:ascii="宋体" w:hAnsi="宋体" w:eastAsia="宋体" w:cs="宋体"/>
                <w:color w:val="auto"/>
                <w:spacing w:val="9"/>
                <w:sz w:val="20"/>
                <w:szCs w:val="20"/>
              </w:rPr>
              <w:t>投标人资质条件、能力</w:t>
            </w:r>
            <w:r>
              <w:rPr>
                <w:rFonts w:ascii="宋体" w:hAnsi="宋体" w:eastAsia="宋体" w:cs="宋体"/>
                <w:color w:val="auto"/>
                <w:spacing w:val="8"/>
                <w:sz w:val="20"/>
                <w:szCs w:val="20"/>
              </w:rPr>
              <w:t>和</w:t>
            </w:r>
            <w:r>
              <w:rPr>
                <w:rFonts w:ascii="宋体" w:hAnsi="宋体" w:eastAsia="宋体" w:cs="宋体"/>
                <w:color w:val="auto"/>
                <w:sz w:val="20"/>
                <w:szCs w:val="20"/>
              </w:rPr>
              <w:t xml:space="preserve"> </w:t>
            </w:r>
            <w:r>
              <w:rPr>
                <w:rFonts w:ascii="宋体" w:hAnsi="宋体" w:eastAsia="宋体" w:cs="宋体"/>
                <w:color w:val="auto"/>
                <w:spacing w:val="5"/>
                <w:sz w:val="20"/>
                <w:szCs w:val="20"/>
              </w:rPr>
              <w:t>信</w:t>
            </w:r>
            <w:r>
              <w:rPr>
                <w:rFonts w:ascii="宋体" w:hAnsi="宋体" w:eastAsia="宋体" w:cs="宋体"/>
                <w:color w:val="auto"/>
                <w:spacing w:val="4"/>
                <w:sz w:val="20"/>
                <w:szCs w:val="20"/>
              </w:rPr>
              <w:t>誉</w:t>
            </w:r>
          </w:p>
        </w:tc>
        <w:tc>
          <w:tcPr>
            <w:tcW w:w="5477" w:type="dxa"/>
            <w:vAlign w:val="top"/>
          </w:tcPr>
          <w:p w14:paraId="06FB602D">
            <w:pPr>
              <w:spacing w:before="112" w:line="228" w:lineRule="auto"/>
              <w:ind w:left="114"/>
              <w:rPr>
                <w:rFonts w:ascii="宋体" w:hAnsi="宋体" w:eastAsia="宋体" w:cs="宋体"/>
                <w:color w:val="auto"/>
                <w:sz w:val="20"/>
                <w:szCs w:val="20"/>
              </w:rPr>
            </w:pPr>
            <w:r>
              <w:rPr>
                <w:rFonts w:hint="eastAsia" w:ascii="宋体" w:hAnsi="宋体" w:eastAsia="宋体" w:cs="宋体"/>
                <w:color w:val="auto"/>
                <w:sz w:val="20"/>
                <w:szCs w:val="20"/>
              </w:rPr>
              <w:t>1.满足《中华人民共和国政府采购法》第二十二条规定</w:t>
            </w:r>
            <w:r>
              <w:rPr>
                <w:rFonts w:hint="eastAsia" w:ascii="宋体" w:hAnsi="宋体" w:eastAsia="宋体" w:cs="宋体"/>
                <w:color w:val="auto"/>
                <w:sz w:val="20"/>
                <w:szCs w:val="20"/>
                <w:lang w:eastAsia="zh-CN"/>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379E67D6">
            <w:pPr>
              <w:spacing w:before="112" w:line="228" w:lineRule="auto"/>
              <w:ind w:left="114"/>
              <w:rPr>
                <w:rFonts w:hint="eastAsia" w:ascii="宋体" w:hAnsi="宋体" w:eastAsia="宋体" w:cs="宋体"/>
                <w:color w:val="auto"/>
                <w:sz w:val="20"/>
                <w:szCs w:val="20"/>
                <w:lang w:eastAsia="zh-CN"/>
              </w:rPr>
            </w:pPr>
            <w:r>
              <w:rPr>
                <w:rFonts w:ascii="宋体" w:hAnsi="宋体" w:eastAsia="宋体" w:cs="宋体"/>
                <w:color w:val="auto"/>
                <w:sz w:val="20"/>
                <w:szCs w:val="20"/>
              </w:rPr>
              <w:t>2</w:t>
            </w:r>
            <w:r>
              <w:rPr>
                <w:rFonts w:hint="eastAsia" w:ascii="宋体" w:hAnsi="宋体" w:eastAsia="宋体" w:cs="宋体"/>
                <w:color w:val="auto"/>
                <w:sz w:val="20"/>
                <w:szCs w:val="20"/>
              </w:rPr>
              <w:t>. 落实政府采购政策需满足的资格要求：</w:t>
            </w:r>
            <w:r>
              <w:rPr>
                <w:rFonts w:hint="eastAsia" w:ascii="宋体" w:hAnsi="宋体" w:eastAsia="宋体" w:cs="宋体"/>
                <w:color w:val="auto"/>
                <w:sz w:val="20"/>
                <w:szCs w:val="20"/>
                <w:lang w:val="en-US" w:eastAsia="zh-CN"/>
              </w:rPr>
              <w:t>标项1：供应商为中小企业，所属行业为：建筑业</w:t>
            </w:r>
            <w:r>
              <w:rPr>
                <w:rFonts w:hint="eastAsia" w:ascii="宋体" w:hAnsi="宋体" w:eastAsia="宋体" w:cs="宋体"/>
                <w:color w:val="auto"/>
                <w:sz w:val="20"/>
                <w:szCs w:val="20"/>
                <w:lang w:eastAsia="zh-CN"/>
              </w:rPr>
              <w:t>；</w:t>
            </w:r>
            <w:r>
              <w:rPr>
                <w:rFonts w:ascii="宋体" w:hAnsi="宋体" w:eastAsia="宋体" w:cs="宋体"/>
                <w:color w:val="auto"/>
                <w:sz w:val="20"/>
                <w:szCs w:val="20"/>
              </w:rPr>
              <w:t>《政府采购促进中小企业发展管理办法》(财库﹝2020﹞46</w:t>
            </w:r>
            <w:r>
              <w:rPr>
                <w:rFonts w:hint="eastAsia" w:ascii="宋体" w:hAnsi="宋体" w:eastAsia="宋体" w:cs="宋体"/>
                <w:color w:val="auto"/>
                <w:sz w:val="20"/>
                <w:szCs w:val="20"/>
                <w:lang w:eastAsia="zh-CN"/>
              </w:rPr>
              <w:t>号）</w:t>
            </w:r>
          </w:p>
          <w:p w14:paraId="0CD0C5FD">
            <w:pPr>
              <w:spacing w:before="112" w:line="228" w:lineRule="auto"/>
              <w:ind w:left="114"/>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.本项目的特定资格要求：</w:t>
            </w:r>
            <w:r>
              <w:rPr>
                <w:rFonts w:hint="eastAsia" w:ascii="宋体" w:hAnsi="宋体" w:eastAsia="宋体" w:cs="宋体"/>
                <w:color w:val="auto"/>
                <w:sz w:val="20"/>
                <w:szCs w:val="20"/>
                <w:lang w:val="en-US" w:eastAsia="zh-CN"/>
              </w:rPr>
              <w:t>（1）企业具有[水利水电工程施工总承包贰级](含)以上资质、企业安全生产许可证；（2）拟派项目负责人具有二级（含）以上建造师资格（水利水电工程专业）和安全生产考核合格证书B证（均合格有效），且不得担任其他在建工程项目的项目负责人，技术负责人、施工员、质检员、安全员、资料员、材料员等项目管理机构班组人员必须持证上岗</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w:t>
            </w:r>
            <w:r>
              <w:rPr>
                <w:rFonts w:ascii="宋体" w:hAnsi="宋体" w:eastAsia="宋体" w:cs="宋体"/>
                <w:color w:val="auto"/>
                <w:sz w:val="20"/>
                <w:szCs w:val="20"/>
              </w:rPr>
              <w:t xml:space="preserve">根据《关于在招标投标活动中对失信被执行人实施联合惩戒的通知》之规定，供应商应通过“信用中国”网站（www.creditchina.gov.cn）和“中国政府采购网”（ </w:t>
            </w:r>
            <w:r>
              <w:rPr>
                <w:rFonts w:ascii="宋体" w:hAnsi="宋体" w:eastAsia="宋体" w:cs="宋体"/>
                <w:color w:val="auto"/>
                <w:sz w:val="20"/>
                <w:szCs w:val="20"/>
              </w:rPr>
              <w:fldChar w:fldCharType="begin"/>
            </w:r>
            <w:r>
              <w:rPr>
                <w:rFonts w:ascii="宋体" w:hAnsi="宋体" w:eastAsia="宋体" w:cs="宋体"/>
                <w:color w:val="auto"/>
                <w:sz w:val="20"/>
                <w:szCs w:val="20"/>
              </w:rPr>
              <w:instrText xml:space="preserve"> HYPERLINK "http://www.ccgp.gov.cn）查询未被列为失信被执行人；" </w:instrText>
            </w:r>
            <w:r>
              <w:rPr>
                <w:rFonts w:ascii="宋体" w:hAnsi="宋体" w:eastAsia="宋体" w:cs="宋体"/>
                <w:color w:val="auto"/>
                <w:sz w:val="20"/>
                <w:szCs w:val="20"/>
              </w:rPr>
              <w:fldChar w:fldCharType="separate"/>
            </w:r>
            <w:r>
              <w:rPr>
                <w:rFonts w:ascii="宋体" w:hAnsi="宋体" w:eastAsia="宋体" w:cs="宋体"/>
                <w:color w:val="auto"/>
                <w:sz w:val="20"/>
                <w:szCs w:val="20"/>
              </w:rPr>
              <w:t>www.ccgp.gov.cn）查询未被列为失信被执行人</w:t>
            </w:r>
            <w:r>
              <w:rPr>
                <w:rFonts w:ascii="宋体" w:hAnsi="宋体" w:eastAsia="宋体" w:cs="宋体"/>
                <w:color w:val="auto"/>
                <w:sz w:val="20"/>
                <w:szCs w:val="20"/>
              </w:rPr>
              <w:fldChar w:fldCharType="end"/>
            </w:r>
            <w:r>
              <w:rPr>
                <w:rFonts w:hint="eastAsia" w:ascii="宋体" w:hAnsi="宋体" w:eastAsia="宋体" w:cs="宋体"/>
                <w:color w:val="auto"/>
                <w:sz w:val="20"/>
                <w:szCs w:val="20"/>
              </w:rPr>
              <w:t>、重大税收违法案件当事人名单、政府采购严重违法失信行为记录名单</w:t>
            </w:r>
            <w:r>
              <w:rPr>
                <w:rFonts w:hint="eastAsia" w:ascii="宋体" w:hAnsi="宋体" w:eastAsia="宋体" w:cs="宋体"/>
                <w:color w:val="auto"/>
                <w:sz w:val="20"/>
                <w:szCs w:val="20"/>
                <w:lang w:eastAsia="zh-CN"/>
              </w:rPr>
              <w:t>。</w:t>
            </w:r>
          </w:p>
          <w:p w14:paraId="672917A0">
            <w:pPr>
              <w:spacing w:before="112" w:line="360" w:lineRule="auto"/>
              <w:ind w:left="114"/>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4.投标单位根据本项目情况填写项目管理机构表，如中标后本单位投标文件中项目管理机构人员必须人岗合一，如不能满足采购单位将取消投标单位中标资格，采购单位重新招标，对采购单位因此造成的损失进行赔偿，并报管理部门进行处罚（提供项目管理机构人员每月到岗天数承诺书，格式可自行起草</w:t>
            </w:r>
          </w:p>
        </w:tc>
      </w:tr>
      <w:tr w14:paraId="1E641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EC9F20F">
            <w:pPr>
              <w:spacing w:line="258" w:lineRule="auto"/>
              <w:rPr>
                <w:rFonts w:ascii="Arial"/>
                <w:color w:val="auto"/>
                <w:sz w:val="21"/>
              </w:rPr>
            </w:pPr>
          </w:p>
          <w:p w14:paraId="4E3FC7E5">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4.2</w:t>
            </w:r>
          </w:p>
        </w:tc>
        <w:tc>
          <w:tcPr>
            <w:tcW w:w="2632" w:type="dxa"/>
            <w:vAlign w:val="top"/>
          </w:tcPr>
          <w:p w14:paraId="1854EA7D">
            <w:pPr>
              <w:spacing w:before="293" w:line="228" w:lineRule="auto"/>
              <w:ind w:left="378"/>
              <w:rPr>
                <w:rFonts w:ascii="宋体" w:hAnsi="宋体" w:eastAsia="宋体" w:cs="宋体"/>
                <w:color w:val="auto"/>
                <w:sz w:val="20"/>
                <w:szCs w:val="20"/>
              </w:rPr>
            </w:pPr>
            <w:r>
              <w:rPr>
                <w:rFonts w:ascii="宋体" w:hAnsi="宋体" w:eastAsia="宋体" w:cs="宋体"/>
                <w:color w:val="auto"/>
                <w:spacing w:val="13"/>
                <w:sz w:val="20"/>
                <w:szCs w:val="20"/>
              </w:rPr>
              <w:t>是</w:t>
            </w:r>
            <w:r>
              <w:rPr>
                <w:rFonts w:ascii="宋体" w:hAnsi="宋体" w:eastAsia="宋体" w:cs="宋体"/>
                <w:color w:val="auto"/>
                <w:spacing w:val="8"/>
                <w:sz w:val="20"/>
                <w:szCs w:val="20"/>
              </w:rPr>
              <w:t>否接受联合体投标</w:t>
            </w:r>
          </w:p>
        </w:tc>
        <w:tc>
          <w:tcPr>
            <w:tcW w:w="5477" w:type="dxa"/>
            <w:vAlign w:val="top"/>
          </w:tcPr>
          <w:p w14:paraId="1DACDBE0">
            <w:pPr>
              <w:spacing w:before="113"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不接受</w:t>
            </w:r>
          </w:p>
          <w:p w14:paraId="238FCA6A">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□接受</w:t>
            </w:r>
          </w:p>
        </w:tc>
      </w:tr>
      <w:tr w14:paraId="4F1CE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170DCD8F">
            <w:pPr>
              <w:spacing w:line="257" w:lineRule="auto"/>
              <w:rPr>
                <w:rFonts w:ascii="Arial"/>
                <w:color w:val="auto"/>
                <w:sz w:val="21"/>
              </w:rPr>
            </w:pPr>
          </w:p>
          <w:p w14:paraId="6215698A">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w:t>
            </w:r>
          </w:p>
        </w:tc>
        <w:tc>
          <w:tcPr>
            <w:tcW w:w="2632" w:type="dxa"/>
            <w:vAlign w:val="top"/>
          </w:tcPr>
          <w:p w14:paraId="55EBEA2B">
            <w:pPr>
              <w:spacing w:before="293" w:line="228" w:lineRule="auto"/>
              <w:ind w:left="901"/>
              <w:rPr>
                <w:rFonts w:ascii="宋体" w:hAnsi="宋体" w:eastAsia="宋体" w:cs="宋体"/>
                <w:color w:val="auto"/>
                <w:sz w:val="20"/>
                <w:szCs w:val="20"/>
              </w:rPr>
            </w:pPr>
            <w:r>
              <w:rPr>
                <w:rFonts w:ascii="宋体" w:hAnsi="宋体" w:eastAsia="宋体" w:cs="宋体"/>
                <w:color w:val="auto"/>
                <w:spacing w:val="7"/>
                <w:sz w:val="20"/>
                <w:szCs w:val="20"/>
              </w:rPr>
              <w:t>踏勘现场</w:t>
            </w:r>
          </w:p>
        </w:tc>
        <w:tc>
          <w:tcPr>
            <w:tcW w:w="5477" w:type="dxa"/>
            <w:vAlign w:val="top"/>
          </w:tcPr>
          <w:p w14:paraId="66F0571C">
            <w:pPr>
              <w:spacing w:before="112" w:line="360" w:lineRule="exact"/>
              <w:ind w:left="122"/>
              <w:rPr>
                <w:rFonts w:ascii="宋体" w:hAnsi="宋体" w:eastAsia="宋体" w:cs="宋体"/>
                <w:color w:val="auto"/>
                <w:sz w:val="20"/>
                <w:szCs w:val="20"/>
              </w:rPr>
            </w:pPr>
            <w:r>
              <w:rPr>
                <w:rFonts w:ascii="MS PMincho" w:hAnsi="MS PMincho" w:eastAsia="MS PMincho" w:cs="MS PMincho"/>
                <w:color w:val="auto"/>
                <w:spacing w:val="8"/>
                <w:position w:val="11"/>
                <w:sz w:val="20"/>
                <w:szCs w:val="20"/>
              </w:rPr>
              <w:t>☑</w:t>
            </w:r>
            <w:r>
              <w:rPr>
                <w:rFonts w:ascii="宋体" w:hAnsi="宋体" w:eastAsia="宋体" w:cs="宋体"/>
                <w:color w:val="auto"/>
                <w:spacing w:val="8"/>
                <w:position w:val="11"/>
                <w:sz w:val="20"/>
                <w:szCs w:val="20"/>
              </w:rPr>
              <w:t>不组织,投标人自行踏</w:t>
            </w:r>
            <w:r>
              <w:rPr>
                <w:rFonts w:ascii="宋体" w:hAnsi="宋体" w:eastAsia="宋体" w:cs="宋体"/>
                <w:color w:val="auto"/>
                <w:spacing w:val="7"/>
                <w:position w:val="11"/>
                <w:sz w:val="20"/>
                <w:szCs w:val="20"/>
              </w:rPr>
              <w:t>勘</w:t>
            </w:r>
          </w:p>
          <w:p w14:paraId="5A68774A">
            <w:pPr>
              <w:spacing w:line="231" w:lineRule="auto"/>
              <w:ind w:left="136"/>
              <w:rPr>
                <w:rFonts w:ascii="宋体" w:hAnsi="宋体" w:eastAsia="宋体" w:cs="宋体"/>
                <w:color w:val="auto"/>
                <w:sz w:val="20"/>
                <w:szCs w:val="20"/>
              </w:rPr>
            </w:pPr>
            <w:r>
              <w:rPr>
                <w:rFonts w:ascii="宋体" w:hAnsi="宋体" w:eastAsia="宋体" w:cs="宋体"/>
                <w:color w:val="auto"/>
                <w:spacing w:val="-1"/>
                <w:sz w:val="20"/>
                <w:szCs w:val="20"/>
              </w:rPr>
              <w:t>□组织</w:t>
            </w:r>
          </w:p>
        </w:tc>
      </w:tr>
      <w:tr w14:paraId="6DF58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022" w:type="dxa"/>
            <w:vAlign w:val="top"/>
          </w:tcPr>
          <w:p w14:paraId="7CDD3D01">
            <w:pPr>
              <w:spacing w:line="436" w:lineRule="auto"/>
              <w:rPr>
                <w:rFonts w:ascii="Arial"/>
                <w:color w:val="auto"/>
                <w:sz w:val="21"/>
              </w:rPr>
            </w:pPr>
          </w:p>
          <w:p w14:paraId="79441B3C">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.6</w:t>
            </w:r>
          </w:p>
        </w:tc>
        <w:tc>
          <w:tcPr>
            <w:tcW w:w="2632" w:type="dxa"/>
            <w:vAlign w:val="top"/>
          </w:tcPr>
          <w:p w14:paraId="5DB85381">
            <w:pPr>
              <w:spacing w:line="404" w:lineRule="auto"/>
              <w:rPr>
                <w:rFonts w:ascii="Arial"/>
                <w:color w:val="auto"/>
                <w:sz w:val="21"/>
              </w:rPr>
            </w:pPr>
          </w:p>
          <w:p w14:paraId="0C7086A7">
            <w:pPr>
              <w:spacing w:before="65" w:line="225"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标预备会</w:t>
            </w:r>
          </w:p>
        </w:tc>
        <w:tc>
          <w:tcPr>
            <w:tcW w:w="5477" w:type="dxa"/>
            <w:vAlign w:val="top"/>
          </w:tcPr>
          <w:p w14:paraId="6CA63BB7">
            <w:pPr>
              <w:spacing w:before="112" w:line="230"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不召开</w:t>
            </w:r>
          </w:p>
          <w:p w14:paraId="109F1108">
            <w:pPr>
              <w:spacing w:before="110" w:line="360" w:lineRule="exact"/>
              <w:ind w:left="136"/>
              <w:rPr>
                <w:rFonts w:ascii="宋体" w:hAnsi="宋体" w:eastAsia="宋体" w:cs="宋体"/>
                <w:color w:val="auto"/>
                <w:sz w:val="20"/>
                <w:szCs w:val="20"/>
              </w:rPr>
            </w:pPr>
            <w:r>
              <w:rPr>
                <w:rFonts w:ascii="宋体" w:hAnsi="宋体" w:eastAsia="宋体" w:cs="宋体"/>
                <w:color w:val="auto"/>
                <w:spacing w:val="8"/>
                <w:position w:val="11"/>
                <w:sz w:val="20"/>
                <w:szCs w:val="20"/>
              </w:rPr>
              <w:t>□</w:t>
            </w:r>
            <w:r>
              <w:rPr>
                <w:rFonts w:ascii="宋体" w:hAnsi="宋体" w:eastAsia="宋体" w:cs="宋体"/>
                <w:color w:val="auto"/>
                <w:spacing w:val="5"/>
                <w:position w:val="11"/>
                <w:sz w:val="20"/>
                <w:szCs w:val="20"/>
              </w:rPr>
              <w:t>召开，召开时间：</w:t>
            </w:r>
          </w:p>
        </w:tc>
      </w:tr>
      <w:tr w14:paraId="64B50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22" w:type="dxa"/>
            <w:vAlign w:val="top"/>
          </w:tcPr>
          <w:p w14:paraId="58219FC2">
            <w:pPr>
              <w:spacing w:before="147" w:line="193" w:lineRule="auto"/>
              <w:ind w:left="373"/>
              <w:rPr>
                <w:rFonts w:ascii="宋体" w:hAnsi="宋体" w:eastAsia="宋体" w:cs="宋体"/>
                <w:color w:val="auto"/>
                <w:sz w:val="20"/>
                <w:szCs w:val="20"/>
              </w:rPr>
            </w:pPr>
            <w:r>
              <w:rPr>
                <w:rFonts w:ascii="宋体" w:hAnsi="宋体" w:eastAsia="宋体" w:cs="宋体"/>
                <w:color w:val="auto"/>
                <w:sz w:val="20"/>
                <w:szCs w:val="20"/>
              </w:rPr>
              <w:t>1.7</w:t>
            </w:r>
          </w:p>
        </w:tc>
        <w:tc>
          <w:tcPr>
            <w:tcW w:w="2632" w:type="dxa"/>
            <w:vAlign w:val="top"/>
          </w:tcPr>
          <w:p w14:paraId="248D19CA">
            <w:pPr>
              <w:spacing w:before="115" w:line="229" w:lineRule="auto"/>
              <w:ind w:left="1112"/>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包</w:t>
            </w:r>
          </w:p>
        </w:tc>
        <w:tc>
          <w:tcPr>
            <w:tcW w:w="5477" w:type="dxa"/>
            <w:vAlign w:val="top"/>
          </w:tcPr>
          <w:p w14:paraId="75CC2953">
            <w:pPr>
              <w:spacing w:before="114" w:line="228" w:lineRule="auto"/>
              <w:ind w:left="136"/>
              <w:rPr>
                <w:rFonts w:ascii="宋体" w:hAnsi="宋体" w:eastAsia="宋体" w:cs="宋体"/>
                <w:color w:val="auto"/>
                <w:spacing w:val="5"/>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不允许</w:t>
            </w:r>
          </w:p>
          <w:p w14:paraId="30A548C2">
            <w:pPr>
              <w:spacing w:before="114" w:line="228" w:lineRule="auto"/>
              <w:ind w:left="136"/>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6"/>
                <w:sz w:val="20"/>
                <w:szCs w:val="20"/>
              </w:rPr>
              <w:t>允许，分包内容要求：</w:t>
            </w:r>
          </w:p>
          <w:p w14:paraId="20B8BE10">
            <w:pPr>
              <w:spacing w:before="112" w:line="227" w:lineRule="auto"/>
              <w:ind w:left="117"/>
              <w:rPr>
                <w:rFonts w:ascii="宋体" w:hAnsi="宋体" w:eastAsia="宋体" w:cs="宋体"/>
                <w:color w:val="auto"/>
                <w:sz w:val="20"/>
                <w:szCs w:val="20"/>
              </w:rPr>
            </w:pPr>
            <w:r>
              <w:rPr>
                <w:rFonts w:ascii="宋体" w:hAnsi="宋体" w:eastAsia="宋体" w:cs="宋体"/>
                <w:color w:val="auto"/>
                <w:spacing w:val="9"/>
                <w:sz w:val="20"/>
                <w:szCs w:val="20"/>
              </w:rPr>
              <w:t>分</w:t>
            </w:r>
            <w:r>
              <w:rPr>
                <w:rFonts w:ascii="宋体" w:hAnsi="宋体" w:eastAsia="宋体" w:cs="宋体"/>
                <w:color w:val="auto"/>
                <w:spacing w:val="8"/>
                <w:sz w:val="20"/>
                <w:szCs w:val="20"/>
              </w:rPr>
              <w:t>包金额要求：/</w:t>
            </w:r>
          </w:p>
          <w:p w14:paraId="5133B61D">
            <w:pPr>
              <w:spacing w:before="115" w:line="228" w:lineRule="auto"/>
              <w:ind w:left="122"/>
              <w:rPr>
                <w:rFonts w:ascii="宋体" w:hAnsi="宋体" w:eastAsia="宋体" w:cs="宋体"/>
                <w:color w:val="auto"/>
                <w:sz w:val="20"/>
                <w:szCs w:val="20"/>
              </w:rPr>
            </w:pPr>
            <w:r>
              <w:rPr>
                <w:rFonts w:ascii="宋体" w:hAnsi="宋体" w:eastAsia="宋体" w:cs="宋体"/>
                <w:color w:val="auto"/>
                <w:spacing w:val="14"/>
                <w:sz w:val="20"/>
                <w:szCs w:val="20"/>
              </w:rPr>
              <w:t>接</w:t>
            </w:r>
            <w:r>
              <w:rPr>
                <w:rFonts w:ascii="宋体" w:hAnsi="宋体" w:eastAsia="宋体" w:cs="宋体"/>
                <w:color w:val="auto"/>
                <w:spacing w:val="8"/>
                <w:sz w:val="20"/>
                <w:szCs w:val="20"/>
              </w:rPr>
              <w:t>受分包的第三人资质要求：/</w:t>
            </w:r>
          </w:p>
        </w:tc>
      </w:tr>
      <w:tr w14:paraId="6619C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CED7B7B">
            <w:pPr>
              <w:spacing w:line="254" w:lineRule="auto"/>
              <w:rPr>
                <w:rFonts w:ascii="Arial"/>
                <w:color w:val="auto"/>
                <w:sz w:val="21"/>
              </w:rPr>
            </w:pPr>
          </w:p>
          <w:p w14:paraId="3951810E">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.8</w:t>
            </w:r>
          </w:p>
        </w:tc>
        <w:tc>
          <w:tcPr>
            <w:tcW w:w="2632" w:type="dxa"/>
            <w:vAlign w:val="top"/>
          </w:tcPr>
          <w:p w14:paraId="7E719C11">
            <w:pPr>
              <w:spacing w:before="289" w:line="228" w:lineRule="auto"/>
              <w:ind w:left="1109"/>
              <w:rPr>
                <w:rFonts w:ascii="宋体" w:hAnsi="宋体" w:eastAsia="宋体" w:cs="宋体"/>
                <w:color w:val="auto"/>
                <w:sz w:val="20"/>
                <w:szCs w:val="20"/>
              </w:rPr>
            </w:pPr>
            <w:r>
              <w:rPr>
                <w:rFonts w:ascii="宋体" w:hAnsi="宋体" w:eastAsia="宋体" w:cs="宋体"/>
                <w:color w:val="auto"/>
                <w:spacing w:val="5"/>
                <w:sz w:val="20"/>
                <w:szCs w:val="20"/>
              </w:rPr>
              <w:t>偏</w:t>
            </w:r>
            <w:r>
              <w:rPr>
                <w:rFonts w:ascii="宋体" w:hAnsi="宋体" w:eastAsia="宋体" w:cs="宋体"/>
                <w:color w:val="auto"/>
                <w:spacing w:val="4"/>
                <w:sz w:val="20"/>
                <w:szCs w:val="20"/>
              </w:rPr>
              <w:t>离</w:t>
            </w:r>
          </w:p>
        </w:tc>
        <w:tc>
          <w:tcPr>
            <w:tcW w:w="5477" w:type="dxa"/>
            <w:vAlign w:val="top"/>
          </w:tcPr>
          <w:p w14:paraId="641E34E7">
            <w:pPr>
              <w:spacing w:before="109"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130020B5">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593EA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7A758A6">
            <w:pPr>
              <w:spacing w:line="254" w:lineRule="auto"/>
              <w:rPr>
                <w:rFonts w:ascii="Arial"/>
                <w:color w:val="auto"/>
                <w:sz w:val="21"/>
              </w:rPr>
            </w:pPr>
          </w:p>
          <w:p w14:paraId="274B51F9">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.9</w:t>
            </w:r>
          </w:p>
        </w:tc>
        <w:tc>
          <w:tcPr>
            <w:tcW w:w="2632" w:type="dxa"/>
            <w:vAlign w:val="top"/>
          </w:tcPr>
          <w:p w14:paraId="063EE435">
            <w:pPr>
              <w:spacing w:before="108" w:line="280" w:lineRule="auto"/>
              <w:ind w:left="1006" w:right="161" w:hanging="837"/>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成竞争性磋商文件的其</w:t>
            </w:r>
            <w:r>
              <w:rPr>
                <w:rFonts w:ascii="宋体" w:hAnsi="宋体" w:eastAsia="宋体" w:cs="宋体"/>
                <w:color w:val="auto"/>
                <w:spacing w:val="7"/>
                <w:sz w:val="20"/>
                <w:szCs w:val="20"/>
              </w:rPr>
              <w:t>他材</w:t>
            </w:r>
            <w:r>
              <w:rPr>
                <w:rFonts w:ascii="宋体" w:hAnsi="宋体" w:eastAsia="宋体" w:cs="宋体"/>
                <w:color w:val="auto"/>
                <w:spacing w:val="6"/>
                <w:sz w:val="20"/>
                <w:szCs w:val="20"/>
              </w:rPr>
              <w:t>料</w:t>
            </w:r>
          </w:p>
        </w:tc>
        <w:tc>
          <w:tcPr>
            <w:tcW w:w="5477" w:type="dxa"/>
            <w:vAlign w:val="top"/>
          </w:tcPr>
          <w:p w14:paraId="213E755C">
            <w:pPr>
              <w:spacing w:before="289"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727E7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22" w:type="dxa"/>
            <w:vAlign w:val="top"/>
          </w:tcPr>
          <w:p w14:paraId="2774F22C">
            <w:pPr>
              <w:spacing w:line="363" w:lineRule="auto"/>
              <w:rPr>
                <w:rFonts w:ascii="Arial"/>
                <w:color w:val="auto"/>
                <w:sz w:val="21"/>
              </w:rPr>
            </w:pPr>
          </w:p>
          <w:p w14:paraId="4E2E8F47">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.9.1</w:t>
            </w:r>
          </w:p>
        </w:tc>
        <w:tc>
          <w:tcPr>
            <w:tcW w:w="2632" w:type="dxa"/>
            <w:vAlign w:val="top"/>
          </w:tcPr>
          <w:p w14:paraId="1213FA31">
            <w:pPr>
              <w:spacing w:before="113" w:line="280" w:lineRule="auto"/>
              <w:ind w:left="485" w:right="161" w:hanging="316"/>
              <w:rPr>
                <w:rFonts w:ascii="宋体" w:hAnsi="宋体" w:eastAsia="宋体" w:cs="宋体"/>
                <w:color w:val="auto"/>
                <w:spacing w:val="8"/>
                <w:sz w:val="20"/>
                <w:szCs w:val="20"/>
              </w:rPr>
            </w:pPr>
            <w:r>
              <w:rPr>
                <w:rFonts w:ascii="宋体" w:hAnsi="宋体" w:eastAsia="宋体" w:cs="宋体"/>
                <w:color w:val="auto"/>
                <w:spacing w:val="8"/>
                <w:sz w:val="20"/>
                <w:szCs w:val="20"/>
              </w:rPr>
              <w:t>投标人要求澄清竞争性</w:t>
            </w:r>
          </w:p>
          <w:p w14:paraId="002D5DC1">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8"/>
                <w:sz w:val="20"/>
                <w:szCs w:val="20"/>
              </w:rPr>
              <w:t>磋商文件的截止时间</w:t>
            </w:r>
          </w:p>
        </w:tc>
        <w:tc>
          <w:tcPr>
            <w:tcW w:w="5477" w:type="dxa"/>
            <w:vAlign w:val="top"/>
          </w:tcPr>
          <w:p w14:paraId="7A2A2C43">
            <w:pPr>
              <w:spacing w:line="331" w:lineRule="auto"/>
              <w:rPr>
                <w:rFonts w:ascii="Arial"/>
                <w:color w:val="auto"/>
                <w:sz w:val="21"/>
              </w:rPr>
            </w:pPr>
          </w:p>
          <w:p w14:paraId="285AB66F">
            <w:pPr>
              <w:spacing w:before="65" w:line="229" w:lineRule="auto"/>
              <w:ind w:left="117"/>
              <w:rPr>
                <w:rFonts w:ascii="宋体" w:hAnsi="宋体" w:eastAsia="宋体" w:cs="宋体"/>
                <w:color w:val="auto"/>
                <w:sz w:val="20"/>
                <w:szCs w:val="20"/>
              </w:rPr>
            </w:pPr>
            <w:r>
              <w:rPr>
                <w:rFonts w:ascii="宋体" w:hAnsi="宋体" w:eastAsia="宋体" w:cs="宋体"/>
                <w:color w:val="auto"/>
                <w:spacing w:val="-7"/>
                <w:sz w:val="20"/>
                <w:szCs w:val="20"/>
              </w:rPr>
              <w:t>投</w:t>
            </w:r>
            <w:r>
              <w:rPr>
                <w:rFonts w:ascii="宋体" w:hAnsi="宋体" w:eastAsia="宋体" w:cs="宋体"/>
                <w:color w:val="auto"/>
                <w:spacing w:val="-4"/>
                <w:sz w:val="20"/>
                <w:szCs w:val="20"/>
              </w:rPr>
              <w:t>标截止前 3 天</w:t>
            </w:r>
          </w:p>
        </w:tc>
      </w:tr>
      <w:tr w14:paraId="04C7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22" w:type="dxa"/>
            <w:vAlign w:val="top"/>
          </w:tcPr>
          <w:p w14:paraId="6D0D6BCD">
            <w:pPr>
              <w:spacing w:line="263" w:lineRule="auto"/>
              <w:jc w:val="center"/>
              <w:rPr>
                <w:rFonts w:ascii="Arial"/>
                <w:color w:val="auto"/>
                <w:sz w:val="21"/>
              </w:rPr>
            </w:pPr>
          </w:p>
          <w:p w14:paraId="63B41FE6">
            <w:pPr>
              <w:spacing w:before="65" w:line="193" w:lineRule="auto"/>
              <w:ind w:firstLine="216" w:firstLineChars="100"/>
              <w:jc w:val="both"/>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6"/>
                <w:sz w:val="20"/>
                <w:szCs w:val="20"/>
              </w:rPr>
              <w:t>.1.1</w:t>
            </w:r>
          </w:p>
        </w:tc>
        <w:tc>
          <w:tcPr>
            <w:tcW w:w="2632" w:type="dxa"/>
            <w:vAlign w:val="top"/>
          </w:tcPr>
          <w:p w14:paraId="44F4CB14">
            <w:pPr>
              <w:spacing w:line="253" w:lineRule="auto"/>
              <w:jc w:val="center"/>
              <w:rPr>
                <w:rFonts w:ascii="Arial"/>
                <w:color w:val="auto"/>
                <w:sz w:val="21"/>
              </w:rPr>
            </w:pPr>
          </w:p>
          <w:p w14:paraId="7C93707E">
            <w:pPr>
              <w:spacing w:before="65" w:line="229" w:lineRule="auto"/>
              <w:ind w:firstLine="432" w:firstLineChars="200"/>
              <w:jc w:val="both"/>
              <w:rPr>
                <w:rFonts w:ascii="宋体" w:hAnsi="宋体" w:eastAsia="宋体" w:cs="宋体"/>
                <w:color w:val="auto"/>
                <w:sz w:val="20"/>
                <w:szCs w:val="20"/>
              </w:rPr>
            </w:pPr>
            <w:r>
              <w:rPr>
                <w:rFonts w:ascii="宋体" w:hAnsi="宋体" w:eastAsia="宋体" w:cs="宋体"/>
                <w:color w:val="auto"/>
                <w:spacing w:val="8"/>
                <w:sz w:val="20"/>
                <w:szCs w:val="20"/>
              </w:rPr>
              <w:t>开标、评</w:t>
            </w:r>
            <w:r>
              <w:rPr>
                <w:rFonts w:ascii="宋体" w:hAnsi="宋体" w:eastAsia="宋体" w:cs="宋体"/>
                <w:color w:val="auto"/>
                <w:spacing w:val="7"/>
                <w:sz w:val="20"/>
                <w:szCs w:val="20"/>
              </w:rPr>
              <w:t>标</w:t>
            </w:r>
          </w:p>
        </w:tc>
        <w:tc>
          <w:tcPr>
            <w:tcW w:w="5477" w:type="dxa"/>
            <w:vAlign w:val="top"/>
          </w:tcPr>
          <w:p w14:paraId="41E1E059">
            <w:pPr>
              <w:spacing w:before="110" w:line="332" w:lineRule="auto"/>
              <w:ind w:left="115" w:right="109"/>
              <w:rPr>
                <w:rFonts w:ascii="宋体" w:hAnsi="宋体" w:eastAsia="宋体" w:cs="宋体"/>
                <w:color w:val="auto"/>
                <w:sz w:val="20"/>
                <w:szCs w:val="20"/>
              </w:rPr>
            </w:pPr>
            <w:r>
              <w:rPr>
                <w:rFonts w:ascii="宋体" w:hAnsi="宋体" w:eastAsia="宋体" w:cs="宋体"/>
                <w:color w:val="auto"/>
                <w:spacing w:val="2"/>
                <w:sz w:val="20"/>
                <w:szCs w:val="20"/>
                <w:highlight w:val="none"/>
              </w:rPr>
              <w:t>开标日期及时间：</w:t>
            </w:r>
            <w:r>
              <w:rPr>
                <w:rFonts w:hint="eastAsia" w:ascii="宋体" w:hAnsi="宋体" w:eastAsia="宋体" w:cs="宋体"/>
                <w:color w:val="auto"/>
                <w:spacing w:val="2"/>
                <w:sz w:val="20"/>
                <w:szCs w:val="20"/>
                <w:highlight w:val="none"/>
                <w:lang w:eastAsia="zh-CN"/>
              </w:rPr>
              <w:t>2025年03月21日16</w:t>
            </w:r>
            <w:r>
              <w:rPr>
                <w:rFonts w:hint="eastAsia" w:ascii="宋体" w:hAnsi="宋体" w:eastAsia="宋体" w:cs="宋体"/>
                <w:color w:val="auto"/>
                <w:spacing w:val="1"/>
                <w:sz w:val="20"/>
                <w:szCs w:val="20"/>
                <w:highlight w:val="none"/>
                <w:lang w:val="en-US" w:eastAsia="zh-CN"/>
              </w:rPr>
              <w:t>：0</w:t>
            </w:r>
            <w:r>
              <w:rPr>
                <w:rFonts w:ascii="宋体" w:hAnsi="宋体" w:eastAsia="宋体" w:cs="宋体"/>
                <w:color w:val="auto"/>
                <w:spacing w:val="1"/>
                <w:sz w:val="20"/>
                <w:szCs w:val="20"/>
                <w:highlight w:val="none"/>
              </w:rPr>
              <w:t>0 (北京时</w:t>
            </w:r>
            <w:r>
              <w:rPr>
                <w:rFonts w:ascii="宋体" w:hAnsi="宋体" w:eastAsia="宋体" w:cs="宋体"/>
                <w:color w:val="auto"/>
                <w:spacing w:val="-6"/>
                <w:sz w:val="20"/>
                <w:szCs w:val="20"/>
                <w:highlight w:val="none"/>
              </w:rPr>
              <w:t>间</w:t>
            </w:r>
            <w:r>
              <w:rPr>
                <w:rFonts w:ascii="宋体" w:hAnsi="宋体" w:eastAsia="宋体" w:cs="宋体"/>
                <w:color w:val="auto"/>
                <w:spacing w:val="-4"/>
                <w:sz w:val="20"/>
                <w:szCs w:val="20"/>
                <w:highlight w:val="none"/>
              </w:rPr>
              <w:t>)</w:t>
            </w:r>
            <w:r>
              <w:rPr>
                <w:rFonts w:ascii="宋体" w:hAnsi="宋体" w:eastAsia="宋体" w:cs="宋体"/>
                <w:color w:val="FF0000"/>
                <w:sz w:val="20"/>
                <w:szCs w:val="20"/>
                <w:highlight w:val="none"/>
              </w:rPr>
              <w:t xml:space="preserve"> </w:t>
            </w:r>
            <w:r>
              <w:rPr>
                <w:rFonts w:ascii="宋体" w:hAnsi="宋体" w:eastAsia="宋体" w:cs="宋体"/>
                <w:color w:val="auto"/>
                <w:sz w:val="20"/>
                <w:szCs w:val="20"/>
                <w:highlight w:val="none"/>
              </w:rPr>
              <w:t xml:space="preserve"> </w:t>
            </w:r>
            <w:r>
              <w:rPr>
                <w:rFonts w:ascii="宋体" w:hAnsi="宋体" w:eastAsia="宋体" w:cs="宋体"/>
                <w:color w:val="auto"/>
                <w:sz w:val="20"/>
                <w:szCs w:val="20"/>
              </w:rPr>
              <w:t xml:space="preserve">                                               </w:t>
            </w:r>
            <w:r>
              <w:rPr>
                <w:rFonts w:hint="eastAsia" w:ascii="宋体" w:hAnsi="宋体" w:eastAsia="宋体" w:cs="宋体"/>
                <w:color w:val="auto"/>
                <w:sz w:val="20"/>
                <w:szCs w:val="20"/>
                <w:lang w:val="en-US" w:eastAsia="zh-CN"/>
              </w:rPr>
              <w:t xml:space="preserve"> </w:t>
            </w:r>
            <w:r>
              <w:rPr>
                <w:rFonts w:ascii="宋体" w:hAnsi="宋体" w:eastAsia="宋体" w:cs="宋体"/>
                <w:color w:val="auto"/>
                <w:spacing w:val="16"/>
                <w:sz w:val="20"/>
                <w:szCs w:val="20"/>
              </w:rPr>
              <w:t>开</w:t>
            </w:r>
            <w:r>
              <w:rPr>
                <w:rFonts w:ascii="宋体" w:hAnsi="宋体" w:eastAsia="宋体" w:cs="宋体"/>
                <w:color w:val="auto"/>
                <w:spacing w:val="9"/>
                <w:sz w:val="20"/>
                <w:szCs w:val="20"/>
              </w:rPr>
              <w:t>标</w:t>
            </w:r>
            <w:r>
              <w:rPr>
                <w:rFonts w:ascii="宋体" w:hAnsi="宋体" w:eastAsia="宋体" w:cs="宋体"/>
                <w:color w:val="auto"/>
                <w:spacing w:val="8"/>
                <w:sz w:val="20"/>
                <w:szCs w:val="20"/>
              </w:rPr>
              <w:t xml:space="preserve">地点：政采云平台 </w:t>
            </w:r>
            <w:r>
              <w:rPr>
                <w:rFonts w:ascii="宋体" w:hAnsi="宋体" w:eastAsia="宋体" w:cs="宋体"/>
                <w:color w:val="auto"/>
                <w:sz w:val="20"/>
                <w:szCs w:val="20"/>
              </w:rPr>
              <w:t>https</w:t>
            </w:r>
            <w:r>
              <w:rPr>
                <w:rFonts w:ascii="宋体" w:hAnsi="宋体" w:eastAsia="宋体" w:cs="宋体"/>
                <w:color w:val="auto"/>
                <w:spacing w:val="8"/>
                <w:sz w:val="20"/>
                <w:szCs w:val="20"/>
              </w:rPr>
              <w:t>://</w:t>
            </w:r>
            <w:r>
              <w:rPr>
                <w:rFonts w:ascii="宋体" w:hAnsi="宋体" w:eastAsia="宋体" w:cs="宋体"/>
                <w:color w:val="auto"/>
                <w:sz w:val="20"/>
                <w:szCs w:val="20"/>
              </w:rPr>
              <w:t>www</w:t>
            </w:r>
            <w:r>
              <w:rPr>
                <w:rFonts w:ascii="宋体" w:hAnsi="宋体" w:eastAsia="宋体" w:cs="宋体"/>
                <w:color w:val="auto"/>
                <w:spacing w:val="8"/>
                <w:sz w:val="20"/>
                <w:szCs w:val="20"/>
              </w:rPr>
              <w:t>.</w:t>
            </w:r>
            <w:r>
              <w:rPr>
                <w:rFonts w:ascii="宋体" w:hAnsi="宋体" w:eastAsia="宋体" w:cs="宋体"/>
                <w:color w:val="auto"/>
                <w:sz w:val="20"/>
                <w:szCs w:val="20"/>
              </w:rPr>
              <w:t>zcygov</w:t>
            </w:r>
            <w:r>
              <w:rPr>
                <w:rFonts w:ascii="宋体" w:hAnsi="宋体" w:eastAsia="宋体" w:cs="宋体"/>
                <w:color w:val="auto"/>
                <w:spacing w:val="8"/>
                <w:sz w:val="20"/>
                <w:szCs w:val="20"/>
              </w:rPr>
              <w:t>.</w:t>
            </w:r>
            <w:r>
              <w:rPr>
                <w:rFonts w:ascii="宋体" w:hAnsi="宋体" w:eastAsia="宋体" w:cs="宋体"/>
                <w:color w:val="auto"/>
                <w:sz w:val="20"/>
                <w:szCs w:val="20"/>
              </w:rPr>
              <w:t>cn</w:t>
            </w:r>
          </w:p>
        </w:tc>
      </w:tr>
      <w:tr w14:paraId="5C439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690A5611">
            <w:pPr>
              <w:spacing w:line="257" w:lineRule="auto"/>
              <w:rPr>
                <w:rFonts w:ascii="Arial"/>
                <w:color w:val="auto"/>
                <w:sz w:val="21"/>
              </w:rPr>
            </w:pPr>
          </w:p>
          <w:p w14:paraId="462253EF">
            <w:pPr>
              <w:spacing w:before="65" w:line="193" w:lineRule="auto"/>
              <w:ind w:left="255"/>
              <w:rPr>
                <w:rFonts w:ascii="宋体" w:hAnsi="宋体" w:eastAsia="宋体" w:cs="宋体"/>
                <w:color w:val="auto"/>
                <w:sz w:val="20"/>
                <w:szCs w:val="20"/>
              </w:rPr>
            </w:pPr>
            <w:r>
              <w:rPr>
                <w:rFonts w:ascii="宋体" w:hAnsi="宋体" w:eastAsia="宋体" w:cs="宋体"/>
                <w:color w:val="auto"/>
                <w:spacing w:val="6"/>
                <w:sz w:val="20"/>
                <w:szCs w:val="20"/>
              </w:rPr>
              <w:t>2</w:t>
            </w:r>
            <w:r>
              <w:rPr>
                <w:rFonts w:ascii="宋体" w:hAnsi="宋体" w:eastAsia="宋体" w:cs="宋体"/>
                <w:color w:val="auto"/>
                <w:spacing w:val="4"/>
                <w:sz w:val="20"/>
                <w:szCs w:val="20"/>
              </w:rPr>
              <w:t>.1.2</w:t>
            </w:r>
          </w:p>
        </w:tc>
        <w:tc>
          <w:tcPr>
            <w:tcW w:w="2632" w:type="dxa"/>
            <w:vAlign w:val="top"/>
          </w:tcPr>
          <w:p w14:paraId="7151BE00">
            <w:pPr>
              <w:spacing w:before="113" w:line="280" w:lineRule="auto"/>
              <w:ind w:left="485" w:right="161" w:hanging="316"/>
              <w:rPr>
                <w:rFonts w:ascii="宋体" w:hAnsi="宋体" w:eastAsia="宋体" w:cs="宋体"/>
                <w:color w:val="auto"/>
                <w:spacing w:val="8"/>
                <w:sz w:val="20"/>
                <w:szCs w:val="20"/>
              </w:rPr>
            </w:pPr>
            <w:r>
              <w:rPr>
                <w:rFonts w:ascii="宋体" w:hAnsi="宋体" w:eastAsia="宋体" w:cs="宋体"/>
                <w:color w:val="auto"/>
                <w:spacing w:val="8"/>
                <w:sz w:val="20"/>
                <w:szCs w:val="20"/>
              </w:rPr>
              <w:t>投标人确认收到竞争性</w:t>
            </w:r>
          </w:p>
          <w:p w14:paraId="417E323F">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8"/>
                <w:sz w:val="20"/>
                <w:szCs w:val="20"/>
              </w:rPr>
              <w:t>磋商文件澄清的时间</w:t>
            </w:r>
          </w:p>
        </w:tc>
        <w:tc>
          <w:tcPr>
            <w:tcW w:w="5477" w:type="dxa"/>
            <w:vAlign w:val="top"/>
          </w:tcPr>
          <w:p w14:paraId="16CA7E53">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收到相应澄清文件后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26F86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CBA4AA4">
            <w:pPr>
              <w:spacing w:line="257" w:lineRule="auto"/>
              <w:rPr>
                <w:rFonts w:ascii="Arial"/>
                <w:color w:val="auto"/>
                <w:sz w:val="21"/>
              </w:rPr>
            </w:pPr>
          </w:p>
          <w:p w14:paraId="7AA74E3F">
            <w:pPr>
              <w:spacing w:before="65" w:line="193" w:lineRule="auto"/>
              <w:ind w:left="255"/>
              <w:rPr>
                <w:rFonts w:ascii="宋体" w:hAnsi="宋体" w:eastAsia="宋体" w:cs="宋体"/>
                <w:color w:val="auto"/>
                <w:sz w:val="20"/>
                <w:szCs w:val="20"/>
              </w:rPr>
            </w:pPr>
            <w:r>
              <w:rPr>
                <w:rFonts w:ascii="宋体" w:hAnsi="宋体" w:eastAsia="宋体" w:cs="宋体"/>
                <w:color w:val="auto"/>
                <w:spacing w:val="5"/>
                <w:sz w:val="20"/>
                <w:szCs w:val="20"/>
              </w:rPr>
              <w:t>2</w:t>
            </w:r>
            <w:r>
              <w:rPr>
                <w:rFonts w:ascii="宋体" w:hAnsi="宋体" w:eastAsia="宋体" w:cs="宋体"/>
                <w:color w:val="auto"/>
                <w:spacing w:val="4"/>
                <w:sz w:val="20"/>
                <w:szCs w:val="20"/>
              </w:rPr>
              <w:t>.1.3</w:t>
            </w:r>
          </w:p>
        </w:tc>
        <w:tc>
          <w:tcPr>
            <w:tcW w:w="2632" w:type="dxa"/>
            <w:vAlign w:val="top"/>
          </w:tcPr>
          <w:p w14:paraId="752EB074">
            <w:pPr>
              <w:spacing w:before="112" w:line="280" w:lineRule="auto"/>
              <w:ind w:left="485" w:right="161" w:hanging="316"/>
              <w:rPr>
                <w:rFonts w:ascii="宋体" w:hAnsi="宋体" w:eastAsia="宋体" w:cs="宋体"/>
                <w:color w:val="auto"/>
                <w:spacing w:val="8"/>
                <w:sz w:val="20"/>
                <w:szCs w:val="20"/>
              </w:rPr>
            </w:pPr>
            <w:r>
              <w:rPr>
                <w:rFonts w:ascii="宋体" w:hAnsi="宋体" w:eastAsia="宋体" w:cs="宋体"/>
                <w:color w:val="auto"/>
                <w:spacing w:val="8"/>
                <w:sz w:val="20"/>
                <w:szCs w:val="20"/>
              </w:rPr>
              <w:t>投标人确认收到竞争性</w:t>
            </w:r>
          </w:p>
          <w:p w14:paraId="173CEEC8">
            <w:pPr>
              <w:spacing w:before="112" w:line="280" w:lineRule="auto"/>
              <w:ind w:left="485" w:right="161" w:hanging="316"/>
              <w:rPr>
                <w:rFonts w:ascii="宋体" w:hAnsi="宋体" w:eastAsia="宋体" w:cs="宋体"/>
                <w:color w:val="auto"/>
                <w:sz w:val="20"/>
                <w:szCs w:val="20"/>
              </w:rPr>
            </w:pPr>
            <w:r>
              <w:rPr>
                <w:rFonts w:ascii="宋体" w:hAnsi="宋体" w:eastAsia="宋体" w:cs="宋体"/>
                <w:color w:val="auto"/>
                <w:spacing w:val="8"/>
                <w:sz w:val="20"/>
                <w:szCs w:val="20"/>
              </w:rPr>
              <w:t>磋商文件修改的时间</w:t>
            </w:r>
          </w:p>
        </w:tc>
        <w:tc>
          <w:tcPr>
            <w:tcW w:w="5477" w:type="dxa"/>
            <w:vAlign w:val="top"/>
          </w:tcPr>
          <w:p w14:paraId="1B39E0FA">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收到相应修改文件后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0E760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5411748">
            <w:pPr>
              <w:spacing w:line="257" w:lineRule="auto"/>
              <w:rPr>
                <w:rFonts w:ascii="Arial"/>
                <w:color w:val="auto"/>
                <w:sz w:val="21"/>
              </w:rPr>
            </w:pPr>
          </w:p>
          <w:p w14:paraId="54E96E00">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.1</w:t>
            </w:r>
          </w:p>
        </w:tc>
        <w:tc>
          <w:tcPr>
            <w:tcW w:w="2632" w:type="dxa"/>
            <w:vAlign w:val="top"/>
          </w:tcPr>
          <w:p w14:paraId="7157545B">
            <w:pPr>
              <w:spacing w:before="112" w:line="279" w:lineRule="auto"/>
              <w:ind w:left="812" w:right="161" w:hanging="643"/>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成竞争性磋商响应文件</w:t>
            </w:r>
            <w:r>
              <w:rPr>
                <w:rFonts w:ascii="宋体" w:hAnsi="宋体" w:eastAsia="宋体" w:cs="宋体"/>
                <w:color w:val="auto"/>
                <w:spacing w:val="7"/>
                <w:sz w:val="20"/>
                <w:szCs w:val="20"/>
              </w:rPr>
              <w:t>的</w:t>
            </w:r>
            <w:r>
              <w:rPr>
                <w:rFonts w:ascii="宋体" w:hAnsi="宋体" w:eastAsia="宋体" w:cs="宋体"/>
                <w:color w:val="auto"/>
                <w:spacing w:val="4"/>
                <w:sz w:val="20"/>
                <w:szCs w:val="20"/>
              </w:rPr>
              <w:t>其他材料</w:t>
            </w:r>
          </w:p>
        </w:tc>
        <w:tc>
          <w:tcPr>
            <w:tcW w:w="5477" w:type="dxa"/>
            <w:vAlign w:val="top"/>
          </w:tcPr>
          <w:p w14:paraId="1D97E8C8">
            <w:pPr>
              <w:spacing w:before="291"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004B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22" w:type="dxa"/>
            <w:vAlign w:val="top"/>
          </w:tcPr>
          <w:p w14:paraId="421954B9">
            <w:pPr>
              <w:spacing w:before="143"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.2</w:t>
            </w:r>
          </w:p>
        </w:tc>
        <w:tc>
          <w:tcPr>
            <w:tcW w:w="2632" w:type="dxa"/>
            <w:vAlign w:val="top"/>
          </w:tcPr>
          <w:p w14:paraId="37A95FAB">
            <w:pPr>
              <w:spacing w:before="112" w:line="279" w:lineRule="auto"/>
              <w:ind w:left="812" w:right="161" w:hanging="643"/>
              <w:jc w:val="center"/>
              <w:rPr>
                <w:rFonts w:ascii="宋体" w:hAnsi="宋体" w:eastAsia="宋体" w:cs="宋体"/>
                <w:color w:val="auto"/>
                <w:spacing w:val="8"/>
                <w:sz w:val="20"/>
                <w:szCs w:val="20"/>
              </w:rPr>
            </w:pPr>
            <w:r>
              <w:rPr>
                <w:rFonts w:ascii="宋体" w:hAnsi="宋体" w:eastAsia="宋体" w:cs="宋体"/>
                <w:color w:val="auto"/>
                <w:spacing w:val="8"/>
                <w:sz w:val="20"/>
                <w:szCs w:val="20"/>
              </w:rPr>
              <w:t>投标有效期</w:t>
            </w:r>
          </w:p>
        </w:tc>
        <w:tc>
          <w:tcPr>
            <w:tcW w:w="5477" w:type="dxa"/>
            <w:vAlign w:val="top"/>
          </w:tcPr>
          <w:p w14:paraId="6FB4F13D">
            <w:pPr>
              <w:spacing w:before="112" w:line="279" w:lineRule="auto"/>
              <w:ind w:left="812" w:right="161" w:hanging="643"/>
              <w:jc w:val="left"/>
              <w:rPr>
                <w:rFonts w:hint="eastAsia"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val="en-US" w:eastAsia="zh-CN"/>
              </w:rPr>
              <w:t>60</w:t>
            </w:r>
            <w:r>
              <w:rPr>
                <w:rFonts w:hint="eastAsia" w:ascii="宋体" w:hAnsi="宋体" w:eastAsia="宋体" w:cs="宋体"/>
                <w:color w:val="auto"/>
                <w:spacing w:val="8"/>
                <w:sz w:val="20"/>
                <w:szCs w:val="20"/>
                <w:lang w:eastAsia="zh-CN"/>
              </w:rPr>
              <w:t>日历天</w:t>
            </w:r>
          </w:p>
        </w:tc>
      </w:tr>
      <w:tr w14:paraId="5A9F4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3" w:hRule="atLeast"/>
        </w:trPr>
        <w:tc>
          <w:tcPr>
            <w:tcW w:w="1022" w:type="dxa"/>
            <w:vAlign w:val="top"/>
          </w:tcPr>
          <w:p w14:paraId="3C39AB7D">
            <w:pPr>
              <w:spacing w:line="251" w:lineRule="auto"/>
              <w:rPr>
                <w:rFonts w:ascii="Arial"/>
                <w:color w:val="auto"/>
                <w:sz w:val="21"/>
              </w:rPr>
            </w:pPr>
          </w:p>
          <w:p w14:paraId="111DCEBB">
            <w:pPr>
              <w:spacing w:line="251" w:lineRule="auto"/>
              <w:rPr>
                <w:rFonts w:ascii="Arial"/>
                <w:color w:val="auto"/>
                <w:sz w:val="21"/>
              </w:rPr>
            </w:pPr>
          </w:p>
          <w:p w14:paraId="18C2AC8D">
            <w:pPr>
              <w:spacing w:line="251" w:lineRule="auto"/>
              <w:rPr>
                <w:rFonts w:ascii="Arial"/>
                <w:color w:val="auto"/>
                <w:sz w:val="21"/>
              </w:rPr>
            </w:pPr>
          </w:p>
          <w:p w14:paraId="3E8145F9">
            <w:pPr>
              <w:spacing w:line="251" w:lineRule="auto"/>
              <w:rPr>
                <w:rFonts w:ascii="Arial"/>
                <w:color w:val="auto"/>
                <w:sz w:val="21"/>
              </w:rPr>
            </w:pPr>
          </w:p>
          <w:p w14:paraId="06D467AA">
            <w:pPr>
              <w:spacing w:line="251" w:lineRule="auto"/>
              <w:rPr>
                <w:rFonts w:ascii="Arial"/>
                <w:color w:val="auto"/>
                <w:sz w:val="21"/>
              </w:rPr>
            </w:pPr>
          </w:p>
          <w:p w14:paraId="6EAC37B6">
            <w:pPr>
              <w:spacing w:line="251" w:lineRule="auto"/>
              <w:rPr>
                <w:rFonts w:ascii="Arial"/>
                <w:color w:val="auto"/>
                <w:sz w:val="21"/>
              </w:rPr>
            </w:pPr>
          </w:p>
          <w:p w14:paraId="5F5CE7A7">
            <w:pPr>
              <w:spacing w:line="251" w:lineRule="auto"/>
              <w:rPr>
                <w:rFonts w:ascii="Arial"/>
                <w:color w:val="auto"/>
                <w:sz w:val="21"/>
              </w:rPr>
            </w:pPr>
          </w:p>
          <w:p w14:paraId="2954D1FC">
            <w:pPr>
              <w:spacing w:line="251" w:lineRule="auto"/>
              <w:rPr>
                <w:rFonts w:ascii="Arial"/>
                <w:color w:val="auto"/>
                <w:sz w:val="21"/>
              </w:rPr>
            </w:pPr>
          </w:p>
          <w:p w14:paraId="26B39226">
            <w:pPr>
              <w:spacing w:line="251" w:lineRule="auto"/>
              <w:rPr>
                <w:rFonts w:ascii="Arial"/>
                <w:color w:val="auto"/>
                <w:sz w:val="21"/>
              </w:rPr>
            </w:pPr>
          </w:p>
          <w:p w14:paraId="07AB02DB">
            <w:pPr>
              <w:spacing w:line="251" w:lineRule="auto"/>
              <w:rPr>
                <w:rFonts w:ascii="Arial"/>
                <w:color w:val="auto"/>
                <w:sz w:val="21"/>
              </w:rPr>
            </w:pPr>
          </w:p>
          <w:p w14:paraId="03563419">
            <w:pPr>
              <w:spacing w:line="251" w:lineRule="auto"/>
              <w:rPr>
                <w:rFonts w:ascii="Arial"/>
                <w:color w:val="auto"/>
                <w:sz w:val="21"/>
              </w:rPr>
            </w:pPr>
          </w:p>
          <w:p w14:paraId="5D8CA5CB">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.3.1</w:t>
            </w:r>
          </w:p>
        </w:tc>
        <w:tc>
          <w:tcPr>
            <w:tcW w:w="2632" w:type="dxa"/>
            <w:vAlign w:val="top"/>
          </w:tcPr>
          <w:p w14:paraId="03D8E44F">
            <w:pPr>
              <w:spacing w:line="248" w:lineRule="auto"/>
              <w:rPr>
                <w:rFonts w:ascii="Arial"/>
                <w:color w:val="auto"/>
                <w:sz w:val="21"/>
              </w:rPr>
            </w:pPr>
          </w:p>
          <w:p w14:paraId="16B3868D">
            <w:pPr>
              <w:spacing w:line="248" w:lineRule="auto"/>
              <w:rPr>
                <w:rFonts w:ascii="Arial"/>
                <w:color w:val="auto"/>
                <w:sz w:val="21"/>
              </w:rPr>
            </w:pPr>
          </w:p>
          <w:p w14:paraId="40651558">
            <w:pPr>
              <w:spacing w:line="248" w:lineRule="auto"/>
              <w:rPr>
                <w:rFonts w:ascii="Arial"/>
                <w:color w:val="auto"/>
                <w:sz w:val="21"/>
              </w:rPr>
            </w:pPr>
          </w:p>
          <w:p w14:paraId="08602328">
            <w:pPr>
              <w:spacing w:line="248" w:lineRule="auto"/>
              <w:rPr>
                <w:rFonts w:ascii="Arial"/>
                <w:color w:val="auto"/>
                <w:sz w:val="21"/>
              </w:rPr>
            </w:pPr>
          </w:p>
          <w:p w14:paraId="090CEDE4">
            <w:pPr>
              <w:spacing w:line="248" w:lineRule="auto"/>
              <w:rPr>
                <w:rFonts w:ascii="Arial"/>
                <w:color w:val="auto"/>
                <w:sz w:val="21"/>
              </w:rPr>
            </w:pPr>
          </w:p>
          <w:p w14:paraId="63020E77">
            <w:pPr>
              <w:spacing w:line="248" w:lineRule="auto"/>
              <w:rPr>
                <w:rFonts w:ascii="Arial"/>
                <w:color w:val="auto"/>
                <w:sz w:val="21"/>
              </w:rPr>
            </w:pPr>
          </w:p>
          <w:p w14:paraId="7248C5B1">
            <w:pPr>
              <w:spacing w:line="248" w:lineRule="auto"/>
              <w:rPr>
                <w:rFonts w:ascii="Arial"/>
                <w:color w:val="auto"/>
                <w:sz w:val="21"/>
              </w:rPr>
            </w:pPr>
          </w:p>
          <w:p w14:paraId="329E4D81">
            <w:pPr>
              <w:spacing w:line="248" w:lineRule="auto"/>
              <w:rPr>
                <w:rFonts w:ascii="Arial"/>
                <w:color w:val="auto"/>
                <w:sz w:val="21"/>
              </w:rPr>
            </w:pPr>
          </w:p>
          <w:p w14:paraId="7B617641">
            <w:pPr>
              <w:spacing w:line="248" w:lineRule="auto"/>
              <w:rPr>
                <w:rFonts w:ascii="Arial"/>
                <w:color w:val="auto"/>
                <w:sz w:val="21"/>
              </w:rPr>
            </w:pPr>
          </w:p>
          <w:p w14:paraId="4ED54CE9">
            <w:pPr>
              <w:spacing w:line="248" w:lineRule="auto"/>
              <w:rPr>
                <w:rFonts w:ascii="Arial"/>
                <w:color w:val="auto"/>
                <w:sz w:val="21"/>
              </w:rPr>
            </w:pPr>
          </w:p>
          <w:p w14:paraId="3BA88E2C">
            <w:pPr>
              <w:spacing w:line="249" w:lineRule="auto"/>
              <w:rPr>
                <w:rFonts w:ascii="Arial"/>
                <w:color w:val="auto"/>
                <w:sz w:val="21"/>
              </w:rPr>
            </w:pPr>
          </w:p>
          <w:p w14:paraId="429DA6AF">
            <w:pPr>
              <w:spacing w:before="65"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标保证金</w:t>
            </w:r>
          </w:p>
        </w:tc>
        <w:tc>
          <w:tcPr>
            <w:tcW w:w="5477" w:type="dxa"/>
            <w:vAlign w:val="top"/>
          </w:tcPr>
          <w:p w14:paraId="2665A12B">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投标保证金的形式：基本账户缴纳（保函（保函的期限不得少于投标有限期）、转账或电汇）</w:t>
            </w:r>
          </w:p>
          <w:p w14:paraId="48544746">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投标保证金的金额：人民币贰万伍仟元整</w:t>
            </w:r>
          </w:p>
          <w:p w14:paraId="611A4D5F">
            <w:pPr>
              <w:spacing w:before="112" w:line="279" w:lineRule="auto"/>
              <w:ind w:right="161" w:firstLine="1944" w:firstLineChars="900"/>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（小写：25000.00元）</w:t>
            </w:r>
          </w:p>
          <w:p w14:paraId="6645EEE5">
            <w:pPr>
              <w:spacing w:before="112" w:line="279" w:lineRule="auto"/>
              <w:ind w:right="161"/>
              <w:rPr>
                <w:rFonts w:hint="eastAsia" w:ascii="宋体" w:hAnsi="宋体" w:eastAsia="宋体" w:cs="宋体"/>
                <w:color w:val="auto"/>
                <w:spacing w:val="8"/>
                <w:sz w:val="20"/>
                <w:szCs w:val="20"/>
                <w:highlight w:val="green"/>
                <w:lang w:val="en-US" w:eastAsia="zh-CN"/>
              </w:rPr>
            </w:pPr>
            <w:r>
              <w:rPr>
                <w:rFonts w:hint="eastAsia" w:ascii="宋体" w:hAnsi="宋体" w:eastAsia="宋体" w:cs="宋体"/>
                <w:color w:val="auto"/>
                <w:spacing w:val="8"/>
                <w:sz w:val="20"/>
                <w:szCs w:val="20"/>
                <w:lang w:val="en-US" w:eastAsia="zh-CN"/>
              </w:rPr>
              <w:t>递交投标保证金的截止时间：</w:t>
            </w:r>
            <w:r>
              <w:rPr>
                <w:rFonts w:hint="eastAsia" w:ascii="宋体" w:hAnsi="宋体" w:eastAsia="宋体" w:cs="宋体"/>
                <w:color w:val="auto"/>
                <w:spacing w:val="8"/>
                <w:sz w:val="20"/>
                <w:szCs w:val="20"/>
                <w:highlight w:val="none"/>
                <w:lang w:val="en-US" w:eastAsia="zh-CN"/>
              </w:rPr>
              <w:t>2025年03月21日16点00分</w:t>
            </w:r>
          </w:p>
          <w:p w14:paraId="41BAAB55">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接收投标保证金的账户信息：</w:t>
            </w:r>
          </w:p>
          <w:p w14:paraId="1685260B">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 xml:space="preserve">开户名称：新疆瀚展博源项目管理有限公司     </w:t>
            </w:r>
          </w:p>
          <w:p w14:paraId="594576F5">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开户行：中国农业发展银行阿勒泰地区分行营业部</w:t>
            </w:r>
          </w:p>
          <w:p w14:paraId="33738963">
            <w:pPr>
              <w:spacing w:before="112" w:line="279" w:lineRule="auto"/>
              <w:ind w:right="161"/>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账  号：20365439900100000876741</w:t>
            </w:r>
          </w:p>
          <w:p w14:paraId="2A955678">
            <w:pPr>
              <w:spacing w:before="112" w:line="279" w:lineRule="auto"/>
              <w:ind w:right="161"/>
              <w:rPr>
                <w:rFonts w:hint="default"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行  号：203902009105</w:t>
            </w:r>
          </w:p>
          <w:p w14:paraId="3916CE09">
            <w:pPr>
              <w:spacing w:before="112" w:line="279" w:lineRule="auto"/>
              <w:ind w:right="161"/>
              <w:rPr>
                <w:rFonts w:ascii="宋体" w:hAnsi="宋体" w:eastAsia="宋体" w:cs="宋体"/>
                <w:color w:val="auto"/>
                <w:sz w:val="20"/>
                <w:szCs w:val="20"/>
              </w:rPr>
            </w:pPr>
            <w:r>
              <w:rPr>
                <w:rFonts w:hint="eastAsia" w:ascii="宋体" w:hAnsi="宋体" w:eastAsia="宋体" w:cs="宋体"/>
                <w:b/>
                <w:bCs/>
                <w:color w:val="auto"/>
                <w:spacing w:val="8"/>
                <w:sz w:val="20"/>
                <w:szCs w:val="20"/>
                <w:lang w:val="en-US" w:eastAsia="zh-CN"/>
              </w:rPr>
              <w:t>注：递交投标保证金时请注明项目名称、编号(或简写)。</w:t>
            </w:r>
          </w:p>
        </w:tc>
      </w:tr>
      <w:tr w14:paraId="35DAC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32A15E57">
            <w:pPr>
              <w:spacing w:before="142" w:line="190" w:lineRule="auto"/>
              <w:ind w:left="256"/>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.3.2</w:t>
            </w:r>
          </w:p>
        </w:tc>
        <w:tc>
          <w:tcPr>
            <w:tcW w:w="2632" w:type="dxa"/>
            <w:vAlign w:val="top"/>
          </w:tcPr>
          <w:p w14:paraId="1D7C6B2C">
            <w:pPr>
              <w:spacing w:before="109" w:line="228" w:lineRule="auto"/>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年财务状况的年份要求</w:t>
            </w:r>
          </w:p>
        </w:tc>
        <w:tc>
          <w:tcPr>
            <w:tcW w:w="5477" w:type="dxa"/>
            <w:vAlign w:val="top"/>
          </w:tcPr>
          <w:p w14:paraId="0F69BAB3">
            <w:pPr>
              <w:spacing w:before="108" w:line="228" w:lineRule="auto"/>
              <w:ind w:left="115"/>
              <w:rPr>
                <w:rFonts w:hint="default" w:ascii="宋体" w:hAnsi="宋体" w:eastAsia="宋体" w:cs="宋体"/>
                <w:color w:val="auto"/>
                <w:sz w:val="20"/>
                <w:szCs w:val="20"/>
                <w:lang w:val="en-US" w:eastAsia="zh-CN"/>
              </w:rPr>
            </w:pPr>
            <w:r>
              <w:rPr>
                <w:rFonts w:ascii="宋体" w:hAnsi="宋体" w:eastAsia="宋体" w:cs="宋体"/>
                <w:color w:val="auto"/>
                <w:spacing w:val="1"/>
                <w:sz w:val="20"/>
                <w:szCs w:val="20"/>
              </w:rPr>
              <w:t>提供</w:t>
            </w:r>
            <w:r>
              <w:rPr>
                <w:rFonts w:hint="eastAsia" w:ascii="宋体" w:hAnsi="宋体" w:eastAsia="宋体" w:cs="宋体"/>
                <w:color w:val="auto"/>
                <w:sz w:val="20"/>
                <w:szCs w:val="20"/>
                <w:lang w:val="en-US" w:eastAsia="zh-CN"/>
              </w:rPr>
              <w:t>2023年度</w:t>
            </w:r>
            <w:r>
              <w:rPr>
                <w:rFonts w:ascii="宋体" w:hAnsi="宋体" w:eastAsia="宋体" w:cs="宋体"/>
                <w:color w:val="auto"/>
                <w:sz w:val="20"/>
                <w:szCs w:val="20"/>
              </w:rPr>
              <w:t>的</w:t>
            </w:r>
            <w:r>
              <w:rPr>
                <w:rFonts w:hint="eastAsia" w:ascii="宋体" w:hAnsi="宋体" w:eastAsia="宋体" w:cs="宋体"/>
                <w:color w:val="auto"/>
                <w:sz w:val="20"/>
                <w:szCs w:val="20"/>
                <w:lang w:val="en-US" w:eastAsia="zh-CN"/>
              </w:rPr>
              <w:t>经审计的财务报告，对新成立公司不适用（</w:t>
            </w:r>
            <w:r>
              <w:rPr>
                <w:rFonts w:hint="eastAsia" w:ascii="宋体" w:hAnsi="宋体" w:eastAsia="宋体" w:cs="宋体"/>
                <w:color w:val="auto"/>
                <w:spacing w:val="18"/>
                <w:sz w:val="20"/>
                <w:szCs w:val="20"/>
                <w:lang w:val="en-US" w:eastAsia="zh-CN"/>
              </w:rPr>
              <w:t>新成立的公司可不提供财务报表但需提供银行出具的近三个月的资信证明</w:t>
            </w:r>
            <w:r>
              <w:rPr>
                <w:rFonts w:hint="eastAsia" w:ascii="宋体" w:hAnsi="宋体" w:eastAsia="宋体" w:cs="宋体"/>
                <w:color w:val="auto"/>
                <w:sz w:val="20"/>
                <w:szCs w:val="20"/>
                <w:lang w:val="en-US" w:eastAsia="zh-CN"/>
              </w:rPr>
              <w:t>）</w:t>
            </w:r>
          </w:p>
        </w:tc>
      </w:tr>
      <w:tr w14:paraId="4395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48B3E860">
            <w:pPr>
              <w:spacing w:before="142" w:line="190" w:lineRule="auto"/>
              <w:ind w:left="256"/>
              <w:rPr>
                <w:rFonts w:ascii="宋体" w:hAnsi="宋体" w:eastAsia="宋体" w:cs="宋体"/>
                <w:color w:val="auto"/>
                <w:sz w:val="20"/>
                <w:szCs w:val="20"/>
              </w:rPr>
            </w:pPr>
            <w:r>
              <w:rPr>
                <w:rFonts w:ascii="宋体" w:hAnsi="宋体" w:eastAsia="宋体" w:cs="宋体"/>
                <w:color w:val="auto"/>
                <w:spacing w:val="4"/>
                <w:sz w:val="20"/>
                <w:szCs w:val="20"/>
              </w:rPr>
              <w:t>3.3.3</w:t>
            </w:r>
          </w:p>
        </w:tc>
        <w:tc>
          <w:tcPr>
            <w:tcW w:w="2632" w:type="dxa"/>
            <w:vAlign w:val="top"/>
          </w:tcPr>
          <w:p w14:paraId="40C74677">
            <w:pPr>
              <w:spacing w:before="109" w:line="228" w:lineRule="auto"/>
              <w:rPr>
                <w:rFonts w:ascii="宋体" w:hAnsi="宋体" w:eastAsia="宋体" w:cs="宋体"/>
                <w:color w:val="auto"/>
                <w:sz w:val="20"/>
                <w:szCs w:val="20"/>
              </w:rPr>
            </w:pPr>
            <w:r>
              <w:rPr>
                <w:rFonts w:ascii="宋体" w:hAnsi="宋体" w:eastAsia="宋体" w:cs="宋体"/>
                <w:color w:val="auto"/>
                <w:spacing w:val="11"/>
                <w:sz w:val="20"/>
                <w:szCs w:val="20"/>
              </w:rPr>
              <w:t>近</w:t>
            </w:r>
            <w:r>
              <w:rPr>
                <w:rFonts w:hint="eastAsia" w:ascii="宋体" w:hAnsi="宋体" w:eastAsia="宋体" w:cs="宋体"/>
                <w:color w:val="auto"/>
                <w:spacing w:val="11"/>
                <w:sz w:val="20"/>
                <w:szCs w:val="20"/>
                <w:lang w:val="en-US" w:eastAsia="zh-CN"/>
              </w:rPr>
              <w:t>三</w:t>
            </w:r>
            <w:r>
              <w:rPr>
                <w:rFonts w:ascii="宋体" w:hAnsi="宋体" w:eastAsia="宋体" w:cs="宋体"/>
                <w:color w:val="auto"/>
                <w:spacing w:val="9"/>
                <w:sz w:val="20"/>
                <w:szCs w:val="20"/>
              </w:rPr>
              <w:t>年类似项目的年份要求</w:t>
            </w:r>
          </w:p>
        </w:tc>
        <w:tc>
          <w:tcPr>
            <w:tcW w:w="5477" w:type="dxa"/>
            <w:vAlign w:val="top"/>
          </w:tcPr>
          <w:p w14:paraId="286C60DE">
            <w:pPr>
              <w:spacing w:before="108" w:line="228" w:lineRule="auto"/>
              <w:ind w:left="113"/>
              <w:rPr>
                <w:rFonts w:hint="eastAsia" w:ascii="宋体" w:hAnsi="宋体" w:eastAsia="宋体" w:cs="宋体"/>
                <w:color w:val="auto"/>
                <w:sz w:val="20"/>
                <w:szCs w:val="20"/>
                <w:lang w:eastAsia="zh-CN"/>
              </w:rPr>
            </w:pPr>
            <w:r>
              <w:rPr>
                <w:rFonts w:ascii="宋体" w:hAnsi="宋体" w:eastAsia="宋体" w:cs="宋体"/>
                <w:color w:val="auto"/>
                <w:spacing w:val="6"/>
                <w:sz w:val="20"/>
                <w:szCs w:val="20"/>
              </w:rPr>
              <w:t>20</w:t>
            </w:r>
            <w:r>
              <w:rPr>
                <w:rFonts w:ascii="宋体" w:hAnsi="宋体" w:eastAsia="宋体" w:cs="宋体"/>
                <w:color w:val="auto"/>
                <w:spacing w:val="5"/>
                <w:sz w:val="20"/>
                <w:szCs w:val="20"/>
              </w:rPr>
              <w:t>2</w:t>
            </w:r>
            <w:r>
              <w:rPr>
                <w:rFonts w:hint="eastAsia" w:ascii="宋体" w:hAnsi="宋体" w:eastAsia="宋体" w:cs="宋体"/>
                <w:color w:val="auto"/>
                <w:spacing w:val="5"/>
                <w:sz w:val="20"/>
                <w:szCs w:val="20"/>
                <w:lang w:val="en-US" w:eastAsia="zh-CN"/>
              </w:rPr>
              <w:t>1</w:t>
            </w:r>
            <w:r>
              <w:rPr>
                <w:rFonts w:ascii="宋体" w:hAnsi="宋体" w:eastAsia="宋体" w:cs="宋体"/>
                <w:color w:val="auto"/>
                <w:spacing w:val="3"/>
                <w:sz w:val="20"/>
                <w:szCs w:val="20"/>
              </w:rPr>
              <w:t>年-</w:t>
            </w:r>
            <w:r>
              <w:rPr>
                <w:rFonts w:hint="eastAsia" w:ascii="宋体" w:hAnsi="宋体" w:eastAsia="宋体" w:cs="宋体"/>
                <w:color w:val="auto"/>
                <w:spacing w:val="3"/>
                <w:sz w:val="20"/>
                <w:szCs w:val="20"/>
                <w:lang w:val="en-US" w:eastAsia="zh-CN"/>
              </w:rPr>
              <w:t>至今</w:t>
            </w:r>
            <w:r>
              <w:rPr>
                <w:rFonts w:ascii="宋体" w:hAnsi="宋体" w:eastAsia="宋体" w:cs="宋体"/>
                <w:color w:val="FF0000"/>
                <w:spacing w:val="3"/>
                <w:sz w:val="20"/>
                <w:szCs w:val="20"/>
              </w:rPr>
              <w:t xml:space="preserve"> </w:t>
            </w:r>
            <w:r>
              <w:rPr>
                <w:rFonts w:ascii="宋体" w:hAnsi="宋体" w:eastAsia="宋体" w:cs="宋体"/>
                <w:color w:val="auto"/>
                <w:spacing w:val="3"/>
                <w:sz w:val="20"/>
                <w:szCs w:val="20"/>
              </w:rPr>
              <w:t>(附</w:t>
            </w:r>
            <w:r>
              <w:rPr>
                <w:rFonts w:hint="eastAsia" w:ascii="宋体" w:hAnsi="宋体" w:eastAsia="宋体" w:cs="宋体"/>
                <w:bCs w:val="0"/>
                <w:snapToGrid w:val="0"/>
                <w:color w:val="auto"/>
                <w:spacing w:val="13"/>
                <w:kern w:val="0"/>
                <w:sz w:val="20"/>
                <w:szCs w:val="20"/>
                <w:highlight w:val="none"/>
              </w:rPr>
              <w:t>成交通知书或中标通知书、合同</w:t>
            </w:r>
            <w:r>
              <w:rPr>
                <w:rFonts w:hint="eastAsia" w:ascii="宋体" w:hAnsi="宋体" w:cs="宋体"/>
                <w:bCs w:val="0"/>
                <w:snapToGrid w:val="0"/>
                <w:color w:val="auto"/>
                <w:spacing w:val="13"/>
                <w:kern w:val="0"/>
                <w:sz w:val="20"/>
                <w:szCs w:val="20"/>
                <w:highlight w:val="none"/>
                <w:lang w:val="en-US" w:eastAsia="zh-CN"/>
              </w:rPr>
              <w:t>协议书及</w:t>
            </w:r>
            <w:r>
              <w:rPr>
                <w:rFonts w:hint="eastAsia" w:ascii="宋体" w:hAnsi="宋体" w:eastAsia="宋体" w:cs="宋体"/>
                <w:bCs w:val="0"/>
                <w:snapToGrid w:val="0"/>
                <w:color w:val="auto"/>
                <w:spacing w:val="13"/>
                <w:kern w:val="0"/>
                <w:sz w:val="20"/>
                <w:szCs w:val="20"/>
                <w:highlight w:val="none"/>
              </w:rPr>
              <w:t>竣工验收</w:t>
            </w:r>
            <w:r>
              <w:rPr>
                <w:rFonts w:hint="eastAsia" w:ascii="宋体" w:hAnsi="宋体" w:cs="宋体"/>
                <w:bCs w:val="0"/>
                <w:snapToGrid w:val="0"/>
                <w:color w:val="auto"/>
                <w:spacing w:val="13"/>
                <w:kern w:val="0"/>
                <w:sz w:val="20"/>
                <w:szCs w:val="20"/>
                <w:highlight w:val="none"/>
                <w:lang w:val="en-US" w:eastAsia="zh-CN"/>
              </w:rPr>
              <w:t>报告或完工证明</w:t>
            </w:r>
            <w:r>
              <w:rPr>
                <w:rFonts w:hint="eastAsia" w:ascii="Calibri" w:hAnsi="Calibri" w:eastAsia="宋体" w:cs="Times New Roman"/>
                <w:color w:val="auto"/>
                <w:kern w:val="2"/>
                <w:sz w:val="20"/>
                <w:szCs w:val="22"/>
                <w:highlight w:val="white"/>
                <w:lang w:val="en-US" w:eastAsia="zh-CN" w:bidi="ar-SA"/>
              </w:rPr>
              <w:t>，以合同签订日期为准</w:t>
            </w:r>
            <w:r>
              <w:rPr>
                <w:rFonts w:ascii="宋体" w:hAnsi="宋体" w:eastAsia="宋体" w:cs="宋体"/>
                <w:color w:val="auto"/>
                <w:spacing w:val="3"/>
                <w:sz w:val="20"/>
                <w:szCs w:val="20"/>
              </w:rPr>
              <w:t>)</w:t>
            </w:r>
            <w:r>
              <w:rPr>
                <w:rFonts w:hint="eastAsia" w:ascii="宋体" w:hAnsi="宋体" w:eastAsia="宋体" w:cs="宋体"/>
                <w:color w:val="auto"/>
                <w:spacing w:val="3"/>
                <w:sz w:val="20"/>
                <w:szCs w:val="20"/>
                <w:lang w:eastAsia="zh-CN"/>
              </w:rPr>
              <w:t>，</w:t>
            </w:r>
            <w:r>
              <w:rPr>
                <w:rFonts w:hint="eastAsia" w:ascii="宋体" w:hAnsi="宋体" w:eastAsia="宋体" w:cs="宋体"/>
                <w:color w:val="auto"/>
                <w:sz w:val="20"/>
                <w:szCs w:val="20"/>
                <w:lang w:val="en-US" w:eastAsia="zh-CN"/>
              </w:rPr>
              <w:t>对新成立公司不适用</w:t>
            </w:r>
          </w:p>
        </w:tc>
      </w:tr>
      <w:tr w14:paraId="24583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657F480">
            <w:pPr>
              <w:spacing w:line="254" w:lineRule="auto"/>
              <w:rPr>
                <w:rFonts w:ascii="Arial"/>
                <w:color w:val="auto"/>
                <w:sz w:val="21"/>
              </w:rPr>
            </w:pPr>
          </w:p>
          <w:p w14:paraId="173E3023">
            <w:pPr>
              <w:spacing w:before="65" w:line="191" w:lineRule="auto"/>
              <w:ind w:left="256"/>
              <w:rPr>
                <w:rFonts w:ascii="宋体" w:hAnsi="宋体" w:eastAsia="宋体" w:cs="宋体"/>
                <w:color w:val="auto"/>
                <w:sz w:val="20"/>
                <w:szCs w:val="20"/>
              </w:rPr>
            </w:pPr>
            <w:r>
              <w:rPr>
                <w:rFonts w:ascii="宋体" w:hAnsi="宋体" w:eastAsia="宋体" w:cs="宋体"/>
                <w:color w:val="auto"/>
                <w:spacing w:val="7"/>
                <w:sz w:val="20"/>
                <w:szCs w:val="20"/>
              </w:rPr>
              <w:t>3</w:t>
            </w:r>
            <w:r>
              <w:rPr>
                <w:rFonts w:ascii="宋体" w:hAnsi="宋体" w:eastAsia="宋体" w:cs="宋体"/>
                <w:color w:val="auto"/>
                <w:spacing w:val="6"/>
                <w:sz w:val="20"/>
                <w:szCs w:val="20"/>
              </w:rPr>
              <w:t>.4</w:t>
            </w:r>
          </w:p>
        </w:tc>
        <w:tc>
          <w:tcPr>
            <w:tcW w:w="2632" w:type="dxa"/>
            <w:vAlign w:val="top"/>
          </w:tcPr>
          <w:p w14:paraId="75B1D54E">
            <w:pPr>
              <w:spacing w:before="109" w:line="280" w:lineRule="auto"/>
              <w:ind w:left="690" w:right="159" w:hanging="52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年发生的诉讼及仲裁情</w:t>
            </w:r>
            <w:r>
              <w:rPr>
                <w:rFonts w:ascii="宋体" w:hAnsi="宋体" w:eastAsia="宋体" w:cs="宋体"/>
                <w:color w:val="auto"/>
                <w:spacing w:val="10"/>
                <w:sz w:val="20"/>
                <w:szCs w:val="20"/>
              </w:rPr>
              <w:t>况</w:t>
            </w:r>
            <w:r>
              <w:rPr>
                <w:rFonts w:ascii="宋体" w:hAnsi="宋体" w:eastAsia="宋体" w:cs="宋体"/>
                <w:color w:val="auto"/>
                <w:spacing w:val="8"/>
                <w:sz w:val="20"/>
                <w:szCs w:val="20"/>
              </w:rPr>
              <w:t>的年份要求</w:t>
            </w:r>
          </w:p>
        </w:tc>
        <w:tc>
          <w:tcPr>
            <w:tcW w:w="5477" w:type="dxa"/>
            <w:vAlign w:val="top"/>
          </w:tcPr>
          <w:p w14:paraId="5531EF43">
            <w:pPr>
              <w:spacing w:before="288" w:line="228" w:lineRule="auto"/>
              <w:ind w:left="113"/>
              <w:rPr>
                <w:rFonts w:ascii="宋体" w:hAnsi="宋体" w:eastAsia="宋体" w:cs="宋体"/>
                <w:color w:val="auto"/>
                <w:sz w:val="20"/>
                <w:szCs w:val="20"/>
              </w:rPr>
            </w:pPr>
            <w:r>
              <w:rPr>
                <w:rFonts w:ascii="宋体" w:hAnsi="宋体" w:eastAsia="宋体" w:cs="宋体"/>
                <w:color w:val="auto"/>
                <w:spacing w:val="1"/>
                <w:sz w:val="20"/>
                <w:szCs w:val="20"/>
              </w:rPr>
              <w:t>近三年，202</w:t>
            </w:r>
            <w:r>
              <w:rPr>
                <w:rFonts w:hint="eastAsia" w:ascii="宋体" w:hAnsi="宋体" w:eastAsia="宋体" w:cs="宋体"/>
                <w:color w:val="auto"/>
                <w:spacing w:val="1"/>
                <w:sz w:val="20"/>
                <w:szCs w:val="20"/>
                <w:lang w:val="en-US" w:eastAsia="zh-CN"/>
              </w:rPr>
              <w:t>1</w:t>
            </w:r>
            <w:r>
              <w:rPr>
                <w:rFonts w:ascii="宋体" w:hAnsi="宋体" w:eastAsia="宋体" w:cs="宋体"/>
                <w:color w:val="auto"/>
                <w:spacing w:val="1"/>
                <w:sz w:val="20"/>
                <w:szCs w:val="20"/>
              </w:rPr>
              <w:t>年</w:t>
            </w:r>
            <w:r>
              <w:rPr>
                <w:rFonts w:ascii="宋体" w:hAnsi="宋体" w:eastAsia="宋体" w:cs="宋体"/>
                <w:color w:val="auto"/>
                <w:sz w:val="20"/>
                <w:szCs w:val="20"/>
              </w:rPr>
              <w:t>-202</w:t>
            </w:r>
            <w:r>
              <w:rPr>
                <w:rFonts w:hint="eastAsia" w:ascii="宋体" w:hAnsi="宋体" w:eastAsia="宋体" w:cs="宋体"/>
                <w:color w:val="auto"/>
                <w:sz w:val="20"/>
                <w:szCs w:val="20"/>
                <w:lang w:val="en-US" w:eastAsia="zh-CN"/>
              </w:rPr>
              <w:t>3</w:t>
            </w:r>
            <w:r>
              <w:rPr>
                <w:rFonts w:ascii="宋体" w:hAnsi="宋体" w:eastAsia="宋体" w:cs="宋体"/>
                <w:color w:val="auto"/>
                <w:sz w:val="20"/>
                <w:szCs w:val="20"/>
              </w:rPr>
              <w:t>年度</w:t>
            </w:r>
          </w:p>
        </w:tc>
      </w:tr>
    </w:tbl>
    <w:tbl>
      <w:tblPr>
        <w:tblStyle w:val="17"/>
        <w:tblpPr w:leftFromText="180" w:rightFromText="180" w:vertAnchor="text" w:horzAnchor="page" w:tblpX="1500" w:tblpY="22"/>
        <w:tblOverlap w:val="never"/>
        <w:tblW w:w="91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46CC1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BCACB74">
            <w:pPr>
              <w:spacing w:line="257" w:lineRule="auto"/>
              <w:rPr>
                <w:rFonts w:ascii="Arial"/>
                <w:color w:val="auto"/>
                <w:sz w:val="21"/>
              </w:rPr>
            </w:pPr>
          </w:p>
          <w:p w14:paraId="0BE48E78">
            <w:pPr>
              <w:spacing w:before="65" w:line="190" w:lineRule="auto"/>
              <w:ind w:left="362"/>
              <w:rPr>
                <w:rFonts w:ascii="宋体" w:hAnsi="宋体" w:eastAsia="宋体" w:cs="宋体"/>
                <w:color w:val="auto"/>
                <w:sz w:val="20"/>
                <w:szCs w:val="20"/>
              </w:rPr>
            </w:pPr>
            <w:r>
              <w:rPr>
                <w:rFonts w:ascii="宋体" w:hAnsi="宋体" w:eastAsia="宋体" w:cs="宋体"/>
                <w:color w:val="auto"/>
                <w:spacing w:val="5"/>
                <w:sz w:val="20"/>
                <w:szCs w:val="20"/>
              </w:rPr>
              <w:t>3</w:t>
            </w:r>
            <w:r>
              <w:rPr>
                <w:rFonts w:ascii="宋体" w:hAnsi="宋体" w:eastAsia="宋体" w:cs="宋体"/>
                <w:color w:val="auto"/>
                <w:spacing w:val="3"/>
                <w:sz w:val="20"/>
                <w:szCs w:val="20"/>
              </w:rPr>
              <w:t>.5</w:t>
            </w:r>
          </w:p>
        </w:tc>
        <w:tc>
          <w:tcPr>
            <w:tcW w:w="2632" w:type="dxa"/>
            <w:vAlign w:val="top"/>
          </w:tcPr>
          <w:p w14:paraId="0AA42376">
            <w:pPr>
              <w:spacing w:before="109" w:line="281" w:lineRule="auto"/>
              <w:ind w:left="1217" w:right="161" w:hanging="1047"/>
              <w:rPr>
                <w:rFonts w:ascii="宋体" w:hAnsi="宋体" w:eastAsia="宋体" w:cs="宋体"/>
                <w:color w:val="auto"/>
                <w:sz w:val="20"/>
                <w:szCs w:val="20"/>
              </w:rPr>
            </w:pPr>
            <w:r>
              <w:rPr>
                <w:rFonts w:ascii="宋体" w:hAnsi="宋体" w:eastAsia="宋体" w:cs="宋体"/>
                <w:color w:val="auto"/>
                <w:spacing w:val="15"/>
                <w:sz w:val="20"/>
                <w:szCs w:val="20"/>
              </w:rPr>
              <w:t>是</w:t>
            </w:r>
            <w:r>
              <w:rPr>
                <w:rFonts w:ascii="宋体" w:hAnsi="宋体" w:eastAsia="宋体" w:cs="宋体"/>
                <w:color w:val="auto"/>
                <w:spacing w:val="8"/>
                <w:sz w:val="20"/>
                <w:szCs w:val="20"/>
              </w:rPr>
              <w:t>否允许递交备选投标方</w:t>
            </w:r>
            <w:r>
              <w:rPr>
                <w:rFonts w:ascii="宋体" w:hAnsi="宋体" w:eastAsia="宋体" w:cs="宋体"/>
                <w:color w:val="auto"/>
                <w:sz w:val="20"/>
                <w:szCs w:val="20"/>
              </w:rPr>
              <w:t xml:space="preserve"> 案</w:t>
            </w:r>
          </w:p>
        </w:tc>
        <w:tc>
          <w:tcPr>
            <w:tcW w:w="5477" w:type="dxa"/>
            <w:vAlign w:val="top"/>
          </w:tcPr>
          <w:p w14:paraId="42A3CBC0">
            <w:pPr>
              <w:spacing w:before="110"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57D0DE58">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711C2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779E4BED">
            <w:pPr>
              <w:spacing w:line="255" w:lineRule="auto"/>
              <w:rPr>
                <w:rFonts w:ascii="Arial"/>
                <w:color w:val="auto"/>
                <w:sz w:val="21"/>
              </w:rPr>
            </w:pPr>
          </w:p>
          <w:p w14:paraId="6AE2293B">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.6.1</w:t>
            </w:r>
          </w:p>
        </w:tc>
        <w:tc>
          <w:tcPr>
            <w:tcW w:w="2632" w:type="dxa"/>
            <w:vAlign w:val="top"/>
          </w:tcPr>
          <w:p w14:paraId="23F21B9C">
            <w:pPr>
              <w:spacing w:before="289" w:line="228" w:lineRule="auto"/>
              <w:jc w:val="center"/>
              <w:rPr>
                <w:rFonts w:ascii="宋体" w:hAnsi="宋体" w:eastAsia="宋体" w:cs="宋体"/>
                <w:color w:val="auto"/>
                <w:sz w:val="20"/>
                <w:szCs w:val="20"/>
              </w:rPr>
            </w:pPr>
            <w:r>
              <w:rPr>
                <w:rFonts w:hint="eastAsia" w:ascii="宋体" w:hAnsi="宋体" w:eastAsia="宋体" w:cs="宋体"/>
                <w:color w:val="auto"/>
                <w:sz w:val="20"/>
                <w:szCs w:val="20"/>
                <w:lang w:eastAsia="zh-CN"/>
              </w:rPr>
              <w:t>招标代理费</w:t>
            </w:r>
          </w:p>
        </w:tc>
        <w:tc>
          <w:tcPr>
            <w:tcW w:w="5477" w:type="dxa"/>
            <w:vAlign w:val="top"/>
          </w:tcPr>
          <w:p w14:paraId="32C4F14E">
            <w:pPr>
              <w:spacing w:before="113" w:line="225" w:lineRule="auto"/>
              <w:ind w:left="118"/>
              <w:rPr>
                <w:rFonts w:ascii="宋体" w:hAnsi="宋体" w:eastAsia="宋体" w:cs="宋体"/>
                <w:color w:val="auto"/>
                <w:sz w:val="20"/>
                <w:szCs w:val="20"/>
              </w:rPr>
            </w:pPr>
            <w:r>
              <w:rPr>
                <w:rFonts w:hint="eastAsia" w:ascii="宋体" w:hAnsi="宋体" w:eastAsia="宋体" w:cs="宋体"/>
                <w:color w:val="auto"/>
                <w:spacing w:val="9"/>
                <w:sz w:val="20"/>
                <w:szCs w:val="20"/>
                <w:lang w:val="zh-CN" w:eastAsia="zh-CN"/>
              </w:rPr>
              <w:t>中标服务费由中标人在领取《中标通知书》前向采购代理机构一次性支付。</w:t>
            </w:r>
            <w:r>
              <w:rPr>
                <w:rFonts w:hint="eastAsia" w:ascii="宋体" w:hAnsi="宋体" w:eastAsia="宋体" w:cs="宋体"/>
                <w:color w:val="auto"/>
                <w:spacing w:val="9"/>
                <w:sz w:val="20"/>
                <w:szCs w:val="20"/>
                <w:lang w:val="en-US" w:eastAsia="zh-CN"/>
              </w:rPr>
              <w:t>(</w:t>
            </w:r>
            <w:r>
              <w:rPr>
                <w:rFonts w:hint="eastAsia" w:ascii="宋体" w:hAnsi="宋体" w:eastAsia="宋体" w:cs="宋体"/>
                <w:color w:val="auto"/>
                <w:spacing w:val="9"/>
                <w:sz w:val="20"/>
                <w:szCs w:val="20"/>
                <w:lang w:val="zh-CN" w:eastAsia="zh-CN"/>
              </w:rPr>
              <w:t>收费标准新建招协[2024]4号参照工程</w:t>
            </w:r>
            <w:r>
              <w:rPr>
                <w:rFonts w:hint="eastAsia" w:ascii="宋体" w:hAnsi="宋体" w:eastAsia="宋体" w:cs="宋体"/>
                <w:color w:val="auto"/>
                <w:spacing w:val="9"/>
                <w:sz w:val="20"/>
                <w:szCs w:val="20"/>
                <w:lang w:val="en-US" w:eastAsia="zh-CN"/>
              </w:rPr>
              <w:t>中标价的</w:t>
            </w:r>
            <w:r>
              <w:rPr>
                <w:rFonts w:hint="eastAsia" w:ascii="宋体" w:hAnsi="宋体" w:eastAsia="宋体" w:cs="宋体"/>
                <w:color w:val="auto"/>
                <w:spacing w:val="9"/>
                <w:sz w:val="20"/>
                <w:szCs w:val="20"/>
                <w:lang w:val="zh-CN" w:eastAsia="zh-CN"/>
              </w:rPr>
              <w:t>：100万以下</w:t>
            </w:r>
            <w:r>
              <w:rPr>
                <w:rFonts w:hint="eastAsia" w:ascii="宋体" w:hAnsi="宋体" w:eastAsia="宋体" w:cs="宋体"/>
                <w:color w:val="auto"/>
                <w:spacing w:val="9"/>
                <w:sz w:val="20"/>
                <w:szCs w:val="20"/>
                <w:lang w:val="en-US" w:eastAsia="zh-CN"/>
              </w:rPr>
              <w:t>部分的</w:t>
            </w:r>
            <w:r>
              <w:rPr>
                <w:rFonts w:hint="eastAsia" w:ascii="宋体" w:hAnsi="宋体" w:eastAsia="宋体" w:cs="宋体"/>
                <w:color w:val="auto"/>
                <w:spacing w:val="9"/>
                <w:sz w:val="20"/>
                <w:szCs w:val="20"/>
                <w:lang w:val="zh-CN" w:eastAsia="zh-CN"/>
              </w:rPr>
              <w:t>1</w:t>
            </w:r>
            <w:r>
              <w:rPr>
                <w:rFonts w:hint="eastAsia" w:ascii="宋体" w:hAnsi="宋体" w:eastAsia="宋体" w:cs="宋体"/>
                <w:color w:val="auto"/>
                <w:spacing w:val="9"/>
                <w:sz w:val="20"/>
                <w:szCs w:val="20"/>
                <w:lang w:val="en-US" w:eastAsia="zh-CN"/>
              </w:rPr>
              <w:t>.05</w:t>
            </w:r>
            <w:r>
              <w:rPr>
                <w:rFonts w:hint="eastAsia" w:ascii="宋体" w:hAnsi="宋体" w:eastAsia="宋体" w:cs="宋体"/>
                <w:color w:val="auto"/>
                <w:spacing w:val="9"/>
                <w:sz w:val="20"/>
                <w:szCs w:val="20"/>
                <w:lang w:val="zh-CN" w:eastAsia="zh-CN"/>
              </w:rPr>
              <w:t>%</w:t>
            </w:r>
            <w:r>
              <w:rPr>
                <w:rFonts w:hint="eastAsia" w:ascii="宋体" w:hAnsi="宋体" w:eastAsia="宋体" w:cs="宋体"/>
                <w:color w:val="auto"/>
                <w:spacing w:val="9"/>
                <w:sz w:val="20"/>
                <w:szCs w:val="20"/>
                <w:lang w:val="en-US" w:eastAsia="zh-CN"/>
              </w:rPr>
              <w:t>+</w:t>
            </w:r>
            <w:r>
              <w:rPr>
                <w:rFonts w:hint="eastAsia" w:ascii="宋体" w:hAnsi="宋体" w:eastAsia="宋体" w:cs="宋体"/>
                <w:color w:val="auto"/>
                <w:spacing w:val="9"/>
                <w:sz w:val="20"/>
                <w:szCs w:val="20"/>
                <w:lang w:val="zh-CN" w:eastAsia="zh-CN"/>
              </w:rPr>
              <w:t>100</w:t>
            </w:r>
            <w:r>
              <w:rPr>
                <w:rFonts w:hint="eastAsia" w:ascii="宋体" w:hAnsi="宋体" w:eastAsia="宋体" w:cs="宋体"/>
                <w:color w:val="auto"/>
                <w:spacing w:val="9"/>
                <w:sz w:val="20"/>
                <w:szCs w:val="20"/>
                <w:lang w:val="en-US" w:eastAsia="zh-CN"/>
              </w:rPr>
              <w:t>至</w:t>
            </w:r>
            <w:r>
              <w:rPr>
                <w:rFonts w:hint="eastAsia" w:ascii="宋体" w:hAnsi="宋体" w:eastAsia="宋体" w:cs="宋体"/>
                <w:color w:val="auto"/>
                <w:spacing w:val="9"/>
                <w:sz w:val="20"/>
                <w:szCs w:val="20"/>
                <w:lang w:val="zh-CN" w:eastAsia="zh-CN"/>
              </w:rPr>
              <w:t>500万</w:t>
            </w:r>
            <w:r>
              <w:rPr>
                <w:rFonts w:hint="eastAsia" w:ascii="宋体" w:hAnsi="宋体" w:eastAsia="宋体" w:cs="宋体"/>
                <w:color w:val="auto"/>
                <w:spacing w:val="9"/>
                <w:sz w:val="20"/>
                <w:szCs w:val="20"/>
                <w:lang w:val="en-US" w:eastAsia="zh-CN"/>
              </w:rPr>
              <w:t>之间部分的</w:t>
            </w:r>
            <w:r>
              <w:rPr>
                <w:rFonts w:hint="eastAsia" w:ascii="宋体" w:hAnsi="宋体" w:eastAsia="宋体" w:cs="宋体"/>
                <w:color w:val="auto"/>
                <w:spacing w:val="9"/>
                <w:sz w:val="20"/>
                <w:szCs w:val="20"/>
                <w:lang w:val="zh-CN" w:eastAsia="zh-CN"/>
              </w:rPr>
              <w:t>0.</w:t>
            </w:r>
            <w:r>
              <w:rPr>
                <w:rFonts w:hint="eastAsia" w:ascii="宋体" w:hAnsi="宋体" w:eastAsia="宋体" w:cs="宋体"/>
                <w:color w:val="auto"/>
                <w:spacing w:val="9"/>
                <w:sz w:val="20"/>
                <w:szCs w:val="20"/>
                <w:lang w:val="en-US" w:eastAsia="zh-CN"/>
              </w:rPr>
              <w:t>8</w:t>
            </w:r>
            <w:r>
              <w:rPr>
                <w:rFonts w:hint="eastAsia" w:ascii="宋体" w:hAnsi="宋体" w:eastAsia="宋体" w:cs="宋体"/>
                <w:color w:val="auto"/>
                <w:spacing w:val="9"/>
                <w:sz w:val="20"/>
                <w:szCs w:val="20"/>
                <w:lang w:val="zh-CN" w:eastAsia="zh-CN"/>
              </w:rPr>
              <w:t>%</w:t>
            </w:r>
            <w:r>
              <w:rPr>
                <w:rFonts w:hint="eastAsia" w:ascii="宋体" w:hAnsi="宋体" w:eastAsia="宋体" w:cs="宋体"/>
                <w:color w:val="auto"/>
                <w:spacing w:val="9"/>
                <w:sz w:val="20"/>
                <w:szCs w:val="20"/>
                <w:lang w:val="en-US" w:eastAsia="zh-CN"/>
              </w:rPr>
              <w:t>收取，具体双方协商)</w:t>
            </w:r>
          </w:p>
        </w:tc>
      </w:tr>
      <w:tr w14:paraId="7314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center"/>
          </w:tcPr>
          <w:p w14:paraId="31E5D2EC">
            <w:pPr>
              <w:spacing w:before="65" w:line="190" w:lineRule="auto"/>
              <w:jc w:val="center"/>
              <w:rPr>
                <w:rFonts w:ascii="宋体" w:hAnsi="宋体" w:eastAsia="宋体" w:cs="宋体"/>
                <w:color w:val="auto"/>
                <w:spacing w:val="4"/>
                <w:sz w:val="20"/>
                <w:szCs w:val="20"/>
              </w:rPr>
            </w:pPr>
          </w:p>
          <w:p w14:paraId="27131173">
            <w:pPr>
              <w:spacing w:before="65" w:line="190" w:lineRule="auto"/>
              <w:jc w:val="center"/>
              <w:rPr>
                <w:rFonts w:hint="eastAsia" w:ascii="宋体" w:hAnsi="宋体" w:eastAsia="宋体" w:cs="宋体"/>
                <w:color w:val="auto"/>
                <w:sz w:val="20"/>
                <w:szCs w:val="20"/>
                <w:lang w:eastAsia="zh-CN"/>
              </w:rPr>
            </w:pPr>
            <w:r>
              <w:rPr>
                <w:rFonts w:ascii="宋体" w:hAnsi="宋体" w:eastAsia="宋体" w:cs="宋体"/>
                <w:color w:val="auto"/>
                <w:spacing w:val="4"/>
                <w:sz w:val="20"/>
                <w:szCs w:val="20"/>
              </w:rPr>
              <w:t>3.6.</w:t>
            </w:r>
            <w:r>
              <w:rPr>
                <w:rFonts w:hint="eastAsia" w:ascii="宋体" w:hAnsi="宋体" w:eastAsia="宋体" w:cs="宋体"/>
                <w:color w:val="auto"/>
                <w:spacing w:val="4"/>
                <w:sz w:val="20"/>
                <w:szCs w:val="20"/>
                <w:lang w:val="en-US" w:eastAsia="zh-CN"/>
              </w:rPr>
              <w:t>2</w:t>
            </w:r>
          </w:p>
        </w:tc>
        <w:tc>
          <w:tcPr>
            <w:tcW w:w="2632" w:type="dxa"/>
            <w:vAlign w:val="center"/>
          </w:tcPr>
          <w:p w14:paraId="5787781F">
            <w:pPr>
              <w:spacing w:before="65" w:line="229" w:lineRule="auto"/>
              <w:jc w:val="center"/>
              <w:rPr>
                <w:rFonts w:hint="eastAsia" w:ascii="宋体" w:hAnsi="宋体" w:eastAsia="宋体" w:cs="宋体"/>
                <w:color w:val="auto"/>
                <w:sz w:val="20"/>
                <w:szCs w:val="20"/>
              </w:rPr>
            </w:pPr>
          </w:p>
          <w:p w14:paraId="28504698">
            <w:pPr>
              <w:spacing w:before="65" w:line="229" w:lineRule="auto"/>
              <w:jc w:val="center"/>
              <w:rPr>
                <w:rFonts w:ascii="宋体" w:hAnsi="宋体" w:eastAsia="宋体" w:cs="宋体"/>
                <w:color w:val="auto"/>
                <w:sz w:val="20"/>
                <w:szCs w:val="20"/>
              </w:rPr>
            </w:pPr>
            <w:r>
              <w:rPr>
                <w:rFonts w:hint="eastAsia" w:ascii="宋体" w:hAnsi="宋体" w:eastAsia="宋体" w:cs="宋体"/>
                <w:color w:val="auto"/>
                <w:sz w:val="20"/>
                <w:szCs w:val="20"/>
              </w:rPr>
              <w:t>投标文件份数</w:t>
            </w:r>
          </w:p>
        </w:tc>
        <w:tc>
          <w:tcPr>
            <w:tcW w:w="5477" w:type="dxa"/>
            <w:vAlign w:val="top"/>
          </w:tcPr>
          <w:p w14:paraId="0CF346F5">
            <w:pPr>
              <w:spacing w:before="2" w:line="297" w:lineRule="auto"/>
              <w:ind w:left="115" w:right="107" w:firstLine="3"/>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纸质版投标文件</w:t>
            </w:r>
            <w:r>
              <w:rPr>
                <w:rFonts w:hint="eastAsia" w:ascii="宋体" w:hAnsi="宋体" w:eastAsia="宋体" w:cs="宋体"/>
                <w:color w:val="auto"/>
                <w:sz w:val="20"/>
                <w:szCs w:val="20"/>
                <w:u w:val="single"/>
                <w:lang w:val="en-US" w:eastAsia="zh-CN"/>
              </w:rPr>
              <w:t>贰</w:t>
            </w:r>
            <w:r>
              <w:rPr>
                <w:rFonts w:hint="eastAsia" w:ascii="宋体" w:hAnsi="宋体" w:eastAsia="宋体" w:cs="宋体"/>
                <w:color w:val="auto"/>
                <w:sz w:val="20"/>
                <w:szCs w:val="20"/>
                <w:lang w:val="en-US" w:eastAsia="zh-CN"/>
              </w:rPr>
              <w:t xml:space="preserve">份，正本 </w:t>
            </w:r>
            <w:r>
              <w:rPr>
                <w:rFonts w:hint="eastAsia" w:ascii="宋体" w:hAnsi="宋体" w:eastAsia="宋体" w:cs="宋体"/>
                <w:color w:val="auto"/>
                <w:sz w:val="20"/>
                <w:szCs w:val="20"/>
                <w:u w:val="single"/>
                <w:lang w:val="en-US" w:eastAsia="zh-CN"/>
              </w:rPr>
              <w:t xml:space="preserve">壹 </w:t>
            </w:r>
            <w:r>
              <w:rPr>
                <w:rFonts w:hint="eastAsia" w:ascii="宋体" w:hAnsi="宋体" w:eastAsia="宋体" w:cs="宋体"/>
                <w:color w:val="auto"/>
                <w:sz w:val="20"/>
                <w:szCs w:val="20"/>
                <w:lang w:val="en-US" w:eastAsia="zh-CN"/>
              </w:rPr>
              <w:t>份，副本</w:t>
            </w:r>
            <w:r>
              <w:rPr>
                <w:rFonts w:hint="eastAsia" w:ascii="宋体" w:hAnsi="宋体" w:eastAsia="宋体" w:cs="宋体"/>
                <w:color w:val="auto"/>
                <w:sz w:val="20"/>
                <w:szCs w:val="20"/>
                <w:u w:val="single"/>
                <w:lang w:val="en-US" w:eastAsia="zh-CN"/>
              </w:rPr>
              <w:t xml:space="preserve"> 壹 </w:t>
            </w:r>
            <w:r>
              <w:rPr>
                <w:rFonts w:hint="eastAsia" w:ascii="宋体" w:hAnsi="宋体" w:eastAsia="宋体" w:cs="宋体"/>
                <w:color w:val="auto"/>
                <w:sz w:val="20"/>
                <w:szCs w:val="20"/>
                <w:lang w:val="en-US" w:eastAsia="zh-CN"/>
              </w:rPr>
              <w:t>份，电子光盘2份（含商务、报价及技术）</w:t>
            </w:r>
          </w:p>
          <w:p w14:paraId="0BF3ECE9">
            <w:pPr>
              <w:spacing w:before="2" w:line="297" w:lineRule="auto"/>
              <w:ind w:left="115" w:right="107" w:firstLine="3"/>
              <w:rPr>
                <w:rFonts w:ascii="宋体" w:hAnsi="宋体" w:eastAsia="宋体" w:cs="宋体"/>
                <w:color w:val="auto"/>
                <w:sz w:val="20"/>
                <w:szCs w:val="20"/>
              </w:rPr>
            </w:pPr>
            <w:r>
              <w:rPr>
                <w:rFonts w:hint="eastAsia" w:ascii="宋体" w:hAnsi="宋体" w:eastAsia="宋体" w:cs="宋体"/>
                <w:b/>
                <w:bCs/>
                <w:color w:val="auto"/>
                <w:sz w:val="20"/>
                <w:szCs w:val="20"/>
                <w:lang w:val="en-US" w:eastAsia="zh-CN"/>
              </w:rPr>
              <w:t>备注：开标结束后，各供应商按照招标文件要求将纸质版、电子版投标文件邮寄至新疆瀚展博源项目管理有限公司），收件人：王曼曼，电话：18809068299，以备后期存档,若开标结束3天未递交投标文件的单位将上报有关监督部门进行处理。</w:t>
            </w:r>
          </w:p>
        </w:tc>
      </w:tr>
      <w:tr w14:paraId="45A4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tcBorders>
              <w:bottom w:val="single" w:color="auto" w:sz="4" w:space="0"/>
            </w:tcBorders>
            <w:vAlign w:val="top"/>
          </w:tcPr>
          <w:p w14:paraId="3CF8D7BE">
            <w:pPr>
              <w:spacing w:line="253" w:lineRule="auto"/>
              <w:rPr>
                <w:rFonts w:ascii="Arial"/>
                <w:color w:val="auto"/>
                <w:sz w:val="21"/>
              </w:rPr>
            </w:pPr>
          </w:p>
          <w:p w14:paraId="350711B5">
            <w:pPr>
              <w:spacing w:before="65" w:line="193" w:lineRule="auto"/>
              <w:ind w:left="357"/>
              <w:rPr>
                <w:rFonts w:ascii="宋体" w:hAnsi="宋体" w:eastAsia="宋体" w:cs="宋体"/>
                <w:color w:val="auto"/>
                <w:sz w:val="20"/>
                <w:szCs w:val="20"/>
              </w:rPr>
            </w:pPr>
            <w:r>
              <w:rPr>
                <w:rFonts w:ascii="宋体" w:hAnsi="宋体" w:eastAsia="宋体" w:cs="宋体"/>
                <w:color w:val="auto"/>
                <w:spacing w:val="9"/>
                <w:sz w:val="20"/>
                <w:szCs w:val="20"/>
              </w:rPr>
              <w:t>4.1</w:t>
            </w:r>
          </w:p>
        </w:tc>
        <w:tc>
          <w:tcPr>
            <w:tcW w:w="2632" w:type="dxa"/>
            <w:tcBorders>
              <w:bottom w:val="single" w:color="auto" w:sz="4" w:space="0"/>
            </w:tcBorders>
            <w:vAlign w:val="top"/>
          </w:tcPr>
          <w:p w14:paraId="287F8BEE">
            <w:pPr>
              <w:spacing w:before="289" w:line="228" w:lineRule="auto"/>
              <w:ind w:left="484"/>
              <w:rPr>
                <w:rFonts w:ascii="宋体" w:hAnsi="宋体" w:eastAsia="宋体" w:cs="宋体"/>
                <w:color w:val="auto"/>
                <w:sz w:val="20"/>
                <w:szCs w:val="20"/>
              </w:rPr>
            </w:pPr>
            <w:r>
              <w:rPr>
                <w:rFonts w:ascii="宋体" w:hAnsi="宋体" w:eastAsia="宋体" w:cs="宋体"/>
                <w:color w:val="auto"/>
                <w:spacing w:val="10"/>
                <w:sz w:val="20"/>
                <w:szCs w:val="20"/>
              </w:rPr>
              <w:t>是</w:t>
            </w:r>
            <w:r>
              <w:rPr>
                <w:rFonts w:ascii="宋体" w:hAnsi="宋体" w:eastAsia="宋体" w:cs="宋体"/>
                <w:color w:val="auto"/>
                <w:spacing w:val="8"/>
                <w:sz w:val="20"/>
                <w:szCs w:val="20"/>
              </w:rPr>
              <w:t>否退还投标文件</w:t>
            </w:r>
          </w:p>
        </w:tc>
        <w:tc>
          <w:tcPr>
            <w:tcW w:w="5477" w:type="dxa"/>
            <w:tcBorders>
              <w:bottom w:val="single" w:color="auto" w:sz="4" w:space="0"/>
            </w:tcBorders>
            <w:vAlign w:val="top"/>
          </w:tcPr>
          <w:p w14:paraId="714C42FE">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
                <w:sz w:val="20"/>
                <w:szCs w:val="20"/>
              </w:rPr>
              <w:t>☑</w:t>
            </w:r>
            <w:r>
              <w:rPr>
                <w:rFonts w:ascii="宋体" w:hAnsi="宋体" w:eastAsia="宋体" w:cs="宋体"/>
                <w:color w:val="auto"/>
                <w:sz w:val="20"/>
                <w:szCs w:val="20"/>
              </w:rPr>
              <w:t>否</w:t>
            </w:r>
          </w:p>
          <w:p w14:paraId="5372253E">
            <w:pPr>
              <w:spacing w:before="111" w:line="232" w:lineRule="auto"/>
              <w:ind w:left="136"/>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6"/>
                <w:sz w:val="20"/>
                <w:szCs w:val="20"/>
              </w:rPr>
              <w:t>是，投标人退一份</w:t>
            </w:r>
          </w:p>
        </w:tc>
      </w:tr>
      <w:tr w14:paraId="2780C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tcBorders>
              <w:bottom w:val="single" w:color="auto" w:sz="4" w:space="0"/>
            </w:tcBorders>
            <w:shd w:val="clear" w:color="auto" w:fill="auto"/>
            <w:vAlign w:val="top"/>
          </w:tcPr>
          <w:p w14:paraId="0DE3FFDE">
            <w:pPr>
              <w:spacing w:line="243" w:lineRule="auto"/>
              <w:rPr>
                <w:rFonts w:ascii="Arial"/>
                <w:color w:val="auto"/>
                <w:sz w:val="21"/>
              </w:rPr>
            </w:pPr>
          </w:p>
          <w:p w14:paraId="22B77525">
            <w:pPr>
              <w:spacing w:line="244" w:lineRule="auto"/>
              <w:rPr>
                <w:rFonts w:ascii="Arial"/>
                <w:color w:val="auto"/>
                <w:sz w:val="21"/>
              </w:rPr>
            </w:pPr>
          </w:p>
          <w:p w14:paraId="2A5E07B1">
            <w:pPr>
              <w:spacing w:line="244" w:lineRule="auto"/>
              <w:rPr>
                <w:rFonts w:ascii="Arial"/>
                <w:color w:val="auto"/>
                <w:sz w:val="21"/>
              </w:rPr>
            </w:pPr>
          </w:p>
          <w:p w14:paraId="0607C02A">
            <w:pPr>
              <w:spacing w:line="244" w:lineRule="auto"/>
              <w:rPr>
                <w:rFonts w:ascii="Arial"/>
                <w:color w:val="auto"/>
                <w:sz w:val="21"/>
              </w:rPr>
            </w:pPr>
          </w:p>
          <w:p w14:paraId="321639F1">
            <w:pPr>
              <w:spacing w:line="244" w:lineRule="auto"/>
              <w:rPr>
                <w:rFonts w:ascii="Arial"/>
                <w:color w:val="auto"/>
                <w:sz w:val="21"/>
              </w:rPr>
            </w:pPr>
          </w:p>
          <w:p w14:paraId="7EEA7EF8">
            <w:pPr>
              <w:spacing w:line="244" w:lineRule="auto"/>
              <w:rPr>
                <w:rFonts w:ascii="Arial"/>
                <w:color w:val="auto"/>
                <w:sz w:val="21"/>
              </w:rPr>
            </w:pPr>
          </w:p>
          <w:p w14:paraId="6B630D66">
            <w:pPr>
              <w:spacing w:line="244" w:lineRule="auto"/>
              <w:rPr>
                <w:rFonts w:ascii="Arial"/>
                <w:color w:val="auto"/>
                <w:sz w:val="21"/>
              </w:rPr>
            </w:pPr>
          </w:p>
          <w:p w14:paraId="1A83CE30">
            <w:pPr>
              <w:spacing w:line="244" w:lineRule="auto"/>
              <w:rPr>
                <w:rFonts w:ascii="Arial"/>
                <w:color w:val="auto"/>
                <w:sz w:val="21"/>
              </w:rPr>
            </w:pPr>
          </w:p>
          <w:p w14:paraId="72CEF457">
            <w:pPr>
              <w:spacing w:line="244" w:lineRule="auto"/>
              <w:rPr>
                <w:rFonts w:ascii="Arial"/>
                <w:color w:val="auto"/>
                <w:sz w:val="21"/>
              </w:rPr>
            </w:pPr>
          </w:p>
          <w:p w14:paraId="1C0F8569">
            <w:pPr>
              <w:spacing w:before="65" w:line="191" w:lineRule="auto"/>
              <w:ind w:left="362" w:leftChars="0"/>
              <w:rPr>
                <w:rFonts w:ascii="宋体" w:hAnsi="宋体" w:eastAsia="宋体" w:cs="宋体"/>
                <w:snapToGrid w:val="0"/>
                <w:color w:val="auto"/>
                <w:kern w:val="0"/>
                <w:sz w:val="20"/>
                <w:szCs w:val="20"/>
              </w:rPr>
            </w:pPr>
            <w:r>
              <w:rPr>
                <w:rFonts w:ascii="宋体" w:hAnsi="宋体" w:eastAsia="宋体" w:cs="宋体"/>
                <w:color w:val="auto"/>
                <w:spacing w:val="8"/>
                <w:sz w:val="20"/>
                <w:szCs w:val="20"/>
              </w:rPr>
              <w:t>5</w:t>
            </w:r>
            <w:r>
              <w:rPr>
                <w:rFonts w:ascii="宋体" w:hAnsi="宋体" w:eastAsia="宋体" w:cs="宋体"/>
                <w:color w:val="auto"/>
                <w:spacing w:val="7"/>
                <w:sz w:val="20"/>
                <w:szCs w:val="20"/>
              </w:rPr>
              <w:t>.1</w:t>
            </w:r>
          </w:p>
        </w:tc>
        <w:tc>
          <w:tcPr>
            <w:tcW w:w="2632" w:type="dxa"/>
            <w:tcBorders>
              <w:bottom w:val="single" w:color="auto" w:sz="4" w:space="0"/>
            </w:tcBorders>
            <w:shd w:val="clear" w:color="auto" w:fill="auto"/>
            <w:vAlign w:val="top"/>
          </w:tcPr>
          <w:p w14:paraId="592AF44B">
            <w:pPr>
              <w:rPr>
                <w:rFonts w:ascii="Arial"/>
                <w:color w:val="auto"/>
                <w:sz w:val="21"/>
              </w:rPr>
            </w:pPr>
          </w:p>
          <w:p w14:paraId="5099C0F3">
            <w:pPr>
              <w:rPr>
                <w:rFonts w:ascii="Arial"/>
                <w:color w:val="auto"/>
                <w:sz w:val="21"/>
              </w:rPr>
            </w:pPr>
          </w:p>
          <w:p w14:paraId="322CE904">
            <w:pPr>
              <w:rPr>
                <w:rFonts w:ascii="Arial"/>
                <w:color w:val="auto"/>
                <w:sz w:val="21"/>
              </w:rPr>
            </w:pPr>
          </w:p>
          <w:p w14:paraId="66C98882">
            <w:pPr>
              <w:rPr>
                <w:rFonts w:ascii="Arial"/>
                <w:color w:val="auto"/>
                <w:sz w:val="21"/>
              </w:rPr>
            </w:pPr>
          </w:p>
          <w:p w14:paraId="01BCEF91">
            <w:pPr>
              <w:rPr>
                <w:rFonts w:ascii="Arial"/>
                <w:color w:val="auto"/>
                <w:sz w:val="21"/>
              </w:rPr>
            </w:pPr>
          </w:p>
          <w:p w14:paraId="286FB42B">
            <w:pPr>
              <w:spacing w:line="241" w:lineRule="auto"/>
              <w:rPr>
                <w:rFonts w:ascii="Arial"/>
                <w:color w:val="auto"/>
                <w:sz w:val="21"/>
              </w:rPr>
            </w:pPr>
          </w:p>
          <w:p w14:paraId="3ABC09C9">
            <w:pPr>
              <w:spacing w:line="241" w:lineRule="auto"/>
              <w:rPr>
                <w:rFonts w:ascii="Arial"/>
                <w:color w:val="auto"/>
                <w:sz w:val="21"/>
              </w:rPr>
            </w:pPr>
          </w:p>
          <w:p w14:paraId="1BE776D0">
            <w:pPr>
              <w:spacing w:line="241" w:lineRule="auto"/>
              <w:rPr>
                <w:rFonts w:ascii="Arial"/>
                <w:color w:val="auto"/>
                <w:sz w:val="21"/>
              </w:rPr>
            </w:pPr>
          </w:p>
          <w:p w14:paraId="65C17CD9">
            <w:pPr>
              <w:spacing w:line="241" w:lineRule="auto"/>
              <w:rPr>
                <w:rFonts w:ascii="Arial"/>
                <w:color w:val="auto"/>
                <w:sz w:val="21"/>
              </w:rPr>
            </w:pPr>
          </w:p>
          <w:p w14:paraId="09C56A83">
            <w:pPr>
              <w:spacing w:before="65" w:line="228" w:lineRule="auto"/>
              <w:ind w:left="169" w:leftChars="0"/>
              <w:rPr>
                <w:rFonts w:ascii="宋体" w:hAnsi="宋体" w:eastAsia="宋体" w:cs="宋体"/>
                <w:snapToGrid w:val="0"/>
                <w:color w:val="auto"/>
                <w:kern w:val="0"/>
                <w:sz w:val="20"/>
                <w:szCs w:val="20"/>
              </w:rPr>
            </w:pPr>
            <w:r>
              <w:rPr>
                <w:rFonts w:ascii="宋体" w:hAnsi="宋体" w:eastAsia="宋体" w:cs="宋体"/>
                <w:color w:val="auto"/>
                <w:spacing w:val="9"/>
                <w:sz w:val="20"/>
                <w:szCs w:val="20"/>
              </w:rPr>
              <w:t>竞争性磋商响应文件组</w:t>
            </w:r>
            <w:r>
              <w:rPr>
                <w:rFonts w:ascii="宋体" w:hAnsi="宋体" w:eastAsia="宋体" w:cs="宋体"/>
                <w:color w:val="auto"/>
                <w:spacing w:val="8"/>
                <w:sz w:val="20"/>
                <w:szCs w:val="20"/>
              </w:rPr>
              <w:t>成</w:t>
            </w:r>
          </w:p>
        </w:tc>
        <w:tc>
          <w:tcPr>
            <w:tcW w:w="5477" w:type="dxa"/>
            <w:tcBorders>
              <w:bottom w:val="single" w:color="auto" w:sz="4" w:space="0"/>
            </w:tcBorders>
            <w:shd w:val="clear" w:color="auto" w:fill="auto"/>
            <w:vAlign w:val="top"/>
          </w:tcPr>
          <w:p w14:paraId="0FCEEE6C">
            <w:pPr>
              <w:spacing w:before="135" w:line="240" w:lineRule="auto"/>
              <w:ind w:left="113" w:right="116" w:firstLine="17"/>
              <w:rPr>
                <w:rFonts w:ascii="宋体" w:hAnsi="宋体" w:eastAsia="宋体" w:cs="宋体"/>
                <w:color w:val="auto"/>
                <w:spacing w:val="9"/>
                <w:sz w:val="20"/>
                <w:szCs w:val="20"/>
              </w:rPr>
            </w:pPr>
            <w:r>
              <w:rPr>
                <w:rFonts w:ascii="宋体" w:hAnsi="宋体" w:eastAsia="宋体" w:cs="宋体"/>
                <w:color w:val="auto"/>
                <w:spacing w:val="9"/>
                <w:sz w:val="20"/>
                <w:szCs w:val="20"/>
              </w:rPr>
              <w:t>1、本项目实行电子招投标，供应商须登录政府采购云平台申请获取采购文件，并需要使用CA 锁，在新疆政府采 购网-下载专区下载-供应商客户端制作响应文件，并生成 JMBS 格式加密文件，在投标截止前上传至政府采购云平台。若供应商参与投标， 自行承担与投标有关的一切费用。</w:t>
            </w:r>
          </w:p>
          <w:p w14:paraId="3E060309">
            <w:pPr>
              <w:spacing w:before="135" w:line="240" w:lineRule="auto"/>
              <w:ind w:left="113" w:right="116" w:firstLine="17"/>
              <w:rPr>
                <w:rFonts w:ascii="宋体" w:hAnsi="宋体" w:eastAsia="宋体" w:cs="宋体"/>
                <w:color w:val="auto"/>
                <w:spacing w:val="9"/>
                <w:sz w:val="20"/>
                <w:szCs w:val="20"/>
              </w:rPr>
            </w:pPr>
            <w:r>
              <w:rPr>
                <w:rFonts w:ascii="宋体" w:hAnsi="宋体" w:eastAsia="宋体" w:cs="宋体"/>
                <w:color w:val="auto"/>
                <w:spacing w:val="9"/>
                <w:sz w:val="20"/>
                <w:szCs w:val="20"/>
              </w:rPr>
              <w:t>2、各供应商应在开标前确保是新疆维吾尔自治区政府采购网正式注册入库的供应商，并完成 CA 数字证书申领。 因未注册入库、未办理 CA 数字证书等原因造成无法投标 或投标失败等后果的由供应商自行承担</w:t>
            </w:r>
            <w:r>
              <w:rPr>
                <w:rFonts w:ascii="宋体" w:hAnsi="宋体" w:eastAsia="宋体" w:cs="宋体"/>
                <w:color w:val="auto"/>
                <w:spacing w:val="8"/>
                <w:sz w:val="20"/>
                <w:szCs w:val="20"/>
              </w:rPr>
              <w:t>。</w:t>
            </w:r>
          </w:p>
          <w:p w14:paraId="66175796">
            <w:pPr>
              <w:spacing w:before="217" w:line="240" w:lineRule="auto"/>
              <w:ind w:left="118"/>
              <w:outlineLvl w:val="0"/>
              <w:rPr>
                <w:rFonts w:ascii="宋体" w:hAnsi="宋体" w:eastAsia="宋体" w:cs="宋体"/>
                <w:color w:val="auto"/>
                <w:sz w:val="20"/>
                <w:szCs w:val="20"/>
              </w:rPr>
            </w:pPr>
            <w:r>
              <w:rPr>
                <w:rFonts w:ascii="宋体" w:hAnsi="宋体" w:eastAsia="宋体" w:cs="宋体"/>
                <w:color w:val="auto"/>
                <w:spacing w:val="13"/>
                <w:sz w:val="20"/>
                <w:szCs w:val="20"/>
              </w:rPr>
              <w:t>3</w:t>
            </w:r>
            <w:r>
              <w:rPr>
                <w:rFonts w:ascii="宋体" w:hAnsi="宋体" w:eastAsia="宋体" w:cs="宋体"/>
                <w:color w:val="auto"/>
                <w:spacing w:val="10"/>
                <w:sz w:val="20"/>
                <w:szCs w:val="20"/>
              </w:rPr>
              <w:t>、供应商可前往新疆政府采购网 (</w:t>
            </w:r>
            <w:r>
              <w:rPr>
                <w:rFonts w:ascii="宋体" w:hAnsi="宋体" w:eastAsia="宋体" w:cs="宋体"/>
                <w:color w:val="auto"/>
                <w:sz w:val="20"/>
                <w:szCs w:val="20"/>
              </w:rPr>
              <w:t>http</w:t>
            </w:r>
            <w:r>
              <w:rPr>
                <w:rFonts w:ascii="宋体" w:hAnsi="宋体" w:eastAsia="宋体" w:cs="宋体"/>
                <w:color w:val="auto"/>
                <w:spacing w:val="10"/>
                <w:sz w:val="20"/>
                <w:szCs w:val="20"/>
              </w:rPr>
              <w:t>://</w:t>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ccgp</w:t>
            </w:r>
            <w:r>
              <w:rPr>
                <w:rFonts w:ascii="宋体" w:hAnsi="宋体" w:eastAsia="宋体" w:cs="宋体"/>
                <w:color w:val="auto"/>
                <w:spacing w:val="10"/>
                <w:sz w:val="20"/>
                <w:szCs w:val="20"/>
              </w:rPr>
              <w:t>-</w:t>
            </w:r>
          </w:p>
          <w:p w14:paraId="3CA7407D">
            <w:pPr>
              <w:spacing w:before="166" w:line="240" w:lineRule="auto"/>
              <w:ind w:left="113" w:right="116"/>
              <w:rPr>
                <w:rFonts w:ascii="宋体" w:hAnsi="宋体" w:eastAsia="宋体" w:cs="宋体"/>
                <w:color w:val="auto"/>
                <w:sz w:val="20"/>
                <w:szCs w:val="20"/>
              </w:rPr>
            </w:pPr>
            <w:r>
              <w:rPr>
                <w:rFonts w:ascii="宋体" w:hAnsi="宋体" w:eastAsia="宋体" w:cs="宋体"/>
                <w:color w:val="auto"/>
                <w:sz w:val="20"/>
                <w:szCs w:val="20"/>
              </w:rPr>
              <w:t>xiniang</w:t>
            </w:r>
            <w:r>
              <w:rPr>
                <w:rFonts w:ascii="宋体" w:hAnsi="宋体" w:eastAsia="宋体" w:cs="宋体"/>
                <w:color w:val="auto"/>
                <w:spacing w:val="2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cm</w:t>
            </w:r>
            <w:r>
              <w:rPr>
                <w:rFonts w:ascii="宋体" w:hAnsi="宋体" w:eastAsia="宋体" w:cs="宋体"/>
                <w:color w:val="auto"/>
                <w:spacing w:val="11"/>
                <w:sz w:val="20"/>
                <w:szCs w:val="20"/>
              </w:rPr>
              <w:t>/)下载专区，下载政府采购云平台电子投</w:t>
            </w:r>
            <w:r>
              <w:rPr>
                <w:rFonts w:ascii="宋体" w:hAnsi="宋体" w:eastAsia="宋体" w:cs="宋体"/>
                <w:color w:val="auto"/>
                <w:spacing w:val="10"/>
                <w:sz w:val="20"/>
                <w:szCs w:val="20"/>
              </w:rPr>
              <w:t>标</w:t>
            </w:r>
            <w:r>
              <w:rPr>
                <w:rFonts w:ascii="宋体" w:hAnsi="宋体" w:eastAsia="宋体" w:cs="宋体"/>
                <w:color w:val="auto"/>
                <w:spacing w:val="7"/>
                <w:sz w:val="20"/>
                <w:szCs w:val="20"/>
              </w:rPr>
              <w:t>客</w:t>
            </w:r>
            <w:r>
              <w:rPr>
                <w:rFonts w:ascii="宋体" w:hAnsi="宋体" w:eastAsia="宋体" w:cs="宋体"/>
                <w:color w:val="auto"/>
                <w:spacing w:val="5"/>
                <w:sz w:val="20"/>
                <w:szCs w:val="20"/>
              </w:rPr>
              <w:t xml:space="preserve">户端，安装完成后，可通过账号密码或 </w:t>
            </w:r>
            <w:r>
              <w:rPr>
                <w:rFonts w:ascii="宋体" w:hAnsi="宋体" w:eastAsia="宋体" w:cs="宋体"/>
                <w:color w:val="auto"/>
                <w:sz w:val="20"/>
                <w:szCs w:val="20"/>
              </w:rPr>
              <w:t>CA</w:t>
            </w:r>
            <w:r>
              <w:rPr>
                <w:rFonts w:ascii="宋体" w:hAnsi="宋体" w:eastAsia="宋体" w:cs="宋体"/>
                <w:color w:val="auto"/>
                <w:spacing w:val="5"/>
                <w:sz w:val="20"/>
                <w:szCs w:val="20"/>
              </w:rPr>
              <w:t xml:space="preserve"> 登录客户</w:t>
            </w:r>
            <w:r>
              <w:rPr>
                <w:rFonts w:ascii="宋体" w:hAnsi="宋体" w:eastAsia="宋体" w:cs="宋体"/>
                <w:color w:val="auto"/>
                <w:spacing w:val="18"/>
                <w:sz w:val="20"/>
                <w:szCs w:val="20"/>
              </w:rPr>
              <w:t>端</w:t>
            </w:r>
            <w:r>
              <w:rPr>
                <w:rFonts w:ascii="宋体" w:hAnsi="宋体" w:eastAsia="宋体" w:cs="宋体"/>
                <w:color w:val="auto"/>
                <w:spacing w:val="15"/>
                <w:sz w:val="20"/>
                <w:szCs w:val="20"/>
              </w:rPr>
              <w:t>进</w:t>
            </w:r>
            <w:r>
              <w:rPr>
                <w:rFonts w:ascii="宋体" w:hAnsi="宋体" w:eastAsia="宋体" w:cs="宋体"/>
                <w:color w:val="auto"/>
                <w:spacing w:val="9"/>
                <w:sz w:val="20"/>
                <w:szCs w:val="20"/>
              </w:rPr>
              <w:t>行响应文件制作。在使用政府采购云平台电子投标客</w:t>
            </w:r>
            <w:r>
              <w:rPr>
                <w:rFonts w:ascii="宋体" w:hAnsi="宋体" w:eastAsia="宋体" w:cs="宋体"/>
                <w:color w:val="auto"/>
                <w:spacing w:val="18"/>
                <w:sz w:val="20"/>
                <w:szCs w:val="20"/>
              </w:rPr>
              <w:t>户</w:t>
            </w:r>
            <w:r>
              <w:rPr>
                <w:rFonts w:ascii="宋体" w:hAnsi="宋体" w:eastAsia="宋体" w:cs="宋体"/>
                <w:color w:val="auto"/>
                <w:spacing w:val="16"/>
                <w:sz w:val="20"/>
                <w:szCs w:val="20"/>
              </w:rPr>
              <w:t>端</w:t>
            </w:r>
            <w:r>
              <w:rPr>
                <w:rFonts w:ascii="宋体" w:hAnsi="宋体" w:eastAsia="宋体" w:cs="宋体"/>
                <w:color w:val="auto"/>
                <w:spacing w:val="9"/>
                <w:sz w:val="20"/>
                <w:szCs w:val="20"/>
              </w:rPr>
              <w:t>时，建议使用</w:t>
            </w:r>
            <w:r>
              <w:rPr>
                <w:rFonts w:ascii="宋体" w:hAnsi="宋体" w:eastAsia="宋体" w:cs="宋体"/>
                <w:color w:val="auto"/>
                <w:sz w:val="20"/>
                <w:szCs w:val="20"/>
              </w:rPr>
              <w:t>WIN</w:t>
            </w:r>
            <w:r>
              <w:rPr>
                <w:rFonts w:ascii="宋体" w:hAnsi="宋体" w:eastAsia="宋体" w:cs="宋体"/>
                <w:color w:val="auto"/>
                <w:spacing w:val="9"/>
                <w:sz w:val="20"/>
                <w:szCs w:val="20"/>
              </w:rPr>
              <w:t>7及以上操作系统。如有问题可拨</w:t>
            </w:r>
            <w:r>
              <w:rPr>
                <w:rFonts w:ascii="宋体" w:hAnsi="宋体" w:eastAsia="宋体" w:cs="宋体"/>
                <w:color w:val="auto"/>
                <w:spacing w:val="4"/>
                <w:sz w:val="20"/>
                <w:szCs w:val="20"/>
              </w:rPr>
              <w:t>打政府采购云平台客户服务热线 400-881-7190 进行咨</w:t>
            </w:r>
            <w:r>
              <w:rPr>
                <w:rFonts w:ascii="宋体" w:hAnsi="宋体" w:eastAsia="宋体" w:cs="宋体"/>
                <w:color w:val="auto"/>
                <w:sz w:val="20"/>
                <w:szCs w:val="20"/>
              </w:rPr>
              <w:t>询。</w:t>
            </w:r>
          </w:p>
          <w:p w14:paraId="06A5FE69">
            <w:pPr>
              <w:spacing w:before="220" w:line="240" w:lineRule="auto"/>
              <w:ind w:left="113"/>
              <w:outlineLvl w:val="0"/>
              <w:rPr>
                <w:rFonts w:ascii="宋体" w:hAnsi="宋体" w:eastAsia="宋体" w:cs="宋体"/>
                <w:color w:val="auto"/>
                <w:sz w:val="20"/>
                <w:szCs w:val="20"/>
              </w:rPr>
            </w:pPr>
            <w:r>
              <w:rPr>
                <w:rFonts w:ascii="宋体" w:hAnsi="宋体" w:eastAsia="宋体" w:cs="宋体"/>
                <w:color w:val="auto"/>
                <w:spacing w:val="17"/>
                <w:position w:val="1"/>
                <w:sz w:val="20"/>
                <w:szCs w:val="20"/>
              </w:rPr>
              <w:t>4</w:t>
            </w:r>
            <w:r>
              <w:rPr>
                <w:rFonts w:ascii="宋体" w:hAnsi="宋体" w:eastAsia="宋体" w:cs="宋体"/>
                <w:color w:val="auto"/>
                <w:spacing w:val="9"/>
                <w:position w:val="1"/>
                <w:sz w:val="20"/>
                <w:szCs w:val="20"/>
              </w:rPr>
              <w:t>、供应商在开标时须携带制作加密电子响应文件所使用</w:t>
            </w:r>
          </w:p>
          <w:p w14:paraId="12BF791E">
            <w:pPr>
              <w:spacing w:before="136" w:line="240" w:lineRule="auto"/>
              <w:ind w:left="117" w:right="116" w:firstLine="14"/>
              <w:rPr>
                <w:rFonts w:ascii="宋体" w:hAnsi="宋体" w:eastAsia="宋体" w:cs="宋体"/>
                <w:color w:val="auto"/>
                <w:sz w:val="20"/>
                <w:szCs w:val="20"/>
              </w:rPr>
            </w:pPr>
            <w:r>
              <w:rPr>
                <w:rFonts w:ascii="宋体" w:hAnsi="宋体" w:eastAsia="宋体" w:cs="宋体"/>
                <w:color w:val="auto"/>
                <w:spacing w:val="-4"/>
                <w:sz w:val="20"/>
                <w:szCs w:val="20"/>
              </w:rPr>
              <w:t xml:space="preserve">的 </w:t>
            </w:r>
            <w:r>
              <w:rPr>
                <w:rFonts w:ascii="宋体" w:hAnsi="宋体" w:eastAsia="宋体" w:cs="宋体"/>
                <w:color w:val="auto"/>
                <w:spacing w:val="-2"/>
                <w:sz w:val="20"/>
                <w:szCs w:val="20"/>
              </w:rPr>
              <w:t>CA</w:t>
            </w:r>
            <w:r>
              <w:rPr>
                <w:rFonts w:ascii="宋体" w:hAnsi="宋体" w:eastAsia="宋体" w:cs="宋体"/>
                <w:color w:val="auto"/>
                <w:spacing w:val="-4"/>
                <w:sz w:val="20"/>
                <w:szCs w:val="20"/>
              </w:rPr>
              <w:t xml:space="preserve"> 锁，</w:t>
            </w:r>
            <w:r>
              <w:rPr>
                <w:rFonts w:ascii="宋体" w:hAnsi="宋体" w:eastAsia="宋体" w:cs="宋体"/>
                <w:color w:val="auto"/>
                <w:spacing w:val="-3"/>
                <w:sz w:val="20"/>
                <w:szCs w:val="20"/>
              </w:rPr>
              <w:t>电</w:t>
            </w:r>
            <w:r>
              <w:rPr>
                <w:rFonts w:ascii="宋体" w:hAnsi="宋体" w:eastAsia="宋体" w:cs="宋体"/>
                <w:color w:val="auto"/>
                <w:spacing w:val="-2"/>
                <w:sz w:val="20"/>
                <w:szCs w:val="20"/>
              </w:rPr>
              <w:t>脑须提前配置好浏览器(建议使用360浏览器</w:t>
            </w:r>
            <w:r>
              <w:rPr>
                <w:rFonts w:ascii="宋体" w:hAnsi="宋体" w:eastAsia="宋体" w:cs="宋体"/>
                <w:color w:val="auto"/>
                <w:spacing w:val="11"/>
                <w:sz w:val="20"/>
                <w:szCs w:val="20"/>
              </w:rPr>
              <w:t>或</w:t>
            </w:r>
            <w:r>
              <w:rPr>
                <w:rFonts w:ascii="宋体" w:hAnsi="宋体" w:eastAsia="宋体" w:cs="宋体"/>
                <w:color w:val="auto"/>
                <w:spacing w:val="6"/>
                <w:sz w:val="20"/>
                <w:szCs w:val="20"/>
              </w:rPr>
              <w:t>谷歌浏览器)。</w:t>
            </w:r>
          </w:p>
          <w:p w14:paraId="27BE0102">
            <w:pPr>
              <w:spacing w:before="225" w:line="240" w:lineRule="auto"/>
              <w:ind w:left="118"/>
              <w:outlineLvl w:val="0"/>
              <w:rPr>
                <w:rFonts w:ascii="宋体" w:hAnsi="宋体" w:eastAsia="宋体" w:cs="宋体"/>
                <w:color w:val="auto"/>
                <w:sz w:val="20"/>
                <w:szCs w:val="20"/>
              </w:rPr>
            </w:pPr>
            <w:r>
              <w:rPr>
                <w:rFonts w:ascii="宋体" w:hAnsi="宋体" w:eastAsia="宋体" w:cs="宋体"/>
                <w:color w:val="auto"/>
                <w:spacing w:val="12"/>
                <w:position w:val="1"/>
                <w:sz w:val="20"/>
                <w:szCs w:val="20"/>
              </w:rPr>
              <w:t>5</w:t>
            </w:r>
            <w:r>
              <w:rPr>
                <w:rFonts w:ascii="宋体" w:hAnsi="宋体" w:eastAsia="宋体" w:cs="宋体"/>
                <w:color w:val="auto"/>
                <w:spacing w:val="10"/>
                <w:position w:val="1"/>
                <w:sz w:val="20"/>
                <w:szCs w:val="20"/>
              </w:rPr>
              <w:t>、投标供应商应当在投标截止时间前，将生成的“</w:t>
            </w:r>
            <w:r>
              <w:rPr>
                <w:rFonts w:ascii="宋体" w:hAnsi="宋体" w:eastAsia="宋体" w:cs="宋体"/>
                <w:color w:val="auto"/>
                <w:position w:val="1"/>
                <w:sz w:val="20"/>
                <w:szCs w:val="20"/>
              </w:rPr>
              <w:t>JMBS</w:t>
            </w:r>
          </w:p>
          <w:p w14:paraId="7BA7102F">
            <w:pPr>
              <w:spacing w:before="138" w:line="240" w:lineRule="auto"/>
              <w:ind w:left="113" w:right="224"/>
              <w:rPr>
                <w:rFonts w:ascii="宋体" w:hAnsi="宋体" w:eastAsia="宋体" w:cs="宋体"/>
                <w:color w:val="auto"/>
                <w:sz w:val="20"/>
                <w:szCs w:val="20"/>
              </w:rPr>
            </w:pPr>
            <w:r>
              <w:rPr>
                <w:rFonts w:ascii="宋体" w:hAnsi="宋体" w:eastAsia="宋体" w:cs="宋体"/>
                <w:color w:val="auto"/>
                <w:spacing w:val="18"/>
                <w:sz w:val="20"/>
                <w:szCs w:val="20"/>
              </w:rPr>
              <w:t>格</w:t>
            </w:r>
            <w:r>
              <w:rPr>
                <w:rFonts w:ascii="宋体" w:hAnsi="宋体" w:eastAsia="宋体" w:cs="宋体"/>
                <w:color w:val="auto"/>
                <w:spacing w:val="11"/>
                <w:sz w:val="20"/>
                <w:szCs w:val="20"/>
              </w:rPr>
              <w:t>式</w:t>
            </w:r>
            <w:r>
              <w:rPr>
                <w:rFonts w:ascii="宋体" w:hAnsi="宋体" w:eastAsia="宋体" w:cs="宋体"/>
                <w:color w:val="auto"/>
                <w:spacing w:val="9"/>
                <w:sz w:val="20"/>
                <w:szCs w:val="20"/>
              </w:rPr>
              <w:t>电子加密响应文件”上传递交至“政府采购云平</w:t>
            </w:r>
            <w:r>
              <w:rPr>
                <w:rFonts w:ascii="宋体" w:hAnsi="宋体" w:eastAsia="宋体" w:cs="宋体"/>
                <w:color w:val="auto"/>
                <w:sz w:val="20"/>
                <w:szCs w:val="20"/>
              </w:rPr>
              <w:t xml:space="preserve">   </w:t>
            </w:r>
            <w:r>
              <w:rPr>
                <w:rFonts w:ascii="宋体" w:hAnsi="宋体" w:eastAsia="宋体" w:cs="宋体"/>
                <w:color w:val="auto"/>
                <w:spacing w:val="17"/>
                <w:sz w:val="20"/>
                <w:szCs w:val="20"/>
              </w:rPr>
              <w:t>台</w:t>
            </w:r>
            <w:r>
              <w:rPr>
                <w:rFonts w:ascii="宋体" w:hAnsi="宋体" w:eastAsia="宋体" w:cs="宋体"/>
                <w:color w:val="auto"/>
                <w:spacing w:val="9"/>
                <w:sz w:val="20"/>
                <w:szCs w:val="20"/>
              </w:rPr>
              <w:t>”,投标截止时间以后上传递交的响应文件将被“政府</w:t>
            </w:r>
            <w:r>
              <w:rPr>
                <w:rFonts w:ascii="宋体" w:hAnsi="宋体" w:eastAsia="宋体" w:cs="宋体"/>
                <w:color w:val="auto"/>
                <w:sz w:val="20"/>
                <w:szCs w:val="20"/>
              </w:rPr>
              <w:t xml:space="preserve"> </w:t>
            </w:r>
            <w:r>
              <w:rPr>
                <w:rFonts w:ascii="宋体" w:hAnsi="宋体" w:eastAsia="宋体" w:cs="宋体"/>
                <w:color w:val="auto"/>
                <w:spacing w:val="8"/>
                <w:sz w:val="20"/>
                <w:szCs w:val="20"/>
              </w:rPr>
              <w:t>采购云平台”拒收</w:t>
            </w:r>
            <w:r>
              <w:rPr>
                <w:rFonts w:ascii="宋体" w:hAnsi="宋体" w:eastAsia="宋体" w:cs="宋体"/>
                <w:color w:val="auto"/>
                <w:spacing w:val="6"/>
                <w:sz w:val="20"/>
                <w:szCs w:val="20"/>
              </w:rPr>
              <w:t>。</w:t>
            </w:r>
          </w:p>
          <w:p w14:paraId="585758B9">
            <w:pPr>
              <w:spacing w:before="190" w:line="240" w:lineRule="auto"/>
              <w:ind w:left="115" w:leftChars="0" w:right="116" w:rightChars="0"/>
              <w:rPr>
                <w:rFonts w:ascii="宋体" w:hAnsi="宋体" w:eastAsia="宋体" w:cs="宋体"/>
                <w:snapToGrid w:val="0"/>
                <w:color w:val="auto"/>
                <w:kern w:val="0"/>
                <w:sz w:val="20"/>
                <w:szCs w:val="20"/>
              </w:rPr>
            </w:pPr>
            <w:r>
              <w:rPr>
                <w:rFonts w:ascii="宋体" w:hAnsi="宋体" w:eastAsia="宋体" w:cs="宋体"/>
                <w:color w:val="auto"/>
                <w:spacing w:val="15"/>
                <w:sz w:val="20"/>
                <w:szCs w:val="20"/>
              </w:rPr>
              <w:t>6</w:t>
            </w:r>
            <w:r>
              <w:rPr>
                <w:rFonts w:ascii="宋体" w:hAnsi="宋体" w:eastAsia="宋体" w:cs="宋体"/>
                <w:color w:val="auto"/>
                <w:spacing w:val="9"/>
                <w:sz w:val="20"/>
                <w:szCs w:val="20"/>
              </w:rPr>
              <w:t>、未中标的投标人的投标保证金，将在中标通知书发出</w:t>
            </w:r>
            <w:r>
              <w:rPr>
                <w:rFonts w:ascii="宋体" w:hAnsi="宋体" w:eastAsia="宋体" w:cs="宋体"/>
                <w:color w:val="auto"/>
                <w:sz w:val="20"/>
                <w:szCs w:val="20"/>
              </w:rPr>
              <w:t xml:space="preserve"> </w:t>
            </w:r>
            <w:r>
              <w:rPr>
                <w:rFonts w:ascii="宋体" w:hAnsi="宋体" w:eastAsia="宋体" w:cs="宋体"/>
                <w:color w:val="auto"/>
                <w:spacing w:val="9"/>
                <w:sz w:val="20"/>
                <w:szCs w:val="20"/>
              </w:rPr>
              <w:t>后</w:t>
            </w:r>
            <w:r>
              <w:rPr>
                <w:rFonts w:ascii="宋体" w:hAnsi="宋体" w:eastAsia="宋体" w:cs="宋体"/>
                <w:color w:val="auto"/>
                <w:spacing w:val="5"/>
                <w:sz w:val="20"/>
                <w:szCs w:val="20"/>
              </w:rPr>
              <w:t xml:space="preserve"> 5 个工作日内退还，但因投标人自身原因导致无法及时</w:t>
            </w:r>
            <w:r>
              <w:rPr>
                <w:rFonts w:ascii="宋体" w:hAnsi="宋体" w:eastAsia="宋体" w:cs="宋体"/>
                <w:color w:val="auto"/>
                <w:sz w:val="20"/>
                <w:szCs w:val="20"/>
              </w:rPr>
              <w:t xml:space="preserve"> </w:t>
            </w:r>
            <w:r>
              <w:rPr>
                <w:rFonts w:ascii="宋体" w:hAnsi="宋体" w:eastAsia="宋体" w:cs="宋体"/>
                <w:color w:val="auto"/>
                <w:spacing w:val="18"/>
                <w:sz w:val="20"/>
                <w:szCs w:val="20"/>
              </w:rPr>
              <w:t>退</w:t>
            </w:r>
            <w:r>
              <w:rPr>
                <w:rFonts w:ascii="宋体" w:hAnsi="宋体" w:eastAsia="宋体" w:cs="宋体"/>
                <w:color w:val="auto"/>
                <w:spacing w:val="14"/>
                <w:sz w:val="20"/>
                <w:szCs w:val="20"/>
              </w:rPr>
              <w:t>还</w:t>
            </w:r>
            <w:r>
              <w:rPr>
                <w:rFonts w:ascii="宋体" w:hAnsi="宋体" w:eastAsia="宋体" w:cs="宋体"/>
                <w:color w:val="auto"/>
                <w:spacing w:val="9"/>
                <w:sz w:val="20"/>
                <w:szCs w:val="20"/>
              </w:rPr>
              <w:t>的除外。中标的投标人的投标保证金，将在政府采购</w:t>
            </w:r>
            <w:r>
              <w:rPr>
                <w:rFonts w:ascii="宋体" w:hAnsi="宋体" w:eastAsia="宋体" w:cs="宋体"/>
                <w:color w:val="auto"/>
                <w:sz w:val="20"/>
                <w:szCs w:val="20"/>
              </w:rPr>
              <w:t xml:space="preserve"> </w:t>
            </w:r>
            <w:r>
              <w:rPr>
                <w:rFonts w:ascii="宋体" w:hAnsi="宋体" w:eastAsia="宋体" w:cs="宋体"/>
                <w:color w:val="auto"/>
                <w:spacing w:val="2"/>
                <w:sz w:val="20"/>
                <w:szCs w:val="20"/>
              </w:rPr>
              <w:t>合同签</w:t>
            </w:r>
            <w:r>
              <w:rPr>
                <w:rFonts w:ascii="宋体" w:hAnsi="宋体" w:eastAsia="宋体" w:cs="宋体"/>
                <w:color w:val="auto"/>
                <w:spacing w:val="1"/>
                <w:sz w:val="20"/>
                <w:szCs w:val="20"/>
              </w:rPr>
              <w:t>订后 5 个工作日内退还。</w:t>
            </w:r>
          </w:p>
        </w:tc>
      </w:tr>
    </w:tbl>
    <w:tbl>
      <w:tblPr>
        <w:tblStyle w:val="17"/>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916"/>
        <w:gridCol w:w="1709"/>
        <w:gridCol w:w="7"/>
        <w:gridCol w:w="5465"/>
      </w:tblGrid>
      <w:tr w14:paraId="4BEB2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22" w:type="dxa"/>
            <w:vAlign w:val="top"/>
          </w:tcPr>
          <w:p w14:paraId="251B95C5">
            <w:pPr>
              <w:spacing w:line="243" w:lineRule="auto"/>
              <w:rPr>
                <w:rFonts w:ascii="Arial"/>
                <w:color w:val="auto"/>
                <w:sz w:val="21"/>
              </w:rPr>
            </w:pPr>
          </w:p>
          <w:p w14:paraId="3EA4B69A">
            <w:pPr>
              <w:spacing w:line="243" w:lineRule="auto"/>
              <w:rPr>
                <w:rFonts w:ascii="Arial"/>
                <w:color w:val="auto"/>
                <w:sz w:val="21"/>
              </w:rPr>
            </w:pPr>
          </w:p>
          <w:p w14:paraId="61D02FC1">
            <w:pPr>
              <w:spacing w:line="243" w:lineRule="auto"/>
              <w:rPr>
                <w:rFonts w:ascii="Arial"/>
                <w:color w:val="auto"/>
                <w:sz w:val="21"/>
              </w:rPr>
            </w:pPr>
          </w:p>
          <w:p w14:paraId="779C9643">
            <w:pPr>
              <w:spacing w:line="244" w:lineRule="auto"/>
              <w:rPr>
                <w:rFonts w:ascii="Arial"/>
                <w:color w:val="auto"/>
                <w:sz w:val="21"/>
              </w:rPr>
            </w:pPr>
          </w:p>
          <w:p w14:paraId="50D5C09A">
            <w:pPr>
              <w:spacing w:before="65" w:line="191" w:lineRule="auto"/>
              <w:ind w:left="254"/>
              <w:rPr>
                <w:rFonts w:ascii="宋体" w:hAnsi="宋体" w:eastAsia="宋体" w:cs="宋体"/>
                <w:color w:val="auto"/>
                <w:sz w:val="20"/>
                <w:szCs w:val="20"/>
              </w:rPr>
            </w:pPr>
            <w:r>
              <w:rPr>
                <w:rFonts w:ascii="宋体" w:hAnsi="宋体" w:eastAsia="宋体" w:cs="宋体"/>
                <w:color w:val="auto"/>
                <w:spacing w:val="9"/>
                <w:sz w:val="20"/>
                <w:szCs w:val="20"/>
              </w:rPr>
              <w:t>6</w:t>
            </w:r>
            <w:r>
              <w:rPr>
                <w:rFonts w:ascii="宋体" w:hAnsi="宋体" w:eastAsia="宋体" w:cs="宋体"/>
                <w:color w:val="auto"/>
                <w:spacing w:val="6"/>
                <w:sz w:val="20"/>
                <w:szCs w:val="20"/>
              </w:rPr>
              <w:t>.1.1</w:t>
            </w:r>
          </w:p>
        </w:tc>
        <w:tc>
          <w:tcPr>
            <w:tcW w:w="2632" w:type="dxa"/>
            <w:gridSpan w:val="3"/>
            <w:vAlign w:val="top"/>
          </w:tcPr>
          <w:p w14:paraId="2A8DA6D8">
            <w:pPr>
              <w:spacing w:line="313" w:lineRule="auto"/>
              <w:rPr>
                <w:rFonts w:ascii="Arial"/>
                <w:color w:val="auto"/>
                <w:sz w:val="21"/>
              </w:rPr>
            </w:pPr>
          </w:p>
          <w:p w14:paraId="7AB2EFDE">
            <w:pPr>
              <w:spacing w:line="314" w:lineRule="auto"/>
              <w:rPr>
                <w:rFonts w:ascii="Arial"/>
                <w:color w:val="auto"/>
                <w:sz w:val="21"/>
              </w:rPr>
            </w:pPr>
          </w:p>
          <w:p w14:paraId="4F3A48C8">
            <w:pPr>
              <w:spacing w:line="314" w:lineRule="auto"/>
              <w:rPr>
                <w:rFonts w:ascii="Arial"/>
                <w:color w:val="auto"/>
                <w:sz w:val="21"/>
              </w:rPr>
            </w:pPr>
          </w:p>
          <w:p w14:paraId="09D65A4B">
            <w:pPr>
              <w:spacing w:before="65" w:line="225" w:lineRule="auto"/>
              <w:ind w:left="480"/>
              <w:rPr>
                <w:rFonts w:ascii="宋体" w:hAnsi="宋体" w:eastAsia="宋体" w:cs="宋体"/>
                <w:color w:val="auto"/>
                <w:sz w:val="20"/>
                <w:szCs w:val="20"/>
              </w:rPr>
            </w:pPr>
            <w:r>
              <w:rPr>
                <w:rFonts w:ascii="宋体" w:hAnsi="宋体" w:eastAsia="宋体" w:cs="宋体"/>
                <w:color w:val="auto"/>
                <w:spacing w:val="9"/>
                <w:sz w:val="20"/>
                <w:szCs w:val="20"/>
              </w:rPr>
              <w:t>评标委员会的组</w:t>
            </w:r>
            <w:r>
              <w:rPr>
                <w:rFonts w:ascii="宋体" w:hAnsi="宋体" w:eastAsia="宋体" w:cs="宋体"/>
                <w:color w:val="auto"/>
                <w:spacing w:val="7"/>
                <w:sz w:val="20"/>
                <w:szCs w:val="20"/>
              </w:rPr>
              <w:t>建</w:t>
            </w:r>
          </w:p>
        </w:tc>
        <w:tc>
          <w:tcPr>
            <w:tcW w:w="5465" w:type="dxa"/>
            <w:vAlign w:val="top"/>
          </w:tcPr>
          <w:p w14:paraId="29A3466B">
            <w:pPr>
              <w:spacing w:before="113" w:line="332" w:lineRule="auto"/>
              <w:ind w:left="113" w:right="106"/>
              <w:rPr>
                <w:rFonts w:ascii="宋体" w:hAnsi="宋体" w:eastAsia="宋体" w:cs="宋体"/>
                <w:color w:val="auto"/>
                <w:sz w:val="20"/>
                <w:szCs w:val="20"/>
              </w:rPr>
            </w:pPr>
            <w:r>
              <w:rPr>
                <w:rFonts w:ascii="宋体" w:hAnsi="宋体" w:eastAsia="宋体" w:cs="宋体"/>
                <w:color w:val="auto"/>
                <w:spacing w:val="5"/>
                <w:sz w:val="20"/>
                <w:szCs w:val="20"/>
              </w:rPr>
              <w:t>评标委员会构成：</w:t>
            </w:r>
            <w:r>
              <w:rPr>
                <w:rFonts w:ascii="宋体" w:hAnsi="宋体" w:eastAsia="宋体" w:cs="宋体"/>
                <w:color w:val="auto"/>
                <w:spacing w:val="5"/>
                <w:sz w:val="20"/>
                <w:szCs w:val="20"/>
                <w:u w:val="single"/>
              </w:rPr>
              <w:t xml:space="preserve"> </w:t>
            </w:r>
            <w:r>
              <w:rPr>
                <w:rFonts w:hint="eastAsia" w:ascii="宋体" w:hAnsi="宋体" w:eastAsia="宋体" w:cs="宋体"/>
                <w:color w:val="auto"/>
                <w:spacing w:val="5"/>
                <w:sz w:val="20"/>
                <w:szCs w:val="20"/>
                <w:u w:val="single" w:color="auto"/>
                <w:lang w:val="en-US" w:eastAsia="zh-CN"/>
              </w:rPr>
              <w:t>3</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 xml:space="preserve">人，其中招标人代表 </w:t>
            </w:r>
            <w:r>
              <w:rPr>
                <w:rFonts w:ascii="宋体" w:hAnsi="宋体" w:eastAsia="宋体" w:cs="宋体"/>
                <w:color w:val="auto"/>
                <w:spacing w:val="5"/>
                <w:sz w:val="20"/>
                <w:szCs w:val="20"/>
                <w:u w:val="single" w:color="auto"/>
              </w:rPr>
              <w:t xml:space="preserve">0 </w:t>
            </w:r>
            <w:r>
              <w:rPr>
                <w:rFonts w:ascii="宋体" w:hAnsi="宋体" w:eastAsia="宋体" w:cs="宋体"/>
                <w:color w:val="auto"/>
                <w:spacing w:val="5"/>
                <w:sz w:val="20"/>
                <w:szCs w:val="20"/>
              </w:rPr>
              <w:t>人 (限招</w:t>
            </w:r>
            <w:r>
              <w:rPr>
                <w:rFonts w:ascii="宋体" w:hAnsi="宋体" w:eastAsia="宋体" w:cs="宋体"/>
                <w:color w:val="auto"/>
                <w:spacing w:val="3"/>
                <w:sz w:val="20"/>
                <w:szCs w:val="20"/>
              </w:rPr>
              <w:t>标</w:t>
            </w:r>
            <w:r>
              <w:rPr>
                <w:rFonts w:ascii="宋体" w:hAnsi="宋体" w:eastAsia="宋体" w:cs="宋体"/>
                <w:color w:val="auto"/>
                <w:sz w:val="20"/>
                <w:szCs w:val="20"/>
              </w:rPr>
              <w:t xml:space="preserve"> </w:t>
            </w:r>
            <w:r>
              <w:rPr>
                <w:rFonts w:ascii="宋体" w:hAnsi="宋体" w:eastAsia="宋体" w:cs="宋体"/>
                <w:color w:val="auto"/>
                <w:spacing w:val="36"/>
                <w:sz w:val="20"/>
                <w:szCs w:val="20"/>
              </w:rPr>
              <w:t>人</w:t>
            </w:r>
            <w:r>
              <w:rPr>
                <w:rFonts w:ascii="宋体" w:hAnsi="宋体" w:eastAsia="宋体" w:cs="宋体"/>
                <w:color w:val="auto"/>
                <w:spacing w:val="19"/>
                <w:sz w:val="20"/>
                <w:szCs w:val="20"/>
              </w:rPr>
              <w:t>在</w:t>
            </w:r>
            <w:r>
              <w:rPr>
                <w:rFonts w:ascii="宋体" w:hAnsi="宋体" w:eastAsia="宋体" w:cs="宋体"/>
                <w:color w:val="auto"/>
                <w:spacing w:val="18"/>
                <w:sz w:val="20"/>
                <w:szCs w:val="20"/>
              </w:rPr>
              <w:t>职人员，且应当具备评标专家相应的或者类似的条</w:t>
            </w:r>
            <w:r>
              <w:rPr>
                <w:rFonts w:ascii="宋体" w:hAnsi="宋体" w:eastAsia="宋体" w:cs="宋体"/>
                <w:color w:val="auto"/>
                <w:spacing w:val="-6"/>
                <w:sz w:val="20"/>
                <w:szCs w:val="20"/>
              </w:rPr>
              <w:t>件)</w:t>
            </w:r>
            <w:r>
              <w:rPr>
                <w:rFonts w:ascii="宋体" w:hAnsi="宋体" w:eastAsia="宋体" w:cs="宋体"/>
                <w:color w:val="auto"/>
                <w:spacing w:val="-3"/>
                <w:sz w:val="20"/>
                <w:szCs w:val="20"/>
              </w:rPr>
              <w:t xml:space="preserve"> ，专家 </w:t>
            </w:r>
            <w:r>
              <w:rPr>
                <w:rFonts w:hint="eastAsia" w:ascii="宋体" w:hAnsi="宋体" w:eastAsia="宋体" w:cs="宋体"/>
                <w:color w:val="auto"/>
                <w:spacing w:val="-3"/>
                <w:sz w:val="20"/>
                <w:szCs w:val="20"/>
                <w:u w:val="single" w:color="auto"/>
                <w:lang w:val="en-US" w:eastAsia="zh-CN"/>
              </w:rPr>
              <w:t>3</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人；</w:t>
            </w:r>
            <w:r>
              <w:rPr>
                <w:rFonts w:ascii="宋体" w:hAnsi="宋体" w:eastAsia="宋体" w:cs="宋体"/>
                <w:color w:val="auto"/>
                <w:sz w:val="20"/>
                <w:szCs w:val="20"/>
              </w:rPr>
              <w:t xml:space="preserve">                                    </w:t>
            </w:r>
            <w:r>
              <w:rPr>
                <w:rFonts w:ascii="宋体" w:hAnsi="宋体" w:eastAsia="宋体" w:cs="宋体"/>
                <w:color w:val="auto"/>
                <w:spacing w:val="16"/>
                <w:sz w:val="20"/>
                <w:szCs w:val="20"/>
              </w:rPr>
              <w:t>□</w:t>
            </w:r>
            <w:r>
              <w:rPr>
                <w:rFonts w:ascii="宋体" w:hAnsi="宋体" w:eastAsia="宋体" w:cs="宋体"/>
                <w:color w:val="auto"/>
                <w:spacing w:val="8"/>
                <w:sz w:val="20"/>
                <w:szCs w:val="20"/>
              </w:rPr>
              <w:t>分  组     技术组</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人，经济组</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人。</w:t>
            </w:r>
            <w:r>
              <w:rPr>
                <w:rFonts w:ascii="宋体" w:hAnsi="宋体" w:eastAsia="宋体" w:cs="宋体"/>
                <w:color w:val="auto"/>
                <w:sz w:val="20"/>
                <w:szCs w:val="20"/>
              </w:rPr>
              <w:t xml:space="preserve">                </w:t>
            </w:r>
            <w:r>
              <w:rPr>
                <w:rFonts w:ascii="MS PMincho" w:hAnsi="MS PMincho" w:eastAsia="MS PMincho" w:cs="MS PMincho"/>
                <w:color w:val="auto"/>
                <w:spacing w:val="9"/>
                <w:sz w:val="20"/>
                <w:szCs w:val="20"/>
              </w:rPr>
              <w:t>☑</w:t>
            </w:r>
            <w:r>
              <w:rPr>
                <w:rFonts w:ascii="宋体" w:hAnsi="宋体" w:eastAsia="宋体" w:cs="宋体"/>
                <w:color w:val="auto"/>
                <w:spacing w:val="7"/>
                <w:sz w:val="20"/>
                <w:szCs w:val="20"/>
              </w:rPr>
              <w:t>不分组</w:t>
            </w:r>
          </w:p>
          <w:p w14:paraId="6460D9CC">
            <w:pPr>
              <w:spacing w:before="1" w:line="226" w:lineRule="auto"/>
              <w:ind w:left="113"/>
              <w:rPr>
                <w:rFonts w:ascii="宋体" w:hAnsi="宋体" w:eastAsia="宋体" w:cs="宋体"/>
                <w:color w:val="auto"/>
                <w:sz w:val="20"/>
                <w:szCs w:val="20"/>
              </w:rPr>
            </w:pPr>
            <w:r>
              <w:rPr>
                <w:rFonts w:ascii="宋体" w:hAnsi="宋体" w:eastAsia="宋体" w:cs="宋体"/>
                <w:color w:val="auto"/>
                <w:spacing w:val="18"/>
                <w:sz w:val="20"/>
                <w:szCs w:val="20"/>
              </w:rPr>
              <w:t>评</w:t>
            </w:r>
            <w:r>
              <w:rPr>
                <w:rFonts w:ascii="宋体" w:hAnsi="宋体" w:eastAsia="宋体" w:cs="宋体"/>
                <w:color w:val="auto"/>
                <w:spacing w:val="10"/>
                <w:sz w:val="20"/>
                <w:szCs w:val="20"/>
              </w:rPr>
              <w:t>标</w:t>
            </w:r>
            <w:r>
              <w:rPr>
                <w:rFonts w:ascii="宋体" w:hAnsi="宋体" w:eastAsia="宋体" w:cs="宋体"/>
                <w:color w:val="auto"/>
                <w:spacing w:val="9"/>
                <w:sz w:val="20"/>
                <w:szCs w:val="20"/>
              </w:rPr>
              <w:t>专家确定方式：</w:t>
            </w:r>
            <w:r>
              <w:rPr>
                <w:rFonts w:ascii="宋体" w:hAnsi="宋体" w:eastAsia="宋体" w:cs="宋体"/>
                <w:color w:val="auto"/>
                <w:spacing w:val="9"/>
                <w:sz w:val="20"/>
                <w:szCs w:val="20"/>
                <w:u w:val="single" w:color="auto"/>
              </w:rPr>
              <w:t>政采云系统专家库随机抽取</w:t>
            </w:r>
          </w:p>
        </w:tc>
      </w:tr>
      <w:tr w14:paraId="20F2E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07B52DF5">
            <w:pPr>
              <w:spacing w:line="258" w:lineRule="auto"/>
              <w:rPr>
                <w:rFonts w:ascii="Arial"/>
                <w:color w:val="auto"/>
                <w:sz w:val="21"/>
              </w:rPr>
            </w:pPr>
          </w:p>
          <w:p w14:paraId="69C901BB">
            <w:pPr>
              <w:spacing w:before="65" w:line="191" w:lineRule="auto"/>
              <w:ind w:left="363"/>
              <w:rPr>
                <w:rFonts w:ascii="宋体" w:hAnsi="宋体" w:eastAsia="宋体" w:cs="宋体"/>
                <w:color w:val="auto"/>
                <w:sz w:val="20"/>
                <w:szCs w:val="20"/>
              </w:rPr>
            </w:pPr>
            <w:r>
              <w:rPr>
                <w:rFonts w:ascii="宋体" w:hAnsi="宋体" w:eastAsia="宋体" w:cs="宋体"/>
                <w:color w:val="auto"/>
                <w:spacing w:val="7"/>
                <w:sz w:val="20"/>
                <w:szCs w:val="20"/>
              </w:rPr>
              <w:t>7.1</w:t>
            </w:r>
          </w:p>
        </w:tc>
        <w:tc>
          <w:tcPr>
            <w:tcW w:w="2632" w:type="dxa"/>
            <w:gridSpan w:val="3"/>
            <w:vAlign w:val="top"/>
          </w:tcPr>
          <w:p w14:paraId="734B934D">
            <w:pPr>
              <w:spacing w:before="112" w:line="281" w:lineRule="auto"/>
              <w:ind w:left="1026" w:right="159" w:hanging="856"/>
              <w:rPr>
                <w:rFonts w:ascii="宋体" w:hAnsi="宋体" w:eastAsia="宋体" w:cs="宋体"/>
                <w:color w:val="auto"/>
                <w:sz w:val="20"/>
                <w:szCs w:val="20"/>
              </w:rPr>
            </w:pPr>
            <w:r>
              <w:rPr>
                <w:rFonts w:ascii="宋体" w:hAnsi="宋体" w:eastAsia="宋体" w:cs="宋体"/>
                <w:color w:val="auto"/>
                <w:spacing w:val="9"/>
                <w:sz w:val="20"/>
                <w:szCs w:val="20"/>
              </w:rPr>
              <w:t>是否授权评标委员会确</w:t>
            </w:r>
            <w:r>
              <w:rPr>
                <w:rFonts w:ascii="宋体" w:hAnsi="宋体" w:eastAsia="宋体" w:cs="宋体"/>
                <w:color w:val="auto"/>
                <w:spacing w:val="7"/>
                <w:sz w:val="20"/>
                <w:szCs w:val="20"/>
              </w:rPr>
              <w:t>定</w:t>
            </w:r>
            <w:r>
              <w:rPr>
                <w:rFonts w:ascii="宋体" w:hAnsi="宋体" w:eastAsia="宋体" w:cs="宋体"/>
                <w:color w:val="auto"/>
                <w:spacing w:val="1"/>
                <w:sz w:val="20"/>
                <w:szCs w:val="20"/>
              </w:rPr>
              <w:t>中</w:t>
            </w:r>
            <w:r>
              <w:rPr>
                <w:rFonts w:ascii="宋体" w:hAnsi="宋体" w:eastAsia="宋体" w:cs="宋体"/>
                <w:color w:val="auto"/>
                <w:sz w:val="20"/>
                <w:szCs w:val="20"/>
              </w:rPr>
              <w:t>标人</w:t>
            </w:r>
          </w:p>
        </w:tc>
        <w:tc>
          <w:tcPr>
            <w:tcW w:w="5465" w:type="dxa"/>
            <w:vAlign w:val="top"/>
          </w:tcPr>
          <w:p w14:paraId="6DD144AD">
            <w:pPr>
              <w:spacing w:before="112" w:line="232" w:lineRule="auto"/>
              <w:ind w:left="136"/>
              <w:rPr>
                <w:rFonts w:ascii="宋体" w:hAnsi="宋体" w:eastAsia="宋体" w:cs="宋体"/>
                <w:color w:val="auto"/>
                <w:sz w:val="20"/>
                <w:szCs w:val="20"/>
              </w:rPr>
            </w:pPr>
            <w:r>
              <w:rPr>
                <w:rFonts w:ascii="宋体" w:hAnsi="宋体" w:eastAsia="宋体" w:cs="宋体"/>
                <w:color w:val="auto"/>
                <w:spacing w:val="-6"/>
                <w:sz w:val="20"/>
                <w:szCs w:val="20"/>
              </w:rPr>
              <w:t>□是</w:t>
            </w:r>
          </w:p>
          <w:p w14:paraId="5620E14F">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3"/>
                <w:sz w:val="20"/>
                <w:szCs w:val="20"/>
              </w:rPr>
              <w:t>☑</w:t>
            </w:r>
            <w:r>
              <w:rPr>
                <w:rFonts w:ascii="宋体" w:hAnsi="宋体" w:eastAsia="宋体" w:cs="宋体"/>
                <w:color w:val="auto"/>
                <w:spacing w:val="8"/>
                <w:sz w:val="20"/>
                <w:szCs w:val="20"/>
              </w:rPr>
              <w:t>否，推荐的中标候选人数：</w:t>
            </w:r>
            <w:r>
              <w:rPr>
                <w:rFonts w:ascii="宋体" w:hAnsi="宋体" w:eastAsia="宋体" w:cs="宋体"/>
                <w:color w:val="auto"/>
                <w:spacing w:val="8"/>
                <w:sz w:val="20"/>
                <w:szCs w:val="20"/>
                <w:u w:val="single"/>
              </w:rPr>
              <w:t xml:space="preserve">3 </w:t>
            </w:r>
            <w:r>
              <w:rPr>
                <w:rFonts w:ascii="宋体" w:hAnsi="宋体" w:eastAsia="宋体" w:cs="宋体"/>
                <w:color w:val="auto"/>
                <w:spacing w:val="8"/>
                <w:sz w:val="20"/>
                <w:szCs w:val="20"/>
              </w:rPr>
              <w:t>人</w:t>
            </w:r>
          </w:p>
        </w:tc>
      </w:tr>
      <w:tr w14:paraId="371E2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22" w:type="dxa"/>
            <w:vAlign w:val="top"/>
          </w:tcPr>
          <w:p w14:paraId="0ADA42B2">
            <w:pPr>
              <w:spacing w:line="307" w:lineRule="auto"/>
              <w:rPr>
                <w:rFonts w:ascii="Arial"/>
                <w:color w:val="auto"/>
                <w:sz w:val="21"/>
              </w:rPr>
            </w:pPr>
          </w:p>
          <w:p w14:paraId="2351A0CF">
            <w:pPr>
              <w:spacing w:before="65" w:line="191" w:lineRule="auto"/>
              <w:jc w:val="center"/>
              <w:rPr>
                <w:rFonts w:ascii="宋体" w:hAnsi="宋体" w:eastAsia="宋体" w:cs="宋体"/>
                <w:color w:val="auto"/>
                <w:sz w:val="20"/>
                <w:szCs w:val="20"/>
              </w:rPr>
            </w:pPr>
            <w:r>
              <w:rPr>
                <w:rFonts w:ascii="宋体" w:hAnsi="宋体" w:eastAsia="宋体" w:cs="宋体"/>
                <w:color w:val="auto"/>
                <w:spacing w:val="6"/>
                <w:sz w:val="20"/>
                <w:szCs w:val="20"/>
              </w:rPr>
              <w:t>7.3.1</w:t>
            </w:r>
          </w:p>
        </w:tc>
        <w:tc>
          <w:tcPr>
            <w:tcW w:w="2632" w:type="dxa"/>
            <w:gridSpan w:val="3"/>
            <w:vAlign w:val="top"/>
          </w:tcPr>
          <w:p w14:paraId="640C1A3A">
            <w:pPr>
              <w:spacing w:line="291" w:lineRule="auto"/>
              <w:rPr>
                <w:rFonts w:ascii="Arial"/>
                <w:color w:val="auto"/>
                <w:sz w:val="21"/>
              </w:rPr>
            </w:pPr>
          </w:p>
          <w:p w14:paraId="1F934591">
            <w:pPr>
              <w:spacing w:before="65" w:line="229" w:lineRule="auto"/>
              <w:jc w:val="center"/>
              <w:rPr>
                <w:rFonts w:ascii="宋体" w:hAnsi="宋体" w:eastAsia="宋体" w:cs="宋体"/>
                <w:color w:val="auto"/>
                <w:sz w:val="20"/>
                <w:szCs w:val="20"/>
              </w:rPr>
            </w:pPr>
            <w:r>
              <w:rPr>
                <w:rFonts w:ascii="宋体" w:hAnsi="宋体" w:eastAsia="宋体" w:cs="宋体"/>
                <w:color w:val="auto"/>
                <w:spacing w:val="8"/>
                <w:sz w:val="20"/>
                <w:szCs w:val="20"/>
              </w:rPr>
              <w:t>履</w:t>
            </w:r>
            <w:r>
              <w:rPr>
                <w:rFonts w:ascii="宋体" w:hAnsi="宋体" w:eastAsia="宋体" w:cs="宋体"/>
                <w:color w:val="auto"/>
                <w:spacing w:val="6"/>
                <w:sz w:val="20"/>
                <w:szCs w:val="20"/>
              </w:rPr>
              <w:t>约担保</w:t>
            </w:r>
          </w:p>
        </w:tc>
        <w:tc>
          <w:tcPr>
            <w:tcW w:w="5465" w:type="dxa"/>
            <w:vAlign w:val="top"/>
          </w:tcPr>
          <w:p w14:paraId="37E5A109">
            <w:pPr>
              <w:spacing w:before="111" w:line="228" w:lineRule="auto"/>
              <w:ind w:left="118"/>
              <w:rPr>
                <w:rFonts w:hint="default" w:ascii="宋体" w:hAnsi="宋体" w:eastAsia="宋体" w:cs="宋体"/>
                <w:color w:val="auto"/>
                <w:sz w:val="20"/>
                <w:szCs w:val="20"/>
                <w:lang w:val="en-US" w:eastAsia="zh-CN"/>
              </w:rPr>
            </w:pPr>
            <w:r>
              <w:rPr>
                <w:rFonts w:ascii="宋体" w:hAnsi="宋体" w:eastAsia="宋体" w:cs="宋体"/>
                <w:color w:val="auto"/>
                <w:spacing w:val="8"/>
                <w:sz w:val="20"/>
                <w:szCs w:val="20"/>
              </w:rPr>
              <w:t>履约</w:t>
            </w:r>
            <w:r>
              <w:rPr>
                <w:rFonts w:ascii="宋体" w:hAnsi="宋体" w:eastAsia="宋体" w:cs="宋体"/>
                <w:color w:val="auto"/>
                <w:spacing w:val="5"/>
                <w:sz w:val="20"/>
                <w:szCs w:val="20"/>
              </w:rPr>
              <w:t>担</w:t>
            </w:r>
            <w:r>
              <w:rPr>
                <w:rFonts w:ascii="宋体" w:hAnsi="宋体" w:eastAsia="宋体" w:cs="宋体"/>
                <w:color w:val="auto"/>
                <w:spacing w:val="4"/>
                <w:sz w:val="20"/>
                <w:szCs w:val="20"/>
              </w:rPr>
              <w:t xml:space="preserve">保的形式： </w:t>
            </w:r>
            <w:r>
              <w:rPr>
                <w:rFonts w:hint="eastAsia" w:ascii="宋体" w:hAnsi="宋体" w:eastAsia="宋体" w:cs="宋体"/>
                <w:color w:val="auto"/>
                <w:spacing w:val="4"/>
                <w:sz w:val="20"/>
                <w:szCs w:val="20"/>
                <w:u w:val="single" w:color="auto"/>
                <w:lang w:val="en-US" w:eastAsia="zh-CN"/>
              </w:rPr>
              <w:t>电汇、转账、保函等</w:t>
            </w:r>
          </w:p>
          <w:p w14:paraId="6FBB000F">
            <w:pPr>
              <w:spacing w:before="113" w:line="227" w:lineRule="auto"/>
              <w:ind w:left="118"/>
              <w:rPr>
                <w:rFonts w:hint="default" w:ascii="宋体" w:hAnsi="宋体" w:eastAsia="宋体" w:cs="宋体"/>
                <w:color w:val="auto"/>
                <w:sz w:val="20"/>
                <w:szCs w:val="20"/>
                <w:lang w:val="en-US" w:eastAsia="zh-CN"/>
              </w:rPr>
            </w:pPr>
            <w:r>
              <w:rPr>
                <w:rFonts w:ascii="宋体" w:hAnsi="宋体" w:eastAsia="宋体" w:cs="宋体"/>
                <w:color w:val="auto"/>
                <w:spacing w:val="11"/>
                <w:sz w:val="20"/>
                <w:szCs w:val="20"/>
              </w:rPr>
              <w:t>履</w:t>
            </w:r>
            <w:r>
              <w:rPr>
                <w:rFonts w:ascii="宋体" w:hAnsi="宋体" w:eastAsia="宋体" w:cs="宋体"/>
                <w:color w:val="auto"/>
                <w:spacing w:val="8"/>
                <w:sz w:val="20"/>
                <w:szCs w:val="20"/>
              </w:rPr>
              <w:t>约担保的金额：</w:t>
            </w:r>
            <w:r>
              <w:rPr>
                <w:rFonts w:hint="eastAsia" w:ascii="宋体" w:hAnsi="宋体" w:eastAsia="宋体" w:cs="宋体"/>
                <w:color w:val="auto"/>
                <w:spacing w:val="8"/>
                <w:sz w:val="20"/>
                <w:szCs w:val="20"/>
                <w:u w:val="single" w:color="auto"/>
                <w:lang w:val="en-US" w:eastAsia="zh-CN"/>
              </w:rPr>
              <w:t>甲乙双方自行协商</w:t>
            </w:r>
          </w:p>
        </w:tc>
      </w:tr>
      <w:tr w14:paraId="560DA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3FB8253E">
            <w:pPr>
              <w:spacing w:before="140" w:line="191" w:lineRule="auto"/>
              <w:ind w:left="359"/>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8</w:t>
            </w:r>
            <w:r>
              <w:rPr>
                <w:rFonts w:ascii="宋体" w:hAnsi="宋体" w:eastAsia="宋体" w:cs="宋体"/>
                <w:color w:val="auto"/>
                <w:spacing w:val="8"/>
                <w:sz w:val="20"/>
                <w:szCs w:val="20"/>
              </w:rPr>
              <w:t>.1</w:t>
            </w:r>
          </w:p>
        </w:tc>
        <w:tc>
          <w:tcPr>
            <w:tcW w:w="8097" w:type="dxa"/>
            <w:gridSpan w:val="4"/>
            <w:vAlign w:val="top"/>
          </w:tcPr>
          <w:p w14:paraId="2241539C">
            <w:pPr>
              <w:spacing w:before="108" w:line="227" w:lineRule="auto"/>
              <w:ind w:left="112"/>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r>
      <w:tr w14:paraId="39ED6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top"/>
          </w:tcPr>
          <w:p w14:paraId="2B6B5702">
            <w:pPr>
              <w:rPr>
                <w:rFonts w:ascii="Arial"/>
                <w:color w:val="auto"/>
                <w:sz w:val="21"/>
              </w:rPr>
            </w:pPr>
          </w:p>
        </w:tc>
        <w:tc>
          <w:tcPr>
            <w:tcW w:w="2625" w:type="dxa"/>
            <w:gridSpan w:val="2"/>
            <w:vAlign w:val="top"/>
          </w:tcPr>
          <w:p w14:paraId="54E7ADF3">
            <w:pPr>
              <w:spacing w:line="357" w:lineRule="auto"/>
              <w:rPr>
                <w:rFonts w:ascii="Arial"/>
                <w:color w:val="auto"/>
                <w:sz w:val="21"/>
              </w:rPr>
            </w:pPr>
          </w:p>
          <w:p w14:paraId="44C25C8B">
            <w:pPr>
              <w:spacing w:before="65" w:line="227" w:lineRule="auto"/>
              <w:jc w:val="center"/>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c>
          <w:tcPr>
            <w:tcW w:w="5472" w:type="dxa"/>
            <w:gridSpan w:val="2"/>
            <w:vAlign w:val="top"/>
          </w:tcPr>
          <w:p w14:paraId="324CC675">
            <w:pPr>
              <w:spacing w:before="182" w:line="360" w:lineRule="exact"/>
              <w:ind w:left="143"/>
              <w:rPr>
                <w:rFonts w:ascii="宋体" w:hAnsi="宋体" w:eastAsia="宋体" w:cs="宋体"/>
                <w:color w:val="auto"/>
                <w:sz w:val="20"/>
                <w:szCs w:val="20"/>
              </w:rPr>
            </w:pPr>
            <w:r>
              <w:rPr>
                <w:rFonts w:ascii="宋体" w:hAnsi="宋体" w:eastAsia="宋体" w:cs="宋体"/>
                <w:color w:val="auto"/>
                <w:spacing w:val="6"/>
                <w:position w:val="11"/>
                <w:sz w:val="20"/>
                <w:szCs w:val="20"/>
              </w:rPr>
              <w:t>□不设招标控制价</w:t>
            </w:r>
          </w:p>
          <w:p w14:paraId="75D32D8D">
            <w:pPr>
              <w:spacing w:before="1" w:line="226" w:lineRule="auto"/>
              <w:ind w:left="129"/>
              <w:rPr>
                <w:rFonts w:ascii="宋体" w:hAnsi="宋体" w:eastAsia="宋体" w:cs="宋体"/>
                <w:color w:val="auto"/>
                <w:sz w:val="20"/>
                <w:szCs w:val="20"/>
              </w:rPr>
            </w:pPr>
            <w:r>
              <w:rPr>
                <w:rFonts w:ascii="MS PMincho" w:hAnsi="MS PMincho" w:eastAsia="MS PMincho" w:cs="MS PMincho"/>
                <w:color w:val="auto"/>
                <w:spacing w:val="8"/>
                <w:sz w:val="20"/>
                <w:szCs w:val="20"/>
              </w:rPr>
              <w:t>☑</w:t>
            </w:r>
            <w:r>
              <w:rPr>
                <w:rFonts w:ascii="宋体" w:hAnsi="宋体" w:eastAsia="宋体" w:cs="宋体"/>
                <w:color w:val="auto"/>
                <w:spacing w:val="7"/>
                <w:sz w:val="20"/>
                <w:szCs w:val="20"/>
              </w:rPr>
              <w:t>设招标控制价</w:t>
            </w:r>
          </w:p>
          <w:p w14:paraId="0283CD28">
            <w:pPr>
              <w:spacing w:before="27" w:line="228" w:lineRule="auto"/>
              <w:ind w:left="121"/>
              <w:rPr>
                <w:rFonts w:ascii="宋体" w:hAnsi="宋体" w:eastAsia="宋体" w:cs="宋体"/>
                <w:color w:val="auto"/>
                <w:sz w:val="20"/>
                <w:szCs w:val="20"/>
              </w:rPr>
            </w:pPr>
            <w:r>
              <w:rPr>
                <w:rFonts w:hint="eastAsia" w:ascii="宋体" w:hAnsi="宋体" w:eastAsia="宋体" w:cs="宋体"/>
                <w:b/>
                <w:bCs/>
                <w:color w:val="auto"/>
                <w:spacing w:val="7"/>
                <w:sz w:val="20"/>
                <w:szCs w:val="20"/>
                <w:lang w:val="en-US" w:eastAsia="zh-CN"/>
              </w:rPr>
              <w:t xml:space="preserve">本项目控制价为2938161.85 </w:t>
            </w:r>
            <w:r>
              <w:rPr>
                <w:rFonts w:hint="eastAsia" w:ascii="宋体" w:hAnsi="宋体" w:eastAsia="宋体" w:cs="宋体"/>
                <w:b/>
                <w:bCs/>
                <w:color w:val="auto"/>
                <w:spacing w:val="7"/>
                <w:sz w:val="20"/>
                <w:szCs w:val="20"/>
                <w:highlight w:val="none"/>
                <w:lang w:val="en-US" w:eastAsia="zh-CN"/>
              </w:rPr>
              <w:t>元</w:t>
            </w:r>
          </w:p>
        </w:tc>
      </w:tr>
      <w:tr w14:paraId="71593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61C134BF">
            <w:pPr>
              <w:spacing w:before="146" w:line="191" w:lineRule="auto"/>
              <w:ind w:left="323"/>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lang w:val="en-US" w:eastAsia="zh-CN"/>
              </w:rPr>
              <w:t>9</w:t>
            </w:r>
            <w:r>
              <w:rPr>
                <w:rFonts w:ascii="宋体" w:hAnsi="宋体" w:eastAsia="宋体" w:cs="宋体"/>
                <w:color w:val="auto"/>
                <w:spacing w:val="-1"/>
                <w:sz w:val="20"/>
                <w:szCs w:val="20"/>
              </w:rPr>
              <w:t>.</w:t>
            </w:r>
            <w:r>
              <w:rPr>
                <w:rFonts w:hint="eastAsia" w:ascii="宋体" w:hAnsi="宋体" w:eastAsia="宋体" w:cs="宋体"/>
                <w:color w:val="auto"/>
                <w:spacing w:val="-1"/>
                <w:sz w:val="20"/>
                <w:szCs w:val="20"/>
                <w:lang w:val="en-US" w:eastAsia="zh-CN"/>
              </w:rPr>
              <w:t>1</w:t>
            </w:r>
          </w:p>
        </w:tc>
        <w:tc>
          <w:tcPr>
            <w:tcW w:w="8097" w:type="dxa"/>
            <w:gridSpan w:val="4"/>
            <w:vAlign w:val="top"/>
          </w:tcPr>
          <w:p w14:paraId="29B21908">
            <w:pPr>
              <w:spacing w:before="114" w:line="228" w:lineRule="auto"/>
              <w:ind w:left="131"/>
              <w:rPr>
                <w:rFonts w:ascii="宋体" w:hAnsi="宋体" w:eastAsia="宋体" w:cs="宋体"/>
                <w:color w:val="auto"/>
                <w:sz w:val="20"/>
                <w:szCs w:val="20"/>
              </w:rPr>
            </w:pPr>
            <w:r>
              <w:rPr>
                <w:rFonts w:ascii="宋体" w:hAnsi="宋体" w:eastAsia="宋体" w:cs="宋体"/>
                <w:color w:val="auto"/>
                <w:spacing w:val="3"/>
                <w:sz w:val="20"/>
                <w:szCs w:val="20"/>
              </w:rPr>
              <w:t>中</w:t>
            </w:r>
            <w:r>
              <w:rPr>
                <w:rFonts w:ascii="宋体" w:hAnsi="宋体" w:eastAsia="宋体" w:cs="宋体"/>
                <w:color w:val="auto"/>
                <w:spacing w:val="2"/>
                <w:sz w:val="20"/>
                <w:szCs w:val="20"/>
              </w:rPr>
              <w:t>标公示</w:t>
            </w:r>
          </w:p>
        </w:tc>
      </w:tr>
      <w:tr w14:paraId="6221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A4CAB8E">
            <w:pPr>
              <w:rPr>
                <w:rFonts w:ascii="Arial"/>
                <w:color w:val="auto"/>
                <w:sz w:val="21"/>
              </w:rPr>
            </w:pPr>
          </w:p>
        </w:tc>
        <w:tc>
          <w:tcPr>
            <w:tcW w:w="8097" w:type="dxa"/>
            <w:gridSpan w:val="4"/>
            <w:vAlign w:val="top"/>
          </w:tcPr>
          <w:p w14:paraId="4952D955">
            <w:pPr>
              <w:spacing w:before="113" w:line="280" w:lineRule="auto"/>
              <w:ind w:left="112" w:right="106" w:firstLine="411"/>
              <w:rPr>
                <w:rFonts w:hint="eastAsia" w:ascii="宋体" w:hAnsi="宋体" w:eastAsia="宋体" w:cs="宋体"/>
                <w:color w:val="auto"/>
                <w:sz w:val="20"/>
                <w:szCs w:val="20"/>
                <w:lang w:eastAsia="zh-CN"/>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中</w:t>
            </w:r>
            <w:r>
              <w:rPr>
                <w:rFonts w:ascii="宋体" w:hAnsi="宋体" w:eastAsia="宋体" w:cs="宋体"/>
                <w:color w:val="auto"/>
                <w:spacing w:val="13"/>
                <w:sz w:val="20"/>
                <w:szCs w:val="20"/>
              </w:rPr>
              <w:t>标通知书发出前，招标人将中标侯选人的情况在本招标项目招标公告发布的</w:t>
            </w:r>
            <w:r>
              <w:rPr>
                <w:rFonts w:ascii="宋体" w:hAnsi="宋体" w:eastAsia="宋体" w:cs="宋体"/>
                <w:color w:val="auto"/>
                <w:spacing w:val="5"/>
                <w:sz w:val="20"/>
                <w:szCs w:val="20"/>
              </w:rPr>
              <w:t>新疆政府采购网上予以公示，公示期不少于 1 个工作</w:t>
            </w:r>
            <w:r>
              <w:rPr>
                <w:rFonts w:ascii="宋体" w:hAnsi="宋体" w:eastAsia="宋体" w:cs="宋体"/>
                <w:color w:val="auto"/>
                <w:spacing w:val="3"/>
                <w:sz w:val="20"/>
                <w:szCs w:val="20"/>
              </w:rPr>
              <w:t>日</w:t>
            </w:r>
            <w:r>
              <w:rPr>
                <w:rFonts w:hint="eastAsia" w:ascii="宋体" w:hAnsi="宋体" w:eastAsia="宋体" w:cs="宋体"/>
                <w:color w:val="auto"/>
                <w:spacing w:val="3"/>
                <w:sz w:val="20"/>
                <w:szCs w:val="20"/>
                <w:lang w:eastAsia="zh-CN"/>
              </w:rPr>
              <w:t>。</w:t>
            </w:r>
            <w:r>
              <w:rPr>
                <w:rFonts w:hint="eastAsia" w:ascii="宋体" w:hAnsi="宋体" w:eastAsia="宋体" w:cs="宋体"/>
                <w:b/>
                <w:bCs/>
                <w:color w:val="auto"/>
                <w:spacing w:val="3"/>
                <w:sz w:val="20"/>
                <w:szCs w:val="20"/>
                <w:lang w:val="en-US" w:eastAsia="zh-CN"/>
              </w:rPr>
              <w:t>相关现场项目管理机构人员应在中标候选人公示期结束前，由本人以网络会议形式，对到岗履责做出承诺，如果不能按时到场承诺或无法对履责做出承诺的，视为自动放弃投标资格。</w:t>
            </w:r>
          </w:p>
        </w:tc>
      </w:tr>
      <w:tr w14:paraId="56BF3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0A34FEAF">
            <w:pPr>
              <w:spacing w:before="141"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9.2</w:t>
            </w:r>
          </w:p>
        </w:tc>
        <w:tc>
          <w:tcPr>
            <w:tcW w:w="8097" w:type="dxa"/>
            <w:gridSpan w:val="4"/>
            <w:vAlign w:val="top"/>
          </w:tcPr>
          <w:p w14:paraId="1B4F2F88">
            <w:pPr>
              <w:spacing w:before="109" w:line="226" w:lineRule="auto"/>
              <w:ind w:left="112"/>
              <w:rPr>
                <w:rFonts w:ascii="宋体" w:hAnsi="宋体" w:eastAsia="宋体" w:cs="宋体"/>
                <w:color w:val="auto"/>
                <w:sz w:val="20"/>
                <w:szCs w:val="20"/>
              </w:rPr>
            </w:pPr>
            <w:r>
              <w:rPr>
                <w:rFonts w:ascii="宋体" w:hAnsi="宋体" w:eastAsia="宋体" w:cs="宋体"/>
                <w:color w:val="auto"/>
                <w:spacing w:val="9"/>
                <w:sz w:val="20"/>
                <w:szCs w:val="20"/>
              </w:rPr>
              <w:t>重新招标的其他情</w:t>
            </w:r>
            <w:r>
              <w:rPr>
                <w:rFonts w:ascii="宋体" w:hAnsi="宋体" w:eastAsia="宋体" w:cs="宋体"/>
                <w:color w:val="auto"/>
                <w:spacing w:val="7"/>
                <w:sz w:val="20"/>
                <w:szCs w:val="20"/>
              </w:rPr>
              <w:t>形</w:t>
            </w:r>
          </w:p>
        </w:tc>
      </w:tr>
      <w:tr w14:paraId="4C740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11570968">
            <w:pPr>
              <w:rPr>
                <w:rFonts w:ascii="Arial"/>
                <w:color w:val="auto"/>
                <w:sz w:val="21"/>
              </w:rPr>
            </w:pPr>
          </w:p>
        </w:tc>
        <w:tc>
          <w:tcPr>
            <w:tcW w:w="8097" w:type="dxa"/>
            <w:gridSpan w:val="4"/>
            <w:vAlign w:val="top"/>
          </w:tcPr>
          <w:p w14:paraId="5BCF1378">
            <w:pPr>
              <w:spacing w:before="109" w:line="280" w:lineRule="auto"/>
              <w:ind w:left="114" w:right="109" w:firstLine="429"/>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7"/>
                <w:sz w:val="20"/>
                <w:szCs w:val="20"/>
              </w:rPr>
              <w:t>投</w:t>
            </w:r>
            <w:r>
              <w:rPr>
                <w:rFonts w:ascii="宋体" w:hAnsi="宋体" w:eastAsia="宋体" w:cs="宋体"/>
                <w:color w:val="auto"/>
                <w:spacing w:val="9"/>
                <w:sz w:val="20"/>
                <w:szCs w:val="20"/>
              </w:rPr>
              <w:t>标人须知正文第 8 条规定的情形外，除非已经产生中标侯选人，在投标有效</w:t>
            </w:r>
            <w:r>
              <w:rPr>
                <w:rFonts w:ascii="宋体" w:hAnsi="宋体" w:eastAsia="宋体" w:cs="宋体"/>
                <w:color w:val="auto"/>
                <w:spacing w:val="18"/>
                <w:sz w:val="20"/>
                <w:szCs w:val="20"/>
              </w:rPr>
              <w:t>期内</w:t>
            </w:r>
            <w:r>
              <w:rPr>
                <w:rFonts w:ascii="宋体" w:hAnsi="宋体" w:eastAsia="宋体" w:cs="宋体"/>
                <w:color w:val="auto"/>
                <w:spacing w:val="9"/>
                <w:sz w:val="20"/>
                <w:szCs w:val="20"/>
              </w:rPr>
              <w:t>同意延长投标有效期的投标人少于三个的，招标人应当依法重新招标</w:t>
            </w:r>
          </w:p>
        </w:tc>
      </w:tr>
      <w:tr w14:paraId="75DDE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59C6C0D">
            <w:pPr>
              <w:spacing w:before="140"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9.3</w:t>
            </w:r>
          </w:p>
        </w:tc>
        <w:tc>
          <w:tcPr>
            <w:tcW w:w="8097" w:type="dxa"/>
            <w:gridSpan w:val="4"/>
            <w:vAlign w:val="top"/>
          </w:tcPr>
          <w:p w14:paraId="1F36D94C">
            <w:pPr>
              <w:spacing w:before="108" w:line="229" w:lineRule="auto"/>
              <w:ind w:left="132"/>
              <w:rPr>
                <w:rFonts w:ascii="宋体" w:hAnsi="宋体" w:eastAsia="宋体" w:cs="宋体"/>
                <w:color w:val="auto"/>
                <w:sz w:val="20"/>
                <w:szCs w:val="20"/>
              </w:rPr>
            </w:pPr>
            <w:r>
              <w:rPr>
                <w:rFonts w:ascii="宋体" w:hAnsi="宋体" w:eastAsia="宋体" w:cs="宋体"/>
                <w:color w:val="auto"/>
                <w:spacing w:val="3"/>
                <w:sz w:val="20"/>
                <w:szCs w:val="20"/>
              </w:rPr>
              <w:t>同</w:t>
            </w:r>
            <w:r>
              <w:rPr>
                <w:rFonts w:ascii="宋体" w:hAnsi="宋体" w:eastAsia="宋体" w:cs="宋体"/>
                <w:color w:val="auto"/>
                <w:spacing w:val="2"/>
                <w:sz w:val="20"/>
                <w:szCs w:val="20"/>
              </w:rPr>
              <w:t>义词语</w:t>
            </w:r>
          </w:p>
        </w:tc>
      </w:tr>
      <w:tr w14:paraId="32E0E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3AC1382F">
            <w:pPr>
              <w:rPr>
                <w:rFonts w:ascii="Arial"/>
                <w:color w:val="auto"/>
                <w:sz w:val="21"/>
              </w:rPr>
            </w:pPr>
          </w:p>
        </w:tc>
        <w:tc>
          <w:tcPr>
            <w:tcW w:w="8097" w:type="dxa"/>
            <w:gridSpan w:val="4"/>
            <w:vAlign w:val="top"/>
          </w:tcPr>
          <w:p w14:paraId="7BF447CB">
            <w:pPr>
              <w:spacing w:before="109" w:line="298" w:lineRule="auto"/>
              <w:ind w:left="112" w:right="109" w:firstLine="421"/>
              <w:rPr>
                <w:rFonts w:ascii="宋体" w:hAnsi="宋体" w:eastAsia="宋体" w:cs="宋体"/>
                <w:color w:val="auto"/>
                <w:sz w:val="20"/>
                <w:szCs w:val="20"/>
              </w:rPr>
            </w:pPr>
            <w:r>
              <w:rPr>
                <w:rFonts w:ascii="宋体" w:hAnsi="宋体" w:eastAsia="宋体" w:cs="宋体"/>
                <w:color w:val="auto"/>
                <w:spacing w:val="8"/>
                <w:sz w:val="20"/>
                <w:szCs w:val="20"/>
              </w:rPr>
              <w:t>构</w:t>
            </w:r>
            <w:r>
              <w:rPr>
                <w:rFonts w:ascii="宋体" w:hAnsi="宋体" w:eastAsia="宋体" w:cs="宋体"/>
                <w:color w:val="auto"/>
                <w:spacing w:val="7"/>
                <w:sz w:val="20"/>
                <w:szCs w:val="20"/>
              </w:rPr>
              <w:t>成竞争性磋商文件组成部分的“通用合同条款”、“专用合同条款”、“技术</w:t>
            </w:r>
            <w:r>
              <w:rPr>
                <w:rFonts w:ascii="宋体" w:hAnsi="宋体" w:eastAsia="宋体" w:cs="宋体"/>
                <w:color w:val="auto"/>
                <w:spacing w:val="12"/>
                <w:sz w:val="20"/>
                <w:szCs w:val="20"/>
              </w:rPr>
              <w:t>标</w:t>
            </w:r>
            <w:r>
              <w:rPr>
                <w:rFonts w:ascii="宋体" w:hAnsi="宋体" w:eastAsia="宋体" w:cs="宋体"/>
                <w:color w:val="auto"/>
                <w:spacing w:val="10"/>
                <w:sz w:val="20"/>
                <w:szCs w:val="20"/>
              </w:rPr>
              <w:t>准和要求”和“工程量清单”等章节中出现的措辞“发包人”和“承包人”，在招</w:t>
            </w:r>
            <w:r>
              <w:rPr>
                <w:rFonts w:ascii="宋体" w:hAnsi="宋体" w:eastAsia="宋体" w:cs="宋体"/>
                <w:color w:val="auto"/>
                <w:spacing w:val="18"/>
                <w:sz w:val="20"/>
                <w:szCs w:val="20"/>
              </w:rPr>
              <w:t>标</w:t>
            </w:r>
            <w:r>
              <w:rPr>
                <w:rFonts w:ascii="宋体" w:hAnsi="宋体" w:eastAsia="宋体" w:cs="宋体"/>
                <w:color w:val="auto"/>
                <w:spacing w:val="14"/>
                <w:sz w:val="20"/>
                <w:szCs w:val="20"/>
              </w:rPr>
              <w:t>投</w:t>
            </w:r>
            <w:r>
              <w:rPr>
                <w:rFonts w:ascii="宋体" w:hAnsi="宋体" w:eastAsia="宋体" w:cs="宋体"/>
                <w:color w:val="auto"/>
                <w:spacing w:val="9"/>
                <w:sz w:val="20"/>
                <w:szCs w:val="20"/>
              </w:rPr>
              <w:t>标阶段应当分别按“招标人”和“投标人”进行理解</w:t>
            </w:r>
          </w:p>
        </w:tc>
      </w:tr>
      <w:tr w14:paraId="03B70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22" w:type="dxa"/>
            <w:vAlign w:val="top"/>
          </w:tcPr>
          <w:p w14:paraId="31DDE664">
            <w:pPr>
              <w:spacing w:before="142" w:line="184"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9.4</w:t>
            </w:r>
          </w:p>
        </w:tc>
        <w:tc>
          <w:tcPr>
            <w:tcW w:w="8097" w:type="dxa"/>
            <w:gridSpan w:val="4"/>
            <w:vAlign w:val="top"/>
          </w:tcPr>
          <w:p w14:paraId="55B0AEE2">
            <w:pPr>
              <w:spacing w:before="110" w:line="214" w:lineRule="auto"/>
              <w:ind w:left="110"/>
              <w:rPr>
                <w:rFonts w:ascii="宋体" w:hAnsi="宋体" w:eastAsia="宋体" w:cs="宋体"/>
                <w:color w:val="auto"/>
                <w:sz w:val="20"/>
                <w:szCs w:val="20"/>
              </w:rPr>
            </w:pPr>
            <w:r>
              <w:rPr>
                <w:rFonts w:ascii="宋体" w:hAnsi="宋体" w:eastAsia="宋体" w:cs="宋体"/>
                <w:color w:val="auto"/>
                <w:spacing w:val="7"/>
                <w:sz w:val="20"/>
                <w:szCs w:val="20"/>
              </w:rPr>
              <w:t>解释权</w:t>
            </w:r>
          </w:p>
        </w:tc>
      </w:tr>
      <w:tr w14:paraId="43CE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top"/>
          </w:tcPr>
          <w:p w14:paraId="18246BFC">
            <w:pPr>
              <w:rPr>
                <w:rFonts w:ascii="Arial"/>
                <w:color w:val="auto"/>
                <w:sz w:val="21"/>
              </w:rPr>
            </w:pPr>
          </w:p>
        </w:tc>
        <w:tc>
          <w:tcPr>
            <w:tcW w:w="8097" w:type="dxa"/>
            <w:gridSpan w:val="4"/>
            <w:vAlign w:val="top"/>
          </w:tcPr>
          <w:p w14:paraId="766DA026">
            <w:pPr>
              <w:spacing w:before="135" w:line="317" w:lineRule="auto"/>
              <w:ind w:left="110" w:right="106" w:firstLine="423"/>
              <w:rPr>
                <w:rFonts w:hint="eastAsia" w:ascii="宋体" w:hAnsi="宋体" w:eastAsia="宋体" w:cs="宋体"/>
                <w:color w:val="auto"/>
                <w:sz w:val="20"/>
                <w:szCs w:val="20"/>
                <w:lang w:eastAsia="zh-CN"/>
              </w:rPr>
            </w:pPr>
            <w:r>
              <w:rPr>
                <w:rFonts w:ascii="宋体" w:hAnsi="宋体" w:eastAsia="宋体" w:cs="宋体"/>
                <w:color w:val="auto"/>
                <w:spacing w:val="18"/>
                <w:sz w:val="20"/>
                <w:szCs w:val="20"/>
              </w:rPr>
              <w:t>构</w:t>
            </w:r>
            <w:r>
              <w:rPr>
                <w:rFonts w:ascii="宋体" w:hAnsi="宋体" w:eastAsia="宋体" w:cs="宋体"/>
                <w:color w:val="auto"/>
                <w:spacing w:val="13"/>
                <w:sz w:val="20"/>
                <w:szCs w:val="20"/>
              </w:rPr>
              <w:t>成本竞争性磋商文件的各个组成文件应互为解释，互为说明；如有不明确或不一</w:t>
            </w:r>
            <w:r>
              <w:rPr>
                <w:rFonts w:ascii="宋体" w:hAnsi="宋体" w:eastAsia="宋体" w:cs="宋体"/>
                <w:color w:val="auto"/>
                <w:spacing w:val="10"/>
                <w:sz w:val="20"/>
                <w:szCs w:val="20"/>
              </w:rPr>
              <w:t>致，构成合同文件组成内容，以合同文件约定内容为准，且以专用合同条款约定的</w:t>
            </w:r>
            <w:r>
              <w:rPr>
                <w:rFonts w:ascii="宋体" w:hAnsi="宋体" w:eastAsia="宋体" w:cs="宋体"/>
                <w:color w:val="auto"/>
                <w:spacing w:val="18"/>
                <w:sz w:val="20"/>
                <w:szCs w:val="20"/>
              </w:rPr>
              <w:t>合</w:t>
            </w:r>
            <w:r>
              <w:rPr>
                <w:rFonts w:ascii="宋体" w:hAnsi="宋体" w:eastAsia="宋体" w:cs="宋体"/>
                <w:color w:val="auto"/>
                <w:spacing w:val="13"/>
                <w:sz w:val="20"/>
                <w:szCs w:val="20"/>
              </w:rPr>
              <w:t>同文件优先顺序解释；除竞争性磋商文件中有特别规定外，仅适用于招标投标阶段</w:t>
            </w:r>
            <w:r>
              <w:rPr>
                <w:rFonts w:ascii="宋体" w:hAnsi="宋体" w:eastAsia="宋体" w:cs="宋体"/>
                <w:color w:val="auto"/>
                <w:spacing w:val="24"/>
                <w:sz w:val="20"/>
                <w:szCs w:val="20"/>
              </w:rPr>
              <w:t>的</w:t>
            </w:r>
            <w:r>
              <w:rPr>
                <w:rFonts w:ascii="宋体" w:hAnsi="宋体" w:eastAsia="宋体" w:cs="宋体"/>
                <w:color w:val="auto"/>
                <w:spacing w:val="16"/>
                <w:sz w:val="20"/>
                <w:szCs w:val="20"/>
              </w:rPr>
              <w:t>规</w:t>
            </w:r>
            <w:r>
              <w:rPr>
                <w:rFonts w:ascii="宋体" w:hAnsi="宋体" w:eastAsia="宋体" w:cs="宋体"/>
                <w:color w:val="auto"/>
                <w:spacing w:val="12"/>
                <w:sz w:val="20"/>
                <w:szCs w:val="20"/>
              </w:rPr>
              <w:t>定，按招标公告 (投标邀请书) 、投标人须知、评标办法、竞争性磋商响应文件</w:t>
            </w:r>
            <w:r>
              <w:rPr>
                <w:rFonts w:ascii="宋体" w:hAnsi="宋体" w:eastAsia="宋体" w:cs="宋体"/>
                <w:color w:val="auto"/>
                <w:sz w:val="20"/>
                <w:szCs w:val="20"/>
              </w:rPr>
              <w:t xml:space="preserve"> </w:t>
            </w:r>
            <w:r>
              <w:rPr>
                <w:rFonts w:ascii="宋体" w:hAnsi="宋体" w:eastAsia="宋体" w:cs="宋体"/>
                <w:color w:val="auto"/>
                <w:spacing w:val="14"/>
                <w:sz w:val="20"/>
                <w:szCs w:val="20"/>
              </w:rPr>
              <w:t>格</w:t>
            </w:r>
            <w:r>
              <w:rPr>
                <w:rFonts w:ascii="宋体" w:hAnsi="宋体" w:eastAsia="宋体" w:cs="宋体"/>
                <w:color w:val="auto"/>
                <w:spacing w:val="10"/>
                <w:sz w:val="20"/>
                <w:szCs w:val="20"/>
              </w:rPr>
              <w:t>式</w:t>
            </w:r>
            <w:r>
              <w:rPr>
                <w:rFonts w:ascii="宋体" w:hAnsi="宋体" w:eastAsia="宋体" w:cs="宋体"/>
                <w:color w:val="auto"/>
                <w:spacing w:val="7"/>
                <w:sz w:val="20"/>
                <w:szCs w:val="20"/>
              </w:rPr>
              <w:t>的先后顺序解释； 同一组成文件中就同一事项的规定或约定不一致的，以编排顺</w:t>
            </w:r>
            <w:r>
              <w:rPr>
                <w:rFonts w:ascii="宋体" w:hAnsi="宋体" w:eastAsia="宋体" w:cs="宋体"/>
                <w:color w:val="auto"/>
                <w:sz w:val="20"/>
                <w:szCs w:val="20"/>
              </w:rPr>
              <w:t xml:space="preserve"> </w:t>
            </w:r>
            <w:r>
              <w:rPr>
                <w:rFonts w:ascii="宋体" w:hAnsi="宋体" w:eastAsia="宋体" w:cs="宋体"/>
                <w:color w:val="auto"/>
                <w:spacing w:val="14"/>
                <w:sz w:val="20"/>
                <w:szCs w:val="20"/>
              </w:rPr>
              <w:t>序</w:t>
            </w:r>
            <w:r>
              <w:rPr>
                <w:rFonts w:ascii="宋体" w:hAnsi="宋体" w:eastAsia="宋体" w:cs="宋体"/>
                <w:color w:val="auto"/>
                <w:spacing w:val="10"/>
                <w:sz w:val="20"/>
                <w:szCs w:val="20"/>
              </w:rPr>
              <w:t>在</w:t>
            </w:r>
            <w:r>
              <w:rPr>
                <w:rFonts w:ascii="宋体" w:hAnsi="宋体" w:eastAsia="宋体" w:cs="宋体"/>
                <w:color w:val="auto"/>
                <w:spacing w:val="7"/>
                <w:sz w:val="20"/>
                <w:szCs w:val="20"/>
              </w:rPr>
              <w:t>后者为准； 同一组成文件不同版本之间有不一致的，以形成时间在后者为准。按</w:t>
            </w:r>
            <w:r>
              <w:rPr>
                <w:rFonts w:ascii="宋体" w:hAnsi="宋体" w:eastAsia="宋体" w:cs="宋体"/>
                <w:color w:val="auto"/>
                <w:sz w:val="20"/>
                <w:szCs w:val="20"/>
              </w:rPr>
              <w:t xml:space="preserve"> </w:t>
            </w:r>
            <w:r>
              <w:rPr>
                <w:rFonts w:ascii="宋体" w:hAnsi="宋体" w:eastAsia="宋体" w:cs="宋体"/>
                <w:color w:val="auto"/>
                <w:spacing w:val="18"/>
                <w:sz w:val="20"/>
                <w:szCs w:val="20"/>
              </w:rPr>
              <w:t>本</w:t>
            </w:r>
            <w:r>
              <w:rPr>
                <w:rFonts w:ascii="宋体" w:hAnsi="宋体" w:eastAsia="宋体" w:cs="宋体"/>
                <w:color w:val="auto"/>
                <w:spacing w:val="14"/>
                <w:sz w:val="20"/>
                <w:szCs w:val="20"/>
              </w:rPr>
              <w:t>款</w:t>
            </w:r>
            <w:r>
              <w:rPr>
                <w:rFonts w:ascii="宋体" w:hAnsi="宋体" w:eastAsia="宋体" w:cs="宋体"/>
                <w:color w:val="auto"/>
                <w:spacing w:val="9"/>
                <w:sz w:val="20"/>
                <w:szCs w:val="20"/>
              </w:rPr>
              <w:t>前述规定仍不成形成结论的，由招标人负责解释</w:t>
            </w:r>
            <w:r>
              <w:rPr>
                <w:rFonts w:hint="eastAsia" w:ascii="宋体" w:hAnsi="宋体" w:eastAsia="宋体" w:cs="宋体"/>
                <w:color w:val="auto"/>
                <w:spacing w:val="9"/>
                <w:sz w:val="20"/>
                <w:szCs w:val="20"/>
                <w:lang w:eastAsia="zh-CN"/>
              </w:rPr>
              <w:t>。</w:t>
            </w:r>
          </w:p>
        </w:tc>
      </w:tr>
      <w:tr w14:paraId="25137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center"/>
          </w:tcPr>
          <w:p w14:paraId="6664C447">
            <w:pPr>
              <w:jc w:val="center"/>
              <w:rPr>
                <w:rFonts w:hint="default" w:ascii="Arial" w:eastAsia="宋体"/>
                <w:color w:val="auto"/>
                <w:sz w:val="21"/>
                <w:lang w:val="en-US" w:eastAsia="zh-CN"/>
              </w:rPr>
            </w:pPr>
            <w:r>
              <w:rPr>
                <w:rFonts w:hint="eastAsia" w:ascii="宋体" w:hAnsi="宋体" w:eastAsia="宋体" w:cs="宋体"/>
                <w:color w:val="auto"/>
                <w:spacing w:val="-1"/>
                <w:sz w:val="20"/>
                <w:szCs w:val="20"/>
                <w:lang w:val="en-US" w:eastAsia="zh-CN"/>
              </w:rPr>
              <w:t>9.5</w:t>
            </w:r>
          </w:p>
        </w:tc>
        <w:tc>
          <w:tcPr>
            <w:tcW w:w="8097" w:type="dxa"/>
            <w:gridSpan w:val="4"/>
            <w:vAlign w:val="top"/>
          </w:tcPr>
          <w:p w14:paraId="47C3E530">
            <w:pPr>
              <w:numPr>
                <w:ilvl w:val="0"/>
                <w:numId w:val="0"/>
              </w:numPr>
              <w:spacing w:before="135" w:line="317" w:lineRule="auto"/>
              <w:ind w:right="106" w:rightChars="0"/>
              <w:rPr>
                <w:rFonts w:hint="eastAsia" w:ascii="宋体" w:hAnsi="宋体" w:eastAsia="宋体" w:cs="宋体"/>
                <w:color w:val="auto"/>
                <w:spacing w:val="18"/>
                <w:sz w:val="20"/>
                <w:szCs w:val="20"/>
                <w:lang w:val="en-US" w:eastAsia="zh-CN"/>
              </w:rPr>
            </w:pPr>
            <w:r>
              <w:rPr>
                <w:rFonts w:hint="eastAsia" w:ascii="宋体" w:hAnsi="宋体" w:eastAsia="宋体" w:cs="宋体"/>
                <w:color w:val="auto"/>
                <w:spacing w:val="18"/>
                <w:sz w:val="20"/>
                <w:szCs w:val="20"/>
                <w:lang w:val="en-US" w:eastAsia="zh-CN"/>
              </w:rPr>
              <w:t>1、低于成本价不正当竞争预防措施：评审过程中，供应商报价低于采购预算50%或者低于其他有效供应商报价算术平均价30%，有可能影响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被授权委托人签字确认；供应商为其他组织的，由其主要负责人或者代理人签字确认。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p w14:paraId="34FF7B0D">
            <w:pPr>
              <w:numPr>
                <w:ilvl w:val="0"/>
                <w:numId w:val="0"/>
              </w:numPr>
              <w:spacing w:before="135" w:line="317" w:lineRule="auto"/>
              <w:ind w:right="106" w:rightChars="0"/>
              <w:rPr>
                <w:rFonts w:hint="eastAsia" w:ascii="宋体" w:hAnsi="宋体" w:eastAsia="宋体" w:cs="宋体"/>
                <w:color w:val="auto"/>
                <w:spacing w:val="18"/>
                <w:sz w:val="20"/>
                <w:szCs w:val="20"/>
                <w:lang w:val="en-US" w:eastAsia="zh-CN"/>
              </w:rPr>
            </w:pPr>
            <w:r>
              <w:rPr>
                <w:rFonts w:hint="eastAsia" w:ascii="宋体" w:hAnsi="宋体" w:eastAsia="宋体" w:cs="宋体"/>
                <w:color w:val="auto"/>
                <w:spacing w:val="18"/>
                <w:sz w:val="20"/>
                <w:szCs w:val="20"/>
                <w:lang w:val="en-US" w:eastAsia="zh-CN"/>
              </w:rPr>
              <w:t>2、新成立的公司可不提供财务报表但需提供银行出具的近三个月的资信证明。</w:t>
            </w:r>
          </w:p>
        </w:tc>
      </w:tr>
      <w:tr w14:paraId="3824B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5D30E394">
            <w:pPr>
              <w:spacing w:before="143" w:line="191" w:lineRule="auto"/>
              <w:ind w:left="268"/>
              <w:rPr>
                <w:rFonts w:hint="eastAsia" w:ascii="宋体" w:hAnsi="宋体" w:eastAsia="宋体" w:cs="宋体"/>
                <w:color w:val="auto"/>
                <w:sz w:val="20"/>
                <w:szCs w:val="20"/>
                <w:lang w:val="en-US" w:eastAsia="zh-CN"/>
              </w:rPr>
            </w:pPr>
            <w:r>
              <w:rPr>
                <w:rFonts w:ascii="宋体" w:hAnsi="宋体" w:eastAsia="宋体" w:cs="宋体"/>
                <w:color w:val="auto"/>
                <w:sz w:val="20"/>
                <w:szCs w:val="20"/>
              </w:rPr>
              <w:t>10</w:t>
            </w:r>
          </w:p>
        </w:tc>
        <w:tc>
          <w:tcPr>
            <w:tcW w:w="916" w:type="dxa"/>
            <w:vAlign w:val="top"/>
          </w:tcPr>
          <w:p w14:paraId="63230B41">
            <w:pPr>
              <w:spacing w:before="111" w:line="226" w:lineRule="auto"/>
              <w:ind w:left="112"/>
              <w:rPr>
                <w:rFonts w:ascii="宋体" w:hAnsi="宋体" w:eastAsia="宋体" w:cs="宋体"/>
                <w:color w:val="auto"/>
                <w:sz w:val="20"/>
                <w:szCs w:val="20"/>
              </w:rPr>
            </w:pPr>
            <w:r>
              <w:rPr>
                <w:rFonts w:hint="eastAsia" w:ascii="宋体" w:hAnsi="宋体" w:eastAsia="宋体" w:cs="宋体"/>
                <w:color w:val="auto"/>
                <w:sz w:val="20"/>
                <w:szCs w:val="20"/>
                <w:lang w:eastAsia="zh-CN"/>
              </w:rPr>
              <w:t>其他</w:t>
            </w:r>
          </w:p>
        </w:tc>
        <w:tc>
          <w:tcPr>
            <w:tcW w:w="7181" w:type="dxa"/>
            <w:gridSpan w:val="3"/>
            <w:vAlign w:val="top"/>
          </w:tcPr>
          <w:p w14:paraId="0E166C9B">
            <w:pPr>
              <w:spacing w:before="111" w:line="226" w:lineRule="auto"/>
              <w:ind w:left="112"/>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本项目专门面向中小企业</w:t>
            </w:r>
          </w:p>
        </w:tc>
      </w:tr>
      <w:tr w14:paraId="40283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19" w:type="dxa"/>
            <w:gridSpan w:val="5"/>
            <w:vAlign w:val="top"/>
          </w:tcPr>
          <w:p w14:paraId="2018583A">
            <w:pPr>
              <w:spacing w:before="111" w:line="226" w:lineRule="auto"/>
              <w:ind w:left="112"/>
              <w:jc w:val="cente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对投标文件中提供的所有资料真实性进行承诺</w:t>
            </w:r>
            <w:r>
              <w:rPr>
                <w:rFonts w:hint="eastAsia" w:ascii="宋体" w:hAnsi="宋体" w:eastAsia="宋体" w:cs="宋体"/>
                <w:color w:val="auto"/>
                <w:sz w:val="20"/>
                <w:szCs w:val="20"/>
                <w:lang w:val="en-US" w:eastAsia="zh-CN"/>
              </w:rPr>
              <w:t>，如未提供，其响应文件作无效处理</w:t>
            </w:r>
          </w:p>
        </w:tc>
      </w:tr>
      <w:tr w14:paraId="2D1C7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19" w:type="dxa"/>
            <w:gridSpan w:val="5"/>
            <w:vAlign w:val="top"/>
          </w:tcPr>
          <w:p w14:paraId="72031C78">
            <w:pPr>
              <w:tabs>
                <w:tab w:val="left" w:pos="4111"/>
              </w:tabs>
              <w:spacing w:before="111" w:line="226" w:lineRule="auto"/>
              <w:ind w:left="112"/>
              <w:jc w:val="center"/>
              <w:rPr>
                <w:rFonts w:hint="eastAsia" w:ascii="宋体" w:hAnsi="宋体" w:eastAsia="宋体" w:cs="宋体"/>
                <w:color w:val="auto"/>
                <w:sz w:val="20"/>
                <w:szCs w:val="20"/>
                <w:lang w:val="en-US" w:eastAsia="zh-CN"/>
              </w:rPr>
            </w:pPr>
            <w:r>
              <w:rPr>
                <w:rFonts w:hint="eastAsia" w:ascii="宋体" w:hAnsi="宋体" w:eastAsia="宋体" w:cs="宋体"/>
                <w:b/>
                <w:bCs/>
                <w:color w:val="auto"/>
                <w:spacing w:val="18"/>
                <w:sz w:val="20"/>
                <w:szCs w:val="20"/>
                <w:lang w:val="en-US" w:eastAsia="zh-CN"/>
              </w:rPr>
              <w:t>注：如本《投标人须知前附表》相关内容与磋商文件中的相关内容如有不一致处，则以本《投标人须知前附表》相关内容为准。</w:t>
            </w:r>
          </w:p>
        </w:tc>
      </w:tr>
    </w:tbl>
    <w:p w14:paraId="4B9C97FF">
      <w:pPr>
        <w:rPr>
          <w:color w:val="auto"/>
        </w:rPr>
        <w:sectPr>
          <w:footerReference r:id="rId5" w:type="default"/>
          <w:pgSz w:w="11906" w:h="16839"/>
          <w:pgMar w:top="1431" w:right="1262" w:bottom="1153" w:left="1507" w:header="0" w:footer="996" w:gutter="0"/>
          <w:cols w:space="720" w:num="1"/>
        </w:sectPr>
      </w:pPr>
    </w:p>
    <w:p w14:paraId="6FD9C173">
      <w:pPr>
        <w:spacing w:line="408" w:lineRule="auto"/>
        <w:rPr>
          <w:rFonts w:ascii="Arial"/>
          <w:color w:val="auto"/>
          <w:sz w:val="21"/>
        </w:rPr>
      </w:pPr>
    </w:p>
    <w:p w14:paraId="774B5D0B">
      <w:pPr>
        <w:spacing w:before="94" w:line="226" w:lineRule="auto"/>
        <w:ind w:left="3178"/>
        <w:rPr>
          <w:rFonts w:ascii="宋体" w:hAnsi="宋体" w:eastAsia="宋体" w:cs="宋体"/>
          <w:color w:val="auto"/>
          <w:sz w:val="29"/>
          <w:szCs w:val="29"/>
        </w:rPr>
      </w:pPr>
      <w:r>
        <w:rPr>
          <w:rFonts w:ascii="宋体" w:hAnsi="宋体" w:eastAsia="宋体" w:cs="宋体"/>
          <w:color w:val="auto"/>
          <w:spacing w:val="9"/>
          <w:sz w:val="29"/>
          <w:szCs w:val="29"/>
          <w14:textOutline w14:w="5448" w14:cap="sq" w14:cmpd="sng">
            <w14:solidFill>
              <w14:srgbClr w14:val="000000"/>
            </w14:solidFill>
            <w14:prstDash w14:val="solid"/>
            <w14:bevel/>
          </w14:textOutline>
        </w:rPr>
        <w:t>投标须知正文部</w:t>
      </w:r>
      <w:r>
        <w:rPr>
          <w:rFonts w:ascii="宋体" w:hAnsi="宋体" w:eastAsia="宋体" w:cs="宋体"/>
          <w:color w:val="auto"/>
          <w:spacing w:val="8"/>
          <w:sz w:val="29"/>
          <w:szCs w:val="29"/>
          <w14:textOutline w14:w="5448" w14:cap="sq" w14:cmpd="sng">
            <w14:solidFill>
              <w14:srgbClr w14:val="000000"/>
            </w14:solidFill>
            <w14:prstDash w14:val="solid"/>
            <w14:bevel/>
          </w14:textOutline>
        </w:rPr>
        <w:t>分</w:t>
      </w:r>
    </w:p>
    <w:p w14:paraId="40D8AC8C">
      <w:pPr>
        <w:spacing w:before="222" w:line="229" w:lineRule="auto"/>
        <w:ind w:left="13"/>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1. </w:t>
      </w:r>
      <w:r>
        <w:rPr>
          <w:rFonts w:ascii="宋体" w:hAnsi="宋体" w:eastAsia="宋体" w:cs="宋体"/>
          <w:color w:val="auto"/>
          <w:spacing w:val="1"/>
          <w:sz w:val="20"/>
          <w:szCs w:val="20"/>
        </w:rPr>
        <w:t>总则</w:t>
      </w:r>
    </w:p>
    <w:p w14:paraId="34692AF0">
      <w:pPr>
        <w:spacing w:before="153" w:line="228" w:lineRule="auto"/>
        <w:ind w:left="13"/>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 项目概况</w:t>
      </w:r>
    </w:p>
    <w:p w14:paraId="719D12A3">
      <w:pPr>
        <w:spacing w:before="150" w:line="370" w:lineRule="auto"/>
        <w:ind w:left="21" w:right="4" w:firstLine="41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.1.1 根据《中华人民共和国招标投标法》等有关法律、法规和规章的规定，本招标项目</w:t>
      </w:r>
      <w:r>
        <w:rPr>
          <w:rFonts w:ascii="宋体" w:hAnsi="宋体" w:eastAsia="宋体" w:cs="宋体"/>
          <w:color w:val="auto"/>
          <w:sz w:val="20"/>
          <w:szCs w:val="20"/>
        </w:rPr>
        <w:t xml:space="preserve"> </w:t>
      </w:r>
      <w:r>
        <w:rPr>
          <w:rFonts w:ascii="宋体" w:hAnsi="宋体" w:eastAsia="宋体" w:cs="宋体"/>
          <w:color w:val="auto"/>
          <w:spacing w:val="14"/>
          <w:sz w:val="20"/>
          <w:szCs w:val="20"/>
        </w:rPr>
        <w:t>已</w:t>
      </w:r>
      <w:r>
        <w:rPr>
          <w:rFonts w:ascii="宋体" w:hAnsi="宋体" w:eastAsia="宋体" w:cs="宋体"/>
          <w:color w:val="auto"/>
          <w:spacing w:val="11"/>
          <w:sz w:val="20"/>
          <w:szCs w:val="20"/>
        </w:rPr>
        <w:t>具</w:t>
      </w:r>
      <w:r>
        <w:rPr>
          <w:rFonts w:ascii="宋体" w:hAnsi="宋体" w:eastAsia="宋体" w:cs="宋体"/>
          <w:color w:val="auto"/>
          <w:spacing w:val="7"/>
          <w:sz w:val="20"/>
          <w:szCs w:val="20"/>
        </w:rPr>
        <w:t>备招标条件，现对本标段进行招标。</w:t>
      </w:r>
    </w:p>
    <w:p w14:paraId="17DCF1A2">
      <w:pPr>
        <w:spacing w:before="1"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.1.2 本招标项目招标人：见投标人须知前附表。</w:t>
      </w:r>
    </w:p>
    <w:p w14:paraId="5831A073">
      <w:pPr>
        <w:spacing w:before="152"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w:t>
      </w:r>
      <w:r>
        <w:rPr>
          <w:rFonts w:ascii="宋体" w:hAnsi="宋体" w:eastAsia="宋体" w:cs="宋体"/>
          <w:color w:val="auto"/>
          <w:spacing w:val="7"/>
          <w:sz w:val="20"/>
          <w:szCs w:val="20"/>
        </w:rPr>
        <w:t>1.3 本标段招标代理机构：见投标人须知前附表。</w:t>
      </w:r>
    </w:p>
    <w:p w14:paraId="7F5C40EF">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.1.4 本招标项目名称：见投标人须知前附表。</w:t>
      </w:r>
    </w:p>
    <w:p w14:paraId="7D753B7A">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.1.5 本标段建设地点：见投标人须知前附表。</w:t>
      </w:r>
    </w:p>
    <w:p w14:paraId="18C6011B">
      <w:pPr>
        <w:spacing w:before="151" w:line="225" w:lineRule="auto"/>
        <w:ind w:left="13"/>
        <w:outlineLvl w:val="2"/>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2 资金来源和落实情况</w:t>
      </w:r>
    </w:p>
    <w:p w14:paraId="0C5E5DF4">
      <w:pPr>
        <w:spacing w:before="158"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2.1 本招标项目的资金来源：见投标人须知前附表。</w:t>
      </w:r>
    </w:p>
    <w:p w14:paraId="3191B714">
      <w:pPr>
        <w:spacing w:before="155"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2.2 本招标项目的出资比例：见投标人须知前附表。</w:t>
      </w:r>
    </w:p>
    <w:p w14:paraId="6CDA02E6">
      <w:pPr>
        <w:spacing w:before="152" w:line="225"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2</w:t>
      </w:r>
      <w:r>
        <w:rPr>
          <w:rFonts w:ascii="宋体" w:hAnsi="宋体" w:eastAsia="宋体" w:cs="宋体"/>
          <w:color w:val="auto"/>
          <w:spacing w:val="7"/>
          <w:sz w:val="20"/>
          <w:szCs w:val="20"/>
        </w:rPr>
        <w:t>.3 本招标项目的资金落实情况：见投标人须知前附表。</w:t>
      </w:r>
    </w:p>
    <w:p w14:paraId="3A6AFC16">
      <w:pPr>
        <w:spacing w:before="157" w:line="229"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w:t>
      </w:r>
      <w:r>
        <w:rPr>
          <w:rFonts w:ascii="宋体" w:hAnsi="宋体" w:eastAsia="宋体" w:cs="宋体"/>
          <w:color w:val="auto"/>
          <w:spacing w:val="7"/>
          <w:sz w:val="20"/>
          <w:szCs w:val="20"/>
        </w:rPr>
        <w:t>3 招标范围、计划工期和质量要求</w:t>
      </w:r>
    </w:p>
    <w:p w14:paraId="1C8A88E5">
      <w:pPr>
        <w:spacing w:before="152" w:line="228" w:lineRule="auto"/>
        <w:ind w:left="433"/>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7"/>
          <w:sz w:val="20"/>
          <w:szCs w:val="20"/>
        </w:rPr>
        <w:t>.3.1 本次招标范围：见投标人须知前附表。</w:t>
      </w:r>
    </w:p>
    <w:p w14:paraId="445062C8">
      <w:pPr>
        <w:spacing w:before="152"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.3.2 本标段的计划工期：见投标人须知前附表。</w:t>
      </w:r>
    </w:p>
    <w:p w14:paraId="7F7805D4">
      <w:pPr>
        <w:spacing w:before="154"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.3.3 本标段的质量要求：见投标人须知前附表。</w:t>
      </w:r>
    </w:p>
    <w:p w14:paraId="68355C4C">
      <w:pPr>
        <w:spacing w:before="153" w:line="298" w:lineRule="auto"/>
        <w:ind w:left="420" w:right="3960" w:hanging="407"/>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w:t>
      </w:r>
      <w:r>
        <w:rPr>
          <w:rFonts w:ascii="宋体" w:hAnsi="宋体" w:eastAsia="宋体" w:cs="宋体"/>
          <w:color w:val="auto"/>
          <w:spacing w:val="7"/>
          <w:sz w:val="20"/>
          <w:szCs w:val="20"/>
        </w:rPr>
        <w:t xml:space="preserve">4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(适用于已进行资格预审的)</w:t>
      </w:r>
      <w:r>
        <w:rPr>
          <w:rFonts w:ascii="宋体" w:hAnsi="宋体" w:eastAsia="宋体" w:cs="宋体"/>
          <w:color w:val="auto"/>
          <w:sz w:val="20"/>
          <w:szCs w:val="20"/>
        </w:rPr>
        <w:t xml:space="preserve">   </w:t>
      </w:r>
      <w:r>
        <w:rPr>
          <w:rFonts w:ascii="宋体" w:hAnsi="宋体" w:eastAsia="宋体" w:cs="宋体"/>
          <w:color w:val="auto"/>
          <w:spacing w:val="8"/>
          <w:sz w:val="20"/>
          <w:szCs w:val="20"/>
        </w:rPr>
        <w:t>投标人应是收到招标人发出投标邀请书的单</w:t>
      </w:r>
      <w:r>
        <w:rPr>
          <w:rFonts w:ascii="宋体" w:hAnsi="宋体" w:eastAsia="宋体" w:cs="宋体"/>
          <w:color w:val="auto"/>
          <w:spacing w:val="4"/>
          <w:sz w:val="20"/>
          <w:szCs w:val="20"/>
        </w:rPr>
        <w:t>。</w:t>
      </w:r>
    </w:p>
    <w:p w14:paraId="177B78C3">
      <w:pPr>
        <w:spacing w:before="154" w:line="227"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4</w:t>
      </w:r>
      <w:r>
        <w:rPr>
          <w:rFonts w:ascii="宋体" w:hAnsi="宋体" w:eastAsia="宋体" w:cs="宋体"/>
          <w:color w:val="auto"/>
          <w:spacing w:val="7"/>
          <w:sz w:val="20"/>
          <w:szCs w:val="20"/>
        </w:rPr>
        <w:t xml:space="preserve">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(适用于未进行资格预审的)</w:t>
      </w:r>
    </w:p>
    <w:p w14:paraId="1E753FBD">
      <w:pPr>
        <w:spacing w:before="155" w:line="226" w:lineRule="auto"/>
        <w:ind w:left="433"/>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6"/>
          <w:sz w:val="20"/>
          <w:szCs w:val="20"/>
        </w:rPr>
        <w:t>.4.1 投标人应具备承担本标段施工的资质条件、能力和信誉。</w:t>
      </w:r>
    </w:p>
    <w:p w14:paraId="77C7D04D">
      <w:pPr>
        <w:spacing w:before="154" w:line="227" w:lineRule="auto"/>
        <w:ind w:left="726"/>
        <w:rPr>
          <w:rFonts w:ascii="宋体" w:hAnsi="宋体" w:eastAsia="宋体" w:cs="宋体"/>
          <w:color w:val="auto"/>
          <w:sz w:val="20"/>
          <w:szCs w:val="20"/>
        </w:rPr>
      </w:pPr>
      <w:r>
        <w:rPr>
          <w:rFonts w:ascii="宋体" w:hAnsi="宋体" w:eastAsia="宋体" w:cs="宋体"/>
          <w:color w:val="auto"/>
          <w:spacing w:val="13"/>
          <w:sz w:val="20"/>
          <w:szCs w:val="20"/>
        </w:rPr>
        <w:t>(1) 资质条件：见投标人须知前附表</w:t>
      </w:r>
      <w:r>
        <w:rPr>
          <w:rFonts w:ascii="宋体" w:hAnsi="宋体" w:eastAsia="宋体" w:cs="宋体"/>
          <w:color w:val="auto"/>
          <w:spacing w:val="11"/>
          <w:sz w:val="20"/>
          <w:szCs w:val="20"/>
        </w:rPr>
        <w:t>；</w:t>
      </w:r>
    </w:p>
    <w:p w14:paraId="22DEF1AD">
      <w:pPr>
        <w:spacing w:before="155" w:line="228" w:lineRule="auto"/>
        <w:ind w:left="726"/>
        <w:rPr>
          <w:rFonts w:ascii="宋体" w:hAnsi="宋体" w:eastAsia="宋体" w:cs="宋体"/>
          <w:color w:val="auto"/>
          <w:sz w:val="20"/>
          <w:szCs w:val="20"/>
        </w:rPr>
      </w:pPr>
      <w:r>
        <w:rPr>
          <w:rFonts w:ascii="宋体" w:hAnsi="宋体" w:eastAsia="宋体" w:cs="宋体"/>
          <w:color w:val="auto"/>
          <w:spacing w:val="13"/>
          <w:sz w:val="20"/>
          <w:szCs w:val="20"/>
        </w:rPr>
        <w:t>(2) 财务要求：见投标人须知前附表</w:t>
      </w:r>
      <w:r>
        <w:rPr>
          <w:rFonts w:ascii="宋体" w:hAnsi="宋体" w:eastAsia="宋体" w:cs="宋体"/>
          <w:color w:val="auto"/>
          <w:spacing w:val="11"/>
          <w:sz w:val="20"/>
          <w:szCs w:val="20"/>
        </w:rPr>
        <w:t>；</w:t>
      </w:r>
    </w:p>
    <w:p w14:paraId="05FF101C">
      <w:pPr>
        <w:spacing w:before="153" w:line="226" w:lineRule="auto"/>
        <w:ind w:left="726"/>
        <w:rPr>
          <w:rFonts w:ascii="宋体" w:hAnsi="宋体" w:eastAsia="宋体" w:cs="宋体"/>
          <w:color w:val="auto"/>
          <w:sz w:val="20"/>
          <w:szCs w:val="20"/>
        </w:rPr>
      </w:pPr>
      <w:r>
        <w:rPr>
          <w:rFonts w:ascii="宋体" w:hAnsi="宋体" w:eastAsia="宋体" w:cs="宋体"/>
          <w:color w:val="auto"/>
          <w:spacing w:val="13"/>
          <w:sz w:val="20"/>
          <w:szCs w:val="20"/>
        </w:rPr>
        <w:t>(3) 业绩要求：见投标人须知前附表</w:t>
      </w:r>
      <w:r>
        <w:rPr>
          <w:rFonts w:ascii="宋体" w:hAnsi="宋体" w:eastAsia="宋体" w:cs="宋体"/>
          <w:color w:val="auto"/>
          <w:spacing w:val="11"/>
          <w:sz w:val="20"/>
          <w:szCs w:val="20"/>
        </w:rPr>
        <w:t>；</w:t>
      </w:r>
    </w:p>
    <w:p w14:paraId="5F9329D3">
      <w:pPr>
        <w:spacing w:before="154" w:line="228" w:lineRule="auto"/>
        <w:ind w:left="726"/>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4) 信誉要求：见投标人须知前附表;</w:t>
      </w:r>
    </w:p>
    <w:p w14:paraId="2B2915F6">
      <w:pPr>
        <w:spacing w:before="154" w:line="227" w:lineRule="auto"/>
        <w:ind w:left="742"/>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5) 项目经理资格：见投标人须知前附表；</w:t>
      </w:r>
    </w:p>
    <w:p w14:paraId="610AB1EC">
      <w:pPr>
        <w:spacing w:before="155" w:line="226" w:lineRule="auto"/>
        <w:ind w:left="742"/>
        <w:rPr>
          <w:rFonts w:ascii="宋体" w:hAnsi="宋体" w:eastAsia="宋体" w:cs="宋体"/>
          <w:color w:val="auto"/>
          <w:sz w:val="20"/>
          <w:szCs w:val="20"/>
        </w:rPr>
      </w:pPr>
      <w:r>
        <w:rPr>
          <w:rFonts w:ascii="宋体" w:hAnsi="宋体" w:eastAsia="宋体" w:cs="宋体"/>
          <w:color w:val="auto"/>
          <w:spacing w:val="13"/>
          <w:sz w:val="20"/>
          <w:szCs w:val="20"/>
        </w:rPr>
        <w:t>(6) 其他要求：见投标人须知前附表</w:t>
      </w:r>
      <w:r>
        <w:rPr>
          <w:rFonts w:ascii="宋体" w:hAnsi="宋体" w:eastAsia="宋体" w:cs="宋体"/>
          <w:color w:val="auto"/>
          <w:spacing w:val="11"/>
          <w:sz w:val="20"/>
          <w:szCs w:val="20"/>
        </w:rPr>
        <w:t>。</w:t>
      </w:r>
    </w:p>
    <w:p w14:paraId="5351C66A">
      <w:pPr>
        <w:spacing w:before="153"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1.4.2 投标人须知前附表规定接受联合体投标的，除应符合本章第 1.4.1 项和投标人须</w:t>
      </w:r>
      <w:r>
        <w:rPr>
          <w:rFonts w:ascii="宋体" w:hAnsi="宋体" w:eastAsia="宋体" w:cs="宋体"/>
          <w:color w:val="auto"/>
          <w:spacing w:val="6"/>
          <w:sz w:val="20"/>
          <w:szCs w:val="20"/>
        </w:rPr>
        <w:t>知</w:t>
      </w:r>
      <w:r>
        <w:rPr>
          <w:rFonts w:ascii="宋体" w:hAnsi="宋体" w:eastAsia="宋体" w:cs="宋体"/>
          <w:color w:val="auto"/>
          <w:spacing w:val="16"/>
          <w:sz w:val="20"/>
          <w:szCs w:val="20"/>
        </w:rPr>
        <w:t>前</w:t>
      </w:r>
      <w:r>
        <w:rPr>
          <w:rFonts w:ascii="宋体" w:hAnsi="宋体" w:eastAsia="宋体" w:cs="宋体"/>
          <w:color w:val="auto"/>
          <w:spacing w:val="10"/>
          <w:sz w:val="20"/>
          <w:szCs w:val="20"/>
        </w:rPr>
        <w:t>附</w:t>
      </w:r>
      <w:r>
        <w:rPr>
          <w:rFonts w:ascii="宋体" w:hAnsi="宋体" w:eastAsia="宋体" w:cs="宋体"/>
          <w:color w:val="auto"/>
          <w:spacing w:val="8"/>
          <w:sz w:val="20"/>
          <w:szCs w:val="20"/>
        </w:rPr>
        <w:t>表的要求外，还应遵守以下规定：</w:t>
      </w:r>
    </w:p>
    <w:p w14:paraId="69E49165">
      <w:pPr>
        <w:spacing w:before="154" w:line="369" w:lineRule="auto"/>
        <w:ind w:right="2" w:firstLine="726"/>
        <w:rPr>
          <w:rFonts w:ascii="宋体" w:hAnsi="宋体" w:eastAsia="宋体" w:cs="宋体"/>
          <w:color w:val="auto"/>
          <w:sz w:val="20"/>
          <w:szCs w:val="20"/>
        </w:rPr>
      </w:pPr>
      <w:r>
        <w:rPr>
          <w:rFonts w:ascii="宋体" w:hAnsi="宋体" w:eastAsia="宋体" w:cs="宋体"/>
          <w:color w:val="auto"/>
          <w:spacing w:val="13"/>
          <w:sz w:val="20"/>
          <w:szCs w:val="20"/>
        </w:rPr>
        <w:t>(1) 联合体各方应按竞争性磋商文件提供的格式签订联合体协议书， 明确联合体牵</w:t>
      </w:r>
      <w:r>
        <w:rPr>
          <w:rFonts w:ascii="宋体" w:hAnsi="宋体" w:eastAsia="宋体" w:cs="宋体"/>
          <w:color w:val="auto"/>
          <w:spacing w:val="10"/>
          <w:sz w:val="20"/>
          <w:szCs w:val="20"/>
        </w:rPr>
        <w:t>头</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和各方权利义务；</w:t>
      </w:r>
    </w:p>
    <w:p w14:paraId="13896228">
      <w:pPr>
        <w:spacing w:line="230"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2</w:t>
      </w:r>
      <w:r>
        <w:rPr>
          <w:rFonts w:ascii="宋体" w:hAnsi="宋体" w:eastAsia="宋体" w:cs="宋体"/>
          <w:color w:val="auto"/>
          <w:spacing w:val="11"/>
          <w:sz w:val="20"/>
          <w:szCs w:val="20"/>
        </w:rPr>
        <w:t>) 由同一专业的单位组成的联合体，按照资质等级较低的单位确定资质等级；</w:t>
      </w:r>
    </w:p>
    <w:p w14:paraId="3B95498F">
      <w:pPr>
        <w:spacing w:before="151" w:line="226"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3</w:t>
      </w:r>
      <w:r>
        <w:rPr>
          <w:rFonts w:ascii="宋体" w:hAnsi="宋体" w:eastAsia="宋体" w:cs="宋体"/>
          <w:color w:val="auto"/>
          <w:spacing w:val="11"/>
          <w:sz w:val="20"/>
          <w:szCs w:val="20"/>
        </w:rPr>
        <w:t>) 联合体各方不得再以自己名义单独或参加其他联合体在同一标段中投标。</w:t>
      </w:r>
    </w:p>
    <w:p w14:paraId="3D1DE616">
      <w:pPr>
        <w:spacing w:before="183" w:line="228" w:lineRule="auto"/>
        <w:ind w:left="435"/>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8"/>
          <w:sz w:val="20"/>
          <w:szCs w:val="20"/>
        </w:rPr>
        <w:t>4</w:t>
      </w:r>
      <w:r>
        <w:rPr>
          <w:rFonts w:ascii="宋体" w:hAnsi="宋体" w:eastAsia="宋体" w:cs="宋体"/>
          <w:color w:val="auto"/>
          <w:spacing w:val="6"/>
          <w:sz w:val="20"/>
          <w:szCs w:val="20"/>
        </w:rPr>
        <w:t>.3 投标人不得存在下列情形之一：</w:t>
      </w:r>
    </w:p>
    <w:p w14:paraId="20840C8F">
      <w:pPr>
        <w:spacing w:before="153" w:line="226"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1"/>
          <w:sz w:val="20"/>
          <w:szCs w:val="20"/>
        </w:rPr>
        <w:t>1) 为招标人不具有独立法人资格的附属机构 (单位) ；</w:t>
      </w:r>
    </w:p>
    <w:p w14:paraId="1CF8B13B">
      <w:pPr>
        <w:spacing w:before="152"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2</w:t>
      </w:r>
      <w:r>
        <w:rPr>
          <w:rFonts w:ascii="宋体" w:hAnsi="宋体" w:eastAsia="宋体" w:cs="宋体"/>
          <w:color w:val="auto"/>
          <w:spacing w:val="11"/>
          <w:sz w:val="20"/>
          <w:szCs w:val="20"/>
        </w:rPr>
        <w:t>) 为本标段前期准备提供设计或咨询服务的，但设计施工总承包的除外；</w:t>
      </w:r>
    </w:p>
    <w:p w14:paraId="6363A229">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3) 为本标段的监理人；</w:t>
      </w:r>
    </w:p>
    <w:p w14:paraId="499B2FE0">
      <w:pPr>
        <w:spacing w:before="154" w:line="227"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4) 为本标段的代建人；</w:t>
      </w:r>
    </w:p>
    <w:p w14:paraId="1841E72D">
      <w:pPr>
        <w:spacing w:before="153"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(5) 为本标段提供招标代理服务的</w:t>
      </w:r>
      <w:r>
        <w:rPr>
          <w:rFonts w:ascii="宋体" w:hAnsi="宋体" w:eastAsia="宋体" w:cs="宋体"/>
          <w:color w:val="auto"/>
          <w:spacing w:val="12"/>
          <w:sz w:val="20"/>
          <w:szCs w:val="20"/>
        </w:rPr>
        <w:t>；</w:t>
      </w:r>
    </w:p>
    <w:p w14:paraId="2CA82695">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6</w:t>
      </w:r>
      <w:r>
        <w:rPr>
          <w:rFonts w:ascii="宋体" w:hAnsi="宋体" w:eastAsia="宋体" w:cs="宋体"/>
          <w:color w:val="auto"/>
          <w:spacing w:val="11"/>
          <w:sz w:val="20"/>
          <w:szCs w:val="20"/>
        </w:rPr>
        <w:t>) 与本标段的监理人或代建人或招标代理机构同为一个法定代表人的；</w:t>
      </w:r>
    </w:p>
    <w:p w14:paraId="4AC117F5">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7</w:t>
      </w:r>
      <w:r>
        <w:rPr>
          <w:rFonts w:ascii="宋体" w:hAnsi="宋体" w:eastAsia="宋体" w:cs="宋体"/>
          <w:color w:val="auto"/>
          <w:spacing w:val="11"/>
          <w:sz w:val="20"/>
          <w:szCs w:val="20"/>
        </w:rPr>
        <w:t>) 与本标段的监理人或代建人或招标代理机构相互控股或参股的；</w:t>
      </w:r>
    </w:p>
    <w:p w14:paraId="3A40C88C">
      <w:pPr>
        <w:spacing w:before="152"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8</w:t>
      </w:r>
      <w:r>
        <w:rPr>
          <w:rFonts w:ascii="宋体" w:hAnsi="宋体" w:eastAsia="宋体" w:cs="宋体"/>
          <w:color w:val="auto"/>
          <w:spacing w:val="11"/>
          <w:sz w:val="20"/>
          <w:szCs w:val="20"/>
        </w:rPr>
        <w:t>) 与本标段的监理人或代建人或招标代理机构相互任职或工作的；</w:t>
      </w:r>
    </w:p>
    <w:p w14:paraId="38422B0C">
      <w:pPr>
        <w:spacing w:before="155" w:line="225" w:lineRule="auto"/>
        <w:ind w:left="727"/>
        <w:rPr>
          <w:rFonts w:ascii="宋体" w:hAnsi="宋体" w:eastAsia="宋体" w:cs="宋体"/>
          <w:color w:val="auto"/>
          <w:sz w:val="20"/>
          <w:szCs w:val="20"/>
        </w:rPr>
      </w:pPr>
      <w:r>
        <w:rPr>
          <w:rFonts w:ascii="宋体" w:hAnsi="宋体" w:eastAsia="宋体" w:cs="宋体"/>
          <w:color w:val="auto"/>
          <w:spacing w:val="15"/>
          <w:sz w:val="20"/>
          <w:szCs w:val="20"/>
        </w:rPr>
        <w:t>(9) 被责令停业的；</w:t>
      </w:r>
    </w:p>
    <w:p w14:paraId="1048D684">
      <w:pPr>
        <w:spacing w:before="157"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(10) 被暂停或取消投标资格的</w:t>
      </w:r>
      <w:r>
        <w:rPr>
          <w:rFonts w:ascii="宋体" w:hAnsi="宋体" w:eastAsia="宋体" w:cs="宋体"/>
          <w:color w:val="auto"/>
          <w:spacing w:val="11"/>
          <w:sz w:val="20"/>
          <w:szCs w:val="20"/>
        </w:rPr>
        <w:t>；</w:t>
      </w:r>
    </w:p>
    <w:p w14:paraId="003B9F0F">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11) 财产被接管或冻结的；</w:t>
      </w:r>
    </w:p>
    <w:p w14:paraId="76F60837">
      <w:pPr>
        <w:spacing w:before="154"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8"/>
          <w:sz w:val="20"/>
          <w:szCs w:val="20"/>
        </w:rPr>
        <w:t>1</w:t>
      </w:r>
      <w:r>
        <w:rPr>
          <w:rFonts w:ascii="宋体" w:hAnsi="宋体" w:eastAsia="宋体" w:cs="宋体"/>
          <w:color w:val="auto"/>
          <w:spacing w:val="11"/>
          <w:sz w:val="20"/>
          <w:szCs w:val="20"/>
        </w:rPr>
        <w:t>2) 在最近三年内有骗取中标或严重违约或重大工程质量问题的。</w:t>
      </w:r>
    </w:p>
    <w:p w14:paraId="568F17C3">
      <w:pPr>
        <w:spacing w:before="153"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 费用承担</w:t>
      </w:r>
    </w:p>
    <w:p w14:paraId="2CE07083">
      <w:pPr>
        <w:spacing w:before="151" w:line="228" w:lineRule="auto"/>
        <w:ind w:left="422"/>
        <w:rPr>
          <w:rFonts w:ascii="宋体" w:hAnsi="宋体" w:eastAsia="宋体" w:cs="宋体"/>
          <w:color w:val="auto"/>
          <w:sz w:val="20"/>
          <w:szCs w:val="20"/>
        </w:rPr>
      </w:pPr>
      <w:r>
        <w:rPr>
          <w:rFonts w:ascii="宋体" w:hAnsi="宋体" w:eastAsia="宋体" w:cs="宋体"/>
          <w:color w:val="auto"/>
          <w:spacing w:val="9"/>
          <w:sz w:val="20"/>
          <w:szCs w:val="20"/>
        </w:rPr>
        <w:t>投标人准备和参加投标活动发生的费用自理</w:t>
      </w:r>
      <w:r>
        <w:rPr>
          <w:rFonts w:ascii="宋体" w:hAnsi="宋体" w:eastAsia="宋体" w:cs="宋体"/>
          <w:color w:val="auto"/>
          <w:spacing w:val="7"/>
          <w:sz w:val="20"/>
          <w:szCs w:val="20"/>
        </w:rPr>
        <w:t>。</w:t>
      </w:r>
    </w:p>
    <w:p w14:paraId="4EDF90A0">
      <w:pPr>
        <w:spacing w:before="155" w:line="229" w:lineRule="auto"/>
        <w:ind w:left="15"/>
        <w:outlineLvl w:val="2"/>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2"/>
          <w:sz w:val="20"/>
          <w:szCs w:val="20"/>
        </w:rPr>
        <w:t>.6 保密</w:t>
      </w:r>
    </w:p>
    <w:p w14:paraId="795E4961">
      <w:pPr>
        <w:spacing w:before="153"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参</w:t>
      </w:r>
      <w:r>
        <w:rPr>
          <w:rFonts w:ascii="宋体" w:hAnsi="宋体" w:eastAsia="宋体" w:cs="宋体"/>
          <w:color w:val="auto"/>
          <w:spacing w:val="19"/>
          <w:sz w:val="20"/>
          <w:szCs w:val="20"/>
        </w:rPr>
        <w:t>与招标投标活动的各方应对竞争性磋商文件和磋商响应文件中的商业和技术等秘密保</w:t>
      </w:r>
      <w:r>
        <w:rPr>
          <w:rFonts w:ascii="宋体" w:hAnsi="宋体" w:eastAsia="宋体" w:cs="宋体"/>
          <w:color w:val="auto"/>
          <w:spacing w:val="9"/>
          <w:sz w:val="20"/>
          <w:szCs w:val="20"/>
        </w:rPr>
        <w:t>密，违者应对由此造成的后果承担法律责任</w:t>
      </w:r>
      <w:r>
        <w:rPr>
          <w:rFonts w:ascii="宋体" w:hAnsi="宋体" w:eastAsia="宋体" w:cs="宋体"/>
          <w:color w:val="auto"/>
          <w:spacing w:val="8"/>
          <w:sz w:val="20"/>
          <w:szCs w:val="20"/>
        </w:rPr>
        <w:t>。</w:t>
      </w:r>
    </w:p>
    <w:p w14:paraId="44C238BB">
      <w:pPr>
        <w:spacing w:before="149"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.7 语言文字</w:t>
      </w:r>
    </w:p>
    <w:p w14:paraId="3FCF10FA">
      <w:pPr>
        <w:spacing w:before="154" w:line="227" w:lineRule="auto"/>
        <w:ind w:left="432"/>
        <w:rPr>
          <w:rFonts w:ascii="宋体" w:hAnsi="宋体" w:eastAsia="宋体" w:cs="宋体"/>
          <w:color w:val="auto"/>
          <w:sz w:val="20"/>
          <w:szCs w:val="20"/>
        </w:rPr>
      </w:pPr>
      <w:r>
        <w:rPr>
          <w:rFonts w:ascii="宋体" w:hAnsi="宋体" w:eastAsia="宋体" w:cs="宋体"/>
          <w:color w:val="auto"/>
          <w:spacing w:val="15"/>
          <w:sz w:val="20"/>
          <w:szCs w:val="20"/>
        </w:rPr>
        <w:t>除</w:t>
      </w:r>
      <w:r>
        <w:rPr>
          <w:rFonts w:ascii="宋体" w:hAnsi="宋体" w:eastAsia="宋体" w:cs="宋体"/>
          <w:color w:val="auto"/>
          <w:spacing w:val="9"/>
          <w:sz w:val="20"/>
          <w:szCs w:val="20"/>
        </w:rPr>
        <w:t>专用术语外，与招标投标有关的语言均使用中文。必要时专用术语应附有中文注释。</w:t>
      </w:r>
    </w:p>
    <w:p w14:paraId="77A6C53B">
      <w:pPr>
        <w:spacing w:before="152" w:line="229"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.8 计量单位</w:t>
      </w:r>
    </w:p>
    <w:p w14:paraId="1DB43C1A">
      <w:pPr>
        <w:spacing w:before="153" w:line="228" w:lineRule="auto"/>
        <w:ind w:left="420"/>
        <w:rPr>
          <w:rFonts w:ascii="宋体" w:hAnsi="宋体" w:eastAsia="宋体" w:cs="宋体"/>
          <w:color w:val="auto"/>
          <w:sz w:val="20"/>
          <w:szCs w:val="20"/>
        </w:rPr>
      </w:pPr>
      <w:r>
        <w:rPr>
          <w:rFonts w:ascii="宋体" w:hAnsi="宋体" w:eastAsia="宋体" w:cs="宋体"/>
          <w:color w:val="auto"/>
          <w:spacing w:val="9"/>
          <w:sz w:val="20"/>
          <w:szCs w:val="20"/>
        </w:rPr>
        <w:t>所有计量均采用中华人民共和国法定计量单位。</w:t>
      </w:r>
    </w:p>
    <w:p w14:paraId="0EE6ADA4">
      <w:pPr>
        <w:spacing w:before="154"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 踏勘现场</w:t>
      </w:r>
    </w:p>
    <w:p w14:paraId="719ACEFC">
      <w:pPr>
        <w:spacing w:before="151" w:line="370" w:lineRule="auto"/>
        <w:ind w:right="36" w:firstLine="435"/>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9.1 投标人须知前附表规定组织踏勘现场的，招标人按投标人须知前附表规定的时间、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6"/>
          <w:sz w:val="20"/>
          <w:szCs w:val="20"/>
        </w:rPr>
        <w:t>地</w:t>
      </w:r>
      <w:r>
        <w:rPr>
          <w:rFonts w:ascii="宋体" w:hAnsi="宋体" w:eastAsia="宋体" w:cs="宋体"/>
          <w:color w:val="auto"/>
          <w:spacing w:val="8"/>
          <w:sz w:val="20"/>
          <w:szCs w:val="20"/>
        </w:rPr>
        <w:t>点组织投标人踏勘项目现场。</w:t>
      </w:r>
    </w:p>
    <w:p w14:paraId="334BB986">
      <w:pPr>
        <w:spacing w:before="1" w:line="227" w:lineRule="auto"/>
        <w:ind w:left="435"/>
        <w:rPr>
          <w:rFonts w:ascii="宋体" w:hAnsi="宋体" w:eastAsia="宋体" w:cs="宋体"/>
          <w:color w:val="auto"/>
          <w:sz w:val="20"/>
          <w:szCs w:val="20"/>
        </w:rPr>
      </w:pPr>
      <w:r>
        <w:rPr>
          <w:rFonts w:ascii="宋体" w:hAnsi="宋体" w:eastAsia="宋体" w:cs="宋体"/>
          <w:color w:val="auto"/>
          <w:spacing w:val="7"/>
          <w:sz w:val="20"/>
          <w:szCs w:val="20"/>
        </w:rPr>
        <w:t>1.9.2 投标人踏勘现场发生的费用自理</w:t>
      </w:r>
      <w:r>
        <w:rPr>
          <w:rFonts w:ascii="宋体" w:hAnsi="宋体" w:eastAsia="宋体" w:cs="宋体"/>
          <w:color w:val="auto"/>
          <w:spacing w:val="2"/>
          <w:sz w:val="20"/>
          <w:szCs w:val="20"/>
        </w:rPr>
        <w:t>。</w:t>
      </w:r>
    </w:p>
    <w:p w14:paraId="6E8864AB">
      <w:pPr>
        <w:spacing w:before="152" w:line="228" w:lineRule="auto"/>
        <w:ind w:left="435"/>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9</w:t>
      </w:r>
      <w:r>
        <w:rPr>
          <w:rFonts w:ascii="宋体" w:hAnsi="宋体" w:eastAsia="宋体" w:cs="宋体"/>
          <w:color w:val="auto"/>
          <w:spacing w:val="8"/>
          <w:sz w:val="20"/>
          <w:szCs w:val="20"/>
        </w:rPr>
        <w:t>.3 除招标人的原因外，投标人自行负责在踏勘现场中所发生的人员伤亡和财产损失。</w:t>
      </w:r>
    </w:p>
    <w:p w14:paraId="57A5F5FD">
      <w:pPr>
        <w:spacing w:before="153" w:line="369" w:lineRule="auto"/>
        <w:ind w:left="10" w:right="1" w:firstLine="424"/>
        <w:rPr>
          <w:rFonts w:ascii="宋体" w:hAnsi="宋体" w:eastAsia="宋体" w:cs="宋体"/>
          <w:color w:val="auto"/>
          <w:sz w:val="20"/>
          <w:szCs w:val="20"/>
        </w:rPr>
      </w:pPr>
      <w:r>
        <w:rPr>
          <w:rFonts w:ascii="宋体" w:hAnsi="宋体" w:eastAsia="宋体" w:cs="宋体"/>
          <w:color w:val="auto"/>
          <w:spacing w:val="17"/>
          <w:sz w:val="20"/>
          <w:szCs w:val="20"/>
        </w:rPr>
        <w:t>1</w:t>
      </w:r>
      <w:r>
        <w:rPr>
          <w:rFonts w:ascii="宋体" w:hAnsi="宋体" w:eastAsia="宋体" w:cs="宋体"/>
          <w:color w:val="auto"/>
          <w:spacing w:val="12"/>
          <w:sz w:val="20"/>
          <w:szCs w:val="20"/>
        </w:rPr>
        <w:t>.9.4 招标人在踏勘现场中介绍的工程场地和相关的周边环境情况，供投标人在编制磋商</w:t>
      </w:r>
      <w:r>
        <w:rPr>
          <w:rFonts w:ascii="宋体" w:hAnsi="宋体" w:eastAsia="宋体" w:cs="宋体"/>
          <w:color w:val="auto"/>
          <w:spacing w:val="9"/>
          <w:sz w:val="20"/>
          <w:szCs w:val="20"/>
        </w:rPr>
        <w:t>响应文件时参考，招标人不对投标人据此作出的判断和决策负责</w:t>
      </w:r>
      <w:r>
        <w:rPr>
          <w:rFonts w:ascii="宋体" w:hAnsi="宋体" w:eastAsia="宋体" w:cs="宋体"/>
          <w:color w:val="auto"/>
          <w:spacing w:val="6"/>
          <w:sz w:val="20"/>
          <w:szCs w:val="20"/>
        </w:rPr>
        <w:t>。</w:t>
      </w:r>
    </w:p>
    <w:p w14:paraId="7ED8A985">
      <w:pPr>
        <w:spacing w:before="1" w:line="224" w:lineRule="auto"/>
        <w:ind w:left="15"/>
        <w:outlineLvl w:val="2"/>
        <w:rPr>
          <w:rFonts w:ascii="宋体" w:hAnsi="宋体" w:eastAsia="宋体" w:cs="宋体"/>
          <w:color w:val="auto"/>
          <w:sz w:val="20"/>
          <w:szCs w:val="20"/>
        </w:rPr>
      </w:pPr>
      <w:r>
        <w:rPr>
          <w:rFonts w:ascii="宋体" w:hAnsi="宋体" w:eastAsia="宋体" w:cs="宋体"/>
          <w:color w:val="auto"/>
          <w:spacing w:val="5"/>
          <w:sz w:val="20"/>
          <w:szCs w:val="20"/>
        </w:rPr>
        <w:t>1.10 投标预备会</w:t>
      </w:r>
    </w:p>
    <w:p w14:paraId="4792DF60">
      <w:pPr>
        <w:spacing w:before="157" w:line="369" w:lineRule="auto"/>
        <w:ind w:firstLine="434"/>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0.1 投标人须知前附表规定召开投标预备会的，招标人按投标人须知前附表规定的时间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0"/>
          <w:sz w:val="20"/>
          <w:szCs w:val="20"/>
        </w:rPr>
        <w:t>和</w:t>
      </w:r>
      <w:r>
        <w:rPr>
          <w:rFonts w:ascii="宋体" w:hAnsi="宋体" w:eastAsia="宋体" w:cs="宋体"/>
          <w:color w:val="auto"/>
          <w:spacing w:val="9"/>
          <w:sz w:val="20"/>
          <w:szCs w:val="20"/>
        </w:rPr>
        <w:t>地点召开投标预备会，澄清投标人提出的问题。</w:t>
      </w:r>
    </w:p>
    <w:p w14:paraId="6CEB680A">
      <w:pPr>
        <w:spacing w:before="1" w:line="227" w:lineRule="auto"/>
        <w:ind w:left="435"/>
        <w:rPr>
          <w:rFonts w:ascii="宋体" w:hAnsi="宋体" w:eastAsia="宋体" w:cs="宋体"/>
          <w:color w:val="auto"/>
          <w:sz w:val="20"/>
          <w:szCs w:val="20"/>
        </w:rPr>
      </w:pPr>
      <w:r>
        <w:rPr>
          <w:rFonts w:ascii="宋体" w:hAnsi="宋体" w:eastAsia="宋体" w:cs="宋体"/>
          <w:color w:val="auto"/>
          <w:spacing w:val="12"/>
          <w:sz w:val="20"/>
          <w:szCs w:val="20"/>
        </w:rPr>
        <w:t>1.10.2 投标人应在投标人须知前附表规定的时间前， 以书面形式将提出的问题送达招</w:t>
      </w:r>
      <w:r>
        <w:rPr>
          <w:rFonts w:ascii="宋体" w:hAnsi="宋体" w:eastAsia="宋体" w:cs="宋体"/>
          <w:color w:val="auto"/>
          <w:spacing w:val="5"/>
          <w:sz w:val="20"/>
          <w:szCs w:val="20"/>
        </w:rPr>
        <w:t>标</w:t>
      </w:r>
      <w:r>
        <w:rPr>
          <w:rFonts w:ascii="宋体" w:hAnsi="宋体" w:eastAsia="宋体" w:cs="宋体"/>
          <w:color w:val="auto"/>
          <w:spacing w:val="2"/>
          <w:sz w:val="20"/>
          <w:szCs w:val="20"/>
        </w:rPr>
        <w:t>人，以便招标人在会议</w:t>
      </w:r>
      <w:r>
        <w:rPr>
          <w:rFonts w:ascii="宋体" w:hAnsi="宋体" w:eastAsia="宋体" w:cs="宋体"/>
          <w:color w:val="auto"/>
          <w:spacing w:val="1"/>
          <w:sz w:val="20"/>
          <w:szCs w:val="20"/>
        </w:rPr>
        <w:t>期间澄清。</w:t>
      </w:r>
    </w:p>
    <w:p w14:paraId="383DAAA8">
      <w:pPr>
        <w:spacing w:before="183" w:line="369" w:lineRule="auto"/>
        <w:ind w:firstLine="435"/>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0.3 投标预备会后，招标人在投标人须知前附表规定的时间内，将对投标人所提问题的</w:t>
      </w:r>
      <w:r>
        <w:rPr>
          <w:rFonts w:ascii="宋体" w:hAnsi="宋体" w:eastAsia="宋体" w:cs="宋体"/>
          <w:color w:val="auto"/>
          <w:spacing w:val="20"/>
          <w:sz w:val="20"/>
          <w:szCs w:val="20"/>
        </w:rPr>
        <w:t>澄清</w:t>
      </w:r>
      <w:r>
        <w:rPr>
          <w:rFonts w:ascii="宋体" w:hAnsi="宋体" w:eastAsia="宋体" w:cs="宋体"/>
          <w:color w:val="auto"/>
          <w:spacing w:val="14"/>
          <w:sz w:val="20"/>
          <w:szCs w:val="20"/>
        </w:rPr>
        <w:t>，</w:t>
      </w:r>
      <w:r>
        <w:rPr>
          <w:rFonts w:ascii="宋体" w:hAnsi="宋体" w:eastAsia="宋体" w:cs="宋体"/>
          <w:color w:val="auto"/>
          <w:spacing w:val="10"/>
          <w:sz w:val="20"/>
          <w:szCs w:val="20"/>
        </w:rPr>
        <w:t>以书面方式通知所有购买竞争性磋商文件的投标人。该澄清内容为竞争性磋商文件的组</w:t>
      </w:r>
      <w:r>
        <w:rPr>
          <w:rFonts w:ascii="宋体" w:hAnsi="宋体" w:eastAsia="宋体" w:cs="宋体"/>
          <w:color w:val="auto"/>
          <w:spacing w:val="5"/>
          <w:sz w:val="20"/>
          <w:szCs w:val="20"/>
        </w:rPr>
        <w:t>成部分。</w:t>
      </w:r>
    </w:p>
    <w:p w14:paraId="1A1CC819">
      <w:pPr>
        <w:spacing w:line="229"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1.11 分</w:t>
      </w:r>
      <w:r>
        <w:rPr>
          <w:rFonts w:ascii="宋体" w:hAnsi="宋体" w:eastAsia="宋体" w:cs="宋体"/>
          <w:color w:val="auto"/>
          <w:spacing w:val="1"/>
          <w:sz w:val="20"/>
          <w:szCs w:val="20"/>
        </w:rPr>
        <w:t>包</w:t>
      </w:r>
    </w:p>
    <w:p w14:paraId="11942A18">
      <w:pPr>
        <w:spacing w:before="152" w:line="369" w:lineRule="auto"/>
        <w:ind w:left="4" w:right="2" w:firstLine="565"/>
        <w:rPr>
          <w:rFonts w:ascii="宋体" w:hAnsi="宋体" w:eastAsia="宋体" w:cs="宋体"/>
          <w:color w:val="auto"/>
          <w:sz w:val="20"/>
          <w:szCs w:val="20"/>
        </w:rPr>
      </w:pPr>
      <w:r>
        <w:rPr>
          <w:rFonts w:ascii="宋体" w:hAnsi="宋体" w:eastAsia="宋体" w:cs="宋体"/>
          <w:color w:val="auto"/>
          <w:spacing w:val="20"/>
          <w:sz w:val="20"/>
          <w:szCs w:val="20"/>
        </w:rPr>
        <w:t>投</w:t>
      </w:r>
      <w:r>
        <w:rPr>
          <w:rFonts w:ascii="宋体" w:hAnsi="宋体" w:eastAsia="宋体" w:cs="宋体"/>
          <w:color w:val="auto"/>
          <w:spacing w:val="15"/>
          <w:sz w:val="20"/>
          <w:szCs w:val="20"/>
        </w:rPr>
        <w:t>标人拟在中标后将中标项目的部分非主体、非关键性工作进行分包的，应符合投标人</w:t>
      </w:r>
      <w:r>
        <w:rPr>
          <w:rFonts w:ascii="宋体" w:hAnsi="宋体" w:eastAsia="宋体" w:cs="宋体"/>
          <w:color w:val="auto"/>
          <w:spacing w:val="18"/>
          <w:sz w:val="20"/>
          <w:szCs w:val="20"/>
        </w:rPr>
        <w:t>须</w:t>
      </w:r>
      <w:r>
        <w:rPr>
          <w:rFonts w:ascii="宋体" w:hAnsi="宋体" w:eastAsia="宋体" w:cs="宋体"/>
          <w:color w:val="auto"/>
          <w:spacing w:val="13"/>
          <w:sz w:val="20"/>
          <w:szCs w:val="20"/>
        </w:rPr>
        <w:t>知</w:t>
      </w:r>
      <w:r>
        <w:rPr>
          <w:rFonts w:ascii="宋体" w:hAnsi="宋体" w:eastAsia="宋体" w:cs="宋体"/>
          <w:color w:val="auto"/>
          <w:spacing w:val="9"/>
          <w:sz w:val="20"/>
          <w:szCs w:val="20"/>
        </w:rPr>
        <w:t>前附表规定的分包内容、分包金额和接受分包的第三人资质要求等限制性条件。</w:t>
      </w:r>
    </w:p>
    <w:p w14:paraId="5908BF8D">
      <w:pPr>
        <w:spacing w:line="228"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1.12 偏</w:t>
      </w:r>
      <w:r>
        <w:rPr>
          <w:rFonts w:ascii="宋体" w:hAnsi="宋体" w:eastAsia="宋体" w:cs="宋体"/>
          <w:color w:val="auto"/>
          <w:spacing w:val="1"/>
          <w:sz w:val="20"/>
          <w:szCs w:val="20"/>
        </w:rPr>
        <w:t>离</w:t>
      </w:r>
    </w:p>
    <w:p w14:paraId="3DC7FA62">
      <w:pPr>
        <w:spacing w:before="153" w:line="369" w:lineRule="auto"/>
        <w:ind w:right="2" w:firstLine="362"/>
        <w:rPr>
          <w:rFonts w:ascii="宋体" w:hAnsi="宋体" w:eastAsia="宋体" w:cs="宋体"/>
          <w:color w:val="auto"/>
          <w:sz w:val="20"/>
          <w:szCs w:val="20"/>
        </w:rPr>
      </w:pPr>
      <w:r>
        <w:rPr>
          <w:rFonts w:ascii="宋体" w:hAnsi="宋体" w:eastAsia="宋体" w:cs="宋体"/>
          <w:color w:val="auto"/>
          <w:spacing w:val="15"/>
          <w:sz w:val="20"/>
          <w:szCs w:val="20"/>
        </w:rPr>
        <w:t>投标人须知前附表允许磋商响应文件偏离竞争性磋商文件某些要求的，偏离应当符合竞</w:t>
      </w:r>
      <w:r>
        <w:rPr>
          <w:rFonts w:ascii="宋体" w:hAnsi="宋体" w:eastAsia="宋体" w:cs="宋体"/>
          <w:color w:val="auto"/>
          <w:spacing w:val="12"/>
          <w:sz w:val="20"/>
          <w:szCs w:val="20"/>
        </w:rPr>
        <w:t>争</w:t>
      </w:r>
      <w:r>
        <w:rPr>
          <w:rFonts w:ascii="宋体" w:hAnsi="宋体" w:eastAsia="宋体" w:cs="宋体"/>
          <w:color w:val="auto"/>
          <w:spacing w:val="16"/>
          <w:sz w:val="20"/>
          <w:szCs w:val="20"/>
        </w:rPr>
        <w:t>性</w:t>
      </w:r>
      <w:r>
        <w:rPr>
          <w:rFonts w:ascii="宋体" w:hAnsi="宋体" w:eastAsia="宋体" w:cs="宋体"/>
          <w:color w:val="auto"/>
          <w:spacing w:val="10"/>
          <w:sz w:val="20"/>
          <w:szCs w:val="20"/>
        </w:rPr>
        <w:t>磋</w:t>
      </w:r>
      <w:r>
        <w:rPr>
          <w:rFonts w:ascii="宋体" w:hAnsi="宋体" w:eastAsia="宋体" w:cs="宋体"/>
          <w:color w:val="auto"/>
          <w:spacing w:val="8"/>
          <w:sz w:val="20"/>
          <w:szCs w:val="20"/>
        </w:rPr>
        <w:t>商文件规定的偏离范围和幅度。</w:t>
      </w:r>
    </w:p>
    <w:p w14:paraId="0E472B09">
      <w:pPr>
        <w:spacing w:line="228" w:lineRule="auto"/>
        <w:ind w:left="3"/>
        <w:outlineLvl w:val="1"/>
        <w:rPr>
          <w:rFonts w:ascii="宋体" w:hAnsi="宋体" w:eastAsia="宋体" w:cs="宋体"/>
          <w:color w:val="auto"/>
          <w:sz w:val="20"/>
          <w:szCs w:val="20"/>
        </w:rPr>
      </w:pPr>
      <w:r>
        <w:rPr>
          <w:rFonts w:ascii="宋体" w:hAnsi="宋体" w:eastAsia="宋体" w:cs="宋体"/>
          <w:color w:val="auto"/>
          <w:spacing w:val="9"/>
          <w:sz w:val="20"/>
          <w:szCs w:val="20"/>
        </w:rPr>
        <w:t>2</w:t>
      </w:r>
      <w:r>
        <w:rPr>
          <w:rFonts w:ascii="宋体" w:hAnsi="宋体" w:eastAsia="宋体" w:cs="宋体"/>
          <w:color w:val="auto"/>
          <w:spacing w:val="7"/>
          <w:sz w:val="20"/>
          <w:szCs w:val="20"/>
        </w:rPr>
        <w:t>. 竞争性磋商文件</w:t>
      </w:r>
    </w:p>
    <w:p w14:paraId="0AA39A01">
      <w:pPr>
        <w:spacing w:before="153"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1 竞争性磋商文件的组成</w:t>
      </w:r>
    </w:p>
    <w:p w14:paraId="721A3F9B">
      <w:pPr>
        <w:spacing w:before="151" w:line="228" w:lineRule="auto"/>
        <w:ind w:left="421"/>
        <w:rPr>
          <w:rFonts w:ascii="宋体" w:hAnsi="宋体" w:eastAsia="宋体" w:cs="宋体"/>
          <w:color w:val="auto"/>
          <w:sz w:val="20"/>
          <w:szCs w:val="20"/>
        </w:rPr>
      </w:pPr>
      <w:r>
        <w:rPr>
          <w:rFonts w:ascii="宋体" w:hAnsi="宋体" w:eastAsia="宋体" w:cs="宋体"/>
          <w:color w:val="auto"/>
          <w:spacing w:val="8"/>
          <w:sz w:val="20"/>
          <w:szCs w:val="20"/>
        </w:rPr>
        <w:t>本竞争性磋商文件包括：</w:t>
      </w:r>
    </w:p>
    <w:p w14:paraId="58AA1BDA">
      <w:pPr>
        <w:spacing w:before="154" w:line="227" w:lineRule="auto"/>
        <w:ind w:left="370"/>
        <w:rPr>
          <w:rFonts w:ascii="宋体" w:hAnsi="宋体" w:eastAsia="宋体" w:cs="宋体"/>
          <w:color w:val="auto"/>
          <w:sz w:val="20"/>
          <w:szCs w:val="20"/>
        </w:rPr>
      </w:pPr>
      <w:r>
        <w:rPr>
          <w:rFonts w:ascii="宋体" w:hAnsi="宋体" w:eastAsia="宋体" w:cs="宋体"/>
          <w:color w:val="auto"/>
          <w:spacing w:val="12"/>
          <w:sz w:val="20"/>
          <w:szCs w:val="20"/>
        </w:rPr>
        <w:t xml:space="preserve">(1) 招标公告 (或投标邀请书) </w:t>
      </w:r>
      <w:r>
        <w:rPr>
          <w:rFonts w:ascii="宋体" w:hAnsi="宋体" w:eastAsia="宋体" w:cs="宋体"/>
          <w:color w:val="auto"/>
          <w:spacing w:val="9"/>
          <w:sz w:val="20"/>
          <w:szCs w:val="20"/>
        </w:rPr>
        <w:t>；</w:t>
      </w:r>
    </w:p>
    <w:p w14:paraId="431D4E7B">
      <w:pPr>
        <w:spacing w:before="155" w:line="228"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2) 投标人须知；</w:t>
      </w:r>
    </w:p>
    <w:p w14:paraId="73961F75">
      <w:pPr>
        <w:spacing w:before="152" w:line="228" w:lineRule="auto"/>
        <w:ind w:left="37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3) 评标办法；</w:t>
      </w:r>
    </w:p>
    <w:p w14:paraId="0569D522">
      <w:pPr>
        <w:spacing w:before="153"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4) 合同条款及格式；</w:t>
      </w:r>
    </w:p>
    <w:p w14:paraId="21C201B0">
      <w:pPr>
        <w:spacing w:before="154" w:line="229"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5) 工程量清单；</w:t>
      </w:r>
    </w:p>
    <w:p w14:paraId="77A7E9BA">
      <w:pPr>
        <w:spacing w:before="150" w:line="230" w:lineRule="auto"/>
        <w:ind w:left="370"/>
        <w:rPr>
          <w:rFonts w:ascii="宋体" w:hAnsi="宋体" w:eastAsia="宋体" w:cs="宋体"/>
          <w:color w:val="auto"/>
          <w:sz w:val="20"/>
          <w:szCs w:val="20"/>
        </w:rPr>
      </w:pPr>
      <w:r>
        <w:rPr>
          <w:rFonts w:ascii="宋体" w:hAnsi="宋体" w:eastAsia="宋体" w:cs="宋体"/>
          <w:color w:val="auto"/>
          <w:spacing w:val="18"/>
          <w:sz w:val="20"/>
          <w:szCs w:val="20"/>
        </w:rPr>
        <w:t>(6) 图纸</w:t>
      </w:r>
      <w:r>
        <w:rPr>
          <w:rFonts w:ascii="宋体" w:hAnsi="宋体" w:eastAsia="宋体" w:cs="宋体"/>
          <w:color w:val="auto"/>
          <w:spacing w:val="17"/>
          <w:sz w:val="20"/>
          <w:szCs w:val="20"/>
        </w:rPr>
        <w:t>；</w:t>
      </w:r>
    </w:p>
    <w:p w14:paraId="064E8D25">
      <w:pPr>
        <w:spacing w:before="152"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7) 技术标准和要求；</w:t>
      </w:r>
    </w:p>
    <w:p w14:paraId="17E28843">
      <w:pPr>
        <w:spacing w:before="153" w:line="228" w:lineRule="auto"/>
        <w:ind w:left="370"/>
        <w:rPr>
          <w:rFonts w:ascii="宋体" w:hAnsi="宋体" w:eastAsia="宋体" w:cs="宋体"/>
          <w:color w:val="auto"/>
          <w:sz w:val="20"/>
          <w:szCs w:val="20"/>
        </w:rPr>
      </w:pPr>
      <w:r>
        <w:rPr>
          <w:rFonts w:ascii="宋体" w:hAnsi="宋体" w:eastAsia="宋体" w:cs="宋体"/>
          <w:color w:val="auto"/>
          <w:spacing w:val="14"/>
          <w:sz w:val="20"/>
          <w:szCs w:val="20"/>
        </w:rPr>
        <w:t>(8) 磋商响应文件格式；</w:t>
      </w:r>
    </w:p>
    <w:p w14:paraId="1414D1E4">
      <w:pPr>
        <w:spacing w:before="153" w:line="226"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9</w:t>
      </w:r>
      <w:r>
        <w:rPr>
          <w:rFonts w:ascii="宋体" w:hAnsi="宋体" w:eastAsia="宋体" w:cs="宋体"/>
          <w:color w:val="auto"/>
          <w:spacing w:val="12"/>
          <w:sz w:val="20"/>
          <w:szCs w:val="20"/>
        </w:rPr>
        <w:t>) 投标人须知前附表规定的其他材料。</w:t>
      </w:r>
    </w:p>
    <w:p w14:paraId="0B8B258B">
      <w:pPr>
        <w:spacing w:before="155" w:line="369" w:lineRule="auto"/>
        <w:ind w:right="2" w:firstLine="420"/>
        <w:rPr>
          <w:rFonts w:ascii="宋体" w:hAnsi="宋体" w:eastAsia="宋体" w:cs="宋体"/>
          <w:color w:val="auto"/>
          <w:sz w:val="20"/>
          <w:szCs w:val="20"/>
        </w:rPr>
      </w:pPr>
      <w:r>
        <w:rPr>
          <w:rFonts w:ascii="宋体" w:hAnsi="宋体" w:eastAsia="宋体" w:cs="宋体"/>
          <w:color w:val="auto"/>
          <w:spacing w:val="4"/>
          <w:sz w:val="20"/>
          <w:szCs w:val="20"/>
        </w:rPr>
        <w:t>根据本章第 1.10 款、</w:t>
      </w:r>
      <w:r>
        <w:rPr>
          <w:rFonts w:ascii="宋体" w:hAnsi="宋体" w:eastAsia="宋体" w:cs="宋体"/>
          <w:color w:val="auto"/>
          <w:spacing w:val="2"/>
          <w:sz w:val="20"/>
          <w:szCs w:val="20"/>
        </w:rPr>
        <w:t>第 2.2 款和第 2.3 款对竞争性磋商文件所作的澄清、修改，构成竞争</w:t>
      </w:r>
      <w:r>
        <w:rPr>
          <w:rFonts w:ascii="宋体" w:hAnsi="宋体" w:eastAsia="宋体" w:cs="宋体"/>
          <w:color w:val="auto"/>
          <w:sz w:val="20"/>
          <w:szCs w:val="20"/>
        </w:rPr>
        <w:t xml:space="preserve"> </w:t>
      </w:r>
      <w:r>
        <w:rPr>
          <w:rFonts w:ascii="宋体" w:hAnsi="宋体" w:eastAsia="宋体" w:cs="宋体"/>
          <w:color w:val="auto"/>
          <w:spacing w:val="9"/>
          <w:sz w:val="20"/>
          <w:szCs w:val="20"/>
        </w:rPr>
        <w:t>性</w:t>
      </w:r>
      <w:r>
        <w:rPr>
          <w:rFonts w:ascii="宋体" w:hAnsi="宋体" w:eastAsia="宋体" w:cs="宋体"/>
          <w:color w:val="auto"/>
          <w:spacing w:val="8"/>
          <w:sz w:val="20"/>
          <w:szCs w:val="20"/>
        </w:rPr>
        <w:t>磋商文件的组成部分。</w:t>
      </w:r>
    </w:p>
    <w:p w14:paraId="17FA7A62">
      <w:pPr>
        <w:spacing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2 竞争性磋商文件的澄清</w:t>
      </w:r>
    </w:p>
    <w:p w14:paraId="1D2E5DA6">
      <w:pPr>
        <w:tabs>
          <w:tab w:val="left" w:pos="110"/>
        </w:tabs>
        <w:spacing w:before="156"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2.1 投标人应仔细阅读和检查竞争性磋商文件的全部内容。如发现缺页或附件不全，应</w:t>
      </w:r>
      <w:r>
        <w:rPr>
          <w:rFonts w:ascii="宋体" w:hAnsi="宋体" w:eastAsia="宋体" w:cs="宋体"/>
          <w:color w:val="auto"/>
          <w:sz w:val="20"/>
          <w:szCs w:val="20"/>
        </w:rPr>
        <w:t xml:space="preserve"> </w:t>
      </w:r>
      <w:r>
        <w:rPr>
          <w:rFonts w:ascii="宋体" w:hAnsi="宋体" w:eastAsia="宋体" w:cs="宋体"/>
          <w:color w:val="auto"/>
          <w:spacing w:val="30"/>
          <w:sz w:val="20"/>
          <w:szCs w:val="20"/>
        </w:rPr>
        <w:t>及时</w:t>
      </w:r>
      <w:r>
        <w:rPr>
          <w:rFonts w:ascii="宋体" w:hAnsi="宋体" w:eastAsia="宋体" w:cs="宋体"/>
          <w:color w:val="auto"/>
          <w:spacing w:val="15"/>
          <w:sz w:val="20"/>
          <w:szCs w:val="20"/>
        </w:rPr>
        <w:t>向招标人提出，以便补齐。如有疑问，应在投标人须知前附表规定的时间前以书面形式</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5"/>
          <w:sz w:val="20"/>
          <w:szCs w:val="20"/>
        </w:rPr>
        <w:t>(</w:t>
      </w:r>
      <w:r>
        <w:rPr>
          <w:rFonts w:ascii="宋体" w:hAnsi="宋体" w:eastAsia="宋体" w:cs="宋体"/>
          <w:color w:val="auto"/>
          <w:spacing w:val="10"/>
          <w:sz w:val="20"/>
          <w:szCs w:val="20"/>
        </w:rPr>
        <w:t>包括信函、 电报、传真等可以有形地表现所载内容的形式，下同) ，要求招标人对竞争性磋</w:t>
      </w:r>
      <w:r>
        <w:rPr>
          <w:rFonts w:ascii="宋体" w:hAnsi="宋体" w:eastAsia="宋体" w:cs="宋体"/>
          <w:color w:val="auto"/>
          <w:sz w:val="20"/>
          <w:szCs w:val="20"/>
        </w:rPr>
        <w:t xml:space="preserve"> </w:t>
      </w:r>
      <w:r>
        <w:rPr>
          <w:rFonts w:ascii="宋体" w:hAnsi="宋体" w:eastAsia="宋体" w:cs="宋体"/>
          <w:color w:val="auto"/>
          <w:spacing w:val="10"/>
          <w:sz w:val="20"/>
          <w:szCs w:val="20"/>
        </w:rPr>
        <w:t>商</w:t>
      </w:r>
      <w:r>
        <w:rPr>
          <w:rFonts w:ascii="宋体" w:hAnsi="宋体" w:eastAsia="宋体" w:cs="宋体"/>
          <w:color w:val="auto"/>
          <w:spacing w:val="7"/>
          <w:sz w:val="20"/>
          <w:szCs w:val="20"/>
        </w:rPr>
        <w:t>文件予以澄清。</w:t>
      </w:r>
    </w:p>
    <w:p w14:paraId="0B35FC07">
      <w:pPr>
        <w:spacing w:before="1" w:line="368" w:lineRule="auto"/>
        <w:ind w:left="8" w:right="2" w:firstLine="41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2.2 竞争性磋商文件的澄清将在投标人须知前附表规定的时间前以书面形式发给所有购</w:t>
      </w:r>
      <w:r>
        <w:rPr>
          <w:rFonts w:ascii="宋体" w:hAnsi="宋体" w:eastAsia="宋体" w:cs="宋体"/>
          <w:color w:val="auto"/>
          <w:sz w:val="20"/>
          <w:szCs w:val="20"/>
        </w:rPr>
        <w:t xml:space="preserve"> </w:t>
      </w:r>
      <w:r>
        <w:rPr>
          <w:rFonts w:ascii="宋体" w:hAnsi="宋体" w:eastAsia="宋体" w:cs="宋体"/>
          <w:color w:val="auto"/>
          <w:spacing w:val="9"/>
          <w:sz w:val="20"/>
          <w:szCs w:val="20"/>
        </w:rPr>
        <w:t>买竞争性磋商文件的投标人，但不指明澄清问题的来源</w:t>
      </w:r>
      <w:r>
        <w:rPr>
          <w:rFonts w:ascii="宋体" w:hAnsi="宋体" w:eastAsia="宋体" w:cs="宋体"/>
          <w:color w:val="auto"/>
          <w:spacing w:val="5"/>
          <w:sz w:val="20"/>
          <w:szCs w:val="20"/>
        </w:rPr>
        <w:t>。</w:t>
      </w:r>
    </w:p>
    <w:p w14:paraId="2E7312E4">
      <w:pPr>
        <w:spacing w:before="1" w:line="228" w:lineRule="auto"/>
        <w:ind w:left="423"/>
        <w:rPr>
          <w:rFonts w:ascii="宋体" w:hAnsi="宋体" w:eastAsia="宋体" w:cs="宋体"/>
          <w:color w:val="auto"/>
          <w:spacing w:val="7"/>
          <w:sz w:val="20"/>
          <w:szCs w:val="20"/>
        </w:rPr>
      </w:pPr>
      <w:r>
        <w:rPr>
          <w:rFonts w:ascii="宋体" w:hAnsi="宋体" w:eastAsia="宋体" w:cs="宋体"/>
          <w:color w:val="auto"/>
          <w:spacing w:val="34"/>
          <w:sz w:val="20"/>
          <w:szCs w:val="20"/>
        </w:rPr>
        <w:t>2</w:t>
      </w:r>
      <w:r>
        <w:rPr>
          <w:rFonts w:ascii="宋体" w:hAnsi="宋体" w:eastAsia="宋体" w:cs="宋体"/>
          <w:color w:val="auto"/>
          <w:spacing w:val="27"/>
          <w:sz w:val="20"/>
          <w:szCs w:val="20"/>
        </w:rPr>
        <w:t>.</w:t>
      </w:r>
      <w:r>
        <w:rPr>
          <w:rFonts w:ascii="宋体" w:hAnsi="宋体" w:eastAsia="宋体" w:cs="宋体"/>
          <w:color w:val="auto"/>
          <w:spacing w:val="17"/>
          <w:sz w:val="20"/>
          <w:szCs w:val="20"/>
        </w:rPr>
        <w:t>2.3 投标人在收到澄清后，应在投标人须知前附表规定的时间内以书面形式通知招标</w:t>
      </w:r>
      <w:r>
        <w:rPr>
          <w:rFonts w:ascii="宋体" w:hAnsi="宋体" w:eastAsia="宋体" w:cs="宋体"/>
          <w:color w:val="auto"/>
          <w:spacing w:val="8"/>
          <w:sz w:val="20"/>
          <w:szCs w:val="20"/>
        </w:rPr>
        <w:t>人，确认已收到该澄清</w:t>
      </w:r>
      <w:r>
        <w:rPr>
          <w:rFonts w:ascii="宋体" w:hAnsi="宋体" w:eastAsia="宋体" w:cs="宋体"/>
          <w:color w:val="auto"/>
          <w:spacing w:val="7"/>
          <w:sz w:val="20"/>
          <w:szCs w:val="20"/>
        </w:rPr>
        <w:t>。</w:t>
      </w:r>
    </w:p>
    <w:p w14:paraId="68BD557F">
      <w:pPr>
        <w:spacing w:before="153" w:line="231" w:lineRule="auto"/>
        <w:ind w:left="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3 竞争性磋商文件的修改</w:t>
      </w:r>
    </w:p>
    <w:p w14:paraId="2C2C73B6">
      <w:pPr>
        <w:spacing w:before="182" w:line="228" w:lineRule="auto"/>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3.1 在投标截止时间七天前，招标人可以书面形式修改竞争性磋商文件，并通知所有已</w:t>
      </w:r>
      <w:r>
        <w:rPr>
          <w:rFonts w:ascii="宋体" w:hAnsi="宋体" w:eastAsia="宋体" w:cs="宋体"/>
          <w:color w:val="auto"/>
          <w:spacing w:val="16"/>
          <w:sz w:val="20"/>
          <w:szCs w:val="20"/>
        </w:rPr>
        <w:t>购</w:t>
      </w:r>
      <w:r>
        <w:rPr>
          <w:rFonts w:ascii="宋体" w:hAnsi="宋体" w:eastAsia="宋体" w:cs="宋体"/>
          <w:color w:val="auto"/>
          <w:spacing w:val="8"/>
          <w:sz w:val="20"/>
          <w:szCs w:val="20"/>
        </w:rPr>
        <w:t>买竞争性磋商文件的投标人。</w:t>
      </w:r>
    </w:p>
    <w:p w14:paraId="0943E84B">
      <w:pPr>
        <w:spacing w:before="154" w:line="228" w:lineRule="auto"/>
        <w:ind w:left="42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3.2 投标人收到修改内容后，应在投标人须知前附表规定的时间内以书面形式通知招标</w:t>
      </w:r>
      <w:r>
        <w:rPr>
          <w:rFonts w:ascii="宋体" w:hAnsi="宋体" w:eastAsia="宋体" w:cs="宋体"/>
          <w:color w:val="auto"/>
          <w:spacing w:val="8"/>
          <w:sz w:val="20"/>
          <w:szCs w:val="20"/>
        </w:rPr>
        <w:t>人，确认已收到该修改</w:t>
      </w:r>
      <w:r>
        <w:rPr>
          <w:rFonts w:ascii="宋体" w:hAnsi="宋体" w:eastAsia="宋体" w:cs="宋体"/>
          <w:color w:val="auto"/>
          <w:spacing w:val="7"/>
          <w:sz w:val="20"/>
          <w:szCs w:val="20"/>
        </w:rPr>
        <w:t>。</w:t>
      </w:r>
    </w:p>
    <w:p w14:paraId="082AA7E4">
      <w:pPr>
        <w:spacing w:before="251" w:line="269" w:lineRule="exact"/>
        <w:ind w:left="5"/>
        <w:outlineLvl w:val="1"/>
        <w:rPr>
          <w:rFonts w:ascii="宋体" w:hAnsi="宋体" w:eastAsia="宋体" w:cs="宋体"/>
          <w:color w:val="auto"/>
          <w:sz w:val="20"/>
          <w:szCs w:val="20"/>
        </w:rPr>
      </w:pPr>
      <w:r>
        <w:rPr>
          <w:rFonts w:ascii="宋体" w:hAnsi="宋体" w:eastAsia="宋体" w:cs="宋体"/>
          <w:color w:val="auto"/>
          <w:spacing w:val="12"/>
          <w:position w:val="1"/>
          <w:sz w:val="20"/>
          <w:szCs w:val="20"/>
        </w:rPr>
        <w:t>3</w:t>
      </w:r>
      <w:r>
        <w:rPr>
          <w:rFonts w:ascii="宋体" w:hAnsi="宋体" w:eastAsia="宋体" w:cs="宋体"/>
          <w:color w:val="auto"/>
          <w:spacing w:val="6"/>
          <w:position w:val="1"/>
          <w:sz w:val="20"/>
          <w:szCs w:val="20"/>
        </w:rPr>
        <w:t>.磋商响应文件</w:t>
      </w:r>
    </w:p>
    <w:p w14:paraId="4C0C1FD8">
      <w:pPr>
        <w:spacing w:before="129" w:line="228" w:lineRule="auto"/>
        <w:ind w:left="5"/>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1 磋商响应文件的组成</w:t>
      </w:r>
    </w:p>
    <w:p w14:paraId="49ABEE9C">
      <w:pPr>
        <w:spacing w:before="154" w:line="228" w:lineRule="auto"/>
        <w:ind w:left="425"/>
        <w:rPr>
          <w:rFonts w:ascii="宋体" w:hAnsi="宋体" w:eastAsia="宋体" w:cs="宋体"/>
          <w:color w:val="auto"/>
          <w:sz w:val="20"/>
          <w:szCs w:val="20"/>
        </w:rPr>
      </w:pPr>
      <w:r>
        <w:rPr>
          <w:rFonts w:ascii="宋体" w:hAnsi="宋体" w:eastAsia="宋体" w:cs="宋体"/>
          <w:color w:val="auto"/>
          <w:spacing w:val="5"/>
          <w:sz w:val="20"/>
          <w:szCs w:val="20"/>
        </w:rPr>
        <w:t>3.1.1 磋商响应文件应包括以下内</w:t>
      </w:r>
      <w:r>
        <w:rPr>
          <w:rFonts w:ascii="宋体" w:hAnsi="宋体" w:eastAsia="宋体" w:cs="宋体"/>
          <w:color w:val="auto"/>
          <w:spacing w:val="2"/>
          <w:sz w:val="20"/>
          <w:szCs w:val="20"/>
        </w:rPr>
        <w:t>容</w:t>
      </w:r>
    </w:p>
    <w:p w14:paraId="7656E2EB">
      <w:pPr>
        <w:spacing w:before="232" w:line="271" w:lineRule="exact"/>
        <w:ind w:left="37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04264F86">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793B4CCD">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3D00B431">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634683D">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183DDF69">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0B5BDA13">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4A700830">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264DFE0B">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0D811F33">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374AE1B1">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713254D0">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628FAB5B">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34DFD554">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32A041B1">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622220A5">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6C70F21D">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1662AC2F">
      <w:pPr>
        <w:spacing w:before="175" w:line="269" w:lineRule="exact"/>
        <w:ind w:left="471"/>
        <w:rPr>
          <w:rFonts w:ascii="宋体" w:hAnsi="宋体" w:eastAsia="宋体" w:cs="宋体"/>
          <w:color w:val="auto"/>
          <w:spacing w:val="7"/>
          <w:position w:val="1"/>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60950639">
      <w:pPr>
        <w:spacing w:before="254" w:line="228" w:lineRule="auto"/>
        <w:ind w:left="368"/>
        <w:rPr>
          <w:color w:val="auto"/>
        </w:rPr>
      </w:pPr>
      <w:r>
        <w:rPr>
          <w:rFonts w:ascii="宋体" w:hAnsi="宋体" w:eastAsia="宋体" w:cs="宋体"/>
          <w:color w:val="auto"/>
          <w:spacing w:val="4"/>
          <w:sz w:val="20"/>
          <w:szCs w:val="20"/>
        </w:rPr>
        <w:t>10、中小企业声明函 (工程、服务)</w:t>
      </w:r>
    </w:p>
    <w:p w14:paraId="21F2D8AD">
      <w:pPr>
        <w:spacing w:before="22" w:line="228" w:lineRule="auto"/>
        <w:ind w:left="203"/>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技术标部分包括以下内容</w:t>
      </w:r>
      <w:r>
        <w:rPr>
          <w:rFonts w:ascii="宋体" w:hAnsi="宋体" w:eastAsia="宋体" w:cs="宋体"/>
          <w:color w:val="auto"/>
          <w:spacing w:val="8"/>
          <w:sz w:val="20"/>
          <w:szCs w:val="20"/>
          <w14:textOutline w14:w="3795" w14:cap="sq" w14:cmpd="sng">
            <w14:solidFill>
              <w14:srgbClr w14:val="000000"/>
            </w14:solidFill>
            <w14:prstDash w14:val="solid"/>
            <w14:bevel/>
          </w14:textOutline>
        </w:rPr>
        <w:t>：</w:t>
      </w:r>
    </w:p>
    <w:p w14:paraId="3BE1D423">
      <w:pPr>
        <w:spacing w:before="161"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Times New Roman" w:hAnsi="Times New Roman" w:eastAsia="Times New Roman" w:cs="Times New Roman"/>
          <w:color w:val="auto"/>
          <w:spacing w:val="6"/>
          <w:position w:val="15"/>
          <w:sz w:val="20"/>
          <w:szCs w:val="20"/>
          <w:lang w:val="en-US" w:eastAsia="en-US"/>
        </w:rPr>
        <w:t>内容完整性和编制水平</w:t>
      </w:r>
    </w:p>
    <w:p w14:paraId="6B2BF6AB">
      <w:pPr>
        <w:spacing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施工方案与技术措施</w:t>
      </w:r>
    </w:p>
    <w:p w14:paraId="05971628">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质量管理体系与措施</w:t>
      </w:r>
    </w:p>
    <w:p w14:paraId="1183A5DE">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kern w:val="0"/>
          <w:sz w:val="21"/>
          <w:szCs w:val="24"/>
          <w:lang w:val="en-US" w:eastAsia="en-US" w:bidi="ar-SA"/>
        </w:rPr>
        <w:t>安全管理体系与措施</w:t>
      </w:r>
    </w:p>
    <w:p w14:paraId="5F217089">
      <w:pPr>
        <w:spacing w:before="161" w:line="228" w:lineRule="auto"/>
        <w:ind w:left="62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ascii="宋体" w:hAnsi="宋体" w:eastAsia="宋体" w:cs="宋体"/>
          <w:kern w:val="0"/>
          <w:sz w:val="21"/>
          <w:szCs w:val="24"/>
          <w:lang w:val="en-US" w:eastAsia="en-US" w:bidi="ar-SA"/>
        </w:rPr>
        <w:t>环境保护管理体系与措施</w:t>
      </w:r>
    </w:p>
    <w:p w14:paraId="5F57EEA0">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工程进度计划与措施</w:t>
      </w:r>
    </w:p>
    <w:p w14:paraId="6FF68D8C">
      <w:pPr>
        <w:spacing w:before="161" w:line="229" w:lineRule="auto"/>
        <w:ind w:left="621"/>
        <w:rPr>
          <w:rFonts w:ascii="宋体" w:hAnsi="宋体" w:eastAsia="宋体" w:cs="宋体"/>
          <w:color w:val="auto"/>
          <w:sz w:val="20"/>
          <w:szCs w:val="20"/>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ascii="宋体" w:hAnsi="宋体" w:eastAsia="宋体" w:cs="宋体"/>
          <w:kern w:val="0"/>
          <w:sz w:val="21"/>
          <w:szCs w:val="24"/>
          <w:lang w:val="en-US" w:eastAsia="en-US" w:bidi="ar-SA"/>
        </w:rPr>
        <w:t>资源配备计划</w:t>
      </w:r>
    </w:p>
    <w:p w14:paraId="4458EDB3">
      <w:pPr>
        <w:rPr>
          <w:rFonts w:ascii="宋体" w:hAnsi="宋体" w:eastAsia="宋体" w:cs="宋体"/>
          <w:color w:val="auto"/>
          <w:spacing w:val="7"/>
          <w:sz w:val="20"/>
          <w:szCs w:val="20"/>
        </w:rPr>
      </w:pPr>
    </w:p>
    <w:p w14:paraId="5F0067AE">
      <w:pPr>
        <w:spacing w:before="91" w:line="370" w:lineRule="auto"/>
        <w:ind w:right="2" w:firstLine="364"/>
        <w:rPr>
          <w:rFonts w:ascii="宋体" w:hAnsi="宋体" w:eastAsia="宋体" w:cs="宋体"/>
          <w:color w:val="auto"/>
          <w:sz w:val="20"/>
          <w:szCs w:val="20"/>
        </w:rPr>
      </w:pPr>
      <w:r>
        <w:rPr>
          <w:rFonts w:ascii="宋体" w:hAnsi="宋体" w:eastAsia="宋体" w:cs="宋体"/>
          <w:color w:val="auto"/>
          <w:spacing w:val="14"/>
          <w:sz w:val="20"/>
          <w:szCs w:val="20"/>
        </w:rPr>
        <w:t>3.1.2 投标人须知前附表规定不接受联合体投标的，或投标人没有组成联合体的，磋商</w:t>
      </w:r>
      <w:r>
        <w:rPr>
          <w:rFonts w:ascii="宋体" w:hAnsi="宋体" w:eastAsia="宋体" w:cs="宋体"/>
          <w:color w:val="auto"/>
          <w:spacing w:val="6"/>
          <w:sz w:val="20"/>
          <w:szCs w:val="20"/>
        </w:rPr>
        <w:t>响应文件不包括本章第 3.1.1.1 (3) 目所指的联合体协议书</w:t>
      </w:r>
      <w:r>
        <w:rPr>
          <w:rFonts w:ascii="宋体" w:hAnsi="宋体" w:eastAsia="宋体" w:cs="宋体"/>
          <w:color w:val="auto"/>
          <w:spacing w:val="1"/>
          <w:sz w:val="20"/>
          <w:szCs w:val="20"/>
        </w:rPr>
        <w:t>。</w:t>
      </w:r>
    </w:p>
    <w:p w14:paraId="625BCF3C">
      <w:pPr>
        <w:spacing w:before="1" w:line="226"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.2 投标报价</w:t>
      </w:r>
    </w:p>
    <w:p w14:paraId="233832C2">
      <w:pPr>
        <w:spacing w:before="152" w:line="228" w:lineRule="auto"/>
        <w:ind w:left="425"/>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8"/>
          <w:sz w:val="20"/>
          <w:szCs w:val="20"/>
        </w:rPr>
        <w:t>.2.1 投标人应按第八章“经济标格式”的要求填写相应表格。</w:t>
      </w:r>
    </w:p>
    <w:p w14:paraId="4F71E67F">
      <w:pPr>
        <w:spacing w:before="153" w:line="369"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2.2 投标人在投标截止时间前修改投标函中的投标总报价，应同时修改第八章“经济标</w:t>
      </w:r>
      <w:r>
        <w:rPr>
          <w:rFonts w:ascii="宋体" w:hAnsi="宋体" w:eastAsia="宋体" w:cs="宋体"/>
          <w:color w:val="auto"/>
          <w:spacing w:val="8"/>
          <w:sz w:val="20"/>
          <w:szCs w:val="20"/>
        </w:rPr>
        <w:t>格</w:t>
      </w:r>
      <w:r>
        <w:rPr>
          <w:rFonts w:ascii="宋体" w:hAnsi="宋体" w:eastAsia="宋体" w:cs="宋体"/>
          <w:color w:val="auto"/>
          <w:spacing w:val="5"/>
          <w:sz w:val="20"/>
          <w:szCs w:val="20"/>
        </w:rPr>
        <w:t>式”中的相应报价。此修改须符合本章第 4.3 款的有关要求。</w:t>
      </w:r>
    </w:p>
    <w:p w14:paraId="76C2B531">
      <w:pPr>
        <w:spacing w:before="1" w:line="226" w:lineRule="auto"/>
        <w:ind w:left="425"/>
        <w:rPr>
          <w:rFonts w:ascii="宋体" w:hAnsi="宋体" w:eastAsia="宋体" w:cs="宋体"/>
          <w:color w:val="auto"/>
          <w:spacing w:val="9"/>
          <w:sz w:val="20"/>
          <w:szCs w:val="20"/>
        </w:rPr>
      </w:pPr>
      <w:r>
        <w:rPr>
          <w:rFonts w:ascii="宋体" w:hAnsi="宋体" w:eastAsia="宋体" w:cs="宋体"/>
          <w:color w:val="auto"/>
          <w:spacing w:val="15"/>
          <w:sz w:val="20"/>
          <w:szCs w:val="20"/>
        </w:rPr>
        <w:t>3</w:t>
      </w:r>
      <w:r>
        <w:rPr>
          <w:rFonts w:ascii="宋体" w:hAnsi="宋体" w:eastAsia="宋体" w:cs="宋体"/>
          <w:color w:val="auto"/>
          <w:spacing w:val="9"/>
          <w:sz w:val="20"/>
          <w:szCs w:val="20"/>
        </w:rPr>
        <w:t xml:space="preserve">.2.3 投标人的投标报价，应是完成本投标人须知前附表第 </w:t>
      </w:r>
    </w:p>
    <w:p w14:paraId="05C48F25">
      <w:pPr>
        <w:spacing w:before="1" w:line="226" w:lineRule="auto"/>
        <w:ind w:left="425"/>
        <w:rPr>
          <w:rFonts w:ascii="宋体" w:hAnsi="宋体" w:eastAsia="宋体" w:cs="宋体"/>
          <w:color w:val="auto"/>
          <w:sz w:val="20"/>
          <w:szCs w:val="20"/>
        </w:rPr>
      </w:pPr>
      <w:r>
        <w:rPr>
          <w:rFonts w:ascii="宋体" w:hAnsi="宋体" w:eastAsia="宋体" w:cs="宋体"/>
          <w:color w:val="auto"/>
          <w:spacing w:val="9"/>
          <w:sz w:val="20"/>
          <w:szCs w:val="20"/>
        </w:rPr>
        <w:t>1.3.1 条所列工程招标范围</w:t>
      </w:r>
    </w:p>
    <w:p w14:paraId="3164D843">
      <w:pPr>
        <w:spacing w:before="155" w:line="228" w:lineRule="auto"/>
        <w:ind w:left="16" w:firstLine="404" w:firstLineChars="200"/>
        <w:rPr>
          <w:rFonts w:ascii="宋体" w:hAnsi="宋体" w:eastAsia="宋体" w:cs="宋体"/>
          <w:color w:val="auto"/>
          <w:spacing w:val="1"/>
          <w:sz w:val="20"/>
          <w:szCs w:val="20"/>
        </w:rPr>
      </w:pPr>
      <w:r>
        <w:rPr>
          <w:rFonts w:ascii="宋体" w:hAnsi="宋体" w:eastAsia="宋体" w:cs="宋体"/>
          <w:color w:val="auto"/>
          <w:spacing w:val="1"/>
          <w:sz w:val="20"/>
          <w:szCs w:val="20"/>
        </w:rPr>
        <w:t>1.3.2 条工期</w:t>
      </w:r>
    </w:p>
    <w:p w14:paraId="38623638">
      <w:pPr>
        <w:spacing w:before="155" w:line="228" w:lineRule="auto"/>
        <w:ind w:left="16"/>
        <w:rPr>
          <w:rFonts w:ascii="宋体" w:hAnsi="宋体" w:eastAsia="宋体" w:cs="宋体"/>
          <w:color w:val="auto"/>
          <w:sz w:val="20"/>
          <w:szCs w:val="20"/>
        </w:rPr>
      </w:pPr>
      <w:r>
        <w:rPr>
          <w:rFonts w:ascii="宋体" w:hAnsi="宋体" w:eastAsia="宋体" w:cs="宋体"/>
          <w:color w:val="auto"/>
          <w:spacing w:val="1"/>
          <w:sz w:val="20"/>
          <w:szCs w:val="20"/>
        </w:rPr>
        <w:t xml:space="preserve"> </w:t>
      </w:r>
      <w:r>
        <w:rPr>
          <w:rFonts w:hint="eastAsia" w:ascii="宋体" w:hAnsi="宋体" w:eastAsia="宋体" w:cs="宋体"/>
          <w:color w:val="auto"/>
          <w:spacing w:val="1"/>
          <w:sz w:val="20"/>
          <w:szCs w:val="20"/>
          <w:lang w:val="en-US" w:eastAsia="zh-CN"/>
        </w:rPr>
        <w:t xml:space="preserve">   </w:t>
      </w:r>
      <w:r>
        <w:rPr>
          <w:rFonts w:ascii="宋体" w:hAnsi="宋体" w:eastAsia="宋体" w:cs="宋体"/>
          <w:color w:val="auto"/>
          <w:spacing w:val="1"/>
          <w:sz w:val="20"/>
          <w:szCs w:val="20"/>
        </w:rPr>
        <w:t>1.3.3 条质量要</w:t>
      </w:r>
      <w:r>
        <w:rPr>
          <w:rFonts w:ascii="宋体" w:hAnsi="宋体" w:eastAsia="宋体" w:cs="宋体"/>
          <w:color w:val="auto"/>
          <w:sz w:val="20"/>
          <w:szCs w:val="20"/>
        </w:rPr>
        <w:t>求的全部内容。</w:t>
      </w:r>
    </w:p>
    <w:p w14:paraId="1487A760">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.3 投标有效期</w:t>
      </w:r>
    </w:p>
    <w:p w14:paraId="2A98CED5">
      <w:pPr>
        <w:spacing w:before="150" w:line="370" w:lineRule="auto"/>
        <w:ind w:left="2"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3.1 在投标人须知前附表规定的投标有效期内，投标人不得要求撤销或修改其磋商响应</w:t>
      </w:r>
      <w:r>
        <w:rPr>
          <w:rFonts w:ascii="宋体" w:hAnsi="宋体" w:eastAsia="宋体" w:cs="宋体"/>
          <w:color w:val="auto"/>
          <w:spacing w:val="3"/>
          <w:sz w:val="20"/>
          <w:szCs w:val="20"/>
        </w:rPr>
        <w:t>文</w:t>
      </w:r>
      <w:r>
        <w:rPr>
          <w:rFonts w:ascii="宋体" w:hAnsi="宋体" w:eastAsia="宋体" w:cs="宋体"/>
          <w:color w:val="auto"/>
          <w:spacing w:val="2"/>
          <w:sz w:val="20"/>
          <w:szCs w:val="20"/>
        </w:rPr>
        <w:t>件。</w:t>
      </w:r>
    </w:p>
    <w:p w14:paraId="26FD6D80">
      <w:pPr>
        <w:spacing w:before="1" w:line="369" w:lineRule="auto"/>
        <w:ind w:right="2" w:firstLine="425"/>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3.2 出现特殊情况需要延长投标有效期的，招标人以书面形式通知所有投标人延长投标</w:t>
      </w:r>
      <w:r>
        <w:rPr>
          <w:rFonts w:ascii="宋体" w:hAnsi="宋体" w:eastAsia="宋体" w:cs="宋体"/>
          <w:color w:val="auto"/>
          <w:spacing w:val="25"/>
          <w:sz w:val="20"/>
          <w:szCs w:val="20"/>
        </w:rPr>
        <w:t>有</w:t>
      </w:r>
      <w:r>
        <w:rPr>
          <w:rFonts w:ascii="宋体" w:hAnsi="宋体" w:eastAsia="宋体" w:cs="宋体"/>
          <w:color w:val="auto"/>
          <w:spacing w:val="13"/>
          <w:sz w:val="20"/>
          <w:szCs w:val="20"/>
        </w:rPr>
        <w:t>效期。投标人同意延长的，应相应延长其投标保证金的有效期，但不得要求或被允许修改或</w:t>
      </w:r>
      <w:r>
        <w:rPr>
          <w:rFonts w:ascii="宋体" w:hAnsi="宋体" w:eastAsia="宋体" w:cs="宋体"/>
          <w:color w:val="auto"/>
          <w:sz w:val="20"/>
          <w:szCs w:val="20"/>
        </w:rPr>
        <w:t xml:space="preserve"> </w:t>
      </w:r>
      <w:r>
        <w:rPr>
          <w:rFonts w:ascii="宋体" w:hAnsi="宋体" w:eastAsia="宋体" w:cs="宋体"/>
          <w:color w:val="auto"/>
          <w:spacing w:val="18"/>
          <w:sz w:val="20"/>
          <w:szCs w:val="20"/>
        </w:rPr>
        <w:t>撤销</w:t>
      </w:r>
      <w:r>
        <w:rPr>
          <w:rFonts w:ascii="宋体" w:hAnsi="宋体" w:eastAsia="宋体" w:cs="宋体"/>
          <w:color w:val="auto"/>
          <w:spacing w:val="10"/>
          <w:sz w:val="20"/>
          <w:szCs w:val="20"/>
        </w:rPr>
        <w:t>其</w:t>
      </w:r>
      <w:r>
        <w:rPr>
          <w:rFonts w:ascii="宋体" w:hAnsi="宋体" w:eastAsia="宋体" w:cs="宋体"/>
          <w:color w:val="auto"/>
          <w:spacing w:val="9"/>
          <w:sz w:val="20"/>
          <w:szCs w:val="20"/>
        </w:rPr>
        <w:t>磋商响应文件；投标人拒绝延长的，其投标失效，但投标人有权收回其投标保证金。</w:t>
      </w:r>
    </w:p>
    <w:p w14:paraId="4B13490A">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.4 投标保证金</w:t>
      </w:r>
    </w:p>
    <w:p w14:paraId="694B9856">
      <w:pPr>
        <w:spacing w:before="151" w:line="369" w:lineRule="auto"/>
        <w:ind w:left="1"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4.1 投标人在递交磋商响应文件的同时，应按投标人须知前附表规定的金额和担保形式</w:t>
      </w:r>
      <w:r>
        <w:rPr>
          <w:rFonts w:ascii="宋体" w:hAnsi="宋体" w:eastAsia="宋体" w:cs="宋体"/>
          <w:color w:val="auto"/>
          <w:sz w:val="20"/>
          <w:szCs w:val="20"/>
        </w:rPr>
        <w:t xml:space="preserve"> </w:t>
      </w:r>
      <w:r>
        <w:rPr>
          <w:rFonts w:ascii="宋体" w:hAnsi="宋体" w:eastAsia="宋体" w:cs="宋体"/>
          <w:color w:val="auto"/>
          <w:spacing w:val="23"/>
          <w:sz w:val="20"/>
          <w:szCs w:val="20"/>
        </w:rPr>
        <w:t>递</w:t>
      </w:r>
      <w:r>
        <w:rPr>
          <w:rFonts w:ascii="宋体" w:hAnsi="宋体" w:eastAsia="宋体" w:cs="宋体"/>
          <w:color w:val="auto"/>
          <w:spacing w:val="13"/>
          <w:sz w:val="20"/>
          <w:szCs w:val="20"/>
        </w:rPr>
        <w:t>交投标保证金，并作为其磋商响应文件的组成部分。联合体投标的，其投标保证金由牵头人</w:t>
      </w:r>
      <w:r>
        <w:rPr>
          <w:rFonts w:ascii="宋体" w:hAnsi="宋体" w:eastAsia="宋体" w:cs="宋体"/>
          <w:color w:val="auto"/>
          <w:spacing w:val="9"/>
          <w:sz w:val="20"/>
          <w:szCs w:val="20"/>
        </w:rPr>
        <w:t>递交，并应符合投标人须知前附表的规定</w:t>
      </w:r>
      <w:r>
        <w:rPr>
          <w:rFonts w:ascii="宋体" w:hAnsi="宋体" w:eastAsia="宋体" w:cs="宋体"/>
          <w:color w:val="auto"/>
          <w:spacing w:val="6"/>
          <w:sz w:val="20"/>
          <w:szCs w:val="20"/>
        </w:rPr>
        <w:t>。</w:t>
      </w:r>
    </w:p>
    <w:p w14:paraId="498EE0FB">
      <w:pPr>
        <w:spacing w:before="1" w:line="227" w:lineRule="auto"/>
        <w:ind w:left="425"/>
        <w:rPr>
          <w:rFonts w:ascii="宋体" w:hAnsi="宋体" w:eastAsia="宋体" w:cs="宋体"/>
          <w:color w:val="auto"/>
          <w:sz w:val="20"/>
          <w:szCs w:val="20"/>
        </w:rPr>
      </w:pPr>
      <w:r>
        <w:rPr>
          <w:rFonts w:ascii="宋体" w:hAnsi="宋体" w:eastAsia="宋体" w:cs="宋体"/>
          <w:color w:val="auto"/>
          <w:spacing w:val="10"/>
          <w:sz w:val="20"/>
          <w:szCs w:val="20"/>
        </w:rPr>
        <w:t>3.4.2 投</w:t>
      </w:r>
      <w:r>
        <w:rPr>
          <w:rFonts w:ascii="宋体" w:hAnsi="宋体" w:eastAsia="宋体" w:cs="宋体"/>
          <w:color w:val="auto"/>
          <w:spacing w:val="5"/>
          <w:sz w:val="20"/>
          <w:szCs w:val="20"/>
        </w:rPr>
        <w:t>标人不按本章第 3.4.1 项要求提交投标保证金的，其磋商响应文件作废标处理。</w:t>
      </w:r>
    </w:p>
    <w:p w14:paraId="29E06CEA">
      <w:pPr>
        <w:spacing w:before="154" w:line="229" w:lineRule="auto"/>
        <w:ind w:left="425"/>
        <w:rPr>
          <w:rFonts w:ascii="宋体" w:hAnsi="宋体" w:eastAsia="宋体" w:cs="宋体"/>
          <w:color w:val="auto"/>
          <w:sz w:val="20"/>
          <w:szCs w:val="20"/>
        </w:rPr>
      </w:pPr>
      <w:r>
        <w:rPr>
          <w:rFonts w:ascii="宋体" w:hAnsi="宋体" w:eastAsia="宋体" w:cs="宋体"/>
          <w:color w:val="auto"/>
          <w:spacing w:val="8"/>
          <w:sz w:val="20"/>
          <w:szCs w:val="20"/>
        </w:rPr>
        <w:t>3.4.3 有下列情形之一的，投标保证金将不予退还</w:t>
      </w:r>
      <w:r>
        <w:rPr>
          <w:rFonts w:ascii="宋体" w:hAnsi="宋体" w:eastAsia="宋体" w:cs="宋体"/>
          <w:color w:val="auto"/>
          <w:spacing w:val="5"/>
          <w:sz w:val="20"/>
          <w:szCs w:val="20"/>
        </w:rPr>
        <w:t>：</w:t>
      </w:r>
    </w:p>
    <w:p w14:paraId="1AAE8244">
      <w:pPr>
        <w:spacing w:before="153" w:line="226" w:lineRule="auto"/>
        <w:ind w:left="728"/>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投标人在规定的投标有效期内撤销或修改其磋商响应文件；</w:t>
      </w:r>
    </w:p>
    <w:p w14:paraId="627BB2D9">
      <w:pPr>
        <w:spacing w:before="153" w:line="228" w:lineRule="auto"/>
        <w:ind w:left="728"/>
        <w:rPr>
          <w:rFonts w:ascii="宋体" w:hAnsi="宋体" w:eastAsia="宋体" w:cs="宋体"/>
          <w:color w:val="auto"/>
          <w:sz w:val="20"/>
          <w:szCs w:val="20"/>
        </w:rPr>
      </w:pPr>
      <w:r>
        <w:rPr>
          <w:rFonts w:ascii="宋体" w:hAnsi="宋体" w:eastAsia="宋体" w:cs="宋体"/>
          <w:color w:val="auto"/>
          <w:spacing w:val="16"/>
          <w:sz w:val="20"/>
          <w:szCs w:val="20"/>
        </w:rPr>
        <w:t>(2) 中标人在收到中标通知书后，无正当理由拒签合同协议书或未按竞争性磋商文</w:t>
      </w:r>
      <w:r>
        <w:rPr>
          <w:rFonts w:ascii="宋体" w:hAnsi="宋体" w:eastAsia="宋体" w:cs="宋体"/>
          <w:color w:val="auto"/>
          <w:spacing w:val="9"/>
          <w:sz w:val="20"/>
          <w:szCs w:val="20"/>
        </w:rPr>
        <w:t>件</w:t>
      </w:r>
      <w:r>
        <w:rPr>
          <w:rFonts w:ascii="宋体" w:hAnsi="宋体" w:eastAsia="宋体" w:cs="宋体"/>
          <w:color w:val="auto"/>
          <w:spacing w:val="12"/>
          <w:sz w:val="20"/>
          <w:szCs w:val="20"/>
        </w:rPr>
        <w:t>规</w:t>
      </w:r>
      <w:r>
        <w:rPr>
          <w:rFonts w:ascii="宋体" w:hAnsi="宋体" w:eastAsia="宋体" w:cs="宋体"/>
          <w:color w:val="auto"/>
          <w:spacing w:val="7"/>
          <w:sz w:val="20"/>
          <w:szCs w:val="20"/>
        </w:rPr>
        <w:t>定提交履约担保。</w:t>
      </w:r>
    </w:p>
    <w:p w14:paraId="304D6F92">
      <w:pPr>
        <w:spacing w:before="152" w:line="227"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8"/>
          <w:sz w:val="20"/>
          <w:szCs w:val="20"/>
        </w:rPr>
        <w:t xml:space="preserve">.5 资格审查资料 </w:t>
      </w:r>
      <w:r>
        <w:rPr>
          <w:rFonts w:ascii="宋体" w:hAnsi="宋体" w:eastAsia="宋体" w:cs="宋体"/>
          <w:color w:val="auto"/>
          <w:spacing w:val="8"/>
          <w:sz w:val="20"/>
          <w:szCs w:val="20"/>
          <w14:textOutline w14:w="3795" w14:cap="sq" w14:cmpd="sng">
            <w14:solidFill>
              <w14:srgbClr w14:val="000000"/>
            </w14:solidFill>
            <w14:prstDash w14:val="solid"/>
            <w14:bevel/>
          </w14:textOutline>
        </w:rPr>
        <w:t>(适用于未进行资格预审的)</w:t>
      </w:r>
    </w:p>
    <w:p w14:paraId="5F56AA24">
      <w:pPr>
        <w:spacing w:before="153" w:line="370" w:lineRule="auto"/>
        <w:ind w:left="5" w:right="2" w:firstLine="420"/>
        <w:rPr>
          <w:rFonts w:ascii="宋体" w:hAnsi="宋体" w:eastAsia="宋体" w:cs="宋体"/>
          <w:color w:val="auto"/>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1  “投标人基本情况表”应附投标人营业执照副本及其年检合格的证明材料、资质证</w:t>
      </w:r>
      <w:r>
        <w:rPr>
          <w:rFonts w:ascii="宋体" w:hAnsi="宋体" w:eastAsia="宋体" w:cs="宋体"/>
          <w:color w:val="auto"/>
          <w:sz w:val="20"/>
          <w:szCs w:val="20"/>
        </w:rPr>
        <w:t xml:space="preserve"> </w:t>
      </w:r>
      <w:r>
        <w:rPr>
          <w:rFonts w:ascii="宋体" w:hAnsi="宋体" w:eastAsia="宋体" w:cs="宋体"/>
          <w:color w:val="auto"/>
          <w:spacing w:val="9"/>
          <w:sz w:val="20"/>
          <w:szCs w:val="20"/>
        </w:rPr>
        <w:t>书副本和安全生产许可证、进疆备案登记册 (如是外地投标人需提供) 等材料的复印件</w:t>
      </w:r>
      <w:r>
        <w:rPr>
          <w:rFonts w:ascii="宋体" w:hAnsi="宋体" w:eastAsia="宋体" w:cs="宋体"/>
          <w:color w:val="auto"/>
          <w:spacing w:val="5"/>
          <w:sz w:val="20"/>
          <w:szCs w:val="20"/>
        </w:rPr>
        <w:t>。</w:t>
      </w:r>
    </w:p>
    <w:p w14:paraId="6F773F3C">
      <w:pPr>
        <w:spacing w:before="2" w:line="368" w:lineRule="auto"/>
        <w:ind w:left="1" w:firstLine="423"/>
        <w:rPr>
          <w:rFonts w:ascii="宋体" w:hAnsi="宋体" w:eastAsia="宋体" w:cs="宋体"/>
          <w:color w:val="auto"/>
          <w:sz w:val="20"/>
          <w:szCs w:val="20"/>
        </w:rPr>
      </w:pPr>
      <w:r>
        <w:rPr>
          <w:rFonts w:ascii="宋体" w:hAnsi="宋体" w:eastAsia="宋体" w:cs="宋体"/>
          <w:color w:val="auto"/>
          <w:spacing w:val="10"/>
          <w:sz w:val="20"/>
          <w:szCs w:val="20"/>
        </w:rPr>
        <w:t>3.5.2  “近年财务状况表”应附财务会计报表，包括资产负债表、损益表的复印件，具</w:t>
      </w:r>
      <w:r>
        <w:rPr>
          <w:rFonts w:ascii="宋体" w:hAnsi="宋体" w:eastAsia="宋体" w:cs="宋体"/>
          <w:color w:val="auto"/>
          <w:spacing w:val="2"/>
          <w:sz w:val="20"/>
          <w:szCs w:val="20"/>
        </w:rPr>
        <w:t>体</w:t>
      </w:r>
      <w:r>
        <w:rPr>
          <w:rFonts w:ascii="宋体" w:hAnsi="宋体" w:eastAsia="宋体" w:cs="宋体"/>
          <w:color w:val="auto"/>
          <w:sz w:val="20"/>
          <w:szCs w:val="20"/>
        </w:rPr>
        <w:t xml:space="preserve"> </w:t>
      </w:r>
      <w:r>
        <w:rPr>
          <w:rFonts w:ascii="宋体" w:hAnsi="宋体" w:eastAsia="宋体" w:cs="宋体"/>
          <w:color w:val="auto"/>
          <w:spacing w:val="15"/>
          <w:sz w:val="20"/>
          <w:szCs w:val="20"/>
        </w:rPr>
        <w:t>年</w:t>
      </w:r>
      <w:r>
        <w:rPr>
          <w:rFonts w:ascii="宋体" w:hAnsi="宋体" w:eastAsia="宋体" w:cs="宋体"/>
          <w:color w:val="auto"/>
          <w:spacing w:val="8"/>
          <w:sz w:val="20"/>
          <w:szCs w:val="20"/>
        </w:rPr>
        <w:t>份要求见投标人须知前附表。</w:t>
      </w:r>
    </w:p>
    <w:p w14:paraId="169ED8D3">
      <w:pPr>
        <w:spacing w:line="375" w:lineRule="auto"/>
        <w:ind w:left="5" w:right="2" w:firstLine="419"/>
        <w:rPr>
          <w:rFonts w:ascii="宋体" w:hAnsi="宋体" w:eastAsia="宋体" w:cs="宋体"/>
          <w:color w:val="auto"/>
          <w:spacing w:val="-2"/>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3  “近年完成的类似项目情况表”应附中标通知书</w:t>
      </w:r>
      <w:r>
        <w:rPr>
          <w:rFonts w:hint="eastAsia" w:ascii="宋体" w:hAnsi="宋体" w:eastAsia="宋体" w:cs="宋体"/>
          <w:color w:val="auto"/>
          <w:spacing w:val="9"/>
          <w:sz w:val="20"/>
          <w:szCs w:val="20"/>
          <w:lang w:eastAsia="zh-CN"/>
        </w:rPr>
        <w:t>或</w:t>
      </w:r>
      <w:r>
        <w:rPr>
          <w:rFonts w:ascii="宋体" w:hAnsi="宋体" w:eastAsia="宋体" w:cs="宋体"/>
          <w:color w:val="auto"/>
          <w:spacing w:val="9"/>
          <w:sz w:val="20"/>
          <w:szCs w:val="20"/>
        </w:rPr>
        <w:t>合同协议书</w:t>
      </w:r>
      <w:r>
        <w:rPr>
          <w:rFonts w:hint="eastAsia" w:ascii="宋体" w:hAnsi="宋体" w:eastAsia="宋体" w:cs="宋体"/>
          <w:color w:val="auto"/>
          <w:spacing w:val="9"/>
          <w:sz w:val="20"/>
          <w:szCs w:val="20"/>
          <w:lang w:eastAsia="zh-CN"/>
        </w:rPr>
        <w:t>，</w:t>
      </w:r>
      <w:r>
        <w:rPr>
          <w:rFonts w:ascii="宋体" w:hAnsi="宋体" w:eastAsia="宋体" w:cs="宋体"/>
          <w:color w:val="auto"/>
          <w:spacing w:val="15"/>
          <w:sz w:val="20"/>
          <w:szCs w:val="20"/>
        </w:rPr>
        <w:t>具体年份要求见投标人须知前附表 。每张表格只填写一个项目，并标明序</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6622FF9C">
      <w:pPr>
        <w:spacing w:before="182" w:line="369" w:lineRule="auto"/>
        <w:ind w:left="12" w:right="2" w:firstLine="411"/>
        <w:rPr>
          <w:rFonts w:ascii="宋体" w:hAnsi="宋体" w:eastAsia="宋体" w:cs="宋体"/>
          <w:color w:val="auto"/>
          <w:sz w:val="20"/>
          <w:szCs w:val="20"/>
        </w:rPr>
      </w:pPr>
      <w:r>
        <w:rPr>
          <w:rFonts w:ascii="宋体" w:hAnsi="宋体" w:eastAsia="宋体" w:cs="宋体"/>
          <w:color w:val="auto"/>
          <w:spacing w:val="10"/>
          <w:sz w:val="20"/>
          <w:szCs w:val="20"/>
        </w:rPr>
        <w:t>3.5.4“正在施工和新承接的项目情况表”应附中标通知书和合同协议书复印件。每张表格</w:t>
      </w:r>
      <w:r>
        <w:rPr>
          <w:rFonts w:ascii="宋体" w:hAnsi="宋体" w:eastAsia="宋体" w:cs="宋体"/>
          <w:color w:val="auto"/>
          <w:sz w:val="20"/>
          <w:szCs w:val="20"/>
        </w:rPr>
        <w:t xml:space="preserve"> </w:t>
      </w:r>
      <w:r>
        <w:rPr>
          <w:rFonts w:ascii="宋体" w:hAnsi="宋体" w:eastAsia="宋体" w:cs="宋体"/>
          <w:color w:val="auto"/>
          <w:spacing w:val="14"/>
          <w:sz w:val="20"/>
          <w:szCs w:val="20"/>
        </w:rPr>
        <w:t>只</w:t>
      </w:r>
      <w:r>
        <w:rPr>
          <w:rFonts w:ascii="宋体" w:hAnsi="宋体" w:eastAsia="宋体" w:cs="宋体"/>
          <w:color w:val="auto"/>
          <w:spacing w:val="10"/>
          <w:sz w:val="20"/>
          <w:szCs w:val="20"/>
        </w:rPr>
        <w:t>填</w:t>
      </w:r>
      <w:r>
        <w:rPr>
          <w:rFonts w:ascii="宋体" w:hAnsi="宋体" w:eastAsia="宋体" w:cs="宋体"/>
          <w:color w:val="auto"/>
          <w:spacing w:val="7"/>
          <w:sz w:val="20"/>
          <w:szCs w:val="20"/>
        </w:rPr>
        <w:t>写一个项目，并标明序号。</w:t>
      </w:r>
    </w:p>
    <w:p w14:paraId="111B3357">
      <w:pPr>
        <w:spacing w:before="2" w:line="369" w:lineRule="auto"/>
        <w:ind w:left="6" w:firstLine="417"/>
        <w:rPr>
          <w:rFonts w:ascii="宋体" w:hAnsi="宋体" w:eastAsia="宋体" w:cs="宋体"/>
          <w:color w:val="auto"/>
          <w:sz w:val="20"/>
          <w:szCs w:val="20"/>
        </w:rPr>
      </w:pPr>
      <w:r>
        <w:rPr>
          <w:rFonts w:ascii="宋体" w:hAnsi="宋体" w:eastAsia="宋体" w:cs="宋体"/>
          <w:color w:val="auto"/>
          <w:spacing w:val="15"/>
          <w:sz w:val="20"/>
          <w:szCs w:val="20"/>
        </w:rPr>
        <w:t>3.5.5  “近年发生的诉讼及仲裁情况”应说明相关情况，并附法院或仲裁机构作出的</w:t>
      </w:r>
      <w:r>
        <w:rPr>
          <w:rFonts w:ascii="宋体" w:hAnsi="宋体" w:eastAsia="宋体" w:cs="宋体"/>
          <w:color w:val="auto"/>
          <w:spacing w:val="7"/>
          <w:sz w:val="20"/>
          <w:szCs w:val="20"/>
        </w:rPr>
        <w:t>判</w:t>
      </w:r>
      <w:r>
        <w:rPr>
          <w:rFonts w:ascii="宋体" w:hAnsi="宋体" w:eastAsia="宋体" w:cs="宋体"/>
          <w:color w:val="auto"/>
          <w:sz w:val="20"/>
          <w:szCs w:val="20"/>
        </w:rPr>
        <w:t xml:space="preserve"> </w:t>
      </w:r>
      <w:r>
        <w:rPr>
          <w:rFonts w:ascii="宋体" w:hAnsi="宋体" w:eastAsia="宋体" w:cs="宋体"/>
          <w:color w:val="auto"/>
          <w:spacing w:val="12"/>
          <w:sz w:val="20"/>
          <w:szCs w:val="20"/>
        </w:rPr>
        <w:t>决</w:t>
      </w:r>
      <w:r>
        <w:rPr>
          <w:rFonts w:ascii="宋体" w:hAnsi="宋体" w:eastAsia="宋体" w:cs="宋体"/>
          <w:color w:val="auto"/>
          <w:spacing w:val="9"/>
          <w:sz w:val="20"/>
          <w:szCs w:val="20"/>
        </w:rPr>
        <w:t>、裁决等有关法律文书复印件，具体年份要求见投标人须知前附表。</w:t>
      </w:r>
    </w:p>
    <w:p w14:paraId="28848B49">
      <w:pPr>
        <w:spacing w:before="1" w:line="368" w:lineRule="auto"/>
        <w:ind w:right="2" w:firstLine="424"/>
        <w:rPr>
          <w:rFonts w:ascii="宋体" w:hAnsi="宋体" w:eastAsia="宋体" w:cs="宋体"/>
          <w:color w:val="auto"/>
          <w:sz w:val="20"/>
          <w:szCs w:val="20"/>
        </w:rPr>
      </w:pPr>
      <w:r>
        <w:rPr>
          <w:rFonts w:ascii="宋体" w:hAnsi="宋体" w:eastAsia="宋体" w:cs="宋体"/>
          <w:color w:val="auto"/>
          <w:spacing w:val="12"/>
          <w:sz w:val="20"/>
          <w:szCs w:val="20"/>
        </w:rPr>
        <w:t>3.5</w:t>
      </w:r>
      <w:r>
        <w:rPr>
          <w:rFonts w:ascii="宋体" w:hAnsi="宋体" w:eastAsia="宋体" w:cs="宋体"/>
          <w:color w:val="auto"/>
          <w:spacing w:val="8"/>
          <w:sz w:val="20"/>
          <w:szCs w:val="20"/>
        </w:rPr>
        <w:t>.</w:t>
      </w:r>
      <w:r>
        <w:rPr>
          <w:rFonts w:ascii="宋体" w:hAnsi="宋体" w:eastAsia="宋体" w:cs="宋体"/>
          <w:color w:val="auto"/>
          <w:spacing w:val="6"/>
          <w:sz w:val="20"/>
          <w:szCs w:val="20"/>
        </w:rPr>
        <w:t>6 投标人须知前附表规定接受联合体投标的，本章第 3.5.1 项至第 3.5.5 项规定的表</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13"/>
          <w:sz w:val="20"/>
          <w:szCs w:val="20"/>
        </w:rPr>
        <w:t>和</w:t>
      </w:r>
      <w:r>
        <w:rPr>
          <w:rFonts w:ascii="宋体" w:hAnsi="宋体" w:eastAsia="宋体" w:cs="宋体"/>
          <w:color w:val="auto"/>
          <w:spacing w:val="8"/>
          <w:sz w:val="20"/>
          <w:szCs w:val="20"/>
        </w:rPr>
        <w:t>资料应包括联合体各方相关情况。</w:t>
      </w:r>
    </w:p>
    <w:p w14:paraId="1E865954">
      <w:pPr>
        <w:spacing w:line="229" w:lineRule="auto"/>
        <w:ind w:left="4"/>
        <w:outlineLvl w:val="2"/>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3</w:t>
      </w:r>
      <w:r>
        <w:rPr>
          <w:rFonts w:ascii="宋体" w:hAnsi="宋体" w:eastAsia="宋体" w:cs="宋体"/>
          <w:color w:val="auto"/>
          <w:spacing w:val="6"/>
          <w:sz w:val="20"/>
          <w:szCs w:val="20"/>
        </w:rPr>
        <w:t>.6 备选投标方案</w:t>
      </w:r>
    </w:p>
    <w:p w14:paraId="65743D1A">
      <w:pPr>
        <w:spacing w:before="153" w:line="369" w:lineRule="auto"/>
        <w:ind w:right="2" w:firstLine="431"/>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3"/>
          <w:sz w:val="20"/>
          <w:szCs w:val="20"/>
        </w:rPr>
        <w:t>投标人须知前附表另有规定外，投标人不得递交备选投标方案。允许投标人递交备选投</w:t>
      </w:r>
      <w:r>
        <w:rPr>
          <w:rFonts w:ascii="宋体" w:hAnsi="宋体" w:eastAsia="宋体" w:cs="宋体"/>
          <w:color w:val="auto"/>
          <w:sz w:val="20"/>
          <w:szCs w:val="20"/>
        </w:rPr>
        <w:t xml:space="preserve"> </w:t>
      </w:r>
      <w:r>
        <w:rPr>
          <w:rFonts w:ascii="宋体" w:hAnsi="宋体" w:eastAsia="宋体" w:cs="宋体"/>
          <w:color w:val="auto"/>
          <w:spacing w:val="23"/>
          <w:sz w:val="20"/>
          <w:szCs w:val="20"/>
        </w:rPr>
        <w:t>标</w:t>
      </w:r>
      <w:r>
        <w:rPr>
          <w:rFonts w:ascii="宋体" w:hAnsi="宋体" w:eastAsia="宋体" w:cs="宋体"/>
          <w:color w:val="auto"/>
          <w:spacing w:val="13"/>
          <w:sz w:val="20"/>
          <w:szCs w:val="20"/>
        </w:rPr>
        <w:t>方案的，只有中标人所递交的备选投标方案方可予以考虑。磋商小组认为中标人的备选投标</w:t>
      </w:r>
      <w:r>
        <w:rPr>
          <w:rFonts w:ascii="宋体" w:hAnsi="宋体" w:eastAsia="宋体" w:cs="宋体"/>
          <w:color w:val="auto"/>
          <w:sz w:val="20"/>
          <w:szCs w:val="20"/>
        </w:rPr>
        <w:t xml:space="preserve"> </w:t>
      </w:r>
      <w:r>
        <w:rPr>
          <w:rFonts w:ascii="宋体" w:hAnsi="宋体" w:eastAsia="宋体" w:cs="宋体"/>
          <w:color w:val="auto"/>
          <w:spacing w:val="18"/>
          <w:sz w:val="20"/>
          <w:szCs w:val="20"/>
        </w:rPr>
        <w:t>方案</w:t>
      </w:r>
      <w:r>
        <w:rPr>
          <w:rFonts w:ascii="宋体" w:hAnsi="宋体" w:eastAsia="宋体" w:cs="宋体"/>
          <w:color w:val="auto"/>
          <w:spacing w:val="10"/>
          <w:sz w:val="20"/>
          <w:szCs w:val="20"/>
        </w:rPr>
        <w:t>优</w:t>
      </w:r>
      <w:r>
        <w:rPr>
          <w:rFonts w:ascii="宋体" w:hAnsi="宋体" w:eastAsia="宋体" w:cs="宋体"/>
          <w:color w:val="auto"/>
          <w:spacing w:val="9"/>
          <w:sz w:val="20"/>
          <w:szCs w:val="20"/>
        </w:rPr>
        <w:t>于其按照竞争性磋商文件要求编制的投标方案的，招标人可以接受该备选投标方案。</w:t>
      </w:r>
    </w:p>
    <w:p w14:paraId="6A45BF00">
      <w:pPr>
        <w:spacing w:line="228" w:lineRule="auto"/>
        <w:ind w:left="4"/>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7 磋商响应文件的编制</w:t>
      </w:r>
    </w:p>
    <w:p w14:paraId="0E1DDB5D">
      <w:pPr>
        <w:spacing w:before="152"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7.1 投标文件按投标文件格式进行编写，如有必要，可以增加附页，作为投标文件的组</w:t>
      </w:r>
      <w:r>
        <w:rPr>
          <w:rFonts w:ascii="宋体" w:hAnsi="宋体" w:eastAsia="宋体" w:cs="宋体"/>
          <w:color w:val="auto"/>
          <w:sz w:val="20"/>
          <w:szCs w:val="20"/>
        </w:rPr>
        <w:t xml:space="preserve"> </w:t>
      </w:r>
      <w:r>
        <w:rPr>
          <w:rFonts w:ascii="宋体" w:hAnsi="宋体" w:eastAsia="宋体" w:cs="宋体"/>
          <w:color w:val="auto"/>
          <w:spacing w:val="23"/>
          <w:sz w:val="20"/>
          <w:szCs w:val="20"/>
        </w:rPr>
        <w:t>成</w:t>
      </w:r>
      <w:r>
        <w:rPr>
          <w:rFonts w:ascii="宋体" w:hAnsi="宋体" w:eastAsia="宋体" w:cs="宋体"/>
          <w:color w:val="auto"/>
          <w:spacing w:val="13"/>
          <w:sz w:val="20"/>
          <w:szCs w:val="20"/>
        </w:rPr>
        <w:t>部分。其中，投标函附录在满足招标文件实质性要求的基础上，可以提出比招标文件要求更</w:t>
      </w:r>
      <w:r>
        <w:rPr>
          <w:rFonts w:ascii="宋体" w:hAnsi="宋体" w:eastAsia="宋体" w:cs="宋体"/>
          <w:color w:val="auto"/>
          <w:sz w:val="20"/>
          <w:szCs w:val="20"/>
        </w:rPr>
        <w:t xml:space="preserve"> </w:t>
      </w:r>
      <w:r>
        <w:rPr>
          <w:rFonts w:ascii="宋体" w:hAnsi="宋体" w:eastAsia="宋体" w:cs="宋体"/>
          <w:color w:val="auto"/>
          <w:spacing w:val="8"/>
          <w:sz w:val="20"/>
          <w:szCs w:val="20"/>
        </w:rPr>
        <w:t>有利于招标人的承诺</w:t>
      </w:r>
      <w:r>
        <w:rPr>
          <w:rFonts w:ascii="宋体" w:hAnsi="宋体" w:eastAsia="宋体" w:cs="宋体"/>
          <w:color w:val="auto"/>
          <w:spacing w:val="7"/>
          <w:sz w:val="20"/>
          <w:szCs w:val="20"/>
        </w:rPr>
        <w:t>。</w:t>
      </w:r>
    </w:p>
    <w:p w14:paraId="565AFC27">
      <w:pPr>
        <w:spacing w:before="2" w:line="369" w:lineRule="auto"/>
        <w:ind w:right="4"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7.2 投标文件当时对招标文件有关工期、投标有效期、质量要求、技术标准和要求、招</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8"/>
          <w:sz w:val="20"/>
          <w:szCs w:val="20"/>
        </w:rPr>
        <w:t>范围等实质性内容作出响。</w:t>
      </w:r>
    </w:p>
    <w:p w14:paraId="5C275142">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7.3 投标文件用不退色的材料书写或打印，并由投标企业的法定代表人或其委托代理人</w:t>
      </w:r>
      <w:r>
        <w:rPr>
          <w:rFonts w:ascii="宋体" w:hAnsi="宋体" w:eastAsia="宋体" w:cs="宋体"/>
          <w:color w:val="auto"/>
          <w:sz w:val="20"/>
          <w:szCs w:val="20"/>
        </w:rPr>
        <w:t xml:space="preserve"> </w:t>
      </w:r>
      <w:r>
        <w:rPr>
          <w:rFonts w:ascii="宋体" w:hAnsi="宋体" w:eastAsia="宋体" w:cs="宋体"/>
          <w:color w:val="auto"/>
          <w:spacing w:val="18"/>
          <w:sz w:val="20"/>
          <w:szCs w:val="20"/>
        </w:rPr>
        <w:t>签</w:t>
      </w:r>
      <w:r>
        <w:rPr>
          <w:rFonts w:ascii="宋体" w:hAnsi="宋体" w:eastAsia="宋体" w:cs="宋体"/>
          <w:color w:val="auto"/>
          <w:spacing w:val="16"/>
          <w:sz w:val="20"/>
          <w:szCs w:val="20"/>
        </w:rPr>
        <w:t>字</w:t>
      </w:r>
      <w:r>
        <w:rPr>
          <w:rFonts w:ascii="宋体" w:hAnsi="宋体" w:eastAsia="宋体" w:cs="宋体"/>
          <w:color w:val="auto"/>
          <w:spacing w:val="9"/>
          <w:sz w:val="20"/>
          <w:szCs w:val="20"/>
        </w:rPr>
        <w:t>或盖单位章。委托代理人签字的，投标文件附法定代表人签署的授权委托书。</w:t>
      </w:r>
    </w:p>
    <w:p w14:paraId="5905CC51">
      <w:pPr>
        <w:spacing w:before="1"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8"/>
          <w:sz w:val="20"/>
          <w:szCs w:val="20"/>
        </w:rPr>
        <w:t>.7.4 招标文件中未提供格式的部分由投标人自行编制。</w:t>
      </w:r>
    </w:p>
    <w:p w14:paraId="7F4A9A17">
      <w:pPr>
        <w:spacing w:before="153" w:line="369" w:lineRule="auto"/>
        <w:ind w:left="8" w:right="2" w:firstLine="416"/>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2"/>
          <w:sz w:val="20"/>
          <w:szCs w:val="20"/>
        </w:rPr>
        <w:t>.7.5 投标文件应当采用</w:t>
      </w:r>
      <w:r>
        <w:rPr>
          <w:rFonts w:ascii="宋体" w:hAnsi="宋体" w:eastAsia="宋体" w:cs="宋体"/>
          <w:color w:val="auto"/>
          <w:sz w:val="20"/>
          <w:szCs w:val="20"/>
        </w:rPr>
        <w:t>A</w:t>
      </w:r>
      <w:r>
        <w:rPr>
          <w:rFonts w:ascii="宋体" w:hAnsi="宋体" w:eastAsia="宋体" w:cs="宋体"/>
          <w:color w:val="auto"/>
          <w:spacing w:val="12"/>
          <w:sz w:val="20"/>
          <w:szCs w:val="20"/>
        </w:rPr>
        <w:t>4 纸型，装订方法不得以活页方式装订，不可拆装(如打孔、鸭</w:t>
      </w:r>
      <w:r>
        <w:rPr>
          <w:rFonts w:ascii="宋体" w:hAnsi="宋体" w:eastAsia="宋体" w:cs="宋体"/>
          <w:color w:val="auto"/>
          <w:sz w:val="20"/>
          <w:szCs w:val="20"/>
        </w:rPr>
        <w:t xml:space="preserve"> </w:t>
      </w:r>
      <w:r>
        <w:rPr>
          <w:rFonts w:ascii="宋体" w:hAnsi="宋体" w:eastAsia="宋体" w:cs="宋体"/>
          <w:color w:val="auto"/>
          <w:spacing w:val="4"/>
          <w:sz w:val="20"/>
          <w:szCs w:val="20"/>
        </w:rPr>
        <w:t>嘴</w:t>
      </w:r>
      <w:r>
        <w:rPr>
          <w:rFonts w:ascii="宋体" w:hAnsi="宋体" w:eastAsia="宋体" w:cs="宋体"/>
          <w:color w:val="auto"/>
          <w:spacing w:val="3"/>
          <w:sz w:val="20"/>
          <w:szCs w:val="20"/>
        </w:rPr>
        <w:t>夹等)。</w:t>
      </w:r>
    </w:p>
    <w:p w14:paraId="225F1254">
      <w:pPr>
        <w:spacing w:before="1" w:line="369" w:lineRule="auto"/>
        <w:ind w:left="1"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7.6 投标单位应认真阅读招标文件的所有内容，检查投标文件内容是否齐全。所编制的</w:t>
      </w:r>
      <w:r>
        <w:rPr>
          <w:rFonts w:ascii="宋体" w:hAnsi="宋体" w:eastAsia="宋体" w:cs="宋体"/>
          <w:color w:val="auto"/>
          <w:sz w:val="20"/>
          <w:szCs w:val="20"/>
        </w:rPr>
        <w:t xml:space="preserve"> </w:t>
      </w:r>
      <w:r>
        <w:rPr>
          <w:rFonts w:ascii="宋体" w:hAnsi="宋体" w:eastAsia="宋体" w:cs="宋体"/>
          <w:color w:val="auto"/>
          <w:spacing w:val="23"/>
          <w:sz w:val="20"/>
          <w:szCs w:val="20"/>
        </w:rPr>
        <w:t>投</w:t>
      </w:r>
      <w:r>
        <w:rPr>
          <w:rFonts w:ascii="宋体" w:hAnsi="宋体" w:eastAsia="宋体" w:cs="宋体"/>
          <w:color w:val="auto"/>
          <w:spacing w:val="13"/>
          <w:sz w:val="20"/>
          <w:szCs w:val="20"/>
        </w:rPr>
        <w:t>标文件应按招标文件规定的顺序及“投标文件及格式”装订，要求编制目录，逐页标注连续</w:t>
      </w:r>
      <w:r>
        <w:rPr>
          <w:rFonts w:ascii="宋体" w:hAnsi="宋体" w:eastAsia="宋体" w:cs="宋体"/>
          <w:color w:val="auto"/>
          <w:sz w:val="20"/>
          <w:szCs w:val="20"/>
        </w:rPr>
        <w:t xml:space="preserve"> </w:t>
      </w:r>
      <w:r>
        <w:rPr>
          <w:rFonts w:ascii="宋体" w:hAnsi="宋体" w:eastAsia="宋体" w:cs="宋体"/>
          <w:color w:val="auto"/>
          <w:spacing w:val="4"/>
          <w:sz w:val="20"/>
          <w:szCs w:val="20"/>
        </w:rPr>
        <w:t>编</w:t>
      </w:r>
      <w:r>
        <w:rPr>
          <w:rFonts w:ascii="宋体" w:hAnsi="宋体" w:eastAsia="宋体" w:cs="宋体"/>
          <w:color w:val="auto"/>
          <w:spacing w:val="3"/>
          <w:sz w:val="20"/>
          <w:szCs w:val="20"/>
        </w:rPr>
        <w:t>码。</w:t>
      </w:r>
    </w:p>
    <w:p w14:paraId="180C498F">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w:t>
      </w:r>
      <w:r>
        <w:rPr>
          <w:rFonts w:ascii="宋体" w:hAnsi="宋体" w:eastAsia="宋体" w:cs="宋体"/>
          <w:color w:val="auto"/>
          <w:spacing w:val="7"/>
          <w:sz w:val="20"/>
          <w:szCs w:val="20"/>
        </w:rPr>
        <w:t>7.7 磋商响应文件的正本、  副本份数见投标人须知前附表。正本和副本的封面右上角上</w:t>
      </w:r>
      <w:r>
        <w:rPr>
          <w:rFonts w:ascii="宋体" w:hAnsi="宋体" w:eastAsia="宋体" w:cs="宋体"/>
          <w:color w:val="auto"/>
          <w:sz w:val="20"/>
          <w:szCs w:val="20"/>
        </w:rPr>
        <w:t xml:space="preserve"> </w:t>
      </w:r>
      <w:r>
        <w:rPr>
          <w:rFonts w:ascii="宋体" w:hAnsi="宋体" w:eastAsia="宋体" w:cs="宋体"/>
          <w:color w:val="auto"/>
          <w:spacing w:val="18"/>
          <w:sz w:val="20"/>
          <w:szCs w:val="20"/>
        </w:rPr>
        <w:t>应</w:t>
      </w:r>
      <w:r>
        <w:rPr>
          <w:rFonts w:ascii="宋体" w:hAnsi="宋体" w:eastAsia="宋体" w:cs="宋体"/>
          <w:color w:val="auto"/>
          <w:spacing w:val="14"/>
          <w:sz w:val="20"/>
          <w:szCs w:val="20"/>
        </w:rPr>
        <w:t>清</w:t>
      </w:r>
      <w:r>
        <w:rPr>
          <w:rFonts w:ascii="宋体" w:hAnsi="宋体" w:eastAsia="宋体" w:cs="宋体"/>
          <w:color w:val="auto"/>
          <w:spacing w:val="9"/>
          <w:sz w:val="20"/>
          <w:szCs w:val="20"/>
        </w:rPr>
        <w:t>楚地标记“正本”或“副本”的字样。当副本和正本不一致时，以正本为准。</w:t>
      </w:r>
    </w:p>
    <w:p w14:paraId="6A82448A">
      <w:pPr>
        <w:spacing w:line="228" w:lineRule="auto"/>
        <w:ind w:left="424"/>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7"/>
          <w:sz w:val="20"/>
          <w:szCs w:val="20"/>
        </w:rPr>
        <w:t>7</w:t>
      </w:r>
      <w:r>
        <w:rPr>
          <w:rFonts w:ascii="宋体" w:hAnsi="宋体" w:eastAsia="宋体" w:cs="宋体"/>
          <w:color w:val="auto"/>
          <w:spacing w:val="5"/>
          <w:sz w:val="20"/>
          <w:szCs w:val="20"/>
        </w:rPr>
        <w:t>.8 磋商响应文件编制目录，具体装订要求：</w:t>
      </w:r>
    </w:p>
    <w:p w14:paraId="5D21542D">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4"/>
          <w:sz w:val="20"/>
          <w:szCs w:val="20"/>
        </w:rPr>
        <w:t>7.8.1 正本与副本应分别装订成册。</w:t>
      </w:r>
    </w:p>
    <w:p w14:paraId="59BE423D">
      <w:pPr>
        <w:spacing w:before="155"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8 电子投标文件的编制</w:t>
      </w:r>
    </w:p>
    <w:p w14:paraId="10C02624">
      <w:pPr>
        <w:spacing w:before="151" w:line="370"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8.1 投标文件制作时，按照招标文件中明确的投标文件目录和格式进行编制，保证目录</w:t>
      </w:r>
      <w:r>
        <w:rPr>
          <w:rFonts w:ascii="宋体" w:hAnsi="宋体" w:eastAsia="宋体" w:cs="宋体"/>
          <w:color w:val="auto"/>
          <w:sz w:val="20"/>
          <w:szCs w:val="20"/>
        </w:rPr>
        <w:t xml:space="preserve"> </w:t>
      </w:r>
      <w:r>
        <w:rPr>
          <w:rFonts w:ascii="宋体" w:hAnsi="宋体" w:eastAsia="宋体" w:cs="宋体"/>
          <w:color w:val="auto"/>
          <w:spacing w:val="11"/>
          <w:sz w:val="20"/>
          <w:szCs w:val="20"/>
        </w:rPr>
        <w:t>清</w:t>
      </w:r>
      <w:r>
        <w:rPr>
          <w:rFonts w:ascii="宋体" w:hAnsi="宋体" w:eastAsia="宋体" w:cs="宋体"/>
          <w:color w:val="auto"/>
          <w:spacing w:val="7"/>
          <w:sz w:val="20"/>
          <w:szCs w:val="20"/>
        </w:rPr>
        <w:t>晰、内容完整。</w:t>
      </w:r>
    </w:p>
    <w:p w14:paraId="7A2BCA4D">
      <w:pPr>
        <w:spacing w:line="376"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8.2 电子投标文件须使用投标人公章的电子签章以及法定代表人的电子签章。若无电子</w:t>
      </w:r>
      <w:r>
        <w:rPr>
          <w:rFonts w:ascii="宋体" w:hAnsi="宋体" w:eastAsia="宋体" w:cs="宋体"/>
          <w:color w:val="auto"/>
          <w:sz w:val="20"/>
          <w:szCs w:val="20"/>
        </w:rPr>
        <w:t xml:space="preserve"> </w:t>
      </w:r>
      <w:r>
        <w:rPr>
          <w:rFonts w:ascii="宋体" w:hAnsi="宋体" w:eastAsia="宋体" w:cs="宋体"/>
          <w:color w:val="auto"/>
          <w:spacing w:val="9"/>
          <w:sz w:val="20"/>
          <w:szCs w:val="20"/>
        </w:rPr>
        <w:t>签</w:t>
      </w:r>
      <w:r>
        <w:rPr>
          <w:rFonts w:ascii="宋体" w:hAnsi="宋体" w:eastAsia="宋体" w:cs="宋体"/>
          <w:color w:val="auto"/>
          <w:spacing w:val="8"/>
          <w:sz w:val="20"/>
          <w:szCs w:val="20"/>
        </w:rPr>
        <w:t>章，则视为无效投标。</w:t>
      </w:r>
    </w:p>
    <w:p w14:paraId="3D9CC663">
      <w:pPr>
        <w:spacing w:before="183" w:line="226" w:lineRule="auto"/>
        <w:ind w:left="5"/>
        <w:outlineLvl w:val="1"/>
        <w:rPr>
          <w:rFonts w:ascii="宋体" w:hAnsi="宋体" w:eastAsia="宋体" w:cs="宋体"/>
          <w:color w:val="auto"/>
          <w:sz w:val="20"/>
          <w:szCs w:val="20"/>
        </w:rPr>
      </w:pPr>
      <w:r>
        <w:rPr>
          <w:rFonts w:ascii="宋体" w:hAnsi="宋体" w:eastAsia="宋体" w:cs="宋体"/>
          <w:color w:val="auto"/>
          <w:spacing w:val="22"/>
          <w:sz w:val="20"/>
          <w:szCs w:val="20"/>
        </w:rPr>
        <w:t>3</w:t>
      </w:r>
      <w:r>
        <w:rPr>
          <w:rFonts w:ascii="宋体" w:hAnsi="宋体" w:eastAsia="宋体" w:cs="宋体"/>
          <w:color w:val="auto"/>
          <w:spacing w:val="12"/>
          <w:sz w:val="20"/>
          <w:szCs w:val="20"/>
        </w:rPr>
        <w:t>.8.3 电子招投标文件具有法律效力，与其他形式的招投标文件在内容和格式上等同，若投标</w:t>
      </w:r>
      <w:r>
        <w:rPr>
          <w:rFonts w:ascii="宋体" w:hAnsi="宋体" w:eastAsia="宋体" w:cs="宋体"/>
          <w:color w:val="auto"/>
          <w:spacing w:val="22"/>
          <w:sz w:val="20"/>
          <w:szCs w:val="20"/>
        </w:rPr>
        <w:t>文</w:t>
      </w:r>
      <w:r>
        <w:rPr>
          <w:rFonts w:ascii="宋体" w:hAnsi="宋体" w:eastAsia="宋体" w:cs="宋体"/>
          <w:color w:val="auto"/>
          <w:spacing w:val="13"/>
          <w:sz w:val="20"/>
          <w:szCs w:val="20"/>
        </w:rPr>
        <w:t>件与招标文件要求不一致，其内容影响中标结果时，责任由投标人自行承担。投标人递交的</w:t>
      </w:r>
      <w:r>
        <w:rPr>
          <w:rFonts w:ascii="宋体" w:hAnsi="宋体" w:eastAsia="宋体" w:cs="宋体"/>
          <w:color w:val="auto"/>
          <w:sz w:val="20"/>
          <w:szCs w:val="20"/>
        </w:rPr>
        <w:t xml:space="preserve"> </w:t>
      </w:r>
      <w:r>
        <w:rPr>
          <w:rFonts w:ascii="宋体" w:hAnsi="宋体" w:eastAsia="宋体" w:cs="宋体"/>
          <w:color w:val="auto"/>
          <w:spacing w:val="22"/>
          <w:sz w:val="20"/>
          <w:szCs w:val="20"/>
        </w:rPr>
        <w:t>电</w:t>
      </w:r>
      <w:r>
        <w:rPr>
          <w:rFonts w:ascii="宋体" w:hAnsi="宋体" w:eastAsia="宋体" w:cs="宋体"/>
          <w:color w:val="auto"/>
          <w:spacing w:val="13"/>
          <w:sz w:val="20"/>
          <w:szCs w:val="20"/>
        </w:rPr>
        <w:t>子投标文件因投标人自身原因而导致无法导入电子辅助评标系统，该投标文件视为无效投标</w:t>
      </w:r>
      <w:r>
        <w:rPr>
          <w:rFonts w:ascii="宋体" w:hAnsi="宋体" w:eastAsia="宋体" w:cs="宋体"/>
          <w:color w:val="auto"/>
          <w:sz w:val="20"/>
          <w:szCs w:val="20"/>
        </w:rPr>
        <w:t xml:space="preserve"> </w:t>
      </w:r>
      <w:r>
        <w:rPr>
          <w:rFonts w:ascii="宋体" w:hAnsi="宋体" w:eastAsia="宋体" w:cs="宋体"/>
          <w:color w:val="auto"/>
          <w:spacing w:val="11"/>
          <w:sz w:val="20"/>
          <w:szCs w:val="20"/>
        </w:rPr>
        <w:t>文</w:t>
      </w:r>
      <w:r>
        <w:rPr>
          <w:rFonts w:ascii="宋体" w:hAnsi="宋体" w:eastAsia="宋体" w:cs="宋体"/>
          <w:color w:val="auto"/>
          <w:spacing w:val="8"/>
          <w:sz w:val="20"/>
          <w:szCs w:val="20"/>
        </w:rPr>
        <w:t>件，将导致其投标被拒绝。</w:t>
      </w:r>
    </w:p>
    <w:p w14:paraId="68130B33">
      <w:pPr>
        <w:spacing w:before="81" w:line="226" w:lineRule="auto"/>
        <w:ind w:left="5"/>
        <w:outlineLvl w:val="1"/>
        <w:rPr>
          <w:rFonts w:ascii="宋体" w:hAnsi="宋体" w:eastAsia="宋体" w:cs="宋体"/>
          <w:color w:val="auto"/>
          <w:sz w:val="20"/>
          <w:szCs w:val="20"/>
        </w:rPr>
      </w:pPr>
      <w:r>
        <w:rPr>
          <w:rFonts w:ascii="宋体" w:hAnsi="宋体" w:eastAsia="宋体" w:cs="宋体"/>
          <w:color w:val="auto"/>
          <w:spacing w:val="18"/>
          <w:sz w:val="20"/>
          <w:szCs w:val="20"/>
        </w:rPr>
        <w:t>3.8</w:t>
      </w:r>
      <w:r>
        <w:rPr>
          <w:rFonts w:ascii="宋体" w:hAnsi="宋体" w:eastAsia="宋体" w:cs="宋体"/>
          <w:color w:val="auto"/>
          <w:spacing w:val="15"/>
          <w:sz w:val="20"/>
          <w:szCs w:val="20"/>
        </w:rPr>
        <w:t>.</w:t>
      </w:r>
      <w:r>
        <w:rPr>
          <w:rFonts w:ascii="宋体" w:hAnsi="宋体" w:eastAsia="宋体" w:cs="宋体"/>
          <w:color w:val="auto"/>
          <w:spacing w:val="9"/>
          <w:sz w:val="20"/>
          <w:szCs w:val="20"/>
        </w:rPr>
        <w:t>4 电子投标文件制作工具在生成加密投标文件时， 同时生成非加密投标文件一份。未加密</w:t>
      </w:r>
      <w:r>
        <w:rPr>
          <w:rFonts w:ascii="宋体" w:hAnsi="宋体" w:eastAsia="宋体" w:cs="宋体"/>
          <w:color w:val="auto"/>
          <w:spacing w:val="16"/>
          <w:sz w:val="20"/>
          <w:szCs w:val="20"/>
        </w:rPr>
        <w:t>的电</w:t>
      </w:r>
      <w:r>
        <w:rPr>
          <w:rFonts w:ascii="宋体" w:hAnsi="宋体" w:eastAsia="宋体" w:cs="宋体"/>
          <w:color w:val="auto"/>
          <w:spacing w:val="12"/>
          <w:sz w:val="20"/>
          <w:szCs w:val="20"/>
        </w:rPr>
        <w:t>子</w:t>
      </w:r>
      <w:r>
        <w:rPr>
          <w:rFonts w:ascii="宋体" w:hAnsi="宋体" w:eastAsia="宋体" w:cs="宋体"/>
          <w:color w:val="auto"/>
          <w:spacing w:val="8"/>
          <w:sz w:val="20"/>
          <w:szCs w:val="20"/>
        </w:rPr>
        <w:t>投标文件由投标人使用光盘制作 (投标人须保证启用光盘时能正常读取) 。</w:t>
      </w:r>
    </w:p>
    <w:p w14:paraId="53118BA4">
      <w:pPr>
        <w:spacing w:before="252" w:line="229" w:lineRule="auto"/>
        <w:outlineLvl w:val="1"/>
        <w:rPr>
          <w:rFonts w:ascii="宋体" w:hAnsi="宋体" w:eastAsia="宋体" w:cs="宋体"/>
          <w:color w:val="auto"/>
          <w:sz w:val="20"/>
          <w:szCs w:val="20"/>
        </w:rPr>
      </w:pPr>
      <w:r>
        <w:rPr>
          <w:rFonts w:ascii="宋体" w:hAnsi="宋体" w:eastAsia="宋体" w:cs="宋体"/>
          <w:color w:val="auto"/>
          <w:spacing w:val="5"/>
          <w:sz w:val="20"/>
          <w:szCs w:val="20"/>
        </w:rPr>
        <w:t>4. 投</w:t>
      </w:r>
      <w:r>
        <w:rPr>
          <w:rFonts w:ascii="宋体" w:hAnsi="宋体" w:eastAsia="宋体" w:cs="宋体"/>
          <w:color w:val="auto"/>
          <w:spacing w:val="4"/>
          <w:sz w:val="20"/>
          <w:szCs w:val="20"/>
        </w:rPr>
        <w:t>标</w:t>
      </w:r>
    </w:p>
    <w:p w14:paraId="58FE3167">
      <w:pPr>
        <w:spacing w:before="153" w:line="228" w:lineRule="auto"/>
        <w:outlineLvl w:val="2"/>
        <w:rPr>
          <w:rFonts w:ascii="宋体" w:hAnsi="宋体" w:eastAsia="宋体" w:cs="宋体"/>
          <w:color w:val="auto"/>
          <w:sz w:val="20"/>
          <w:szCs w:val="20"/>
        </w:rPr>
      </w:pPr>
      <w:r>
        <w:rPr>
          <w:rFonts w:ascii="宋体" w:hAnsi="宋体" w:eastAsia="宋体" w:cs="宋体"/>
          <w:color w:val="auto"/>
          <w:spacing w:val="5"/>
          <w:sz w:val="20"/>
          <w:szCs w:val="20"/>
        </w:rPr>
        <w:t>4.1 磋商响应文件的密封和标</w:t>
      </w:r>
      <w:r>
        <w:rPr>
          <w:rFonts w:ascii="宋体" w:hAnsi="宋体" w:eastAsia="宋体" w:cs="宋体"/>
          <w:color w:val="auto"/>
          <w:spacing w:val="2"/>
          <w:sz w:val="20"/>
          <w:szCs w:val="20"/>
        </w:rPr>
        <w:t>记</w:t>
      </w:r>
    </w:p>
    <w:p w14:paraId="689945A3">
      <w:pPr>
        <w:spacing w:before="152" w:line="369" w:lineRule="auto"/>
        <w:ind w:right="1" w:firstLine="420"/>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1.1 投标人应通过电子投标文件制作工具严格按招标文件要求制作投标文件，在投标截</w:t>
      </w:r>
      <w:r>
        <w:rPr>
          <w:rFonts w:ascii="宋体" w:hAnsi="宋体" w:eastAsia="宋体" w:cs="宋体"/>
          <w:color w:val="auto"/>
          <w:sz w:val="20"/>
          <w:szCs w:val="20"/>
        </w:rPr>
        <w:t xml:space="preserve"> </w:t>
      </w:r>
      <w:r>
        <w:rPr>
          <w:rFonts w:ascii="宋体" w:hAnsi="宋体" w:eastAsia="宋体" w:cs="宋体"/>
          <w:color w:val="auto"/>
          <w:spacing w:val="25"/>
          <w:sz w:val="20"/>
          <w:szCs w:val="20"/>
        </w:rPr>
        <w:t>止</w:t>
      </w:r>
      <w:r>
        <w:rPr>
          <w:rFonts w:ascii="宋体" w:hAnsi="宋体" w:eastAsia="宋体" w:cs="宋体"/>
          <w:color w:val="auto"/>
          <w:spacing w:val="18"/>
          <w:sz w:val="20"/>
          <w:szCs w:val="20"/>
        </w:rPr>
        <w:t>时间前完成上传经过数字证书电子签章并加密的投标文件 (加密和解密须用同一把数字证</w:t>
      </w:r>
      <w:r>
        <w:rPr>
          <w:rFonts w:ascii="宋体" w:hAnsi="宋体" w:eastAsia="宋体" w:cs="宋体"/>
          <w:color w:val="auto"/>
          <w:sz w:val="20"/>
          <w:szCs w:val="20"/>
        </w:rPr>
        <w:t xml:space="preserve"> </w:t>
      </w:r>
      <w:r>
        <w:rPr>
          <w:rFonts w:ascii="宋体" w:hAnsi="宋体" w:eastAsia="宋体" w:cs="宋体"/>
          <w:color w:val="auto"/>
          <w:spacing w:val="13"/>
          <w:sz w:val="20"/>
          <w:szCs w:val="20"/>
        </w:rPr>
        <w:t>书) 。投标人在投标截止时间前，可以对其所递交的投标文件进行修改并重新上传，但以投</w:t>
      </w:r>
      <w:r>
        <w:rPr>
          <w:rFonts w:ascii="宋体" w:hAnsi="宋体" w:eastAsia="宋体" w:cs="宋体"/>
          <w:color w:val="auto"/>
          <w:spacing w:val="12"/>
          <w:sz w:val="20"/>
          <w:szCs w:val="20"/>
        </w:rPr>
        <w:t>标</w:t>
      </w:r>
      <w:r>
        <w:rPr>
          <w:rFonts w:ascii="宋体" w:hAnsi="宋体" w:eastAsia="宋体" w:cs="宋体"/>
          <w:color w:val="auto"/>
          <w:sz w:val="20"/>
          <w:szCs w:val="20"/>
        </w:rPr>
        <w:t xml:space="preserve"> </w:t>
      </w:r>
      <w:r>
        <w:rPr>
          <w:rFonts w:ascii="宋体" w:hAnsi="宋体" w:eastAsia="宋体" w:cs="宋体"/>
          <w:color w:val="auto"/>
          <w:spacing w:val="14"/>
          <w:sz w:val="20"/>
          <w:szCs w:val="20"/>
        </w:rPr>
        <w:t>截</w:t>
      </w:r>
      <w:r>
        <w:rPr>
          <w:rFonts w:ascii="宋体" w:hAnsi="宋体" w:eastAsia="宋体" w:cs="宋体"/>
          <w:color w:val="auto"/>
          <w:spacing w:val="9"/>
          <w:sz w:val="20"/>
          <w:szCs w:val="20"/>
        </w:rPr>
        <w:t>止时间前最后一次上传的投标文件为有效投标文件。</w:t>
      </w:r>
    </w:p>
    <w:p w14:paraId="2215267B">
      <w:pPr>
        <w:spacing w:before="2" w:line="369" w:lineRule="auto"/>
        <w:ind w:left="2" w:righ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1.2 投标截止时间以政采云显示的时间为准，逾期系统将自动关闭，未完成上传的投标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件视为逾期送达，将被拒绝。</w:t>
      </w:r>
    </w:p>
    <w:p w14:paraId="3934F0E5">
      <w:pPr>
        <w:spacing w:before="1" w:line="369" w:lineRule="auto"/>
        <w:ind w:left="1" w:right="3" w:firstLine="418"/>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1.3 是否采用不见面开标方式详见投标人须知前附表，若本项目采用不见面开标，无需</w:t>
      </w:r>
      <w:r>
        <w:rPr>
          <w:rFonts w:ascii="宋体" w:hAnsi="宋体" w:eastAsia="宋体" w:cs="宋体"/>
          <w:color w:val="auto"/>
          <w:sz w:val="20"/>
          <w:szCs w:val="20"/>
        </w:rPr>
        <w:t xml:space="preserve"> </w:t>
      </w:r>
      <w:r>
        <w:rPr>
          <w:rFonts w:ascii="宋体" w:hAnsi="宋体" w:eastAsia="宋体" w:cs="宋体"/>
          <w:color w:val="auto"/>
          <w:spacing w:val="10"/>
          <w:sz w:val="20"/>
          <w:szCs w:val="20"/>
        </w:rPr>
        <w:t>提供电</w:t>
      </w:r>
      <w:r>
        <w:rPr>
          <w:rFonts w:ascii="宋体" w:hAnsi="宋体" w:eastAsia="宋体" w:cs="宋体"/>
          <w:color w:val="auto"/>
          <w:spacing w:val="6"/>
          <w:sz w:val="20"/>
          <w:szCs w:val="20"/>
        </w:rPr>
        <w:t>子</w:t>
      </w:r>
      <w:r>
        <w:rPr>
          <w:rFonts w:ascii="宋体" w:hAnsi="宋体" w:eastAsia="宋体" w:cs="宋体"/>
          <w:color w:val="auto"/>
          <w:spacing w:val="5"/>
          <w:sz w:val="20"/>
          <w:szCs w:val="20"/>
        </w:rPr>
        <w:t xml:space="preserve">投标文件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盘、纸质投标文件。  (纸质版投标文件及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盘开完标送至招标代理机构，</w:t>
      </w:r>
      <w:r>
        <w:rPr>
          <w:rFonts w:ascii="宋体" w:hAnsi="宋体" w:eastAsia="宋体" w:cs="宋体"/>
          <w:color w:val="auto"/>
          <w:sz w:val="20"/>
          <w:szCs w:val="20"/>
        </w:rPr>
        <w:t xml:space="preserve"> </w:t>
      </w:r>
      <w:r>
        <w:rPr>
          <w:rFonts w:ascii="宋体" w:hAnsi="宋体" w:eastAsia="宋体" w:cs="宋体"/>
          <w:color w:val="auto"/>
          <w:spacing w:val="8"/>
          <w:sz w:val="20"/>
          <w:szCs w:val="20"/>
        </w:rPr>
        <w:t>以</w:t>
      </w:r>
      <w:r>
        <w:rPr>
          <w:rFonts w:ascii="宋体" w:hAnsi="宋体" w:eastAsia="宋体" w:cs="宋体"/>
          <w:color w:val="auto"/>
          <w:spacing w:val="5"/>
          <w:sz w:val="20"/>
          <w:szCs w:val="20"/>
        </w:rPr>
        <w:t>备留档)</w:t>
      </w:r>
    </w:p>
    <w:p w14:paraId="1D983ED0">
      <w:pPr>
        <w:spacing w:before="1" w:line="228" w:lineRule="auto"/>
        <w:outlineLvl w:val="2"/>
        <w:rPr>
          <w:rFonts w:ascii="宋体" w:hAnsi="宋体" w:eastAsia="宋体" w:cs="宋体"/>
          <w:color w:val="auto"/>
          <w:sz w:val="20"/>
          <w:szCs w:val="20"/>
        </w:rPr>
      </w:pPr>
      <w:r>
        <w:rPr>
          <w:rFonts w:ascii="宋体" w:hAnsi="宋体" w:eastAsia="宋体" w:cs="宋体"/>
          <w:color w:val="auto"/>
          <w:spacing w:val="6"/>
          <w:sz w:val="20"/>
          <w:szCs w:val="20"/>
        </w:rPr>
        <w:t>4.2</w:t>
      </w:r>
      <w:r>
        <w:rPr>
          <w:rFonts w:ascii="宋体" w:hAnsi="宋体" w:eastAsia="宋体" w:cs="宋体"/>
          <w:color w:val="auto"/>
          <w:spacing w:val="3"/>
          <w:sz w:val="20"/>
          <w:szCs w:val="20"/>
        </w:rPr>
        <w:t xml:space="preserve"> 磋商响应文件的递交</w:t>
      </w:r>
    </w:p>
    <w:p w14:paraId="4241DACB">
      <w:pPr>
        <w:spacing w:before="154" w:line="228" w:lineRule="auto"/>
        <w:ind w:left="1"/>
        <w:rPr>
          <w:rFonts w:hint="eastAsia" w:ascii="宋体" w:hAnsi="宋体" w:eastAsia="宋体" w:cs="宋体"/>
          <w:color w:val="auto"/>
          <w:sz w:val="20"/>
          <w:szCs w:val="20"/>
          <w:lang w:eastAsia="zh-CN"/>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2.1 投标人应当在招标文件要求提交投标文件的截止时间前网上投标</w:t>
      </w:r>
      <w:r>
        <w:rPr>
          <w:rFonts w:hint="eastAsia" w:ascii="宋体" w:hAnsi="宋体" w:eastAsia="宋体" w:cs="宋体"/>
          <w:color w:val="auto"/>
          <w:spacing w:val="12"/>
          <w:sz w:val="20"/>
          <w:szCs w:val="20"/>
          <w:lang w:eastAsia="zh-CN"/>
        </w:rPr>
        <w:t>。</w:t>
      </w:r>
    </w:p>
    <w:p w14:paraId="6EB9F78F">
      <w:pPr>
        <w:spacing w:before="252"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2.2 在招标文件要求提交投标文件的截止时间之后送达的投标文件，为无效投标文件，采购</w:t>
      </w:r>
      <w:r>
        <w:rPr>
          <w:rFonts w:ascii="宋体" w:hAnsi="宋体" w:eastAsia="宋体" w:cs="宋体"/>
          <w:color w:val="auto"/>
          <w:spacing w:val="9"/>
          <w:sz w:val="20"/>
          <w:szCs w:val="20"/>
        </w:rPr>
        <w:t>代</w:t>
      </w:r>
      <w:r>
        <w:rPr>
          <w:rFonts w:ascii="宋体" w:hAnsi="宋体" w:eastAsia="宋体" w:cs="宋体"/>
          <w:color w:val="auto"/>
          <w:spacing w:val="8"/>
          <w:sz w:val="20"/>
          <w:szCs w:val="20"/>
        </w:rPr>
        <w:t>理机构将拒绝接收。</w:t>
      </w:r>
    </w:p>
    <w:p w14:paraId="3095B7A0">
      <w:pPr>
        <w:spacing w:before="253"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2.3 是否采用不见面开标详见投标人须知前附表，若项目采用不见面开标。只需将加密电子</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标文件在投标截止时间前通过政采云平台上传完成。上传时必须得到电脑“上传成功”的确</w:t>
      </w:r>
      <w:r>
        <w:rPr>
          <w:rFonts w:ascii="宋体" w:hAnsi="宋体" w:eastAsia="宋体" w:cs="宋体"/>
          <w:color w:val="auto"/>
          <w:spacing w:val="18"/>
          <w:sz w:val="20"/>
          <w:szCs w:val="20"/>
        </w:rPr>
        <w:t>认回</w:t>
      </w:r>
      <w:r>
        <w:rPr>
          <w:rFonts w:ascii="宋体" w:hAnsi="宋体" w:eastAsia="宋体" w:cs="宋体"/>
          <w:color w:val="auto"/>
          <w:spacing w:val="9"/>
          <w:sz w:val="20"/>
          <w:szCs w:val="20"/>
        </w:rPr>
        <w:t>复后方为上传成功。逾期上传的或者未上传到平台的投标文件，采购人不予受理。</w:t>
      </w:r>
    </w:p>
    <w:p w14:paraId="17FC066C">
      <w:pPr>
        <w:spacing w:before="89" w:line="229" w:lineRule="auto"/>
        <w:ind w:left="5"/>
        <w:outlineLvl w:val="1"/>
        <w:rPr>
          <w:rFonts w:ascii="宋体" w:hAnsi="宋体" w:eastAsia="宋体" w:cs="宋体"/>
          <w:color w:val="auto"/>
          <w:sz w:val="20"/>
          <w:szCs w:val="20"/>
        </w:rPr>
      </w:pPr>
      <w:r>
        <w:rPr>
          <w:rFonts w:ascii="宋体" w:hAnsi="宋体" w:eastAsia="宋体" w:cs="宋体"/>
          <w:color w:val="auto"/>
          <w:spacing w:val="4"/>
          <w:sz w:val="20"/>
          <w:szCs w:val="20"/>
        </w:rPr>
        <w:t>5. 开</w:t>
      </w:r>
      <w:r>
        <w:rPr>
          <w:rFonts w:ascii="宋体" w:hAnsi="宋体" w:eastAsia="宋体" w:cs="宋体"/>
          <w:color w:val="auto"/>
          <w:spacing w:val="3"/>
          <w:sz w:val="20"/>
          <w:szCs w:val="20"/>
        </w:rPr>
        <w:t>标</w:t>
      </w:r>
    </w:p>
    <w:p w14:paraId="7151301C">
      <w:pPr>
        <w:spacing w:before="150"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5.1 开标时间和地点见投标须知前附表中投标文件递交时间及地</w:t>
      </w:r>
      <w:r>
        <w:rPr>
          <w:rFonts w:ascii="宋体" w:hAnsi="宋体" w:eastAsia="宋体" w:cs="宋体"/>
          <w:color w:val="auto"/>
          <w:spacing w:val="4"/>
          <w:sz w:val="20"/>
          <w:szCs w:val="20"/>
        </w:rPr>
        <w:t>点</w:t>
      </w:r>
    </w:p>
    <w:p w14:paraId="44B7812E">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5</w:t>
      </w:r>
      <w:r>
        <w:rPr>
          <w:rFonts w:ascii="宋体" w:hAnsi="宋体" w:eastAsia="宋体" w:cs="宋体"/>
          <w:color w:val="auto"/>
          <w:spacing w:val="5"/>
          <w:sz w:val="20"/>
          <w:szCs w:val="20"/>
        </w:rPr>
        <w:t>.2 开标程序</w:t>
      </w:r>
    </w:p>
    <w:p w14:paraId="17EA8BE7">
      <w:pPr>
        <w:spacing w:before="153" w:line="270" w:lineRule="exact"/>
        <w:ind w:left="354"/>
        <w:rPr>
          <w:rFonts w:ascii="宋体" w:hAnsi="宋体" w:eastAsia="宋体" w:cs="宋体"/>
          <w:color w:val="auto"/>
          <w:sz w:val="20"/>
          <w:szCs w:val="20"/>
        </w:rPr>
      </w:pPr>
      <w:r>
        <w:rPr>
          <w:rFonts w:ascii="宋体" w:hAnsi="宋体" w:eastAsia="宋体" w:cs="宋体"/>
          <w:color w:val="auto"/>
          <w:position w:val="1"/>
          <w:sz w:val="20"/>
          <w:szCs w:val="20"/>
        </w:rPr>
        <w:t>A</w:t>
      </w:r>
      <w:r>
        <w:rPr>
          <w:rFonts w:ascii="宋体" w:hAnsi="宋体" w:eastAsia="宋体" w:cs="宋体"/>
          <w:color w:val="auto"/>
          <w:spacing w:val="10"/>
          <w:position w:val="1"/>
          <w:sz w:val="20"/>
          <w:szCs w:val="20"/>
        </w:rPr>
        <w:t>．采用见面开标方式</w:t>
      </w:r>
    </w:p>
    <w:p w14:paraId="4F5310BB">
      <w:pPr>
        <w:spacing w:before="128" w:line="227"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1</w:t>
      </w:r>
      <w:r>
        <w:rPr>
          <w:rFonts w:ascii="宋体" w:hAnsi="宋体" w:eastAsia="宋体" w:cs="宋体"/>
          <w:color w:val="auto"/>
          <w:spacing w:val="8"/>
          <w:sz w:val="20"/>
          <w:szCs w:val="20"/>
        </w:rPr>
        <w:t xml:space="preserve"> 采购代理机构按照招标文件规定的时间、地点主持开标。投标人法定代表人或授权代</w:t>
      </w:r>
      <w:r>
        <w:rPr>
          <w:rFonts w:ascii="宋体" w:hAnsi="宋体" w:eastAsia="宋体" w:cs="宋体"/>
          <w:color w:val="auto"/>
          <w:spacing w:val="18"/>
          <w:sz w:val="20"/>
          <w:szCs w:val="20"/>
        </w:rPr>
        <w:t>理人应</w:t>
      </w:r>
      <w:r>
        <w:rPr>
          <w:rFonts w:ascii="宋体" w:hAnsi="宋体" w:eastAsia="宋体" w:cs="宋体"/>
          <w:color w:val="auto"/>
          <w:spacing w:val="10"/>
          <w:sz w:val="20"/>
          <w:szCs w:val="20"/>
        </w:rPr>
        <w:t>携</w:t>
      </w:r>
      <w:r>
        <w:rPr>
          <w:rFonts w:ascii="宋体" w:hAnsi="宋体" w:eastAsia="宋体" w:cs="宋体"/>
          <w:color w:val="auto"/>
          <w:spacing w:val="9"/>
          <w:sz w:val="20"/>
          <w:szCs w:val="20"/>
        </w:rPr>
        <w:t>带身份证明、 电子密钥 (电子证书) 、未加密的电子投标文件 (用信封密封) 及应当</w:t>
      </w:r>
      <w:r>
        <w:rPr>
          <w:rFonts w:ascii="宋体" w:hAnsi="宋体" w:eastAsia="宋体" w:cs="宋体"/>
          <w:color w:val="auto"/>
          <w:sz w:val="20"/>
          <w:szCs w:val="20"/>
        </w:rPr>
        <w:t xml:space="preserve"> </w:t>
      </w:r>
      <w:r>
        <w:rPr>
          <w:rFonts w:ascii="宋体" w:hAnsi="宋体" w:eastAsia="宋体" w:cs="宋体"/>
          <w:color w:val="auto"/>
          <w:spacing w:val="16"/>
          <w:sz w:val="20"/>
          <w:szCs w:val="20"/>
        </w:rPr>
        <w:t>提</w:t>
      </w:r>
      <w:r>
        <w:rPr>
          <w:rFonts w:ascii="宋体" w:hAnsi="宋体" w:eastAsia="宋体" w:cs="宋体"/>
          <w:color w:val="auto"/>
          <w:spacing w:val="8"/>
          <w:sz w:val="20"/>
          <w:szCs w:val="20"/>
        </w:rPr>
        <w:t>交的其他资料参加开标并签到。</w:t>
      </w:r>
    </w:p>
    <w:p w14:paraId="1F43095C">
      <w:pPr>
        <w:spacing w:before="1" w:line="228" w:lineRule="auto"/>
        <w:ind w:left="365"/>
        <w:rPr>
          <w:rFonts w:ascii="宋体" w:hAnsi="宋体" w:eastAsia="宋体" w:cs="宋体"/>
          <w:color w:val="auto"/>
          <w:spacing w:val="8"/>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w:t>
      </w:r>
      <w:r>
        <w:rPr>
          <w:rFonts w:ascii="宋体" w:hAnsi="宋体" w:eastAsia="宋体" w:cs="宋体"/>
          <w:color w:val="auto"/>
          <w:spacing w:val="8"/>
          <w:sz w:val="20"/>
          <w:szCs w:val="20"/>
        </w:rPr>
        <w:t>2 开标前，采购代理机构将会同监督人员或公证人员进行验标 (检查网上招标系统正</w:t>
      </w:r>
    </w:p>
    <w:p w14:paraId="791146EB">
      <w:pPr>
        <w:spacing w:before="1" w:line="228" w:lineRule="auto"/>
        <w:rPr>
          <w:rFonts w:ascii="宋体" w:hAnsi="宋体" w:eastAsia="宋体" w:cs="宋体"/>
          <w:color w:val="auto"/>
          <w:sz w:val="20"/>
          <w:szCs w:val="20"/>
        </w:rPr>
      </w:pPr>
      <w:r>
        <w:rPr>
          <w:rFonts w:ascii="宋体" w:hAnsi="宋体" w:eastAsia="宋体" w:cs="宋体"/>
          <w:color w:val="auto"/>
          <w:spacing w:val="8"/>
          <w:sz w:val="20"/>
          <w:szCs w:val="20"/>
        </w:rPr>
        <w:t>常</w:t>
      </w:r>
      <w:r>
        <w:rPr>
          <w:rFonts w:ascii="宋体" w:hAnsi="宋体" w:eastAsia="宋体" w:cs="宋体"/>
          <w:color w:val="auto"/>
          <w:spacing w:val="20"/>
          <w:sz w:val="20"/>
          <w:szCs w:val="20"/>
        </w:rPr>
        <w:t>与</w:t>
      </w:r>
      <w:r>
        <w:rPr>
          <w:rFonts w:ascii="宋体" w:hAnsi="宋体" w:eastAsia="宋体" w:cs="宋体"/>
          <w:color w:val="auto"/>
          <w:spacing w:val="18"/>
          <w:sz w:val="20"/>
          <w:szCs w:val="20"/>
        </w:rPr>
        <w:t>否，检查未加密的电子投标文件，检查投标人保证金交纳情况) ，确认无误后开标。开标</w:t>
      </w:r>
      <w:r>
        <w:rPr>
          <w:rFonts w:ascii="宋体" w:hAnsi="宋体" w:eastAsia="宋体" w:cs="宋体"/>
          <w:color w:val="auto"/>
          <w:sz w:val="20"/>
          <w:szCs w:val="20"/>
        </w:rPr>
        <w:t xml:space="preserve"> </w:t>
      </w:r>
      <w:r>
        <w:rPr>
          <w:rFonts w:ascii="宋体" w:hAnsi="宋体" w:eastAsia="宋体" w:cs="宋体"/>
          <w:color w:val="auto"/>
          <w:spacing w:val="22"/>
          <w:sz w:val="20"/>
          <w:szCs w:val="20"/>
        </w:rPr>
        <w:t>时</w:t>
      </w:r>
      <w:r>
        <w:rPr>
          <w:rFonts w:ascii="宋体" w:hAnsi="宋体" w:eastAsia="宋体" w:cs="宋体"/>
          <w:color w:val="auto"/>
          <w:spacing w:val="13"/>
          <w:sz w:val="20"/>
          <w:szCs w:val="20"/>
        </w:rPr>
        <w:t>，各投标人应对本单位的加密的电子投标文件现场解密，采购代理机构工作人员在监督人员</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1"/>
          <w:sz w:val="20"/>
          <w:szCs w:val="20"/>
        </w:rPr>
        <w:t>公</w:t>
      </w:r>
      <w:r>
        <w:rPr>
          <w:rFonts w:ascii="宋体" w:hAnsi="宋体" w:eastAsia="宋体" w:cs="宋体"/>
          <w:color w:val="auto"/>
          <w:spacing w:val="8"/>
          <w:sz w:val="20"/>
          <w:szCs w:val="20"/>
        </w:rPr>
        <w:t>证人员监督下解密所有投标文件。</w:t>
      </w:r>
      <w:r>
        <w:rPr>
          <w:rFonts w:ascii="宋体" w:hAnsi="宋体" w:eastAsia="宋体" w:cs="宋体"/>
          <w:color w:val="auto"/>
          <w:spacing w:val="28"/>
          <w:sz w:val="20"/>
          <w:szCs w:val="20"/>
        </w:rPr>
        <w:t>因</w:t>
      </w:r>
      <w:r>
        <w:rPr>
          <w:rFonts w:ascii="宋体" w:hAnsi="宋体" w:eastAsia="宋体" w:cs="宋体"/>
          <w:color w:val="auto"/>
          <w:spacing w:val="24"/>
          <w:sz w:val="20"/>
          <w:szCs w:val="20"/>
        </w:rPr>
        <w:t>网</w:t>
      </w:r>
      <w:r>
        <w:rPr>
          <w:rFonts w:ascii="宋体" w:hAnsi="宋体" w:eastAsia="宋体" w:cs="宋体"/>
          <w:color w:val="auto"/>
          <w:spacing w:val="14"/>
          <w:sz w:val="20"/>
          <w:szCs w:val="20"/>
        </w:rPr>
        <w:t>上招标系统故障导致所有投标人均解密失败时，投标人使用未加密的电子投标文件进</w:t>
      </w:r>
      <w:r>
        <w:rPr>
          <w:rFonts w:ascii="宋体" w:hAnsi="宋体" w:eastAsia="宋体" w:cs="宋体"/>
          <w:color w:val="auto"/>
          <w:sz w:val="20"/>
          <w:szCs w:val="20"/>
        </w:rPr>
        <w:t xml:space="preserve"> </w:t>
      </w:r>
      <w:r>
        <w:rPr>
          <w:rFonts w:ascii="宋体" w:hAnsi="宋体" w:eastAsia="宋体" w:cs="宋体"/>
          <w:color w:val="auto"/>
          <w:spacing w:val="6"/>
          <w:sz w:val="20"/>
          <w:szCs w:val="20"/>
        </w:rPr>
        <w:t>行</w:t>
      </w:r>
      <w:r>
        <w:rPr>
          <w:rFonts w:ascii="宋体" w:hAnsi="宋体" w:eastAsia="宋体" w:cs="宋体"/>
          <w:color w:val="auto"/>
          <w:spacing w:val="5"/>
          <w:sz w:val="20"/>
          <w:szCs w:val="20"/>
        </w:rPr>
        <w:t>开评标。</w:t>
      </w:r>
    </w:p>
    <w:p w14:paraId="0B21C790">
      <w:pPr>
        <w:spacing w:line="369" w:lineRule="auto"/>
        <w:ind w:right="2" w:firstLine="365"/>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7"/>
          <w:sz w:val="20"/>
          <w:szCs w:val="20"/>
        </w:rPr>
        <w:t>2</w:t>
      </w:r>
      <w:r>
        <w:rPr>
          <w:rFonts w:ascii="宋体" w:hAnsi="宋体" w:eastAsia="宋体" w:cs="宋体"/>
          <w:color w:val="auto"/>
          <w:spacing w:val="6"/>
          <w:sz w:val="20"/>
          <w:szCs w:val="20"/>
        </w:rPr>
        <w:t>.3 开标时，采购代理机构将通过网上开标系统公布投标人名称、投标价格， 以及采购代</w:t>
      </w:r>
      <w:r>
        <w:rPr>
          <w:rFonts w:ascii="宋体" w:hAnsi="宋体" w:eastAsia="宋体" w:cs="宋体"/>
          <w:color w:val="auto"/>
          <w:sz w:val="20"/>
          <w:szCs w:val="20"/>
        </w:rPr>
        <w:t xml:space="preserve"> </w:t>
      </w:r>
      <w:r>
        <w:rPr>
          <w:rFonts w:ascii="宋体" w:hAnsi="宋体" w:eastAsia="宋体" w:cs="宋体"/>
          <w:color w:val="auto"/>
          <w:spacing w:val="26"/>
          <w:sz w:val="20"/>
          <w:szCs w:val="20"/>
        </w:rPr>
        <w:t>理</w:t>
      </w:r>
      <w:r>
        <w:rPr>
          <w:rFonts w:ascii="宋体" w:hAnsi="宋体" w:eastAsia="宋体" w:cs="宋体"/>
          <w:color w:val="auto"/>
          <w:spacing w:val="13"/>
          <w:sz w:val="20"/>
          <w:szCs w:val="20"/>
        </w:rPr>
        <w:t>机构认为合适的其它详细内容。投标人若有报价和优惠未被唱出，应在开标时及时声明或提请</w:t>
      </w:r>
      <w:r>
        <w:rPr>
          <w:rFonts w:ascii="宋体" w:hAnsi="宋体" w:eastAsia="宋体" w:cs="宋体"/>
          <w:color w:val="auto"/>
          <w:spacing w:val="9"/>
          <w:sz w:val="20"/>
          <w:szCs w:val="20"/>
        </w:rPr>
        <w:t>注意，否则采购代理机构对此不承担任何责任。</w:t>
      </w:r>
    </w:p>
    <w:p w14:paraId="3FD6AA80">
      <w:pPr>
        <w:spacing w:before="2" w:line="369" w:lineRule="auto"/>
        <w:ind w:left="2" w:right="5" w:firstLine="363"/>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4</w:t>
      </w:r>
      <w:r>
        <w:rPr>
          <w:rFonts w:ascii="宋体" w:hAnsi="宋体" w:eastAsia="宋体" w:cs="宋体"/>
          <w:color w:val="auto"/>
          <w:spacing w:val="8"/>
          <w:sz w:val="20"/>
          <w:szCs w:val="20"/>
        </w:rPr>
        <w:t xml:space="preserve"> 在评审结束前，未得到采购代理机构允许，投标人法定代表人或授权代理人不得离开开</w:t>
      </w:r>
      <w:r>
        <w:rPr>
          <w:rFonts w:ascii="宋体" w:hAnsi="宋体" w:eastAsia="宋体" w:cs="宋体"/>
          <w:color w:val="auto"/>
          <w:spacing w:val="5"/>
          <w:sz w:val="20"/>
          <w:szCs w:val="20"/>
        </w:rPr>
        <w:t>标现场。</w:t>
      </w:r>
    </w:p>
    <w:p w14:paraId="672B1671">
      <w:pPr>
        <w:spacing w:before="1" w:line="227" w:lineRule="auto"/>
        <w:ind w:left="356"/>
        <w:rPr>
          <w:rFonts w:ascii="宋体" w:hAnsi="宋体" w:eastAsia="宋体" w:cs="宋体"/>
          <w:color w:val="auto"/>
          <w:sz w:val="20"/>
          <w:szCs w:val="20"/>
        </w:rPr>
      </w:pPr>
      <w:r>
        <w:rPr>
          <w:rFonts w:ascii="宋体" w:hAnsi="宋体" w:eastAsia="宋体" w:cs="宋体"/>
          <w:color w:val="auto"/>
          <w:sz w:val="20"/>
          <w:szCs w:val="20"/>
        </w:rPr>
        <w:t>B</w:t>
      </w:r>
      <w:r>
        <w:rPr>
          <w:rFonts w:ascii="宋体" w:hAnsi="宋体" w:eastAsia="宋体" w:cs="宋体"/>
          <w:color w:val="auto"/>
          <w:spacing w:val="14"/>
          <w:sz w:val="20"/>
          <w:szCs w:val="20"/>
        </w:rPr>
        <w:t>．</w:t>
      </w:r>
      <w:r>
        <w:rPr>
          <w:rFonts w:ascii="宋体" w:hAnsi="宋体" w:eastAsia="宋体" w:cs="宋体"/>
          <w:color w:val="auto"/>
          <w:spacing w:val="9"/>
          <w:sz w:val="20"/>
          <w:szCs w:val="20"/>
        </w:rPr>
        <w:t>采用不见面开标方式 (是否采用详见投标人须知前附表)</w:t>
      </w:r>
    </w:p>
    <w:p w14:paraId="2F944BA8">
      <w:pPr>
        <w:spacing w:before="152" w:line="369" w:lineRule="auto"/>
        <w:ind w:left="6" w:firstLine="355"/>
        <w:rPr>
          <w:rFonts w:ascii="宋体" w:hAnsi="宋体" w:eastAsia="宋体" w:cs="宋体"/>
          <w:color w:val="auto"/>
          <w:sz w:val="20"/>
          <w:szCs w:val="20"/>
        </w:rPr>
      </w:pPr>
      <w:r>
        <w:rPr>
          <w:rFonts w:ascii="宋体" w:hAnsi="宋体" w:eastAsia="宋体" w:cs="宋体"/>
          <w:color w:val="auto"/>
          <w:spacing w:val="26"/>
          <w:sz w:val="20"/>
          <w:szCs w:val="20"/>
        </w:rPr>
        <w:t>招</w:t>
      </w:r>
      <w:r>
        <w:rPr>
          <w:rFonts w:ascii="宋体" w:hAnsi="宋体" w:eastAsia="宋体" w:cs="宋体"/>
          <w:color w:val="auto"/>
          <w:spacing w:val="14"/>
          <w:sz w:val="20"/>
          <w:szCs w:val="20"/>
        </w:rPr>
        <w:t>标人在规定的投标截止时间 (开标时间) 和投标人须知前附表规定的地点开标。投标人</w:t>
      </w:r>
      <w:r>
        <w:rPr>
          <w:rFonts w:ascii="宋体" w:hAnsi="宋体" w:eastAsia="宋体" w:cs="宋体"/>
          <w:color w:val="auto"/>
          <w:sz w:val="20"/>
          <w:szCs w:val="20"/>
        </w:rPr>
        <w:t xml:space="preserve"> </w:t>
      </w:r>
      <w:r>
        <w:rPr>
          <w:rFonts w:ascii="宋体" w:hAnsi="宋体" w:eastAsia="宋体" w:cs="宋体"/>
          <w:color w:val="auto"/>
          <w:spacing w:val="36"/>
          <w:sz w:val="20"/>
          <w:szCs w:val="20"/>
        </w:rPr>
        <w:t>的</w:t>
      </w:r>
      <w:r>
        <w:rPr>
          <w:rFonts w:ascii="宋体" w:hAnsi="宋体" w:eastAsia="宋体" w:cs="宋体"/>
          <w:color w:val="auto"/>
          <w:spacing w:val="19"/>
          <w:sz w:val="20"/>
          <w:szCs w:val="20"/>
        </w:rPr>
        <w:t>法</w:t>
      </w:r>
      <w:r>
        <w:rPr>
          <w:rFonts w:ascii="宋体" w:hAnsi="宋体" w:eastAsia="宋体" w:cs="宋体"/>
          <w:color w:val="auto"/>
          <w:spacing w:val="18"/>
          <w:sz w:val="20"/>
          <w:szCs w:val="20"/>
        </w:rPr>
        <w:t>定代表人或其委托代理人无需到达开标现场，仅需在任意地点通过政采云不见面开标系</w:t>
      </w:r>
      <w:r>
        <w:rPr>
          <w:rFonts w:ascii="宋体" w:hAnsi="宋体" w:eastAsia="宋体" w:cs="宋体"/>
          <w:color w:val="auto"/>
          <w:sz w:val="20"/>
          <w:szCs w:val="20"/>
        </w:rPr>
        <w:t xml:space="preserve"> </w:t>
      </w:r>
      <w:r>
        <w:rPr>
          <w:rFonts w:ascii="宋体" w:hAnsi="宋体" w:eastAsia="宋体" w:cs="宋体"/>
          <w:color w:val="auto"/>
          <w:spacing w:val="18"/>
          <w:sz w:val="20"/>
          <w:szCs w:val="20"/>
        </w:rPr>
        <w:t>统</w:t>
      </w:r>
      <w:r>
        <w:rPr>
          <w:rFonts w:ascii="宋体" w:hAnsi="宋体" w:eastAsia="宋体" w:cs="宋体"/>
          <w:color w:val="auto"/>
          <w:spacing w:val="11"/>
          <w:sz w:val="20"/>
          <w:szCs w:val="20"/>
        </w:rPr>
        <w:t>，</w:t>
      </w:r>
      <w:r>
        <w:rPr>
          <w:rFonts w:ascii="宋体" w:hAnsi="宋体" w:eastAsia="宋体" w:cs="宋体"/>
          <w:color w:val="auto"/>
          <w:spacing w:val="9"/>
          <w:sz w:val="20"/>
          <w:szCs w:val="20"/>
        </w:rPr>
        <w:t>使用数字证书密钥完成远程解密、提疑澄清、开标唱标、结果公布等交互环节。</w:t>
      </w:r>
    </w:p>
    <w:p w14:paraId="52EE7A35">
      <w:pPr>
        <w:spacing w:before="3" w:line="373" w:lineRule="auto"/>
        <w:ind w:firstLine="361"/>
        <w:rPr>
          <w:rFonts w:ascii="宋体" w:hAnsi="宋体" w:eastAsia="宋体" w:cs="宋体"/>
          <w:color w:val="auto"/>
          <w:sz w:val="20"/>
          <w:szCs w:val="20"/>
        </w:rPr>
      </w:pPr>
      <w:r>
        <w:rPr>
          <w:rFonts w:ascii="宋体" w:hAnsi="宋体" w:eastAsia="宋体" w:cs="宋体"/>
          <w:color w:val="auto"/>
          <w:spacing w:val="34"/>
          <w:sz w:val="20"/>
          <w:szCs w:val="20"/>
        </w:rPr>
        <w:t>法</w:t>
      </w:r>
      <w:r>
        <w:rPr>
          <w:rFonts w:ascii="宋体" w:hAnsi="宋体" w:eastAsia="宋体" w:cs="宋体"/>
          <w:color w:val="auto"/>
          <w:spacing w:val="23"/>
          <w:sz w:val="20"/>
          <w:szCs w:val="20"/>
        </w:rPr>
        <w:t>定</w:t>
      </w:r>
      <w:r>
        <w:rPr>
          <w:rFonts w:ascii="宋体" w:hAnsi="宋体" w:eastAsia="宋体" w:cs="宋体"/>
          <w:color w:val="auto"/>
          <w:spacing w:val="17"/>
          <w:sz w:val="20"/>
          <w:szCs w:val="20"/>
        </w:rPr>
        <w:t>代表人或法定代表人授权委托人参与远程交互，中途不得更换，在废标、澄清、提</w:t>
      </w:r>
      <w:r>
        <w:rPr>
          <w:rFonts w:ascii="宋体" w:hAnsi="宋体" w:eastAsia="宋体" w:cs="宋体"/>
          <w:color w:val="auto"/>
          <w:sz w:val="20"/>
          <w:szCs w:val="20"/>
        </w:rPr>
        <w:t xml:space="preserve"> </w:t>
      </w:r>
      <w:r>
        <w:rPr>
          <w:rFonts w:ascii="宋体" w:hAnsi="宋体" w:eastAsia="宋体" w:cs="宋体"/>
          <w:color w:val="auto"/>
          <w:spacing w:val="25"/>
          <w:sz w:val="20"/>
          <w:szCs w:val="20"/>
        </w:rPr>
        <w:t>疑</w:t>
      </w:r>
      <w:r>
        <w:rPr>
          <w:rFonts w:ascii="宋体" w:hAnsi="宋体" w:eastAsia="宋体" w:cs="宋体"/>
          <w:color w:val="auto"/>
          <w:spacing w:val="13"/>
          <w:sz w:val="20"/>
          <w:szCs w:val="20"/>
        </w:rPr>
        <w:t>、传送文件等特殊情况下需要交互时，投标人一端参与交互的人员将均被视为是投标人的授</w:t>
      </w:r>
      <w:r>
        <w:rPr>
          <w:rFonts w:ascii="宋体" w:hAnsi="宋体" w:eastAsia="宋体" w:cs="宋体"/>
          <w:color w:val="auto"/>
          <w:spacing w:val="25"/>
          <w:sz w:val="20"/>
          <w:szCs w:val="20"/>
        </w:rPr>
        <w:t>权</w:t>
      </w:r>
      <w:r>
        <w:rPr>
          <w:rFonts w:ascii="宋体" w:hAnsi="宋体" w:eastAsia="宋体" w:cs="宋体"/>
          <w:color w:val="auto"/>
          <w:spacing w:val="13"/>
          <w:sz w:val="20"/>
          <w:szCs w:val="20"/>
        </w:rPr>
        <w:t>委托人或法人代表，投标人不得以不承认交互人员的资格或身份等为借口推脱，投标人自行</w:t>
      </w:r>
      <w:r>
        <w:rPr>
          <w:rFonts w:ascii="宋体" w:hAnsi="宋体" w:eastAsia="宋体" w:cs="宋体"/>
          <w:color w:val="auto"/>
          <w:spacing w:val="9"/>
          <w:sz w:val="20"/>
          <w:szCs w:val="20"/>
        </w:rPr>
        <w:t>承担随意更换人员所导致的一切后果</w:t>
      </w:r>
      <w:r>
        <w:rPr>
          <w:rFonts w:ascii="宋体" w:hAnsi="宋体" w:eastAsia="宋体" w:cs="宋体"/>
          <w:color w:val="auto"/>
          <w:spacing w:val="6"/>
          <w:sz w:val="20"/>
          <w:szCs w:val="20"/>
        </w:rPr>
        <w:t>。</w:t>
      </w:r>
    </w:p>
    <w:p w14:paraId="77BA97DA">
      <w:pPr>
        <w:spacing w:before="83" w:line="229" w:lineRule="auto"/>
        <w:ind w:left="3"/>
        <w:outlineLvl w:val="1"/>
        <w:rPr>
          <w:rFonts w:ascii="宋体" w:hAnsi="宋体" w:eastAsia="宋体" w:cs="宋体"/>
          <w:color w:val="auto"/>
          <w:sz w:val="20"/>
          <w:szCs w:val="20"/>
        </w:rPr>
      </w:pPr>
      <w:r>
        <w:rPr>
          <w:rFonts w:ascii="宋体" w:hAnsi="宋体" w:eastAsia="宋体" w:cs="宋体"/>
          <w:color w:val="auto"/>
          <w:spacing w:val="6"/>
          <w:sz w:val="20"/>
          <w:szCs w:val="20"/>
        </w:rPr>
        <w:t>6</w:t>
      </w:r>
      <w:r>
        <w:rPr>
          <w:rFonts w:ascii="宋体" w:hAnsi="宋体" w:eastAsia="宋体" w:cs="宋体"/>
          <w:color w:val="auto"/>
          <w:spacing w:val="4"/>
          <w:sz w:val="20"/>
          <w:szCs w:val="20"/>
        </w:rPr>
        <w:t>. 评标</w:t>
      </w:r>
    </w:p>
    <w:p w14:paraId="03B7925C">
      <w:pPr>
        <w:spacing w:before="150"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6.1 磋商小</w:t>
      </w:r>
      <w:r>
        <w:rPr>
          <w:rFonts w:ascii="宋体" w:hAnsi="宋体" w:eastAsia="宋体" w:cs="宋体"/>
          <w:color w:val="auto"/>
          <w:spacing w:val="5"/>
          <w:sz w:val="20"/>
          <w:szCs w:val="20"/>
        </w:rPr>
        <w:t>组</w:t>
      </w:r>
    </w:p>
    <w:p w14:paraId="261EDDC5">
      <w:pPr>
        <w:spacing w:before="153" w:line="369" w:lineRule="auto"/>
        <w:ind w:left="3" w:right="2" w:firstLine="420"/>
        <w:rPr>
          <w:rFonts w:ascii="宋体" w:hAnsi="宋体" w:eastAsia="宋体" w:cs="宋体"/>
          <w:color w:val="auto"/>
          <w:sz w:val="20"/>
          <w:szCs w:val="20"/>
        </w:rPr>
      </w:pPr>
      <w:r>
        <w:rPr>
          <w:rFonts w:ascii="宋体" w:hAnsi="宋体" w:eastAsia="宋体" w:cs="宋体"/>
          <w:color w:val="auto"/>
          <w:spacing w:val="24"/>
          <w:sz w:val="20"/>
          <w:szCs w:val="20"/>
        </w:rPr>
        <w:t>6</w:t>
      </w:r>
      <w:r>
        <w:rPr>
          <w:rFonts w:ascii="宋体" w:hAnsi="宋体" w:eastAsia="宋体" w:cs="宋体"/>
          <w:color w:val="auto"/>
          <w:spacing w:val="19"/>
          <w:sz w:val="20"/>
          <w:szCs w:val="20"/>
        </w:rPr>
        <w:t>.</w:t>
      </w:r>
      <w:r>
        <w:rPr>
          <w:rFonts w:ascii="宋体" w:hAnsi="宋体" w:eastAsia="宋体" w:cs="宋体"/>
          <w:color w:val="auto"/>
          <w:spacing w:val="12"/>
          <w:sz w:val="20"/>
          <w:szCs w:val="20"/>
        </w:rPr>
        <w:t>1.1 评标由招标人依法组建的磋商小组负责。磋商小组由招标人或其委托的招标代理机</w:t>
      </w:r>
      <w:r>
        <w:rPr>
          <w:rFonts w:ascii="宋体" w:hAnsi="宋体" w:eastAsia="宋体" w:cs="宋体"/>
          <w:color w:val="auto"/>
          <w:spacing w:val="30"/>
          <w:sz w:val="20"/>
          <w:szCs w:val="20"/>
        </w:rPr>
        <w:t>构</w:t>
      </w:r>
      <w:r>
        <w:rPr>
          <w:rFonts w:ascii="宋体" w:hAnsi="宋体" w:eastAsia="宋体" w:cs="宋体"/>
          <w:color w:val="auto"/>
          <w:spacing w:val="28"/>
          <w:sz w:val="20"/>
          <w:szCs w:val="20"/>
        </w:rPr>
        <w:t>熟</w:t>
      </w:r>
      <w:r>
        <w:rPr>
          <w:rFonts w:ascii="宋体" w:hAnsi="宋体" w:eastAsia="宋体" w:cs="宋体"/>
          <w:color w:val="auto"/>
          <w:spacing w:val="15"/>
          <w:sz w:val="20"/>
          <w:szCs w:val="20"/>
        </w:rPr>
        <w:t>悉相关业务的代表，以及有关技术、经济等方面的专家组成。磋商小组成员人数以及技</w:t>
      </w:r>
      <w:r>
        <w:rPr>
          <w:rFonts w:ascii="宋体" w:hAnsi="宋体" w:eastAsia="宋体" w:cs="宋体"/>
          <w:color w:val="auto"/>
          <w:spacing w:val="12"/>
          <w:sz w:val="20"/>
          <w:szCs w:val="20"/>
        </w:rPr>
        <w:t>术</w:t>
      </w:r>
      <w:r>
        <w:rPr>
          <w:rFonts w:ascii="宋体" w:hAnsi="宋体" w:eastAsia="宋体" w:cs="宋体"/>
          <w:color w:val="auto"/>
          <w:spacing w:val="9"/>
          <w:sz w:val="20"/>
          <w:szCs w:val="20"/>
        </w:rPr>
        <w:t>、经济等方面专家的确定方式见投标人须知前附表。</w:t>
      </w:r>
    </w:p>
    <w:p w14:paraId="09AE278D">
      <w:pPr>
        <w:spacing w:line="229" w:lineRule="auto"/>
        <w:ind w:left="423"/>
        <w:rPr>
          <w:rFonts w:ascii="宋体" w:hAnsi="宋体" w:eastAsia="宋体" w:cs="宋体"/>
          <w:color w:val="auto"/>
          <w:sz w:val="20"/>
          <w:szCs w:val="20"/>
        </w:rPr>
      </w:pPr>
      <w:r>
        <w:rPr>
          <w:rFonts w:ascii="宋体" w:hAnsi="宋体" w:eastAsia="宋体" w:cs="宋体"/>
          <w:color w:val="auto"/>
          <w:spacing w:val="8"/>
          <w:sz w:val="20"/>
          <w:szCs w:val="20"/>
        </w:rPr>
        <w:t>6.1.2 磋商小组成员有下列情形之一的，应当回避</w:t>
      </w:r>
      <w:r>
        <w:rPr>
          <w:rFonts w:ascii="宋体" w:hAnsi="宋体" w:eastAsia="宋体" w:cs="宋体"/>
          <w:color w:val="auto"/>
          <w:spacing w:val="7"/>
          <w:sz w:val="20"/>
          <w:szCs w:val="20"/>
        </w:rPr>
        <w:t>：</w:t>
      </w:r>
    </w:p>
    <w:p w14:paraId="384A08C4">
      <w:pPr>
        <w:spacing w:before="152" w:line="226"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1) 招标人或投标人的主要负责人的近亲属；</w:t>
      </w:r>
    </w:p>
    <w:p w14:paraId="13F620F2">
      <w:pPr>
        <w:spacing w:before="155" w:line="228"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项目主管部门或者行政监督部门的人员；</w:t>
      </w:r>
    </w:p>
    <w:p w14:paraId="606449E9">
      <w:pPr>
        <w:spacing w:before="154" w:line="229" w:lineRule="auto"/>
        <w:ind w:left="729"/>
        <w:rPr>
          <w:rFonts w:ascii="宋体" w:hAnsi="宋体" w:eastAsia="宋体" w:cs="宋体"/>
          <w:color w:val="auto"/>
          <w:sz w:val="20"/>
          <w:szCs w:val="20"/>
        </w:rPr>
      </w:pPr>
      <w:r>
        <w:rPr>
          <w:rFonts w:ascii="宋体" w:hAnsi="宋体" w:eastAsia="宋体" w:cs="宋体"/>
          <w:color w:val="auto"/>
          <w:spacing w:val="12"/>
          <w:sz w:val="20"/>
          <w:szCs w:val="20"/>
        </w:rPr>
        <w:t>(3) 与投标人有经济利益关系，可能影响对投标公正评审的</w:t>
      </w:r>
      <w:r>
        <w:rPr>
          <w:rFonts w:ascii="宋体" w:hAnsi="宋体" w:eastAsia="宋体" w:cs="宋体"/>
          <w:color w:val="auto"/>
          <w:spacing w:val="8"/>
          <w:sz w:val="20"/>
          <w:szCs w:val="20"/>
        </w:rPr>
        <w:t>；</w:t>
      </w:r>
    </w:p>
    <w:p w14:paraId="3873982C">
      <w:pPr>
        <w:spacing w:before="152" w:line="229" w:lineRule="auto"/>
        <w:ind w:left="729"/>
        <w:rPr>
          <w:rFonts w:ascii="宋体" w:hAnsi="宋体" w:eastAsia="宋体" w:cs="宋体"/>
          <w:color w:val="auto"/>
          <w:sz w:val="20"/>
          <w:szCs w:val="20"/>
        </w:rPr>
      </w:pPr>
      <w:r>
        <w:rPr>
          <w:rFonts w:ascii="宋体" w:hAnsi="宋体" w:eastAsia="宋体" w:cs="宋体"/>
          <w:color w:val="auto"/>
          <w:spacing w:val="16"/>
          <w:sz w:val="20"/>
          <w:szCs w:val="20"/>
        </w:rPr>
        <w:t>(4) 曾因在招标、评标以及其他与招标投标有关活动中从事违法行为而受过行政处</w:t>
      </w:r>
      <w:r>
        <w:rPr>
          <w:rFonts w:ascii="宋体" w:hAnsi="宋体" w:eastAsia="宋体" w:cs="宋体"/>
          <w:color w:val="auto"/>
          <w:spacing w:val="8"/>
          <w:sz w:val="20"/>
          <w:szCs w:val="20"/>
        </w:rPr>
        <w:t>罚</w:t>
      </w:r>
      <w:r>
        <w:rPr>
          <w:rFonts w:ascii="宋体" w:hAnsi="宋体" w:eastAsia="宋体" w:cs="宋体"/>
          <w:color w:val="auto"/>
          <w:spacing w:val="11"/>
          <w:sz w:val="20"/>
          <w:szCs w:val="20"/>
        </w:rPr>
        <w:t>或</w:t>
      </w:r>
      <w:r>
        <w:rPr>
          <w:rFonts w:ascii="宋体" w:hAnsi="宋体" w:eastAsia="宋体" w:cs="宋体"/>
          <w:color w:val="auto"/>
          <w:spacing w:val="6"/>
          <w:sz w:val="20"/>
          <w:szCs w:val="20"/>
        </w:rPr>
        <w:t>刑事处罚的。</w:t>
      </w:r>
    </w:p>
    <w:p w14:paraId="3C704BD9">
      <w:pPr>
        <w:spacing w:before="152"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6.2 评标原</w:t>
      </w:r>
      <w:r>
        <w:rPr>
          <w:rFonts w:ascii="宋体" w:hAnsi="宋体" w:eastAsia="宋体" w:cs="宋体"/>
          <w:color w:val="auto"/>
          <w:spacing w:val="5"/>
          <w:sz w:val="20"/>
          <w:szCs w:val="20"/>
        </w:rPr>
        <w:t>则</w:t>
      </w:r>
    </w:p>
    <w:p w14:paraId="0132CB20">
      <w:pPr>
        <w:spacing w:before="153" w:line="228" w:lineRule="auto"/>
        <w:ind w:left="420"/>
        <w:rPr>
          <w:rFonts w:ascii="宋体" w:hAnsi="宋体" w:eastAsia="宋体" w:cs="宋体"/>
          <w:color w:val="auto"/>
          <w:sz w:val="20"/>
          <w:szCs w:val="20"/>
        </w:rPr>
      </w:pPr>
      <w:r>
        <w:rPr>
          <w:rFonts w:ascii="宋体" w:hAnsi="宋体" w:eastAsia="宋体" w:cs="宋体"/>
          <w:color w:val="auto"/>
          <w:spacing w:val="10"/>
          <w:sz w:val="20"/>
          <w:szCs w:val="20"/>
        </w:rPr>
        <w:t>评</w:t>
      </w:r>
      <w:r>
        <w:rPr>
          <w:rFonts w:ascii="宋体" w:hAnsi="宋体" w:eastAsia="宋体" w:cs="宋体"/>
          <w:color w:val="auto"/>
          <w:spacing w:val="9"/>
          <w:sz w:val="20"/>
          <w:szCs w:val="20"/>
        </w:rPr>
        <w:t>标活动遵循公平、公正、科学和择优的原则。</w:t>
      </w:r>
    </w:p>
    <w:p w14:paraId="1F921FB2">
      <w:pPr>
        <w:spacing w:before="151" w:line="229" w:lineRule="auto"/>
        <w:ind w:left="3"/>
        <w:outlineLvl w:val="2"/>
        <w:rPr>
          <w:rFonts w:ascii="宋体" w:hAnsi="宋体" w:eastAsia="宋体" w:cs="宋体"/>
          <w:color w:val="auto"/>
          <w:sz w:val="20"/>
          <w:szCs w:val="20"/>
        </w:rPr>
      </w:pPr>
      <w:r>
        <w:rPr>
          <w:rFonts w:ascii="宋体" w:hAnsi="宋体" w:eastAsia="宋体" w:cs="宋体"/>
          <w:color w:val="auto"/>
          <w:spacing w:val="7"/>
          <w:sz w:val="20"/>
          <w:szCs w:val="20"/>
        </w:rPr>
        <w:t>6</w:t>
      </w:r>
      <w:r>
        <w:rPr>
          <w:rFonts w:ascii="宋体" w:hAnsi="宋体" w:eastAsia="宋体" w:cs="宋体"/>
          <w:color w:val="auto"/>
          <w:spacing w:val="4"/>
          <w:sz w:val="20"/>
          <w:szCs w:val="20"/>
        </w:rPr>
        <w:t>.3 评标</w:t>
      </w:r>
    </w:p>
    <w:p w14:paraId="55692414">
      <w:pPr>
        <w:spacing w:before="182" w:line="230" w:lineRule="auto"/>
        <w:ind w:left="5"/>
        <w:outlineLvl w:val="1"/>
        <w:rPr>
          <w:rFonts w:ascii="宋体" w:hAnsi="宋体" w:eastAsia="宋体" w:cs="宋体"/>
          <w:color w:val="auto"/>
          <w:spacing w:val="9"/>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小组按照第三章“评标办法”规定的方法、评审因素、标准和程序对磋商响应文件进</w:t>
      </w:r>
      <w:r>
        <w:rPr>
          <w:rFonts w:ascii="宋体" w:hAnsi="宋体" w:eastAsia="宋体" w:cs="宋体"/>
          <w:color w:val="auto"/>
          <w:sz w:val="20"/>
          <w:szCs w:val="20"/>
        </w:rPr>
        <w:t xml:space="preserve"> </w:t>
      </w:r>
      <w:r>
        <w:rPr>
          <w:rFonts w:ascii="宋体" w:hAnsi="宋体" w:eastAsia="宋体" w:cs="宋体"/>
          <w:color w:val="auto"/>
          <w:spacing w:val="18"/>
          <w:sz w:val="20"/>
          <w:szCs w:val="20"/>
        </w:rPr>
        <w:t>行</w:t>
      </w:r>
      <w:r>
        <w:rPr>
          <w:rFonts w:ascii="宋体" w:hAnsi="宋体" w:eastAsia="宋体" w:cs="宋体"/>
          <w:color w:val="auto"/>
          <w:spacing w:val="13"/>
          <w:sz w:val="20"/>
          <w:szCs w:val="20"/>
        </w:rPr>
        <w:t>评</w:t>
      </w:r>
      <w:r>
        <w:rPr>
          <w:rFonts w:ascii="宋体" w:hAnsi="宋体" w:eastAsia="宋体" w:cs="宋体"/>
          <w:color w:val="auto"/>
          <w:spacing w:val="9"/>
          <w:sz w:val="20"/>
          <w:szCs w:val="20"/>
        </w:rPr>
        <w:t>审。第三章“评标办法”没有规定的方法、评审因素和标准，不作为评标依据。</w:t>
      </w:r>
    </w:p>
    <w:p w14:paraId="37C7E4DC">
      <w:pPr>
        <w:spacing w:before="182" w:line="230" w:lineRule="auto"/>
        <w:ind w:left="5"/>
        <w:outlineLvl w:val="1"/>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 合同授予</w:t>
      </w:r>
    </w:p>
    <w:p w14:paraId="369131A4">
      <w:pPr>
        <w:spacing w:before="151"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.1 定标方式</w:t>
      </w:r>
    </w:p>
    <w:p w14:paraId="42D47C77">
      <w:pPr>
        <w:spacing w:before="151" w:line="370" w:lineRule="auto"/>
        <w:ind w:left="20" w:firstLine="40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1.1 除投标人须知前附表规定磋商小组直接确定中标人外，招标人依据磋商小组推荐的</w:t>
      </w:r>
      <w:r>
        <w:rPr>
          <w:rFonts w:ascii="宋体" w:hAnsi="宋体" w:eastAsia="宋体" w:cs="宋体"/>
          <w:color w:val="auto"/>
          <w:spacing w:val="9"/>
          <w:sz w:val="20"/>
          <w:szCs w:val="20"/>
        </w:rPr>
        <w:t>中标候选人确定中标人，磋商小组推荐中标候选人的人数见投标人须知前附表</w:t>
      </w:r>
      <w:r>
        <w:rPr>
          <w:rFonts w:ascii="宋体" w:hAnsi="宋体" w:eastAsia="宋体" w:cs="宋体"/>
          <w:color w:val="auto"/>
          <w:spacing w:val="3"/>
          <w:sz w:val="20"/>
          <w:szCs w:val="20"/>
        </w:rPr>
        <w:t>。</w:t>
      </w:r>
    </w:p>
    <w:p w14:paraId="08CCB949">
      <w:pPr>
        <w:spacing w:line="369" w:lineRule="auto"/>
        <w:ind w:left="1" w:right="1" w:firstLine="424"/>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1.2 招标人根据磋商小组的评标报告，应以排名第一的中标候选人为中标人。排名第一</w:t>
      </w:r>
      <w:r>
        <w:rPr>
          <w:rFonts w:ascii="宋体" w:hAnsi="宋体" w:eastAsia="宋体" w:cs="宋体"/>
          <w:color w:val="auto"/>
          <w:sz w:val="20"/>
          <w:szCs w:val="20"/>
        </w:rPr>
        <w:t xml:space="preserve"> </w:t>
      </w:r>
      <w:r>
        <w:rPr>
          <w:rFonts w:ascii="宋体" w:hAnsi="宋体" w:eastAsia="宋体" w:cs="宋体"/>
          <w:color w:val="auto"/>
          <w:spacing w:val="23"/>
          <w:sz w:val="20"/>
          <w:szCs w:val="20"/>
        </w:rPr>
        <w:t>的</w:t>
      </w:r>
      <w:r>
        <w:rPr>
          <w:rFonts w:ascii="宋体" w:hAnsi="宋体" w:eastAsia="宋体" w:cs="宋体"/>
          <w:color w:val="auto"/>
          <w:spacing w:val="13"/>
          <w:sz w:val="20"/>
          <w:szCs w:val="20"/>
        </w:rPr>
        <w:t>中标候选人放弃中标或因不可抗力提出不能履行合同，或者竞争性磋商文件规定应当提交履</w:t>
      </w:r>
      <w:r>
        <w:rPr>
          <w:rFonts w:ascii="宋体" w:hAnsi="宋体" w:eastAsia="宋体" w:cs="宋体"/>
          <w:color w:val="auto"/>
          <w:sz w:val="20"/>
          <w:szCs w:val="20"/>
        </w:rPr>
        <w:t xml:space="preserve"> </w:t>
      </w:r>
      <w:r>
        <w:rPr>
          <w:rFonts w:ascii="宋体" w:hAnsi="宋体" w:eastAsia="宋体" w:cs="宋体"/>
          <w:color w:val="auto"/>
          <w:spacing w:val="23"/>
          <w:sz w:val="20"/>
          <w:szCs w:val="20"/>
        </w:rPr>
        <w:t>约</w:t>
      </w:r>
      <w:r>
        <w:rPr>
          <w:rFonts w:ascii="宋体" w:hAnsi="宋体" w:eastAsia="宋体" w:cs="宋体"/>
          <w:color w:val="auto"/>
          <w:spacing w:val="13"/>
          <w:sz w:val="20"/>
          <w:szCs w:val="20"/>
        </w:rPr>
        <w:t>保证金而在规定的期限内未能提交的，招标人可以确定排名第二的中标候选人为中标人。排</w:t>
      </w:r>
      <w:r>
        <w:rPr>
          <w:rFonts w:ascii="宋体" w:hAnsi="宋体" w:eastAsia="宋体" w:cs="宋体"/>
          <w:color w:val="auto"/>
          <w:spacing w:val="23"/>
          <w:sz w:val="20"/>
          <w:szCs w:val="20"/>
        </w:rPr>
        <w:t>名</w:t>
      </w:r>
      <w:r>
        <w:rPr>
          <w:rFonts w:ascii="宋体" w:hAnsi="宋体" w:eastAsia="宋体" w:cs="宋体"/>
          <w:color w:val="auto"/>
          <w:spacing w:val="13"/>
          <w:sz w:val="20"/>
          <w:szCs w:val="20"/>
        </w:rPr>
        <w:t>第二的中标候选人因前款规定的同样原因不能签订合同的，招标人可以确定排名第三的中标</w:t>
      </w:r>
      <w:r>
        <w:rPr>
          <w:rFonts w:ascii="宋体" w:hAnsi="宋体" w:eastAsia="宋体" w:cs="宋体"/>
          <w:color w:val="auto"/>
          <w:spacing w:val="10"/>
          <w:sz w:val="20"/>
          <w:szCs w:val="20"/>
        </w:rPr>
        <w:t>候</w:t>
      </w:r>
      <w:r>
        <w:rPr>
          <w:rFonts w:ascii="宋体" w:hAnsi="宋体" w:eastAsia="宋体" w:cs="宋体"/>
          <w:color w:val="auto"/>
          <w:spacing w:val="7"/>
          <w:sz w:val="20"/>
          <w:szCs w:val="20"/>
        </w:rPr>
        <w:t>选人为中标人。</w:t>
      </w:r>
    </w:p>
    <w:p w14:paraId="36C41718">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.2 中标通知</w:t>
      </w:r>
    </w:p>
    <w:p w14:paraId="5CF6C085">
      <w:pPr>
        <w:spacing w:before="152" w:line="228" w:lineRule="auto"/>
        <w:ind w:left="425"/>
        <w:rPr>
          <w:rFonts w:ascii="宋体" w:hAnsi="宋体" w:eastAsia="宋体" w:cs="宋体"/>
          <w:color w:val="auto"/>
          <w:sz w:val="20"/>
          <w:szCs w:val="20"/>
        </w:rPr>
      </w:pPr>
      <w:r>
        <w:rPr>
          <w:rFonts w:ascii="宋体" w:hAnsi="宋体" w:eastAsia="宋体" w:cs="宋体"/>
          <w:color w:val="auto"/>
          <w:spacing w:val="17"/>
          <w:sz w:val="20"/>
          <w:szCs w:val="20"/>
        </w:rPr>
        <w:t>7</w:t>
      </w:r>
      <w:r>
        <w:rPr>
          <w:rFonts w:ascii="宋体" w:hAnsi="宋体" w:eastAsia="宋体" w:cs="宋体"/>
          <w:color w:val="auto"/>
          <w:spacing w:val="14"/>
          <w:sz w:val="20"/>
          <w:szCs w:val="20"/>
        </w:rPr>
        <w:t>.2.1 在本章第 3.3 款规定的投标有效期内，招标人以书面形式向中标人发出中标通知</w:t>
      </w:r>
      <w:r>
        <w:rPr>
          <w:rFonts w:ascii="宋体" w:hAnsi="宋体" w:eastAsia="宋体" w:cs="宋体"/>
          <w:color w:val="auto"/>
          <w:spacing w:val="16"/>
          <w:sz w:val="20"/>
          <w:szCs w:val="20"/>
        </w:rPr>
        <w:t>书</w:t>
      </w:r>
      <w:r>
        <w:rPr>
          <w:rFonts w:ascii="宋体" w:hAnsi="宋体" w:eastAsia="宋体" w:cs="宋体"/>
          <w:color w:val="auto"/>
          <w:spacing w:val="13"/>
          <w:sz w:val="20"/>
          <w:szCs w:val="20"/>
        </w:rPr>
        <w:t>，</w:t>
      </w:r>
      <w:r>
        <w:rPr>
          <w:rFonts w:ascii="宋体" w:hAnsi="宋体" w:eastAsia="宋体" w:cs="宋体"/>
          <w:color w:val="auto"/>
          <w:spacing w:val="8"/>
          <w:sz w:val="20"/>
          <w:szCs w:val="20"/>
        </w:rPr>
        <w:t>同时将中标结果通知未中标的投标人。</w:t>
      </w:r>
    </w:p>
    <w:p w14:paraId="4FA1A6DC">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.3 履约担保</w:t>
      </w:r>
    </w:p>
    <w:p w14:paraId="0C9BAA4D">
      <w:pPr>
        <w:spacing w:before="152" w:line="369" w:lineRule="auto"/>
        <w:ind w:left="2" w:right="3" w:firstLine="423"/>
        <w:rPr>
          <w:rFonts w:ascii="宋体" w:hAnsi="宋体" w:eastAsia="宋体" w:cs="宋体"/>
          <w:color w:val="auto"/>
          <w:sz w:val="20"/>
          <w:szCs w:val="20"/>
        </w:rPr>
      </w:pPr>
      <w:r>
        <w:rPr>
          <w:rFonts w:ascii="宋体" w:hAnsi="宋体" w:eastAsia="宋体" w:cs="宋体"/>
          <w:color w:val="auto"/>
          <w:spacing w:val="18"/>
          <w:sz w:val="20"/>
          <w:szCs w:val="20"/>
        </w:rPr>
        <w:t>7.3</w:t>
      </w:r>
      <w:r>
        <w:rPr>
          <w:rFonts w:ascii="宋体" w:hAnsi="宋体" w:eastAsia="宋体" w:cs="宋体"/>
          <w:color w:val="auto"/>
          <w:spacing w:val="12"/>
          <w:sz w:val="20"/>
          <w:szCs w:val="20"/>
        </w:rPr>
        <w:t>.</w:t>
      </w:r>
      <w:r>
        <w:rPr>
          <w:rFonts w:ascii="宋体" w:hAnsi="宋体" w:eastAsia="宋体" w:cs="宋体"/>
          <w:color w:val="auto"/>
          <w:spacing w:val="9"/>
          <w:sz w:val="20"/>
          <w:szCs w:val="20"/>
        </w:rPr>
        <w:t>1 在签订合同后五日内， 中标人应按投标人须知前附表规定的金额、担保形式向招标</w:t>
      </w:r>
      <w:r>
        <w:rPr>
          <w:rFonts w:ascii="宋体" w:hAnsi="宋体" w:eastAsia="宋体" w:cs="宋体"/>
          <w:color w:val="auto"/>
          <w:spacing w:val="11"/>
          <w:sz w:val="20"/>
          <w:szCs w:val="20"/>
        </w:rPr>
        <w:t>人</w:t>
      </w:r>
      <w:r>
        <w:rPr>
          <w:rFonts w:ascii="宋体" w:hAnsi="宋体" w:eastAsia="宋体" w:cs="宋体"/>
          <w:color w:val="auto"/>
          <w:spacing w:val="7"/>
          <w:sz w:val="20"/>
          <w:szCs w:val="20"/>
        </w:rPr>
        <w:t>提交履约保证金。</w:t>
      </w:r>
    </w:p>
    <w:p w14:paraId="12F24574">
      <w:pPr>
        <w:spacing w:before="1" w:line="369" w:lineRule="auto"/>
        <w:ind w:right="1" w:firstLine="425"/>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9"/>
          <w:sz w:val="20"/>
          <w:szCs w:val="20"/>
        </w:rPr>
        <w:t>.3.2 中标人不能按本章第 7.3.1 项要求提交履约保证金的，视为放弃中标，其投标保证</w:t>
      </w:r>
      <w:r>
        <w:rPr>
          <w:rFonts w:ascii="宋体" w:hAnsi="宋体" w:eastAsia="宋体" w:cs="宋体"/>
          <w:color w:val="auto"/>
          <w:spacing w:val="30"/>
          <w:sz w:val="20"/>
          <w:szCs w:val="20"/>
        </w:rPr>
        <w:t>金不</w:t>
      </w:r>
      <w:r>
        <w:rPr>
          <w:rFonts w:ascii="宋体" w:hAnsi="宋体" w:eastAsia="宋体" w:cs="宋体"/>
          <w:color w:val="auto"/>
          <w:spacing w:val="15"/>
          <w:sz w:val="20"/>
          <w:szCs w:val="20"/>
        </w:rPr>
        <w:t>予退还，给招标人造成的损失超过投标保证金数额的， 中标人还应当对超过部分予以赔</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784E5D4F">
      <w:pPr>
        <w:spacing w:before="1" w:line="230"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.4 签订合同</w:t>
      </w:r>
    </w:p>
    <w:p w14:paraId="5AA692B9">
      <w:pPr>
        <w:spacing w:before="150" w:line="369" w:lineRule="auto"/>
        <w:ind w:left="2" w:right="1" w:firstLine="423"/>
        <w:rPr>
          <w:rFonts w:ascii="宋体" w:hAnsi="宋体" w:eastAsia="宋体" w:cs="宋体"/>
          <w:color w:val="auto"/>
          <w:sz w:val="20"/>
          <w:szCs w:val="20"/>
        </w:rPr>
      </w:pPr>
      <w:r>
        <w:rPr>
          <w:rFonts w:ascii="宋体" w:hAnsi="宋体" w:eastAsia="宋体" w:cs="宋体"/>
          <w:color w:val="auto"/>
          <w:spacing w:val="11"/>
          <w:sz w:val="20"/>
          <w:szCs w:val="20"/>
        </w:rPr>
        <w:t>7</w:t>
      </w:r>
      <w:r>
        <w:rPr>
          <w:rFonts w:ascii="宋体" w:hAnsi="宋体" w:eastAsia="宋体" w:cs="宋体"/>
          <w:color w:val="auto"/>
          <w:spacing w:val="7"/>
          <w:sz w:val="20"/>
          <w:szCs w:val="20"/>
        </w:rPr>
        <w:t>.4.1 招标人和中标人应当自中标通知书发出之日起 30 天内，根据竞争性磋商文件和中标</w:t>
      </w:r>
      <w:r>
        <w:rPr>
          <w:rFonts w:ascii="宋体" w:hAnsi="宋体" w:eastAsia="宋体" w:cs="宋体"/>
          <w:color w:val="auto"/>
          <w:spacing w:val="22"/>
          <w:sz w:val="20"/>
          <w:szCs w:val="20"/>
        </w:rPr>
        <w:t>人</w:t>
      </w:r>
      <w:r>
        <w:rPr>
          <w:rFonts w:ascii="宋体" w:hAnsi="宋体" w:eastAsia="宋体" w:cs="宋体"/>
          <w:color w:val="auto"/>
          <w:spacing w:val="13"/>
          <w:sz w:val="20"/>
          <w:szCs w:val="20"/>
        </w:rPr>
        <w:t>的磋商响应文件订立书面合同。中标人无正当理由拒签合同的，招标人取消其中标资格，其</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标保证金不予退还；给招标人造成的损失超过投标保证金数额的，中标人还应当对超过部分</w:t>
      </w:r>
      <w:r>
        <w:rPr>
          <w:rFonts w:ascii="宋体" w:hAnsi="宋体" w:eastAsia="宋体" w:cs="宋体"/>
          <w:color w:val="auto"/>
          <w:spacing w:val="7"/>
          <w:sz w:val="20"/>
          <w:szCs w:val="20"/>
        </w:rPr>
        <w:t>予</w:t>
      </w:r>
      <w:r>
        <w:rPr>
          <w:rFonts w:ascii="宋体" w:hAnsi="宋体" w:eastAsia="宋体" w:cs="宋体"/>
          <w:color w:val="auto"/>
          <w:spacing w:val="5"/>
          <w:sz w:val="20"/>
          <w:szCs w:val="20"/>
        </w:rPr>
        <w:t>以赔偿。</w:t>
      </w:r>
    </w:p>
    <w:p w14:paraId="713C4AFE">
      <w:pPr>
        <w:spacing w:before="1" w:line="227" w:lineRule="auto"/>
        <w:ind w:left="42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4.2 发出中标通知书后，招标人无正当理由拒签合同的，招标人向中标人退还投标保证</w:t>
      </w:r>
      <w:r>
        <w:rPr>
          <w:rFonts w:ascii="宋体" w:hAnsi="宋体" w:eastAsia="宋体" w:cs="宋体"/>
          <w:color w:val="auto"/>
          <w:spacing w:val="9"/>
          <w:sz w:val="20"/>
          <w:szCs w:val="20"/>
        </w:rPr>
        <w:t>金；给中标人造成损失的，还应当赔偿损失</w:t>
      </w:r>
      <w:r>
        <w:rPr>
          <w:rFonts w:ascii="宋体" w:hAnsi="宋体" w:eastAsia="宋体" w:cs="宋体"/>
          <w:color w:val="auto"/>
          <w:spacing w:val="8"/>
          <w:sz w:val="20"/>
          <w:szCs w:val="20"/>
        </w:rPr>
        <w:t>。</w:t>
      </w:r>
    </w:p>
    <w:p w14:paraId="46172E57">
      <w:pPr>
        <w:spacing w:before="250" w:line="229" w:lineRule="auto"/>
        <w:ind w:left="1"/>
        <w:outlineLvl w:val="1"/>
        <w:rPr>
          <w:rFonts w:ascii="宋体" w:hAnsi="宋体" w:eastAsia="宋体" w:cs="宋体"/>
          <w:color w:val="auto"/>
          <w:sz w:val="20"/>
          <w:szCs w:val="20"/>
        </w:rPr>
      </w:pPr>
      <w:r>
        <w:rPr>
          <w:rFonts w:ascii="宋体" w:hAnsi="宋体" w:eastAsia="宋体" w:cs="宋体"/>
          <w:color w:val="auto"/>
          <w:spacing w:val="8"/>
          <w:sz w:val="20"/>
          <w:szCs w:val="20"/>
        </w:rPr>
        <w:t>8. 重新招标和不再招</w:t>
      </w:r>
      <w:r>
        <w:rPr>
          <w:rFonts w:ascii="宋体" w:hAnsi="宋体" w:eastAsia="宋体" w:cs="宋体"/>
          <w:color w:val="auto"/>
          <w:spacing w:val="6"/>
          <w:sz w:val="20"/>
          <w:szCs w:val="20"/>
        </w:rPr>
        <w:t>标</w:t>
      </w:r>
    </w:p>
    <w:p w14:paraId="53BD414C">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8.1 重新招标</w:t>
      </w:r>
    </w:p>
    <w:p w14:paraId="08A50543">
      <w:pPr>
        <w:spacing w:before="152" w:line="229" w:lineRule="auto"/>
        <w:ind w:left="421"/>
        <w:rPr>
          <w:rFonts w:ascii="宋体" w:hAnsi="宋体" w:eastAsia="宋体" w:cs="宋体"/>
          <w:color w:val="auto"/>
          <w:sz w:val="20"/>
          <w:szCs w:val="20"/>
        </w:rPr>
      </w:pPr>
      <w:r>
        <w:rPr>
          <w:rFonts w:ascii="宋体" w:hAnsi="宋体" w:eastAsia="宋体" w:cs="宋体"/>
          <w:color w:val="auto"/>
          <w:spacing w:val="9"/>
          <w:sz w:val="20"/>
          <w:szCs w:val="20"/>
        </w:rPr>
        <w:t>有下列情形之一的，招标人将重新招标</w:t>
      </w:r>
      <w:r>
        <w:rPr>
          <w:rFonts w:ascii="宋体" w:hAnsi="宋体" w:eastAsia="宋体" w:cs="宋体"/>
          <w:color w:val="auto"/>
          <w:spacing w:val="6"/>
          <w:sz w:val="20"/>
          <w:szCs w:val="20"/>
        </w:rPr>
        <w:t>：</w:t>
      </w:r>
    </w:p>
    <w:p w14:paraId="3E784397">
      <w:pPr>
        <w:spacing w:before="151" w:line="228" w:lineRule="auto"/>
        <w:ind w:left="370"/>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7"/>
          <w:sz w:val="20"/>
          <w:szCs w:val="20"/>
        </w:rPr>
        <w:t>1) 投标截止时间止，投标人少于 3 个的；</w:t>
      </w:r>
    </w:p>
    <w:p w14:paraId="448E5847">
      <w:pPr>
        <w:spacing w:before="154" w:line="228"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2</w:t>
      </w:r>
      <w:r>
        <w:rPr>
          <w:rFonts w:ascii="宋体" w:hAnsi="宋体" w:eastAsia="宋体" w:cs="宋体"/>
          <w:color w:val="auto"/>
          <w:spacing w:val="12"/>
          <w:sz w:val="20"/>
          <w:szCs w:val="20"/>
        </w:rPr>
        <w:t>) 经磋商小组评审后否决所有投标的。</w:t>
      </w:r>
    </w:p>
    <w:p w14:paraId="7D0350F7">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8.2 不再招标</w:t>
      </w:r>
    </w:p>
    <w:p w14:paraId="0F11A625">
      <w:pPr>
        <w:spacing w:before="151"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重</w:t>
      </w:r>
      <w:r>
        <w:rPr>
          <w:rFonts w:ascii="宋体" w:hAnsi="宋体" w:eastAsia="宋体" w:cs="宋体"/>
          <w:color w:val="auto"/>
          <w:spacing w:val="13"/>
          <w:sz w:val="20"/>
          <w:szCs w:val="20"/>
        </w:rPr>
        <w:t>新</w:t>
      </w:r>
      <w:r>
        <w:rPr>
          <w:rFonts w:ascii="宋体" w:hAnsi="宋体" w:eastAsia="宋体" w:cs="宋体"/>
          <w:color w:val="auto"/>
          <w:spacing w:val="10"/>
          <w:sz w:val="20"/>
          <w:szCs w:val="20"/>
        </w:rPr>
        <w:t>招标后投标人仍少于 3 个或者所有投标被否决的，属于必须审批或核准的工程建设项</w:t>
      </w:r>
      <w:r>
        <w:rPr>
          <w:rFonts w:ascii="宋体" w:hAnsi="宋体" w:eastAsia="宋体" w:cs="宋体"/>
          <w:color w:val="auto"/>
          <w:spacing w:val="9"/>
          <w:sz w:val="20"/>
          <w:szCs w:val="20"/>
        </w:rPr>
        <w:t>目</w:t>
      </w:r>
      <w:r>
        <w:rPr>
          <w:rFonts w:ascii="宋体" w:hAnsi="宋体" w:eastAsia="宋体" w:cs="宋体"/>
          <w:color w:val="auto"/>
          <w:spacing w:val="7"/>
          <w:sz w:val="20"/>
          <w:szCs w:val="20"/>
        </w:rPr>
        <w:t>，经原审批或核准部门批准后不再进行招标。</w:t>
      </w:r>
    </w:p>
    <w:p w14:paraId="57CC89A3">
      <w:pPr>
        <w:spacing w:before="183" w:line="228" w:lineRule="auto"/>
        <w:ind w:left="2"/>
        <w:outlineLvl w:val="1"/>
        <w:rPr>
          <w:rFonts w:ascii="宋体" w:hAnsi="宋体" w:eastAsia="宋体" w:cs="宋体"/>
          <w:color w:val="auto"/>
          <w:sz w:val="20"/>
          <w:szCs w:val="20"/>
        </w:rPr>
      </w:pPr>
      <w:r>
        <w:rPr>
          <w:rFonts w:ascii="宋体" w:hAnsi="宋体" w:eastAsia="宋体" w:cs="宋体"/>
          <w:color w:val="auto"/>
          <w:spacing w:val="12"/>
          <w:sz w:val="20"/>
          <w:szCs w:val="20"/>
        </w:rPr>
        <w:t>9</w:t>
      </w:r>
      <w:r>
        <w:rPr>
          <w:rFonts w:ascii="宋体" w:hAnsi="宋体" w:eastAsia="宋体" w:cs="宋体"/>
          <w:color w:val="auto"/>
          <w:spacing w:val="6"/>
          <w:sz w:val="20"/>
          <w:szCs w:val="20"/>
        </w:rPr>
        <w:t>. 纪律和监督</w:t>
      </w:r>
    </w:p>
    <w:p w14:paraId="64D56A6B">
      <w:pPr>
        <w:spacing w:before="153"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1 对招标人的纪律要求</w:t>
      </w:r>
    </w:p>
    <w:p w14:paraId="0111E18A">
      <w:pPr>
        <w:spacing w:before="150" w:line="370" w:lineRule="auto"/>
        <w:ind w:left="3" w:right="1" w:firstLine="419"/>
        <w:rPr>
          <w:rFonts w:ascii="宋体" w:hAnsi="宋体" w:eastAsia="宋体" w:cs="宋体"/>
          <w:color w:val="auto"/>
          <w:sz w:val="20"/>
          <w:szCs w:val="20"/>
        </w:rPr>
      </w:pPr>
      <w:r>
        <w:rPr>
          <w:rFonts w:ascii="宋体" w:hAnsi="宋体" w:eastAsia="宋体" w:cs="宋体"/>
          <w:color w:val="auto"/>
          <w:spacing w:val="20"/>
          <w:sz w:val="20"/>
          <w:szCs w:val="20"/>
        </w:rPr>
        <w:t>招</w:t>
      </w:r>
      <w:r>
        <w:rPr>
          <w:rFonts w:ascii="宋体" w:hAnsi="宋体" w:eastAsia="宋体" w:cs="宋体"/>
          <w:color w:val="auto"/>
          <w:spacing w:val="19"/>
          <w:sz w:val="20"/>
          <w:szCs w:val="20"/>
        </w:rPr>
        <w:t>标人不得泄漏招标投标活动中应当保密的情况和资料，不得与投标人串通损害国家利</w:t>
      </w:r>
      <w:r>
        <w:rPr>
          <w:rFonts w:ascii="宋体" w:hAnsi="宋体" w:eastAsia="宋体" w:cs="宋体"/>
          <w:color w:val="auto"/>
          <w:spacing w:val="16"/>
          <w:sz w:val="20"/>
          <w:szCs w:val="20"/>
        </w:rPr>
        <w:t>益</w:t>
      </w:r>
      <w:r>
        <w:rPr>
          <w:rFonts w:ascii="宋体" w:hAnsi="宋体" w:eastAsia="宋体" w:cs="宋体"/>
          <w:color w:val="auto"/>
          <w:spacing w:val="11"/>
          <w:sz w:val="20"/>
          <w:szCs w:val="20"/>
        </w:rPr>
        <w:t>、</w:t>
      </w:r>
      <w:r>
        <w:rPr>
          <w:rFonts w:ascii="宋体" w:hAnsi="宋体" w:eastAsia="宋体" w:cs="宋体"/>
          <w:color w:val="auto"/>
          <w:spacing w:val="8"/>
          <w:sz w:val="20"/>
          <w:szCs w:val="20"/>
        </w:rPr>
        <w:t>社会公共利益或者他人合法权益。</w:t>
      </w:r>
    </w:p>
    <w:p w14:paraId="4737AB72">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2 对投标人的纪律要求</w:t>
      </w:r>
    </w:p>
    <w:p w14:paraId="252EDA17">
      <w:pPr>
        <w:spacing w:before="152" w:line="369" w:lineRule="auto"/>
        <w:ind w:left="1" w:right="1" w:firstLine="422"/>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人不得相互串通投标或者与招标人串通投标，不得向招标人或者磋商小组成员行贿谋</w:t>
      </w:r>
      <w:r>
        <w:rPr>
          <w:rFonts w:ascii="宋体" w:hAnsi="宋体" w:eastAsia="宋体" w:cs="宋体"/>
          <w:color w:val="auto"/>
          <w:spacing w:val="36"/>
          <w:sz w:val="20"/>
          <w:szCs w:val="20"/>
        </w:rPr>
        <w:t>取</w:t>
      </w:r>
      <w:r>
        <w:rPr>
          <w:rFonts w:ascii="宋体" w:hAnsi="宋体" w:eastAsia="宋体" w:cs="宋体"/>
          <w:color w:val="auto"/>
          <w:spacing w:val="24"/>
          <w:sz w:val="20"/>
          <w:szCs w:val="20"/>
        </w:rPr>
        <w:t>中</w:t>
      </w:r>
      <w:r>
        <w:rPr>
          <w:rFonts w:ascii="宋体" w:hAnsi="宋体" w:eastAsia="宋体" w:cs="宋体"/>
          <w:color w:val="auto"/>
          <w:spacing w:val="18"/>
          <w:sz w:val="20"/>
          <w:szCs w:val="20"/>
        </w:rPr>
        <w:t>标，不得以他人名义投标或者以其他方式弄虚作假骗取中标；投标人不得以任何方式干</w:t>
      </w:r>
      <w:r>
        <w:rPr>
          <w:rFonts w:ascii="宋体" w:hAnsi="宋体" w:eastAsia="宋体" w:cs="宋体"/>
          <w:color w:val="auto"/>
          <w:spacing w:val="13"/>
          <w:sz w:val="20"/>
          <w:szCs w:val="20"/>
        </w:rPr>
        <w:t>扰</w:t>
      </w:r>
      <w:r>
        <w:rPr>
          <w:rFonts w:ascii="宋体" w:hAnsi="宋体" w:eastAsia="宋体" w:cs="宋体"/>
          <w:color w:val="auto"/>
          <w:spacing w:val="7"/>
          <w:sz w:val="20"/>
          <w:szCs w:val="20"/>
        </w:rPr>
        <w:t>、影响评标工作。</w:t>
      </w:r>
    </w:p>
    <w:p w14:paraId="6BF26B5C">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8"/>
          <w:sz w:val="20"/>
          <w:szCs w:val="20"/>
        </w:rPr>
        <w:t>9.3 对磋商小组成员的纪律要求</w:t>
      </w:r>
    </w:p>
    <w:p w14:paraId="74058820">
      <w:pPr>
        <w:spacing w:before="155" w:line="369" w:lineRule="auto"/>
        <w:ind w:firstLine="420"/>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小组成员不得收受他人的财物或者其他好处，不得向他人透漏对磋商响应文件的评审</w:t>
      </w:r>
      <w:r>
        <w:rPr>
          <w:rFonts w:ascii="宋体" w:hAnsi="宋体" w:eastAsia="宋体" w:cs="宋体"/>
          <w:color w:val="auto"/>
          <w:spacing w:val="26"/>
          <w:sz w:val="20"/>
          <w:szCs w:val="20"/>
        </w:rPr>
        <w:t>和</w:t>
      </w:r>
      <w:r>
        <w:rPr>
          <w:rFonts w:ascii="宋体" w:hAnsi="宋体" w:eastAsia="宋体" w:cs="宋体"/>
          <w:color w:val="auto"/>
          <w:spacing w:val="13"/>
          <w:sz w:val="20"/>
          <w:szCs w:val="20"/>
        </w:rPr>
        <w:t>比较、中标候选人的推荐情况以及评标有关的其他情况。在评标活动中，磋商小组成员不得</w:t>
      </w:r>
      <w:r>
        <w:rPr>
          <w:rFonts w:ascii="宋体" w:hAnsi="宋体" w:eastAsia="宋体" w:cs="宋体"/>
          <w:color w:val="auto"/>
          <w:spacing w:val="26"/>
          <w:sz w:val="20"/>
          <w:szCs w:val="20"/>
        </w:rPr>
        <w:t>擅</w:t>
      </w:r>
      <w:r>
        <w:rPr>
          <w:rFonts w:ascii="宋体" w:hAnsi="宋体" w:eastAsia="宋体" w:cs="宋体"/>
          <w:color w:val="auto"/>
          <w:spacing w:val="13"/>
          <w:sz w:val="20"/>
          <w:szCs w:val="20"/>
        </w:rPr>
        <w:t>离职守，影响评标程序正常进行，不得使用第三章“评标办法”没有规定的评审因素和标准</w:t>
      </w:r>
      <w:r>
        <w:rPr>
          <w:rFonts w:ascii="宋体" w:hAnsi="宋体" w:eastAsia="宋体" w:cs="宋体"/>
          <w:color w:val="auto"/>
          <w:spacing w:val="7"/>
          <w:sz w:val="20"/>
          <w:szCs w:val="20"/>
        </w:rPr>
        <w:t>进</w:t>
      </w:r>
      <w:r>
        <w:rPr>
          <w:rFonts w:ascii="宋体" w:hAnsi="宋体" w:eastAsia="宋体" w:cs="宋体"/>
          <w:color w:val="auto"/>
          <w:spacing w:val="6"/>
          <w:sz w:val="20"/>
          <w:szCs w:val="20"/>
        </w:rPr>
        <w:t>行评标。</w:t>
      </w:r>
    </w:p>
    <w:p w14:paraId="270755DF">
      <w:pPr>
        <w:spacing w:before="1" w:line="228" w:lineRule="auto"/>
        <w:ind w:left="2"/>
        <w:outlineLvl w:val="2"/>
        <w:rPr>
          <w:rFonts w:ascii="宋体" w:hAnsi="宋体" w:eastAsia="宋体" w:cs="宋体"/>
          <w:color w:val="auto"/>
          <w:sz w:val="20"/>
          <w:szCs w:val="20"/>
        </w:rPr>
      </w:pPr>
      <w:r>
        <w:rPr>
          <w:rFonts w:ascii="宋体" w:hAnsi="宋体" w:eastAsia="宋体" w:cs="宋体"/>
          <w:color w:val="auto"/>
          <w:spacing w:val="16"/>
          <w:sz w:val="20"/>
          <w:szCs w:val="20"/>
        </w:rPr>
        <w:t>9</w:t>
      </w:r>
      <w:r>
        <w:rPr>
          <w:rFonts w:ascii="宋体" w:hAnsi="宋体" w:eastAsia="宋体" w:cs="宋体"/>
          <w:color w:val="auto"/>
          <w:spacing w:val="12"/>
          <w:sz w:val="20"/>
          <w:szCs w:val="20"/>
        </w:rPr>
        <w:t>.</w:t>
      </w:r>
      <w:r>
        <w:rPr>
          <w:rFonts w:ascii="宋体" w:hAnsi="宋体" w:eastAsia="宋体" w:cs="宋体"/>
          <w:color w:val="auto"/>
          <w:spacing w:val="8"/>
          <w:sz w:val="20"/>
          <w:szCs w:val="20"/>
        </w:rPr>
        <w:t>4 对与评标活动有关的工作人员的纪律要求</w:t>
      </w:r>
    </w:p>
    <w:p w14:paraId="70AB9E4D">
      <w:pPr>
        <w:spacing w:before="152" w:line="369" w:lineRule="auto"/>
        <w:ind w:left="1" w:firstLine="424"/>
        <w:rPr>
          <w:rFonts w:ascii="宋体" w:hAnsi="宋体" w:eastAsia="宋体" w:cs="宋体"/>
          <w:color w:val="auto"/>
          <w:sz w:val="20"/>
          <w:szCs w:val="20"/>
        </w:rPr>
      </w:pPr>
      <w:r>
        <w:rPr>
          <w:rFonts w:ascii="宋体" w:hAnsi="宋体" w:eastAsia="宋体" w:cs="宋体"/>
          <w:color w:val="auto"/>
          <w:spacing w:val="26"/>
          <w:sz w:val="20"/>
          <w:szCs w:val="20"/>
        </w:rPr>
        <w:t>与</w:t>
      </w:r>
      <w:r>
        <w:rPr>
          <w:rFonts w:ascii="宋体" w:hAnsi="宋体" w:eastAsia="宋体" w:cs="宋体"/>
          <w:color w:val="auto"/>
          <w:spacing w:val="13"/>
          <w:sz w:val="20"/>
          <w:szCs w:val="20"/>
        </w:rPr>
        <w:t>评标活动有关的工作人员不得收受他人的财物或者其他好处，不得向他人透漏对磋商响</w:t>
      </w:r>
      <w:r>
        <w:rPr>
          <w:rFonts w:ascii="宋体" w:hAnsi="宋体" w:eastAsia="宋体" w:cs="宋体"/>
          <w:color w:val="auto"/>
          <w:spacing w:val="24"/>
          <w:sz w:val="20"/>
          <w:szCs w:val="20"/>
        </w:rPr>
        <w:t>应</w:t>
      </w:r>
      <w:r>
        <w:rPr>
          <w:rFonts w:ascii="宋体" w:hAnsi="宋体" w:eastAsia="宋体" w:cs="宋体"/>
          <w:color w:val="auto"/>
          <w:spacing w:val="13"/>
          <w:sz w:val="20"/>
          <w:szCs w:val="20"/>
        </w:rPr>
        <w:t>文件的评审和比较、中标候选人的推荐情况以及评标有关的其他情况。在评标活动中，与评</w:t>
      </w:r>
      <w:r>
        <w:rPr>
          <w:rFonts w:ascii="宋体" w:hAnsi="宋体" w:eastAsia="宋体" w:cs="宋体"/>
          <w:color w:val="auto"/>
          <w:spacing w:val="17"/>
          <w:sz w:val="20"/>
          <w:szCs w:val="20"/>
        </w:rPr>
        <w:t>标</w:t>
      </w:r>
      <w:r>
        <w:rPr>
          <w:rFonts w:ascii="宋体" w:hAnsi="宋体" w:eastAsia="宋体" w:cs="宋体"/>
          <w:color w:val="auto"/>
          <w:spacing w:val="9"/>
          <w:sz w:val="20"/>
          <w:szCs w:val="20"/>
        </w:rPr>
        <w:t>活动有关的工作人员不得擅离职守，影响评标程序正常进行。</w:t>
      </w:r>
    </w:p>
    <w:p w14:paraId="1A1D66B5">
      <w:pPr>
        <w:spacing w:line="229" w:lineRule="auto"/>
        <w:ind w:left="2"/>
        <w:outlineLvl w:val="2"/>
        <w:rPr>
          <w:rFonts w:ascii="宋体" w:hAnsi="宋体" w:eastAsia="宋体" w:cs="宋体"/>
          <w:color w:val="auto"/>
          <w:sz w:val="20"/>
          <w:szCs w:val="20"/>
        </w:rPr>
      </w:pPr>
      <w:r>
        <w:rPr>
          <w:rFonts w:ascii="宋体" w:hAnsi="宋体" w:eastAsia="宋体" w:cs="宋体"/>
          <w:color w:val="auto"/>
          <w:spacing w:val="5"/>
          <w:sz w:val="20"/>
          <w:szCs w:val="20"/>
        </w:rPr>
        <w:t>9.5 投</w:t>
      </w:r>
      <w:r>
        <w:rPr>
          <w:rFonts w:ascii="宋体" w:hAnsi="宋体" w:eastAsia="宋体" w:cs="宋体"/>
          <w:color w:val="auto"/>
          <w:spacing w:val="3"/>
          <w:sz w:val="20"/>
          <w:szCs w:val="20"/>
        </w:rPr>
        <w:t>诉</w:t>
      </w:r>
    </w:p>
    <w:p w14:paraId="45773B89">
      <w:pPr>
        <w:spacing w:before="151" w:line="379" w:lineRule="auto"/>
        <w:ind w:right="1" w:firstLine="423"/>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人和其他利害关系人认为本次招标活动违反法律、法规和规章规定的，有权向有关行</w:t>
      </w:r>
      <w:r>
        <w:rPr>
          <w:rFonts w:ascii="宋体" w:hAnsi="宋体" w:eastAsia="宋体" w:cs="宋体"/>
          <w:color w:val="auto"/>
          <w:spacing w:val="12"/>
          <w:sz w:val="20"/>
          <w:szCs w:val="20"/>
        </w:rPr>
        <w:t>政</w:t>
      </w:r>
      <w:r>
        <w:rPr>
          <w:rFonts w:ascii="宋体" w:hAnsi="宋体" w:eastAsia="宋体" w:cs="宋体"/>
          <w:color w:val="auto"/>
          <w:spacing w:val="7"/>
          <w:sz w:val="20"/>
          <w:szCs w:val="20"/>
        </w:rPr>
        <w:t>监督部门投诉。</w:t>
      </w:r>
    </w:p>
    <w:p w14:paraId="623B210E">
      <w:pPr>
        <w:spacing w:before="80" w:line="226" w:lineRule="auto"/>
        <w:ind w:left="17"/>
        <w:outlineLvl w:val="1"/>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0</w:t>
      </w:r>
      <w:r>
        <w:rPr>
          <w:rFonts w:ascii="宋体" w:hAnsi="宋体" w:eastAsia="宋体" w:cs="宋体"/>
          <w:color w:val="auto"/>
          <w:spacing w:val="6"/>
          <w:sz w:val="20"/>
          <w:szCs w:val="20"/>
        </w:rPr>
        <w:t>. 需要补充的其他内容</w:t>
      </w:r>
    </w:p>
    <w:p w14:paraId="3D596A63">
      <w:pPr>
        <w:spacing w:before="156" w:line="226" w:lineRule="auto"/>
        <w:ind w:left="431"/>
        <w:outlineLvl w:val="0"/>
        <w:rPr>
          <w:rFonts w:ascii="宋体" w:hAnsi="宋体" w:eastAsia="宋体" w:cs="宋体"/>
          <w:color w:val="auto"/>
          <w:sz w:val="20"/>
          <w:szCs w:val="20"/>
        </w:rPr>
      </w:pPr>
      <w:r>
        <w:rPr>
          <w:rFonts w:ascii="宋体" w:hAnsi="宋体" w:eastAsia="宋体" w:cs="宋体"/>
          <w:color w:val="auto"/>
          <w:spacing w:val="16"/>
          <w:sz w:val="20"/>
          <w:szCs w:val="20"/>
        </w:rPr>
        <w:t>需</w:t>
      </w:r>
      <w:r>
        <w:rPr>
          <w:rFonts w:ascii="宋体" w:hAnsi="宋体" w:eastAsia="宋体" w:cs="宋体"/>
          <w:color w:val="auto"/>
          <w:spacing w:val="10"/>
          <w:sz w:val="20"/>
          <w:szCs w:val="20"/>
        </w:rPr>
        <w:t>要</w:t>
      </w:r>
      <w:r>
        <w:rPr>
          <w:rFonts w:ascii="宋体" w:hAnsi="宋体" w:eastAsia="宋体" w:cs="宋体"/>
          <w:color w:val="auto"/>
          <w:spacing w:val="8"/>
          <w:sz w:val="20"/>
          <w:szCs w:val="20"/>
        </w:rPr>
        <w:t>补充的其他内容：见投标人须知前附表。</w:t>
      </w:r>
    </w:p>
    <w:p w14:paraId="62BCC406">
      <w:pPr>
        <w:rPr>
          <w:color w:val="auto"/>
        </w:rPr>
        <w:sectPr>
          <w:footerReference r:id="rId6" w:type="default"/>
          <w:pgSz w:w="11906" w:h="16839"/>
          <w:pgMar w:top="1431" w:right="1532" w:bottom="1156" w:left="1626" w:header="0" w:footer="996" w:gutter="0"/>
          <w:cols w:space="720" w:num="1"/>
        </w:sectPr>
      </w:pPr>
    </w:p>
    <w:p w14:paraId="65A59CC7">
      <w:pPr>
        <w:spacing w:before="208" w:line="225" w:lineRule="auto"/>
        <w:ind w:left="2052"/>
        <w:rPr>
          <w:rFonts w:ascii="宋体" w:hAnsi="宋体" w:eastAsia="宋体" w:cs="宋体"/>
          <w:color w:val="auto"/>
          <w:sz w:val="31"/>
          <w:szCs w:val="31"/>
        </w:rPr>
      </w:pPr>
      <w:r>
        <w:rPr>
          <w:rFonts w:ascii="宋体" w:hAnsi="宋体" w:eastAsia="宋体" w:cs="宋体"/>
          <w:color w:val="auto"/>
          <w:spacing w:val="16"/>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14:textOutline w14:w="5793" w14:cap="sq" w14:cmpd="sng">
            <w14:solidFill>
              <w14:srgbClr w14:val="000000"/>
            </w14:solidFill>
            <w14:prstDash w14:val="solid"/>
            <w14:bevel/>
          </w14:textOutline>
        </w:rPr>
        <w:t>三章</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评标办法</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(综合评分法)</w:t>
      </w:r>
    </w:p>
    <w:p w14:paraId="60E9852B">
      <w:pPr>
        <w:spacing w:before="238" w:line="229" w:lineRule="auto"/>
        <w:ind w:left="16"/>
        <w:outlineLvl w:val="1"/>
        <w:rPr>
          <w:rFonts w:ascii="宋体" w:hAnsi="宋体" w:eastAsia="宋体" w:cs="宋体"/>
          <w:color w:val="auto"/>
          <w:sz w:val="20"/>
          <w:szCs w:val="20"/>
        </w:rPr>
      </w:pPr>
      <w:r>
        <w:rPr>
          <w:rFonts w:ascii="宋体" w:hAnsi="宋体" w:eastAsia="宋体" w:cs="宋体"/>
          <w:color w:val="auto"/>
          <w:spacing w:val="5"/>
          <w:sz w:val="20"/>
          <w:szCs w:val="20"/>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rPr>
        <w:t xml:space="preserve"> </w:t>
      </w:r>
      <w:r>
        <w:rPr>
          <w:rFonts w:ascii="宋体" w:hAnsi="宋体" w:eastAsia="宋体" w:cs="宋体"/>
          <w:color w:val="auto"/>
          <w:spacing w:val="5"/>
          <w:sz w:val="20"/>
          <w:szCs w:val="20"/>
          <w14:textOutline w14:w="3795" w14:cap="sq" w14:cmpd="sng">
            <w14:solidFill>
              <w14:srgbClr w14:val="000000"/>
            </w14:solidFill>
            <w14:prstDash w14:val="solid"/>
            <w14:bevel/>
          </w14:textOutline>
        </w:rPr>
        <w:t>评标方法</w:t>
      </w:r>
    </w:p>
    <w:p w14:paraId="0A7DDC0A">
      <w:pPr>
        <w:spacing w:before="183" w:line="414" w:lineRule="auto"/>
        <w:ind w:left="1" w:right="2" w:firstLine="486"/>
        <w:rPr>
          <w:rFonts w:ascii="宋体" w:hAnsi="宋体" w:eastAsia="宋体" w:cs="宋体"/>
          <w:color w:val="auto"/>
          <w:sz w:val="20"/>
          <w:szCs w:val="20"/>
        </w:rPr>
      </w:pPr>
      <w:r>
        <w:rPr>
          <w:rFonts w:ascii="宋体" w:hAnsi="宋体" w:eastAsia="宋体" w:cs="宋体"/>
          <w:color w:val="auto"/>
          <w:spacing w:val="22"/>
          <w:sz w:val="20"/>
          <w:szCs w:val="20"/>
        </w:rPr>
        <w:t>为保</w:t>
      </w:r>
      <w:r>
        <w:rPr>
          <w:rFonts w:ascii="宋体" w:hAnsi="宋体" w:eastAsia="宋体" w:cs="宋体"/>
          <w:color w:val="auto"/>
          <w:spacing w:val="17"/>
          <w:sz w:val="20"/>
          <w:szCs w:val="20"/>
        </w:rPr>
        <w:t>证</w:t>
      </w:r>
      <w:r>
        <w:rPr>
          <w:rFonts w:ascii="宋体" w:hAnsi="宋体" w:eastAsia="宋体" w:cs="宋体"/>
          <w:color w:val="auto"/>
          <w:spacing w:val="11"/>
          <w:sz w:val="20"/>
          <w:szCs w:val="20"/>
        </w:rPr>
        <w:t>评标的公平、公正，维护招标投标活动当事人的合法权益，依照《中华人民共采购</w:t>
      </w:r>
      <w:r>
        <w:rPr>
          <w:rFonts w:ascii="宋体" w:hAnsi="宋体" w:eastAsia="宋体" w:cs="宋体"/>
          <w:color w:val="auto"/>
          <w:spacing w:val="18"/>
          <w:sz w:val="20"/>
          <w:szCs w:val="20"/>
        </w:rPr>
        <w:t>法</w:t>
      </w:r>
      <w:r>
        <w:rPr>
          <w:rFonts w:ascii="宋体" w:hAnsi="宋体" w:eastAsia="宋体" w:cs="宋体"/>
          <w:color w:val="auto"/>
          <w:spacing w:val="17"/>
          <w:sz w:val="20"/>
          <w:szCs w:val="20"/>
        </w:rPr>
        <w:t>》</w:t>
      </w:r>
      <w:r>
        <w:rPr>
          <w:rFonts w:ascii="宋体" w:hAnsi="宋体" w:eastAsia="宋体" w:cs="宋体"/>
          <w:color w:val="auto"/>
          <w:spacing w:val="9"/>
          <w:sz w:val="20"/>
          <w:szCs w:val="20"/>
        </w:rPr>
        <w:t>和国家七部委颁布的《评标委员会和评标方法暂行规定》及有关规定，制定本办法。</w:t>
      </w:r>
    </w:p>
    <w:p w14:paraId="45074548">
      <w:pPr>
        <w:spacing w:before="70" w:line="229" w:lineRule="auto"/>
        <w:ind w:left="75"/>
        <w:rPr>
          <w:rFonts w:ascii="宋体" w:hAnsi="宋体" w:eastAsia="宋体" w:cs="宋体"/>
          <w:color w:val="auto"/>
          <w:sz w:val="20"/>
          <w:szCs w:val="20"/>
        </w:rPr>
      </w:pPr>
      <w:r>
        <w:rPr>
          <w:rFonts w:ascii="宋体" w:hAnsi="宋体" w:eastAsia="宋体" w:cs="宋体"/>
          <w:color w:val="auto"/>
          <w:spacing w:val="7"/>
          <w:sz w:val="20"/>
          <w:szCs w:val="20"/>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5" w14:cap="sq" w14:cmpd="sng">
            <w14:solidFill>
              <w14:srgbClr w14:val="000000"/>
            </w14:solidFill>
            <w14:prstDash w14:val="solid"/>
            <w14:bevel/>
          </w14:textOutline>
        </w:rPr>
        <w:t>评标原</w:t>
      </w:r>
      <w:r>
        <w:rPr>
          <w:rFonts w:ascii="宋体" w:hAnsi="宋体" w:eastAsia="宋体" w:cs="宋体"/>
          <w:color w:val="auto"/>
          <w:spacing w:val="6"/>
          <w:sz w:val="20"/>
          <w:szCs w:val="20"/>
          <w14:textOutline w14:w="3795" w14:cap="sq" w14:cmpd="sng">
            <w14:solidFill>
              <w14:srgbClr w14:val="000000"/>
            </w14:solidFill>
            <w14:prstDash w14:val="solid"/>
            <w14:bevel/>
          </w14:textOutline>
        </w:rPr>
        <w:t>则</w:t>
      </w:r>
    </w:p>
    <w:p w14:paraId="61557448">
      <w:pPr>
        <w:spacing w:before="250" w:line="271" w:lineRule="exact"/>
        <w:ind w:left="16"/>
        <w:outlineLvl w:val="1"/>
        <w:rPr>
          <w:rFonts w:ascii="宋体" w:hAnsi="宋体" w:eastAsia="宋体" w:cs="宋体"/>
          <w:color w:val="auto"/>
          <w:sz w:val="20"/>
          <w:szCs w:val="20"/>
        </w:rPr>
      </w:pPr>
      <w:r>
        <w:rPr>
          <w:rFonts w:ascii="宋体" w:hAnsi="宋体" w:eastAsia="宋体" w:cs="宋体"/>
          <w:color w:val="auto"/>
          <w:spacing w:val="14"/>
          <w:position w:val="1"/>
          <w:sz w:val="20"/>
          <w:szCs w:val="20"/>
        </w:rPr>
        <w:t>1</w:t>
      </w:r>
      <w:r>
        <w:rPr>
          <w:rFonts w:ascii="宋体" w:hAnsi="宋体" w:eastAsia="宋体" w:cs="宋体"/>
          <w:color w:val="auto"/>
          <w:spacing w:val="8"/>
          <w:position w:val="1"/>
          <w:sz w:val="20"/>
          <w:szCs w:val="20"/>
        </w:rPr>
        <w:t>、磋商活动遵循公平、公正、科学、择优的原则。</w:t>
      </w:r>
    </w:p>
    <w:p w14:paraId="15D35F97">
      <w:pPr>
        <w:spacing w:before="230" w:line="271" w:lineRule="exact"/>
        <w:ind w:left="3"/>
        <w:rPr>
          <w:rFonts w:ascii="宋体" w:hAnsi="宋体" w:eastAsia="宋体" w:cs="宋体"/>
          <w:color w:val="auto"/>
          <w:sz w:val="20"/>
          <w:szCs w:val="20"/>
        </w:rPr>
      </w:pPr>
      <w:r>
        <w:rPr>
          <w:rFonts w:ascii="宋体" w:hAnsi="宋体" w:eastAsia="宋体" w:cs="宋体"/>
          <w:color w:val="auto"/>
          <w:spacing w:val="20"/>
          <w:position w:val="1"/>
          <w:sz w:val="20"/>
          <w:szCs w:val="20"/>
        </w:rPr>
        <w:t>2、</w:t>
      </w:r>
      <w:r>
        <w:rPr>
          <w:rFonts w:ascii="宋体" w:hAnsi="宋体" w:eastAsia="宋体" w:cs="宋体"/>
          <w:color w:val="auto"/>
          <w:spacing w:val="11"/>
          <w:position w:val="1"/>
          <w:sz w:val="20"/>
          <w:szCs w:val="20"/>
        </w:rPr>
        <w:t>磋</w:t>
      </w:r>
      <w:r>
        <w:rPr>
          <w:rFonts w:ascii="宋体" w:hAnsi="宋体" w:eastAsia="宋体" w:cs="宋体"/>
          <w:color w:val="auto"/>
          <w:spacing w:val="10"/>
          <w:position w:val="1"/>
          <w:sz w:val="20"/>
          <w:szCs w:val="20"/>
        </w:rPr>
        <w:t>商小组成员应当客观、公正地履行职责，遵守职业道德，对所提出的评审意见承担个人责</w:t>
      </w:r>
      <w:r>
        <w:rPr>
          <w:rFonts w:ascii="宋体" w:hAnsi="宋体" w:eastAsia="宋体" w:cs="宋体"/>
          <w:color w:val="auto"/>
          <w:spacing w:val="1"/>
          <w:sz w:val="20"/>
          <w:szCs w:val="20"/>
        </w:rPr>
        <w:t>任</w:t>
      </w:r>
      <w:r>
        <w:rPr>
          <w:rFonts w:ascii="宋体" w:hAnsi="宋体" w:eastAsia="宋体" w:cs="宋体"/>
          <w:color w:val="auto"/>
          <w:sz w:val="20"/>
          <w:szCs w:val="20"/>
        </w:rPr>
        <w:t>。</w:t>
      </w:r>
    </w:p>
    <w:p w14:paraId="41083A06">
      <w:pPr>
        <w:spacing w:before="254" w:line="270" w:lineRule="exact"/>
        <w:ind w:left="5"/>
        <w:outlineLvl w:val="1"/>
        <w:rPr>
          <w:rFonts w:ascii="宋体" w:hAnsi="宋体" w:eastAsia="宋体" w:cs="宋体"/>
          <w:color w:val="auto"/>
          <w:sz w:val="20"/>
          <w:szCs w:val="20"/>
        </w:rPr>
      </w:pPr>
      <w:r>
        <w:rPr>
          <w:rFonts w:ascii="宋体" w:hAnsi="宋体" w:eastAsia="宋体" w:cs="宋体"/>
          <w:color w:val="auto"/>
          <w:spacing w:val="15"/>
          <w:position w:val="1"/>
          <w:sz w:val="20"/>
          <w:szCs w:val="20"/>
        </w:rPr>
        <w:t>3</w:t>
      </w:r>
      <w:r>
        <w:rPr>
          <w:rFonts w:ascii="宋体" w:hAnsi="宋体" w:eastAsia="宋体" w:cs="宋体"/>
          <w:color w:val="auto"/>
          <w:spacing w:val="9"/>
          <w:position w:val="1"/>
          <w:sz w:val="20"/>
          <w:szCs w:val="20"/>
        </w:rPr>
        <w:t>、磋商小组应认真执行国家有关政策和法令，维护招标人和投标人的合法权益。</w:t>
      </w:r>
    </w:p>
    <w:p w14:paraId="7B523221">
      <w:pPr>
        <w:spacing w:before="230" w:line="269" w:lineRule="exact"/>
        <w:ind w:left="5"/>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3</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、评审办法</w:t>
      </w:r>
    </w:p>
    <w:p w14:paraId="62C7D6B5">
      <w:pPr>
        <w:spacing w:before="230" w:line="229" w:lineRule="auto"/>
        <w:ind w:left="3"/>
        <w:outlineLvl w:val="1"/>
        <w:rPr>
          <w:rFonts w:ascii="宋体" w:hAnsi="宋体" w:eastAsia="宋体" w:cs="宋体"/>
          <w:color w:val="auto"/>
          <w:sz w:val="20"/>
          <w:szCs w:val="20"/>
        </w:rPr>
      </w:pPr>
      <w:r>
        <w:rPr>
          <w:rFonts w:ascii="宋体" w:hAnsi="宋体" w:eastAsia="宋体" w:cs="宋体"/>
          <w:color w:val="auto"/>
          <w:spacing w:val="8"/>
          <w:sz w:val="20"/>
          <w:szCs w:val="20"/>
        </w:rPr>
        <w:t>综</w:t>
      </w:r>
      <w:r>
        <w:rPr>
          <w:rFonts w:ascii="宋体" w:hAnsi="宋体" w:eastAsia="宋体" w:cs="宋体"/>
          <w:color w:val="auto"/>
          <w:spacing w:val="6"/>
          <w:sz w:val="20"/>
          <w:szCs w:val="20"/>
        </w:rPr>
        <w:t>合评分法。</w:t>
      </w:r>
    </w:p>
    <w:p w14:paraId="42CE04F0">
      <w:pPr>
        <w:spacing w:before="254" w:line="228" w:lineRule="auto"/>
        <w:ind w:firstLine="468" w:firstLineChars="200"/>
        <w:outlineLvl w:val="1"/>
        <w:rPr>
          <w:rFonts w:ascii="宋体" w:hAnsi="宋体" w:eastAsia="宋体" w:cs="宋体"/>
          <w:color w:val="auto"/>
          <w:sz w:val="20"/>
          <w:szCs w:val="20"/>
        </w:rPr>
      </w:pPr>
      <w:r>
        <w:rPr>
          <w:rFonts w:ascii="宋体" w:hAnsi="宋体" w:eastAsia="宋体" w:cs="宋体"/>
          <w:color w:val="auto"/>
          <w:spacing w:val="17"/>
          <w:sz w:val="20"/>
          <w:szCs w:val="20"/>
        </w:rPr>
        <w:t>磋</w:t>
      </w:r>
      <w:r>
        <w:rPr>
          <w:rFonts w:ascii="宋体" w:hAnsi="宋体" w:eastAsia="宋体" w:cs="宋体"/>
          <w:color w:val="auto"/>
          <w:spacing w:val="13"/>
          <w:sz w:val="20"/>
          <w:szCs w:val="20"/>
        </w:rPr>
        <w:t>商小组先对磋商响应文件进行初步评审，对符合条件的供应商进行磋商，磋商结束后，</w:t>
      </w:r>
      <w:r>
        <w:rPr>
          <w:rFonts w:ascii="宋体" w:hAnsi="宋体" w:eastAsia="宋体" w:cs="宋体"/>
          <w:color w:val="auto"/>
          <w:spacing w:val="25"/>
          <w:sz w:val="20"/>
          <w:szCs w:val="20"/>
        </w:rPr>
        <w:t>磋</w:t>
      </w:r>
      <w:r>
        <w:rPr>
          <w:rFonts w:ascii="宋体" w:hAnsi="宋体" w:eastAsia="宋体" w:cs="宋体"/>
          <w:color w:val="auto"/>
          <w:spacing w:val="13"/>
          <w:sz w:val="20"/>
          <w:szCs w:val="20"/>
        </w:rPr>
        <w:t>商小组对各供应商的磋商响应文件进行详细评审。得分高到低进行排序，得分最高的为第一</w:t>
      </w:r>
      <w:r>
        <w:rPr>
          <w:rFonts w:ascii="宋体" w:hAnsi="宋体" w:eastAsia="宋体" w:cs="宋体"/>
          <w:color w:val="auto"/>
          <w:spacing w:val="6"/>
          <w:sz w:val="20"/>
          <w:szCs w:val="20"/>
        </w:rPr>
        <w:t>中</w:t>
      </w:r>
      <w:r>
        <w:rPr>
          <w:rFonts w:ascii="宋体" w:hAnsi="宋体" w:eastAsia="宋体" w:cs="宋体"/>
          <w:color w:val="auto"/>
          <w:spacing w:val="3"/>
          <w:sz w:val="20"/>
          <w:szCs w:val="20"/>
        </w:rPr>
        <w:t>标候选人。</w:t>
      </w:r>
    </w:p>
    <w:p w14:paraId="0797B329">
      <w:pPr>
        <w:spacing w:before="29" w:line="229" w:lineRule="auto"/>
        <w:rPr>
          <w:rFonts w:ascii="宋体" w:hAnsi="宋体" w:eastAsia="宋体" w:cs="宋体"/>
          <w:color w:val="auto"/>
          <w:sz w:val="20"/>
          <w:szCs w:val="20"/>
        </w:rPr>
      </w:pPr>
      <w:r>
        <w:rPr>
          <w:rFonts w:ascii="宋体" w:hAnsi="宋体" w:eastAsia="宋体" w:cs="宋体"/>
          <w:color w:val="auto"/>
          <w:spacing w:val="9"/>
          <w:sz w:val="20"/>
          <w:szCs w:val="20"/>
        </w:rPr>
        <w:t>磋</w:t>
      </w:r>
      <w:r>
        <w:rPr>
          <w:rFonts w:ascii="宋体" w:hAnsi="宋体" w:eastAsia="宋体" w:cs="宋体"/>
          <w:color w:val="auto"/>
          <w:spacing w:val="7"/>
          <w:sz w:val="20"/>
          <w:szCs w:val="20"/>
        </w:rPr>
        <w:t>商流程</w:t>
      </w:r>
    </w:p>
    <w:p w14:paraId="0DA3B504">
      <w:pPr>
        <w:spacing w:before="196" w:line="229" w:lineRule="auto"/>
        <w:ind w:left="454"/>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1) 磋商小组讨论、通过磋商评审工作流程和磋商要点；</w:t>
      </w:r>
    </w:p>
    <w:p w14:paraId="7ADD7898">
      <w:pPr>
        <w:spacing w:line="244" w:lineRule="auto"/>
        <w:rPr>
          <w:rFonts w:ascii="Arial"/>
          <w:color w:val="auto"/>
          <w:sz w:val="21"/>
        </w:rPr>
      </w:pPr>
    </w:p>
    <w:p w14:paraId="5C5E62BE">
      <w:pPr>
        <w:spacing w:before="66" w:line="228" w:lineRule="auto"/>
        <w:ind w:left="495"/>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磋商小组审阅磋商文件和</w:t>
      </w:r>
      <w:r>
        <w:rPr>
          <w:rFonts w:hint="eastAsia" w:ascii="宋体" w:hAnsi="宋体" w:eastAsia="宋体" w:cs="宋体"/>
          <w:color w:val="auto"/>
          <w:spacing w:val="12"/>
          <w:sz w:val="20"/>
          <w:szCs w:val="20"/>
          <w:lang w:eastAsia="zh-CN"/>
        </w:rPr>
        <w:t>响应</w:t>
      </w:r>
      <w:r>
        <w:rPr>
          <w:rFonts w:ascii="宋体" w:hAnsi="宋体" w:eastAsia="宋体" w:cs="宋体"/>
          <w:color w:val="auto"/>
          <w:spacing w:val="12"/>
          <w:sz w:val="20"/>
          <w:szCs w:val="20"/>
        </w:rPr>
        <w:t>文件；</w:t>
      </w:r>
    </w:p>
    <w:p w14:paraId="1BE33E1B">
      <w:pPr>
        <w:spacing w:line="248" w:lineRule="auto"/>
        <w:rPr>
          <w:rFonts w:ascii="Arial"/>
          <w:color w:val="auto"/>
          <w:sz w:val="21"/>
        </w:rPr>
      </w:pPr>
    </w:p>
    <w:p w14:paraId="7BA83929">
      <w:pPr>
        <w:spacing w:before="192" w:line="230" w:lineRule="auto"/>
        <w:ind w:left="3"/>
        <w:rPr>
          <w:rFonts w:ascii="宋体" w:hAnsi="宋体" w:eastAsia="宋体" w:cs="宋体"/>
          <w:color w:val="auto"/>
          <w:sz w:val="20"/>
          <w:szCs w:val="20"/>
        </w:rPr>
      </w:pPr>
      <w:r>
        <w:rPr>
          <w:rFonts w:ascii="宋体" w:hAnsi="宋体" w:eastAsia="宋体" w:cs="宋体"/>
          <w:color w:val="auto"/>
          <w:spacing w:val="28"/>
          <w:sz w:val="20"/>
          <w:szCs w:val="20"/>
        </w:rPr>
        <w:t>(</w:t>
      </w:r>
      <w:r>
        <w:rPr>
          <w:rFonts w:hint="eastAsia" w:ascii="宋体" w:hAnsi="宋体" w:eastAsia="宋体" w:cs="宋体"/>
          <w:color w:val="auto"/>
          <w:spacing w:val="16"/>
          <w:sz w:val="20"/>
          <w:szCs w:val="20"/>
          <w:lang w:val="en-US" w:eastAsia="zh-CN"/>
        </w:rPr>
        <w:t>3</w:t>
      </w:r>
      <w:r>
        <w:rPr>
          <w:rFonts w:ascii="宋体" w:hAnsi="宋体" w:eastAsia="宋体" w:cs="宋体"/>
          <w:color w:val="auto"/>
          <w:spacing w:val="16"/>
          <w:sz w:val="20"/>
          <w:szCs w:val="20"/>
        </w:rPr>
        <w:t>) 围绕磋商要点磋商小组全体成员集中与各个供应商方</w:t>
      </w:r>
      <w:r>
        <w:rPr>
          <w:rFonts w:hint="eastAsia" w:ascii="宋体" w:hAnsi="宋体" w:eastAsia="宋体" w:cs="宋体"/>
          <w:color w:val="auto"/>
          <w:spacing w:val="16"/>
          <w:sz w:val="20"/>
          <w:szCs w:val="20"/>
          <w:lang w:eastAsia="zh-CN"/>
        </w:rPr>
        <w:t>同时</w:t>
      </w:r>
      <w:r>
        <w:rPr>
          <w:rFonts w:ascii="宋体" w:hAnsi="宋体" w:eastAsia="宋体" w:cs="宋体"/>
          <w:color w:val="auto"/>
          <w:spacing w:val="16"/>
          <w:sz w:val="20"/>
          <w:szCs w:val="20"/>
        </w:rPr>
        <w:t>进行磋商。</w:t>
      </w:r>
    </w:p>
    <w:p w14:paraId="1F09F90E">
      <w:pPr>
        <w:spacing w:line="243" w:lineRule="auto"/>
        <w:rPr>
          <w:rFonts w:ascii="Arial"/>
          <w:color w:val="auto"/>
          <w:sz w:val="21"/>
        </w:rPr>
      </w:pPr>
    </w:p>
    <w:p w14:paraId="139E1ED7">
      <w:pPr>
        <w:spacing w:before="66" w:line="225" w:lineRule="auto"/>
        <w:ind w:left="495"/>
        <w:rPr>
          <w:rFonts w:ascii="宋体" w:hAnsi="宋体" w:eastAsia="宋体" w:cs="宋体"/>
          <w:color w:val="auto"/>
          <w:sz w:val="20"/>
          <w:szCs w:val="20"/>
        </w:rPr>
      </w:pPr>
      <w:r>
        <w:rPr>
          <w:rFonts w:ascii="宋体" w:hAnsi="宋体" w:eastAsia="宋体" w:cs="宋体"/>
          <w:color w:val="auto"/>
          <w:spacing w:val="22"/>
          <w:sz w:val="20"/>
          <w:szCs w:val="20"/>
        </w:rPr>
        <w:t>(</w:t>
      </w:r>
      <w:r>
        <w:rPr>
          <w:rFonts w:hint="eastAsia" w:ascii="宋体" w:hAnsi="宋体" w:eastAsia="宋体" w:cs="宋体"/>
          <w:color w:val="auto"/>
          <w:spacing w:val="16"/>
          <w:sz w:val="20"/>
          <w:szCs w:val="20"/>
          <w:lang w:val="en-US" w:eastAsia="zh-CN"/>
        </w:rPr>
        <w:t>4</w:t>
      </w:r>
      <w:r>
        <w:rPr>
          <w:rFonts w:ascii="宋体" w:hAnsi="宋体" w:eastAsia="宋体" w:cs="宋体"/>
          <w:color w:val="auto"/>
          <w:spacing w:val="11"/>
          <w:sz w:val="20"/>
          <w:szCs w:val="20"/>
        </w:rPr>
        <w:t>) 磋商文件有实质性变动的，磋商小组将以书面形式通知所有参加磋商的供应商。</w:t>
      </w:r>
    </w:p>
    <w:p w14:paraId="5D37F37D">
      <w:pPr>
        <w:spacing w:line="265" w:lineRule="auto"/>
        <w:rPr>
          <w:rFonts w:ascii="Arial"/>
          <w:color w:val="auto"/>
          <w:sz w:val="21"/>
        </w:rPr>
      </w:pPr>
    </w:p>
    <w:p w14:paraId="400020B2">
      <w:pPr>
        <w:spacing w:before="66" w:line="229" w:lineRule="auto"/>
        <w:ind w:left="444"/>
        <w:rPr>
          <w:rFonts w:ascii="宋体" w:hAnsi="宋体" w:eastAsia="宋体" w:cs="宋体"/>
          <w:color w:val="auto"/>
          <w:sz w:val="20"/>
          <w:szCs w:val="20"/>
        </w:rPr>
      </w:pPr>
      <w:r>
        <w:rPr>
          <w:rFonts w:ascii="宋体" w:hAnsi="宋体" w:eastAsia="宋体" w:cs="宋体"/>
          <w:color w:val="auto"/>
          <w:spacing w:val="2"/>
          <w:sz w:val="20"/>
          <w:szCs w:val="20"/>
        </w:rPr>
        <w:t>问题</w:t>
      </w:r>
      <w:r>
        <w:rPr>
          <w:rFonts w:ascii="宋体" w:hAnsi="宋体" w:eastAsia="宋体" w:cs="宋体"/>
          <w:color w:val="auto"/>
          <w:spacing w:val="1"/>
          <w:sz w:val="20"/>
          <w:szCs w:val="20"/>
        </w:rPr>
        <w:t>澄清</w:t>
      </w:r>
    </w:p>
    <w:p w14:paraId="09546203">
      <w:pPr>
        <w:spacing w:before="213" w:line="428" w:lineRule="auto"/>
        <w:ind w:left="1" w:right="2" w:firstLine="418"/>
        <w:rPr>
          <w:color w:val="auto"/>
        </w:rPr>
        <w:sectPr>
          <w:footerReference r:id="rId7" w:type="default"/>
          <w:pgSz w:w="11906" w:h="16839"/>
          <w:pgMar w:top="1431" w:right="1530" w:bottom="1156" w:left="1627" w:header="1134" w:footer="1077" w:gutter="0"/>
          <w:cols w:space="720" w:num="1"/>
        </w:sect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小组按照淸标整理形成成果决定是否要投标人进行书面澄清、说明或补证，若需要形成</w:t>
      </w:r>
      <w:r>
        <w:rPr>
          <w:rFonts w:ascii="宋体" w:hAnsi="宋体" w:eastAsia="宋体" w:cs="宋体"/>
          <w:color w:val="auto"/>
          <w:spacing w:val="10"/>
          <w:sz w:val="20"/>
          <w:szCs w:val="20"/>
        </w:rPr>
        <w:t>质疑问卷， 向投标人发出问题澄清通知 (包括质疑问卷) 。投标人针对评委会提出的问题在</w:t>
      </w:r>
      <w:r>
        <w:rPr>
          <w:rFonts w:ascii="宋体" w:hAnsi="宋体" w:eastAsia="宋体" w:cs="宋体"/>
          <w:color w:val="auto"/>
          <w:spacing w:val="15"/>
          <w:sz w:val="20"/>
          <w:szCs w:val="20"/>
        </w:rPr>
        <w:t>规</w:t>
      </w:r>
      <w:r>
        <w:rPr>
          <w:rFonts w:ascii="宋体" w:hAnsi="宋体" w:eastAsia="宋体" w:cs="宋体"/>
          <w:color w:val="auto"/>
          <w:spacing w:val="8"/>
          <w:sz w:val="20"/>
          <w:szCs w:val="20"/>
        </w:rPr>
        <w:t>定的时间内做澄清说明补证。</w:t>
      </w:r>
    </w:p>
    <w:p w14:paraId="32340D2D">
      <w:pPr>
        <w:pStyle w:val="18"/>
        <w:keepNext w:val="0"/>
        <w:keepLines w:val="0"/>
        <w:pageBreakBefore/>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pPr>
      <w:bookmarkStart w:id="37" w:name="_Toc26426"/>
      <w:bookmarkStart w:id="38" w:name="_Toc492286392"/>
      <w:bookmarkStart w:id="39" w:name="_Toc386"/>
      <w:bookmarkStart w:id="40" w:name="_Toc22445"/>
      <w:bookmarkStart w:id="41" w:name="_Toc509318020"/>
      <w:bookmarkStart w:id="42" w:name="_Toc19513"/>
      <w:r>
        <w:rPr>
          <w:rFonts w:hint="eastAsia" w:ascii="宋体" w:hAnsi="宋体" w:eastAsia="宋体" w:cs="宋体"/>
          <w:bCs w:val="0"/>
          <w:snapToGrid w:val="0"/>
          <w:color w:val="auto"/>
          <w:spacing w:val="7"/>
          <w:kern w:val="0"/>
          <w:position w:val="1"/>
          <w:sz w:val="20"/>
          <w:szCs w:val="20"/>
          <w:lang w:val="en-US" w:eastAsia="zh-CN"/>
          <w14:textOutline w14:w="3795" w14:cap="sq" w14:cmpd="sng">
            <w14:solidFill>
              <w14:srgbClr w14:val="000000"/>
            </w14:solidFill>
            <w14:prstDash w14:val="solid"/>
            <w14:bevel/>
          </w14:textOutline>
        </w:rPr>
        <w:t>4</w:t>
      </w:r>
      <w:r>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t>、资格审查</w:t>
      </w:r>
      <w:bookmarkEnd w:id="37"/>
      <w:bookmarkEnd w:id="38"/>
      <w:bookmarkEnd w:id="39"/>
      <w:bookmarkEnd w:id="40"/>
      <w:bookmarkEnd w:id="41"/>
      <w:bookmarkEnd w:id="42"/>
    </w:p>
    <w:p w14:paraId="24FE69DC">
      <w:pPr>
        <w:pStyle w:val="18"/>
        <w:spacing w:line="440" w:lineRule="exact"/>
        <w:ind w:firstLine="452" w:firstLineChars="200"/>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磋商小组依据磋商文件，对响应文件中的资格证明文件等进行审查，以确定供应商是否具备磋商资格。审查内容如下：</w:t>
      </w:r>
    </w:p>
    <w:tbl>
      <w:tblPr>
        <w:tblStyle w:val="14"/>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91"/>
        <w:gridCol w:w="4726"/>
        <w:gridCol w:w="1824"/>
        <w:gridCol w:w="823"/>
        <w:gridCol w:w="851"/>
        <w:gridCol w:w="630"/>
      </w:tblGrid>
      <w:tr w14:paraId="1EB6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32" w:type="dxa"/>
            <w:tcBorders>
              <w:bottom w:val="single" w:color="auto" w:sz="4" w:space="0"/>
            </w:tcBorders>
            <w:vAlign w:val="center"/>
          </w:tcPr>
          <w:p w14:paraId="7980FAF5">
            <w:pPr>
              <w:pStyle w:val="11"/>
              <w:ind w:right="-73" w:rightChars="-35"/>
              <w:jc w:val="both"/>
              <w:rPr>
                <w:rFonts w:hint="eastAsia" w:ascii="宋体" w:hAnsi="宋体" w:eastAsia="宋体" w:cs="宋体"/>
                <w:bCs w:val="0"/>
                <w:snapToGrid w:val="0"/>
                <w:color w:val="auto"/>
                <w:spacing w:val="13"/>
                <w:kern w:val="0"/>
                <w:sz w:val="20"/>
                <w:szCs w:val="20"/>
                <w:lang w:val="en-US"/>
              </w:rPr>
            </w:pPr>
            <w:bookmarkStart w:id="43" w:name="_Toc492286395"/>
            <w:bookmarkStart w:id="44" w:name="_Toc509318023"/>
            <w:bookmarkStart w:id="45" w:name="_Toc31761"/>
            <w:r>
              <w:rPr>
                <w:rFonts w:hint="eastAsia" w:ascii="宋体" w:hAnsi="宋体" w:eastAsia="宋体" w:cs="宋体"/>
                <w:bCs w:val="0"/>
                <w:snapToGrid w:val="0"/>
                <w:color w:val="auto"/>
                <w:spacing w:val="13"/>
                <w:kern w:val="0"/>
                <w:sz w:val="20"/>
                <w:szCs w:val="20"/>
                <w:lang w:val="en-US"/>
              </w:rPr>
              <w:t>序号</w:t>
            </w:r>
          </w:p>
        </w:tc>
        <w:tc>
          <w:tcPr>
            <w:tcW w:w="4917" w:type="dxa"/>
            <w:gridSpan w:val="2"/>
            <w:tcBorders>
              <w:bottom w:val="single" w:color="auto" w:sz="4" w:space="0"/>
            </w:tcBorders>
            <w:vAlign w:val="center"/>
          </w:tcPr>
          <w:p w14:paraId="4575E173">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评审内容及标准</w:t>
            </w:r>
          </w:p>
        </w:tc>
        <w:tc>
          <w:tcPr>
            <w:tcW w:w="1824" w:type="dxa"/>
            <w:tcBorders>
              <w:bottom w:val="single" w:color="auto" w:sz="4" w:space="0"/>
            </w:tcBorders>
            <w:vAlign w:val="center"/>
          </w:tcPr>
          <w:p w14:paraId="63DCA224">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要求说明</w:t>
            </w:r>
          </w:p>
        </w:tc>
        <w:tc>
          <w:tcPr>
            <w:tcW w:w="823" w:type="dxa"/>
            <w:tcBorders>
              <w:bottom w:val="single" w:color="auto" w:sz="4" w:space="0"/>
            </w:tcBorders>
            <w:vAlign w:val="center"/>
          </w:tcPr>
          <w:p w14:paraId="03E906AE">
            <w:pPr>
              <w:pStyle w:val="11"/>
              <w:ind w:right="-73" w:rightChars="-35"/>
              <w:jc w:val="center"/>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供应商</w:t>
            </w:r>
            <w:r>
              <w:rPr>
                <w:rFonts w:hint="eastAsia" w:ascii="宋体" w:hAnsi="宋体" w:eastAsia="宋体" w:cs="宋体"/>
                <w:bCs w:val="0"/>
                <w:snapToGrid w:val="0"/>
                <w:color w:val="auto"/>
                <w:spacing w:val="13"/>
                <w:kern w:val="0"/>
                <w:sz w:val="20"/>
                <w:szCs w:val="20"/>
                <w:lang w:val="en-US" w:eastAsia="zh-CN"/>
              </w:rPr>
              <w:t>1</w:t>
            </w:r>
          </w:p>
        </w:tc>
        <w:tc>
          <w:tcPr>
            <w:tcW w:w="851" w:type="dxa"/>
            <w:tcBorders>
              <w:bottom w:val="single" w:color="auto" w:sz="4" w:space="0"/>
            </w:tcBorders>
            <w:vAlign w:val="center"/>
          </w:tcPr>
          <w:p w14:paraId="6E6BE38B">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供应商2</w:t>
            </w:r>
          </w:p>
        </w:tc>
        <w:tc>
          <w:tcPr>
            <w:tcW w:w="630" w:type="dxa"/>
            <w:tcBorders>
              <w:bottom w:val="single" w:color="auto" w:sz="4" w:space="0"/>
            </w:tcBorders>
            <w:vAlign w:val="center"/>
          </w:tcPr>
          <w:p w14:paraId="71812D04">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eastAsia="zh-CN"/>
              </w:rPr>
              <w:t>...</w:t>
            </w:r>
          </w:p>
        </w:tc>
      </w:tr>
      <w:tr w14:paraId="0388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632" w:type="dxa"/>
            <w:vAlign w:val="center"/>
          </w:tcPr>
          <w:p w14:paraId="3C33A6F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1</w:t>
            </w:r>
          </w:p>
        </w:tc>
        <w:tc>
          <w:tcPr>
            <w:tcW w:w="4917" w:type="dxa"/>
            <w:gridSpan w:val="2"/>
            <w:vAlign w:val="center"/>
          </w:tcPr>
          <w:p w14:paraId="7F841B65">
            <w:pPr>
              <w:pStyle w:val="11"/>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供应商应为中小企业</w:t>
            </w:r>
          </w:p>
        </w:tc>
        <w:tc>
          <w:tcPr>
            <w:tcW w:w="1824" w:type="dxa"/>
            <w:vAlign w:val="center"/>
          </w:tcPr>
          <w:p w14:paraId="1AE6962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请根据要求单独上传《中小企业声明函》。格式以采购文件要求为准</w:t>
            </w:r>
          </w:p>
        </w:tc>
        <w:tc>
          <w:tcPr>
            <w:tcW w:w="823" w:type="dxa"/>
            <w:vAlign w:val="center"/>
          </w:tcPr>
          <w:p w14:paraId="63307FE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10C0E14E">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040A2A2E">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992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5" w:hRule="atLeast"/>
        </w:trPr>
        <w:tc>
          <w:tcPr>
            <w:tcW w:w="632" w:type="dxa"/>
            <w:vAlign w:val="center"/>
          </w:tcPr>
          <w:p w14:paraId="42117867">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2</w:t>
            </w:r>
          </w:p>
        </w:tc>
        <w:tc>
          <w:tcPr>
            <w:tcW w:w="4917" w:type="dxa"/>
            <w:gridSpan w:val="2"/>
            <w:vAlign w:val="center"/>
          </w:tcPr>
          <w:p w14:paraId="4F3898AF">
            <w:pPr>
              <w:pStyle w:val="11"/>
              <w:ind w:right="-73" w:rightChars="-35"/>
              <w:jc w:val="both"/>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1）企业具有[水利水电工程施工总承包贰级](含)以上资质、企业安全生产许可证；（2）拟派项目负责人具有二级（含）以上建造师资格（水利水电工程专业）和安全生产考核合格证书B证（均合格有效），且不得担任其他在建工程项目的项目负责人，技术负责人、施工员、质检员、安全员、资料员、材料员等项目管理机构班组人员必须持证上岗（3）根据《关于在招标投标活动中对失信被执行人实施联合惩戒的通知》之规定，供应商应通过“信用中国”网站（www.creditchina.gov.cn）和“中国政府采购网”（ www.ccgp.gov.cn）查询未被列为失信被执行人、重大税收违法案件当事人名单、政府采购严重违法失信行为记录名单。</w:t>
            </w:r>
          </w:p>
        </w:tc>
        <w:tc>
          <w:tcPr>
            <w:tcW w:w="1824" w:type="dxa"/>
            <w:vAlign w:val="center"/>
          </w:tcPr>
          <w:p w14:paraId="17AD1546">
            <w:pPr>
              <w:pStyle w:val="11"/>
              <w:ind w:right="-73" w:rightChars="-35"/>
              <w:jc w:val="both"/>
              <w:rPr>
                <w:rFonts w:hint="default" w:ascii="宋体" w:hAnsi="宋体" w:eastAsia="宋体" w:cs="宋体"/>
                <w:bCs w:val="0"/>
                <w:snapToGrid w:val="0"/>
                <w:color w:val="auto"/>
                <w:spacing w:val="13"/>
                <w:kern w:val="0"/>
                <w:sz w:val="20"/>
                <w:szCs w:val="20"/>
                <w:highlight w:val="none"/>
                <w:lang w:val="en-US" w:eastAsia="zh-CN"/>
              </w:rPr>
            </w:pPr>
            <w:r>
              <w:rPr>
                <w:rFonts w:hint="eastAsia" w:ascii="宋体" w:hAnsi="宋体" w:eastAsia="宋体" w:cs="宋体"/>
                <w:bCs w:val="0"/>
                <w:snapToGrid w:val="0"/>
                <w:color w:val="auto"/>
                <w:spacing w:val="13"/>
                <w:kern w:val="0"/>
                <w:sz w:val="20"/>
                <w:szCs w:val="20"/>
                <w:highlight w:val="none"/>
                <w:lang w:val="en-US" w:eastAsia="zh-CN"/>
              </w:rPr>
              <w:t>上传企业资质证书、</w:t>
            </w:r>
            <w:r>
              <w:rPr>
                <w:rFonts w:hint="eastAsia" w:ascii="宋体" w:hAnsi="宋体" w:eastAsia="宋体" w:cs="宋体"/>
                <w:bCs w:val="0"/>
                <w:snapToGrid w:val="0"/>
                <w:color w:val="auto"/>
                <w:spacing w:val="13"/>
                <w:kern w:val="0"/>
                <w:sz w:val="20"/>
                <w:szCs w:val="20"/>
                <w:highlight w:val="none"/>
                <w:lang w:val="en-US" w:eastAsia="zh-CN" w:bidi="ar-SA"/>
              </w:rPr>
              <w:t>安全生产许可证，项目负责人建造师证书和安全生产考核合格证书，项目负责人无在建工程承诺及项目管理机构班组人员证书；“信用中国”网站和“中国政府采购网”查询截图（加盖公章）</w:t>
            </w:r>
          </w:p>
        </w:tc>
        <w:tc>
          <w:tcPr>
            <w:tcW w:w="823" w:type="dxa"/>
            <w:vAlign w:val="center"/>
          </w:tcPr>
          <w:p w14:paraId="349B684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0809075D">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53D29017">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245B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632" w:type="dxa"/>
            <w:vAlign w:val="center"/>
          </w:tcPr>
          <w:p w14:paraId="64890259">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3</w:t>
            </w:r>
          </w:p>
        </w:tc>
        <w:tc>
          <w:tcPr>
            <w:tcW w:w="4917" w:type="dxa"/>
            <w:gridSpan w:val="2"/>
            <w:vAlign w:val="center"/>
          </w:tcPr>
          <w:p w14:paraId="36D5D598">
            <w:pPr>
              <w:pStyle w:val="11"/>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供应商单位法定代表人或其授权代表签字或 (章) 和加盖投标单位公章的；</w:t>
            </w:r>
          </w:p>
        </w:tc>
        <w:tc>
          <w:tcPr>
            <w:tcW w:w="1824" w:type="dxa"/>
            <w:vAlign w:val="center"/>
          </w:tcPr>
          <w:p w14:paraId="5445548E">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上传法定代表人身份证明或授权委托书</w:t>
            </w:r>
          </w:p>
        </w:tc>
        <w:tc>
          <w:tcPr>
            <w:tcW w:w="823" w:type="dxa"/>
            <w:vAlign w:val="center"/>
          </w:tcPr>
          <w:p w14:paraId="2FD3346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0EB7DCB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3A44399E">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D8F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632" w:type="dxa"/>
            <w:vAlign w:val="center"/>
          </w:tcPr>
          <w:p w14:paraId="347BA72D">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4</w:t>
            </w:r>
          </w:p>
        </w:tc>
        <w:tc>
          <w:tcPr>
            <w:tcW w:w="4917" w:type="dxa"/>
            <w:gridSpan w:val="2"/>
            <w:vAlign w:val="center"/>
          </w:tcPr>
          <w:p w14:paraId="53841E5D">
            <w:pPr>
              <w:pStyle w:val="11"/>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提供合格的营业执照；</w:t>
            </w:r>
          </w:p>
        </w:tc>
        <w:tc>
          <w:tcPr>
            <w:tcW w:w="1824" w:type="dxa"/>
            <w:vAlign w:val="center"/>
          </w:tcPr>
          <w:p w14:paraId="79C54D3E">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上传营业执照</w:t>
            </w:r>
          </w:p>
        </w:tc>
        <w:tc>
          <w:tcPr>
            <w:tcW w:w="823" w:type="dxa"/>
            <w:vAlign w:val="center"/>
          </w:tcPr>
          <w:p w14:paraId="5FF32AF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39805DB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6816E0F3">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223B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632" w:type="dxa"/>
            <w:vAlign w:val="center"/>
          </w:tcPr>
          <w:p w14:paraId="2F3B0F42">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5</w:t>
            </w:r>
          </w:p>
        </w:tc>
        <w:tc>
          <w:tcPr>
            <w:tcW w:w="4917" w:type="dxa"/>
            <w:gridSpan w:val="2"/>
            <w:vAlign w:val="center"/>
          </w:tcPr>
          <w:p w14:paraId="3606DBA6">
            <w:pPr>
              <w:pStyle w:val="11"/>
              <w:ind w:right="-73" w:rightChars="-35"/>
              <w:jc w:val="both"/>
              <w:rPr>
                <w:rFonts w:hint="eastAsia" w:ascii="宋体" w:hAnsi="宋体" w:eastAsia="宋体" w:cs="宋体"/>
                <w:bCs w:val="0"/>
                <w:snapToGrid w:val="0"/>
                <w:color w:val="auto"/>
                <w:spacing w:val="13"/>
                <w:kern w:val="0"/>
                <w:sz w:val="20"/>
                <w:szCs w:val="20"/>
                <w:lang w:val="en-US" w:eastAsia="zh-CN" w:bidi="ar-SA"/>
              </w:rPr>
            </w:pPr>
            <w:r>
              <w:rPr>
                <w:rFonts w:hint="eastAsia" w:ascii="宋体" w:hAnsi="宋体" w:eastAsia="宋体" w:cs="宋体"/>
                <w:bCs w:val="0"/>
                <w:snapToGrid w:val="0"/>
                <w:color w:val="auto"/>
                <w:spacing w:val="13"/>
                <w:kern w:val="0"/>
                <w:sz w:val="20"/>
                <w:szCs w:val="20"/>
                <w:lang w:val="en-US" w:eastAsia="zh-CN" w:bidi="ar-SA"/>
              </w:rPr>
              <w:t>投标单位根据本项目情况填写项目管理机构表，如中标后本单位投标文件中项目管理机构人员必须人岗合一，如不能满足采购单位将取消投标单位中标资格，采购单位重新招标，对采购单位因此造成的损失进行赔偿，并报管理部门进行处罚（提供项目管理机构人员每月到岗天数承诺书，格式可自行起草</w:t>
            </w:r>
          </w:p>
        </w:tc>
        <w:tc>
          <w:tcPr>
            <w:tcW w:w="1824" w:type="dxa"/>
            <w:vAlign w:val="center"/>
          </w:tcPr>
          <w:p w14:paraId="676C625A">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上传承诺书</w:t>
            </w:r>
          </w:p>
        </w:tc>
        <w:tc>
          <w:tcPr>
            <w:tcW w:w="823" w:type="dxa"/>
            <w:vAlign w:val="center"/>
          </w:tcPr>
          <w:p w14:paraId="53D1C03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49C2EB6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28F3F74C">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0468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549" w:type="dxa"/>
            <w:gridSpan w:val="3"/>
            <w:vAlign w:val="center"/>
          </w:tcPr>
          <w:p w14:paraId="291AAE70">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结论：是否通过（资格审查合格后方可进入符合性审查阶段）</w:t>
            </w:r>
          </w:p>
        </w:tc>
        <w:tc>
          <w:tcPr>
            <w:tcW w:w="1824" w:type="dxa"/>
            <w:vAlign w:val="center"/>
          </w:tcPr>
          <w:p w14:paraId="250454D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23" w:type="dxa"/>
            <w:vAlign w:val="center"/>
          </w:tcPr>
          <w:p w14:paraId="3886D9F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51" w:type="dxa"/>
            <w:vAlign w:val="center"/>
          </w:tcPr>
          <w:p w14:paraId="4463C26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30" w:type="dxa"/>
            <w:vAlign w:val="center"/>
          </w:tcPr>
          <w:p w14:paraId="6C83BE23">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3D0B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823" w:type="dxa"/>
            <w:gridSpan w:val="2"/>
            <w:vAlign w:val="center"/>
          </w:tcPr>
          <w:p w14:paraId="4CB3AA9D">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8854" w:type="dxa"/>
            <w:gridSpan w:val="5"/>
            <w:vAlign w:val="center"/>
          </w:tcPr>
          <w:p w14:paraId="3C247F48">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备注：如果投标文件中有一项未通过上述审查标准，评标委员会将认定整个投标文件不响应</w:t>
            </w:r>
            <w:r>
              <w:rPr>
                <w:rFonts w:hint="eastAsia" w:ascii="宋体" w:hAnsi="宋体" w:eastAsia="宋体" w:cs="宋体"/>
                <w:bCs w:val="0"/>
                <w:snapToGrid w:val="0"/>
                <w:color w:val="auto"/>
                <w:spacing w:val="13"/>
                <w:kern w:val="0"/>
                <w:sz w:val="20"/>
                <w:szCs w:val="20"/>
                <w:lang w:val="en-US" w:eastAsia="zh-CN"/>
              </w:rPr>
              <w:t>磋商文件</w:t>
            </w:r>
            <w:r>
              <w:rPr>
                <w:rFonts w:hint="eastAsia" w:ascii="宋体" w:hAnsi="宋体" w:eastAsia="宋体" w:cs="宋体"/>
                <w:bCs w:val="0"/>
                <w:snapToGrid w:val="0"/>
                <w:color w:val="auto"/>
                <w:spacing w:val="13"/>
                <w:kern w:val="0"/>
                <w:sz w:val="20"/>
                <w:szCs w:val="20"/>
                <w:lang w:val="en-US"/>
              </w:rPr>
              <w:t>而予以投标无效，并且不允许供应商通过修改或撤销其不符合要求的差异或保留，使之成为具有响应性的投标。通过审核的以“√”标记；未通过的以“×”标记，并予以说明。</w:t>
            </w:r>
          </w:p>
        </w:tc>
      </w:tr>
    </w:tbl>
    <w:p w14:paraId="7432D0AC">
      <w:pPr>
        <w:pStyle w:val="18"/>
        <w:spacing w:line="440" w:lineRule="exact"/>
        <w:jc w:val="both"/>
        <w:rPr>
          <w:rFonts w:hint="eastAsia" w:ascii="宋体" w:hAnsi="宋体" w:eastAsia="宋体" w:cs="宋体"/>
          <w:bCs w:val="0"/>
          <w:snapToGrid w:val="0"/>
          <w:color w:val="auto"/>
          <w:spacing w:val="13"/>
          <w:kern w:val="0"/>
          <w:sz w:val="20"/>
          <w:szCs w:val="20"/>
        </w:rPr>
      </w:pPr>
    </w:p>
    <w:p w14:paraId="1705CB18">
      <w:pPr>
        <w:pStyle w:val="18"/>
        <w:spacing w:line="440" w:lineRule="exact"/>
        <w:jc w:val="both"/>
        <w:rPr>
          <w:rFonts w:hint="eastAsia" w:ascii="宋体" w:hAnsi="宋体" w:eastAsia="宋体" w:cs="宋体"/>
          <w:bCs w:val="0"/>
          <w:snapToGrid w:val="0"/>
          <w:color w:val="auto"/>
          <w:spacing w:val="13"/>
          <w:kern w:val="0"/>
          <w:sz w:val="20"/>
          <w:szCs w:val="20"/>
        </w:rPr>
      </w:pPr>
    </w:p>
    <w:p w14:paraId="04452183">
      <w:pPr>
        <w:pStyle w:val="18"/>
        <w:spacing w:line="440" w:lineRule="exact"/>
        <w:jc w:val="both"/>
        <w:rPr>
          <w:rFonts w:hint="eastAsia" w:ascii="宋体" w:hAnsi="宋体" w:eastAsia="宋体" w:cs="宋体"/>
          <w:bCs w:val="0"/>
          <w:snapToGrid w:val="0"/>
          <w:color w:val="auto"/>
          <w:spacing w:val="13"/>
          <w:kern w:val="0"/>
          <w:sz w:val="20"/>
          <w:szCs w:val="20"/>
        </w:rPr>
      </w:pPr>
    </w:p>
    <w:p w14:paraId="6E372D2B">
      <w:pPr>
        <w:pStyle w:val="18"/>
        <w:spacing w:line="440" w:lineRule="exact"/>
        <w:jc w:val="both"/>
        <w:rPr>
          <w:rFonts w:hint="eastAsia" w:ascii="宋体" w:hAnsi="宋体" w:eastAsia="宋体" w:cs="宋体"/>
          <w:bCs w:val="0"/>
          <w:snapToGrid w:val="0"/>
          <w:color w:val="auto"/>
          <w:spacing w:val="13"/>
          <w:kern w:val="0"/>
          <w:sz w:val="20"/>
          <w:szCs w:val="20"/>
        </w:rPr>
      </w:pPr>
    </w:p>
    <w:p w14:paraId="1674FBE9">
      <w:pPr>
        <w:pStyle w:val="18"/>
        <w:spacing w:line="440" w:lineRule="exact"/>
        <w:jc w:val="both"/>
        <w:rPr>
          <w:rFonts w:hint="eastAsia" w:ascii="宋体" w:hAnsi="宋体" w:eastAsia="宋体" w:cs="宋体"/>
          <w:bCs w:val="0"/>
          <w:snapToGrid w:val="0"/>
          <w:color w:val="auto"/>
          <w:spacing w:val="13"/>
          <w:kern w:val="0"/>
          <w:sz w:val="20"/>
          <w:szCs w:val="20"/>
        </w:rPr>
      </w:pPr>
    </w:p>
    <w:p w14:paraId="6C1F28D5">
      <w:pPr>
        <w:pStyle w:val="18"/>
        <w:spacing w:line="440" w:lineRule="exact"/>
        <w:jc w:val="both"/>
        <w:rPr>
          <w:rFonts w:hint="eastAsia" w:ascii="宋体" w:hAnsi="宋体" w:eastAsia="宋体" w:cs="宋体"/>
          <w:bCs w:val="0"/>
          <w:snapToGrid w:val="0"/>
          <w:color w:val="auto"/>
          <w:spacing w:val="13"/>
          <w:kern w:val="0"/>
          <w:sz w:val="20"/>
          <w:szCs w:val="20"/>
        </w:rPr>
      </w:pPr>
    </w:p>
    <w:p w14:paraId="29317384">
      <w:pPr>
        <w:pStyle w:val="18"/>
        <w:spacing w:line="440" w:lineRule="exact"/>
        <w:jc w:val="both"/>
        <w:rPr>
          <w:rFonts w:hint="eastAsia" w:ascii="宋体" w:hAnsi="宋体" w:eastAsia="宋体" w:cs="宋体"/>
          <w:bCs w:val="0"/>
          <w:snapToGrid w:val="0"/>
          <w:color w:val="auto"/>
          <w:spacing w:val="13"/>
          <w:kern w:val="0"/>
          <w:sz w:val="20"/>
          <w:szCs w:val="20"/>
        </w:rPr>
      </w:pPr>
    </w:p>
    <w:p w14:paraId="67C7145E">
      <w:pPr>
        <w:pStyle w:val="18"/>
        <w:spacing w:line="440" w:lineRule="exact"/>
        <w:jc w:val="both"/>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pPr>
      <w:r>
        <w:rPr>
          <w:rFonts w:hint="eastAsia" w:ascii="宋体" w:hAnsi="宋体" w:eastAsia="宋体" w:cs="宋体"/>
          <w:bCs w:val="0"/>
          <w:snapToGrid w:val="0"/>
          <w:color w:val="auto"/>
          <w:spacing w:val="7"/>
          <w:kern w:val="0"/>
          <w:position w:val="1"/>
          <w:sz w:val="20"/>
          <w:szCs w:val="20"/>
          <w:lang w:val="en-US" w:eastAsia="zh-CN"/>
          <w14:textOutline w14:w="3795" w14:cap="sq" w14:cmpd="sng">
            <w14:solidFill>
              <w14:srgbClr w14:val="000000"/>
            </w14:solidFill>
            <w14:prstDash w14:val="solid"/>
            <w14:bevel/>
          </w14:textOutline>
        </w:rPr>
        <w:t>5</w:t>
      </w:r>
      <w:r>
        <w:rPr>
          <w:rFonts w:hint="eastAsia" w:ascii="宋体" w:hAnsi="宋体" w:eastAsia="宋体" w:cs="宋体"/>
          <w:bCs w:val="0"/>
          <w:snapToGrid w:val="0"/>
          <w:color w:val="auto"/>
          <w:spacing w:val="7"/>
          <w:kern w:val="0"/>
          <w:position w:val="1"/>
          <w:sz w:val="20"/>
          <w:szCs w:val="20"/>
          <w14:textOutline w14:w="3795" w14:cap="sq" w14:cmpd="sng">
            <w14:solidFill>
              <w14:srgbClr w14:val="000000"/>
            </w14:solidFill>
            <w14:prstDash w14:val="solid"/>
            <w14:bevel/>
          </w14:textOutline>
        </w:rPr>
        <w:t>、符合性审查</w:t>
      </w:r>
      <w:bookmarkEnd w:id="43"/>
      <w:bookmarkEnd w:id="44"/>
      <w:bookmarkEnd w:id="45"/>
    </w:p>
    <w:p w14:paraId="558F45B9">
      <w:pPr>
        <w:pStyle w:val="18"/>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cs="宋体"/>
          <w:bCs w:val="0"/>
          <w:snapToGrid w:val="0"/>
          <w:color w:val="auto"/>
          <w:spacing w:val="13"/>
          <w:kern w:val="0"/>
          <w:sz w:val="20"/>
          <w:szCs w:val="20"/>
          <w:lang w:val="en-US" w:eastAsia="zh-CN"/>
        </w:rPr>
        <w:t>5</w:t>
      </w:r>
      <w:r>
        <w:rPr>
          <w:rFonts w:hint="eastAsia" w:ascii="宋体" w:hAnsi="宋体" w:eastAsia="宋体" w:cs="宋体"/>
          <w:bCs w:val="0"/>
          <w:snapToGrid w:val="0"/>
          <w:color w:val="auto"/>
          <w:spacing w:val="13"/>
          <w:kern w:val="0"/>
          <w:sz w:val="20"/>
          <w:szCs w:val="20"/>
        </w:rPr>
        <w:t>.1 磋商小组依据磋商文件，对响应文件的有效性、完整性和对磋商文件的响应程度进行审查，以确定供应商是否对磋商文件的实质性要求做出响应。审查内容如下：</w:t>
      </w:r>
    </w:p>
    <w:tbl>
      <w:tblPr>
        <w:tblStyle w:val="14"/>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314"/>
        <w:gridCol w:w="915"/>
        <w:gridCol w:w="765"/>
        <w:gridCol w:w="625"/>
      </w:tblGrid>
      <w:tr w14:paraId="3160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75" w:type="dxa"/>
            <w:tcBorders>
              <w:bottom w:val="single" w:color="auto" w:sz="4" w:space="0"/>
            </w:tcBorders>
            <w:vAlign w:val="center"/>
          </w:tcPr>
          <w:p w14:paraId="288CF45E">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项目</w:t>
            </w:r>
          </w:p>
        </w:tc>
        <w:tc>
          <w:tcPr>
            <w:tcW w:w="6851" w:type="dxa"/>
            <w:gridSpan w:val="2"/>
            <w:tcBorders>
              <w:bottom w:val="single" w:color="auto" w:sz="4" w:space="0"/>
            </w:tcBorders>
            <w:vAlign w:val="center"/>
          </w:tcPr>
          <w:p w14:paraId="0EF38E8C">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评  审  内  容</w:t>
            </w:r>
          </w:p>
        </w:tc>
        <w:tc>
          <w:tcPr>
            <w:tcW w:w="915" w:type="dxa"/>
            <w:tcBorders>
              <w:bottom w:val="single" w:color="auto" w:sz="4" w:space="0"/>
            </w:tcBorders>
            <w:vAlign w:val="center"/>
          </w:tcPr>
          <w:p w14:paraId="21BB463C">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供应商1</w:t>
            </w:r>
          </w:p>
        </w:tc>
        <w:tc>
          <w:tcPr>
            <w:tcW w:w="765" w:type="dxa"/>
            <w:tcBorders>
              <w:bottom w:val="single" w:color="auto" w:sz="4" w:space="0"/>
            </w:tcBorders>
            <w:vAlign w:val="center"/>
          </w:tcPr>
          <w:p w14:paraId="0FBB1FFA">
            <w:pPr>
              <w:pStyle w:val="11"/>
              <w:ind w:right="-73" w:rightChars="-35"/>
              <w:jc w:val="center"/>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供应商2</w:t>
            </w:r>
          </w:p>
        </w:tc>
        <w:tc>
          <w:tcPr>
            <w:tcW w:w="625" w:type="dxa"/>
            <w:tcBorders>
              <w:bottom w:val="single" w:color="auto" w:sz="4" w:space="0"/>
            </w:tcBorders>
            <w:vAlign w:val="center"/>
          </w:tcPr>
          <w:p w14:paraId="5A972E35">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eastAsia="zh-CN"/>
              </w:rPr>
              <w:t>...</w:t>
            </w:r>
          </w:p>
        </w:tc>
      </w:tr>
      <w:tr w14:paraId="39D5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675" w:type="dxa"/>
            <w:vMerge w:val="restart"/>
            <w:vAlign w:val="center"/>
          </w:tcPr>
          <w:p w14:paraId="5B6804B5">
            <w:pPr>
              <w:pStyle w:val="11"/>
              <w:ind w:right="-73" w:rightChars="-35"/>
              <w:jc w:val="both"/>
              <w:rPr>
                <w:rFonts w:hint="eastAsia" w:ascii="宋体" w:hAnsi="宋体" w:eastAsia="宋体" w:cs="宋体"/>
                <w:bCs w:val="0"/>
                <w:snapToGrid w:val="0"/>
                <w:color w:val="auto"/>
                <w:spacing w:val="13"/>
                <w:kern w:val="0"/>
                <w:sz w:val="20"/>
                <w:szCs w:val="20"/>
                <w:lang w:val="en-US"/>
              </w:rPr>
            </w:pPr>
          </w:p>
          <w:p w14:paraId="6236CF88">
            <w:pPr>
              <w:pStyle w:val="11"/>
              <w:ind w:right="-73" w:rightChars="-35"/>
              <w:jc w:val="both"/>
              <w:rPr>
                <w:rFonts w:hint="eastAsia" w:ascii="宋体" w:hAnsi="宋体" w:eastAsia="宋体" w:cs="宋体"/>
                <w:bCs w:val="0"/>
                <w:snapToGrid w:val="0"/>
                <w:color w:val="auto"/>
                <w:spacing w:val="13"/>
                <w:kern w:val="0"/>
                <w:sz w:val="20"/>
                <w:szCs w:val="20"/>
                <w:lang w:val="en-US"/>
              </w:rPr>
            </w:pPr>
          </w:p>
          <w:p w14:paraId="300DCB37">
            <w:pPr>
              <w:pStyle w:val="11"/>
              <w:ind w:right="-73" w:rightChars="-35"/>
              <w:jc w:val="both"/>
              <w:rPr>
                <w:rFonts w:hint="eastAsia" w:ascii="宋体" w:hAnsi="宋体" w:eastAsia="宋体" w:cs="宋体"/>
                <w:bCs w:val="0"/>
                <w:snapToGrid w:val="0"/>
                <w:color w:val="auto"/>
                <w:spacing w:val="13"/>
                <w:kern w:val="0"/>
                <w:sz w:val="20"/>
                <w:szCs w:val="20"/>
                <w:lang w:val="en-US"/>
              </w:rPr>
            </w:pPr>
          </w:p>
          <w:p w14:paraId="10447D5C">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符</w:t>
            </w:r>
          </w:p>
          <w:p w14:paraId="214E6457">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合</w:t>
            </w:r>
          </w:p>
          <w:p w14:paraId="1C771DF5">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性</w:t>
            </w:r>
          </w:p>
          <w:p w14:paraId="1AA4F3F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审</w:t>
            </w:r>
          </w:p>
          <w:p w14:paraId="5FE0B2A1">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查</w:t>
            </w:r>
          </w:p>
          <w:p w14:paraId="7BA9865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7B57ADDD">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w:t>
            </w:r>
          </w:p>
        </w:tc>
        <w:tc>
          <w:tcPr>
            <w:tcW w:w="6314" w:type="dxa"/>
            <w:vAlign w:val="center"/>
          </w:tcPr>
          <w:p w14:paraId="3D1AA466">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响应文件是否针对同一工程出现了两个或两个以上的报价；报价是否超过项目最高限价或经评标委员会认定低于成本的</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24769FBF">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278A84E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04922F2C">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B40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75" w:type="dxa"/>
            <w:vMerge w:val="continue"/>
            <w:vAlign w:val="center"/>
          </w:tcPr>
          <w:p w14:paraId="10ECD34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2B8A59C">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2</w:t>
            </w:r>
          </w:p>
        </w:tc>
        <w:tc>
          <w:tcPr>
            <w:tcW w:w="6314" w:type="dxa"/>
            <w:vAlign w:val="center"/>
          </w:tcPr>
          <w:p w14:paraId="33392E8E">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响应</w:t>
            </w:r>
            <w:r>
              <w:rPr>
                <w:rFonts w:hint="eastAsia" w:ascii="宋体" w:hAnsi="宋体" w:eastAsia="宋体" w:cs="宋体"/>
                <w:bCs w:val="0"/>
                <w:snapToGrid w:val="0"/>
                <w:color w:val="auto"/>
                <w:spacing w:val="13"/>
                <w:kern w:val="0"/>
                <w:sz w:val="20"/>
                <w:szCs w:val="20"/>
                <w:lang w:val="en-US"/>
              </w:rPr>
              <w:t>文件是否按</w:t>
            </w:r>
            <w:r>
              <w:rPr>
                <w:rFonts w:hint="eastAsia" w:ascii="宋体" w:hAnsi="宋体" w:eastAsia="宋体" w:cs="宋体"/>
                <w:bCs w:val="0"/>
                <w:snapToGrid w:val="0"/>
                <w:color w:val="auto"/>
                <w:spacing w:val="13"/>
                <w:kern w:val="0"/>
                <w:sz w:val="20"/>
                <w:szCs w:val="20"/>
                <w:lang w:val="en-US" w:eastAsia="zh-CN"/>
              </w:rPr>
              <w:t>磋商</w:t>
            </w:r>
            <w:r>
              <w:rPr>
                <w:rFonts w:hint="eastAsia" w:ascii="宋体" w:hAnsi="宋体" w:eastAsia="宋体" w:cs="宋体"/>
                <w:bCs w:val="0"/>
                <w:snapToGrid w:val="0"/>
                <w:color w:val="auto"/>
                <w:spacing w:val="13"/>
                <w:kern w:val="0"/>
                <w:sz w:val="20"/>
                <w:szCs w:val="20"/>
                <w:lang w:val="en-US"/>
              </w:rPr>
              <w:t>文件要求签字或盖章；</w:t>
            </w:r>
          </w:p>
        </w:tc>
        <w:tc>
          <w:tcPr>
            <w:tcW w:w="915" w:type="dxa"/>
            <w:vAlign w:val="center"/>
          </w:tcPr>
          <w:p w14:paraId="7B6C900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6239B4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7C72F08A">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498B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75" w:type="dxa"/>
            <w:vMerge w:val="continue"/>
            <w:vAlign w:val="center"/>
          </w:tcPr>
          <w:p w14:paraId="48EBB62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7A6AD7C8">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3</w:t>
            </w:r>
          </w:p>
        </w:tc>
        <w:tc>
          <w:tcPr>
            <w:tcW w:w="6314" w:type="dxa"/>
            <w:vAlign w:val="center"/>
          </w:tcPr>
          <w:p w14:paraId="5F673B3F">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是否按照响应文件规定的内容填写</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0B6EC94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1D0AE99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3E90C807">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13B4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675" w:type="dxa"/>
            <w:vMerge w:val="continue"/>
            <w:vAlign w:val="center"/>
          </w:tcPr>
          <w:p w14:paraId="7D94E90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4895D6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4</w:t>
            </w:r>
          </w:p>
        </w:tc>
        <w:tc>
          <w:tcPr>
            <w:tcW w:w="6314" w:type="dxa"/>
            <w:vAlign w:val="center"/>
          </w:tcPr>
          <w:p w14:paraId="184B5389">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是否按磋商文件规定递交保证金、保证金金额、保证金形式是否符合磋商文件规定的</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23E172D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6F08507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5D8A87C">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3A2B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75" w:type="dxa"/>
            <w:vMerge w:val="continue"/>
            <w:vAlign w:val="center"/>
          </w:tcPr>
          <w:p w14:paraId="0196C10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8395B27">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5</w:t>
            </w:r>
          </w:p>
        </w:tc>
        <w:tc>
          <w:tcPr>
            <w:tcW w:w="6314" w:type="dxa"/>
            <w:vAlign w:val="center"/>
          </w:tcPr>
          <w:p w14:paraId="0C2CBF57">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磋商有效期是否满足磋商文件要求</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1E0E12E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BA97825">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2706F225">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192D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12CD453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40817274">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6</w:t>
            </w:r>
          </w:p>
        </w:tc>
        <w:tc>
          <w:tcPr>
            <w:tcW w:w="6314" w:type="dxa"/>
            <w:vAlign w:val="center"/>
          </w:tcPr>
          <w:p w14:paraId="5F780E66">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是否响应磋商文件中商务条款的要求</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04C90238">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097E4CA">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4F79B7EE">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847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7D0D7EE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42F9BE7">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7</w:t>
            </w:r>
          </w:p>
        </w:tc>
        <w:tc>
          <w:tcPr>
            <w:tcW w:w="6314" w:type="dxa"/>
            <w:vAlign w:val="center"/>
          </w:tcPr>
          <w:p w14:paraId="6A2097C5">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lang w:val="en-US" w:eastAsia="zh-CN"/>
              </w:rPr>
              <w:t>工期是否</w:t>
            </w:r>
            <w:r>
              <w:rPr>
                <w:rFonts w:hint="eastAsia" w:ascii="宋体" w:hAnsi="宋体" w:eastAsia="宋体" w:cs="宋体"/>
                <w:color w:val="auto"/>
                <w:sz w:val="20"/>
                <w:szCs w:val="20"/>
              </w:rPr>
              <w:t>满足</w:t>
            </w:r>
            <w:r>
              <w:rPr>
                <w:rFonts w:hint="eastAsia" w:ascii="宋体" w:hAnsi="宋体" w:eastAsia="宋体" w:cs="宋体"/>
                <w:color w:val="auto"/>
                <w:sz w:val="20"/>
                <w:szCs w:val="20"/>
                <w:lang w:eastAsia="zh-CN"/>
              </w:rPr>
              <w:t>磋商</w:t>
            </w:r>
            <w:r>
              <w:rPr>
                <w:rFonts w:hint="eastAsia" w:ascii="宋体" w:hAnsi="宋体" w:eastAsia="宋体" w:cs="宋体"/>
                <w:color w:val="auto"/>
                <w:sz w:val="20"/>
                <w:szCs w:val="20"/>
              </w:rPr>
              <w:t>文件的要求；</w:t>
            </w:r>
          </w:p>
        </w:tc>
        <w:tc>
          <w:tcPr>
            <w:tcW w:w="915" w:type="dxa"/>
            <w:vAlign w:val="center"/>
          </w:tcPr>
          <w:p w14:paraId="1207C2B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2A167056">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3624498">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7236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72232F0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323BA72">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8</w:t>
            </w:r>
          </w:p>
        </w:tc>
        <w:tc>
          <w:tcPr>
            <w:tcW w:w="6314" w:type="dxa"/>
            <w:vAlign w:val="center"/>
          </w:tcPr>
          <w:p w14:paraId="29BAD562">
            <w:pPr>
              <w:pStyle w:val="11"/>
              <w:ind w:right="-73" w:rightChars="-35"/>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lang w:eastAsia="zh-CN"/>
              </w:rPr>
              <w:t>提供参加政府采购活动前3年内在经营活动中没有重大违法记录的书面声明；</w:t>
            </w:r>
          </w:p>
        </w:tc>
        <w:tc>
          <w:tcPr>
            <w:tcW w:w="915" w:type="dxa"/>
            <w:vAlign w:val="center"/>
          </w:tcPr>
          <w:p w14:paraId="2535EED8">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2C99938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65702778">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0363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39BC0A59">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2D69D71">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9</w:t>
            </w:r>
          </w:p>
        </w:tc>
        <w:tc>
          <w:tcPr>
            <w:tcW w:w="6314" w:type="dxa"/>
            <w:vAlign w:val="center"/>
          </w:tcPr>
          <w:p w14:paraId="0DABC34D">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rPr>
              <w:t>提供的年度财务报表是否满足文件的要求；</w:t>
            </w:r>
          </w:p>
        </w:tc>
        <w:tc>
          <w:tcPr>
            <w:tcW w:w="915" w:type="dxa"/>
            <w:vAlign w:val="center"/>
          </w:tcPr>
          <w:p w14:paraId="6759A79F">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1C4F24D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562E022">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4D20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414C7DBA">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33C256D">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10</w:t>
            </w:r>
          </w:p>
        </w:tc>
        <w:tc>
          <w:tcPr>
            <w:tcW w:w="6314" w:type="dxa"/>
            <w:vAlign w:val="center"/>
          </w:tcPr>
          <w:p w14:paraId="03B05A93">
            <w:pPr>
              <w:spacing w:before="151" w:line="227" w:lineRule="auto"/>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rPr>
              <w:t>项目管理机构组成表中人员是否配齐；(安全员须具备岗位证和安全考核证)</w:t>
            </w:r>
          </w:p>
        </w:tc>
        <w:tc>
          <w:tcPr>
            <w:tcW w:w="915" w:type="dxa"/>
            <w:vAlign w:val="center"/>
          </w:tcPr>
          <w:p w14:paraId="51FADC8B">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3AFBF69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06F306EF">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540C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186C6E6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0022C03C">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11</w:t>
            </w:r>
          </w:p>
        </w:tc>
        <w:tc>
          <w:tcPr>
            <w:tcW w:w="6314" w:type="dxa"/>
            <w:vAlign w:val="center"/>
          </w:tcPr>
          <w:p w14:paraId="10105A98">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lang w:val="en-US" w:eastAsia="zh-CN"/>
              </w:rPr>
              <w:t>供应商</w:t>
            </w:r>
            <w:r>
              <w:rPr>
                <w:rFonts w:hint="eastAsia" w:ascii="宋体" w:hAnsi="宋体" w:eastAsia="宋体" w:cs="宋体"/>
                <w:snapToGrid w:val="0"/>
                <w:color w:val="auto"/>
                <w:kern w:val="0"/>
                <w:sz w:val="20"/>
                <w:szCs w:val="20"/>
              </w:rPr>
              <w:t>之间或者投标人与招标人</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串通投标的；</w:t>
            </w:r>
          </w:p>
        </w:tc>
        <w:tc>
          <w:tcPr>
            <w:tcW w:w="915" w:type="dxa"/>
            <w:vAlign w:val="center"/>
          </w:tcPr>
          <w:p w14:paraId="644A231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429C588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1407E962">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39D7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2910779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67643FF9">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12</w:t>
            </w:r>
          </w:p>
        </w:tc>
        <w:tc>
          <w:tcPr>
            <w:tcW w:w="6314" w:type="dxa"/>
            <w:vAlign w:val="center"/>
          </w:tcPr>
          <w:p w14:paraId="76378CD9">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按文件规定的格式填写，内容不全或关键字迹模糊、无法辨认的</w:t>
            </w:r>
            <w:r>
              <w:rPr>
                <w:rFonts w:ascii="宋体" w:hAnsi="宋体" w:eastAsia="宋体" w:cs="宋体"/>
                <w:spacing w:val="7"/>
                <w:sz w:val="23"/>
                <w:szCs w:val="23"/>
              </w:rPr>
              <w:t>；</w:t>
            </w:r>
          </w:p>
        </w:tc>
        <w:tc>
          <w:tcPr>
            <w:tcW w:w="915" w:type="dxa"/>
            <w:vAlign w:val="center"/>
          </w:tcPr>
          <w:p w14:paraId="7D3FA9B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72B820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408137DF">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6BBE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50AFDDE3">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5B2B0C3C">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13</w:t>
            </w:r>
          </w:p>
        </w:tc>
        <w:tc>
          <w:tcPr>
            <w:tcW w:w="6314" w:type="dxa"/>
            <w:vAlign w:val="center"/>
          </w:tcPr>
          <w:p w14:paraId="5C9F743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改变</w:t>
            </w:r>
            <w:r>
              <w:rPr>
                <w:rFonts w:hint="eastAsia" w:ascii="宋体" w:hAnsi="宋体" w:eastAsia="宋体" w:cs="宋体"/>
                <w:snapToGrid w:val="0"/>
                <w:color w:val="auto"/>
                <w:kern w:val="0"/>
                <w:sz w:val="20"/>
                <w:szCs w:val="20"/>
                <w:lang w:val="en-US" w:eastAsia="zh-CN"/>
              </w:rPr>
              <w:t>磋商</w:t>
            </w:r>
            <w:r>
              <w:rPr>
                <w:rFonts w:hint="eastAsia" w:ascii="宋体" w:hAnsi="宋体" w:eastAsia="宋体" w:cs="宋体"/>
                <w:snapToGrid w:val="0"/>
                <w:color w:val="auto"/>
                <w:kern w:val="0"/>
                <w:sz w:val="20"/>
                <w:szCs w:val="20"/>
              </w:rPr>
              <w:t>文件</w:t>
            </w:r>
            <w:r>
              <w:rPr>
                <w:rFonts w:hint="eastAsia" w:ascii="宋体" w:hAnsi="宋体" w:eastAsia="宋体" w:cs="宋体"/>
                <w:snapToGrid w:val="0"/>
                <w:color w:val="auto"/>
                <w:kern w:val="0"/>
                <w:sz w:val="20"/>
                <w:szCs w:val="20"/>
                <w:lang w:val="en-US" w:eastAsia="zh-CN"/>
              </w:rPr>
              <w:t>中</w:t>
            </w:r>
            <w:r>
              <w:rPr>
                <w:rFonts w:hint="eastAsia" w:ascii="宋体" w:hAnsi="宋体" w:eastAsia="宋体" w:cs="宋体"/>
                <w:snapToGrid w:val="0"/>
                <w:color w:val="auto"/>
                <w:kern w:val="0"/>
                <w:sz w:val="20"/>
                <w:szCs w:val="20"/>
              </w:rPr>
              <w:t>提供的工程量清单的；</w:t>
            </w:r>
          </w:p>
        </w:tc>
        <w:tc>
          <w:tcPr>
            <w:tcW w:w="915" w:type="dxa"/>
            <w:vAlign w:val="center"/>
          </w:tcPr>
          <w:p w14:paraId="717A19D4">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13CB837F">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1E80A49B">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76BD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635D897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466AF96A">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14</w:t>
            </w:r>
          </w:p>
        </w:tc>
        <w:tc>
          <w:tcPr>
            <w:tcW w:w="6314" w:type="dxa"/>
            <w:vAlign w:val="center"/>
          </w:tcPr>
          <w:p w14:paraId="2942061A">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rPr>
              <w:t>履约担保、违约赔偿、变更工程结算等的承诺，</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符合文件要求的；</w:t>
            </w:r>
          </w:p>
        </w:tc>
        <w:tc>
          <w:tcPr>
            <w:tcW w:w="915" w:type="dxa"/>
            <w:vAlign w:val="center"/>
          </w:tcPr>
          <w:p w14:paraId="13141B69">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0D25B6A8">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0AEE4083">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09B0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41114B1A">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5AACDD7">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15</w:t>
            </w:r>
          </w:p>
        </w:tc>
        <w:tc>
          <w:tcPr>
            <w:tcW w:w="6314" w:type="dxa"/>
            <w:vAlign w:val="center"/>
          </w:tcPr>
          <w:p w14:paraId="06A4018A">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rPr>
              <w:t>提供的施工组织设计方案、技术措施等</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证明其未以低于生产成本投标的；</w:t>
            </w:r>
          </w:p>
        </w:tc>
        <w:tc>
          <w:tcPr>
            <w:tcW w:w="915" w:type="dxa"/>
            <w:vAlign w:val="center"/>
          </w:tcPr>
          <w:p w14:paraId="3307DBE2">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C34867D">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5141C6CC">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1752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70A372B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180D5D08">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16</w:t>
            </w:r>
          </w:p>
        </w:tc>
        <w:tc>
          <w:tcPr>
            <w:tcW w:w="6314" w:type="dxa"/>
            <w:vAlign w:val="center"/>
          </w:tcPr>
          <w:p w14:paraId="7F67EE6B">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snapToGrid w:val="0"/>
                <w:color w:val="auto"/>
                <w:kern w:val="0"/>
                <w:sz w:val="20"/>
                <w:szCs w:val="20"/>
                <w:lang w:val="en-US" w:eastAsia="zh-CN"/>
              </w:rPr>
              <w:t>供应商</w:t>
            </w:r>
            <w:r>
              <w:rPr>
                <w:rFonts w:hint="eastAsia" w:ascii="宋体" w:hAnsi="宋体" w:eastAsia="宋体" w:cs="宋体"/>
                <w:snapToGrid w:val="0"/>
                <w:color w:val="auto"/>
                <w:kern w:val="0"/>
                <w:sz w:val="20"/>
                <w:szCs w:val="20"/>
              </w:rPr>
              <w:t>名称、组织机构</w:t>
            </w:r>
            <w:r>
              <w:rPr>
                <w:rFonts w:hint="eastAsia" w:ascii="宋体" w:hAnsi="宋体" w:eastAsia="宋体" w:cs="宋体"/>
                <w:color w:val="auto"/>
                <w:sz w:val="20"/>
                <w:szCs w:val="20"/>
              </w:rPr>
              <w:t>是否</w:t>
            </w:r>
            <w:r>
              <w:rPr>
                <w:rFonts w:hint="eastAsia" w:ascii="宋体" w:hAnsi="宋体" w:eastAsia="宋体" w:cs="宋体"/>
                <w:snapToGrid w:val="0"/>
                <w:color w:val="auto"/>
                <w:kern w:val="0"/>
                <w:sz w:val="20"/>
                <w:szCs w:val="20"/>
              </w:rPr>
              <w:t>与资格</w:t>
            </w:r>
            <w:r>
              <w:rPr>
                <w:rFonts w:hint="eastAsia" w:ascii="宋体" w:hAnsi="宋体" w:eastAsia="宋体" w:cs="宋体"/>
                <w:snapToGrid w:val="0"/>
                <w:color w:val="auto"/>
                <w:kern w:val="0"/>
                <w:sz w:val="20"/>
                <w:szCs w:val="20"/>
                <w:lang w:val="en-US" w:eastAsia="zh-CN"/>
              </w:rPr>
              <w:t>评</w:t>
            </w:r>
            <w:r>
              <w:rPr>
                <w:rFonts w:hint="eastAsia" w:ascii="宋体" w:hAnsi="宋体" w:eastAsia="宋体" w:cs="宋体"/>
                <w:snapToGrid w:val="0"/>
                <w:color w:val="auto"/>
                <w:kern w:val="0"/>
                <w:sz w:val="20"/>
                <w:szCs w:val="20"/>
              </w:rPr>
              <w:t>审时不符，涉嫌以他人名义投标的；</w:t>
            </w:r>
          </w:p>
        </w:tc>
        <w:tc>
          <w:tcPr>
            <w:tcW w:w="915" w:type="dxa"/>
            <w:vAlign w:val="center"/>
          </w:tcPr>
          <w:p w14:paraId="4AA680E8">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61B1C910">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3F50503A">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55D8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75" w:type="dxa"/>
            <w:vMerge w:val="continue"/>
            <w:vAlign w:val="center"/>
          </w:tcPr>
          <w:p w14:paraId="44F954E7">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3115CF98">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17</w:t>
            </w:r>
          </w:p>
        </w:tc>
        <w:tc>
          <w:tcPr>
            <w:tcW w:w="6314" w:type="dxa"/>
            <w:vAlign w:val="center"/>
          </w:tcPr>
          <w:p w14:paraId="5CFB5A0D">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响应文件是否含有采购人不能接受的附加条件的</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5394755E">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50E57C3C">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77760531">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0417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75" w:type="dxa"/>
            <w:vMerge w:val="continue"/>
            <w:vAlign w:val="center"/>
          </w:tcPr>
          <w:p w14:paraId="593FD95F">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537" w:type="dxa"/>
            <w:vAlign w:val="center"/>
          </w:tcPr>
          <w:p w14:paraId="3476B620">
            <w:pPr>
              <w:pStyle w:val="11"/>
              <w:ind w:right="-73" w:rightChars="-35"/>
              <w:jc w:val="both"/>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18</w:t>
            </w:r>
          </w:p>
        </w:tc>
        <w:tc>
          <w:tcPr>
            <w:tcW w:w="6314" w:type="dxa"/>
            <w:vAlign w:val="center"/>
          </w:tcPr>
          <w:p w14:paraId="1E12E9F1">
            <w:pPr>
              <w:pStyle w:val="11"/>
              <w:ind w:right="-73" w:rightChars="-35"/>
              <w:jc w:val="both"/>
              <w:rPr>
                <w:rFonts w:hint="eastAsia"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rPr>
              <w:t>响应文件中是否存在违反国家法律、法规和磋商文件规定的其他无效情形</w:t>
            </w:r>
            <w:r>
              <w:rPr>
                <w:rFonts w:hint="eastAsia" w:ascii="宋体" w:hAnsi="宋体" w:eastAsia="宋体" w:cs="宋体"/>
                <w:bCs w:val="0"/>
                <w:snapToGrid w:val="0"/>
                <w:color w:val="auto"/>
                <w:spacing w:val="13"/>
                <w:kern w:val="0"/>
                <w:sz w:val="20"/>
                <w:szCs w:val="20"/>
                <w:lang w:val="en-US" w:eastAsia="zh-CN"/>
              </w:rPr>
              <w:t>。</w:t>
            </w:r>
          </w:p>
        </w:tc>
        <w:tc>
          <w:tcPr>
            <w:tcW w:w="915" w:type="dxa"/>
            <w:vAlign w:val="center"/>
          </w:tcPr>
          <w:p w14:paraId="51171591">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765" w:type="dxa"/>
            <w:vAlign w:val="center"/>
          </w:tcPr>
          <w:p w14:paraId="3B976B53">
            <w:pPr>
              <w:pStyle w:val="11"/>
              <w:ind w:right="-73" w:rightChars="-35"/>
              <w:jc w:val="both"/>
              <w:rPr>
                <w:rFonts w:hint="eastAsia" w:ascii="宋体" w:hAnsi="宋体" w:eastAsia="宋体" w:cs="宋体"/>
                <w:bCs w:val="0"/>
                <w:snapToGrid w:val="0"/>
                <w:color w:val="auto"/>
                <w:spacing w:val="13"/>
                <w:kern w:val="0"/>
                <w:sz w:val="20"/>
                <w:szCs w:val="20"/>
                <w:lang w:val="en-US"/>
              </w:rPr>
            </w:pPr>
          </w:p>
        </w:tc>
        <w:tc>
          <w:tcPr>
            <w:tcW w:w="625" w:type="dxa"/>
            <w:vAlign w:val="center"/>
          </w:tcPr>
          <w:p w14:paraId="386FAA47">
            <w:pPr>
              <w:pStyle w:val="11"/>
              <w:ind w:right="-73" w:rightChars="-35"/>
              <w:jc w:val="both"/>
              <w:rPr>
                <w:rFonts w:hint="eastAsia" w:ascii="宋体" w:hAnsi="宋体" w:eastAsia="宋体" w:cs="宋体"/>
                <w:bCs w:val="0"/>
                <w:snapToGrid w:val="0"/>
                <w:color w:val="auto"/>
                <w:spacing w:val="13"/>
                <w:kern w:val="0"/>
                <w:sz w:val="20"/>
                <w:szCs w:val="20"/>
                <w:lang w:val="en-US"/>
              </w:rPr>
            </w:pPr>
          </w:p>
        </w:tc>
      </w:tr>
      <w:tr w14:paraId="5C37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831" w:type="dxa"/>
            <w:gridSpan w:val="6"/>
            <w:vAlign w:val="center"/>
          </w:tcPr>
          <w:p w14:paraId="7768161F">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结论：是否通过</w:t>
            </w:r>
            <w:r>
              <w:rPr>
                <w:rFonts w:hint="eastAsia" w:ascii="宋体" w:hAnsi="宋体" w:eastAsia="宋体" w:cs="宋体"/>
                <w:bCs w:val="0"/>
                <w:snapToGrid w:val="0"/>
                <w:color w:val="auto"/>
                <w:spacing w:val="13"/>
                <w:kern w:val="0"/>
                <w:sz w:val="20"/>
                <w:szCs w:val="20"/>
                <w:lang w:val="en-US" w:eastAsia="zh-CN"/>
              </w:rPr>
              <w:t>符合性</w:t>
            </w:r>
            <w:r>
              <w:rPr>
                <w:rFonts w:hint="eastAsia" w:ascii="宋体" w:hAnsi="宋体" w:eastAsia="宋体" w:cs="宋体"/>
                <w:bCs w:val="0"/>
                <w:snapToGrid w:val="0"/>
                <w:color w:val="auto"/>
                <w:spacing w:val="13"/>
                <w:kern w:val="0"/>
                <w:sz w:val="20"/>
                <w:szCs w:val="20"/>
                <w:lang w:val="en-US"/>
              </w:rPr>
              <w:t>评审</w:t>
            </w:r>
          </w:p>
        </w:tc>
      </w:tr>
      <w:tr w14:paraId="1D0F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9831" w:type="dxa"/>
            <w:gridSpan w:val="6"/>
            <w:vAlign w:val="center"/>
          </w:tcPr>
          <w:p w14:paraId="5D4E3192">
            <w:pPr>
              <w:pStyle w:val="11"/>
              <w:ind w:right="-73" w:rightChars="-35"/>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rPr>
              <w:t>备注：如果</w:t>
            </w:r>
            <w:r>
              <w:rPr>
                <w:rFonts w:hint="eastAsia" w:ascii="宋体" w:hAnsi="宋体" w:eastAsia="宋体" w:cs="宋体"/>
                <w:bCs w:val="0"/>
                <w:snapToGrid w:val="0"/>
                <w:color w:val="auto"/>
                <w:spacing w:val="13"/>
                <w:kern w:val="0"/>
                <w:sz w:val="20"/>
                <w:szCs w:val="20"/>
                <w:lang w:val="en-US" w:eastAsia="zh-CN"/>
              </w:rPr>
              <w:t>响应</w:t>
            </w:r>
            <w:r>
              <w:rPr>
                <w:rFonts w:hint="eastAsia" w:ascii="宋体" w:hAnsi="宋体" w:eastAsia="宋体" w:cs="宋体"/>
                <w:bCs w:val="0"/>
                <w:snapToGrid w:val="0"/>
                <w:color w:val="auto"/>
                <w:spacing w:val="13"/>
                <w:kern w:val="0"/>
                <w:sz w:val="20"/>
                <w:szCs w:val="20"/>
                <w:lang w:val="en-US"/>
              </w:rPr>
              <w:t>文件中有一项未通过上述审查标准，评标委员会将认定整个</w:t>
            </w:r>
            <w:r>
              <w:rPr>
                <w:rFonts w:hint="eastAsia" w:ascii="宋体" w:hAnsi="宋体" w:eastAsia="宋体" w:cs="宋体"/>
                <w:bCs w:val="0"/>
                <w:snapToGrid w:val="0"/>
                <w:color w:val="auto"/>
                <w:spacing w:val="13"/>
                <w:kern w:val="0"/>
                <w:sz w:val="20"/>
                <w:szCs w:val="20"/>
                <w:lang w:val="en-US" w:eastAsia="zh-CN"/>
              </w:rPr>
              <w:t>响应</w:t>
            </w:r>
            <w:r>
              <w:rPr>
                <w:rFonts w:hint="eastAsia" w:ascii="宋体" w:hAnsi="宋体" w:eastAsia="宋体" w:cs="宋体"/>
                <w:bCs w:val="0"/>
                <w:snapToGrid w:val="0"/>
                <w:color w:val="auto"/>
                <w:spacing w:val="13"/>
                <w:kern w:val="0"/>
                <w:sz w:val="20"/>
                <w:szCs w:val="20"/>
                <w:lang w:val="en-US"/>
              </w:rPr>
              <w:t>文件不响应竞磋文件而予以投标无效，并且不允许供应商通过修改或撤销其不符合要求的差异或保留，使之成为具有响应性的投标。通过审核的以“√”标记；未通过的以“×”标记，并予以说明。</w:t>
            </w:r>
          </w:p>
        </w:tc>
      </w:tr>
    </w:tbl>
    <w:p w14:paraId="24F3C79A">
      <w:pPr>
        <w:pStyle w:val="11"/>
        <w:spacing w:line="440" w:lineRule="exact"/>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lang w:val="en-US" w:eastAsia="zh-CN"/>
        </w:rPr>
        <w:t>5</w:t>
      </w:r>
      <w:r>
        <w:rPr>
          <w:rFonts w:hint="eastAsia" w:ascii="宋体" w:hAnsi="宋体" w:eastAsia="宋体" w:cs="宋体"/>
          <w:bCs w:val="0"/>
          <w:snapToGrid w:val="0"/>
          <w:color w:val="auto"/>
          <w:spacing w:val="13"/>
          <w:kern w:val="0"/>
          <w:sz w:val="20"/>
          <w:szCs w:val="20"/>
          <w:lang w:val="en-US"/>
        </w:rPr>
        <w:t>.2 符合性检查中，对明显的文字和计算错误按下述原则处理：</w:t>
      </w:r>
    </w:p>
    <w:p w14:paraId="2162BDC9">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（一）</w:t>
      </w:r>
      <w:r>
        <w:rPr>
          <w:rFonts w:hint="eastAsia" w:ascii="宋体" w:hAnsi="宋体" w:eastAsia="宋体" w:cs="宋体"/>
          <w:bCs w:val="0"/>
          <w:snapToGrid w:val="0"/>
          <w:color w:val="auto"/>
          <w:spacing w:val="13"/>
          <w:kern w:val="0"/>
          <w:sz w:val="20"/>
          <w:szCs w:val="20"/>
          <w:lang w:val="en-US"/>
        </w:rPr>
        <w:t>响应</w:t>
      </w:r>
      <w:r>
        <w:rPr>
          <w:rFonts w:hint="eastAsia" w:ascii="宋体" w:hAnsi="宋体" w:eastAsia="宋体" w:cs="宋体"/>
          <w:bCs w:val="0"/>
          <w:snapToGrid w:val="0"/>
          <w:color w:val="auto"/>
          <w:spacing w:val="13"/>
          <w:kern w:val="0"/>
          <w:sz w:val="20"/>
          <w:szCs w:val="20"/>
        </w:rPr>
        <w:t>文件中报价表内容与</w:t>
      </w:r>
      <w:r>
        <w:rPr>
          <w:rFonts w:hint="eastAsia" w:ascii="宋体" w:hAnsi="宋体" w:eastAsia="宋体" w:cs="宋体"/>
          <w:bCs w:val="0"/>
          <w:snapToGrid w:val="0"/>
          <w:color w:val="auto"/>
          <w:spacing w:val="13"/>
          <w:kern w:val="0"/>
          <w:sz w:val="20"/>
          <w:szCs w:val="20"/>
          <w:lang w:val="en-US"/>
        </w:rPr>
        <w:t>响应</w:t>
      </w:r>
      <w:r>
        <w:rPr>
          <w:rFonts w:hint="eastAsia" w:ascii="宋体" w:hAnsi="宋体" w:eastAsia="宋体" w:cs="宋体"/>
          <w:bCs w:val="0"/>
          <w:snapToGrid w:val="0"/>
          <w:color w:val="auto"/>
          <w:spacing w:val="13"/>
          <w:kern w:val="0"/>
          <w:sz w:val="20"/>
          <w:szCs w:val="20"/>
        </w:rPr>
        <w:t>文件中相应内容不一致的，以报价表为准；</w:t>
      </w:r>
    </w:p>
    <w:p w14:paraId="66C3179D">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（二）大写金额和小写金额不一致的，以大写金额为准；</w:t>
      </w:r>
    </w:p>
    <w:p w14:paraId="2D5EE698">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（三）单价金额小数点或者百分比有明显错位的，以总价为准，并修改单价；</w:t>
      </w:r>
    </w:p>
    <w:p w14:paraId="3AC106D0">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（四）总价金额与按单价汇总金额不一致的，以单价金额计算结果为准。</w:t>
      </w:r>
    </w:p>
    <w:p w14:paraId="1359FD06">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同时出现两种以上不一致的，按照前款规定的顺序修正。修正后的报价经</w:t>
      </w:r>
      <w:r>
        <w:rPr>
          <w:rFonts w:hint="eastAsia" w:ascii="宋体" w:hAnsi="宋体" w:eastAsia="宋体" w:cs="宋体"/>
          <w:bCs w:val="0"/>
          <w:snapToGrid w:val="0"/>
          <w:color w:val="auto"/>
          <w:spacing w:val="13"/>
          <w:kern w:val="0"/>
          <w:sz w:val="20"/>
          <w:szCs w:val="20"/>
          <w:lang w:val="en-US"/>
        </w:rPr>
        <w:t>供应商</w:t>
      </w:r>
      <w:r>
        <w:rPr>
          <w:rFonts w:hint="eastAsia" w:ascii="宋体" w:hAnsi="宋体" w:eastAsia="宋体" w:cs="宋体"/>
          <w:bCs w:val="0"/>
          <w:snapToGrid w:val="0"/>
          <w:color w:val="auto"/>
          <w:spacing w:val="13"/>
          <w:kern w:val="0"/>
          <w:sz w:val="20"/>
          <w:szCs w:val="20"/>
        </w:rPr>
        <w:t>确认后产生约束力，</w:t>
      </w:r>
      <w:r>
        <w:rPr>
          <w:rFonts w:hint="eastAsia" w:ascii="宋体" w:hAnsi="宋体" w:eastAsia="宋体" w:cs="宋体"/>
          <w:bCs w:val="0"/>
          <w:snapToGrid w:val="0"/>
          <w:color w:val="auto"/>
          <w:spacing w:val="13"/>
          <w:kern w:val="0"/>
          <w:sz w:val="20"/>
          <w:szCs w:val="20"/>
          <w:lang w:val="en-US"/>
        </w:rPr>
        <w:t>供应商</w:t>
      </w:r>
      <w:r>
        <w:rPr>
          <w:rFonts w:hint="eastAsia" w:ascii="宋体" w:hAnsi="宋体" w:eastAsia="宋体" w:cs="宋体"/>
          <w:bCs w:val="0"/>
          <w:snapToGrid w:val="0"/>
          <w:color w:val="auto"/>
          <w:spacing w:val="13"/>
          <w:kern w:val="0"/>
          <w:sz w:val="20"/>
          <w:szCs w:val="20"/>
        </w:rPr>
        <w:t>不确认的，其</w:t>
      </w:r>
      <w:r>
        <w:rPr>
          <w:rFonts w:hint="eastAsia" w:ascii="宋体" w:hAnsi="宋体" w:eastAsia="宋体" w:cs="宋体"/>
          <w:bCs w:val="0"/>
          <w:snapToGrid w:val="0"/>
          <w:color w:val="auto"/>
          <w:spacing w:val="13"/>
          <w:kern w:val="0"/>
          <w:sz w:val="20"/>
          <w:szCs w:val="20"/>
          <w:lang w:val="en-US"/>
        </w:rPr>
        <w:t>响应</w:t>
      </w:r>
      <w:r>
        <w:rPr>
          <w:rFonts w:hint="eastAsia" w:ascii="宋体" w:hAnsi="宋体" w:eastAsia="宋体" w:cs="宋体"/>
          <w:bCs w:val="0"/>
          <w:snapToGrid w:val="0"/>
          <w:color w:val="auto"/>
          <w:spacing w:val="13"/>
          <w:kern w:val="0"/>
          <w:sz w:val="20"/>
          <w:szCs w:val="20"/>
        </w:rPr>
        <w:t>无效。</w:t>
      </w:r>
    </w:p>
    <w:p w14:paraId="16D7DFBF">
      <w:pPr>
        <w:pStyle w:val="11"/>
        <w:spacing w:line="440" w:lineRule="exact"/>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lang w:val="en-US" w:eastAsia="zh-CN"/>
        </w:rPr>
        <w:t>5</w:t>
      </w:r>
      <w:r>
        <w:rPr>
          <w:rFonts w:hint="eastAsia" w:ascii="宋体" w:hAnsi="宋体" w:eastAsia="宋体" w:cs="宋体"/>
          <w:bCs w:val="0"/>
          <w:snapToGrid w:val="0"/>
          <w:color w:val="auto"/>
          <w:spacing w:val="13"/>
          <w:kern w:val="0"/>
          <w:sz w:val="20"/>
          <w:szCs w:val="20"/>
          <w:lang w:val="en-US"/>
        </w:rPr>
        <w:t>.3 磋商小组</w:t>
      </w:r>
      <w:r>
        <w:rPr>
          <w:rFonts w:hint="eastAsia" w:ascii="宋体" w:hAnsi="宋体" w:eastAsia="宋体" w:cs="宋体"/>
          <w:bCs w:val="0"/>
          <w:snapToGrid w:val="0"/>
          <w:color w:val="auto"/>
          <w:spacing w:val="13"/>
          <w:kern w:val="0"/>
          <w:sz w:val="20"/>
          <w:szCs w:val="20"/>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宋体" w:hAnsi="宋体" w:eastAsia="宋体" w:cs="宋体"/>
          <w:bCs w:val="0"/>
          <w:snapToGrid w:val="0"/>
          <w:color w:val="auto"/>
          <w:spacing w:val="13"/>
          <w:kern w:val="0"/>
          <w:sz w:val="20"/>
          <w:szCs w:val="20"/>
          <w:lang w:val="en-US"/>
        </w:rPr>
        <w:t>磋商小组</w:t>
      </w:r>
      <w:r>
        <w:rPr>
          <w:rFonts w:hint="eastAsia" w:ascii="宋体" w:hAnsi="宋体" w:eastAsia="宋体" w:cs="宋体"/>
          <w:bCs w:val="0"/>
          <w:snapToGrid w:val="0"/>
          <w:color w:val="auto"/>
          <w:spacing w:val="13"/>
          <w:kern w:val="0"/>
          <w:sz w:val="20"/>
          <w:szCs w:val="20"/>
        </w:rPr>
        <w:t>将其作为无效响应处理。</w:t>
      </w:r>
    </w:p>
    <w:p w14:paraId="623814F4">
      <w:pPr>
        <w:pStyle w:val="18"/>
        <w:spacing w:line="440" w:lineRule="exact"/>
        <w:jc w:val="both"/>
        <w:rPr>
          <w:rFonts w:hint="eastAsia" w:ascii="宋体" w:hAnsi="宋体" w:eastAsia="宋体" w:cs="宋体"/>
          <w:color w:val="auto"/>
          <w:spacing w:val="6"/>
          <w:sz w:val="23"/>
          <w:szCs w:val="23"/>
          <w14:textOutline w14:w="4358" w14:cap="sq" w14:cmpd="sng">
            <w14:solidFill>
              <w14:srgbClr w14:val="000000"/>
            </w14:solidFill>
            <w14:prstDash w14:val="solid"/>
            <w14:bevel/>
          </w14:textOutline>
        </w:rPr>
      </w:pPr>
      <w:r>
        <w:rPr>
          <w:rFonts w:hint="eastAsia" w:ascii="宋体" w:hAnsi="宋体" w:eastAsia="宋体" w:cs="宋体"/>
          <w:color w:val="auto"/>
          <w:spacing w:val="6"/>
          <w:sz w:val="23"/>
          <w:szCs w:val="23"/>
          <w:lang w:val="en-US" w:eastAsia="zh-CN"/>
          <w14:textOutline w14:w="4358" w14:cap="sq" w14:cmpd="sng">
            <w14:solidFill>
              <w14:srgbClr w14:val="000000"/>
            </w14:solidFill>
            <w14:prstDash w14:val="solid"/>
            <w14:bevel/>
          </w14:textOutline>
        </w:rPr>
        <w:t>6</w:t>
      </w:r>
      <w:r>
        <w:rPr>
          <w:rFonts w:hint="eastAsia" w:ascii="宋体" w:hAnsi="宋体" w:eastAsia="宋体" w:cs="宋体"/>
          <w:color w:val="auto"/>
          <w:spacing w:val="6"/>
          <w:sz w:val="23"/>
          <w:szCs w:val="23"/>
          <w14:textOutline w14:w="4358" w14:cap="sq" w14:cmpd="sng">
            <w14:solidFill>
              <w14:srgbClr w14:val="000000"/>
            </w14:solidFill>
            <w14:prstDash w14:val="solid"/>
            <w14:bevel/>
          </w14:textOutline>
        </w:rPr>
        <w:t>、</w:t>
      </w:r>
      <w:r>
        <w:rPr>
          <w:rFonts w:ascii="宋体" w:hAnsi="宋体" w:eastAsia="宋体" w:cs="宋体"/>
          <w:color w:val="auto"/>
          <w:spacing w:val="6"/>
          <w:sz w:val="23"/>
          <w:szCs w:val="23"/>
          <w14:textOutline w14:w="4358" w14:cap="sq" w14:cmpd="sng">
            <w14:solidFill>
              <w14:srgbClr w14:val="000000"/>
            </w14:solidFill>
            <w14:prstDash w14:val="solid"/>
            <w14:bevel/>
          </w14:textOutline>
        </w:rPr>
        <w:t>评分细则</w:t>
      </w:r>
    </w:p>
    <w:tbl>
      <w:tblPr>
        <w:tblStyle w:val="15"/>
        <w:tblpPr w:leftFromText="180" w:rightFromText="180" w:vertAnchor="text" w:horzAnchor="page" w:tblpXSpec="center" w:tblpY="438"/>
        <w:tblOverlap w:val="never"/>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4"/>
        <w:gridCol w:w="709"/>
        <w:gridCol w:w="6223"/>
      </w:tblGrid>
      <w:tr w14:paraId="569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9" w:type="dxa"/>
            <w:gridSpan w:val="2"/>
            <w:vAlign w:val="center"/>
          </w:tcPr>
          <w:p w14:paraId="7584AE83">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评分因素</w:t>
            </w:r>
          </w:p>
        </w:tc>
        <w:tc>
          <w:tcPr>
            <w:tcW w:w="709" w:type="dxa"/>
            <w:vAlign w:val="center"/>
          </w:tcPr>
          <w:p w14:paraId="32B5071C">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分值</w:t>
            </w:r>
          </w:p>
        </w:tc>
        <w:tc>
          <w:tcPr>
            <w:tcW w:w="6223" w:type="dxa"/>
            <w:vAlign w:val="center"/>
          </w:tcPr>
          <w:p w14:paraId="1C6FE0AF">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评分细则</w:t>
            </w:r>
          </w:p>
        </w:tc>
      </w:tr>
      <w:tr w14:paraId="7A80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49" w:type="dxa"/>
            <w:gridSpan w:val="2"/>
            <w:vAlign w:val="center"/>
          </w:tcPr>
          <w:p w14:paraId="59FC917B">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价格部分</w:t>
            </w:r>
          </w:p>
        </w:tc>
        <w:tc>
          <w:tcPr>
            <w:tcW w:w="709" w:type="dxa"/>
            <w:vAlign w:val="center"/>
          </w:tcPr>
          <w:p w14:paraId="73E55597">
            <w:pPr>
              <w:pStyle w:val="18"/>
              <w:widowControl w:val="0"/>
              <w:spacing w:line="440" w:lineRule="exact"/>
              <w:jc w:val="center"/>
              <w:rPr>
                <w:rFonts w:hint="default" w:ascii="宋体" w:hAnsi="宋体" w:eastAsia="宋体" w:cs="宋体"/>
                <w:bCs w:val="0"/>
                <w:snapToGrid w:val="0"/>
                <w:color w:val="auto"/>
                <w:spacing w:val="13"/>
                <w:kern w:val="0"/>
                <w:sz w:val="20"/>
                <w:szCs w:val="20"/>
                <w:lang w:val="en-US" w:eastAsia="zh-CN"/>
              </w:rPr>
            </w:pPr>
            <w:r>
              <w:rPr>
                <w:rFonts w:hint="eastAsia" w:ascii="宋体" w:hAnsi="宋体" w:eastAsia="宋体" w:cs="宋体"/>
                <w:bCs w:val="0"/>
                <w:snapToGrid w:val="0"/>
                <w:color w:val="auto"/>
                <w:spacing w:val="13"/>
                <w:kern w:val="0"/>
                <w:sz w:val="20"/>
                <w:szCs w:val="20"/>
                <w:lang w:val="en-US" w:eastAsia="zh-CN"/>
              </w:rPr>
              <w:t>30</w:t>
            </w:r>
            <w:r>
              <w:rPr>
                <w:rFonts w:hint="eastAsia" w:ascii="宋体" w:hAnsi="宋体" w:cs="宋体"/>
                <w:bCs w:val="0"/>
                <w:snapToGrid w:val="0"/>
                <w:color w:val="auto"/>
                <w:spacing w:val="13"/>
                <w:kern w:val="0"/>
                <w:sz w:val="20"/>
                <w:szCs w:val="20"/>
                <w:lang w:val="en-US" w:eastAsia="zh-CN"/>
              </w:rPr>
              <w:t>分</w:t>
            </w:r>
          </w:p>
        </w:tc>
        <w:tc>
          <w:tcPr>
            <w:tcW w:w="6223" w:type="dxa"/>
          </w:tcPr>
          <w:p w14:paraId="397F6B08">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满足磋商文件要求且最后报价最低的响应人的价格为磋商基准价,其价格为满分</w:t>
            </w:r>
            <w:r>
              <w:rPr>
                <w:rFonts w:hint="eastAsia" w:ascii="宋体" w:hAnsi="宋体" w:eastAsia="宋体" w:cs="宋体"/>
                <w:bCs w:val="0"/>
                <w:snapToGrid w:val="0"/>
                <w:color w:val="auto"/>
                <w:spacing w:val="13"/>
                <w:kern w:val="0"/>
                <w:sz w:val="20"/>
                <w:szCs w:val="20"/>
                <w:lang w:val="en-US" w:eastAsia="zh-CN"/>
              </w:rPr>
              <w:t>3</w:t>
            </w:r>
            <w:r>
              <w:rPr>
                <w:rFonts w:hint="eastAsia" w:ascii="宋体" w:hAnsi="宋体" w:eastAsia="宋体" w:cs="宋体"/>
                <w:bCs w:val="0"/>
                <w:snapToGrid w:val="0"/>
                <w:color w:val="auto"/>
                <w:spacing w:val="13"/>
                <w:kern w:val="0"/>
                <w:sz w:val="20"/>
                <w:szCs w:val="20"/>
              </w:rPr>
              <w:t>0分。其他响应人的价格分统一按照下列公式计算：</w:t>
            </w:r>
          </w:p>
          <w:p w14:paraId="554A936A">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磋商报价得分=(磋商基准价/最后磋商报价)×</w:t>
            </w:r>
            <w:r>
              <w:rPr>
                <w:rFonts w:hint="eastAsia" w:ascii="宋体" w:hAnsi="宋体" w:eastAsia="宋体" w:cs="宋体"/>
                <w:bCs w:val="0"/>
                <w:snapToGrid w:val="0"/>
                <w:color w:val="auto"/>
                <w:spacing w:val="13"/>
                <w:kern w:val="0"/>
                <w:sz w:val="20"/>
                <w:szCs w:val="20"/>
                <w:lang w:val="en-US" w:eastAsia="zh-CN"/>
              </w:rPr>
              <w:t>3</w:t>
            </w:r>
            <w:r>
              <w:rPr>
                <w:rFonts w:hint="eastAsia" w:ascii="宋体" w:hAnsi="宋体" w:eastAsia="宋体" w:cs="宋体"/>
                <w:bCs w:val="0"/>
                <w:snapToGrid w:val="0"/>
                <w:color w:val="auto"/>
                <w:spacing w:val="13"/>
                <w:kern w:val="0"/>
                <w:sz w:val="20"/>
                <w:szCs w:val="20"/>
              </w:rPr>
              <w:t>0%×100</w:t>
            </w:r>
          </w:p>
        </w:tc>
      </w:tr>
      <w:tr w14:paraId="66ED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15" w:type="dxa"/>
            <w:vMerge w:val="restart"/>
            <w:tcBorders>
              <w:right w:val="single" w:color="000000" w:sz="4" w:space="0"/>
            </w:tcBorders>
            <w:vAlign w:val="center"/>
          </w:tcPr>
          <w:p w14:paraId="63CF5EAA">
            <w:pPr>
              <w:pStyle w:val="18"/>
              <w:widowControl w:val="0"/>
              <w:spacing w:line="440" w:lineRule="exact"/>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highlight w:val="none"/>
              </w:rPr>
              <w:t>商务部分(</w:t>
            </w:r>
            <w:r>
              <w:rPr>
                <w:rFonts w:hint="eastAsia" w:ascii="宋体" w:hAnsi="宋体" w:cs="宋体"/>
                <w:bCs w:val="0"/>
                <w:snapToGrid w:val="0"/>
                <w:color w:val="auto"/>
                <w:spacing w:val="13"/>
                <w:kern w:val="0"/>
                <w:sz w:val="20"/>
                <w:szCs w:val="20"/>
                <w:highlight w:val="none"/>
                <w:lang w:val="en-US" w:eastAsia="zh-CN"/>
              </w:rPr>
              <w:t>20</w:t>
            </w:r>
            <w:r>
              <w:rPr>
                <w:rFonts w:hint="eastAsia" w:ascii="宋体" w:hAnsi="宋体" w:eastAsia="宋体" w:cs="宋体"/>
                <w:bCs w:val="0"/>
                <w:snapToGrid w:val="0"/>
                <w:color w:val="auto"/>
                <w:spacing w:val="13"/>
                <w:kern w:val="0"/>
                <w:sz w:val="20"/>
                <w:szCs w:val="20"/>
                <w:highlight w:val="none"/>
              </w:rPr>
              <w:t>分)</w:t>
            </w:r>
          </w:p>
        </w:tc>
        <w:tc>
          <w:tcPr>
            <w:tcW w:w="1134" w:type="dxa"/>
            <w:tcBorders>
              <w:left w:val="single" w:color="000000" w:sz="4" w:space="0"/>
            </w:tcBorders>
            <w:vAlign w:val="center"/>
          </w:tcPr>
          <w:p w14:paraId="4930096A">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highlight w:val="none"/>
              </w:rPr>
              <w:t>业绩</w:t>
            </w:r>
          </w:p>
        </w:tc>
        <w:tc>
          <w:tcPr>
            <w:tcW w:w="709" w:type="dxa"/>
            <w:vAlign w:val="center"/>
          </w:tcPr>
          <w:p w14:paraId="16BE8232">
            <w:pPr>
              <w:pStyle w:val="18"/>
              <w:widowControl w:val="0"/>
              <w:spacing w:line="440" w:lineRule="exact"/>
              <w:jc w:val="center"/>
              <w:rPr>
                <w:rFonts w:hint="eastAsia" w:ascii="宋体" w:hAnsi="宋体" w:eastAsia="宋体" w:cs="宋体"/>
                <w:bCs w:val="0"/>
                <w:snapToGrid w:val="0"/>
                <w:color w:val="auto"/>
                <w:spacing w:val="13"/>
                <w:kern w:val="0"/>
                <w:sz w:val="20"/>
                <w:szCs w:val="20"/>
                <w:lang w:val="en-US" w:eastAsia="zh-CN"/>
              </w:rPr>
            </w:pPr>
            <w:r>
              <w:rPr>
                <w:rFonts w:hint="eastAsia" w:ascii="宋体" w:hAnsi="宋体" w:cs="宋体"/>
                <w:bCs w:val="0"/>
                <w:snapToGrid w:val="0"/>
                <w:color w:val="auto"/>
                <w:spacing w:val="13"/>
                <w:kern w:val="0"/>
                <w:sz w:val="20"/>
                <w:szCs w:val="20"/>
                <w:highlight w:val="none"/>
                <w:lang w:val="en-US" w:eastAsia="zh-CN"/>
              </w:rPr>
              <w:t>10分</w:t>
            </w:r>
          </w:p>
        </w:tc>
        <w:tc>
          <w:tcPr>
            <w:tcW w:w="6223" w:type="dxa"/>
            <w:vAlign w:val="center"/>
          </w:tcPr>
          <w:p w14:paraId="0E9E7CFD">
            <w:pPr>
              <w:pStyle w:val="18"/>
              <w:widowControl w:val="0"/>
              <w:spacing w:line="440" w:lineRule="exact"/>
              <w:jc w:val="both"/>
              <w:rPr>
                <w:rFonts w:hint="eastAsia" w:ascii="宋体" w:hAnsi="宋体" w:eastAsia="宋体" w:cs="宋体"/>
                <w:bCs w:val="0"/>
                <w:snapToGrid w:val="0"/>
                <w:color w:val="auto"/>
                <w:spacing w:val="13"/>
                <w:kern w:val="0"/>
                <w:sz w:val="20"/>
                <w:szCs w:val="20"/>
                <w:highlight w:val="none"/>
                <w:lang w:eastAsia="zh-CN"/>
              </w:rPr>
            </w:pPr>
            <w:r>
              <w:rPr>
                <w:rFonts w:hint="eastAsia" w:ascii="宋体" w:hAnsi="宋体" w:eastAsia="宋体" w:cs="宋体"/>
                <w:bCs w:val="0"/>
                <w:snapToGrid w:val="0"/>
                <w:color w:val="auto"/>
                <w:spacing w:val="13"/>
                <w:kern w:val="0"/>
                <w:sz w:val="20"/>
                <w:szCs w:val="20"/>
                <w:highlight w:val="none"/>
              </w:rPr>
              <w:t>供应商近三年完成类似工程业绩</w:t>
            </w:r>
            <w:r>
              <w:rPr>
                <w:rFonts w:hint="eastAsia" w:ascii="宋体" w:hAnsi="宋体" w:cs="宋体"/>
                <w:bCs w:val="0"/>
                <w:snapToGrid w:val="0"/>
                <w:color w:val="auto"/>
                <w:spacing w:val="13"/>
                <w:kern w:val="0"/>
                <w:sz w:val="20"/>
                <w:szCs w:val="20"/>
                <w:highlight w:val="none"/>
                <w:lang w:eastAsia="zh-CN"/>
              </w:rPr>
              <w:t>，</w:t>
            </w:r>
            <w:r>
              <w:rPr>
                <w:rFonts w:hint="eastAsia" w:ascii="宋体" w:hAnsi="宋体" w:cs="宋体"/>
                <w:bCs w:val="0"/>
                <w:snapToGrid w:val="0"/>
                <w:color w:val="auto"/>
                <w:spacing w:val="13"/>
                <w:kern w:val="0"/>
                <w:sz w:val="20"/>
                <w:szCs w:val="20"/>
                <w:highlight w:val="none"/>
                <w:lang w:val="en-US" w:eastAsia="zh-CN"/>
              </w:rPr>
              <w:t>与招标内容</w:t>
            </w:r>
            <w:r>
              <w:rPr>
                <w:rFonts w:hint="eastAsia" w:ascii="宋体" w:hAnsi="宋体" w:cs="宋体"/>
                <w:bCs w:val="0"/>
                <w:snapToGrid w:val="0"/>
                <w:color w:val="auto"/>
                <w:spacing w:val="13"/>
                <w:kern w:val="0"/>
                <w:sz w:val="20"/>
                <w:szCs w:val="20"/>
                <w:highlight w:val="none"/>
                <w:lang w:eastAsia="zh-CN"/>
              </w:rPr>
              <w:t>相关业绩</w:t>
            </w:r>
            <w:r>
              <w:rPr>
                <w:rFonts w:hint="eastAsia" w:ascii="宋体" w:hAnsi="宋体" w:cs="宋体"/>
                <w:bCs w:val="0"/>
                <w:snapToGrid w:val="0"/>
                <w:color w:val="auto"/>
                <w:spacing w:val="13"/>
                <w:kern w:val="0"/>
                <w:sz w:val="20"/>
                <w:szCs w:val="20"/>
                <w:highlight w:val="none"/>
                <w:lang w:val="en-US" w:eastAsia="zh-CN"/>
              </w:rPr>
              <w:t>每</w:t>
            </w:r>
            <w:r>
              <w:rPr>
                <w:rFonts w:hint="eastAsia" w:ascii="宋体" w:hAnsi="宋体" w:eastAsia="宋体" w:cs="宋体"/>
                <w:bCs w:val="0"/>
                <w:snapToGrid w:val="0"/>
                <w:color w:val="auto"/>
                <w:spacing w:val="13"/>
                <w:kern w:val="0"/>
                <w:sz w:val="20"/>
                <w:szCs w:val="20"/>
                <w:highlight w:val="none"/>
              </w:rPr>
              <w:t>提供</w:t>
            </w:r>
            <w:r>
              <w:rPr>
                <w:rFonts w:hint="eastAsia" w:ascii="宋体" w:hAnsi="宋体" w:cs="宋体"/>
                <w:bCs w:val="0"/>
                <w:snapToGrid w:val="0"/>
                <w:color w:val="auto"/>
                <w:spacing w:val="13"/>
                <w:kern w:val="0"/>
                <w:sz w:val="20"/>
                <w:szCs w:val="20"/>
                <w:highlight w:val="none"/>
                <w:lang w:val="en-US" w:eastAsia="zh-CN"/>
              </w:rPr>
              <w:t>1</w:t>
            </w:r>
            <w:r>
              <w:rPr>
                <w:rFonts w:hint="eastAsia" w:ascii="宋体" w:hAnsi="宋体" w:eastAsia="宋体" w:cs="宋体"/>
                <w:bCs w:val="0"/>
                <w:snapToGrid w:val="0"/>
                <w:color w:val="auto"/>
                <w:spacing w:val="13"/>
                <w:kern w:val="0"/>
                <w:sz w:val="20"/>
                <w:szCs w:val="20"/>
                <w:highlight w:val="none"/>
              </w:rPr>
              <w:t>项得</w:t>
            </w:r>
            <w:r>
              <w:rPr>
                <w:rFonts w:hint="eastAsia" w:ascii="宋体" w:hAnsi="宋体" w:cs="宋体"/>
                <w:bCs w:val="0"/>
                <w:snapToGrid w:val="0"/>
                <w:color w:val="auto"/>
                <w:spacing w:val="13"/>
                <w:kern w:val="0"/>
                <w:sz w:val="20"/>
                <w:szCs w:val="20"/>
                <w:highlight w:val="none"/>
                <w:lang w:val="en-US" w:eastAsia="zh-CN"/>
              </w:rPr>
              <w:t>3</w:t>
            </w:r>
            <w:r>
              <w:rPr>
                <w:rFonts w:hint="eastAsia" w:ascii="宋体" w:hAnsi="宋体" w:eastAsia="宋体" w:cs="宋体"/>
                <w:bCs w:val="0"/>
                <w:snapToGrid w:val="0"/>
                <w:color w:val="auto"/>
                <w:spacing w:val="13"/>
                <w:kern w:val="0"/>
                <w:sz w:val="20"/>
                <w:szCs w:val="20"/>
                <w:highlight w:val="none"/>
              </w:rPr>
              <w:t>分</w:t>
            </w:r>
            <w:r>
              <w:rPr>
                <w:rFonts w:hint="eastAsia" w:ascii="宋体" w:hAnsi="宋体" w:cs="宋体"/>
                <w:bCs w:val="0"/>
                <w:snapToGrid w:val="0"/>
                <w:color w:val="auto"/>
                <w:spacing w:val="13"/>
                <w:kern w:val="0"/>
                <w:sz w:val="20"/>
                <w:szCs w:val="20"/>
                <w:highlight w:val="none"/>
                <w:lang w:eastAsia="zh-CN"/>
              </w:rPr>
              <w:t>，其它水利项目每提供一项</w:t>
            </w:r>
            <w:r>
              <w:rPr>
                <w:rFonts w:hint="eastAsia" w:ascii="宋体" w:hAnsi="宋体" w:cs="宋体"/>
                <w:bCs w:val="0"/>
                <w:snapToGrid w:val="0"/>
                <w:color w:val="auto"/>
                <w:spacing w:val="13"/>
                <w:kern w:val="0"/>
                <w:sz w:val="20"/>
                <w:szCs w:val="20"/>
                <w:highlight w:val="none"/>
                <w:lang w:val="en-US" w:eastAsia="zh-CN"/>
              </w:rPr>
              <w:t>1分，共10分</w:t>
            </w:r>
            <w:r>
              <w:rPr>
                <w:rFonts w:hint="eastAsia" w:ascii="宋体" w:hAnsi="宋体" w:eastAsia="宋体" w:cs="宋体"/>
                <w:bCs w:val="0"/>
                <w:snapToGrid w:val="0"/>
                <w:color w:val="auto"/>
                <w:spacing w:val="13"/>
                <w:kern w:val="0"/>
                <w:sz w:val="20"/>
                <w:szCs w:val="20"/>
                <w:highlight w:val="none"/>
                <w:lang w:eastAsia="zh-CN"/>
              </w:rPr>
              <w:t>。</w:t>
            </w:r>
          </w:p>
          <w:p w14:paraId="7BDA5950">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highlight w:val="none"/>
              </w:rPr>
              <w:t>注：业绩证明须提供成交通知书或中标通知书、合同</w:t>
            </w:r>
            <w:r>
              <w:rPr>
                <w:rFonts w:hint="eastAsia" w:ascii="宋体" w:hAnsi="宋体" w:cs="宋体"/>
                <w:bCs w:val="0"/>
                <w:snapToGrid w:val="0"/>
                <w:color w:val="auto"/>
                <w:spacing w:val="13"/>
                <w:kern w:val="0"/>
                <w:sz w:val="20"/>
                <w:szCs w:val="20"/>
                <w:highlight w:val="none"/>
                <w:lang w:val="en-US" w:eastAsia="zh-CN"/>
              </w:rPr>
              <w:t>协议书及</w:t>
            </w:r>
            <w:r>
              <w:rPr>
                <w:rFonts w:hint="eastAsia" w:ascii="宋体" w:hAnsi="宋体" w:eastAsia="宋体" w:cs="宋体"/>
                <w:bCs w:val="0"/>
                <w:snapToGrid w:val="0"/>
                <w:color w:val="auto"/>
                <w:spacing w:val="13"/>
                <w:kern w:val="0"/>
                <w:sz w:val="20"/>
                <w:szCs w:val="20"/>
                <w:highlight w:val="none"/>
              </w:rPr>
              <w:t>竣工验收</w:t>
            </w:r>
            <w:r>
              <w:rPr>
                <w:rFonts w:hint="eastAsia" w:ascii="宋体" w:hAnsi="宋体" w:cs="宋体"/>
                <w:bCs w:val="0"/>
                <w:snapToGrid w:val="0"/>
                <w:color w:val="auto"/>
                <w:spacing w:val="13"/>
                <w:kern w:val="0"/>
                <w:sz w:val="20"/>
                <w:szCs w:val="20"/>
                <w:highlight w:val="none"/>
                <w:lang w:val="en-US" w:eastAsia="zh-CN"/>
              </w:rPr>
              <w:t>报告或完工证明</w:t>
            </w:r>
            <w:r>
              <w:rPr>
                <w:rFonts w:hint="eastAsia" w:ascii="宋体" w:hAnsi="宋体" w:eastAsia="宋体" w:cs="宋体"/>
                <w:bCs w:val="0"/>
                <w:snapToGrid w:val="0"/>
                <w:color w:val="auto"/>
                <w:spacing w:val="13"/>
                <w:kern w:val="0"/>
                <w:sz w:val="20"/>
                <w:szCs w:val="20"/>
                <w:highlight w:val="none"/>
              </w:rPr>
              <w:t>。提供不全或未提供均不得分。</w:t>
            </w:r>
          </w:p>
        </w:tc>
      </w:tr>
      <w:tr w14:paraId="6594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15" w:type="dxa"/>
            <w:vMerge w:val="continue"/>
            <w:tcBorders>
              <w:right w:val="single" w:color="000000" w:sz="4" w:space="0"/>
            </w:tcBorders>
            <w:vAlign w:val="center"/>
          </w:tcPr>
          <w:p w14:paraId="52FC881D">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0C2A7746">
            <w:pPr>
              <w:pStyle w:val="18"/>
              <w:widowControl w:val="0"/>
              <w:spacing w:line="440" w:lineRule="exact"/>
              <w:jc w:val="both"/>
              <w:rPr>
                <w:rFonts w:hint="eastAsia" w:ascii="宋体" w:hAnsi="宋体" w:eastAsia="宋体" w:cs="宋体"/>
                <w:bCs w:val="0"/>
                <w:snapToGrid w:val="0"/>
                <w:color w:val="auto"/>
                <w:spacing w:val="13"/>
                <w:kern w:val="0"/>
                <w:sz w:val="20"/>
                <w:szCs w:val="20"/>
                <w:lang w:val="en-US"/>
              </w:rPr>
            </w:pPr>
            <w:r>
              <w:rPr>
                <w:rFonts w:hint="eastAsia" w:ascii="宋体" w:hAnsi="宋体" w:eastAsia="宋体" w:cs="宋体"/>
                <w:bCs w:val="0"/>
                <w:snapToGrid w:val="0"/>
                <w:color w:val="auto"/>
                <w:spacing w:val="13"/>
                <w:kern w:val="0"/>
                <w:sz w:val="20"/>
                <w:szCs w:val="20"/>
                <w:highlight w:val="none"/>
                <w:lang w:val="en-US"/>
              </w:rPr>
              <w:t>项目管理人员组成</w:t>
            </w:r>
          </w:p>
        </w:tc>
        <w:tc>
          <w:tcPr>
            <w:tcW w:w="709" w:type="dxa"/>
            <w:vAlign w:val="center"/>
          </w:tcPr>
          <w:p w14:paraId="0452ACBB">
            <w:pPr>
              <w:pStyle w:val="18"/>
              <w:widowControl w:val="0"/>
              <w:spacing w:line="440" w:lineRule="exact"/>
              <w:jc w:val="center"/>
              <w:rPr>
                <w:rFonts w:hint="eastAsia" w:ascii="宋体" w:hAnsi="宋体" w:eastAsia="宋体" w:cs="宋体"/>
                <w:bCs w:val="0"/>
                <w:snapToGrid w:val="0"/>
                <w:color w:val="auto"/>
                <w:spacing w:val="13"/>
                <w:kern w:val="0"/>
                <w:sz w:val="20"/>
                <w:szCs w:val="20"/>
                <w:lang w:val="en-US" w:eastAsia="zh-CN"/>
              </w:rPr>
            </w:pPr>
            <w:r>
              <w:rPr>
                <w:rFonts w:hint="eastAsia" w:ascii="宋体" w:hAnsi="宋体" w:cs="宋体"/>
                <w:bCs w:val="0"/>
                <w:snapToGrid w:val="0"/>
                <w:color w:val="auto"/>
                <w:spacing w:val="13"/>
                <w:kern w:val="0"/>
                <w:sz w:val="20"/>
                <w:szCs w:val="20"/>
                <w:highlight w:val="none"/>
                <w:lang w:val="en-US" w:eastAsia="zh-CN"/>
              </w:rPr>
              <w:t>10分</w:t>
            </w:r>
          </w:p>
        </w:tc>
        <w:tc>
          <w:tcPr>
            <w:tcW w:w="6223" w:type="dxa"/>
            <w:vAlign w:val="center"/>
          </w:tcPr>
          <w:p w14:paraId="0DBA0167">
            <w:pPr>
              <w:pStyle w:val="18"/>
              <w:widowControl w:val="0"/>
              <w:spacing w:line="440" w:lineRule="exact"/>
              <w:jc w:val="both"/>
              <w:rPr>
                <w:rFonts w:hint="eastAsia" w:ascii="宋体" w:hAnsi="宋体" w:eastAsia="宋体" w:cs="宋体"/>
                <w:bCs w:val="0"/>
                <w:snapToGrid w:val="0"/>
                <w:color w:val="auto"/>
                <w:spacing w:val="13"/>
                <w:kern w:val="0"/>
                <w:sz w:val="20"/>
                <w:szCs w:val="20"/>
                <w:highlight w:val="none"/>
              </w:rPr>
            </w:pPr>
            <w:r>
              <w:rPr>
                <w:rFonts w:hint="eastAsia" w:ascii="宋体" w:hAnsi="宋体" w:cs="宋体"/>
                <w:bCs w:val="0"/>
                <w:snapToGrid w:val="0"/>
                <w:color w:val="auto"/>
                <w:spacing w:val="13"/>
                <w:kern w:val="0"/>
                <w:sz w:val="20"/>
                <w:szCs w:val="20"/>
                <w:highlight w:val="none"/>
                <w:lang w:eastAsia="zh-CN"/>
              </w:rPr>
              <w:t>项目经理、</w:t>
            </w:r>
            <w:r>
              <w:rPr>
                <w:rFonts w:hint="eastAsia" w:ascii="宋体" w:hAnsi="宋体" w:eastAsia="宋体" w:cs="宋体"/>
                <w:bCs w:val="0"/>
                <w:snapToGrid w:val="0"/>
                <w:color w:val="auto"/>
                <w:spacing w:val="13"/>
                <w:kern w:val="0"/>
                <w:sz w:val="20"/>
                <w:szCs w:val="20"/>
                <w:highlight w:val="none"/>
                <w:lang w:eastAsia="zh-CN"/>
              </w:rPr>
              <w:t>项目技术负责人</w:t>
            </w:r>
            <w:r>
              <w:rPr>
                <w:rFonts w:hint="eastAsia" w:ascii="宋体" w:hAnsi="宋体" w:eastAsia="宋体" w:cs="宋体"/>
                <w:bCs w:val="0"/>
                <w:snapToGrid w:val="0"/>
                <w:color w:val="auto"/>
                <w:spacing w:val="13"/>
                <w:kern w:val="0"/>
                <w:sz w:val="20"/>
                <w:szCs w:val="20"/>
                <w:highlight w:val="none"/>
              </w:rPr>
              <w:t>、</w:t>
            </w:r>
            <w:r>
              <w:rPr>
                <w:rFonts w:hint="eastAsia" w:ascii="宋体" w:hAnsi="宋体" w:eastAsia="宋体" w:cs="宋体"/>
                <w:bCs w:val="0"/>
                <w:snapToGrid w:val="0"/>
                <w:color w:val="auto"/>
                <w:spacing w:val="13"/>
                <w:kern w:val="0"/>
                <w:sz w:val="20"/>
                <w:szCs w:val="20"/>
                <w:highlight w:val="none"/>
                <w:lang w:val="en-US" w:eastAsia="zh-CN"/>
              </w:rPr>
              <w:t>施工员</w:t>
            </w:r>
            <w:r>
              <w:rPr>
                <w:rFonts w:hint="eastAsia" w:ascii="宋体" w:hAnsi="宋体" w:eastAsia="宋体" w:cs="宋体"/>
                <w:bCs w:val="0"/>
                <w:snapToGrid w:val="0"/>
                <w:color w:val="auto"/>
                <w:spacing w:val="13"/>
                <w:kern w:val="0"/>
                <w:sz w:val="20"/>
                <w:szCs w:val="20"/>
                <w:highlight w:val="none"/>
              </w:rPr>
              <w:t>、质</w:t>
            </w:r>
            <w:r>
              <w:rPr>
                <w:rFonts w:hint="eastAsia" w:ascii="宋体" w:hAnsi="宋体" w:cs="宋体"/>
                <w:bCs w:val="0"/>
                <w:snapToGrid w:val="0"/>
                <w:color w:val="auto"/>
                <w:spacing w:val="13"/>
                <w:kern w:val="0"/>
                <w:sz w:val="20"/>
                <w:szCs w:val="20"/>
                <w:highlight w:val="none"/>
                <w:lang w:val="en-US" w:eastAsia="zh-CN"/>
              </w:rPr>
              <w:t>检</w:t>
            </w:r>
            <w:r>
              <w:rPr>
                <w:rFonts w:hint="eastAsia" w:ascii="宋体" w:hAnsi="宋体" w:eastAsia="宋体" w:cs="宋体"/>
                <w:bCs w:val="0"/>
                <w:snapToGrid w:val="0"/>
                <w:color w:val="auto"/>
                <w:spacing w:val="13"/>
                <w:kern w:val="0"/>
                <w:sz w:val="20"/>
                <w:szCs w:val="20"/>
                <w:highlight w:val="none"/>
              </w:rPr>
              <w:t>员、安全员、材料员</w:t>
            </w:r>
            <w:r>
              <w:rPr>
                <w:rFonts w:hint="eastAsia" w:ascii="宋体" w:hAnsi="宋体" w:eastAsia="宋体" w:cs="宋体"/>
                <w:bCs w:val="0"/>
                <w:snapToGrid w:val="0"/>
                <w:color w:val="auto"/>
                <w:spacing w:val="13"/>
                <w:kern w:val="0"/>
                <w:sz w:val="20"/>
                <w:szCs w:val="20"/>
                <w:highlight w:val="none"/>
                <w:lang w:eastAsia="zh-CN"/>
              </w:rPr>
              <w:t>、</w:t>
            </w:r>
            <w:r>
              <w:rPr>
                <w:rFonts w:hint="eastAsia" w:ascii="宋体" w:hAnsi="宋体" w:eastAsia="宋体" w:cs="宋体"/>
                <w:bCs w:val="0"/>
                <w:snapToGrid w:val="0"/>
                <w:color w:val="auto"/>
                <w:spacing w:val="13"/>
                <w:kern w:val="0"/>
                <w:sz w:val="20"/>
                <w:szCs w:val="20"/>
                <w:highlight w:val="none"/>
                <w:lang w:val="en-US" w:eastAsia="zh-CN"/>
              </w:rPr>
              <w:t>资料员</w:t>
            </w:r>
            <w:r>
              <w:rPr>
                <w:rFonts w:hint="eastAsia" w:ascii="宋体" w:hAnsi="宋体" w:eastAsia="宋体" w:cs="宋体"/>
                <w:bCs w:val="0"/>
                <w:snapToGrid w:val="0"/>
                <w:color w:val="auto"/>
                <w:spacing w:val="13"/>
                <w:kern w:val="0"/>
                <w:sz w:val="20"/>
                <w:szCs w:val="20"/>
                <w:highlight w:val="none"/>
              </w:rPr>
              <w:t>等要配备齐全，其中</w:t>
            </w:r>
            <w:r>
              <w:rPr>
                <w:rFonts w:hint="eastAsia" w:ascii="宋体" w:hAnsi="宋体" w:cs="宋体"/>
                <w:bCs w:val="0"/>
                <w:snapToGrid w:val="0"/>
                <w:color w:val="auto"/>
                <w:spacing w:val="13"/>
                <w:kern w:val="0"/>
                <w:sz w:val="20"/>
                <w:szCs w:val="20"/>
                <w:highlight w:val="none"/>
                <w:lang w:eastAsia="zh-CN"/>
              </w:rPr>
              <w:t>项目经理、</w:t>
            </w:r>
            <w:r>
              <w:rPr>
                <w:rFonts w:hint="eastAsia" w:ascii="宋体" w:hAnsi="宋体" w:eastAsia="宋体" w:cs="宋体"/>
                <w:bCs w:val="0"/>
                <w:snapToGrid w:val="0"/>
                <w:color w:val="auto"/>
                <w:spacing w:val="13"/>
                <w:kern w:val="0"/>
                <w:sz w:val="20"/>
                <w:szCs w:val="20"/>
                <w:highlight w:val="none"/>
                <w:lang w:eastAsia="zh-CN"/>
              </w:rPr>
              <w:t>项目技术负责人</w:t>
            </w:r>
            <w:r>
              <w:rPr>
                <w:rFonts w:hint="eastAsia" w:ascii="宋体" w:hAnsi="宋体" w:eastAsia="宋体" w:cs="宋体"/>
                <w:bCs w:val="0"/>
                <w:snapToGrid w:val="0"/>
                <w:color w:val="auto"/>
                <w:spacing w:val="13"/>
                <w:kern w:val="0"/>
                <w:sz w:val="20"/>
                <w:szCs w:val="20"/>
                <w:highlight w:val="none"/>
              </w:rPr>
              <w:t>须附职称证书，其他人员须附上岗证。上述管理人员相应证件</w:t>
            </w:r>
            <w:r>
              <w:rPr>
                <w:rFonts w:hint="eastAsia" w:ascii="宋体" w:hAnsi="宋体" w:cs="宋体"/>
                <w:bCs w:val="0"/>
                <w:snapToGrid w:val="0"/>
                <w:color w:val="auto"/>
                <w:spacing w:val="13"/>
                <w:kern w:val="0"/>
                <w:sz w:val="20"/>
                <w:szCs w:val="20"/>
                <w:highlight w:val="none"/>
                <w:lang w:eastAsia="zh-CN"/>
              </w:rPr>
              <w:t>提供完全得</w:t>
            </w:r>
            <w:r>
              <w:rPr>
                <w:rFonts w:hint="eastAsia" w:ascii="宋体" w:hAnsi="宋体" w:cs="宋体"/>
                <w:bCs w:val="0"/>
                <w:snapToGrid w:val="0"/>
                <w:color w:val="auto"/>
                <w:spacing w:val="13"/>
                <w:kern w:val="0"/>
                <w:sz w:val="20"/>
                <w:szCs w:val="20"/>
                <w:highlight w:val="none"/>
                <w:lang w:val="en-US" w:eastAsia="zh-CN"/>
              </w:rPr>
              <w:t>4分</w:t>
            </w:r>
            <w:r>
              <w:rPr>
                <w:rFonts w:hint="eastAsia" w:ascii="宋体" w:hAnsi="宋体" w:eastAsia="宋体" w:cs="宋体"/>
                <w:bCs w:val="0"/>
                <w:snapToGrid w:val="0"/>
                <w:color w:val="auto"/>
                <w:spacing w:val="13"/>
                <w:kern w:val="0"/>
                <w:sz w:val="20"/>
                <w:szCs w:val="20"/>
                <w:highlight w:val="none"/>
              </w:rPr>
              <w:t>。</w:t>
            </w:r>
          </w:p>
          <w:p w14:paraId="712C2E02">
            <w:pPr>
              <w:pStyle w:val="18"/>
              <w:widowControl w:val="0"/>
              <w:spacing w:line="440" w:lineRule="exact"/>
              <w:jc w:val="both"/>
              <w:rPr>
                <w:rFonts w:hint="eastAsia" w:ascii="宋体" w:hAnsi="宋体" w:cs="宋体"/>
                <w:bCs w:val="0"/>
                <w:snapToGrid w:val="0"/>
                <w:color w:val="auto"/>
                <w:spacing w:val="13"/>
                <w:kern w:val="0"/>
                <w:sz w:val="20"/>
                <w:szCs w:val="20"/>
                <w:highlight w:val="none"/>
                <w:lang w:val="en-US" w:eastAsia="zh-CN"/>
              </w:rPr>
            </w:pPr>
            <w:r>
              <w:rPr>
                <w:rFonts w:hint="eastAsia" w:ascii="宋体" w:hAnsi="宋体" w:cs="宋体"/>
                <w:bCs w:val="0"/>
                <w:snapToGrid w:val="0"/>
                <w:color w:val="auto"/>
                <w:spacing w:val="13"/>
                <w:kern w:val="0"/>
                <w:sz w:val="20"/>
                <w:szCs w:val="20"/>
                <w:highlight w:val="none"/>
                <w:lang w:eastAsia="zh-CN"/>
              </w:rPr>
              <w:t>其中项目经理具有水利工程相关专业高级职称且有水利相关业绩得</w:t>
            </w:r>
            <w:r>
              <w:rPr>
                <w:rFonts w:hint="eastAsia" w:ascii="宋体" w:hAnsi="宋体" w:cs="宋体"/>
                <w:bCs w:val="0"/>
                <w:snapToGrid w:val="0"/>
                <w:color w:val="auto"/>
                <w:spacing w:val="13"/>
                <w:kern w:val="0"/>
                <w:sz w:val="20"/>
                <w:szCs w:val="20"/>
                <w:highlight w:val="none"/>
                <w:lang w:val="en-US" w:eastAsia="zh-CN"/>
              </w:rPr>
              <w:t>3分，</w:t>
            </w:r>
            <w:r>
              <w:rPr>
                <w:rFonts w:hint="eastAsia" w:ascii="宋体" w:hAnsi="宋体" w:cs="宋体"/>
                <w:bCs w:val="0"/>
                <w:snapToGrid w:val="0"/>
                <w:color w:val="auto"/>
                <w:spacing w:val="13"/>
                <w:kern w:val="0"/>
                <w:sz w:val="20"/>
                <w:szCs w:val="20"/>
                <w:highlight w:val="none"/>
                <w:lang w:eastAsia="zh-CN"/>
              </w:rPr>
              <w:t>具有水利工程相关专业中级职称且有水利相关业绩得</w:t>
            </w:r>
            <w:r>
              <w:rPr>
                <w:rFonts w:hint="eastAsia" w:ascii="宋体" w:hAnsi="宋体" w:cs="宋体"/>
                <w:bCs w:val="0"/>
                <w:snapToGrid w:val="0"/>
                <w:color w:val="auto"/>
                <w:spacing w:val="13"/>
                <w:kern w:val="0"/>
                <w:sz w:val="20"/>
                <w:szCs w:val="20"/>
                <w:highlight w:val="none"/>
                <w:lang w:val="en-US" w:eastAsia="zh-CN"/>
              </w:rPr>
              <w:t>2分，</w:t>
            </w:r>
            <w:r>
              <w:rPr>
                <w:rFonts w:hint="eastAsia" w:ascii="宋体" w:hAnsi="宋体" w:cs="宋体"/>
                <w:bCs w:val="0"/>
                <w:snapToGrid w:val="0"/>
                <w:color w:val="auto"/>
                <w:spacing w:val="13"/>
                <w:kern w:val="0"/>
                <w:sz w:val="20"/>
                <w:szCs w:val="20"/>
                <w:highlight w:val="none"/>
                <w:lang w:eastAsia="zh-CN"/>
              </w:rPr>
              <w:t>具有水利工程相关专业初级职称且有水利相关业绩得</w:t>
            </w:r>
            <w:r>
              <w:rPr>
                <w:rFonts w:hint="eastAsia" w:ascii="宋体" w:hAnsi="宋体" w:cs="宋体"/>
                <w:bCs w:val="0"/>
                <w:snapToGrid w:val="0"/>
                <w:color w:val="auto"/>
                <w:spacing w:val="13"/>
                <w:kern w:val="0"/>
                <w:sz w:val="20"/>
                <w:szCs w:val="20"/>
                <w:highlight w:val="none"/>
                <w:lang w:val="en-US" w:eastAsia="zh-CN"/>
              </w:rPr>
              <w:t>1分。（</w:t>
            </w:r>
            <w:r>
              <w:rPr>
                <w:rFonts w:hint="eastAsia" w:ascii="宋体" w:hAnsi="宋体" w:cs="宋体"/>
                <w:bCs w:val="0"/>
                <w:snapToGrid w:val="0"/>
                <w:color w:val="auto"/>
                <w:spacing w:val="13"/>
                <w:kern w:val="0"/>
                <w:sz w:val="20"/>
                <w:szCs w:val="20"/>
                <w:highlight w:val="none"/>
                <w:lang w:eastAsia="zh-CN"/>
              </w:rPr>
              <w:t>水利相关业绩</w:t>
            </w:r>
            <w:r>
              <w:rPr>
                <w:rFonts w:hint="eastAsia" w:ascii="宋体" w:hAnsi="宋体" w:cs="宋体"/>
                <w:bCs w:val="0"/>
                <w:snapToGrid w:val="0"/>
                <w:color w:val="auto"/>
                <w:spacing w:val="13"/>
                <w:kern w:val="0"/>
                <w:sz w:val="20"/>
                <w:szCs w:val="20"/>
                <w:highlight w:val="none"/>
                <w:lang w:val="en-US" w:eastAsia="zh-CN"/>
              </w:rPr>
              <w:t>至少提供一项，不提供者不计算得分）</w:t>
            </w:r>
          </w:p>
          <w:p w14:paraId="00EB7556">
            <w:pPr>
              <w:pStyle w:val="18"/>
              <w:widowControl w:val="0"/>
              <w:spacing w:line="440" w:lineRule="exact"/>
              <w:jc w:val="both"/>
              <w:rPr>
                <w:rFonts w:hint="default" w:ascii="宋体" w:hAnsi="宋体" w:cs="宋体"/>
                <w:bCs w:val="0"/>
                <w:snapToGrid w:val="0"/>
                <w:color w:val="auto"/>
                <w:spacing w:val="13"/>
                <w:kern w:val="0"/>
                <w:sz w:val="20"/>
                <w:szCs w:val="20"/>
                <w:highlight w:val="none"/>
                <w:lang w:val="en-US" w:eastAsia="zh-CN"/>
              </w:rPr>
            </w:pPr>
            <w:r>
              <w:rPr>
                <w:rFonts w:hint="eastAsia" w:ascii="宋体" w:hAnsi="宋体" w:cs="宋体"/>
                <w:bCs w:val="0"/>
                <w:snapToGrid w:val="0"/>
                <w:color w:val="auto"/>
                <w:spacing w:val="13"/>
                <w:kern w:val="0"/>
                <w:sz w:val="20"/>
                <w:szCs w:val="20"/>
                <w:highlight w:val="none"/>
                <w:lang w:val="en-US" w:eastAsia="zh-CN"/>
              </w:rPr>
              <w:t>项目技术负责人</w:t>
            </w:r>
            <w:r>
              <w:rPr>
                <w:rFonts w:hint="eastAsia" w:ascii="宋体" w:hAnsi="宋体" w:cs="宋体"/>
                <w:bCs w:val="0"/>
                <w:snapToGrid w:val="0"/>
                <w:color w:val="auto"/>
                <w:spacing w:val="13"/>
                <w:kern w:val="0"/>
                <w:sz w:val="20"/>
                <w:szCs w:val="20"/>
                <w:highlight w:val="none"/>
                <w:lang w:eastAsia="zh-CN"/>
              </w:rPr>
              <w:t>具有工程类相关专业高级职称且有水利相关业绩得</w:t>
            </w:r>
            <w:r>
              <w:rPr>
                <w:rFonts w:hint="eastAsia" w:ascii="宋体" w:hAnsi="宋体" w:cs="宋体"/>
                <w:bCs w:val="0"/>
                <w:snapToGrid w:val="0"/>
                <w:color w:val="auto"/>
                <w:spacing w:val="13"/>
                <w:kern w:val="0"/>
                <w:sz w:val="20"/>
                <w:szCs w:val="20"/>
                <w:highlight w:val="none"/>
                <w:lang w:val="en-US" w:eastAsia="zh-CN"/>
              </w:rPr>
              <w:t>3分，</w:t>
            </w:r>
            <w:r>
              <w:rPr>
                <w:rFonts w:hint="eastAsia" w:ascii="宋体" w:hAnsi="宋体" w:cs="宋体"/>
                <w:bCs w:val="0"/>
                <w:snapToGrid w:val="0"/>
                <w:color w:val="auto"/>
                <w:spacing w:val="13"/>
                <w:kern w:val="0"/>
                <w:sz w:val="20"/>
                <w:szCs w:val="20"/>
                <w:highlight w:val="none"/>
                <w:lang w:eastAsia="zh-CN"/>
              </w:rPr>
              <w:t>具有水利工程相关专业中级职称且有水利相关业绩得</w:t>
            </w:r>
            <w:r>
              <w:rPr>
                <w:rFonts w:hint="eastAsia" w:ascii="宋体" w:hAnsi="宋体" w:cs="宋体"/>
                <w:bCs w:val="0"/>
                <w:snapToGrid w:val="0"/>
                <w:color w:val="auto"/>
                <w:spacing w:val="13"/>
                <w:kern w:val="0"/>
                <w:sz w:val="20"/>
                <w:szCs w:val="20"/>
                <w:highlight w:val="none"/>
                <w:lang w:val="en-US" w:eastAsia="zh-CN"/>
              </w:rPr>
              <w:t>2分。</w:t>
            </w:r>
            <w:r>
              <w:rPr>
                <w:rFonts w:hint="eastAsia" w:ascii="宋体" w:hAnsi="宋体" w:cs="宋体"/>
                <w:bCs w:val="0"/>
                <w:snapToGrid w:val="0"/>
                <w:color w:val="auto"/>
                <w:spacing w:val="13"/>
                <w:kern w:val="0"/>
                <w:sz w:val="20"/>
                <w:szCs w:val="20"/>
                <w:highlight w:val="none"/>
                <w:lang w:eastAsia="zh-CN"/>
              </w:rPr>
              <w:t>具有水利工程相关专业初级职称且有水利相关业绩得</w:t>
            </w:r>
            <w:r>
              <w:rPr>
                <w:rFonts w:hint="eastAsia" w:ascii="宋体" w:hAnsi="宋体" w:cs="宋体"/>
                <w:bCs w:val="0"/>
                <w:snapToGrid w:val="0"/>
                <w:color w:val="auto"/>
                <w:spacing w:val="13"/>
                <w:kern w:val="0"/>
                <w:sz w:val="20"/>
                <w:szCs w:val="20"/>
                <w:highlight w:val="none"/>
                <w:lang w:val="en-US" w:eastAsia="zh-CN"/>
              </w:rPr>
              <w:t>1分。（</w:t>
            </w:r>
            <w:r>
              <w:rPr>
                <w:rFonts w:hint="eastAsia" w:ascii="宋体" w:hAnsi="宋体" w:cs="宋体"/>
                <w:bCs w:val="0"/>
                <w:snapToGrid w:val="0"/>
                <w:color w:val="auto"/>
                <w:spacing w:val="13"/>
                <w:kern w:val="0"/>
                <w:sz w:val="20"/>
                <w:szCs w:val="20"/>
                <w:highlight w:val="none"/>
                <w:lang w:eastAsia="zh-CN"/>
              </w:rPr>
              <w:t>水利相关业绩</w:t>
            </w:r>
            <w:r>
              <w:rPr>
                <w:rFonts w:hint="eastAsia" w:ascii="宋体" w:hAnsi="宋体" w:cs="宋体"/>
                <w:bCs w:val="0"/>
                <w:snapToGrid w:val="0"/>
                <w:color w:val="auto"/>
                <w:spacing w:val="13"/>
                <w:kern w:val="0"/>
                <w:sz w:val="20"/>
                <w:szCs w:val="20"/>
                <w:highlight w:val="none"/>
                <w:lang w:val="en-US" w:eastAsia="zh-CN"/>
              </w:rPr>
              <w:t>至少提供一项，不提供者不计算得分）</w:t>
            </w:r>
          </w:p>
          <w:p w14:paraId="1F7F77B3">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highlight w:val="none"/>
              </w:rPr>
              <w:t>注：提供的人员必须提供近六个月本单位的缴纳社保证明，否则不计分</w:t>
            </w:r>
            <w:r>
              <w:rPr>
                <w:rFonts w:hint="eastAsia" w:ascii="宋体" w:hAnsi="宋体" w:cs="宋体"/>
                <w:bCs w:val="0"/>
                <w:snapToGrid w:val="0"/>
                <w:color w:val="auto"/>
                <w:spacing w:val="13"/>
                <w:kern w:val="0"/>
                <w:sz w:val="20"/>
                <w:szCs w:val="20"/>
                <w:highlight w:val="none"/>
                <w:lang w:eastAsia="zh-CN"/>
              </w:rPr>
              <w:t>。业绩证明须提供成交通知书或中标通知书、合同协议书及竣工验收报告或完工证明。提供不全或未提供均不得分</w:t>
            </w:r>
            <w:r>
              <w:rPr>
                <w:rFonts w:hint="eastAsia" w:ascii="宋体" w:hAnsi="宋体" w:eastAsia="宋体" w:cs="宋体"/>
                <w:bCs w:val="0"/>
                <w:snapToGrid w:val="0"/>
                <w:color w:val="auto"/>
                <w:spacing w:val="13"/>
                <w:kern w:val="0"/>
                <w:sz w:val="20"/>
                <w:szCs w:val="20"/>
                <w:highlight w:val="none"/>
              </w:rPr>
              <w:t>。</w:t>
            </w:r>
          </w:p>
        </w:tc>
      </w:tr>
      <w:tr w14:paraId="6B5E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5" w:type="dxa"/>
            <w:vMerge w:val="restart"/>
            <w:tcBorders>
              <w:right w:val="single" w:color="000000" w:sz="4" w:space="0"/>
            </w:tcBorders>
            <w:vAlign w:val="center"/>
          </w:tcPr>
          <w:p w14:paraId="7E073EE0">
            <w:pPr>
              <w:pStyle w:val="18"/>
              <w:widowControl w:val="0"/>
              <w:spacing w:line="440" w:lineRule="exact"/>
              <w:jc w:val="both"/>
              <w:rPr>
                <w:rFonts w:hint="eastAsia" w:ascii="宋体" w:hAnsi="宋体" w:eastAsia="宋体" w:cs="宋体"/>
                <w:bCs w:val="0"/>
                <w:snapToGrid w:val="0"/>
                <w:color w:val="auto"/>
                <w:spacing w:val="13"/>
                <w:kern w:val="0"/>
                <w:sz w:val="20"/>
                <w:szCs w:val="20"/>
              </w:rPr>
            </w:pPr>
            <w:r>
              <w:rPr>
                <w:rFonts w:hint="eastAsia" w:ascii="宋体" w:hAnsi="宋体" w:eastAsia="宋体" w:cs="宋体"/>
                <w:bCs w:val="0"/>
                <w:snapToGrid w:val="0"/>
                <w:color w:val="auto"/>
                <w:spacing w:val="13"/>
                <w:kern w:val="0"/>
                <w:sz w:val="20"/>
                <w:szCs w:val="20"/>
              </w:rPr>
              <w:t>技术部分(</w:t>
            </w:r>
            <w:r>
              <w:rPr>
                <w:rFonts w:hint="eastAsia" w:ascii="宋体" w:hAnsi="宋体" w:cs="宋体"/>
                <w:bCs w:val="0"/>
                <w:snapToGrid w:val="0"/>
                <w:color w:val="auto"/>
                <w:spacing w:val="13"/>
                <w:kern w:val="0"/>
                <w:sz w:val="20"/>
                <w:szCs w:val="20"/>
                <w:lang w:val="en-US" w:eastAsia="zh-CN"/>
              </w:rPr>
              <w:t>50</w:t>
            </w:r>
            <w:r>
              <w:rPr>
                <w:rFonts w:hint="eastAsia" w:ascii="宋体" w:hAnsi="宋体" w:eastAsia="宋体" w:cs="宋体"/>
                <w:bCs w:val="0"/>
                <w:snapToGrid w:val="0"/>
                <w:color w:val="auto"/>
                <w:spacing w:val="13"/>
                <w:kern w:val="0"/>
                <w:sz w:val="20"/>
                <w:szCs w:val="20"/>
              </w:rPr>
              <w:t>分)</w:t>
            </w:r>
          </w:p>
        </w:tc>
        <w:tc>
          <w:tcPr>
            <w:tcW w:w="1134" w:type="dxa"/>
            <w:tcBorders>
              <w:left w:val="single" w:color="000000" w:sz="4" w:space="0"/>
            </w:tcBorders>
            <w:vAlign w:val="center"/>
          </w:tcPr>
          <w:p w14:paraId="3E3E9EF4">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内容完整性和编制水平</w:t>
            </w:r>
          </w:p>
        </w:tc>
        <w:tc>
          <w:tcPr>
            <w:tcW w:w="709" w:type="dxa"/>
            <w:vAlign w:val="center"/>
          </w:tcPr>
          <w:p w14:paraId="4A522F5A">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5分</w:t>
            </w:r>
          </w:p>
        </w:tc>
        <w:tc>
          <w:tcPr>
            <w:tcW w:w="6223" w:type="dxa"/>
            <w:vAlign w:val="center"/>
          </w:tcPr>
          <w:p w14:paraId="61FD08CB">
            <w:pPr>
              <w:widowControl/>
              <w:jc w:val="left"/>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施工组织包含施工条件、施工导流(如需要)、料场的选择与开采、主体工程施工、施工交通运输、施工工厂设施、施工总布置、施工总进度、主要技术供应等章节，且内容完整、编制合理的得</w:t>
            </w:r>
            <w:r>
              <w:rPr>
                <w:rFonts w:hint="eastAsia" w:ascii="宋体" w:hAnsi="宋体" w:eastAsia="宋体" w:cs="宋体"/>
                <w:bCs w:val="0"/>
                <w:snapToGrid w:val="0"/>
                <w:color w:val="auto"/>
                <w:spacing w:val="13"/>
                <w:kern w:val="0"/>
                <w:sz w:val="20"/>
                <w:szCs w:val="20"/>
                <w:highlight w:val="none"/>
                <w:lang w:val="en-US" w:eastAsia="zh-CN" w:bidi="ar-SA"/>
              </w:rPr>
              <w:t>5</w:t>
            </w:r>
            <w:r>
              <w:rPr>
                <w:rFonts w:hint="eastAsia" w:ascii="宋体" w:hAnsi="宋体" w:eastAsia="宋体" w:cs="宋体"/>
                <w:bCs w:val="0"/>
                <w:snapToGrid w:val="0"/>
                <w:color w:val="auto"/>
                <w:spacing w:val="13"/>
                <w:kern w:val="0"/>
                <w:sz w:val="20"/>
                <w:szCs w:val="20"/>
                <w:highlight w:val="none"/>
                <w:lang w:val="en-US" w:eastAsia="en-US" w:bidi="ar-SA"/>
              </w:rPr>
              <w:t>分，基本合理得</w:t>
            </w:r>
            <w:r>
              <w:rPr>
                <w:rFonts w:hint="eastAsia" w:ascii="宋体" w:hAnsi="宋体" w:eastAsia="宋体" w:cs="宋体"/>
                <w:bCs w:val="0"/>
                <w:snapToGrid w:val="0"/>
                <w:color w:val="auto"/>
                <w:spacing w:val="13"/>
                <w:kern w:val="0"/>
                <w:sz w:val="20"/>
                <w:szCs w:val="20"/>
                <w:highlight w:val="none"/>
                <w:lang w:val="en-US" w:eastAsia="zh-CN" w:bidi="ar-SA"/>
              </w:rPr>
              <w:t>3</w:t>
            </w:r>
            <w:r>
              <w:rPr>
                <w:rFonts w:hint="eastAsia" w:ascii="宋体" w:hAnsi="宋体" w:eastAsia="宋体" w:cs="宋体"/>
                <w:bCs w:val="0"/>
                <w:snapToGrid w:val="0"/>
                <w:color w:val="auto"/>
                <w:spacing w:val="13"/>
                <w:kern w:val="0"/>
                <w:sz w:val="20"/>
                <w:szCs w:val="20"/>
                <w:highlight w:val="none"/>
                <w:lang w:val="en-US" w:eastAsia="en-US" w:bidi="ar-SA"/>
              </w:rPr>
              <w:t>分，不合理的得0分。</w:t>
            </w:r>
          </w:p>
        </w:tc>
      </w:tr>
      <w:tr w14:paraId="2027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5" w:type="dxa"/>
            <w:vMerge w:val="continue"/>
            <w:tcBorders>
              <w:right w:val="single" w:color="000000" w:sz="4" w:space="0"/>
            </w:tcBorders>
            <w:vAlign w:val="center"/>
          </w:tcPr>
          <w:p w14:paraId="36E4E0DD">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526B2297">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施工方案与技术措施</w:t>
            </w:r>
          </w:p>
        </w:tc>
        <w:tc>
          <w:tcPr>
            <w:tcW w:w="709" w:type="dxa"/>
            <w:vAlign w:val="center"/>
          </w:tcPr>
          <w:p w14:paraId="7044E2E3">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12.5分</w:t>
            </w:r>
          </w:p>
        </w:tc>
        <w:tc>
          <w:tcPr>
            <w:tcW w:w="6223" w:type="dxa"/>
            <w:vAlign w:val="center"/>
          </w:tcPr>
          <w:p w14:paraId="2E4D607C">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（1）工程特点及施工重点和难点分析准确、全面的得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分，否则得0分；（2）施工程序、工艺符合工程实际和有关施工规程规范，且投入的设备和人力计划安排合理的得</w:t>
            </w:r>
            <w:r>
              <w:rPr>
                <w:rFonts w:hint="eastAsia" w:ascii="宋体" w:hAnsi="宋体" w:eastAsia="宋体" w:cs="宋体"/>
                <w:bCs w:val="0"/>
                <w:snapToGrid w:val="0"/>
                <w:color w:val="auto"/>
                <w:spacing w:val="13"/>
                <w:kern w:val="0"/>
                <w:sz w:val="20"/>
                <w:szCs w:val="20"/>
                <w:highlight w:val="none"/>
                <w:lang w:val="en-US" w:eastAsia="zh-CN" w:bidi="ar-SA"/>
              </w:rPr>
              <w:t>7.5</w:t>
            </w:r>
            <w:r>
              <w:rPr>
                <w:rFonts w:hint="eastAsia" w:ascii="宋体" w:hAnsi="宋体" w:eastAsia="宋体" w:cs="宋体"/>
                <w:bCs w:val="0"/>
                <w:snapToGrid w:val="0"/>
                <w:color w:val="auto"/>
                <w:spacing w:val="13"/>
                <w:kern w:val="0"/>
                <w:sz w:val="20"/>
                <w:szCs w:val="20"/>
                <w:highlight w:val="none"/>
                <w:lang w:val="en-US" w:eastAsia="en-US" w:bidi="ar-SA"/>
              </w:rPr>
              <w:t>分，基本合理得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分，否则得0~1分；（3）各工序工作历时安排合理且有详细计算说明的得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分，否则0~1分。</w:t>
            </w:r>
          </w:p>
        </w:tc>
      </w:tr>
      <w:tr w14:paraId="01E8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5" w:type="dxa"/>
            <w:vMerge w:val="continue"/>
            <w:tcBorders>
              <w:right w:val="single" w:color="000000" w:sz="4" w:space="0"/>
            </w:tcBorders>
            <w:vAlign w:val="center"/>
          </w:tcPr>
          <w:p w14:paraId="1B0C4EBE">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3B1CA436">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质量管理体系与措施</w:t>
            </w:r>
          </w:p>
        </w:tc>
        <w:tc>
          <w:tcPr>
            <w:tcW w:w="709" w:type="dxa"/>
            <w:vAlign w:val="center"/>
          </w:tcPr>
          <w:p w14:paraId="3465B369">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7.5分</w:t>
            </w:r>
          </w:p>
        </w:tc>
        <w:tc>
          <w:tcPr>
            <w:tcW w:w="6223" w:type="dxa"/>
            <w:vAlign w:val="center"/>
          </w:tcPr>
          <w:p w14:paraId="00EB5C69">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（1）质量保证体系健全、职责明确的得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分之间得分；（2）工程所用原材料、中间产品、金属结构等检测的种类、数量符合相关规程规范的得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分之间得分（每一处不符合少得</w:t>
            </w:r>
            <w:r>
              <w:rPr>
                <w:rFonts w:hint="eastAsia" w:ascii="宋体" w:hAnsi="宋体" w:eastAsia="宋体" w:cs="宋体"/>
                <w:bCs w:val="0"/>
                <w:snapToGrid w:val="0"/>
                <w:color w:val="auto"/>
                <w:spacing w:val="13"/>
                <w:kern w:val="0"/>
                <w:sz w:val="20"/>
                <w:szCs w:val="20"/>
                <w:highlight w:val="none"/>
                <w:lang w:val="en-US" w:eastAsia="zh-CN" w:bidi="ar-SA"/>
              </w:rPr>
              <w:t>1</w:t>
            </w:r>
            <w:r>
              <w:rPr>
                <w:rFonts w:hint="eastAsia" w:ascii="宋体" w:hAnsi="宋体" w:eastAsia="宋体" w:cs="宋体"/>
                <w:bCs w:val="0"/>
                <w:snapToGrid w:val="0"/>
                <w:color w:val="auto"/>
                <w:spacing w:val="13"/>
                <w:kern w:val="0"/>
                <w:sz w:val="20"/>
                <w:szCs w:val="20"/>
                <w:highlight w:val="none"/>
                <w:lang w:val="en-US" w:eastAsia="en-US" w:bidi="ar-SA"/>
              </w:rPr>
              <w:t>分）；（3）自设工地实验室或委托具有符合要求的质量检测单位的得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分，否则在大于或等于0且小于1分之间得分。</w:t>
            </w:r>
          </w:p>
        </w:tc>
      </w:tr>
      <w:tr w14:paraId="3C73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0459DEC1">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214B7E6F">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安全管理体系与措施</w:t>
            </w:r>
          </w:p>
        </w:tc>
        <w:tc>
          <w:tcPr>
            <w:tcW w:w="709" w:type="dxa"/>
            <w:vAlign w:val="center"/>
          </w:tcPr>
          <w:p w14:paraId="099B1512">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7.5分</w:t>
            </w:r>
          </w:p>
        </w:tc>
        <w:tc>
          <w:tcPr>
            <w:tcW w:w="6223" w:type="dxa"/>
            <w:vAlign w:val="center"/>
          </w:tcPr>
          <w:p w14:paraId="67BA9451">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（1）安全生产责任制健全、职责明确的得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分之间得分；（2）安全管理资源配置合理、措施符合相关安全技术（操作）规程的得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分之间得分。（3）配置的特种作业人员符合要求，具有相应的上岗证书得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w:t>
            </w:r>
          </w:p>
        </w:tc>
      </w:tr>
      <w:tr w14:paraId="3242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15" w:type="dxa"/>
            <w:vMerge w:val="continue"/>
            <w:tcBorders>
              <w:right w:val="single" w:color="000000" w:sz="4" w:space="0"/>
            </w:tcBorders>
            <w:vAlign w:val="center"/>
          </w:tcPr>
          <w:p w14:paraId="2CCAAE72">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4685F15B">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环境保护管理体系与措施</w:t>
            </w:r>
          </w:p>
        </w:tc>
        <w:tc>
          <w:tcPr>
            <w:tcW w:w="709" w:type="dxa"/>
            <w:vAlign w:val="center"/>
          </w:tcPr>
          <w:p w14:paraId="27599F33">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5分</w:t>
            </w:r>
          </w:p>
        </w:tc>
        <w:tc>
          <w:tcPr>
            <w:tcW w:w="6223" w:type="dxa"/>
            <w:vAlign w:val="center"/>
          </w:tcPr>
          <w:p w14:paraId="18148B8C">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环境保护管理资源配置合理、措施合理的得</w:t>
            </w:r>
            <w:r>
              <w:rPr>
                <w:rFonts w:hint="eastAsia" w:ascii="宋体" w:hAnsi="宋体" w:eastAsia="宋体" w:cs="宋体"/>
                <w:bCs w:val="0"/>
                <w:snapToGrid w:val="0"/>
                <w:color w:val="auto"/>
                <w:spacing w:val="13"/>
                <w:kern w:val="0"/>
                <w:sz w:val="20"/>
                <w:szCs w:val="20"/>
                <w:highlight w:val="none"/>
                <w:lang w:val="en-US" w:eastAsia="zh-CN" w:bidi="ar-SA"/>
              </w:rPr>
              <w:t>5</w:t>
            </w:r>
            <w:r>
              <w:rPr>
                <w:rFonts w:hint="eastAsia" w:ascii="宋体" w:hAnsi="宋体" w:eastAsia="宋体" w:cs="宋体"/>
                <w:bCs w:val="0"/>
                <w:snapToGrid w:val="0"/>
                <w:color w:val="auto"/>
                <w:spacing w:val="13"/>
                <w:kern w:val="0"/>
                <w:sz w:val="20"/>
                <w:szCs w:val="20"/>
                <w:highlight w:val="none"/>
                <w:lang w:val="en-US" w:eastAsia="en-US" w:bidi="ar-SA"/>
              </w:rPr>
              <w:t>分，基本合理得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w:t>
            </w:r>
          </w:p>
        </w:tc>
      </w:tr>
      <w:tr w14:paraId="4B8E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571DA7B3">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57DF4EAC">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工程进度计划与措施</w:t>
            </w:r>
          </w:p>
        </w:tc>
        <w:tc>
          <w:tcPr>
            <w:tcW w:w="709" w:type="dxa"/>
            <w:vAlign w:val="center"/>
          </w:tcPr>
          <w:p w14:paraId="179CBE87">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2.5分</w:t>
            </w:r>
          </w:p>
        </w:tc>
        <w:tc>
          <w:tcPr>
            <w:tcW w:w="6223" w:type="dxa"/>
            <w:vAlign w:val="center"/>
          </w:tcPr>
          <w:p w14:paraId="13AA8A11">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工程施工流程、进度计划横道图（或网络图）中的关键线路以及措施合理的得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分，否则在大于或等于0且小于</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分之间得分。</w:t>
            </w:r>
          </w:p>
        </w:tc>
      </w:tr>
      <w:tr w14:paraId="53BB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vAlign w:val="center"/>
          </w:tcPr>
          <w:p w14:paraId="2E51D4BA">
            <w:pPr>
              <w:pStyle w:val="18"/>
              <w:widowControl w:val="0"/>
              <w:spacing w:line="440" w:lineRule="exact"/>
              <w:jc w:val="both"/>
              <w:rPr>
                <w:rFonts w:hint="eastAsia" w:ascii="宋体" w:hAnsi="宋体" w:eastAsia="宋体" w:cs="宋体"/>
                <w:bCs w:val="0"/>
                <w:snapToGrid w:val="0"/>
                <w:color w:val="auto"/>
                <w:spacing w:val="13"/>
                <w:kern w:val="0"/>
                <w:sz w:val="20"/>
                <w:szCs w:val="20"/>
              </w:rPr>
            </w:pPr>
          </w:p>
        </w:tc>
        <w:tc>
          <w:tcPr>
            <w:tcW w:w="1134" w:type="dxa"/>
            <w:tcBorders>
              <w:left w:val="single" w:color="000000" w:sz="4" w:space="0"/>
            </w:tcBorders>
            <w:vAlign w:val="center"/>
          </w:tcPr>
          <w:p w14:paraId="535A1375">
            <w:pPr>
              <w:widowControl/>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en-US" w:bidi="ar-SA"/>
              </w:rPr>
              <w:t>资源配备计划</w:t>
            </w:r>
          </w:p>
        </w:tc>
        <w:tc>
          <w:tcPr>
            <w:tcW w:w="709" w:type="dxa"/>
            <w:vAlign w:val="center"/>
          </w:tcPr>
          <w:p w14:paraId="2C7546DD">
            <w:pPr>
              <w:pStyle w:val="18"/>
              <w:widowControl w:val="0"/>
              <w:spacing w:line="440" w:lineRule="exact"/>
              <w:jc w:val="center"/>
              <w:rPr>
                <w:rFonts w:hint="eastAsia" w:ascii="宋体" w:hAnsi="宋体" w:eastAsia="宋体" w:cs="宋体"/>
                <w:bCs w:val="0"/>
                <w:snapToGrid w:val="0"/>
                <w:color w:val="auto"/>
                <w:spacing w:val="13"/>
                <w:kern w:val="0"/>
                <w:sz w:val="20"/>
                <w:szCs w:val="20"/>
                <w:highlight w:val="none"/>
                <w:lang w:val="en-US" w:eastAsia="zh-CN" w:bidi="ar-SA"/>
              </w:rPr>
            </w:pPr>
            <w:r>
              <w:rPr>
                <w:rFonts w:hint="eastAsia" w:ascii="宋体" w:hAnsi="宋体" w:eastAsia="宋体" w:cs="宋体"/>
                <w:bCs w:val="0"/>
                <w:snapToGrid w:val="0"/>
                <w:color w:val="auto"/>
                <w:spacing w:val="13"/>
                <w:kern w:val="0"/>
                <w:sz w:val="20"/>
                <w:szCs w:val="20"/>
                <w:highlight w:val="none"/>
                <w:lang w:val="en-US" w:eastAsia="zh-CN" w:bidi="ar-SA"/>
              </w:rPr>
              <w:t>10分</w:t>
            </w:r>
          </w:p>
        </w:tc>
        <w:tc>
          <w:tcPr>
            <w:tcW w:w="6223" w:type="dxa"/>
            <w:vAlign w:val="center"/>
          </w:tcPr>
          <w:p w14:paraId="7339E155">
            <w:pPr>
              <w:widowControl/>
              <w:jc w:val="left"/>
              <w:rPr>
                <w:rFonts w:hint="eastAsia" w:ascii="宋体" w:hAnsi="宋体" w:eastAsia="宋体" w:cs="宋体"/>
                <w:bCs w:val="0"/>
                <w:snapToGrid w:val="0"/>
                <w:color w:val="auto"/>
                <w:spacing w:val="13"/>
                <w:kern w:val="0"/>
                <w:sz w:val="20"/>
                <w:szCs w:val="20"/>
                <w:highlight w:val="none"/>
                <w:lang w:val="en-US" w:eastAsia="en-US" w:bidi="ar-SA"/>
              </w:rPr>
            </w:pPr>
            <w:r>
              <w:rPr>
                <w:rFonts w:hint="eastAsia" w:ascii="宋体" w:hAnsi="宋体" w:eastAsia="宋体" w:cs="宋体"/>
                <w:bCs w:val="0"/>
                <w:snapToGrid w:val="0"/>
                <w:color w:val="auto"/>
                <w:spacing w:val="13"/>
                <w:kern w:val="0"/>
                <w:sz w:val="20"/>
                <w:szCs w:val="20"/>
                <w:highlight w:val="none"/>
                <w:lang w:val="en-US" w:eastAsia="en-US" w:bidi="ar-SA"/>
              </w:rPr>
              <w:t>（1）资金使用计划安排合理的得</w:t>
            </w:r>
            <w:r>
              <w:rPr>
                <w:rFonts w:hint="eastAsia" w:ascii="宋体" w:hAnsi="宋体" w:eastAsia="宋体" w:cs="宋体"/>
                <w:bCs w:val="0"/>
                <w:snapToGrid w:val="0"/>
                <w:color w:val="auto"/>
                <w:spacing w:val="13"/>
                <w:kern w:val="0"/>
                <w:sz w:val="20"/>
                <w:szCs w:val="20"/>
                <w:highlight w:val="none"/>
                <w:lang w:val="en-US" w:eastAsia="zh-CN" w:bidi="ar-SA"/>
              </w:rPr>
              <w:t>1.25</w:t>
            </w:r>
            <w:r>
              <w:rPr>
                <w:rFonts w:hint="eastAsia" w:ascii="宋体" w:hAnsi="宋体" w:eastAsia="宋体" w:cs="宋体"/>
                <w:bCs w:val="0"/>
                <w:snapToGrid w:val="0"/>
                <w:color w:val="auto"/>
                <w:spacing w:val="13"/>
                <w:kern w:val="0"/>
                <w:sz w:val="20"/>
                <w:szCs w:val="20"/>
                <w:highlight w:val="none"/>
                <w:lang w:val="en-US" w:eastAsia="en-US" w:bidi="ar-SA"/>
              </w:rPr>
              <w:t>分，否则得0分；（2）劳动力安排计划合理且有计算说明的</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分，否则得0分；（3）主要材料用量计划安排合理且有计算说明的得</w:t>
            </w:r>
            <w:r>
              <w:rPr>
                <w:rFonts w:hint="eastAsia" w:ascii="宋体" w:hAnsi="宋体" w:eastAsia="宋体" w:cs="宋体"/>
                <w:bCs w:val="0"/>
                <w:snapToGrid w:val="0"/>
                <w:color w:val="auto"/>
                <w:spacing w:val="13"/>
                <w:kern w:val="0"/>
                <w:sz w:val="20"/>
                <w:szCs w:val="20"/>
                <w:highlight w:val="none"/>
                <w:lang w:val="en-US" w:eastAsia="zh-CN" w:bidi="ar-SA"/>
              </w:rPr>
              <w:t>1.25</w:t>
            </w:r>
            <w:r>
              <w:rPr>
                <w:rFonts w:hint="eastAsia" w:ascii="宋体" w:hAnsi="宋体" w:eastAsia="宋体" w:cs="宋体"/>
                <w:bCs w:val="0"/>
                <w:snapToGrid w:val="0"/>
                <w:color w:val="auto"/>
                <w:spacing w:val="13"/>
                <w:kern w:val="0"/>
                <w:sz w:val="20"/>
                <w:szCs w:val="20"/>
                <w:highlight w:val="none"/>
                <w:lang w:val="en-US" w:eastAsia="en-US" w:bidi="ar-SA"/>
              </w:rPr>
              <w:t>分，否则得0分；（4）主要施工机械设备使用计划合理且有计算说明的得</w:t>
            </w:r>
            <w:r>
              <w:rPr>
                <w:rFonts w:hint="eastAsia" w:ascii="宋体" w:hAnsi="宋体" w:eastAsia="宋体" w:cs="宋体"/>
                <w:bCs w:val="0"/>
                <w:snapToGrid w:val="0"/>
                <w:color w:val="auto"/>
                <w:spacing w:val="13"/>
                <w:kern w:val="0"/>
                <w:sz w:val="20"/>
                <w:szCs w:val="20"/>
                <w:highlight w:val="none"/>
                <w:lang w:val="en-US" w:eastAsia="zh-CN" w:bidi="ar-SA"/>
              </w:rPr>
              <w:t>5</w:t>
            </w:r>
            <w:r>
              <w:rPr>
                <w:rFonts w:hint="eastAsia" w:ascii="宋体" w:hAnsi="宋体" w:eastAsia="宋体" w:cs="宋体"/>
                <w:bCs w:val="0"/>
                <w:snapToGrid w:val="0"/>
                <w:color w:val="auto"/>
                <w:spacing w:val="13"/>
                <w:kern w:val="0"/>
                <w:sz w:val="20"/>
                <w:szCs w:val="20"/>
                <w:highlight w:val="none"/>
                <w:lang w:val="en-US" w:eastAsia="en-US" w:bidi="ar-SA"/>
              </w:rPr>
              <w:t>分，基本合理得</w:t>
            </w:r>
            <w:r>
              <w:rPr>
                <w:rFonts w:hint="eastAsia" w:ascii="宋体" w:hAnsi="宋体" w:eastAsia="宋体" w:cs="宋体"/>
                <w:bCs w:val="0"/>
                <w:snapToGrid w:val="0"/>
                <w:color w:val="auto"/>
                <w:spacing w:val="13"/>
                <w:kern w:val="0"/>
                <w:sz w:val="20"/>
                <w:szCs w:val="20"/>
                <w:highlight w:val="none"/>
                <w:lang w:val="en-US" w:eastAsia="zh-CN" w:bidi="ar-SA"/>
              </w:rPr>
              <w:t>2.5</w:t>
            </w:r>
            <w:r>
              <w:rPr>
                <w:rFonts w:hint="eastAsia" w:ascii="宋体" w:hAnsi="宋体" w:eastAsia="宋体" w:cs="宋体"/>
                <w:bCs w:val="0"/>
                <w:snapToGrid w:val="0"/>
                <w:color w:val="auto"/>
                <w:spacing w:val="13"/>
                <w:kern w:val="0"/>
                <w:sz w:val="20"/>
                <w:szCs w:val="20"/>
                <w:highlight w:val="none"/>
                <w:lang w:val="en-US" w:eastAsia="en-US" w:bidi="ar-SA"/>
              </w:rPr>
              <w:t>分，否则得0分。</w:t>
            </w:r>
          </w:p>
        </w:tc>
      </w:tr>
    </w:tbl>
    <w:p w14:paraId="0C35E5FA">
      <w:pPr>
        <w:spacing w:before="65" w:line="229" w:lineRule="auto"/>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.6 评标结果</w:t>
      </w:r>
    </w:p>
    <w:p w14:paraId="166840DB">
      <w:pPr>
        <w:spacing w:before="152" w:line="369" w:lineRule="auto"/>
        <w:ind w:right="851"/>
        <w:rPr>
          <w:rFonts w:ascii="宋体" w:hAnsi="宋体" w:eastAsia="宋体" w:cs="宋体"/>
          <w:color w:val="auto"/>
          <w:sz w:val="20"/>
          <w:szCs w:val="20"/>
        </w:rPr>
      </w:pPr>
      <w:r>
        <w:rPr>
          <w:rFonts w:hint="eastAsia" w:ascii="宋体" w:hAnsi="宋体" w:eastAsia="宋体" w:cs="宋体"/>
          <w:color w:val="auto"/>
          <w:spacing w:val="12"/>
          <w:sz w:val="20"/>
          <w:szCs w:val="20"/>
          <w:lang w:val="en-US" w:eastAsia="zh-CN"/>
        </w:rPr>
        <w:t>3.</w:t>
      </w:r>
      <w:r>
        <w:rPr>
          <w:rFonts w:ascii="宋体" w:hAnsi="宋体" w:eastAsia="宋体" w:cs="宋体"/>
          <w:color w:val="auto"/>
          <w:spacing w:val="12"/>
          <w:sz w:val="20"/>
          <w:szCs w:val="20"/>
        </w:rPr>
        <w:t>6.1磋商小组通过评标办法以</w:t>
      </w:r>
      <w:r>
        <w:rPr>
          <w:rFonts w:ascii="宋体" w:hAnsi="宋体" w:eastAsia="宋体" w:cs="宋体"/>
          <w:color w:val="auto"/>
          <w:spacing w:val="10"/>
          <w:sz w:val="20"/>
          <w:szCs w:val="20"/>
        </w:rPr>
        <w:t>评</w:t>
      </w:r>
      <w:r>
        <w:rPr>
          <w:rFonts w:ascii="宋体" w:hAnsi="宋体" w:eastAsia="宋体" w:cs="宋体"/>
          <w:color w:val="auto"/>
          <w:spacing w:val="9"/>
          <w:sz w:val="20"/>
          <w:szCs w:val="20"/>
        </w:rPr>
        <w:t>定出前三名作为中标候选人推荐给招标人。</w:t>
      </w:r>
    </w:p>
    <w:p w14:paraId="59DB539B">
      <w:pPr>
        <w:spacing w:line="369" w:lineRule="auto"/>
        <w:ind w:right="0" w:rightChars="0" w:firstLine="684" w:firstLineChars="300"/>
        <w:rPr>
          <w:rFonts w:ascii="宋体" w:hAnsi="宋体" w:eastAsia="宋体" w:cs="宋体"/>
          <w:color w:val="auto"/>
          <w:sz w:val="20"/>
          <w:szCs w:val="20"/>
        </w:rPr>
      </w:pPr>
      <w:r>
        <w:rPr>
          <w:rFonts w:ascii="宋体" w:hAnsi="宋体" w:eastAsia="宋体" w:cs="宋体"/>
          <w:color w:val="auto"/>
          <w:spacing w:val="14"/>
          <w:sz w:val="20"/>
          <w:szCs w:val="20"/>
        </w:rPr>
        <w:t>依</w:t>
      </w:r>
      <w:r>
        <w:rPr>
          <w:rFonts w:ascii="宋体" w:hAnsi="宋体" w:eastAsia="宋体" w:cs="宋体"/>
          <w:color w:val="auto"/>
          <w:spacing w:val="13"/>
          <w:sz w:val="20"/>
          <w:szCs w:val="20"/>
        </w:rPr>
        <w:t>法必须招标的项目，招标人应当确定排名第一的中标候选人为中标人。排名第一的中标</w:t>
      </w:r>
      <w:r>
        <w:rPr>
          <w:rFonts w:ascii="宋体" w:hAnsi="宋体" w:eastAsia="宋体" w:cs="宋体"/>
          <w:color w:val="auto"/>
          <w:sz w:val="20"/>
          <w:szCs w:val="20"/>
        </w:rPr>
        <w:t xml:space="preserve"> </w:t>
      </w:r>
      <w:r>
        <w:rPr>
          <w:rFonts w:ascii="宋体" w:hAnsi="宋体" w:eastAsia="宋体" w:cs="宋体"/>
          <w:color w:val="auto"/>
          <w:spacing w:val="23"/>
          <w:sz w:val="20"/>
          <w:szCs w:val="20"/>
        </w:rPr>
        <w:t>候</w:t>
      </w:r>
      <w:r>
        <w:rPr>
          <w:rFonts w:ascii="宋体" w:hAnsi="宋体" w:eastAsia="宋体" w:cs="宋体"/>
          <w:color w:val="auto"/>
          <w:spacing w:val="13"/>
          <w:sz w:val="20"/>
          <w:szCs w:val="20"/>
        </w:rPr>
        <w:t>选人放弃中标、因不可抗力提出不能履行合同、或者竞争性磋商文件规定应当提交履约保证</w:t>
      </w:r>
      <w:r>
        <w:rPr>
          <w:rFonts w:ascii="宋体" w:hAnsi="宋体" w:eastAsia="宋体" w:cs="宋体"/>
          <w:color w:val="auto"/>
          <w:sz w:val="20"/>
          <w:szCs w:val="20"/>
        </w:rPr>
        <w:t xml:space="preserve"> </w:t>
      </w:r>
      <w:r>
        <w:rPr>
          <w:rFonts w:ascii="宋体" w:hAnsi="宋体" w:eastAsia="宋体" w:cs="宋体"/>
          <w:color w:val="auto"/>
          <w:spacing w:val="18"/>
          <w:sz w:val="20"/>
          <w:szCs w:val="20"/>
        </w:rPr>
        <w:t>金</w:t>
      </w:r>
      <w:r>
        <w:rPr>
          <w:rFonts w:ascii="宋体" w:hAnsi="宋体" w:eastAsia="宋体" w:cs="宋体"/>
          <w:color w:val="auto"/>
          <w:spacing w:val="15"/>
          <w:sz w:val="20"/>
          <w:szCs w:val="20"/>
        </w:rPr>
        <w:t>而</w:t>
      </w:r>
      <w:r>
        <w:rPr>
          <w:rFonts w:ascii="宋体" w:hAnsi="宋体" w:eastAsia="宋体" w:cs="宋体"/>
          <w:color w:val="auto"/>
          <w:spacing w:val="9"/>
          <w:sz w:val="20"/>
          <w:szCs w:val="20"/>
        </w:rPr>
        <w:t>在规定的期限内未能提交的，招标人可以确定排名第二的中标候选人为中标人。</w:t>
      </w:r>
    </w:p>
    <w:p w14:paraId="23D969F2">
      <w:pPr>
        <w:spacing w:line="369" w:lineRule="auto"/>
        <w:ind w:right="0" w:rightChars="0" w:firstLine="696" w:firstLineChars="300"/>
        <w:rPr>
          <w:rFonts w:ascii="宋体" w:hAnsi="宋体" w:eastAsia="宋体" w:cs="宋体"/>
          <w:color w:val="auto"/>
          <w:spacing w:val="9"/>
          <w:sz w:val="20"/>
          <w:szCs w:val="20"/>
        </w:rPr>
      </w:pPr>
      <w:r>
        <w:rPr>
          <w:rFonts w:ascii="宋体" w:hAnsi="宋体" w:eastAsia="宋体" w:cs="宋体"/>
          <w:color w:val="auto"/>
          <w:spacing w:val="16"/>
          <w:sz w:val="20"/>
          <w:szCs w:val="20"/>
        </w:rPr>
        <w:t>排</w:t>
      </w:r>
      <w:r>
        <w:rPr>
          <w:rFonts w:ascii="宋体" w:hAnsi="宋体" w:eastAsia="宋体" w:cs="宋体"/>
          <w:color w:val="auto"/>
          <w:spacing w:val="13"/>
          <w:sz w:val="20"/>
          <w:szCs w:val="20"/>
        </w:rPr>
        <w:t>名第二的中标候选人因前款确定的同样原因不能签订合同的，招标人可以确定排名</w:t>
      </w:r>
      <w:r>
        <w:rPr>
          <w:rFonts w:ascii="宋体" w:hAnsi="宋体" w:eastAsia="宋体" w:cs="宋体"/>
          <w:color w:val="auto"/>
          <w:spacing w:val="9"/>
          <w:sz w:val="20"/>
          <w:szCs w:val="20"/>
        </w:rPr>
        <w:t>第三 的中标候选人为中标人。</w:t>
      </w:r>
    </w:p>
    <w:p w14:paraId="151D8226">
      <w:pPr>
        <w:spacing w:line="369" w:lineRule="auto"/>
        <w:ind w:right="0" w:rightChars="0" w:firstLine="654" w:firstLineChars="300"/>
        <w:rPr>
          <w:rFonts w:hint="default"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3.</w:t>
      </w:r>
      <w:r>
        <w:rPr>
          <w:rFonts w:ascii="宋体" w:hAnsi="宋体" w:eastAsia="宋体" w:cs="宋体"/>
          <w:color w:val="auto"/>
          <w:spacing w:val="9"/>
          <w:sz w:val="20"/>
          <w:szCs w:val="20"/>
        </w:rPr>
        <w:t xml:space="preserve">6.2 </w:t>
      </w:r>
      <w:r>
        <w:rPr>
          <w:rFonts w:hint="eastAsia" w:ascii="宋体" w:hAnsi="宋体" w:eastAsia="宋体" w:cs="宋体"/>
          <w:color w:val="auto"/>
          <w:spacing w:val="9"/>
          <w:sz w:val="20"/>
          <w:szCs w:val="20"/>
          <w:lang w:val="en-US" w:eastAsia="zh-CN"/>
        </w:rPr>
        <w:t>评审小组推荐的中标候选人，相关现场项目管理机构人员应在中标候选人公示期结束前，由本人以网络会议形式，对到岗履责做出承诺，如果不能按时到场承诺或无法对履责做出承诺的，视为自动放弃投标资格。此环节不接受质疑。</w:t>
      </w:r>
    </w:p>
    <w:p w14:paraId="779C5CED">
      <w:pPr>
        <w:spacing w:line="369" w:lineRule="auto"/>
        <w:ind w:right="0" w:rightChars="0" w:firstLine="654" w:firstLineChars="300"/>
        <w:rPr>
          <w:rFonts w:ascii="宋体" w:hAnsi="宋体" w:eastAsia="宋体" w:cs="宋体"/>
          <w:color w:val="auto"/>
          <w:spacing w:val="9"/>
          <w:sz w:val="20"/>
          <w:szCs w:val="20"/>
        </w:rPr>
      </w:pPr>
      <w:r>
        <w:rPr>
          <w:rFonts w:hint="eastAsia" w:ascii="宋体" w:hAnsi="宋体" w:eastAsia="宋体" w:cs="宋体"/>
          <w:color w:val="auto"/>
          <w:spacing w:val="9"/>
          <w:sz w:val="20"/>
          <w:szCs w:val="20"/>
          <w:lang w:val="en-US" w:eastAsia="zh-CN"/>
        </w:rPr>
        <w:t>3.</w:t>
      </w:r>
      <w:r>
        <w:rPr>
          <w:rFonts w:ascii="宋体" w:hAnsi="宋体" w:eastAsia="宋体" w:cs="宋体"/>
          <w:color w:val="auto"/>
          <w:spacing w:val="9"/>
          <w:sz w:val="20"/>
          <w:szCs w:val="20"/>
        </w:rPr>
        <w:t>6.</w:t>
      </w:r>
      <w:r>
        <w:rPr>
          <w:rFonts w:hint="eastAsia" w:ascii="宋体" w:hAnsi="宋体" w:eastAsia="宋体" w:cs="宋体"/>
          <w:color w:val="auto"/>
          <w:spacing w:val="9"/>
          <w:sz w:val="20"/>
          <w:szCs w:val="20"/>
          <w:lang w:val="en-US" w:eastAsia="zh-CN"/>
        </w:rPr>
        <w:t>3</w:t>
      </w:r>
      <w:r>
        <w:rPr>
          <w:rFonts w:ascii="宋体" w:hAnsi="宋体" w:eastAsia="宋体" w:cs="宋体"/>
          <w:color w:val="auto"/>
          <w:spacing w:val="9"/>
          <w:sz w:val="20"/>
          <w:szCs w:val="20"/>
        </w:rPr>
        <w:t>磋商小组完成评标后，应当向招标人提交书面评标报告。</w:t>
      </w:r>
    </w:p>
    <w:p w14:paraId="794AA0B3"/>
    <w:p w14:paraId="7F5F487E">
      <w:pPr>
        <w:spacing w:before="46" w:line="229" w:lineRule="auto"/>
        <w:rPr>
          <w:rFonts w:ascii="宋体" w:hAnsi="宋体" w:eastAsia="宋体" w:cs="宋体"/>
          <w:bCs/>
          <w:snapToGrid/>
          <w:color w:val="auto"/>
          <w:spacing w:val="6"/>
          <w:kern w:val="0"/>
          <w:sz w:val="23"/>
          <w:szCs w:val="23"/>
          <w:lang w:val="en-US" w:eastAsia="zh-CN" w:bidi="ar-SA"/>
          <w14:textOutline w14:w="4358" w14:cap="sq" w14:cmpd="sng">
            <w14:solidFill>
              <w14:srgbClr w14:val="000000"/>
            </w14:solidFill>
            <w14:prstDash w14:val="solid"/>
            <w14:bevel/>
          </w14:textOutline>
        </w:rPr>
      </w:pPr>
      <w:r>
        <w:rPr>
          <w:rFonts w:hint="eastAsia" w:ascii="宋体" w:hAnsi="宋体" w:eastAsia="宋体" w:cs="宋体"/>
          <w:bCs/>
          <w:snapToGrid/>
          <w:color w:val="auto"/>
          <w:spacing w:val="6"/>
          <w:kern w:val="0"/>
          <w:sz w:val="23"/>
          <w:szCs w:val="23"/>
          <w:lang w:val="en-US" w:eastAsia="zh-CN" w:bidi="ar-SA"/>
          <w14:textOutline w14:w="4358" w14:cap="sq" w14:cmpd="sng">
            <w14:solidFill>
              <w14:srgbClr w14:val="000000"/>
            </w14:solidFill>
            <w14:prstDash w14:val="solid"/>
            <w14:bevel/>
          </w14:textOutline>
        </w:rPr>
        <w:t>7、</w:t>
      </w:r>
      <w:r>
        <w:rPr>
          <w:rFonts w:ascii="宋体" w:hAnsi="宋体" w:eastAsia="宋体" w:cs="宋体"/>
          <w:bCs/>
          <w:snapToGrid/>
          <w:color w:val="auto"/>
          <w:spacing w:val="6"/>
          <w:kern w:val="0"/>
          <w:sz w:val="23"/>
          <w:szCs w:val="23"/>
          <w:lang w:val="en-US" w:eastAsia="zh-CN" w:bidi="ar-SA"/>
          <w14:textOutline w14:w="4358" w14:cap="sq" w14:cmpd="sng">
            <w14:solidFill>
              <w14:srgbClr w14:val="000000"/>
            </w14:solidFill>
            <w14:prstDash w14:val="solid"/>
            <w14:bevel/>
          </w14:textOutline>
        </w:rPr>
        <w:t xml:space="preserve"> 下列情形属于串标围标</w:t>
      </w:r>
    </w:p>
    <w:p w14:paraId="1B14C10E">
      <w:pPr>
        <w:spacing w:before="64" w:line="227"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下</w:t>
      </w:r>
      <w:r>
        <w:rPr>
          <w:rFonts w:ascii="宋体" w:hAnsi="宋体" w:eastAsia="宋体" w:cs="宋体"/>
          <w:color w:val="auto"/>
          <w:spacing w:val="8"/>
          <w:sz w:val="20"/>
          <w:szCs w:val="20"/>
        </w:rPr>
        <w:t>列行为均属投标人串通投标报价：</w:t>
      </w:r>
    </w:p>
    <w:p w14:paraId="313798DB">
      <w:pPr>
        <w:spacing w:before="68" w:line="227" w:lineRule="auto"/>
        <w:ind w:firstLine="464" w:firstLineChars="200"/>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5"/>
          <w:sz w:val="20"/>
          <w:szCs w:val="20"/>
        </w:rPr>
        <w:t>标</w:t>
      </w:r>
      <w:r>
        <w:rPr>
          <w:rFonts w:ascii="宋体" w:hAnsi="宋体" w:eastAsia="宋体" w:cs="宋体"/>
          <w:color w:val="auto"/>
          <w:spacing w:val="8"/>
          <w:sz w:val="20"/>
          <w:szCs w:val="20"/>
        </w:rPr>
        <w:t>人之间相互约定抬高或压低投标报价；</w:t>
      </w:r>
    </w:p>
    <w:p w14:paraId="0A8EB6FF">
      <w:pPr>
        <w:spacing w:before="66" w:line="312" w:lineRule="exact"/>
        <w:ind w:firstLine="456" w:firstLineChars="200"/>
        <w:rPr>
          <w:rFonts w:ascii="宋体" w:hAnsi="宋体" w:eastAsia="宋体" w:cs="宋体"/>
          <w:color w:val="auto"/>
          <w:sz w:val="20"/>
          <w:szCs w:val="20"/>
        </w:rPr>
      </w:pPr>
      <w:r>
        <w:rPr>
          <w:rFonts w:ascii="宋体" w:hAnsi="宋体" w:eastAsia="宋体" w:cs="宋体"/>
          <w:color w:val="auto"/>
          <w:spacing w:val="14"/>
          <w:position w:val="7"/>
          <w:sz w:val="20"/>
          <w:szCs w:val="20"/>
        </w:rPr>
        <w:t>投</w:t>
      </w:r>
      <w:r>
        <w:rPr>
          <w:rFonts w:ascii="宋体" w:hAnsi="宋体" w:eastAsia="宋体" w:cs="宋体"/>
          <w:color w:val="auto"/>
          <w:spacing w:val="9"/>
          <w:position w:val="7"/>
          <w:sz w:val="20"/>
          <w:szCs w:val="20"/>
        </w:rPr>
        <w:t>标人之间相互约定，在招标项目中分别以高、中、低价位报价；</w:t>
      </w:r>
    </w:p>
    <w:p w14:paraId="0F6F62AA">
      <w:pPr>
        <w:spacing w:before="1" w:line="226" w:lineRule="auto"/>
        <w:ind w:firstLine="448" w:firstLineChars="200"/>
        <w:rPr>
          <w:rFonts w:ascii="宋体" w:hAnsi="宋体" w:eastAsia="宋体" w:cs="宋体"/>
          <w:color w:val="auto"/>
          <w:sz w:val="20"/>
          <w:szCs w:val="20"/>
        </w:rPr>
      </w:pPr>
      <w:r>
        <w:rPr>
          <w:rFonts w:ascii="宋体" w:hAnsi="宋体" w:eastAsia="宋体" w:cs="宋体"/>
          <w:color w:val="auto"/>
          <w:spacing w:val="12"/>
          <w:sz w:val="20"/>
          <w:szCs w:val="20"/>
        </w:rPr>
        <w:t>投</w:t>
      </w:r>
      <w:r>
        <w:rPr>
          <w:rFonts w:ascii="宋体" w:hAnsi="宋体" w:eastAsia="宋体" w:cs="宋体"/>
          <w:color w:val="auto"/>
          <w:spacing w:val="9"/>
          <w:sz w:val="20"/>
          <w:szCs w:val="20"/>
        </w:rPr>
        <w:t>标人之间先进行内部竞价，内定中标人，然后再参加投标；</w:t>
      </w:r>
    </w:p>
    <w:p w14:paraId="5B8D0F74">
      <w:pPr>
        <w:spacing w:before="69" w:line="314" w:lineRule="exact"/>
        <w:ind w:firstLine="464" w:firstLineChars="200"/>
        <w:rPr>
          <w:rFonts w:ascii="宋体" w:hAnsi="宋体" w:eastAsia="宋体" w:cs="宋体"/>
          <w:color w:val="auto"/>
          <w:sz w:val="20"/>
          <w:szCs w:val="20"/>
        </w:rPr>
      </w:pPr>
      <w:r>
        <w:rPr>
          <w:rFonts w:ascii="宋体" w:hAnsi="宋体" w:eastAsia="宋体" w:cs="宋体"/>
          <w:color w:val="auto"/>
          <w:spacing w:val="16"/>
          <w:position w:val="8"/>
          <w:sz w:val="20"/>
          <w:szCs w:val="20"/>
        </w:rPr>
        <w:t>投</w:t>
      </w:r>
      <w:r>
        <w:rPr>
          <w:rFonts w:ascii="宋体" w:hAnsi="宋体" w:eastAsia="宋体" w:cs="宋体"/>
          <w:color w:val="auto"/>
          <w:spacing w:val="11"/>
          <w:position w:val="8"/>
          <w:sz w:val="20"/>
          <w:szCs w:val="20"/>
        </w:rPr>
        <w:t>标</w:t>
      </w:r>
      <w:r>
        <w:rPr>
          <w:rFonts w:ascii="宋体" w:hAnsi="宋体" w:eastAsia="宋体" w:cs="宋体"/>
          <w:color w:val="auto"/>
          <w:spacing w:val="8"/>
          <w:position w:val="8"/>
          <w:sz w:val="20"/>
          <w:szCs w:val="20"/>
        </w:rPr>
        <w:t>人之间其他串通投标报价的行为。</w:t>
      </w:r>
    </w:p>
    <w:p w14:paraId="77BCA4BD">
      <w:pPr>
        <w:spacing w:line="229" w:lineRule="auto"/>
        <w:ind w:firstLine="464" w:firstLineChars="200"/>
        <w:rPr>
          <w:rFonts w:ascii="宋体" w:hAnsi="宋体" w:eastAsia="宋体" w:cs="宋体"/>
          <w:color w:val="auto"/>
          <w:sz w:val="20"/>
          <w:szCs w:val="20"/>
        </w:rPr>
      </w:pPr>
      <w:r>
        <w:rPr>
          <w:rFonts w:ascii="宋体" w:hAnsi="宋体" w:eastAsia="宋体" w:cs="宋体"/>
          <w:color w:val="auto"/>
          <w:spacing w:val="16"/>
          <w:sz w:val="20"/>
          <w:szCs w:val="20"/>
        </w:rPr>
        <w:t>下</w:t>
      </w:r>
      <w:r>
        <w:rPr>
          <w:rFonts w:ascii="宋体" w:hAnsi="宋体" w:eastAsia="宋体" w:cs="宋体"/>
          <w:color w:val="auto"/>
          <w:spacing w:val="10"/>
          <w:sz w:val="20"/>
          <w:szCs w:val="20"/>
        </w:rPr>
        <w:t>列</w:t>
      </w:r>
      <w:r>
        <w:rPr>
          <w:rFonts w:ascii="宋体" w:hAnsi="宋体" w:eastAsia="宋体" w:cs="宋体"/>
          <w:color w:val="auto"/>
          <w:spacing w:val="8"/>
          <w:sz w:val="20"/>
          <w:szCs w:val="20"/>
        </w:rPr>
        <w:t>行为均属招标人与投标人串通投标：</w:t>
      </w:r>
    </w:p>
    <w:p w14:paraId="5A0A14DA">
      <w:pPr>
        <w:spacing w:before="64" w:line="289" w:lineRule="auto"/>
        <w:ind w:right="66" w:rightChars="0" w:firstLine="488" w:firstLineChars="200"/>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1</w:t>
      </w:r>
      <w:r>
        <w:rPr>
          <w:rFonts w:ascii="宋体" w:hAnsi="宋体" w:eastAsia="宋体" w:cs="宋体"/>
          <w:color w:val="auto"/>
          <w:spacing w:val="11"/>
          <w:sz w:val="20"/>
          <w:szCs w:val="20"/>
        </w:rPr>
        <w:t>)  招标人在开标前开启磋商响应文件，并将投标情况告知其他投标人，或者协助投标</w:t>
      </w:r>
      <w:r>
        <w:rPr>
          <w:rFonts w:ascii="宋体" w:hAnsi="宋体" w:eastAsia="宋体" w:cs="宋体"/>
          <w:color w:val="auto"/>
          <w:spacing w:val="15"/>
          <w:sz w:val="20"/>
          <w:szCs w:val="20"/>
        </w:rPr>
        <w:t>人</w:t>
      </w:r>
      <w:r>
        <w:rPr>
          <w:rFonts w:ascii="宋体" w:hAnsi="宋体" w:eastAsia="宋体" w:cs="宋体"/>
          <w:color w:val="auto"/>
          <w:spacing w:val="8"/>
          <w:sz w:val="20"/>
          <w:szCs w:val="20"/>
        </w:rPr>
        <w:t>撤换磋商响应文件，更改报价；</w:t>
      </w:r>
    </w:p>
    <w:p w14:paraId="7271822D">
      <w:pPr>
        <w:spacing w:before="1" w:line="226" w:lineRule="auto"/>
        <w:ind w:firstLine="436" w:firstLineChars="200"/>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2)  招标人向投标人泄露标底；</w:t>
      </w:r>
    </w:p>
    <w:p w14:paraId="350BD8A3">
      <w:pPr>
        <w:spacing w:before="67" w:line="290" w:lineRule="auto"/>
        <w:ind w:right="210" w:rightChars="100" w:firstLine="460" w:firstLineChars="200"/>
        <w:rPr>
          <w:rFonts w:ascii="宋体" w:hAnsi="宋体" w:eastAsia="宋体" w:cs="宋体"/>
          <w:color w:val="auto"/>
          <w:sz w:val="20"/>
          <w:szCs w:val="20"/>
        </w:rPr>
      </w:pPr>
      <w:r>
        <w:rPr>
          <w:rFonts w:ascii="宋体" w:hAnsi="宋体" w:eastAsia="宋体" w:cs="宋体"/>
          <w:color w:val="auto"/>
          <w:spacing w:val="15"/>
          <w:sz w:val="20"/>
          <w:szCs w:val="20"/>
        </w:rPr>
        <w:t>(3)  招标人与投标人商定，投标时压低或抬高标价，中标后再给投标人或招标人额外</w:t>
      </w:r>
      <w:r>
        <w:rPr>
          <w:rFonts w:ascii="宋体" w:hAnsi="宋体" w:eastAsia="宋体" w:cs="宋体"/>
          <w:color w:val="auto"/>
          <w:spacing w:val="14"/>
          <w:sz w:val="20"/>
          <w:szCs w:val="20"/>
        </w:rPr>
        <w:t>补</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5D514DB">
      <w:pPr>
        <w:spacing w:line="228" w:lineRule="auto"/>
        <w:ind w:firstLine="452" w:firstLineChars="200"/>
        <w:rPr>
          <w:rFonts w:ascii="宋体" w:hAnsi="宋体" w:eastAsia="宋体" w:cs="宋体"/>
          <w:color w:val="auto"/>
          <w:sz w:val="20"/>
          <w:szCs w:val="20"/>
        </w:rPr>
      </w:pPr>
      <w:r>
        <w:rPr>
          <w:rFonts w:ascii="宋体" w:hAnsi="宋体" w:eastAsia="宋体" w:cs="宋体"/>
          <w:color w:val="auto"/>
          <w:spacing w:val="13"/>
          <w:sz w:val="20"/>
          <w:szCs w:val="20"/>
        </w:rPr>
        <w:t>(4)  招标人预先内定中标 ；</w:t>
      </w:r>
    </w:p>
    <w:p w14:paraId="32E94B2E">
      <w:pPr>
        <w:spacing w:before="65" w:line="226" w:lineRule="auto"/>
        <w:ind w:firstLine="476" w:firstLineChars="200"/>
        <w:rPr>
          <w:rFonts w:ascii="宋体" w:hAnsi="宋体" w:eastAsia="宋体" w:cs="宋体"/>
          <w:color w:val="auto"/>
          <w:spacing w:val="13"/>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5)  其他串通投标行为。</w:t>
      </w:r>
    </w:p>
    <w:p w14:paraId="2502ED74">
      <w:pPr>
        <w:pStyle w:val="3"/>
        <w:rPr>
          <w:rFonts w:ascii="宋体" w:hAnsi="宋体" w:eastAsia="宋体" w:cs="宋体"/>
          <w:color w:val="auto"/>
          <w:spacing w:val="13"/>
          <w:sz w:val="20"/>
          <w:szCs w:val="20"/>
        </w:rPr>
      </w:pPr>
    </w:p>
    <w:p w14:paraId="57BDA8D7">
      <w:pPr>
        <w:rPr>
          <w:rFonts w:ascii="宋体" w:hAnsi="宋体" w:eastAsia="宋体" w:cs="宋体"/>
          <w:color w:val="auto"/>
          <w:spacing w:val="13"/>
          <w:sz w:val="20"/>
          <w:szCs w:val="20"/>
        </w:rPr>
      </w:pPr>
    </w:p>
    <w:p w14:paraId="631249F1">
      <w:pPr>
        <w:pStyle w:val="3"/>
        <w:rPr>
          <w:rFonts w:ascii="宋体" w:hAnsi="宋体" w:eastAsia="宋体" w:cs="宋体"/>
          <w:color w:val="auto"/>
          <w:spacing w:val="13"/>
          <w:sz w:val="20"/>
          <w:szCs w:val="20"/>
        </w:rPr>
      </w:pPr>
    </w:p>
    <w:p w14:paraId="5D7522BE">
      <w:pPr>
        <w:rPr>
          <w:rFonts w:ascii="宋体" w:hAnsi="宋体" w:eastAsia="宋体" w:cs="宋体"/>
          <w:color w:val="auto"/>
          <w:spacing w:val="13"/>
          <w:sz w:val="20"/>
          <w:szCs w:val="20"/>
        </w:rPr>
      </w:pPr>
    </w:p>
    <w:p w14:paraId="3635B6C6">
      <w:pPr>
        <w:pStyle w:val="3"/>
        <w:rPr>
          <w:rFonts w:ascii="宋体" w:hAnsi="宋体" w:eastAsia="宋体" w:cs="宋体"/>
          <w:color w:val="auto"/>
          <w:spacing w:val="13"/>
          <w:sz w:val="20"/>
          <w:szCs w:val="20"/>
        </w:rPr>
      </w:pPr>
    </w:p>
    <w:p w14:paraId="6C246B67">
      <w:pPr>
        <w:rPr>
          <w:rFonts w:ascii="宋体" w:hAnsi="宋体" w:eastAsia="宋体" w:cs="宋体"/>
          <w:color w:val="auto"/>
          <w:spacing w:val="13"/>
          <w:sz w:val="20"/>
          <w:szCs w:val="20"/>
        </w:rPr>
      </w:pPr>
    </w:p>
    <w:p w14:paraId="5132322F">
      <w:pPr>
        <w:pStyle w:val="3"/>
        <w:rPr>
          <w:rFonts w:hint="eastAsia"/>
          <w:lang w:eastAsia="zh-CN"/>
        </w:rPr>
      </w:pPr>
    </w:p>
    <w:p w14:paraId="26C00E33">
      <w:pPr>
        <w:rPr>
          <w:rFonts w:hint="eastAsia"/>
          <w:lang w:eastAsia="zh-CN"/>
        </w:rPr>
      </w:pPr>
    </w:p>
    <w:p w14:paraId="2530E280">
      <w:pPr>
        <w:rPr>
          <w:rFonts w:hint="eastAsia"/>
          <w:lang w:eastAsia="zh-CN"/>
        </w:rPr>
      </w:pPr>
    </w:p>
    <w:p w14:paraId="0BA422DA">
      <w:pPr>
        <w:rPr>
          <w:rFonts w:hint="eastAsia"/>
          <w:lang w:eastAsia="zh-CN"/>
        </w:rPr>
      </w:pPr>
    </w:p>
    <w:p w14:paraId="6B841DAE">
      <w:pPr>
        <w:rPr>
          <w:rFonts w:hint="eastAsia"/>
          <w:lang w:eastAsia="zh-CN"/>
        </w:rPr>
      </w:pPr>
    </w:p>
    <w:p w14:paraId="58CD19A9">
      <w:pPr>
        <w:rPr>
          <w:rFonts w:hint="eastAsia"/>
          <w:lang w:eastAsia="zh-CN"/>
        </w:rPr>
      </w:pPr>
    </w:p>
    <w:p w14:paraId="2DE0E356">
      <w:pPr>
        <w:rPr>
          <w:rFonts w:hint="eastAsia"/>
          <w:lang w:eastAsia="zh-CN"/>
        </w:rPr>
      </w:pPr>
    </w:p>
    <w:p w14:paraId="5F740066">
      <w:pPr>
        <w:rPr>
          <w:rFonts w:hint="eastAsia"/>
          <w:lang w:eastAsia="zh-CN"/>
        </w:rPr>
      </w:pPr>
    </w:p>
    <w:p w14:paraId="7DA4D580">
      <w:pPr>
        <w:rPr>
          <w:rFonts w:hint="eastAsia"/>
          <w:lang w:eastAsia="zh-CN"/>
        </w:rPr>
      </w:pPr>
    </w:p>
    <w:p w14:paraId="36EDA2B2">
      <w:pPr>
        <w:rPr>
          <w:rFonts w:hint="eastAsia"/>
          <w:lang w:eastAsia="zh-CN"/>
        </w:rPr>
      </w:pPr>
    </w:p>
    <w:p w14:paraId="71A125A7">
      <w:pPr>
        <w:rPr>
          <w:rFonts w:hint="eastAsia"/>
          <w:lang w:eastAsia="zh-CN"/>
        </w:rPr>
      </w:pPr>
    </w:p>
    <w:p w14:paraId="748E6064">
      <w:pPr>
        <w:rPr>
          <w:rFonts w:hint="eastAsia"/>
          <w:lang w:eastAsia="zh-CN"/>
        </w:rPr>
      </w:pPr>
    </w:p>
    <w:p w14:paraId="35CBC3BE">
      <w:pPr>
        <w:rPr>
          <w:rFonts w:hint="eastAsia"/>
          <w:lang w:eastAsia="zh-CN"/>
        </w:rPr>
      </w:pPr>
    </w:p>
    <w:p w14:paraId="1D545DE1">
      <w:pPr>
        <w:rPr>
          <w:rFonts w:hint="eastAsia"/>
          <w:lang w:eastAsia="zh-CN"/>
        </w:rPr>
      </w:pPr>
    </w:p>
    <w:p w14:paraId="0D212411">
      <w:pPr>
        <w:rPr>
          <w:rFonts w:hint="eastAsia"/>
          <w:lang w:eastAsia="zh-CN"/>
        </w:rPr>
      </w:pPr>
    </w:p>
    <w:p w14:paraId="13EDB9C1">
      <w:pPr>
        <w:rPr>
          <w:rFonts w:hint="eastAsia"/>
          <w:lang w:eastAsia="zh-CN"/>
        </w:rPr>
      </w:pPr>
    </w:p>
    <w:p w14:paraId="66B2E5C5">
      <w:pPr>
        <w:rPr>
          <w:rFonts w:hint="eastAsia"/>
          <w:lang w:eastAsia="zh-CN"/>
        </w:rPr>
      </w:pPr>
    </w:p>
    <w:p w14:paraId="037698BE">
      <w:pPr>
        <w:jc w:val="center"/>
        <w:outlineLvl w:val="0"/>
        <w:rPr>
          <w:rFonts w:hint="eastAsia" w:ascii="宋体" w:hAnsi="宋体"/>
          <w:sz w:val="32"/>
          <w:szCs w:val="32"/>
        </w:rPr>
      </w:pPr>
      <w:r>
        <w:rPr>
          <w:rFonts w:ascii="宋体" w:hAnsi="宋体" w:eastAsia="宋体" w:cs="宋体"/>
          <w:color w:val="auto"/>
          <w:spacing w:val="12"/>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9"/>
          <w:sz w:val="43"/>
          <w:szCs w:val="43"/>
          <w14:textOutline w14:w="7972" w14:cap="sq" w14:cmpd="sng">
            <w14:solidFill>
              <w14:srgbClr w14:val="000000"/>
            </w14:solidFill>
            <w14:prstDash w14:val="solid"/>
            <w14:bevel/>
          </w14:textOutline>
        </w:rPr>
        <w:t>四章</w:t>
      </w:r>
      <w:r>
        <w:rPr>
          <w:rFonts w:ascii="宋体" w:hAnsi="宋体" w:eastAsia="宋体" w:cs="宋体"/>
          <w:color w:val="auto"/>
          <w:spacing w:val="9"/>
          <w:sz w:val="43"/>
          <w:szCs w:val="43"/>
        </w:rPr>
        <w:t xml:space="preserve"> </w:t>
      </w:r>
      <w:r>
        <w:rPr>
          <w:rFonts w:ascii="宋体" w:hAnsi="宋体"/>
          <w:sz w:val="32"/>
          <w:szCs w:val="32"/>
          <w:highlight w:val="white"/>
        </w:rPr>
        <w:t>合同条款及格式</w:t>
      </w:r>
    </w:p>
    <w:p w14:paraId="58BA292C">
      <w:pPr>
        <w:rPr>
          <w:rFonts w:hint="eastAsia"/>
          <w:highlight w:val="yellow"/>
        </w:rPr>
      </w:pPr>
      <w:bookmarkStart w:id="46" w:name="EB58abd512f2484e2b8d8cab8e2330923b"/>
      <w:r>
        <w:rPr>
          <w:rFonts w:hint="eastAsia"/>
          <w:color w:val="000080"/>
          <w:sz w:val="20"/>
          <w:highlight w:val="white"/>
        </w:rPr>
        <w:t xml:space="preserve"> </w:t>
      </w:r>
      <w:bookmarkEnd w:id="46"/>
      <w:bookmarkStart w:id="47" w:name="EB19322758138547769da3e5f5c6fce6e1"/>
      <w:r>
        <w:rPr>
          <w:rFonts w:hint="eastAsia"/>
          <w:color w:val="000080"/>
          <w:sz w:val="20"/>
          <w:highlight w:val="white"/>
        </w:rPr>
        <w:t xml:space="preserve"> </w:t>
      </w:r>
      <w:bookmarkEnd w:id="47"/>
    </w:p>
    <w:p w14:paraId="7388BA2F">
      <w:pPr>
        <w:jc w:val="center"/>
        <w:outlineLvl w:val="1"/>
        <w:rPr>
          <w:rFonts w:ascii="宋体" w:hAnsi="宋体"/>
          <w:sz w:val="28"/>
          <w:szCs w:val="28"/>
        </w:rPr>
      </w:pPr>
      <w:bookmarkStart w:id="48" w:name="_Toc149635759"/>
      <w:bookmarkStart w:id="49" w:name="_Toc149571646"/>
      <w:bookmarkStart w:id="50" w:name="_Toc256000107"/>
      <w:r>
        <w:rPr>
          <w:rFonts w:hint="eastAsia" w:ascii="宋体" w:hAnsi="宋体"/>
          <w:sz w:val="24"/>
          <w:highlight w:val="white"/>
        </w:rPr>
        <w:t>第1节　通用合同条款</w:t>
      </w:r>
      <w:bookmarkEnd w:id="48"/>
      <w:bookmarkEnd w:id="49"/>
      <w:bookmarkEnd w:id="50"/>
    </w:p>
    <w:p w14:paraId="21D69B45">
      <w:pPr>
        <w:spacing w:line="500" w:lineRule="exact"/>
        <w:outlineLvl w:val="2"/>
        <w:rPr>
          <w:rFonts w:hint="eastAsia" w:ascii="宋体" w:hAnsi="宋体" w:cs="宋体"/>
          <w:sz w:val="24"/>
          <w:szCs w:val="24"/>
        </w:rPr>
      </w:pPr>
      <w:bookmarkStart w:id="51" w:name="_Toc256000108"/>
      <w:bookmarkStart w:id="52" w:name="_Toc149635760"/>
      <w:bookmarkStart w:id="53" w:name="_Toc149571647"/>
      <w:r>
        <w:rPr>
          <w:rFonts w:hint="eastAsia" w:ascii="宋体" w:hAnsi="宋体" w:cs="宋体"/>
          <w:sz w:val="24"/>
          <w:highlight w:val="white"/>
        </w:rPr>
        <w:t>1．一般约定</w:t>
      </w:r>
      <w:bookmarkEnd w:id="51"/>
      <w:bookmarkEnd w:id="52"/>
      <w:bookmarkEnd w:id="53"/>
    </w:p>
    <w:p w14:paraId="3B9601AF">
      <w:pPr>
        <w:spacing w:line="500" w:lineRule="exact"/>
        <w:outlineLvl w:val="3"/>
        <w:rPr>
          <w:rFonts w:hint="eastAsia" w:ascii="宋体" w:hAnsi="宋体" w:cs="宋体"/>
          <w:sz w:val="24"/>
        </w:rPr>
      </w:pPr>
      <w:r>
        <w:rPr>
          <w:rFonts w:hint="eastAsia" w:ascii="宋体" w:hAnsi="宋体" w:cs="宋体"/>
          <w:sz w:val="24"/>
          <w:highlight w:val="white"/>
        </w:rPr>
        <w:t>1.1词语定义</w:t>
      </w:r>
    </w:p>
    <w:p w14:paraId="013EEE79">
      <w:pPr>
        <w:spacing w:line="500" w:lineRule="exact"/>
        <w:ind w:firstLine="480" w:firstLineChars="200"/>
        <w:jc w:val="left"/>
        <w:rPr>
          <w:rFonts w:hint="eastAsia" w:ascii="宋体" w:hAnsi="宋体" w:cs="宋体"/>
          <w:sz w:val="24"/>
        </w:rPr>
      </w:pPr>
      <w:r>
        <w:rPr>
          <w:rFonts w:hint="eastAsia" w:ascii="宋体" w:hAnsi="宋体" w:cs="宋体"/>
          <w:sz w:val="24"/>
          <w:highlight w:val="white"/>
        </w:rPr>
        <w:t>通用合同条款、专用合同条款中的下列词语应具有本款所赋予的含义。</w:t>
      </w:r>
    </w:p>
    <w:p w14:paraId="40E791E8">
      <w:pPr>
        <w:spacing w:line="500" w:lineRule="exact"/>
        <w:ind w:firstLine="480" w:firstLineChars="200"/>
        <w:rPr>
          <w:rFonts w:hint="eastAsia" w:ascii="宋体" w:hAnsi="宋体" w:cs="宋体"/>
          <w:sz w:val="24"/>
        </w:rPr>
      </w:pPr>
      <w:r>
        <w:rPr>
          <w:rFonts w:hint="eastAsia" w:ascii="宋体" w:hAnsi="宋体" w:cs="宋体"/>
          <w:sz w:val="24"/>
          <w:highlight w:val="white"/>
        </w:rPr>
        <w:t>1.1.1 合同</w:t>
      </w:r>
    </w:p>
    <w:p w14:paraId="550F645A">
      <w:pPr>
        <w:spacing w:line="500" w:lineRule="exact"/>
        <w:ind w:firstLine="480" w:firstLineChars="200"/>
        <w:rPr>
          <w:rFonts w:hint="eastAsia" w:ascii="宋体" w:hAnsi="宋体" w:cs="宋体"/>
          <w:sz w:val="24"/>
        </w:rPr>
      </w:pPr>
      <w:r>
        <w:rPr>
          <w:rFonts w:hint="eastAsia" w:ascii="宋体" w:hAnsi="宋体" w:cs="宋体"/>
          <w:sz w:val="24"/>
          <w:highlight w:val="white"/>
        </w:rPr>
        <w:t>1.1.1.1 合同文件（或称合同）：指合同协议书、中标通知书、投标函及投标函附录、专用合同条款、通用合同条款、技术标准和要求、图纸、已标价工程量清单，以及其他合同文件。</w:t>
      </w:r>
    </w:p>
    <w:p w14:paraId="63A893CF">
      <w:pPr>
        <w:spacing w:line="500" w:lineRule="exact"/>
        <w:ind w:firstLine="480" w:firstLineChars="200"/>
        <w:rPr>
          <w:rFonts w:hint="eastAsia" w:ascii="宋体" w:hAnsi="宋体" w:cs="宋体"/>
          <w:sz w:val="24"/>
        </w:rPr>
      </w:pPr>
      <w:r>
        <w:rPr>
          <w:rFonts w:hint="eastAsia" w:ascii="宋体" w:hAnsi="宋体" w:cs="宋体"/>
          <w:sz w:val="24"/>
          <w:highlight w:val="white"/>
        </w:rPr>
        <w:t>1.1.1.2 合同协议书：指第1.5款所指的合同协议书。</w:t>
      </w:r>
    </w:p>
    <w:p w14:paraId="404E29A4">
      <w:pPr>
        <w:spacing w:line="500" w:lineRule="exact"/>
        <w:ind w:firstLine="480" w:firstLineChars="200"/>
        <w:rPr>
          <w:rFonts w:hint="eastAsia" w:ascii="宋体" w:hAnsi="宋体" w:cs="宋体"/>
          <w:sz w:val="24"/>
        </w:rPr>
      </w:pPr>
      <w:r>
        <w:rPr>
          <w:rFonts w:hint="eastAsia" w:ascii="宋体" w:hAnsi="宋体" w:cs="宋体"/>
          <w:sz w:val="24"/>
          <w:highlight w:val="white"/>
        </w:rPr>
        <w:t>1.1.1.3 中标通知书：指发包人通知承包人中标的函件。中标通知书随附的澄清、说明、补正事项纪要等，是中标通知书的组成部分。</w:t>
      </w:r>
    </w:p>
    <w:p w14:paraId="4DEBBBD6">
      <w:pPr>
        <w:spacing w:line="500" w:lineRule="exact"/>
        <w:ind w:firstLine="480" w:firstLineChars="200"/>
        <w:rPr>
          <w:rFonts w:hint="eastAsia" w:ascii="宋体" w:hAnsi="宋体" w:cs="宋体"/>
          <w:dstrike/>
          <w:sz w:val="24"/>
        </w:rPr>
      </w:pPr>
      <w:r>
        <w:rPr>
          <w:rFonts w:hint="eastAsia" w:ascii="宋体" w:hAnsi="宋体" w:cs="宋体"/>
          <w:sz w:val="24"/>
          <w:highlight w:val="white"/>
        </w:rPr>
        <w:t>1.1.1.4 投标函：指构成合同文件组成部分的由承包人填写并签署的投标函。</w:t>
      </w:r>
    </w:p>
    <w:p w14:paraId="7CD72750">
      <w:pPr>
        <w:spacing w:line="500" w:lineRule="exact"/>
        <w:ind w:firstLine="480" w:firstLineChars="200"/>
        <w:rPr>
          <w:rFonts w:hint="eastAsia" w:ascii="宋体" w:hAnsi="宋体" w:cs="宋体"/>
          <w:sz w:val="24"/>
        </w:rPr>
      </w:pPr>
      <w:r>
        <w:rPr>
          <w:rFonts w:hint="eastAsia" w:ascii="宋体" w:hAnsi="宋体" w:cs="宋体"/>
          <w:sz w:val="24"/>
          <w:highlight w:val="white"/>
        </w:rPr>
        <w:t>1.1.1.5 投标函附录：指附在投标函后构成合同文件的投标函附录。</w:t>
      </w:r>
    </w:p>
    <w:p w14:paraId="0E2F9866">
      <w:pPr>
        <w:spacing w:line="500" w:lineRule="exact"/>
        <w:ind w:firstLine="480" w:firstLineChars="200"/>
        <w:rPr>
          <w:rFonts w:hint="eastAsia" w:ascii="宋体" w:hAnsi="宋体" w:cs="宋体"/>
          <w:sz w:val="24"/>
        </w:rPr>
      </w:pPr>
      <w:r>
        <w:rPr>
          <w:rFonts w:hint="eastAsia" w:ascii="宋体" w:hAnsi="宋体" w:cs="宋体"/>
          <w:sz w:val="24"/>
          <w:highlight w:val="white"/>
        </w:rPr>
        <w:t>1.1.1.6　技术标准和要求：指构成合同文件组成部分的名为技术标准和要求(合同技术条款)的文件，包括合同双方当事人约定对其所作的修改或补充。</w:t>
      </w:r>
    </w:p>
    <w:p w14:paraId="4A68C902">
      <w:pPr>
        <w:spacing w:line="500" w:lineRule="exact"/>
        <w:rPr>
          <w:rFonts w:hint="eastAsia" w:ascii="宋体" w:hAnsi="宋体" w:cs="宋体"/>
          <w:sz w:val="24"/>
        </w:rPr>
      </w:pPr>
      <w:r>
        <w:rPr>
          <w:rFonts w:hint="eastAsia" w:ascii="宋体" w:hAnsi="宋体" w:cs="宋体"/>
          <w:sz w:val="24"/>
          <w:highlight w:val="white"/>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13AA889">
      <w:pPr>
        <w:spacing w:line="500" w:lineRule="exact"/>
        <w:ind w:firstLine="480" w:firstLineChars="200"/>
        <w:rPr>
          <w:rFonts w:hint="eastAsia" w:ascii="宋体" w:hAnsi="宋体" w:cs="宋体"/>
          <w:sz w:val="24"/>
        </w:rPr>
      </w:pPr>
      <w:r>
        <w:rPr>
          <w:rFonts w:hint="eastAsia" w:ascii="宋体" w:hAnsi="宋体" w:cs="宋体"/>
          <w:sz w:val="24"/>
          <w:highlight w:val="white"/>
        </w:rPr>
        <w:t>1.1.1.8 已标价工程量清单：指构成合同文件组成部分的由承包人按照规定的格式和要求填写并标明价格的工程量清单。</w:t>
      </w:r>
    </w:p>
    <w:p w14:paraId="56F42DA4">
      <w:pPr>
        <w:spacing w:line="500" w:lineRule="exact"/>
        <w:ind w:firstLine="480" w:firstLineChars="200"/>
        <w:rPr>
          <w:rFonts w:hint="eastAsia" w:ascii="宋体" w:hAnsi="宋体" w:cs="宋体"/>
          <w:sz w:val="24"/>
        </w:rPr>
      </w:pPr>
      <w:r>
        <w:rPr>
          <w:rFonts w:hint="eastAsia" w:ascii="宋体" w:hAnsi="宋体" w:cs="宋体"/>
          <w:sz w:val="24"/>
          <w:highlight w:val="white"/>
        </w:rPr>
        <w:t>1.1.1.9 其他合同文件：指经合同双方当事人确认构成合同文件的其他文件。</w:t>
      </w:r>
    </w:p>
    <w:p w14:paraId="3B427257">
      <w:pPr>
        <w:spacing w:line="500" w:lineRule="exact"/>
        <w:ind w:firstLine="480" w:firstLineChars="200"/>
        <w:rPr>
          <w:rFonts w:hint="eastAsia" w:ascii="宋体" w:hAnsi="宋体" w:cs="宋体"/>
          <w:sz w:val="24"/>
        </w:rPr>
      </w:pPr>
      <w:r>
        <w:rPr>
          <w:rFonts w:hint="eastAsia" w:ascii="宋体" w:hAnsi="宋体" w:cs="宋体"/>
          <w:sz w:val="24"/>
          <w:highlight w:val="white"/>
        </w:rPr>
        <w:t>1.1.2　合同当事人和人员</w:t>
      </w:r>
    </w:p>
    <w:p w14:paraId="64936EEC">
      <w:pPr>
        <w:spacing w:line="500" w:lineRule="exact"/>
        <w:ind w:firstLine="480" w:firstLineChars="200"/>
        <w:rPr>
          <w:rFonts w:hint="eastAsia" w:ascii="宋体" w:hAnsi="宋体" w:cs="宋体"/>
          <w:sz w:val="24"/>
        </w:rPr>
      </w:pPr>
      <w:r>
        <w:rPr>
          <w:rFonts w:hint="eastAsia" w:ascii="宋体" w:hAnsi="宋体" w:cs="宋体"/>
          <w:sz w:val="24"/>
          <w:highlight w:val="white"/>
        </w:rPr>
        <w:t>1.1.2.1 合同当事人:指发包人和（或）承包人。</w:t>
      </w:r>
    </w:p>
    <w:p w14:paraId="26120EAE">
      <w:pPr>
        <w:spacing w:line="500" w:lineRule="exact"/>
        <w:ind w:firstLine="480" w:firstLineChars="200"/>
        <w:rPr>
          <w:rFonts w:hint="eastAsia" w:ascii="宋体" w:hAnsi="宋体" w:cs="宋体"/>
          <w:sz w:val="24"/>
        </w:rPr>
      </w:pPr>
      <w:r>
        <w:rPr>
          <w:rFonts w:hint="eastAsia" w:ascii="宋体" w:hAnsi="宋体" w:cs="宋体"/>
          <w:sz w:val="24"/>
          <w:highlight w:val="white"/>
        </w:rPr>
        <w:t>1.1.2.2 发包人：指专用合同条款中指明并与承包人在合同协议书中签字的当事人。</w:t>
      </w:r>
    </w:p>
    <w:p w14:paraId="151D529E">
      <w:pPr>
        <w:spacing w:line="500" w:lineRule="exact"/>
        <w:ind w:firstLine="480" w:firstLineChars="200"/>
        <w:rPr>
          <w:rFonts w:hint="eastAsia" w:ascii="宋体" w:hAnsi="宋体" w:cs="宋体"/>
          <w:sz w:val="24"/>
        </w:rPr>
      </w:pPr>
      <w:r>
        <w:rPr>
          <w:rFonts w:hint="eastAsia" w:ascii="宋体" w:hAnsi="宋体" w:cs="宋体"/>
          <w:sz w:val="24"/>
          <w:highlight w:val="white"/>
        </w:rPr>
        <w:t>1.1.2.3　承包人：指专用合同条款中指明并与发包人在合同协议书中签字的当事人。</w:t>
      </w:r>
    </w:p>
    <w:p w14:paraId="7C1EBF38">
      <w:pPr>
        <w:spacing w:line="500" w:lineRule="exact"/>
        <w:ind w:firstLine="420"/>
        <w:rPr>
          <w:rFonts w:hint="eastAsia" w:ascii="宋体" w:hAnsi="宋体" w:cs="宋体"/>
          <w:sz w:val="24"/>
        </w:rPr>
      </w:pPr>
      <w:r>
        <w:rPr>
          <w:rFonts w:hint="eastAsia" w:ascii="宋体" w:hAnsi="宋体" w:cs="宋体"/>
          <w:sz w:val="24"/>
          <w:highlight w:val="white"/>
        </w:rPr>
        <w:t>1.1.2.5　分包人：指专用合同条款中指明的，从承包人处分包合同中某一部分工程，并与其签订分包合同的分包人。</w:t>
      </w:r>
    </w:p>
    <w:p w14:paraId="5593DA75">
      <w:pPr>
        <w:spacing w:line="500" w:lineRule="exact"/>
        <w:ind w:firstLine="480" w:firstLineChars="200"/>
        <w:rPr>
          <w:rFonts w:hint="eastAsia" w:ascii="宋体" w:hAnsi="宋体" w:cs="宋体"/>
          <w:sz w:val="24"/>
        </w:rPr>
      </w:pPr>
      <w:r>
        <w:rPr>
          <w:rFonts w:hint="eastAsia" w:ascii="宋体" w:hAnsi="宋体" w:cs="宋体"/>
          <w:sz w:val="24"/>
          <w:highlight w:val="white"/>
        </w:rPr>
        <w:t>1.1.2.6 监理人：指在专用合同条款中指明的，受发包人委托对合同履行实施管理的法人或其他组织。</w:t>
      </w:r>
    </w:p>
    <w:p w14:paraId="6F8FC7A9">
      <w:pPr>
        <w:spacing w:line="500" w:lineRule="exact"/>
        <w:ind w:firstLine="420"/>
        <w:rPr>
          <w:rFonts w:hint="eastAsia" w:ascii="宋体" w:hAnsi="宋体" w:cs="宋体"/>
          <w:sz w:val="24"/>
        </w:rPr>
      </w:pPr>
      <w:r>
        <w:rPr>
          <w:rFonts w:hint="eastAsia" w:ascii="宋体" w:hAnsi="宋体" w:cs="宋体"/>
          <w:sz w:val="24"/>
          <w:highlight w:val="white"/>
        </w:rPr>
        <w:t>1.1.2.7 总监理工程师（总监）：指由监理人委派常驻施工场地对合同履行实施管理的全权负责人。</w:t>
      </w:r>
    </w:p>
    <w:p w14:paraId="26C8B513">
      <w:pPr>
        <w:spacing w:line="500" w:lineRule="exact"/>
        <w:rPr>
          <w:rFonts w:hint="eastAsia" w:ascii="宋体" w:hAnsi="宋体" w:cs="宋体"/>
          <w:sz w:val="24"/>
        </w:rPr>
      </w:pPr>
      <w:r>
        <w:rPr>
          <w:rFonts w:hint="eastAsia" w:ascii="宋体" w:hAnsi="宋体" w:cs="宋体"/>
          <w:sz w:val="24"/>
          <w:highlight w:val="white"/>
        </w:rPr>
        <w:t>　　1.1.3　工程和设备</w:t>
      </w:r>
    </w:p>
    <w:p w14:paraId="72E66B65">
      <w:pPr>
        <w:spacing w:line="500" w:lineRule="exact"/>
        <w:ind w:firstLine="480" w:firstLineChars="200"/>
        <w:rPr>
          <w:rFonts w:hint="eastAsia" w:ascii="宋体" w:hAnsi="宋体" w:cs="宋体"/>
          <w:sz w:val="24"/>
        </w:rPr>
      </w:pPr>
      <w:r>
        <w:rPr>
          <w:rFonts w:hint="eastAsia" w:ascii="宋体" w:hAnsi="宋体" w:cs="宋体"/>
          <w:sz w:val="24"/>
          <w:highlight w:val="white"/>
        </w:rPr>
        <w:t>1.1.3.1 工程：指永久工程和（或）临时工程。</w:t>
      </w:r>
    </w:p>
    <w:p w14:paraId="5FEAE821">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1.1.3.2 永久工程：指按合同约定建造并移交给发包人的工程，包括工程设备</w:t>
      </w:r>
      <w:r>
        <w:rPr>
          <w:rFonts w:hint="eastAsia" w:ascii="宋体" w:hAnsi="宋体" w:eastAsia="宋体" w:cs="宋体"/>
          <w:sz w:val="24"/>
          <w:highlight w:val="white"/>
          <w:lang w:eastAsia="zh-CN"/>
        </w:rPr>
        <w:t>。</w:t>
      </w:r>
    </w:p>
    <w:p w14:paraId="0116E7AC">
      <w:pPr>
        <w:spacing w:line="500" w:lineRule="exact"/>
        <w:ind w:firstLine="480" w:firstLineChars="200"/>
        <w:rPr>
          <w:rFonts w:hint="eastAsia" w:ascii="宋体" w:hAnsi="宋体" w:cs="宋体"/>
          <w:sz w:val="24"/>
        </w:rPr>
      </w:pPr>
      <w:r>
        <w:rPr>
          <w:rFonts w:hint="eastAsia" w:ascii="宋体" w:hAnsi="宋体" w:cs="宋体"/>
          <w:sz w:val="24"/>
          <w:highlight w:val="white"/>
        </w:rPr>
        <w:t>1.1.3.3 临时工程：指为完成合同约定的永久工程所修建的各类临时性工程，不包括施工设备。</w:t>
      </w:r>
    </w:p>
    <w:p w14:paraId="6A6F2C35">
      <w:pPr>
        <w:spacing w:line="500" w:lineRule="exact"/>
        <w:ind w:firstLine="480" w:firstLineChars="200"/>
        <w:rPr>
          <w:rFonts w:hint="eastAsia" w:ascii="宋体" w:hAnsi="宋体" w:cs="宋体"/>
          <w:sz w:val="24"/>
        </w:rPr>
      </w:pPr>
      <w:r>
        <w:rPr>
          <w:rFonts w:hint="eastAsia" w:ascii="宋体" w:hAnsi="宋体" w:cs="宋体"/>
          <w:sz w:val="24"/>
          <w:highlight w:val="white"/>
        </w:rPr>
        <w:t>1.1.3.4 单位工程：指专用合同条款中指明特定范围的永久工程。</w:t>
      </w:r>
    </w:p>
    <w:p w14:paraId="1D44B31C">
      <w:pPr>
        <w:spacing w:line="500" w:lineRule="exact"/>
        <w:ind w:firstLine="480" w:firstLineChars="200"/>
        <w:rPr>
          <w:rFonts w:hint="eastAsia" w:ascii="宋体" w:hAnsi="宋体" w:cs="宋体"/>
          <w:sz w:val="24"/>
        </w:rPr>
      </w:pPr>
      <w:r>
        <w:rPr>
          <w:rFonts w:hint="eastAsia" w:ascii="宋体" w:hAnsi="宋体" w:cs="宋体"/>
          <w:sz w:val="24"/>
          <w:highlight w:val="white"/>
        </w:rPr>
        <w:t>1.1.3.5 工程设备：指构成或计划构成永久工程一部分的机电设备、金属结构设备、仪器装置及其他类似的设备和装置。</w:t>
      </w:r>
    </w:p>
    <w:p w14:paraId="06B55D41">
      <w:pPr>
        <w:spacing w:line="500" w:lineRule="exact"/>
        <w:ind w:firstLine="480" w:firstLineChars="200"/>
        <w:rPr>
          <w:rFonts w:hint="eastAsia" w:ascii="宋体" w:hAnsi="宋体" w:cs="宋体"/>
          <w:sz w:val="24"/>
        </w:rPr>
      </w:pPr>
      <w:r>
        <w:rPr>
          <w:rFonts w:hint="eastAsia" w:ascii="宋体" w:hAnsi="宋体" w:cs="宋体"/>
          <w:sz w:val="24"/>
          <w:highlight w:val="white"/>
        </w:rPr>
        <w:t>1.1.3.6 施工设备：指为完成合同约定的各项工作所需的设备、器具和其他物品，不包括临时工程和材料。</w:t>
      </w:r>
    </w:p>
    <w:p w14:paraId="7A7E0EF7">
      <w:pPr>
        <w:spacing w:line="500" w:lineRule="exact"/>
        <w:ind w:firstLine="480" w:firstLineChars="200"/>
        <w:rPr>
          <w:rFonts w:hint="eastAsia" w:ascii="宋体" w:hAnsi="宋体" w:cs="宋体"/>
          <w:sz w:val="24"/>
        </w:rPr>
      </w:pPr>
      <w:r>
        <w:rPr>
          <w:rFonts w:hint="eastAsia" w:ascii="宋体" w:hAnsi="宋体" w:cs="宋体"/>
          <w:sz w:val="24"/>
          <w:highlight w:val="white"/>
        </w:rPr>
        <w:t>1.1.3.7 临时设施：指为完成合同约定的各项工作所服务的临时性生产和生活设施。</w:t>
      </w:r>
    </w:p>
    <w:p w14:paraId="4EB618A9">
      <w:pPr>
        <w:spacing w:line="500" w:lineRule="exact"/>
        <w:ind w:firstLine="480" w:firstLineChars="200"/>
        <w:rPr>
          <w:rFonts w:hint="eastAsia" w:ascii="宋体" w:hAnsi="宋体" w:cs="宋体"/>
          <w:sz w:val="24"/>
        </w:rPr>
      </w:pPr>
      <w:r>
        <w:rPr>
          <w:rFonts w:hint="eastAsia" w:ascii="宋体" w:hAnsi="宋体" w:cs="宋体"/>
          <w:sz w:val="24"/>
          <w:highlight w:val="white"/>
        </w:rPr>
        <w:t>1.1.3.8 承包人设备：指承包人自带的施工设备。</w:t>
      </w:r>
    </w:p>
    <w:p w14:paraId="6EAB4FFC">
      <w:pPr>
        <w:spacing w:line="500" w:lineRule="exact"/>
        <w:ind w:firstLine="480" w:firstLineChars="200"/>
        <w:rPr>
          <w:rFonts w:hint="eastAsia" w:ascii="宋体" w:hAnsi="宋体" w:cs="宋体"/>
          <w:sz w:val="24"/>
        </w:rPr>
      </w:pPr>
      <w:r>
        <w:rPr>
          <w:rFonts w:hint="eastAsia" w:ascii="宋体" w:hAnsi="宋体" w:cs="宋体"/>
          <w:sz w:val="24"/>
          <w:highlight w:val="white"/>
        </w:rPr>
        <w:t>1.1.3.9 施工场地（或称工地、现场）：指用于合同工程施工的场所，以及在合同中指定作为施工场地组成部分的其他场所，包括永久占地和临时占地。</w:t>
      </w:r>
    </w:p>
    <w:p w14:paraId="6C21FFC3">
      <w:pPr>
        <w:spacing w:line="500" w:lineRule="exact"/>
        <w:ind w:firstLine="480" w:firstLineChars="200"/>
        <w:rPr>
          <w:rFonts w:hint="eastAsia" w:ascii="宋体" w:hAnsi="宋体" w:cs="宋体"/>
          <w:sz w:val="24"/>
        </w:rPr>
      </w:pPr>
      <w:r>
        <w:rPr>
          <w:rFonts w:hint="eastAsia" w:ascii="宋体" w:hAnsi="宋体" w:cs="宋体"/>
          <w:sz w:val="24"/>
          <w:highlight w:val="white"/>
        </w:rPr>
        <w:t>1.1.3.10　永久占地：指发包人为建设本合同工程永久征用的场地。</w:t>
      </w:r>
    </w:p>
    <w:p w14:paraId="0D2A6935">
      <w:pPr>
        <w:spacing w:line="500" w:lineRule="exact"/>
        <w:rPr>
          <w:rFonts w:hint="eastAsia" w:ascii="宋体" w:hAnsi="宋体" w:cs="宋体"/>
          <w:sz w:val="24"/>
        </w:rPr>
      </w:pPr>
      <w:r>
        <w:rPr>
          <w:rFonts w:hint="eastAsia" w:ascii="宋体" w:hAnsi="宋体" w:cs="宋体"/>
          <w:sz w:val="24"/>
          <w:highlight w:val="white"/>
        </w:rPr>
        <w:t>　　1.1.3.11　临时占地：指发包人为建设本合同工程临时征用，承包人在完工后须按合同要求退还的场地。</w:t>
      </w:r>
    </w:p>
    <w:p w14:paraId="0D90C6C0">
      <w:pPr>
        <w:spacing w:line="500" w:lineRule="exact"/>
        <w:rPr>
          <w:rFonts w:hint="eastAsia" w:ascii="宋体" w:hAnsi="宋体" w:cs="宋体"/>
          <w:sz w:val="24"/>
        </w:rPr>
      </w:pPr>
      <w:r>
        <w:rPr>
          <w:rFonts w:hint="eastAsia" w:ascii="宋体" w:hAnsi="宋体" w:cs="宋体"/>
          <w:sz w:val="24"/>
          <w:highlight w:val="white"/>
        </w:rPr>
        <w:t>　　1.1.4　日期</w:t>
      </w:r>
    </w:p>
    <w:p w14:paraId="2BC80DC7">
      <w:pPr>
        <w:spacing w:line="500" w:lineRule="exact"/>
        <w:ind w:firstLine="480" w:firstLineChars="200"/>
        <w:rPr>
          <w:rFonts w:hint="eastAsia" w:ascii="宋体" w:hAnsi="宋体" w:cs="宋体"/>
          <w:sz w:val="24"/>
        </w:rPr>
      </w:pPr>
      <w:r>
        <w:rPr>
          <w:rFonts w:hint="eastAsia" w:ascii="宋体" w:hAnsi="宋体" w:cs="宋体"/>
          <w:sz w:val="24"/>
          <w:highlight w:val="white"/>
        </w:rPr>
        <w:t>1.1.4.1 开工通知：指监理人按第11.1款通知承包人开工的函件。</w:t>
      </w:r>
    </w:p>
    <w:p w14:paraId="38F435AE">
      <w:pPr>
        <w:spacing w:line="500" w:lineRule="exact"/>
        <w:ind w:firstLine="480" w:firstLineChars="200"/>
        <w:rPr>
          <w:rFonts w:hint="eastAsia" w:ascii="宋体" w:hAnsi="宋体" w:cs="宋体"/>
          <w:sz w:val="24"/>
        </w:rPr>
      </w:pPr>
      <w:r>
        <w:rPr>
          <w:rFonts w:hint="eastAsia" w:ascii="宋体" w:hAnsi="宋体" w:cs="宋体"/>
          <w:sz w:val="24"/>
          <w:highlight w:val="white"/>
        </w:rPr>
        <w:t>1.1.4.2 开工日期：指监理人按第11.1款发出的开工通知中写明的开工日期。</w:t>
      </w:r>
    </w:p>
    <w:p w14:paraId="63EB3C41">
      <w:pPr>
        <w:spacing w:line="500" w:lineRule="exact"/>
        <w:ind w:firstLine="480" w:firstLineChars="200"/>
        <w:rPr>
          <w:rFonts w:hint="eastAsia" w:ascii="宋体" w:hAnsi="宋体" w:cs="宋体"/>
          <w:sz w:val="24"/>
        </w:rPr>
      </w:pPr>
      <w:r>
        <w:rPr>
          <w:rFonts w:hint="eastAsia" w:ascii="宋体" w:hAnsi="宋体" w:cs="宋体"/>
          <w:sz w:val="24"/>
          <w:highlight w:val="white"/>
        </w:rPr>
        <w:t>1.1.4.3工期：指承包人在投标函中承诺的完成合同工程所需的期限，包括按第11.3款、第11.4款和第11.6款约定所作的变更。</w:t>
      </w:r>
    </w:p>
    <w:p w14:paraId="72FFE66F">
      <w:pPr>
        <w:spacing w:line="500" w:lineRule="exact"/>
        <w:ind w:firstLine="480" w:firstLineChars="200"/>
        <w:rPr>
          <w:rFonts w:hint="eastAsia" w:ascii="宋体" w:hAnsi="宋体" w:cs="宋体"/>
          <w:sz w:val="24"/>
        </w:rPr>
      </w:pPr>
      <w:r>
        <w:rPr>
          <w:rFonts w:hint="eastAsia" w:ascii="宋体" w:hAnsi="宋体" w:cs="宋体"/>
          <w:sz w:val="24"/>
          <w:highlight w:val="white"/>
        </w:rPr>
        <w:t>1.1.4.4　竣工日期：即合同工程完工日期，指第1.1.4.3目约定工期届满时的日期。实际完工日期以合同工程完工证书中写明的日期为准。</w:t>
      </w:r>
    </w:p>
    <w:p w14:paraId="79334DE0">
      <w:pPr>
        <w:spacing w:line="500" w:lineRule="exact"/>
        <w:ind w:firstLine="420"/>
        <w:rPr>
          <w:rFonts w:hint="eastAsia" w:ascii="宋体" w:hAnsi="宋体" w:cs="宋体"/>
          <w:sz w:val="24"/>
        </w:rPr>
      </w:pPr>
      <w:r>
        <w:rPr>
          <w:rFonts w:hint="eastAsia" w:ascii="宋体" w:hAnsi="宋体" w:cs="宋体"/>
          <w:sz w:val="24"/>
          <w:highlight w:val="white"/>
        </w:rPr>
        <w:t>1.1.4.5　缺陷责任期：即工程质量保修期，指履行第19.2款约定的缺陷责任的期限，包括根据第19.3款约定所作的延长，具体期限由专用合同条款约定。</w:t>
      </w:r>
    </w:p>
    <w:p w14:paraId="1EAE7241">
      <w:pPr>
        <w:spacing w:line="500" w:lineRule="exact"/>
        <w:ind w:firstLine="420"/>
        <w:rPr>
          <w:rFonts w:hint="eastAsia" w:ascii="宋体" w:hAnsi="宋体" w:cs="宋体"/>
          <w:sz w:val="24"/>
        </w:rPr>
      </w:pPr>
      <w:r>
        <w:rPr>
          <w:rFonts w:hint="eastAsia" w:ascii="宋体" w:hAnsi="宋体" w:cs="宋体"/>
          <w:sz w:val="24"/>
          <w:highlight w:val="white"/>
        </w:rPr>
        <w:t>1.1.4.6 基准日期：指投标截止时间前28天的日期。</w:t>
      </w:r>
    </w:p>
    <w:p w14:paraId="10AF2627">
      <w:pPr>
        <w:spacing w:line="500" w:lineRule="exact"/>
        <w:ind w:firstLine="420"/>
        <w:rPr>
          <w:rFonts w:hint="eastAsia" w:ascii="宋体" w:hAnsi="宋体" w:cs="宋体"/>
          <w:sz w:val="24"/>
        </w:rPr>
      </w:pPr>
      <w:r>
        <w:rPr>
          <w:rFonts w:hint="eastAsia" w:ascii="宋体" w:hAnsi="宋体" w:cs="宋体"/>
          <w:sz w:val="24"/>
          <w:highlight w:val="white"/>
        </w:rPr>
        <w:t>1.1.4.7 天：除特别指明外，指日历天。合同中按天计算时间的，开始当天不计入，从次日开始计算。期限最后一天的截止时间为当天24:00。</w:t>
      </w:r>
    </w:p>
    <w:p w14:paraId="6F6E1DFF">
      <w:pPr>
        <w:spacing w:line="500" w:lineRule="exact"/>
        <w:ind w:firstLine="480" w:firstLineChars="200"/>
        <w:rPr>
          <w:rFonts w:hint="eastAsia" w:ascii="宋体" w:hAnsi="宋体" w:cs="宋体"/>
          <w:sz w:val="24"/>
        </w:rPr>
      </w:pPr>
      <w:r>
        <w:rPr>
          <w:rFonts w:hint="eastAsia" w:ascii="宋体" w:hAnsi="宋体" w:cs="宋体"/>
          <w:sz w:val="24"/>
          <w:highlight w:val="white"/>
        </w:rPr>
        <w:t>1.1.5 合同价格和费用</w:t>
      </w:r>
    </w:p>
    <w:p w14:paraId="043AEEF3">
      <w:pPr>
        <w:spacing w:line="500" w:lineRule="exact"/>
        <w:ind w:firstLine="480" w:firstLineChars="200"/>
        <w:rPr>
          <w:rFonts w:hint="eastAsia" w:ascii="宋体" w:hAnsi="宋体" w:cs="宋体"/>
          <w:sz w:val="24"/>
        </w:rPr>
      </w:pPr>
      <w:r>
        <w:rPr>
          <w:rFonts w:hint="eastAsia" w:ascii="宋体" w:hAnsi="宋体" w:cs="宋体"/>
          <w:sz w:val="24"/>
          <w:highlight w:val="white"/>
        </w:rPr>
        <w:t>1.1.5.1 签约合同价：指签定合同时合同协议书中写明的，包括了暂列金额、暂估价的合同总金额。</w:t>
      </w:r>
    </w:p>
    <w:p w14:paraId="1B879D18">
      <w:pPr>
        <w:spacing w:line="500" w:lineRule="exact"/>
        <w:ind w:firstLine="480" w:firstLineChars="200"/>
        <w:rPr>
          <w:rFonts w:hint="eastAsia" w:ascii="宋体" w:hAnsi="宋体" w:cs="宋体"/>
          <w:sz w:val="24"/>
        </w:rPr>
      </w:pPr>
      <w:r>
        <w:rPr>
          <w:rFonts w:hint="eastAsia" w:ascii="宋体" w:hAnsi="宋体" w:cs="宋体"/>
          <w:sz w:val="24"/>
          <w:highlight w:val="white"/>
        </w:rPr>
        <w:t>1.1.5.2 合同价格：指承包人按合同约定完成了包括缺陷责任期内的全部承包工作后，发包人应付给承包人的金额，包括在履行合同过程中按合同约定进行的变更和调整。</w:t>
      </w:r>
    </w:p>
    <w:p w14:paraId="6181462C">
      <w:pPr>
        <w:spacing w:line="500" w:lineRule="exact"/>
        <w:ind w:firstLine="480" w:firstLineChars="200"/>
        <w:rPr>
          <w:rFonts w:hint="eastAsia" w:ascii="宋体" w:hAnsi="宋体" w:cs="宋体"/>
          <w:sz w:val="24"/>
        </w:rPr>
      </w:pPr>
      <w:r>
        <w:rPr>
          <w:rFonts w:hint="eastAsia" w:ascii="宋体" w:hAnsi="宋体" w:cs="宋体"/>
          <w:sz w:val="24"/>
          <w:highlight w:val="white"/>
        </w:rPr>
        <w:t>1.1.5.3 费用：指为履行合同所发生的或将要发生的所有合理开支，包括管理费和应分摊的其他费用，但不包括利润。</w:t>
      </w:r>
    </w:p>
    <w:p w14:paraId="66718857">
      <w:pPr>
        <w:spacing w:line="500" w:lineRule="exact"/>
        <w:ind w:firstLine="480" w:firstLineChars="200"/>
        <w:rPr>
          <w:rFonts w:hint="eastAsia" w:ascii="宋体" w:hAnsi="宋体" w:cs="宋体"/>
          <w:sz w:val="24"/>
        </w:rPr>
      </w:pPr>
      <w:r>
        <w:rPr>
          <w:rFonts w:hint="eastAsia" w:ascii="宋体" w:hAnsi="宋体" w:cs="宋体"/>
          <w:sz w:val="24"/>
          <w:highlight w:val="white"/>
        </w:rPr>
        <w:t>1.1.5.4 暂列金额：指已标价工程量清单中所列的暂列金额，用于在签订协议书时尚未确定或不可预见变更的施工及其所需材料、工程设备、服务等的金额，包括以计日工方式支付的金额。</w:t>
      </w:r>
    </w:p>
    <w:p w14:paraId="418C091B">
      <w:pPr>
        <w:spacing w:line="500" w:lineRule="exact"/>
        <w:ind w:firstLine="480" w:firstLineChars="200"/>
        <w:rPr>
          <w:rFonts w:hint="eastAsia" w:ascii="宋体" w:hAnsi="宋体" w:cs="宋体"/>
          <w:sz w:val="24"/>
        </w:rPr>
      </w:pPr>
      <w:r>
        <w:rPr>
          <w:rFonts w:hint="eastAsia" w:ascii="宋体" w:hAnsi="宋体" w:cs="宋体"/>
          <w:sz w:val="24"/>
          <w:highlight w:val="white"/>
        </w:rPr>
        <w:t>1.1.5.5暂估价：指发包人在工程量清单中给定的用于支付必然发生但暂时不能确定价格的材料、设备以及专业工程的金额。</w:t>
      </w:r>
    </w:p>
    <w:p w14:paraId="287BB81A">
      <w:pPr>
        <w:spacing w:line="500" w:lineRule="exact"/>
        <w:ind w:firstLine="480" w:firstLineChars="200"/>
        <w:rPr>
          <w:rFonts w:hint="eastAsia" w:ascii="宋体" w:hAnsi="宋体" w:cs="宋体"/>
          <w:sz w:val="24"/>
        </w:rPr>
      </w:pPr>
      <w:r>
        <w:rPr>
          <w:rFonts w:hint="eastAsia" w:ascii="宋体" w:hAnsi="宋体" w:cs="宋体"/>
          <w:sz w:val="24"/>
          <w:highlight w:val="white"/>
        </w:rPr>
        <w:t>1.1.5.6 计日工：指对零星工作采取的一种计价方式，按合同中的计日工子目及其单价计价付款。</w:t>
      </w:r>
    </w:p>
    <w:p w14:paraId="3A957B55">
      <w:pPr>
        <w:spacing w:line="500" w:lineRule="exact"/>
        <w:ind w:firstLine="480" w:firstLineChars="200"/>
        <w:rPr>
          <w:rFonts w:hint="eastAsia" w:ascii="宋体" w:hAnsi="宋体" w:cs="宋体"/>
          <w:sz w:val="24"/>
        </w:rPr>
      </w:pPr>
      <w:r>
        <w:rPr>
          <w:rFonts w:hint="eastAsia" w:ascii="宋体" w:hAnsi="宋体" w:cs="宋体"/>
          <w:sz w:val="24"/>
          <w:highlight w:val="white"/>
        </w:rPr>
        <w:t>1.1.5.7 质量保证金（或称保留金）：指按第17.4.1项约定用于保证在缺陷责任期内履行缺陷修复义务的金额。</w:t>
      </w:r>
    </w:p>
    <w:p w14:paraId="5526E7EF">
      <w:pPr>
        <w:spacing w:line="500" w:lineRule="exact"/>
        <w:ind w:firstLine="480" w:firstLineChars="200"/>
        <w:rPr>
          <w:rFonts w:hint="eastAsia" w:ascii="宋体" w:hAnsi="宋体" w:cs="宋体"/>
          <w:sz w:val="24"/>
        </w:rPr>
      </w:pPr>
      <w:r>
        <w:rPr>
          <w:rFonts w:hint="eastAsia" w:ascii="宋体" w:hAnsi="宋体" w:cs="宋体"/>
          <w:sz w:val="24"/>
          <w:highlight w:val="white"/>
        </w:rPr>
        <w:t>1.1.6 其他</w:t>
      </w:r>
    </w:p>
    <w:p w14:paraId="585CDFC5">
      <w:pPr>
        <w:spacing w:line="500" w:lineRule="exact"/>
        <w:ind w:firstLine="480" w:firstLineChars="200"/>
        <w:rPr>
          <w:rFonts w:hint="eastAsia" w:ascii="宋体" w:hAnsi="宋体" w:cs="宋体"/>
          <w:sz w:val="24"/>
        </w:rPr>
      </w:pPr>
      <w:r>
        <w:rPr>
          <w:rFonts w:hint="eastAsia" w:ascii="宋体" w:hAnsi="宋体" w:cs="宋体"/>
          <w:sz w:val="24"/>
          <w:highlight w:val="white"/>
        </w:rPr>
        <w:t>1.1.6.1 书面形式：指合同文件、信函、电报、传真等可以有形地表现所载内容的形式。</w:t>
      </w:r>
    </w:p>
    <w:p w14:paraId="1D07C8BC">
      <w:pPr>
        <w:spacing w:line="500" w:lineRule="exact"/>
        <w:outlineLvl w:val="3"/>
        <w:rPr>
          <w:rFonts w:hint="eastAsia" w:ascii="宋体" w:hAnsi="宋体" w:cs="宋体"/>
          <w:sz w:val="24"/>
        </w:rPr>
      </w:pPr>
      <w:r>
        <w:rPr>
          <w:rFonts w:hint="eastAsia" w:ascii="宋体" w:hAnsi="宋体" w:cs="宋体"/>
          <w:sz w:val="24"/>
          <w:highlight w:val="white"/>
        </w:rPr>
        <w:t>1.2 语言文字</w:t>
      </w:r>
    </w:p>
    <w:p w14:paraId="5E1A4BE8">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除专用术语外，合同使用的语言文字为中文。必要时专用术语应附有中文注释</w:t>
      </w:r>
      <w:r>
        <w:rPr>
          <w:rFonts w:hint="eastAsia" w:ascii="宋体" w:hAnsi="宋体" w:eastAsia="宋体" w:cs="宋体"/>
          <w:sz w:val="24"/>
          <w:highlight w:val="white"/>
          <w:lang w:eastAsia="zh-CN"/>
        </w:rPr>
        <w:t>。</w:t>
      </w:r>
    </w:p>
    <w:p w14:paraId="5BC4E985">
      <w:pPr>
        <w:spacing w:line="500" w:lineRule="exact"/>
        <w:outlineLvl w:val="3"/>
        <w:rPr>
          <w:rFonts w:hint="eastAsia" w:ascii="宋体" w:hAnsi="宋体" w:cs="宋体"/>
          <w:sz w:val="24"/>
        </w:rPr>
      </w:pPr>
      <w:r>
        <w:rPr>
          <w:rFonts w:hint="eastAsia" w:ascii="宋体" w:hAnsi="宋体" w:cs="宋体"/>
          <w:sz w:val="24"/>
          <w:highlight w:val="white"/>
        </w:rPr>
        <w:t>1.3 法律</w:t>
      </w:r>
    </w:p>
    <w:p w14:paraId="26EE6417">
      <w:pPr>
        <w:spacing w:line="500" w:lineRule="exact"/>
        <w:ind w:firstLine="480" w:firstLineChars="200"/>
        <w:rPr>
          <w:rFonts w:hint="eastAsia" w:ascii="宋体" w:hAnsi="宋体" w:cs="宋体"/>
          <w:sz w:val="24"/>
        </w:rPr>
      </w:pPr>
      <w:r>
        <w:rPr>
          <w:rFonts w:hint="eastAsia" w:ascii="宋体" w:hAnsi="宋体" w:cs="宋体"/>
          <w:sz w:val="24"/>
          <w:highlight w:val="white"/>
        </w:rPr>
        <w:t>适用于合同的法律包括中华人民共和国法律、行政法规、部门规章，以及工程所在地的地方法规、自治条例、单行条例和地方政府规章。</w:t>
      </w:r>
    </w:p>
    <w:p w14:paraId="008423A5">
      <w:pPr>
        <w:spacing w:line="500" w:lineRule="exact"/>
        <w:outlineLvl w:val="3"/>
        <w:rPr>
          <w:rFonts w:hint="eastAsia" w:ascii="宋体" w:hAnsi="宋体" w:cs="宋体"/>
          <w:sz w:val="24"/>
        </w:rPr>
      </w:pPr>
      <w:r>
        <w:rPr>
          <w:rFonts w:hint="eastAsia" w:ascii="宋体" w:hAnsi="宋体" w:cs="宋体"/>
          <w:sz w:val="24"/>
          <w:highlight w:val="white"/>
        </w:rPr>
        <w:t>1.4 合同文件的优先顺序</w:t>
      </w:r>
    </w:p>
    <w:p w14:paraId="47156C2F">
      <w:pPr>
        <w:spacing w:line="500" w:lineRule="exact"/>
        <w:ind w:firstLine="480" w:firstLineChars="200"/>
        <w:rPr>
          <w:rFonts w:hint="eastAsia" w:ascii="宋体" w:hAnsi="宋体" w:cs="宋体"/>
          <w:sz w:val="24"/>
        </w:rPr>
      </w:pPr>
      <w:r>
        <w:rPr>
          <w:rFonts w:hint="eastAsia" w:ascii="宋体" w:hAnsi="宋体" w:cs="宋体"/>
          <w:sz w:val="24"/>
          <w:highlight w:val="white"/>
        </w:rPr>
        <w:t>组成合同的各项文件应互相解释，互为说明。除专用合同条款另有约定外，解释合同文件的优先顺序如下：</w:t>
      </w:r>
    </w:p>
    <w:p w14:paraId="03E6E006">
      <w:pPr>
        <w:spacing w:line="500" w:lineRule="exact"/>
        <w:ind w:firstLine="410" w:firstLineChars="171"/>
        <w:rPr>
          <w:rFonts w:hint="eastAsia" w:ascii="宋体" w:hAnsi="宋体" w:cs="宋体"/>
          <w:sz w:val="24"/>
        </w:rPr>
      </w:pPr>
      <w:r>
        <w:rPr>
          <w:rFonts w:hint="eastAsia" w:ascii="宋体" w:hAnsi="宋体" w:cs="宋体"/>
          <w:sz w:val="24"/>
          <w:highlight w:val="white"/>
        </w:rPr>
        <w:t>（1）合同协议书；</w:t>
      </w:r>
    </w:p>
    <w:p w14:paraId="3194DFA3">
      <w:pPr>
        <w:spacing w:line="500" w:lineRule="exact"/>
        <w:ind w:firstLine="410" w:firstLineChars="171"/>
        <w:rPr>
          <w:rFonts w:hint="eastAsia" w:ascii="宋体" w:hAnsi="宋体" w:cs="宋体"/>
          <w:sz w:val="24"/>
        </w:rPr>
      </w:pPr>
      <w:r>
        <w:rPr>
          <w:rFonts w:hint="eastAsia" w:ascii="宋体" w:hAnsi="宋体" w:cs="宋体"/>
          <w:sz w:val="24"/>
          <w:highlight w:val="white"/>
        </w:rPr>
        <w:t>（2）中标通知书；</w:t>
      </w:r>
    </w:p>
    <w:p w14:paraId="0708E18E">
      <w:pPr>
        <w:spacing w:line="500" w:lineRule="exact"/>
        <w:ind w:firstLine="410" w:firstLineChars="171"/>
        <w:rPr>
          <w:rFonts w:hint="eastAsia" w:ascii="宋体" w:hAnsi="宋体" w:cs="宋体"/>
          <w:sz w:val="24"/>
        </w:rPr>
      </w:pPr>
      <w:r>
        <w:rPr>
          <w:rFonts w:hint="eastAsia" w:ascii="宋体" w:hAnsi="宋体" w:cs="宋体"/>
          <w:sz w:val="24"/>
          <w:highlight w:val="white"/>
        </w:rPr>
        <w:t>（3）投标函及投标函附录；</w:t>
      </w:r>
    </w:p>
    <w:p w14:paraId="65309D36">
      <w:pPr>
        <w:spacing w:line="500" w:lineRule="exact"/>
        <w:ind w:firstLine="410" w:firstLineChars="171"/>
        <w:rPr>
          <w:rFonts w:hint="eastAsia" w:ascii="宋体" w:hAnsi="宋体" w:cs="宋体"/>
          <w:sz w:val="24"/>
        </w:rPr>
      </w:pPr>
      <w:r>
        <w:rPr>
          <w:rFonts w:hint="eastAsia" w:ascii="宋体" w:hAnsi="宋体" w:cs="宋体"/>
          <w:sz w:val="24"/>
          <w:highlight w:val="white"/>
        </w:rPr>
        <w:t>（4）专用合同条款；</w:t>
      </w:r>
    </w:p>
    <w:p w14:paraId="61EF0BBF">
      <w:pPr>
        <w:spacing w:line="500" w:lineRule="exact"/>
        <w:ind w:firstLine="410" w:firstLineChars="171"/>
        <w:rPr>
          <w:rFonts w:hint="eastAsia" w:ascii="宋体" w:hAnsi="宋体" w:cs="宋体"/>
          <w:sz w:val="24"/>
        </w:rPr>
      </w:pPr>
      <w:r>
        <w:rPr>
          <w:rFonts w:hint="eastAsia" w:ascii="宋体" w:hAnsi="宋体" w:cs="宋体"/>
          <w:sz w:val="24"/>
          <w:highlight w:val="white"/>
        </w:rPr>
        <w:t>（5）通用合同条款；</w:t>
      </w:r>
    </w:p>
    <w:p w14:paraId="5FDA027A">
      <w:pPr>
        <w:spacing w:line="500" w:lineRule="exact"/>
        <w:ind w:firstLine="410" w:firstLineChars="171"/>
        <w:rPr>
          <w:rFonts w:hint="eastAsia" w:ascii="宋体" w:hAnsi="宋体" w:cs="宋体"/>
          <w:sz w:val="24"/>
        </w:rPr>
      </w:pPr>
      <w:r>
        <w:rPr>
          <w:rFonts w:hint="eastAsia" w:ascii="宋体" w:hAnsi="宋体" w:cs="宋体"/>
          <w:sz w:val="24"/>
          <w:highlight w:val="white"/>
        </w:rPr>
        <w:t>（6）技术标准和要求；</w:t>
      </w:r>
    </w:p>
    <w:p w14:paraId="45C7D075">
      <w:pPr>
        <w:spacing w:line="500" w:lineRule="exact"/>
        <w:ind w:firstLine="410" w:firstLineChars="171"/>
        <w:rPr>
          <w:rFonts w:hint="eastAsia" w:ascii="宋体" w:hAnsi="宋体" w:cs="宋体"/>
          <w:sz w:val="24"/>
        </w:rPr>
      </w:pPr>
      <w:r>
        <w:rPr>
          <w:rFonts w:hint="eastAsia" w:ascii="宋体" w:hAnsi="宋体" w:cs="宋体"/>
          <w:sz w:val="24"/>
          <w:highlight w:val="white"/>
        </w:rPr>
        <w:t>（7）图纸；</w:t>
      </w:r>
    </w:p>
    <w:p w14:paraId="42AF4E43">
      <w:pPr>
        <w:spacing w:line="500" w:lineRule="exact"/>
        <w:ind w:firstLine="410" w:firstLineChars="171"/>
        <w:rPr>
          <w:rFonts w:hint="eastAsia" w:ascii="宋体" w:hAnsi="宋体" w:cs="宋体"/>
          <w:sz w:val="24"/>
        </w:rPr>
      </w:pPr>
      <w:r>
        <w:rPr>
          <w:rFonts w:hint="eastAsia" w:ascii="宋体" w:hAnsi="宋体" w:cs="宋体"/>
          <w:sz w:val="24"/>
          <w:highlight w:val="white"/>
        </w:rPr>
        <w:t>（8）已标价工程量清单；</w:t>
      </w:r>
    </w:p>
    <w:p w14:paraId="147BE430">
      <w:pPr>
        <w:spacing w:line="500" w:lineRule="exact"/>
        <w:ind w:firstLine="410" w:firstLineChars="171"/>
        <w:rPr>
          <w:rFonts w:hint="eastAsia" w:ascii="宋体" w:hAnsi="宋体" w:cs="宋体"/>
          <w:sz w:val="24"/>
        </w:rPr>
      </w:pPr>
      <w:r>
        <w:rPr>
          <w:rFonts w:hint="eastAsia" w:ascii="宋体" w:hAnsi="宋体" w:cs="宋体"/>
          <w:sz w:val="24"/>
          <w:highlight w:val="white"/>
        </w:rPr>
        <w:t>（9）其他合同文件。</w:t>
      </w:r>
    </w:p>
    <w:p w14:paraId="012B18FB">
      <w:pPr>
        <w:spacing w:line="500" w:lineRule="exact"/>
        <w:outlineLvl w:val="3"/>
        <w:rPr>
          <w:rFonts w:hint="eastAsia" w:ascii="宋体" w:hAnsi="宋体" w:cs="宋体"/>
          <w:sz w:val="24"/>
        </w:rPr>
      </w:pPr>
      <w:r>
        <w:rPr>
          <w:rFonts w:hint="eastAsia" w:ascii="宋体" w:hAnsi="宋体" w:cs="宋体"/>
          <w:sz w:val="24"/>
          <w:highlight w:val="white"/>
        </w:rPr>
        <w:t>1.5 合同协议书</w:t>
      </w:r>
    </w:p>
    <w:p w14:paraId="67371A03">
      <w:pPr>
        <w:spacing w:line="500" w:lineRule="exact"/>
        <w:ind w:firstLine="420"/>
        <w:rPr>
          <w:rFonts w:hint="eastAsia" w:ascii="宋体" w:hAnsi="宋体" w:cs="宋体"/>
          <w:sz w:val="24"/>
        </w:rPr>
      </w:pPr>
      <w:r>
        <w:rPr>
          <w:rFonts w:hint="eastAsia" w:ascii="宋体" w:hAnsi="宋体" w:cs="宋体"/>
          <w:sz w:val="24"/>
          <w:highlight w:val="white"/>
        </w:rPr>
        <w:t>承包人按中标通知书规定的时间与发包人签订合同协议书。除法律另有规定或合同另有约定外，发包人和承包人的法定代表人或其委托代理人在合同协议书上签字并盖单位章后，合同生效。</w:t>
      </w:r>
    </w:p>
    <w:p w14:paraId="6D91CC98">
      <w:pPr>
        <w:spacing w:line="500" w:lineRule="exact"/>
        <w:outlineLvl w:val="3"/>
        <w:rPr>
          <w:rFonts w:hint="eastAsia" w:ascii="宋体" w:hAnsi="宋体" w:cs="宋体"/>
          <w:sz w:val="24"/>
        </w:rPr>
      </w:pPr>
      <w:r>
        <w:rPr>
          <w:rFonts w:hint="eastAsia" w:ascii="宋体" w:hAnsi="宋体" w:cs="宋体"/>
          <w:sz w:val="24"/>
          <w:highlight w:val="white"/>
        </w:rPr>
        <w:t>1.6 图纸和承包人文件</w:t>
      </w:r>
    </w:p>
    <w:p w14:paraId="31C7C67F">
      <w:pPr>
        <w:spacing w:line="500" w:lineRule="exact"/>
        <w:rPr>
          <w:rFonts w:hint="eastAsia" w:ascii="宋体" w:hAnsi="宋体" w:cs="宋体"/>
          <w:sz w:val="24"/>
        </w:rPr>
      </w:pPr>
      <w:r>
        <w:rPr>
          <w:rFonts w:hint="eastAsia" w:ascii="宋体" w:hAnsi="宋体" w:cs="宋体"/>
          <w:sz w:val="24"/>
          <w:highlight w:val="white"/>
        </w:rPr>
        <w:t>　　1.6.1 图纸的提供</w:t>
      </w:r>
    </w:p>
    <w:p w14:paraId="2E415595">
      <w:pPr>
        <w:spacing w:line="500" w:lineRule="exact"/>
        <w:rPr>
          <w:rFonts w:hint="eastAsia" w:ascii="宋体" w:hAnsi="宋体" w:cs="宋体"/>
          <w:sz w:val="24"/>
        </w:rPr>
      </w:pPr>
      <w:r>
        <w:rPr>
          <w:rFonts w:hint="eastAsia" w:ascii="宋体" w:hAnsi="宋体" w:cs="宋体"/>
          <w:sz w:val="24"/>
          <w:highlight w:val="white"/>
        </w:rPr>
        <w:t>　　发包人应按技术标准和要求(合同技术条款)约定的期限和数量将施工图纸以及其它图纸(包括配套说明和有关资料)提供给承包人。由于发包人未按时提供图纸造成工期延误的，按第11.3款的约定办理。</w:t>
      </w:r>
    </w:p>
    <w:p w14:paraId="311A6167">
      <w:pPr>
        <w:spacing w:line="500" w:lineRule="exact"/>
        <w:rPr>
          <w:rFonts w:hint="eastAsia" w:ascii="宋体" w:hAnsi="宋体" w:cs="宋体"/>
          <w:sz w:val="24"/>
        </w:rPr>
      </w:pPr>
      <w:r>
        <w:rPr>
          <w:rFonts w:hint="eastAsia" w:ascii="宋体" w:hAnsi="宋体" w:cs="宋体"/>
          <w:sz w:val="24"/>
          <w:highlight w:val="white"/>
        </w:rPr>
        <w:t>　　1.6.2 承包人提供的文件</w:t>
      </w:r>
    </w:p>
    <w:p w14:paraId="70FE8ABA">
      <w:pPr>
        <w:spacing w:line="500" w:lineRule="exact"/>
        <w:rPr>
          <w:rFonts w:hint="eastAsia" w:ascii="宋体" w:hAnsi="宋体" w:cs="宋体"/>
          <w:sz w:val="24"/>
        </w:rPr>
      </w:pPr>
      <w:r>
        <w:rPr>
          <w:rFonts w:hint="eastAsia" w:ascii="宋体" w:hAnsi="宋体" w:cs="宋体"/>
          <w:sz w:val="24"/>
          <w:highlight w:val="white"/>
        </w:rPr>
        <w:t>　　承包人提供的文件应按技术标准和要求(合同技术条款)约定的期限和数量提供给监理人。监理人应按技术标准和要求(合同技术条款)约定的期限批复承包人。</w:t>
      </w:r>
    </w:p>
    <w:p w14:paraId="2B26A41C">
      <w:pPr>
        <w:spacing w:line="500" w:lineRule="exact"/>
        <w:rPr>
          <w:rFonts w:hint="eastAsia" w:ascii="宋体" w:hAnsi="宋体" w:cs="宋体"/>
          <w:sz w:val="24"/>
        </w:rPr>
      </w:pPr>
      <w:r>
        <w:rPr>
          <w:rFonts w:hint="eastAsia" w:ascii="宋体" w:hAnsi="宋体" w:cs="宋体"/>
          <w:sz w:val="24"/>
          <w:highlight w:val="white"/>
        </w:rPr>
        <w:t>　　1.6.3 图纸的修改</w:t>
      </w:r>
    </w:p>
    <w:p w14:paraId="2C5C4B54">
      <w:pPr>
        <w:spacing w:line="500" w:lineRule="exact"/>
        <w:ind w:firstLine="420"/>
        <w:rPr>
          <w:rFonts w:hint="eastAsia" w:ascii="宋体" w:hAnsi="宋体" w:cs="宋体"/>
          <w:sz w:val="24"/>
        </w:rPr>
      </w:pPr>
      <w:r>
        <w:rPr>
          <w:rFonts w:hint="eastAsia" w:ascii="宋体" w:hAnsi="宋体" w:cs="宋体"/>
          <w:sz w:val="24"/>
          <w:highlight w:val="whit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66B324C5">
      <w:pPr>
        <w:spacing w:line="500" w:lineRule="exact"/>
        <w:ind w:firstLine="480" w:firstLineChars="200"/>
        <w:rPr>
          <w:rFonts w:hint="eastAsia" w:ascii="宋体" w:hAnsi="宋体" w:cs="宋体"/>
          <w:sz w:val="24"/>
        </w:rPr>
      </w:pPr>
      <w:r>
        <w:rPr>
          <w:rFonts w:hint="eastAsia" w:ascii="宋体" w:hAnsi="宋体" w:cs="宋体"/>
          <w:sz w:val="24"/>
          <w:highlight w:val="white"/>
        </w:rPr>
        <w:t>1.6.4 图纸的错误</w:t>
      </w:r>
    </w:p>
    <w:p w14:paraId="2F0D299D">
      <w:pPr>
        <w:spacing w:line="500" w:lineRule="exact"/>
        <w:ind w:firstLine="480" w:firstLineChars="200"/>
        <w:rPr>
          <w:rFonts w:hint="eastAsia" w:ascii="宋体" w:hAnsi="宋体" w:cs="宋体"/>
          <w:sz w:val="24"/>
        </w:rPr>
      </w:pPr>
      <w:r>
        <w:rPr>
          <w:rFonts w:hint="eastAsia" w:ascii="宋体" w:hAnsi="宋体" w:cs="宋体"/>
          <w:sz w:val="24"/>
          <w:highlight w:val="white"/>
        </w:rPr>
        <w:t>承包人发现发包人提供的图纸存在明显错误或疏忽，应及时通知监理人。</w:t>
      </w:r>
    </w:p>
    <w:p w14:paraId="2814F4A2">
      <w:pPr>
        <w:spacing w:line="500" w:lineRule="exact"/>
        <w:ind w:firstLine="480" w:firstLineChars="200"/>
        <w:rPr>
          <w:rFonts w:hint="eastAsia" w:ascii="宋体" w:hAnsi="宋体" w:cs="宋体"/>
          <w:sz w:val="24"/>
        </w:rPr>
      </w:pPr>
      <w:r>
        <w:rPr>
          <w:rFonts w:hint="eastAsia" w:ascii="宋体" w:hAnsi="宋体" w:cs="宋体"/>
          <w:sz w:val="24"/>
          <w:highlight w:val="white"/>
        </w:rPr>
        <w:t>1.6.5 图纸和承包人文件的保管</w:t>
      </w:r>
    </w:p>
    <w:p w14:paraId="6985FA24">
      <w:pPr>
        <w:spacing w:line="500" w:lineRule="exact"/>
        <w:ind w:firstLine="420"/>
        <w:rPr>
          <w:rFonts w:hint="eastAsia" w:ascii="宋体" w:hAnsi="宋体" w:cs="宋体"/>
          <w:sz w:val="24"/>
        </w:rPr>
      </w:pPr>
      <w:r>
        <w:rPr>
          <w:rFonts w:hint="eastAsia" w:ascii="宋体" w:hAnsi="宋体" w:cs="宋体"/>
          <w:sz w:val="24"/>
          <w:highlight w:val="white"/>
        </w:rPr>
        <w:t>监理人和承包人均应在施工场地各保存一套完整的包含第1.6.1项、第1.6.2项、第1.6.3项约定内容的图纸和承包人文件。</w:t>
      </w:r>
    </w:p>
    <w:p w14:paraId="57D8B4B6">
      <w:pPr>
        <w:spacing w:line="500" w:lineRule="exact"/>
        <w:outlineLvl w:val="3"/>
        <w:rPr>
          <w:rFonts w:hint="eastAsia" w:ascii="宋体" w:hAnsi="宋体" w:cs="宋体"/>
          <w:sz w:val="24"/>
        </w:rPr>
      </w:pPr>
      <w:r>
        <w:rPr>
          <w:rFonts w:hint="eastAsia" w:ascii="宋体" w:hAnsi="宋体" w:cs="宋体"/>
          <w:sz w:val="24"/>
          <w:highlight w:val="white"/>
        </w:rPr>
        <w:t>1.7 联络</w:t>
      </w:r>
    </w:p>
    <w:p w14:paraId="781F8DA1">
      <w:pPr>
        <w:spacing w:line="500" w:lineRule="exact"/>
        <w:ind w:firstLine="480" w:firstLineChars="200"/>
        <w:rPr>
          <w:rFonts w:hint="eastAsia" w:ascii="宋体" w:hAnsi="宋体" w:cs="宋体"/>
          <w:sz w:val="24"/>
        </w:rPr>
      </w:pPr>
      <w:r>
        <w:rPr>
          <w:rFonts w:hint="eastAsia" w:ascii="宋体" w:hAnsi="宋体" w:cs="宋体"/>
          <w:sz w:val="24"/>
          <w:highlight w:val="white"/>
        </w:rPr>
        <w:t>1.7.1 与合同有关的通知、批准、证明、证书、指示、要求、请求、同意、意见、确定和决定等，均应采用书面形式。</w:t>
      </w:r>
    </w:p>
    <w:p w14:paraId="09420CE2">
      <w:pPr>
        <w:spacing w:line="500" w:lineRule="exact"/>
        <w:ind w:firstLine="480" w:firstLineChars="200"/>
        <w:rPr>
          <w:rFonts w:hint="eastAsia" w:ascii="宋体" w:hAnsi="宋体" w:cs="宋体"/>
          <w:sz w:val="24"/>
        </w:rPr>
      </w:pPr>
      <w:r>
        <w:rPr>
          <w:rFonts w:hint="eastAsia" w:ascii="宋体" w:hAnsi="宋体" w:cs="宋体"/>
          <w:sz w:val="24"/>
          <w:highlight w:val="white"/>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20C6B713">
      <w:pPr>
        <w:spacing w:line="500" w:lineRule="exact"/>
        <w:rPr>
          <w:rFonts w:hint="eastAsia" w:ascii="宋体" w:hAnsi="宋体" w:cs="宋体"/>
          <w:sz w:val="24"/>
        </w:rPr>
      </w:pPr>
      <w:r>
        <w:rPr>
          <w:rFonts w:hint="eastAsia" w:ascii="宋体" w:hAnsi="宋体" w:cs="宋体"/>
          <w:sz w:val="24"/>
          <w:highlight w:val="white"/>
        </w:rPr>
        <w:t>　 1.7.3 来往函件均应按合同约定的期限及时发出和答复，不得无故扣压和拖延，亦不得拒收。否则，由此造成的后果由责任方负责。</w:t>
      </w:r>
    </w:p>
    <w:p w14:paraId="19B41875">
      <w:pPr>
        <w:spacing w:line="500" w:lineRule="exact"/>
        <w:outlineLvl w:val="3"/>
        <w:rPr>
          <w:rFonts w:hint="eastAsia" w:ascii="宋体" w:hAnsi="宋体" w:cs="宋体"/>
          <w:sz w:val="24"/>
        </w:rPr>
      </w:pPr>
      <w:r>
        <w:rPr>
          <w:rFonts w:hint="eastAsia" w:ascii="宋体" w:hAnsi="宋体" w:cs="宋体"/>
          <w:sz w:val="24"/>
          <w:highlight w:val="white"/>
        </w:rPr>
        <w:t>1.8 转让</w:t>
      </w:r>
    </w:p>
    <w:p w14:paraId="18EF5618">
      <w:pPr>
        <w:spacing w:line="500" w:lineRule="exact"/>
        <w:ind w:firstLine="480" w:firstLineChars="200"/>
        <w:rPr>
          <w:rFonts w:hint="eastAsia" w:ascii="宋体" w:hAnsi="宋体" w:cs="宋体"/>
          <w:sz w:val="24"/>
        </w:rPr>
      </w:pPr>
      <w:r>
        <w:rPr>
          <w:rFonts w:hint="eastAsia" w:ascii="宋体" w:hAnsi="宋体" w:cs="宋体"/>
          <w:sz w:val="24"/>
          <w:highlight w:val="white"/>
        </w:rPr>
        <w:t>除合同另有约定外，未经对方当事人同意，一方当事人不得将合同权利全部或部分转让给第三人，也不得全部或部分转移合同义务。</w:t>
      </w:r>
    </w:p>
    <w:p w14:paraId="49C85274">
      <w:pPr>
        <w:spacing w:line="500" w:lineRule="exact"/>
        <w:outlineLvl w:val="3"/>
        <w:rPr>
          <w:rFonts w:hint="eastAsia" w:ascii="宋体" w:hAnsi="宋体" w:cs="宋体"/>
          <w:sz w:val="24"/>
        </w:rPr>
      </w:pPr>
      <w:r>
        <w:rPr>
          <w:rFonts w:hint="eastAsia" w:ascii="宋体" w:hAnsi="宋体" w:cs="宋体"/>
          <w:sz w:val="24"/>
          <w:highlight w:val="white"/>
        </w:rPr>
        <w:t>1.9 严禁贿赂</w:t>
      </w:r>
    </w:p>
    <w:p w14:paraId="281FD862">
      <w:pPr>
        <w:spacing w:line="500" w:lineRule="exact"/>
        <w:ind w:firstLine="480" w:firstLineChars="200"/>
        <w:rPr>
          <w:rFonts w:hint="eastAsia" w:ascii="宋体" w:hAnsi="宋体" w:cs="宋体"/>
          <w:sz w:val="24"/>
        </w:rPr>
      </w:pPr>
      <w:r>
        <w:rPr>
          <w:rFonts w:hint="eastAsia" w:ascii="宋体" w:hAnsi="宋体" w:cs="宋体"/>
          <w:sz w:val="24"/>
          <w:highlight w:val="white"/>
        </w:rPr>
        <w:t>合同双方当事人不得以贿赂或变相贿赂的方式，谋取不当利益或损害对方权益。因贿赂造成对方损失的，行为人应赔偿损失，并承担相应的法律责任。</w:t>
      </w:r>
    </w:p>
    <w:p w14:paraId="362861E6">
      <w:pPr>
        <w:spacing w:line="500" w:lineRule="exact"/>
        <w:outlineLvl w:val="3"/>
        <w:rPr>
          <w:rFonts w:hint="eastAsia" w:ascii="宋体" w:hAnsi="宋体" w:cs="宋体"/>
          <w:sz w:val="24"/>
        </w:rPr>
      </w:pPr>
      <w:r>
        <w:rPr>
          <w:rFonts w:hint="eastAsia" w:ascii="宋体" w:hAnsi="宋体" w:cs="宋体"/>
          <w:sz w:val="24"/>
          <w:highlight w:val="white"/>
        </w:rPr>
        <w:t>1.10 化石、文物</w:t>
      </w:r>
    </w:p>
    <w:p w14:paraId="761D2DD4">
      <w:pPr>
        <w:spacing w:line="500" w:lineRule="exact"/>
        <w:ind w:firstLine="480" w:firstLineChars="200"/>
        <w:rPr>
          <w:rFonts w:hint="eastAsia" w:ascii="宋体" w:hAnsi="宋体" w:cs="宋体"/>
          <w:sz w:val="24"/>
        </w:rPr>
      </w:pPr>
      <w:r>
        <w:rPr>
          <w:rFonts w:hint="eastAsia" w:ascii="宋体" w:hAnsi="宋体" w:cs="宋体"/>
          <w:sz w:val="24"/>
          <w:highlight w:val="whit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A476CCE">
      <w:pPr>
        <w:spacing w:line="500" w:lineRule="exact"/>
        <w:ind w:firstLine="480" w:firstLineChars="200"/>
        <w:rPr>
          <w:rFonts w:hint="eastAsia" w:ascii="宋体" w:hAnsi="宋体" w:cs="宋体"/>
          <w:sz w:val="24"/>
        </w:rPr>
      </w:pPr>
      <w:r>
        <w:rPr>
          <w:rFonts w:hint="eastAsia" w:ascii="宋体" w:hAnsi="宋体" w:cs="宋体"/>
          <w:sz w:val="24"/>
          <w:highlight w:val="white"/>
        </w:rPr>
        <w:t>1.10.2 承包人发现文物后不及时报告或隐瞒不报，致使文物丢失或损坏的，应赔偿损失，并承担相应的法律责任。</w:t>
      </w:r>
    </w:p>
    <w:p w14:paraId="56CC4332">
      <w:pPr>
        <w:spacing w:line="500" w:lineRule="exact"/>
        <w:outlineLvl w:val="3"/>
        <w:rPr>
          <w:rFonts w:hint="eastAsia" w:ascii="宋体" w:hAnsi="宋体" w:cs="宋体"/>
          <w:sz w:val="24"/>
        </w:rPr>
      </w:pPr>
      <w:r>
        <w:rPr>
          <w:rFonts w:hint="eastAsia" w:ascii="宋体" w:hAnsi="宋体" w:cs="宋体"/>
          <w:sz w:val="24"/>
          <w:highlight w:val="white"/>
        </w:rPr>
        <w:t>1.11 专利技术</w:t>
      </w:r>
    </w:p>
    <w:p w14:paraId="0F2EF06C">
      <w:pPr>
        <w:spacing w:line="500" w:lineRule="exact"/>
        <w:ind w:firstLine="480" w:firstLineChars="200"/>
        <w:rPr>
          <w:rFonts w:hint="eastAsia" w:ascii="宋体" w:hAnsi="宋体" w:cs="宋体"/>
          <w:sz w:val="24"/>
        </w:rPr>
      </w:pPr>
      <w:r>
        <w:rPr>
          <w:rFonts w:hint="eastAsia" w:ascii="宋体" w:hAnsi="宋体" w:cs="宋体"/>
          <w:sz w:val="24"/>
          <w:highlight w:val="white"/>
        </w:rPr>
        <w:t>1.11.1 承包人在使用任何材料、承包人设备、工程设备或采用施工工艺时，因侵犯专利权或其他知识产权所引起的责任，由承包人承担，但由于遵照发包人提供的设计或技术标准和要求引起的除外。</w:t>
      </w:r>
    </w:p>
    <w:p w14:paraId="5A188FEC">
      <w:pPr>
        <w:spacing w:line="500" w:lineRule="exact"/>
        <w:ind w:firstLine="480" w:firstLineChars="200"/>
        <w:rPr>
          <w:rFonts w:hint="eastAsia" w:ascii="宋体" w:hAnsi="宋体" w:cs="宋体"/>
          <w:sz w:val="24"/>
        </w:rPr>
      </w:pPr>
      <w:r>
        <w:rPr>
          <w:rFonts w:hint="eastAsia" w:ascii="宋体" w:hAnsi="宋体" w:cs="宋体"/>
          <w:sz w:val="24"/>
          <w:highlight w:val="white"/>
        </w:rPr>
        <w:t>1.11.2 承包人在投标文件中采用专利技术的，专利技术的使用费包含在投标报价内。</w:t>
      </w:r>
    </w:p>
    <w:p w14:paraId="1C04A139">
      <w:pPr>
        <w:spacing w:line="500" w:lineRule="exact"/>
        <w:ind w:firstLine="480" w:firstLineChars="200"/>
        <w:rPr>
          <w:rFonts w:hint="eastAsia" w:ascii="宋体" w:hAnsi="宋体" w:cs="宋体"/>
          <w:sz w:val="24"/>
        </w:rPr>
      </w:pPr>
      <w:r>
        <w:rPr>
          <w:rFonts w:hint="eastAsia" w:ascii="宋体" w:hAnsi="宋体" w:cs="宋体"/>
          <w:sz w:val="24"/>
          <w:highlight w:val="white"/>
        </w:rPr>
        <w:t>1.11.3 承包人的技术秘密和声明需要保密的资料和信息，发包人和监理人不得为合同以外的目的泄露给他人。</w:t>
      </w:r>
    </w:p>
    <w:p w14:paraId="60222828">
      <w:pPr>
        <w:spacing w:line="500" w:lineRule="exact"/>
        <w:ind w:firstLine="480" w:firstLineChars="200"/>
        <w:rPr>
          <w:rFonts w:hint="eastAsia" w:ascii="宋体" w:hAnsi="宋体" w:cs="宋体"/>
          <w:sz w:val="24"/>
        </w:rPr>
      </w:pPr>
      <w:r>
        <w:rPr>
          <w:rFonts w:hint="eastAsia" w:ascii="宋体" w:hAnsi="宋体" w:cs="宋体"/>
          <w:sz w:val="24"/>
          <w:highlight w:val="white"/>
        </w:rPr>
        <w:t>1.11.4　合同实施过程中，发包人要求承包人采用专利技术的，发包人应办理相应的使用手续，承包人应按发包人约定的条件使用，并承担使用专利技术的相关试验工作，所需费用由发包人承担。</w:t>
      </w:r>
    </w:p>
    <w:p w14:paraId="272D4FF3">
      <w:pPr>
        <w:spacing w:line="500" w:lineRule="exact"/>
        <w:outlineLvl w:val="3"/>
        <w:rPr>
          <w:rFonts w:hint="eastAsia" w:ascii="宋体" w:hAnsi="宋体" w:cs="宋体"/>
          <w:sz w:val="24"/>
        </w:rPr>
      </w:pPr>
      <w:r>
        <w:rPr>
          <w:rFonts w:hint="eastAsia" w:ascii="宋体" w:hAnsi="宋体" w:cs="宋体"/>
          <w:sz w:val="24"/>
          <w:highlight w:val="white"/>
        </w:rPr>
        <w:t>1.12 图纸和文件的保密</w:t>
      </w:r>
    </w:p>
    <w:p w14:paraId="301D6B3E">
      <w:pPr>
        <w:spacing w:line="500" w:lineRule="exact"/>
        <w:ind w:firstLine="480" w:firstLineChars="200"/>
        <w:rPr>
          <w:rFonts w:hint="eastAsia" w:ascii="宋体" w:hAnsi="宋体" w:cs="宋体"/>
          <w:sz w:val="24"/>
        </w:rPr>
      </w:pPr>
      <w:r>
        <w:rPr>
          <w:rFonts w:hint="eastAsia" w:ascii="宋体" w:hAnsi="宋体" w:cs="宋体"/>
          <w:sz w:val="24"/>
          <w:highlight w:val="white"/>
        </w:rPr>
        <w:t>1.12.1 发包人提供的图纸和文件，未经发包人同意，承包人不得为合同以外的目的泄露给他人或公开发表与引用。</w:t>
      </w:r>
    </w:p>
    <w:p w14:paraId="76B8C3B0">
      <w:pPr>
        <w:spacing w:line="500" w:lineRule="exact"/>
        <w:ind w:firstLine="480" w:firstLineChars="200"/>
        <w:rPr>
          <w:rFonts w:hint="eastAsia" w:ascii="宋体" w:hAnsi="宋体" w:cs="宋体"/>
          <w:sz w:val="24"/>
        </w:rPr>
      </w:pPr>
      <w:r>
        <w:rPr>
          <w:rFonts w:hint="eastAsia" w:ascii="宋体" w:hAnsi="宋体" w:cs="宋体"/>
          <w:sz w:val="24"/>
          <w:highlight w:val="white"/>
        </w:rPr>
        <w:t>1.12.2 承包人提供的文件，未经承包人同意，发包人和监理人不得为合同以外的目的泄露给他人或公开发表与引用。</w:t>
      </w:r>
    </w:p>
    <w:p w14:paraId="5EC43AA7">
      <w:pPr>
        <w:spacing w:line="500" w:lineRule="exact"/>
        <w:outlineLvl w:val="2"/>
        <w:rPr>
          <w:rFonts w:hint="eastAsia" w:ascii="宋体" w:hAnsi="宋体" w:cs="宋体"/>
          <w:sz w:val="24"/>
        </w:rPr>
      </w:pPr>
      <w:bookmarkStart w:id="54" w:name="_Toc256000109"/>
      <w:bookmarkStart w:id="55" w:name="_Toc149571648"/>
      <w:bookmarkStart w:id="56" w:name="_Toc149635761"/>
      <w:r>
        <w:rPr>
          <w:rFonts w:hint="eastAsia" w:ascii="宋体" w:hAnsi="宋体" w:cs="宋体"/>
          <w:sz w:val="24"/>
          <w:highlight w:val="white"/>
        </w:rPr>
        <w:t>2．发包人义务</w:t>
      </w:r>
      <w:bookmarkEnd w:id="54"/>
      <w:bookmarkEnd w:id="55"/>
      <w:bookmarkEnd w:id="56"/>
    </w:p>
    <w:p w14:paraId="7A59D1FF">
      <w:pPr>
        <w:spacing w:line="500" w:lineRule="exact"/>
        <w:outlineLvl w:val="3"/>
        <w:rPr>
          <w:rFonts w:hint="eastAsia" w:ascii="宋体" w:hAnsi="宋体" w:cs="宋体"/>
          <w:sz w:val="24"/>
        </w:rPr>
      </w:pPr>
      <w:r>
        <w:rPr>
          <w:rFonts w:hint="eastAsia" w:ascii="宋体" w:hAnsi="宋体" w:cs="宋体"/>
          <w:sz w:val="24"/>
          <w:highlight w:val="white"/>
        </w:rPr>
        <w:t>2.1 遵守法律</w:t>
      </w:r>
    </w:p>
    <w:p w14:paraId="5461725D">
      <w:pPr>
        <w:spacing w:line="500" w:lineRule="exact"/>
        <w:ind w:firstLine="480" w:firstLineChars="200"/>
        <w:rPr>
          <w:rFonts w:hint="eastAsia" w:ascii="宋体" w:hAnsi="宋体" w:cs="宋体"/>
          <w:sz w:val="24"/>
        </w:rPr>
      </w:pPr>
      <w:r>
        <w:rPr>
          <w:rFonts w:hint="eastAsia" w:ascii="宋体" w:hAnsi="宋体" w:cs="宋体"/>
          <w:sz w:val="24"/>
          <w:highlight w:val="white"/>
        </w:rPr>
        <w:t>发包人在履行合同过程中应遵守法律，并保证承包人免于承担因发包人违反法律而引起的任何责任。</w:t>
      </w:r>
    </w:p>
    <w:p w14:paraId="743371F7">
      <w:pPr>
        <w:spacing w:line="500" w:lineRule="exact"/>
        <w:outlineLvl w:val="3"/>
        <w:rPr>
          <w:rFonts w:hint="eastAsia" w:ascii="宋体" w:hAnsi="宋体" w:cs="宋体"/>
          <w:sz w:val="24"/>
        </w:rPr>
      </w:pPr>
      <w:r>
        <w:rPr>
          <w:rFonts w:hint="eastAsia" w:ascii="宋体" w:hAnsi="宋体" w:cs="宋体"/>
          <w:sz w:val="24"/>
          <w:highlight w:val="white"/>
        </w:rPr>
        <w:t>2.2 发出开工通知</w:t>
      </w:r>
    </w:p>
    <w:p w14:paraId="20D1A4BD">
      <w:pPr>
        <w:spacing w:line="500" w:lineRule="exact"/>
        <w:ind w:firstLine="240" w:firstLineChars="100"/>
        <w:rPr>
          <w:rFonts w:hint="eastAsia" w:ascii="宋体" w:hAnsi="宋体" w:cs="宋体"/>
          <w:sz w:val="24"/>
        </w:rPr>
      </w:pPr>
      <w:r>
        <w:rPr>
          <w:rFonts w:hint="eastAsia" w:ascii="宋体" w:hAnsi="宋体" w:cs="宋体"/>
          <w:sz w:val="24"/>
          <w:highlight w:val="white"/>
        </w:rPr>
        <w:t>发包人应委托监理人按第11.1款的约定向承包人发出开工通知。</w:t>
      </w:r>
    </w:p>
    <w:p w14:paraId="352A9C00">
      <w:pPr>
        <w:spacing w:line="500" w:lineRule="exact"/>
        <w:outlineLvl w:val="3"/>
        <w:rPr>
          <w:rFonts w:hint="eastAsia" w:ascii="宋体" w:hAnsi="宋体" w:cs="宋体"/>
          <w:sz w:val="24"/>
        </w:rPr>
      </w:pPr>
      <w:r>
        <w:rPr>
          <w:rFonts w:hint="eastAsia" w:ascii="宋体" w:hAnsi="宋体" w:cs="宋体"/>
          <w:sz w:val="24"/>
          <w:highlight w:val="white"/>
        </w:rPr>
        <w:t>2.3 提供施工场地</w:t>
      </w:r>
    </w:p>
    <w:p w14:paraId="5A3D5DF9">
      <w:pPr>
        <w:spacing w:line="500" w:lineRule="exact"/>
        <w:rPr>
          <w:rFonts w:hint="eastAsia" w:ascii="宋体" w:hAnsi="宋体" w:cs="宋体"/>
          <w:sz w:val="24"/>
        </w:rPr>
      </w:pPr>
      <w:r>
        <w:rPr>
          <w:rFonts w:hint="eastAsia" w:ascii="宋体" w:hAnsi="宋体" w:cs="宋体"/>
          <w:sz w:val="24"/>
          <w:highlight w:val="white"/>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0117A1D5">
      <w:pPr>
        <w:spacing w:line="500" w:lineRule="exact"/>
        <w:rPr>
          <w:rFonts w:hint="eastAsia" w:ascii="宋体" w:hAnsi="宋体" w:cs="宋体"/>
          <w:sz w:val="24"/>
        </w:rPr>
      </w:pPr>
      <w:r>
        <w:rPr>
          <w:rFonts w:hint="eastAsia" w:ascii="宋体" w:hAnsi="宋体" w:cs="宋体"/>
          <w:sz w:val="24"/>
          <w:highlight w:val="white"/>
        </w:rPr>
        <w:t>　　2.3.2 发包人提供的施工用地范围在专用合同条款中约定。</w:t>
      </w:r>
    </w:p>
    <w:p w14:paraId="0650F75F">
      <w:pPr>
        <w:spacing w:line="500" w:lineRule="exact"/>
        <w:ind w:firstLine="480" w:firstLineChars="200"/>
        <w:rPr>
          <w:rFonts w:hint="eastAsia" w:ascii="宋体" w:hAnsi="宋体" w:cs="宋体"/>
          <w:sz w:val="24"/>
        </w:rPr>
      </w:pPr>
      <w:r>
        <w:rPr>
          <w:rFonts w:hint="eastAsia" w:ascii="宋体" w:hAnsi="宋体" w:cs="宋体"/>
          <w:sz w:val="24"/>
          <w:highlight w:val="white"/>
        </w:rPr>
        <w:t>2.3.3 除专用合同条款另有约定外，发包人应按技术标准和要求(合同技术条款)的约定，向承包人提供施工场地内的工程地质图纸和报告，以及地下障碍物图纸等施工场地有关资料，并保证资料的真实、准确、完整。</w:t>
      </w:r>
    </w:p>
    <w:p w14:paraId="3676B8DD">
      <w:pPr>
        <w:spacing w:line="500" w:lineRule="exact"/>
        <w:outlineLvl w:val="3"/>
        <w:rPr>
          <w:rFonts w:hint="eastAsia" w:ascii="宋体" w:hAnsi="宋体" w:cs="宋体"/>
          <w:sz w:val="24"/>
        </w:rPr>
      </w:pPr>
      <w:r>
        <w:rPr>
          <w:rFonts w:hint="eastAsia" w:ascii="宋体" w:hAnsi="宋体" w:cs="宋体"/>
          <w:sz w:val="24"/>
          <w:highlight w:val="white"/>
        </w:rPr>
        <w:t>2.4 协助承包人办理证件和批件</w:t>
      </w:r>
    </w:p>
    <w:p w14:paraId="444FC6D8">
      <w:pPr>
        <w:spacing w:line="500" w:lineRule="exact"/>
        <w:ind w:firstLine="480" w:firstLineChars="200"/>
        <w:rPr>
          <w:rFonts w:hint="eastAsia" w:ascii="宋体" w:hAnsi="宋体" w:cs="宋体"/>
          <w:sz w:val="24"/>
        </w:rPr>
      </w:pPr>
      <w:r>
        <w:rPr>
          <w:rFonts w:hint="eastAsia" w:ascii="宋体" w:hAnsi="宋体" w:cs="宋体"/>
          <w:sz w:val="24"/>
          <w:highlight w:val="white"/>
        </w:rPr>
        <w:t>发包人应协助承包人办理法律规定的有关施工证件和批件。</w:t>
      </w:r>
    </w:p>
    <w:p w14:paraId="3D65C11F">
      <w:pPr>
        <w:spacing w:line="500" w:lineRule="exact"/>
        <w:outlineLvl w:val="3"/>
        <w:rPr>
          <w:rFonts w:hint="eastAsia" w:ascii="宋体" w:hAnsi="宋体" w:cs="宋体"/>
          <w:sz w:val="24"/>
        </w:rPr>
      </w:pPr>
      <w:r>
        <w:rPr>
          <w:rFonts w:hint="eastAsia" w:ascii="宋体" w:hAnsi="宋体" w:cs="宋体"/>
          <w:sz w:val="24"/>
          <w:highlight w:val="white"/>
        </w:rPr>
        <w:t>2.5 组织设计交底</w:t>
      </w:r>
    </w:p>
    <w:p w14:paraId="720C0017">
      <w:pPr>
        <w:spacing w:line="500" w:lineRule="exact"/>
        <w:ind w:firstLine="480" w:firstLineChars="200"/>
        <w:rPr>
          <w:rFonts w:hint="eastAsia" w:ascii="宋体" w:hAnsi="宋体" w:cs="宋体"/>
          <w:sz w:val="24"/>
        </w:rPr>
      </w:pPr>
      <w:r>
        <w:rPr>
          <w:rFonts w:hint="eastAsia" w:ascii="宋体" w:hAnsi="宋体" w:cs="宋体"/>
          <w:sz w:val="24"/>
          <w:highlight w:val="white"/>
        </w:rPr>
        <w:t>发包人应根据合同进度计划，组织设计单位向承包人进行设计交底。</w:t>
      </w:r>
    </w:p>
    <w:p w14:paraId="034CE732">
      <w:pPr>
        <w:spacing w:line="500" w:lineRule="exact"/>
        <w:outlineLvl w:val="3"/>
        <w:rPr>
          <w:rFonts w:hint="eastAsia" w:ascii="宋体" w:hAnsi="宋体" w:cs="宋体"/>
          <w:sz w:val="24"/>
        </w:rPr>
      </w:pPr>
      <w:r>
        <w:rPr>
          <w:rFonts w:hint="eastAsia" w:ascii="宋体" w:hAnsi="宋体" w:cs="宋体"/>
          <w:sz w:val="24"/>
          <w:highlight w:val="white"/>
        </w:rPr>
        <w:t>2.6 支付合同价款</w:t>
      </w:r>
    </w:p>
    <w:p w14:paraId="69DD87AF">
      <w:pPr>
        <w:spacing w:line="500" w:lineRule="exact"/>
        <w:ind w:firstLine="420"/>
        <w:rPr>
          <w:rFonts w:hint="eastAsia" w:ascii="宋体" w:hAnsi="宋体" w:cs="宋体"/>
          <w:sz w:val="24"/>
        </w:rPr>
      </w:pPr>
      <w:r>
        <w:rPr>
          <w:rFonts w:hint="eastAsia" w:ascii="宋体" w:hAnsi="宋体" w:cs="宋体"/>
          <w:sz w:val="24"/>
          <w:highlight w:val="white"/>
        </w:rPr>
        <w:t>发包人应按合同约定向承包人及时支付合同价款。</w:t>
      </w:r>
    </w:p>
    <w:p w14:paraId="7E325932">
      <w:pPr>
        <w:spacing w:line="500" w:lineRule="exact"/>
        <w:outlineLvl w:val="3"/>
        <w:rPr>
          <w:rFonts w:hint="eastAsia" w:ascii="宋体" w:hAnsi="宋体" w:cs="宋体"/>
          <w:sz w:val="24"/>
        </w:rPr>
      </w:pPr>
      <w:r>
        <w:rPr>
          <w:rFonts w:hint="eastAsia" w:ascii="宋体" w:hAnsi="宋体" w:cs="宋体"/>
          <w:sz w:val="24"/>
          <w:highlight w:val="white"/>
        </w:rPr>
        <w:t>2.7 组织竣工验收(组织法人验收)</w:t>
      </w:r>
    </w:p>
    <w:p w14:paraId="27F31CCF">
      <w:pPr>
        <w:spacing w:line="500" w:lineRule="exact"/>
        <w:rPr>
          <w:rFonts w:hint="eastAsia" w:ascii="宋体" w:hAnsi="宋体" w:cs="宋体"/>
          <w:sz w:val="24"/>
        </w:rPr>
      </w:pPr>
      <w:r>
        <w:rPr>
          <w:rFonts w:hint="eastAsia" w:ascii="宋体" w:hAnsi="宋体" w:cs="宋体"/>
          <w:sz w:val="24"/>
          <w:highlight w:val="white"/>
        </w:rPr>
        <w:t>　　发包人应按合同约定及时组织法人验收。</w:t>
      </w:r>
    </w:p>
    <w:p w14:paraId="28054F0A">
      <w:pPr>
        <w:spacing w:line="500" w:lineRule="exact"/>
        <w:outlineLvl w:val="3"/>
        <w:rPr>
          <w:rFonts w:hint="eastAsia" w:ascii="宋体" w:hAnsi="宋体" w:cs="宋体"/>
          <w:sz w:val="24"/>
        </w:rPr>
      </w:pPr>
      <w:r>
        <w:rPr>
          <w:rFonts w:hint="eastAsia" w:ascii="宋体" w:hAnsi="宋体" w:cs="宋体"/>
          <w:sz w:val="24"/>
          <w:highlight w:val="white"/>
        </w:rPr>
        <w:t>2.8 其它义务</w:t>
      </w:r>
    </w:p>
    <w:p w14:paraId="1D57A225">
      <w:pPr>
        <w:spacing w:line="500" w:lineRule="exact"/>
        <w:rPr>
          <w:rFonts w:hint="eastAsia" w:ascii="宋体" w:hAnsi="宋体" w:cs="宋体"/>
          <w:sz w:val="24"/>
        </w:rPr>
      </w:pPr>
      <w:r>
        <w:rPr>
          <w:rFonts w:hint="eastAsia" w:ascii="宋体" w:hAnsi="宋体" w:cs="宋体"/>
          <w:sz w:val="24"/>
          <w:highlight w:val="white"/>
        </w:rPr>
        <w:t>　　其它义务在专用合同条款中补充约定。</w:t>
      </w:r>
    </w:p>
    <w:p w14:paraId="7566E4FE">
      <w:pPr>
        <w:spacing w:line="500" w:lineRule="exact"/>
        <w:outlineLvl w:val="2"/>
        <w:rPr>
          <w:rFonts w:hint="eastAsia" w:ascii="宋体" w:hAnsi="宋体" w:cs="宋体"/>
          <w:sz w:val="24"/>
        </w:rPr>
      </w:pPr>
      <w:bookmarkStart w:id="57" w:name="_Toc256000110"/>
      <w:bookmarkStart w:id="58" w:name="_Toc149571649"/>
      <w:bookmarkStart w:id="59" w:name="_Toc149635762"/>
      <w:r>
        <w:rPr>
          <w:rFonts w:hint="eastAsia" w:ascii="宋体" w:hAnsi="宋体" w:cs="宋体"/>
          <w:sz w:val="24"/>
          <w:highlight w:val="white"/>
        </w:rPr>
        <w:t>3. 监理人</w:t>
      </w:r>
      <w:bookmarkEnd w:id="57"/>
      <w:bookmarkEnd w:id="58"/>
      <w:bookmarkEnd w:id="59"/>
    </w:p>
    <w:p w14:paraId="7C480751">
      <w:pPr>
        <w:spacing w:line="500" w:lineRule="exact"/>
        <w:outlineLvl w:val="3"/>
        <w:rPr>
          <w:rFonts w:hint="eastAsia" w:ascii="宋体" w:hAnsi="宋体" w:cs="宋体"/>
          <w:sz w:val="24"/>
        </w:rPr>
      </w:pPr>
      <w:r>
        <w:rPr>
          <w:rFonts w:hint="eastAsia" w:ascii="宋体" w:hAnsi="宋体" w:cs="宋体"/>
          <w:sz w:val="24"/>
          <w:highlight w:val="white"/>
        </w:rPr>
        <w:t>3.1 监理人的职责和权力</w:t>
      </w:r>
    </w:p>
    <w:p w14:paraId="1DFB9C38">
      <w:pPr>
        <w:spacing w:line="500" w:lineRule="exact"/>
        <w:ind w:firstLine="420"/>
        <w:rPr>
          <w:rFonts w:hint="eastAsia" w:ascii="宋体" w:hAnsi="宋体" w:cs="宋体"/>
          <w:sz w:val="24"/>
        </w:rPr>
      </w:pPr>
      <w:r>
        <w:rPr>
          <w:rFonts w:hint="eastAsia" w:ascii="宋体" w:hAnsi="宋体" w:cs="宋体"/>
          <w:sz w:val="24"/>
          <w:highlight w:val="white"/>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2A349933">
      <w:pPr>
        <w:spacing w:line="500" w:lineRule="exact"/>
        <w:ind w:firstLine="480" w:firstLineChars="200"/>
        <w:rPr>
          <w:rFonts w:hint="eastAsia" w:ascii="宋体" w:hAnsi="宋体" w:cs="宋体"/>
          <w:sz w:val="24"/>
        </w:rPr>
      </w:pPr>
      <w:r>
        <w:rPr>
          <w:rFonts w:hint="eastAsia" w:ascii="宋体" w:hAnsi="宋体" w:cs="宋体"/>
          <w:sz w:val="24"/>
          <w:highlight w:val="white"/>
        </w:rPr>
        <w:t>3.1.2 监理人发出的任何指示应视为已得到发包人的批准，但监理人无权免除或变更合同约定的发包人和承包人的权利、义务和责任。</w:t>
      </w:r>
    </w:p>
    <w:p w14:paraId="646A998B">
      <w:pPr>
        <w:spacing w:line="500" w:lineRule="exact"/>
        <w:ind w:firstLine="420"/>
        <w:rPr>
          <w:rFonts w:hint="eastAsia" w:ascii="宋体" w:hAnsi="宋体" w:cs="宋体"/>
          <w:sz w:val="24"/>
        </w:rPr>
      </w:pPr>
      <w:r>
        <w:rPr>
          <w:rFonts w:hint="eastAsia" w:ascii="宋体" w:hAnsi="宋体" w:cs="宋体"/>
          <w:sz w:val="24"/>
          <w:highlight w:val="white"/>
        </w:rPr>
        <w:t>3.1.3 合同约定应由承包人承担的义务和责任，不因监理人对承包人提交文件的审查或批准，对工程、材料和设备的检查和检验，以及为实施监理作出的指示等职务行为而减轻或解除。</w:t>
      </w:r>
    </w:p>
    <w:p w14:paraId="70187CD7">
      <w:pPr>
        <w:spacing w:line="500" w:lineRule="exact"/>
        <w:outlineLvl w:val="3"/>
        <w:rPr>
          <w:rFonts w:hint="eastAsia" w:ascii="宋体" w:hAnsi="宋体" w:cs="宋体"/>
          <w:sz w:val="24"/>
        </w:rPr>
      </w:pPr>
      <w:r>
        <w:rPr>
          <w:rFonts w:hint="eastAsia" w:ascii="宋体" w:hAnsi="宋体" w:cs="宋体"/>
          <w:sz w:val="24"/>
          <w:highlight w:val="white"/>
        </w:rPr>
        <w:t>3.2 总监理工程师</w:t>
      </w:r>
    </w:p>
    <w:p w14:paraId="12267F94">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发包人应在发出开工通知前将总监理工程师的任命通知承包人。总监理工程师更换时，应在调离14天前通知承包人。总监理工程师短期离开施工场地的，应委派代表代行其职责，并通知承包人。   </w:t>
      </w:r>
    </w:p>
    <w:p w14:paraId="09AEE58F">
      <w:pPr>
        <w:spacing w:line="500" w:lineRule="exact"/>
        <w:outlineLvl w:val="3"/>
        <w:rPr>
          <w:rFonts w:hint="eastAsia" w:ascii="宋体" w:hAnsi="宋体" w:cs="宋体"/>
          <w:sz w:val="24"/>
        </w:rPr>
      </w:pPr>
      <w:r>
        <w:rPr>
          <w:rFonts w:hint="eastAsia" w:ascii="宋体" w:hAnsi="宋体" w:cs="宋体"/>
          <w:sz w:val="24"/>
          <w:highlight w:val="white"/>
        </w:rPr>
        <w:t>3.3 监理人员</w:t>
      </w:r>
    </w:p>
    <w:p w14:paraId="6C882B89">
      <w:pPr>
        <w:spacing w:line="500" w:lineRule="exact"/>
        <w:ind w:firstLine="480" w:firstLineChars="200"/>
        <w:jc w:val="left"/>
        <w:rPr>
          <w:rFonts w:hint="eastAsia" w:ascii="宋体" w:hAnsi="宋体" w:cs="宋体"/>
          <w:sz w:val="24"/>
        </w:rPr>
      </w:pPr>
      <w:r>
        <w:rPr>
          <w:rFonts w:hint="eastAsia" w:ascii="宋体" w:hAnsi="宋体" w:cs="宋体"/>
          <w:sz w:val="24"/>
          <w:highlight w:val="whit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5C79DC5">
      <w:pPr>
        <w:spacing w:line="500" w:lineRule="exact"/>
        <w:ind w:firstLine="480" w:firstLineChars="200"/>
        <w:rPr>
          <w:rFonts w:hint="eastAsia" w:ascii="宋体" w:hAnsi="宋体" w:cs="宋体"/>
          <w:sz w:val="24"/>
        </w:rPr>
      </w:pPr>
      <w:r>
        <w:rPr>
          <w:rFonts w:hint="eastAsia" w:ascii="宋体" w:hAnsi="宋体" w:cs="宋体"/>
          <w:sz w:val="24"/>
          <w:highlight w:val="white"/>
        </w:rPr>
        <w:t>3.3.2 监理人员对承包人的任何工作、工程或其采用的材料和工程设备未在约定的或合理的期限内提出否定意见的，视为已获批准，但不影响监理人在以后拒绝该项工作、工程、材料或工程设备的权利。</w:t>
      </w:r>
    </w:p>
    <w:p w14:paraId="6E402CAE">
      <w:pPr>
        <w:spacing w:line="500" w:lineRule="exact"/>
        <w:ind w:firstLine="480" w:firstLineChars="200"/>
        <w:rPr>
          <w:rFonts w:hint="eastAsia" w:ascii="宋体" w:hAnsi="宋体" w:cs="宋体"/>
          <w:sz w:val="24"/>
        </w:rPr>
      </w:pPr>
      <w:r>
        <w:rPr>
          <w:rFonts w:hint="eastAsia" w:ascii="宋体" w:hAnsi="宋体" w:cs="宋体"/>
          <w:sz w:val="24"/>
          <w:highlight w:val="white"/>
        </w:rPr>
        <w:t>3.3.3 承包人对总监理工程师授权的监理人员发出的指示有疑问的，可向总监理工程师提出书面异议，总监理工程师应在48小时内对该指示予以确认、更改或撤销。</w:t>
      </w:r>
    </w:p>
    <w:p w14:paraId="368EB4A9">
      <w:pPr>
        <w:spacing w:line="500" w:lineRule="exact"/>
        <w:ind w:firstLine="480" w:firstLineChars="200"/>
        <w:rPr>
          <w:rFonts w:hint="eastAsia" w:ascii="宋体" w:hAnsi="宋体" w:cs="宋体"/>
          <w:sz w:val="24"/>
        </w:rPr>
      </w:pPr>
      <w:r>
        <w:rPr>
          <w:rFonts w:hint="eastAsia" w:ascii="宋体" w:hAnsi="宋体" w:cs="宋体"/>
          <w:sz w:val="24"/>
          <w:highlight w:val="white"/>
        </w:rPr>
        <w:t>3.3.4 除专用合同条款另有约定外，总监理工程师不应将第3.5款约定应由总监理工程师作出确定的权力授权或委托给其他监理人员。</w:t>
      </w:r>
    </w:p>
    <w:p w14:paraId="19FC7783">
      <w:pPr>
        <w:spacing w:line="500" w:lineRule="exact"/>
        <w:outlineLvl w:val="3"/>
        <w:rPr>
          <w:rFonts w:hint="eastAsia" w:ascii="宋体" w:hAnsi="宋体" w:cs="宋体"/>
          <w:sz w:val="24"/>
        </w:rPr>
      </w:pPr>
      <w:r>
        <w:rPr>
          <w:rFonts w:hint="eastAsia" w:ascii="宋体" w:hAnsi="宋体" w:cs="宋体"/>
          <w:sz w:val="24"/>
          <w:highlight w:val="white"/>
        </w:rPr>
        <w:t>3.4 监理人的指示</w:t>
      </w:r>
    </w:p>
    <w:p w14:paraId="372C7496">
      <w:pPr>
        <w:spacing w:line="500" w:lineRule="exact"/>
        <w:ind w:firstLine="480" w:firstLineChars="200"/>
        <w:rPr>
          <w:rFonts w:hint="eastAsia" w:ascii="宋体" w:hAnsi="宋体" w:cs="宋体"/>
          <w:sz w:val="24"/>
        </w:rPr>
      </w:pPr>
      <w:r>
        <w:rPr>
          <w:rFonts w:hint="eastAsia" w:ascii="宋体" w:hAnsi="宋体" w:cs="宋体"/>
          <w:sz w:val="24"/>
          <w:highlight w:val="white"/>
        </w:rPr>
        <w:t>3.4.1 监理人应按第3.1款的约定向承包人发出指示，监理人的指示应盖有监理人授权的施工场地机构章，并由总监理工程师或总监理工程师按第3.3.1项约定授权的监理人员签字。</w:t>
      </w:r>
    </w:p>
    <w:p w14:paraId="177AF124">
      <w:pPr>
        <w:spacing w:line="500" w:lineRule="exact"/>
        <w:ind w:firstLine="480" w:firstLineChars="200"/>
        <w:rPr>
          <w:rFonts w:hint="eastAsia" w:ascii="宋体" w:hAnsi="宋体" w:cs="宋体"/>
          <w:sz w:val="24"/>
        </w:rPr>
      </w:pPr>
      <w:r>
        <w:rPr>
          <w:rFonts w:hint="eastAsia" w:ascii="宋体" w:hAnsi="宋体" w:cs="宋体"/>
          <w:sz w:val="24"/>
          <w:highlight w:val="white"/>
        </w:rPr>
        <w:t>3.4.2 承包人收到监理人按第3.4.1项作出的指示后应遵照执行。指示构成变更的，应按第15条处理。</w:t>
      </w:r>
    </w:p>
    <w:p w14:paraId="330BB5F7">
      <w:pPr>
        <w:spacing w:line="500" w:lineRule="exact"/>
        <w:ind w:firstLine="480" w:firstLineChars="200"/>
        <w:rPr>
          <w:rFonts w:hint="eastAsia" w:ascii="宋体" w:hAnsi="宋体" w:cs="宋体"/>
          <w:sz w:val="24"/>
        </w:rPr>
      </w:pPr>
      <w:r>
        <w:rPr>
          <w:rFonts w:hint="eastAsia" w:ascii="宋体" w:hAnsi="宋体" w:cs="宋体"/>
          <w:sz w:val="24"/>
          <w:highlight w:val="whit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0B988CFE">
      <w:pPr>
        <w:spacing w:line="500" w:lineRule="exact"/>
        <w:ind w:firstLine="480" w:firstLineChars="200"/>
        <w:rPr>
          <w:rFonts w:hint="eastAsia" w:ascii="宋体" w:hAnsi="宋体" w:cs="宋体"/>
          <w:sz w:val="24"/>
        </w:rPr>
      </w:pPr>
      <w:r>
        <w:rPr>
          <w:rFonts w:hint="eastAsia" w:ascii="宋体" w:hAnsi="宋体" w:cs="宋体"/>
          <w:sz w:val="24"/>
          <w:highlight w:val="white"/>
        </w:rPr>
        <w:t>3.4.4 除合同另有约定外，承包人只从总监理工程师或按第3.3.1项被授权的监理人员处取得指示。</w:t>
      </w:r>
    </w:p>
    <w:p w14:paraId="04CBDF47">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3.4.5 由于监理人未能按合同约定发出指示、指示延误或指示错误而导致承包人费用增加和（或）工期延误的，由发包人承担赔偿责任。 </w:t>
      </w:r>
    </w:p>
    <w:p w14:paraId="02C19777">
      <w:pPr>
        <w:spacing w:line="500" w:lineRule="exact"/>
        <w:outlineLvl w:val="3"/>
        <w:rPr>
          <w:rFonts w:hint="eastAsia" w:ascii="宋体" w:hAnsi="宋体" w:cs="宋体"/>
          <w:sz w:val="24"/>
        </w:rPr>
      </w:pPr>
      <w:r>
        <w:rPr>
          <w:rFonts w:hint="eastAsia" w:ascii="宋体" w:hAnsi="宋体" w:cs="宋体"/>
          <w:sz w:val="24"/>
          <w:highlight w:val="white"/>
        </w:rPr>
        <w:t>3.5 商定或确定</w:t>
      </w:r>
    </w:p>
    <w:p w14:paraId="16A867AB">
      <w:pPr>
        <w:spacing w:line="500" w:lineRule="exact"/>
        <w:ind w:firstLine="480" w:firstLineChars="200"/>
        <w:rPr>
          <w:rFonts w:hint="eastAsia" w:ascii="宋体" w:hAnsi="宋体" w:cs="宋体"/>
          <w:sz w:val="24"/>
        </w:rPr>
      </w:pPr>
      <w:r>
        <w:rPr>
          <w:rFonts w:hint="eastAsia" w:ascii="宋体" w:hAnsi="宋体" w:cs="宋体"/>
          <w:sz w:val="24"/>
          <w:highlight w:val="white"/>
        </w:rPr>
        <w:t>3.5.1合同约定总监理工程师应按照本款对任何事项进行商定或确定时，总监理工程师应与合同当事人协商，尽量达成一致。不能达成一致的，总监理工程师应认真研究后审慎确定。</w:t>
      </w:r>
    </w:p>
    <w:p w14:paraId="48DE7DB3">
      <w:pPr>
        <w:spacing w:line="500" w:lineRule="exact"/>
        <w:ind w:firstLine="480" w:firstLineChars="200"/>
        <w:rPr>
          <w:rFonts w:hint="eastAsia" w:ascii="宋体" w:hAnsi="宋体" w:cs="宋体"/>
          <w:sz w:val="24"/>
        </w:rPr>
      </w:pPr>
      <w:r>
        <w:rPr>
          <w:rFonts w:hint="eastAsia" w:ascii="宋体" w:hAnsi="宋体" w:cs="宋体"/>
          <w:sz w:val="24"/>
          <w:highlight w:val="whit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2C06FDDA">
      <w:pPr>
        <w:spacing w:line="500" w:lineRule="exact"/>
        <w:outlineLvl w:val="2"/>
        <w:rPr>
          <w:rFonts w:hint="eastAsia" w:ascii="宋体" w:hAnsi="宋体" w:cs="宋体"/>
          <w:sz w:val="24"/>
        </w:rPr>
      </w:pPr>
      <w:bookmarkStart w:id="60" w:name="_Toc149571650"/>
      <w:bookmarkStart w:id="61" w:name="_Toc149635763"/>
      <w:bookmarkStart w:id="62" w:name="_Toc256000111"/>
      <w:r>
        <w:rPr>
          <w:rFonts w:hint="eastAsia" w:ascii="宋体" w:hAnsi="宋体" w:cs="宋体"/>
          <w:sz w:val="24"/>
          <w:highlight w:val="white"/>
        </w:rPr>
        <w:t>4. 承包人</w:t>
      </w:r>
      <w:bookmarkEnd w:id="60"/>
      <w:bookmarkEnd w:id="61"/>
      <w:bookmarkEnd w:id="62"/>
    </w:p>
    <w:p w14:paraId="51DE4B93">
      <w:pPr>
        <w:spacing w:line="500" w:lineRule="exact"/>
        <w:outlineLvl w:val="3"/>
        <w:rPr>
          <w:rFonts w:hint="eastAsia" w:ascii="宋体" w:hAnsi="宋体" w:cs="宋体"/>
          <w:sz w:val="24"/>
        </w:rPr>
      </w:pPr>
      <w:r>
        <w:rPr>
          <w:rFonts w:hint="eastAsia" w:ascii="宋体" w:hAnsi="宋体" w:cs="宋体"/>
          <w:sz w:val="24"/>
          <w:highlight w:val="white"/>
        </w:rPr>
        <w:t>4.1承包人的一般义务</w:t>
      </w:r>
    </w:p>
    <w:p w14:paraId="49D5653E">
      <w:pPr>
        <w:spacing w:line="500" w:lineRule="exact"/>
        <w:ind w:firstLine="480" w:firstLineChars="200"/>
        <w:rPr>
          <w:rFonts w:hint="eastAsia" w:ascii="宋体" w:hAnsi="宋体" w:cs="宋体"/>
          <w:sz w:val="24"/>
        </w:rPr>
      </w:pPr>
      <w:r>
        <w:rPr>
          <w:rFonts w:hint="eastAsia" w:ascii="宋体" w:hAnsi="宋体" w:cs="宋体"/>
          <w:sz w:val="24"/>
          <w:highlight w:val="white"/>
        </w:rPr>
        <w:t>4.1.1 遵守法律</w:t>
      </w:r>
    </w:p>
    <w:p w14:paraId="07485A88">
      <w:pPr>
        <w:spacing w:line="500" w:lineRule="exact"/>
        <w:ind w:firstLine="480" w:firstLineChars="200"/>
        <w:rPr>
          <w:rFonts w:hint="eastAsia" w:ascii="宋体" w:hAnsi="宋体" w:cs="宋体"/>
          <w:sz w:val="24"/>
        </w:rPr>
      </w:pPr>
      <w:r>
        <w:rPr>
          <w:rFonts w:hint="eastAsia" w:ascii="宋体" w:hAnsi="宋体" w:cs="宋体"/>
          <w:sz w:val="24"/>
          <w:highlight w:val="white"/>
        </w:rPr>
        <w:t>承包人在履行合同过程中应遵守法律，并保证发包人免于承担因承包人违反法律而引起的任何责任。</w:t>
      </w:r>
    </w:p>
    <w:p w14:paraId="1EBA40E2">
      <w:pPr>
        <w:spacing w:line="500" w:lineRule="exact"/>
        <w:ind w:firstLine="480" w:firstLineChars="200"/>
        <w:rPr>
          <w:rFonts w:hint="eastAsia" w:ascii="宋体" w:hAnsi="宋体" w:cs="宋体"/>
          <w:sz w:val="24"/>
        </w:rPr>
      </w:pPr>
      <w:r>
        <w:rPr>
          <w:rFonts w:hint="eastAsia" w:ascii="宋体" w:hAnsi="宋体" w:cs="宋体"/>
          <w:sz w:val="24"/>
          <w:highlight w:val="white"/>
        </w:rPr>
        <w:t>4.1.2 依法纳税</w:t>
      </w:r>
    </w:p>
    <w:p w14:paraId="7883CDAD">
      <w:pPr>
        <w:spacing w:line="500" w:lineRule="exact"/>
        <w:rPr>
          <w:rFonts w:hint="eastAsia" w:ascii="宋体" w:hAnsi="宋体" w:cs="宋体"/>
          <w:sz w:val="24"/>
        </w:rPr>
      </w:pPr>
      <w:r>
        <w:rPr>
          <w:rFonts w:hint="eastAsia" w:ascii="宋体" w:hAnsi="宋体" w:cs="宋体"/>
          <w:sz w:val="24"/>
          <w:highlight w:val="white"/>
        </w:rPr>
        <w:t>承包人应按有关法律规定纳税，应缴纳的税金包括在合同价格内。</w:t>
      </w:r>
    </w:p>
    <w:p w14:paraId="172D36BF">
      <w:pPr>
        <w:spacing w:line="500" w:lineRule="exact"/>
        <w:ind w:firstLine="480" w:firstLineChars="200"/>
        <w:rPr>
          <w:rFonts w:hint="eastAsia" w:ascii="宋体" w:hAnsi="宋体" w:cs="宋体"/>
          <w:sz w:val="24"/>
        </w:rPr>
      </w:pPr>
      <w:r>
        <w:rPr>
          <w:rFonts w:hint="eastAsia" w:ascii="宋体" w:hAnsi="宋体" w:cs="宋体"/>
          <w:sz w:val="24"/>
          <w:highlight w:val="white"/>
        </w:rPr>
        <w:t>4.1.3 完成各项承包工作</w:t>
      </w:r>
    </w:p>
    <w:p w14:paraId="27CFF797">
      <w:pPr>
        <w:spacing w:line="500" w:lineRule="exact"/>
        <w:rPr>
          <w:rFonts w:hint="eastAsia" w:ascii="宋体" w:hAnsi="宋体" w:cs="宋体"/>
          <w:sz w:val="24"/>
        </w:rPr>
      </w:pPr>
      <w:r>
        <w:rPr>
          <w:rFonts w:hint="eastAsia" w:ascii="宋体" w:hAnsi="宋体" w:cs="宋体"/>
          <w:sz w:val="24"/>
          <w:highlight w:val="white"/>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2C4CF055">
      <w:pPr>
        <w:spacing w:line="500" w:lineRule="exact"/>
        <w:ind w:firstLine="480" w:firstLineChars="200"/>
        <w:rPr>
          <w:rFonts w:hint="eastAsia" w:ascii="宋体" w:hAnsi="宋体" w:cs="宋体"/>
          <w:sz w:val="24"/>
        </w:rPr>
      </w:pPr>
      <w:r>
        <w:rPr>
          <w:rFonts w:hint="eastAsia" w:ascii="宋体" w:hAnsi="宋体" w:cs="宋体"/>
          <w:sz w:val="24"/>
          <w:highlight w:val="white"/>
        </w:rPr>
        <w:t>4.1.4 对施工作业和施工方法的完备性负责</w:t>
      </w:r>
    </w:p>
    <w:p w14:paraId="539BA280">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承包人应按合同约定的工作内容和施工进度要求，编制施工组织设计和施工措施计划，并对所有施工作业和施工方法的完备性和安全可靠性负责。</w:t>
      </w:r>
    </w:p>
    <w:p w14:paraId="6E84CA48">
      <w:pPr>
        <w:spacing w:line="500" w:lineRule="exact"/>
        <w:ind w:firstLine="480" w:firstLineChars="200"/>
        <w:rPr>
          <w:rFonts w:hint="eastAsia" w:ascii="宋体" w:hAnsi="宋体" w:cs="宋体"/>
          <w:sz w:val="24"/>
        </w:rPr>
      </w:pPr>
      <w:r>
        <w:rPr>
          <w:rFonts w:hint="eastAsia" w:ascii="宋体" w:hAnsi="宋体" w:cs="宋体"/>
          <w:sz w:val="24"/>
          <w:highlight w:val="white"/>
        </w:rPr>
        <w:t>4.1.5 保证工程施工和人员的安全</w:t>
      </w:r>
    </w:p>
    <w:p w14:paraId="7D519020">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承包人应按第9.2款约定采取施工安全措施，确保工程及其人员、材料、设备和设施的安全，防止因工程施工造成的人身伤害和财产损失。</w:t>
      </w:r>
    </w:p>
    <w:p w14:paraId="3EBE02E7">
      <w:pPr>
        <w:spacing w:line="500" w:lineRule="exact"/>
        <w:ind w:firstLine="480" w:firstLineChars="200"/>
        <w:rPr>
          <w:rFonts w:hint="eastAsia" w:ascii="宋体" w:hAnsi="宋体" w:cs="宋体"/>
          <w:sz w:val="24"/>
        </w:rPr>
      </w:pPr>
      <w:r>
        <w:rPr>
          <w:rFonts w:hint="eastAsia" w:ascii="宋体" w:hAnsi="宋体" w:cs="宋体"/>
          <w:sz w:val="24"/>
          <w:highlight w:val="white"/>
        </w:rPr>
        <w:t>4.1.6 负责施工场地及其周边环境与生态的保护工作</w:t>
      </w:r>
    </w:p>
    <w:p w14:paraId="348393D3">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承包人应按照第9.4款约定负责施工场地及其周边环境与生态的保护工作。</w:t>
      </w:r>
    </w:p>
    <w:p w14:paraId="10DDDC72">
      <w:pPr>
        <w:spacing w:line="500" w:lineRule="exact"/>
        <w:ind w:firstLine="480" w:firstLineChars="200"/>
        <w:rPr>
          <w:rFonts w:hint="eastAsia" w:ascii="宋体" w:hAnsi="宋体" w:cs="宋体"/>
          <w:sz w:val="24"/>
        </w:rPr>
      </w:pPr>
      <w:r>
        <w:rPr>
          <w:rFonts w:hint="eastAsia" w:ascii="宋体" w:hAnsi="宋体" w:cs="宋体"/>
          <w:sz w:val="24"/>
          <w:highlight w:val="white"/>
        </w:rPr>
        <w:t>4.1.7 避免施工对公众与他人的利益造成损害</w:t>
      </w:r>
    </w:p>
    <w:p w14:paraId="405137A9">
      <w:pPr>
        <w:spacing w:line="500" w:lineRule="exact"/>
        <w:ind w:firstLine="480" w:firstLineChars="200"/>
        <w:rPr>
          <w:rFonts w:hint="eastAsia" w:ascii="宋体" w:hAnsi="宋体" w:cs="宋体"/>
          <w:sz w:val="24"/>
        </w:rPr>
      </w:pPr>
      <w:r>
        <w:rPr>
          <w:rFonts w:hint="eastAsia" w:ascii="宋体" w:hAnsi="宋体" w:cs="宋体"/>
          <w:sz w:val="24"/>
          <w:highlight w:val="whit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752FF3A">
      <w:pPr>
        <w:spacing w:line="500" w:lineRule="exact"/>
        <w:ind w:firstLine="480" w:firstLineChars="200"/>
        <w:rPr>
          <w:rFonts w:hint="eastAsia" w:ascii="宋体" w:hAnsi="宋体" w:cs="宋体"/>
          <w:sz w:val="24"/>
        </w:rPr>
      </w:pPr>
      <w:r>
        <w:rPr>
          <w:rFonts w:hint="eastAsia" w:ascii="宋体" w:hAnsi="宋体" w:cs="宋体"/>
          <w:sz w:val="24"/>
          <w:highlight w:val="white"/>
        </w:rPr>
        <w:t>4.1.8 为他人提供方便</w:t>
      </w:r>
    </w:p>
    <w:p w14:paraId="06C4B9FE">
      <w:pPr>
        <w:spacing w:line="500" w:lineRule="exact"/>
        <w:rPr>
          <w:rFonts w:hint="eastAsia" w:ascii="宋体" w:hAnsi="宋体" w:cs="宋体"/>
          <w:sz w:val="24"/>
        </w:rPr>
      </w:pPr>
      <w:r>
        <w:rPr>
          <w:rFonts w:hint="eastAsia" w:ascii="宋体" w:hAnsi="宋体" w:cs="宋体"/>
          <w:sz w:val="24"/>
          <w:highlight w:val="white"/>
        </w:rPr>
        <w:t>承包人应按监理人的指示为他人在施工场地或附近实施与工程有关的其他各项工作提供可能的条件。除合同另有约定外，提供有关条件的内容和可能发生的费用，由监理人按第3.5款商定或确定。</w:t>
      </w:r>
    </w:p>
    <w:p w14:paraId="730FB002">
      <w:pPr>
        <w:spacing w:line="500" w:lineRule="exact"/>
        <w:ind w:firstLine="480" w:firstLineChars="200"/>
        <w:rPr>
          <w:rFonts w:hint="eastAsia" w:ascii="宋体" w:hAnsi="宋体" w:cs="宋体"/>
          <w:sz w:val="24"/>
        </w:rPr>
      </w:pPr>
      <w:r>
        <w:rPr>
          <w:rFonts w:hint="eastAsia" w:ascii="宋体" w:hAnsi="宋体" w:cs="宋体"/>
          <w:sz w:val="24"/>
          <w:highlight w:val="white"/>
        </w:rPr>
        <w:t>4.1.9 工程的维护和照管</w:t>
      </w:r>
    </w:p>
    <w:p w14:paraId="0D2D8219">
      <w:pPr>
        <w:spacing w:line="500" w:lineRule="exact"/>
        <w:rPr>
          <w:rFonts w:hint="eastAsia" w:ascii="宋体" w:hAnsi="宋体" w:cs="宋体"/>
          <w:sz w:val="24"/>
        </w:rPr>
      </w:pPr>
      <w:r>
        <w:rPr>
          <w:rFonts w:hint="eastAsia" w:ascii="宋体" w:hAnsi="宋体" w:cs="宋体"/>
          <w:sz w:val="24"/>
          <w:highlight w:val="white"/>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F9159F0">
      <w:pPr>
        <w:spacing w:line="500" w:lineRule="exact"/>
        <w:rPr>
          <w:rFonts w:hint="eastAsia" w:ascii="宋体" w:hAnsi="宋体" w:cs="宋体"/>
          <w:sz w:val="24"/>
        </w:rPr>
      </w:pPr>
      <w:r>
        <w:rPr>
          <w:rFonts w:hint="eastAsia" w:ascii="宋体" w:hAnsi="宋体" w:cs="宋体"/>
          <w:sz w:val="24"/>
          <w:highlight w:val="white"/>
        </w:rPr>
        <w:t>　　4.1.10 其它义务</w:t>
      </w:r>
    </w:p>
    <w:p w14:paraId="0F25A4E8">
      <w:pPr>
        <w:spacing w:line="500" w:lineRule="exact"/>
        <w:rPr>
          <w:rFonts w:hint="eastAsia" w:ascii="宋体" w:hAnsi="宋体" w:cs="宋体"/>
          <w:sz w:val="24"/>
        </w:rPr>
      </w:pPr>
      <w:r>
        <w:rPr>
          <w:rFonts w:hint="eastAsia" w:ascii="宋体" w:hAnsi="宋体" w:cs="宋体"/>
          <w:sz w:val="24"/>
          <w:highlight w:val="white"/>
        </w:rPr>
        <w:t>　　其它义务在专用合同条款中补充约定。</w:t>
      </w:r>
    </w:p>
    <w:p w14:paraId="418A519A">
      <w:pPr>
        <w:spacing w:line="500" w:lineRule="exact"/>
        <w:outlineLvl w:val="3"/>
        <w:rPr>
          <w:rFonts w:hint="eastAsia" w:ascii="宋体" w:hAnsi="宋体" w:cs="宋体"/>
          <w:sz w:val="24"/>
        </w:rPr>
      </w:pPr>
      <w:r>
        <w:rPr>
          <w:rFonts w:hint="eastAsia" w:ascii="宋体" w:hAnsi="宋体" w:cs="宋体"/>
          <w:sz w:val="24"/>
          <w:highlight w:val="white"/>
        </w:rPr>
        <w:t>4.2 履约担保</w:t>
      </w:r>
    </w:p>
    <w:p w14:paraId="37CE3D3D">
      <w:pPr>
        <w:spacing w:line="500" w:lineRule="exact"/>
        <w:rPr>
          <w:rFonts w:hint="eastAsia" w:ascii="宋体" w:hAnsi="宋体" w:cs="宋体"/>
          <w:sz w:val="24"/>
        </w:rPr>
      </w:pPr>
      <w:r>
        <w:rPr>
          <w:rFonts w:hint="eastAsia" w:ascii="宋体" w:hAnsi="宋体" w:cs="宋体"/>
          <w:sz w:val="24"/>
          <w:highlight w:val="white"/>
        </w:rPr>
        <w:t>　　承包人应保证其履约担保在发包人颁发合同工程完工证书前一直有效。发包人应在合同工程完工证书颁发后28天内将履约担保退还给承包人。</w:t>
      </w:r>
    </w:p>
    <w:p w14:paraId="652A37D7">
      <w:pPr>
        <w:spacing w:line="500" w:lineRule="exact"/>
        <w:outlineLvl w:val="3"/>
        <w:rPr>
          <w:rFonts w:hint="eastAsia" w:ascii="宋体" w:hAnsi="宋体" w:cs="宋体"/>
          <w:sz w:val="24"/>
        </w:rPr>
      </w:pPr>
      <w:r>
        <w:rPr>
          <w:rFonts w:hint="eastAsia" w:ascii="宋体" w:hAnsi="宋体" w:cs="宋体"/>
          <w:sz w:val="24"/>
          <w:highlight w:val="white"/>
        </w:rPr>
        <w:t>4.3 分包</w:t>
      </w:r>
    </w:p>
    <w:p w14:paraId="5AC5C1C8">
      <w:pPr>
        <w:spacing w:line="500" w:lineRule="exact"/>
        <w:ind w:firstLine="480" w:firstLineChars="200"/>
        <w:rPr>
          <w:rFonts w:hint="eastAsia" w:ascii="宋体" w:hAnsi="宋体" w:cs="宋体"/>
          <w:sz w:val="24"/>
        </w:rPr>
      </w:pPr>
      <w:r>
        <w:rPr>
          <w:rFonts w:hint="eastAsia" w:ascii="宋体" w:hAnsi="宋体" w:cs="宋体"/>
          <w:sz w:val="24"/>
          <w:highlight w:val="white"/>
        </w:rPr>
        <w:t>4.3.1 承包人不得将其承包的全部工程转包给第三人，或将其承包的全部工程肢解后以分包的名义转包给第三人。</w:t>
      </w:r>
    </w:p>
    <w:p w14:paraId="45BEC9BB">
      <w:pPr>
        <w:spacing w:line="500" w:lineRule="exact"/>
        <w:ind w:firstLine="480" w:firstLineChars="200"/>
        <w:rPr>
          <w:rFonts w:hint="eastAsia" w:ascii="宋体" w:hAnsi="宋体" w:cs="宋体"/>
          <w:sz w:val="24"/>
        </w:rPr>
      </w:pPr>
      <w:r>
        <w:rPr>
          <w:rFonts w:hint="eastAsia" w:ascii="宋体" w:hAnsi="宋体" w:cs="宋体"/>
          <w:sz w:val="24"/>
          <w:highlight w:val="white"/>
        </w:rPr>
        <w:t>4.3.2 承包人不得将工程主体、关键性工作分包给第三人。除专用合同条款另有约定外，未经发包人同意，承包人不得将工程的其他部分或工作分包给第三人。</w:t>
      </w:r>
    </w:p>
    <w:p w14:paraId="42D7CCC1">
      <w:pPr>
        <w:spacing w:line="500" w:lineRule="exact"/>
        <w:ind w:firstLine="480" w:firstLineChars="200"/>
        <w:rPr>
          <w:rFonts w:hint="eastAsia" w:ascii="宋体" w:hAnsi="宋体" w:cs="宋体"/>
          <w:sz w:val="24"/>
        </w:rPr>
      </w:pPr>
      <w:r>
        <w:rPr>
          <w:rFonts w:hint="eastAsia" w:ascii="宋体" w:hAnsi="宋体" w:cs="宋体"/>
          <w:sz w:val="24"/>
          <w:highlight w:val="white"/>
        </w:rPr>
        <w:t>4.3.3 分包人的资格能力应与其分包工程的标准和规模相适应。</w:t>
      </w:r>
    </w:p>
    <w:p w14:paraId="66023B1D">
      <w:pPr>
        <w:spacing w:line="500" w:lineRule="exact"/>
        <w:ind w:firstLine="480" w:firstLineChars="200"/>
        <w:rPr>
          <w:rFonts w:hint="eastAsia" w:ascii="宋体" w:hAnsi="宋体" w:cs="宋体"/>
          <w:sz w:val="24"/>
        </w:rPr>
      </w:pPr>
      <w:r>
        <w:rPr>
          <w:rFonts w:hint="eastAsia" w:ascii="宋体" w:hAnsi="宋体" w:cs="宋体"/>
          <w:sz w:val="24"/>
          <w:highlight w:val="white"/>
        </w:rPr>
        <w:t>4.3.4 按投标函附录约定分包工程的，承包人应向发包人和监理人提交分包合同备份。</w:t>
      </w:r>
    </w:p>
    <w:p w14:paraId="6F2D4E54">
      <w:pPr>
        <w:spacing w:line="500" w:lineRule="exact"/>
        <w:ind w:firstLine="480" w:firstLineChars="200"/>
        <w:rPr>
          <w:rFonts w:hint="eastAsia" w:ascii="宋体" w:hAnsi="宋体" w:cs="宋体"/>
          <w:sz w:val="24"/>
        </w:rPr>
      </w:pPr>
      <w:r>
        <w:rPr>
          <w:rFonts w:hint="eastAsia" w:ascii="宋体" w:hAnsi="宋体" w:cs="宋体"/>
          <w:sz w:val="24"/>
          <w:highlight w:val="white"/>
        </w:rPr>
        <w:t>4.3.5 承包人应与分包人就分包工程向发包人承担连带责任。</w:t>
      </w:r>
    </w:p>
    <w:p w14:paraId="3D7DFA7D">
      <w:pPr>
        <w:spacing w:line="500" w:lineRule="exact"/>
        <w:ind w:firstLine="480" w:firstLineChars="200"/>
        <w:rPr>
          <w:rFonts w:hint="eastAsia" w:ascii="宋体" w:hAnsi="宋体" w:cs="宋体"/>
          <w:sz w:val="24"/>
        </w:rPr>
      </w:pPr>
      <w:r>
        <w:rPr>
          <w:rFonts w:hint="eastAsia" w:ascii="宋体" w:hAnsi="宋体" w:cs="宋体"/>
          <w:sz w:val="24"/>
          <w:highlight w:val="white"/>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061ED296">
      <w:pPr>
        <w:spacing w:line="500" w:lineRule="exact"/>
        <w:rPr>
          <w:rFonts w:hint="eastAsia" w:ascii="宋体" w:hAnsi="宋体" w:cs="宋体"/>
          <w:sz w:val="24"/>
        </w:rPr>
      </w:pPr>
      <w:r>
        <w:rPr>
          <w:rFonts w:hint="eastAsia" w:ascii="宋体" w:hAnsi="宋体" w:cs="宋体"/>
          <w:sz w:val="24"/>
          <w:highlight w:val="white"/>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6919C357">
      <w:pPr>
        <w:spacing w:line="500" w:lineRule="exact"/>
        <w:rPr>
          <w:rFonts w:hint="eastAsia" w:ascii="宋体" w:hAnsi="宋体" w:cs="宋体"/>
          <w:sz w:val="24"/>
        </w:rPr>
      </w:pPr>
      <w:r>
        <w:rPr>
          <w:rFonts w:hint="eastAsia" w:ascii="宋体" w:hAnsi="宋体" w:cs="宋体"/>
          <w:sz w:val="24"/>
          <w:highlight w:val="white"/>
        </w:rPr>
        <w:t>　　由指定分包人造成的与其分包工作有关的一切索赔、诉讼和损失赔偿由指定分包人直接对发包人负责，承包人不对此承担责任。</w:t>
      </w:r>
    </w:p>
    <w:p w14:paraId="5D98C610">
      <w:pPr>
        <w:spacing w:line="500" w:lineRule="exact"/>
        <w:rPr>
          <w:rFonts w:hint="eastAsia" w:ascii="宋体" w:hAnsi="宋体" w:cs="宋体"/>
          <w:sz w:val="24"/>
        </w:rPr>
      </w:pPr>
      <w:r>
        <w:rPr>
          <w:rFonts w:hint="eastAsia" w:ascii="宋体" w:hAnsi="宋体" w:cs="宋体"/>
          <w:sz w:val="24"/>
          <w:highlight w:val="white"/>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6D4260B9">
      <w:pPr>
        <w:spacing w:line="500" w:lineRule="exact"/>
        <w:rPr>
          <w:rFonts w:hint="eastAsia" w:ascii="宋体" w:hAnsi="宋体" w:cs="宋体"/>
          <w:sz w:val="24"/>
        </w:rPr>
      </w:pPr>
      <w:r>
        <w:rPr>
          <w:rFonts w:hint="eastAsia" w:ascii="宋体" w:hAnsi="宋体" w:cs="宋体"/>
          <w:sz w:val="24"/>
          <w:highlight w:val="white"/>
        </w:rPr>
        <w:t>　　4.3.9 除第4.3.7项规定的指定分包外，承包人对其分包项目的实施以及分包人的行为向发包人负全部责任。承包人应对分包项目的工程进度、质量、安全、计量和验收等实施监督和管理。</w:t>
      </w:r>
    </w:p>
    <w:p w14:paraId="3B7E4EE3">
      <w:pPr>
        <w:spacing w:line="500" w:lineRule="exact"/>
        <w:ind w:firstLine="420"/>
        <w:rPr>
          <w:rFonts w:hint="eastAsia" w:ascii="宋体" w:hAnsi="宋体" w:cs="宋体"/>
          <w:sz w:val="24"/>
        </w:rPr>
      </w:pPr>
      <w:r>
        <w:rPr>
          <w:rFonts w:hint="eastAsia" w:ascii="宋体" w:hAnsi="宋体" w:cs="宋体"/>
          <w:sz w:val="24"/>
          <w:highlight w:val="white"/>
        </w:rPr>
        <w:t>4.3.10 分包人应按专用合同条款的约定设立项目管理机构组织管理分包工程的施工活动。</w:t>
      </w:r>
    </w:p>
    <w:p w14:paraId="337E6712">
      <w:pPr>
        <w:spacing w:line="500" w:lineRule="exact"/>
        <w:outlineLvl w:val="3"/>
        <w:rPr>
          <w:rFonts w:hint="eastAsia" w:ascii="宋体" w:hAnsi="宋体" w:cs="宋体"/>
          <w:sz w:val="24"/>
        </w:rPr>
      </w:pPr>
      <w:r>
        <w:rPr>
          <w:rFonts w:hint="eastAsia" w:ascii="宋体" w:hAnsi="宋体" w:cs="宋体"/>
          <w:sz w:val="24"/>
          <w:highlight w:val="white"/>
        </w:rPr>
        <w:t>4.4 联合体</w:t>
      </w:r>
    </w:p>
    <w:p w14:paraId="777E99F9">
      <w:pPr>
        <w:spacing w:line="500" w:lineRule="exact"/>
        <w:ind w:firstLine="480" w:firstLineChars="200"/>
        <w:rPr>
          <w:rFonts w:hint="eastAsia" w:ascii="宋体" w:hAnsi="宋体" w:cs="宋体"/>
          <w:sz w:val="24"/>
        </w:rPr>
      </w:pPr>
      <w:r>
        <w:rPr>
          <w:rFonts w:hint="eastAsia" w:ascii="宋体" w:hAnsi="宋体" w:cs="宋体"/>
          <w:sz w:val="24"/>
          <w:highlight w:val="white"/>
        </w:rPr>
        <w:t>4.4.1 联合体各方应共同与发包人签订合同协议书。联合体各方应为履行合同承担连带责任。</w:t>
      </w:r>
    </w:p>
    <w:p w14:paraId="46B1DDBD">
      <w:pPr>
        <w:spacing w:line="500" w:lineRule="exact"/>
        <w:ind w:firstLine="480" w:firstLineChars="200"/>
        <w:rPr>
          <w:rFonts w:hint="eastAsia" w:ascii="宋体" w:hAnsi="宋体" w:cs="宋体"/>
          <w:sz w:val="24"/>
        </w:rPr>
      </w:pPr>
      <w:r>
        <w:rPr>
          <w:rFonts w:hint="eastAsia" w:ascii="宋体" w:hAnsi="宋体" w:cs="宋体"/>
          <w:sz w:val="24"/>
          <w:highlight w:val="white"/>
        </w:rPr>
        <w:t>4.4.2 联合体协议经发包人确认后作为合同附件。在履行合同过程中，未经发包人同意，不得修改联合体协议。</w:t>
      </w:r>
    </w:p>
    <w:p w14:paraId="334455C4">
      <w:pPr>
        <w:spacing w:line="500" w:lineRule="exact"/>
        <w:ind w:firstLine="480" w:firstLineChars="200"/>
        <w:rPr>
          <w:rFonts w:hint="eastAsia" w:ascii="宋体" w:hAnsi="宋体" w:cs="宋体"/>
          <w:sz w:val="24"/>
        </w:rPr>
      </w:pPr>
      <w:r>
        <w:rPr>
          <w:rFonts w:hint="eastAsia" w:ascii="宋体" w:hAnsi="宋体" w:cs="宋体"/>
          <w:sz w:val="24"/>
          <w:highlight w:val="white"/>
        </w:rPr>
        <w:t>4.4.3 联合体牵头人负责与发包人和监理人联系，并接受指示，负责组织联合体各成员全面履行合同。</w:t>
      </w:r>
    </w:p>
    <w:p w14:paraId="65486501">
      <w:pPr>
        <w:spacing w:line="500" w:lineRule="exact"/>
        <w:outlineLvl w:val="3"/>
        <w:rPr>
          <w:rFonts w:hint="eastAsia" w:ascii="宋体" w:hAnsi="宋体" w:cs="宋体"/>
          <w:sz w:val="24"/>
        </w:rPr>
      </w:pPr>
      <w:r>
        <w:rPr>
          <w:rFonts w:hint="eastAsia" w:ascii="宋体" w:hAnsi="宋体" w:cs="宋体"/>
          <w:sz w:val="24"/>
          <w:highlight w:val="white"/>
        </w:rPr>
        <w:t>4.5 承包人项目经理</w:t>
      </w:r>
    </w:p>
    <w:p w14:paraId="097A36B9">
      <w:pPr>
        <w:spacing w:line="500" w:lineRule="exact"/>
        <w:ind w:firstLine="480" w:firstLineChars="200"/>
        <w:rPr>
          <w:rFonts w:hint="eastAsia" w:ascii="宋体" w:hAnsi="宋体" w:cs="宋体"/>
          <w:sz w:val="24"/>
        </w:rPr>
      </w:pPr>
      <w:r>
        <w:rPr>
          <w:rFonts w:hint="eastAsia" w:ascii="宋体" w:hAnsi="宋体" w:cs="宋体"/>
          <w:sz w:val="24"/>
          <w:highlight w:val="whit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70BA33D4">
      <w:pPr>
        <w:spacing w:line="500" w:lineRule="exact"/>
        <w:ind w:firstLine="480" w:firstLineChars="200"/>
        <w:rPr>
          <w:rFonts w:hint="eastAsia" w:ascii="宋体" w:hAnsi="宋体" w:cs="宋体"/>
          <w:sz w:val="24"/>
        </w:rPr>
      </w:pPr>
      <w:r>
        <w:rPr>
          <w:rFonts w:hint="eastAsia" w:ascii="宋体" w:hAnsi="宋体" w:cs="宋体"/>
          <w:sz w:val="24"/>
          <w:highlight w:val="whit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3F879D69">
      <w:pPr>
        <w:spacing w:line="500" w:lineRule="exact"/>
        <w:ind w:firstLine="480" w:firstLineChars="200"/>
        <w:rPr>
          <w:rFonts w:hint="eastAsia" w:ascii="宋体" w:hAnsi="宋体" w:cs="宋体"/>
          <w:sz w:val="24"/>
        </w:rPr>
      </w:pPr>
      <w:r>
        <w:rPr>
          <w:rFonts w:hint="eastAsia" w:ascii="宋体" w:hAnsi="宋体" w:cs="宋体"/>
          <w:sz w:val="24"/>
          <w:highlight w:val="white"/>
        </w:rPr>
        <w:t>4.5.3承包人为履行合同发出的一切函件均应盖有承包人授权的施工场地管理机构章，并由承包人项目经理或其授权代表签字。</w:t>
      </w:r>
    </w:p>
    <w:p w14:paraId="72AE6458">
      <w:pPr>
        <w:spacing w:line="500" w:lineRule="exact"/>
        <w:ind w:firstLine="480" w:firstLineChars="200"/>
        <w:rPr>
          <w:rFonts w:hint="eastAsia" w:ascii="宋体" w:hAnsi="宋体" w:cs="宋体"/>
          <w:sz w:val="24"/>
        </w:rPr>
      </w:pPr>
      <w:r>
        <w:rPr>
          <w:rFonts w:hint="eastAsia" w:ascii="宋体" w:hAnsi="宋体" w:cs="宋体"/>
          <w:sz w:val="24"/>
          <w:highlight w:val="white"/>
        </w:rPr>
        <w:t>4.5.4 承包人项目经理可以授权其下属人员履行其某项职责，但事先应将这些人员的姓名和授权范围通知监理人。</w:t>
      </w:r>
    </w:p>
    <w:p w14:paraId="4286D6E2">
      <w:pPr>
        <w:spacing w:line="500" w:lineRule="exact"/>
        <w:outlineLvl w:val="3"/>
        <w:rPr>
          <w:rFonts w:hint="eastAsia" w:ascii="宋体" w:hAnsi="宋体" w:cs="宋体"/>
          <w:sz w:val="24"/>
        </w:rPr>
      </w:pPr>
      <w:r>
        <w:rPr>
          <w:rFonts w:hint="eastAsia" w:ascii="宋体" w:hAnsi="宋体" w:cs="宋体"/>
          <w:sz w:val="24"/>
          <w:highlight w:val="white"/>
        </w:rPr>
        <w:t>4.6 承包人人员的管理</w:t>
      </w:r>
    </w:p>
    <w:p w14:paraId="3A180722">
      <w:pPr>
        <w:spacing w:line="500" w:lineRule="exact"/>
        <w:ind w:firstLine="480" w:firstLineChars="200"/>
        <w:rPr>
          <w:rFonts w:hint="eastAsia" w:ascii="宋体" w:hAnsi="宋体" w:cs="宋体"/>
          <w:sz w:val="24"/>
        </w:rPr>
      </w:pPr>
      <w:r>
        <w:rPr>
          <w:rFonts w:hint="eastAsia" w:ascii="宋体" w:hAnsi="宋体" w:cs="宋体"/>
          <w:sz w:val="24"/>
          <w:highlight w:val="whit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BD4ECD5">
      <w:pPr>
        <w:spacing w:line="500" w:lineRule="exact"/>
        <w:ind w:firstLine="480" w:firstLineChars="200"/>
        <w:rPr>
          <w:rFonts w:hint="eastAsia" w:ascii="宋体" w:hAnsi="宋体" w:cs="宋体"/>
          <w:sz w:val="24"/>
        </w:rPr>
      </w:pPr>
      <w:r>
        <w:rPr>
          <w:rFonts w:hint="eastAsia" w:ascii="宋体" w:hAnsi="宋体" w:cs="宋体"/>
          <w:sz w:val="24"/>
          <w:highlight w:val="white"/>
        </w:rPr>
        <w:t>4.6.2 为完成合同约定的各项工作，承包人应向施工场地派遣或雇佣足够数量的下列人员：</w:t>
      </w:r>
    </w:p>
    <w:p w14:paraId="2B4A64D2">
      <w:pPr>
        <w:spacing w:line="500" w:lineRule="exact"/>
        <w:ind w:firstLine="820" w:firstLineChars="342"/>
        <w:rPr>
          <w:rFonts w:hint="eastAsia" w:ascii="宋体" w:hAnsi="宋体" w:cs="宋体"/>
          <w:sz w:val="24"/>
        </w:rPr>
      </w:pPr>
      <w:r>
        <w:rPr>
          <w:rFonts w:hint="eastAsia" w:ascii="宋体" w:hAnsi="宋体" w:cs="宋体"/>
          <w:sz w:val="24"/>
          <w:highlight w:val="white"/>
        </w:rPr>
        <w:t>（1）具有相应资格的专业技工和合格的普工；</w:t>
      </w:r>
    </w:p>
    <w:p w14:paraId="575A9111">
      <w:pPr>
        <w:spacing w:line="500" w:lineRule="exact"/>
        <w:ind w:firstLine="820" w:firstLineChars="342"/>
        <w:rPr>
          <w:rFonts w:hint="eastAsia" w:ascii="宋体" w:hAnsi="宋体" w:cs="宋体"/>
          <w:sz w:val="24"/>
        </w:rPr>
      </w:pPr>
      <w:r>
        <w:rPr>
          <w:rFonts w:hint="eastAsia" w:ascii="宋体" w:hAnsi="宋体" w:cs="宋体"/>
          <w:sz w:val="24"/>
          <w:highlight w:val="white"/>
        </w:rPr>
        <w:t>（2）具有相应施工经验的技术人员；</w:t>
      </w:r>
    </w:p>
    <w:p w14:paraId="7FD6F39A">
      <w:pPr>
        <w:spacing w:line="500" w:lineRule="exact"/>
        <w:ind w:firstLine="820" w:firstLineChars="342"/>
        <w:rPr>
          <w:rFonts w:hint="eastAsia" w:ascii="宋体" w:hAnsi="宋体" w:cs="宋体"/>
          <w:sz w:val="24"/>
        </w:rPr>
      </w:pPr>
      <w:r>
        <w:rPr>
          <w:rFonts w:hint="eastAsia" w:ascii="宋体" w:hAnsi="宋体" w:cs="宋体"/>
          <w:sz w:val="24"/>
          <w:highlight w:val="white"/>
        </w:rPr>
        <w:t>（3）具有相应岗位资格的各级管理人员。</w:t>
      </w:r>
    </w:p>
    <w:p w14:paraId="048BC1F0">
      <w:pPr>
        <w:spacing w:line="500" w:lineRule="exact"/>
        <w:ind w:firstLine="480" w:firstLineChars="200"/>
        <w:rPr>
          <w:rFonts w:hint="eastAsia" w:ascii="宋体" w:hAnsi="宋体" w:cs="宋体"/>
          <w:sz w:val="24"/>
        </w:rPr>
      </w:pPr>
      <w:r>
        <w:rPr>
          <w:rFonts w:hint="eastAsia" w:ascii="宋体" w:hAnsi="宋体" w:cs="宋体"/>
          <w:sz w:val="24"/>
          <w:highlight w:val="white"/>
        </w:rPr>
        <w:t>4.6.3 承包人安排在施工场地的主要管理人员和技术骨干应相对稳定。承包人更换主要管理人员和技术骨干时，应取得监理人的同意。</w:t>
      </w:r>
    </w:p>
    <w:p w14:paraId="2E76736B">
      <w:pPr>
        <w:spacing w:line="500" w:lineRule="exact"/>
        <w:ind w:firstLine="480" w:firstLineChars="200"/>
        <w:rPr>
          <w:rFonts w:hint="eastAsia" w:ascii="宋体" w:hAnsi="宋体" w:cs="宋体"/>
          <w:sz w:val="24"/>
        </w:rPr>
      </w:pPr>
      <w:r>
        <w:rPr>
          <w:rFonts w:hint="eastAsia" w:ascii="宋体" w:hAnsi="宋体" w:cs="宋体"/>
          <w:sz w:val="24"/>
          <w:highlight w:val="white"/>
        </w:rPr>
        <w:t>4.6.4 特殊岗位的工作人员均应持有相应的资格证明，监理人有权随时检查。监理人认为有必要时，可进行现场考核。</w:t>
      </w:r>
    </w:p>
    <w:p w14:paraId="5CE01C32">
      <w:pPr>
        <w:spacing w:line="500" w:lineRule="exact"/>
        <w:outlineLvl w:val="3"/>
        <w:rPr>
          <w:rFonts w:hint="eastAsia" w:ascii="宋体" w:hAnsi="宋体" w:cs="宋体"/>
          <w:sz w:val="24"/>
        </w:rPr>
      </w:pPr>
      <w:r>
        <w:rPr>
          <w:rFonts w:hint="eastAsia" w:ascii="宋体" w:hAnsi="宋体" w:cs="宋体"/>
          <w:sz w:val="24"/>
          <w:highlight w:val="white"/>
        </w:rPr>
        <w:t>4.7 撤换承包人项目经理和其他人员</w:t>
      </w:r>
    </w:p>
    <w:p w14:paraId="3C0D478E">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承包人应对其项目经理和其他人员进行有效管理。监理人要求撤换不能胜任本职工作、行为不端或玩忽职守的承包人项目经理和其他人员的，承包人应予以撤换</w:t>
      </w:r>
      <w:r>
        <w:rPr>
          <w:rFonts w:hint="eastAsia" w:ascii="宋体" w:hAnsi="宋体" w:eastAsia="宋体" w:cs="宋体"/>
          <w:sz w:val="24"/>
          <w:highlight w:val="white"/>
          <w:lang w:eastAsia="zh-CN"/>
        </w:rPr>
        <w:t>。</w:t>
      </w:r>
    </w:p>
    <w:p w14:paraId="596A12D1">
      <w:pPr>
        <w:spacing w:line="500" w:lineRule="exact"/>
        <w:outlineLvl w:val="3"/>
        <w:rPr>
          <w:rFonts w:hint="eastAsia" w:ascii="宋体" w:hAnsi="宋体" w:cs="宋体"/>
          <w:sz w:val="24"/>
        </w:rPr>
      </w:pPr>
      <w:r>
        <w:rPr>
          <w:rFonts w:hint="eastAsia" w:ascii="宋体" w:hAnsi="宋体" w:cs="宋体"/>
          <w:sz w:val="24"/>
          <w:highlight w:val="white"/>
        </w:rPr>
        <w:t>4.8 保障承包人人员的合法权益</w:t>
      </w:r>
    </w:p>
    <w:p w14:paraId="280E39D4">
      <w:pPr>
        <w:spacing w:line="500" w:lineRule="exact"/>
        <w:ind w:firstLine="480" w:firstLineChars="200"/>
        <w:rPr>
          <w:rFonts w:hint="eastAsia" w:ascii="宋体" w:hAnsi="宋体" w:cs="宋体"/>
          <w:sz w:val="24"/>
        </w:rPr>
      </w:pPr>
      <w:r>
        <w:rPr>
          <w:rFonts w:hint="eastAsia" w:ascii="宋体" w:hAnsi="宋体" w:cs="宋体"/>
          <w:sz w:val="24"/>
          <w:highlight w:val="white"/>
        </w:rPr>
        <w:t>4.8.1 承包人应与其雇佣的人员签订劳动合同，并按时发放工资。</w:t>
      </w:r>
    </w:p>
    <w:p w14:paraId="6BAE1F4B">
      <w:pPr>
        <w:spacing w:line="500" w:lineRule="exact"/>
        <w:ind w:firstLine="480" w:firstLineChars="200"/>
        <w:rPr>
          <w:rFonts w:hint="eastAsia" w:ascii="宋体" w:hAnsi="宋体" w:cs="宋体"/>
          <w:sz w:val="24"/>
        </w:rPr>
      </w:pPr>
      <w:r>
        <w:rPr>
          <w:rFonts w:hint="eastAsia" w:ascii="宋体" w:hAnsi="宋体" w:cs="宋体"/>
          <w:sz w:val="24"/>
          <w:highlight w:val="white"/>
        </w:rPr>
        <w:t>4.8.2 承包人应按劳动法的规定安排工作时间，保证其雇佣人员享有休息和休假的权利。因工程施工的特殊需要占用休假日或延长工作时间的，应不超过法律规定的限度，并按法律规定给予补休或付酬。</w:t>
      </w:r>
    </w:p>
    <w:p w14:paraId="3F823858">
      <w:pPr>
        <w:spacing w:line="500" w:lineRule="exact"/>
        <w:ind w:firstLine="480" w:firstLineChars="200"/>
        <w:rPr>
          <w:rFonts w:hint="eastAsia" w:ascii="宋体" w:hAnsi="宋体" w:cs="宋体"/>
          <w:sz w:val="24"/>
        </w:rPr>
      </w:pPr>
      <w:r>
        <w:rPr>
          <w:rFonts w:hint="eastAsia" w:ascii="宋体" w:hAnsi="宋体" w:cs="宋体"/>
          <w:sz w:val="24"/>
          <w:highlight w:val="white"/>
        </w:rPr>
        <w:t>4.8.3 承包人应为其雇佣人员提供必要的食宿条件，以及符合环境保护和卫生要求的生活环境，在远离城镇的施工场地，还应配备必要的伤病防治和急救的医务人员与医疗设施。</w:t>
      </w:r>
    </w:p>
    <w:p w14:paraId="6A095E23">
      <w:pPr>
        <w:spacing w:line="500" w:lineRule="exact"/>
        <w:ind w:firstLine="480" w:firstLineChars="200"/>
        <w:rPr>
          <w:rFonts w:hint="eastAsia" w:ascii="宋体" w:hAnsi="宋体" w:cs="宋体"/>
          <w:sz w:val="24"/>
        </w:rPr>
      </w:pPr>
      <w:r>
        <w:rPr>
          <w:rFonts w:hint="eastAsia" w:ascii="宋体" w:hAnsi="宋体" w:cs="宋体"/>
          <w:sz w:val="24"/>
          <w:highlight w:val="white"/>
        </w:rPr>
        <w:t>4.8.4 承包人应按国家有关劳动保护的规定，采取有效的防止粉尘、降低噪声</w:t>
      </w:r>
      <w:r>
        <w:rPr>
          <w:rFonts w:hint="eastAsia" w:ascii="宋体" w:hAnsi="宋体" w:eastAsia="宋体" w:cs="宋体"/>
          <w:sz w:val="24"/>
          <w:highlight w:val="white"/>
          <w:lang w:eastAsia="zh-CN"/>
        </w:rPr>
        <w:t>、</w:t>
      </w:r>
      <w:r>
        <w:rPr>
          <w:rFonts w:hint="eastAsia" w:ascii="宋体" w:hAnsi="宋体" w:cs="宋体"/>
          <w:sz w:val="24"/>
          <w:highlight w:val="white"/>
        </w:rPr>
        <w:t>控制有害气体和保障高温、高寒、高空作业安全等劳动保护措施。其雇佣人员在施工中受到伤害的，承包人应立即采取有效措施进行抢救和治疗。</w:t>
      </w:r>
    </w:p>
    <w:p w14:paraId="1B31A785">
      <w:pPr>
        <w:spacing w:line="500" w:lineRule="exact"/>
        <w:ind w:firstLine="480" w:firstLineChars="200"/>
        <w:rPr>
          <w:rFonts w:hint="eastAsia" w:ascii="宋体" w:hAnsi="宋体" w:cs="宋体"/>
          <w:sz w:val="24"/>
        </w:rPr>
      </w:pPr>
      <w:r>
        <w:rPr>
          <w:rFonts w:hint="eastAsia" w:ascii="宋体" w:hAnsi="宋体" w:cs="宋体"/>
          <w:sz w:val="24"/>
          <w:highlight w:val="white"/>
        </w:rPr>
        <w:t>4.8.5 承包人应按有关法律规定和合同约定，为其雇佣人员办理保险。</w:t>
      </w:r>
    </w:p>
    <w:p w14:paraId="20FFB883">
      <w:pPr>
        <w:spacing w:line="500" w:lineRule="exact"/>
        <w:ind w:firstLine="480" w:firstLineChars="200"/>
        <w:rPr>
          <w:rFonts w:hint="eastAsia" w:ascii="宋体" w:hAnsi="宋体" w:cs="宋体"/>
          <w:sz w:val="24"/>
        </w:rPr>
      </w:pPr>
      <w:r>
        <w:rPr>
          <w:rFonts w:hint="eastAsia" w:ascii="宋体" w:hAnsi="宋体" w:cs="宋体"/>
          <w:sz w:val="24"/>
          <w:highlight w:val="white"/>
        </w:rPr>
        <w:t>4.8.6 承包人应负责处理其雇佣人员因工伤亡事故的善后事宜。</w:t>
      </w:r>
    </w:p>
    <w:p w14:paraId="57EA4EBE">
      <w:pPr>
        <w:spacing w:line="500" w:lineRule="exact"/>
        <w:outlineLvl w:val="3"/>
        <w:rPr>
          <w:rFonts w:hint="eastAsia" w:ascii="宋体" w:hAnsi="宋体" w:cs="宋体"/>
          <w:sz w:val="24"/>
        </w:rPr>
      </w:pPr>
      <w:r>
        <w:rPr>
          <w:rFonts w:hint="eastAsia" w:ascii="宋体" w:hAnsi="宋体" w:cs="宋体"/>
          <w:sz w:val="24"/>
          <w:highlight w:val="white"/>
        </w:rPr>
        <w:t>4.9 工程价款应专款专用</w:t>
      </w:r>
    </w:p>
    <w:p w14:paraId="6253C262">
      <w:pPr>
        <w:spacing w:line="500" w:lineRule="exact"/>
        <w:ind w:firstLine="480" w:firstLineChars="200"/>
        <w:rPr>
          <w:rFonts w:hint="eastAsia" w:ascii="宋体" w:hAnsi="宋体" w:cs="宋体"/>
          <w:sz w:val="24"/>
        </w:rPr>
      </w:pPr>
      <w:r>
        <w:rPr>
          <w:rFonts w:hint="eastAsia" w:ascii="宋体" w:hAnsi="宋体" w:cs="宋体"/>
          <w:sz w:val="24"/>
          <w:highlight w:val="white"/>
        </w:rPr>
        <w:t>发包人按合同约定支付给承包人的各项价款应专用于合同工程。</w:t>
      </w:r>
    </w:p>
    <w:p w14:paraId="25460E29">
      <w:pPr>
        <w:spacing w:line="500" w:lineRule="exact"/>
        <w:outlineLvl w:val="3"/>
        <w:rPr>
          <w:rFonts w:hint="eastAsia" w:ascii="宋体" w:hAnsi="宋体" w:cs="宋体"/>
          <w:sz w:val="24"/>
        </w:rPr>
      </w:pPr>
      <w:r>
        <w:rPr>
          <w:rFonts w:hint="eastAsia" w:ascii="宋体" w:hAnsi="宋体" w:cs="宋体"/>
          <w:sz w:val="24"/>
          <w:highlight w:val="white"/>
        </w:rPr>
        <w:t xml:space="preserve">4.10 承包人现场查勘                                                                                                           </w:t>
      </w:r>
    </w:p>
    <w:p w14:paraId="5F20327E">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4.10.1 发包人应将其持有的现场地质勘探资料、水文气象资料提供给承包人，并对其准确性负责。但承包人应对其阅读上述有关资料后所作出的解释和推断负责</w:t>
      </w:r>
      <w:r>
        <w:rPr>
          <w:rFonts w:hint="eastAsia" w:ascii="宋体" w:hAnsi="宋体" w:eastAsia="宋体" w:cs="宋体"/>
          <w:sz w:val="24"/>
          <w:highlight w:val="white"/>
          <w:lang w:eastAsia="zh-CN"/>
        </w:rPr>
        <w:t>。</w:t>
      </w:r>
    </w:p>
    <w:p w14:paraId="3B044233">
      <w:pPr>
        <w:spacing w:line="500" w:lineRule="exact"/>
        <w:ind w:firstLine="480" w:firstLineChars="200"/>
        <w:rPr>
          <w:rFonts w:hint="eastAsia" w:ascii="宋体" w:hAnsi="宋体" w:cs="宋体"/>
          <w:sz w:val="24"/>
        </w:rPr>
      </w:pPr>
      <w:r>
        <w:rPr>
          <w:rFonts w:hint="eastAsia" w:ascii="宋体" w:hAnsi="宋体" w:cs="宋体"/>
          <w:sz w:val="24"/>
          <w:highlight w:val="whit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5689A921">
      <w:pPr>
        <w:spacing w:line="500" w:lineRule="exact"/>
        <w:outlineLvl w:val="3"/>
        <w:rPr>
          <w:rFonts w:hint="eastAsia" w:ascii="宋体" w:hAnsi="宋体" w:cs="宋体"/>
          <w:sz w:val="24"/>
        </w:rPr>
      </w:pPr>
      <w:r>
        <w:rPr>
          <w:rFonts w:hint="eastAsia" w:ascii="宋体" w:hAnsi="宋体" w:cs="宋体"/>
          <w:sz w:val="24"/>
          <w:highlight w:val="white"/>
        </w:rPr>
        <w:t>4.11 不利物质条件</w:t>
      </w:r>
    </w:p>
    <w:p w14:paraId="7CCDB47E">
      <w:pPr>
        <w:spacing w:line="500" w:lineRule="exact"/>
        <w:rPr>
          <w:rFonts w:hint="eastAsia" w:ascii="宋体" w:hAnsi="宋体" w:cs="宋体"/>
          <w:sz w:val="24"/>
        </w:rPr>
      </w:pPr>
      <w:r>
        <w:rPr>
          <w:rFonts w:hint="eastAsia" w:ascii="宋体" w:hAnsi="宋体" w:cs="宋体"/>
          <w:sz w:val="24"/>
          <w:highlight w:val="white"/>
        </w:rPr>
        <w:t>　　4.11.1 除专用合同条款另有约定外，不利物质条件是指在施工中遭遇不可预见的外界障碍或自然条件造成施工受阻。</w:t>
      </w:r>
    </w:p>
    <w:p w14:paraId="08CAE3C5">
      <w:pPr>
        <w:spacing w:line="500" w:lineRule="exact"/>
        <w:rPr>
          <w:rFonts w:hint="eastAsia" w:ascii="宋体" w:hAnsi="宋体" w:cs="宋体"/>
          <w:sz w:val="24"/>
        </w:rPr>
      </w:pPr>
      <w:r>
        <w:rPr>
          <w:rFonts w:hint="eastAsia" w:ascii="宋体" w:hAnsi="宋体" w:cs="宋体"/>
          <w:sz w:val="24"/>
          <w:highlight w:val="white"/>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485CE421">
      <w:pPr>
        <w:spacing w:line="500" w:lineRule="exact"/>
        <w:outlineLvl w:val="2"/>
        <w:rPr>
          <w:rFonts w:hint="eastAsia" w:ascii="宋体" w:hAnsi="宋体" w:cs="宋体"/>
          <w:sz w:val="24"/>
        </w:rPr>
      </w:pPr>
      <w:bookmarkStart w:id="63" w:name="_Toc149571651"/>
      <w:bookmarkStart w:id="64" w:name="_Toc149635764"/>
      <w:bookmarkStart w:id="65" w:name="_Toc256000112"/>
      <w:r>
        <w:rPr>
          <w:rFonts w:hint="eastAsia" w:ascii="宋体" w:hAnsi="宋体" w:cs="宋体"/>
          <w:sz w:val="24"/>
          <w:highlight w:val="white"/>
        </w:rPr>
        <w:t>5　材料和工程设备</w:t>
      </w:r>
      <w:bookmarkEnd w:id="63"/>
      <w:bookmarkEnd w:id="64"/>
      <w:bookmarkEnd w:id="65"/>
    </w:p>
    <w:p w14:paraId="4B6D2C6E">
      <w:pPr>
        <w:spacing w:line="500" w:lineRule="exact"/>
        <w:outlineLvl w:val="3"/>
        <w:rPr>
          <w:rFonts w:hint="eastAsia" w:ascii="宋体" w:hAnsi="宋体" w:cs="宋体"/>
          <w:sz w:val="24"/>
        </w:rPr>
      </w:pPr>
      <w:r>
        <w:rPr>
          <w:rFonts w:hint="eastAsia" w:ascii="宋体" w:hAnsi="宋体" w:cs="宋体"/>
          <w:sz w:val="24"/>
          <w:highlight w:val="white"/>
        </w:rPr>
        <w:t>5.1 承包人提供的材料和工程设备</w:t>
      </w:r>
    </w:p>
    <w:p w14:paraId="734D9DDA">
      <w:pPr>
        <w:spacing w:line="500" w:lineRule="exact"/>
        <w:ind w:firstLine="420"/>
        <w:rPr>
          <w:rFonts w:hint="eastAsia" w:ascii="宋体" w:hAnsi="宋体" w:cs="宋体"/>
          <w:sz w:val="24"/>
        </w:rPr>
      </w:pPr>
      <w:r>
        <w:rPr>
          <w:rFonts w:hint="eastAsia" w:ascii="宋体" w:hAnsi="宋体" w:cs="宋体"/>
          <w:sz w:val="24"/>
          <w:highlight w:val="white"/>
        </w:rPr>
        <w:t>5.1.1 除第5.2款约定由发包人提供的材料和工程设备外，承包人负责采购、运输和保管完成本合同工作所需的材料和工程设备。承包人应对其采购的材料和工程设备负责。</w:t>
      </w:r>
    </w:p>
    <w:p w14:paraId="26B5D09B">
      <w:pPr>
        <w:spacing w:line="500" w:lineRule="exact"/>
        <w:ind w:firstLine="480" w:firstLineChars="200"/>
        <w:rPr>
          <w:rFonts w:hint="eastAsia" w:ascii="宋体" w:hAnsi="宋体" w:cs="宋体"/>
          <w:sz w:val="24"/>
        </w:rPr>
      </w:pPr>
      <w:r>
        <w:rPr>
          <w:rFonts w:hint="eastAsia" w:ascii="宋体" w:hAnsi="宋体" w:cs="宋体"/>
          <w:sz w:val="24"/>
          <w:highlight w:val="whit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29AB9A93">
      <w:pPr>
        <w:spacing w:line="500" w:lineRule="exact"/>
        <w:ind w:firstLine="420"/>
        <w:rPr>
          <w:rFonts w:hint="eastAsia" w:ascii="宋体" w:hAnsi="宋体" w:cs="宋体"/>
          <w:sz w:val="24"/>
        </w:rPr>
      </w:pPr>
      <w:r>
        <w:rPr>
          <w:rFonts w:hint="eastAsia" w:ascii="宋体" w:hAnsi="宋体" w:cs="宋体"/>
          <w:sz w:val="24"/>
          <w:highlight w:val="whit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BE1F2CE">
      <w:pPr>
        <w:spacing w:line="500" w:lineRule="exact"/>
        <w:outlineLvl w:val="3"/>
        <w:rPr>
          <w:rFonts w:hint="eastAsia" w:ascii="宋体" w:hAnsi="宋体" w:cs="宋体"/>
          <w:sz w:val="24"/>
        </w:rPr>
      </w:pPr>
      <w:r>
        <w:rPr>
          <w:rFonts w:hint="eastAsia" w:ascii="宋体" w:hAnsi="宋体" w:cs="宋体"/>
          <w:sz w:val="24"/>
          <w:highlight w:val="white"/>
        </w:rPr>
        <w:t>5.2 发包人提供的材料和工程设备</w:t>
      </w:r>
    </w:p>
    <w:p w14:paraId="6929D9F3">
      <w:pPr>
        <w:spacing w:line="500" w:lineRule="exact"/>
        <w:ind w:firstLine="480" w:firstLineChars="200"/>
        <w:rPr>
          <w:rFonts w:hint="eastAsia" w:ascii="宋体" w:hAnsi="宋体" w:cs="宋体"/>
          <w:sz w:val="24"/>
        </w:rPr>
      </w:pPr>
      <w:r>
        <w:rPr>
          <w:rFonts w:hint="eastAsia" w:ascii="宋体" w:hAnsi="宋体" w:cs="宋体"/>
          <w:sz w:val="24"/>
          <w:highlight w:val="white"/>
        </w:rPr>
        <w:t>5.2.1 发包人提供的材料和工程设备，应在专用合同条款中写明材料和工程设备的名称、规格、数量、价格、交货方式、交货地点和计划交货日期等。</w:t>
      </w:r>
    </w:p>
    <w:p w14:paraId="276DC39E">
      <w:pPr>
        <w:spacing w:line="500" w:lineRule="exact"/>
        <w:ind w:firstLine="480" w:firstLineChars="200"/>
        <w:rPr>
          <w:rFonts w:hint="eastAsia" w:ascii="宋体" w:hAnsi="宋体" w:cs="宋体"/>
          <w:sz w:val="24"/>
        </w:rPr>
      </w:pPr>
      <w:r>
        <w:rPr>
          <w:rFonts w:hint="eastAsia" w:ascii="宋体" w:hAnsi="宋体" w:cs="宋体"/>
          <w:sz w:val="24"/>
          <w:highlight w:val="white"/>
        </w:rPr>
        <w:t>5.2.2 承包人应根据合同进度计划的安排，向监理人报送要求发包人交货的日期计划。发包人应按照监理人与合同双方当事人商定的交货日期，向承包人提交材料和工程设备。</w:t>
      </w:r>
    </w:p>
    <w:p w14:paraId="7A95BC63">
      <w:pPr>
        <w:spacing w:line="500" w:lineRule="exact"/>
        <w:ind w:firstLine="480" w:firstLineChars="200"/>
        <w:rPr>
          <w:rFonts w:hint="eastAsia" w:ascii="宋体" w:hAnsi="宋体" w:cs="宋体"/>
          <w:sz w:val="24"/>
        </w:rPr>
      </w:pPr>
      <w:r>
        <w:rPr>
          <w:rFonts w:hint="eastAsia" w:ascii="宋体" w:hAnsi="宋体" w:cs="宋体"/>
          <w:sz w:val="24"/>
          <w:highlight w:val="white"/>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45FF47B0">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5.2.4 发包人要求向承包人提前交货的，承包人不得拒绝，但发包人应承担承包人由此增加的费用。 </w:t>
      </w:r>
    </w:p>
    <w:p w14:paraId="6D1D1901">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5.2.5 承包人要求更改交货日期或地点的，应事先报请监理人批准。由于承包人要求更改交货时间或地点所增加的费用和（或）工期延误由承包人承担。 </w:t>
      </w:r>
    </w:p>
    <w:p w14:paraId="6AA9EB0A">
      <w:pPr>
        <w:spacing w:line="500" w:lineRule="exact"/>
        <w:ind w:firstLine="480" w:firstLineChars="200"/>
        <w:rPr>
          <w:rFonts w:hint="eastAsia" w:ascii="宋体" w:hAnsi="宋体" w:cs="宋体"/>
          <w:sz w:val="24"/>
        </w:rPr>
      </w:pPr>
      <w:r>
        <w:rPr>
          <w:rFonts w:hint="eastAsia" w:ascii="宋体" w:hAnsi="宋体" w:cs="宋体"/>
          <w:sz w:val="24"/>
          <w:highlight w:val="whit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0FFEA4C">
      <w:pPr>
        <w:spacing w:line="500" w:lineRule="exact"/>
        <w:ind w:firstLine="480" w:firstLineChars="200"/>
        <w:outlineLvl w:val="3"/>
        <w:rPr>
          <w:rFonts w:hint="eastAsia" w:ascii="宋体" w:hAnsi="宋体" w:cs="宋体"/>
          <w:sz w:val="24"/>
        </w:rPr>
      </w:pPr>
      <w:r>
        <w:rPr>
          <w:rFonts w:hint="eastAsia" w:ascii="宋体" w:hAnsi="宋体" w:cs="宋体"/>
          <w:sz w:val="24"/>
          <w:highlight w:val="white"/>
        </w:rPr>
        <w:t>5.3 材料和工程设备专用于合同工程</w:t>
      </w:r>
    </w:p>
    <w:p w14:paraId="2DE4DFC8">
      <w:pPr>
        <w:spacing w:line="500" w:lineRule="exact"/>
        <w:ind w:firstLine="480" w:firstLineChars="200"/>
        <w:rPr>
          <w:rFonts w:hint="eastAsia" w:ascii="宋体" w:hAnsi="宋体" w:cs="宋体"/>
          <w:sz w:val="24"/>
        </w:rPr>
      </w:pPr>
      <w:r>
        <w:rPr>
          <w:rFonts w:hint="eastAsia" w:ascii="宋体" w:hAnsi="宋体" w:cs="宋体"/>
          <w:sz w:val="24"/>
          <w:highlight w:val="white"/>
        </w:rPr>
        <w:t>5.3.1运入施工场地的材料、工程设备，包括备品备件、安装专用工器具与随机资料，必须专用于合同工程，未经监理人同意，承包人不得运出施工场地或挪作他用。</w:t>
      </w:r>
    </w:p>
    <w:p w14:paraId="6C2D0481">
      <w:pPr>
        <w:spacing w:line="500" w:lineRule="exact"/>
        <w:ind w:firstLine="480" w:firstLineChars="200"/>
        <w:rPr>
          <w:rFonts w:hint="eastAsia" w:ascii="宋体" w:hAnsi="宋体" w:cs="宋体"/>
          <w:sz w:val="24"/>
        </w:rPr>
      </w:pPr>
      <w:r>
        <w:rPr>
          <w:rFonts w:hint="eastAsia" w:ascii="宋体" w:hAnsi="宋体" w:cs="宋体"/>
          <w:sz w:val="24"/>
          <w:highlight w:val="whit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0AA28C23">
      <w:pPr>
        <w:spacing w:line="500" w:lineRule="exact"/>
        <w:outlineLvl w:val="3"/>
        <w:rPr>
          <w:rFonts w:hint="eastAsia" w:ascii="宋体" w:hAnsi="宋体" w:cs="宋体"/>
          <w:sz w:val="24"/>
        </w:rPr>
      </w:pPr>
      <w:r>
        <w:rPr>
          <w:rFonts w:hint="eastAsia" w:ascii="宋体" w:hAnsi="宋体" w:cs="宋体"/>
          <w:sz w:val="24"/>
          <w:highlight w:val="white"/>
        </w:rPr>
        <w:t>5.4 禁止使用不合格的材料和工程设备</w:t>
      </w:r>
    </w:p>
    <w:p w14:paraId="237342D3">
      <w:pPr>
        <w:spacing w:line="500" w:lineRule="exact"/>
        <w:ind w:firstLine="480" w:firstLineChars="200"/>
        <w:rPr>
          <w:rFonts w:hint="eastAsia" w:ascii="宋体" w:hAnsi="宋体" w:cs="宋体"/>
          <w:sz w:val="24"/>
        </w:rPr>
      </w:pPr>
      <w:r>
        <w:rPr>
          <w:rFonts w:hint="eastAsia" w:ascii="宋体" w:hAnsi="宋体" w:cs="宋体"/>
          <w:sz w:val="24"/>
          <w:highlight w:val="white"/>
        </w:rPr>
        <w:t>5.4.1 监理人有权拒绝承包人提供的不合格材料或工程设备，并要求承包人立即进行更换。监理人应在更换后再次进行检查和检验，由此增加的费用和（或）工期延误由承包人承担。</w:t>
      </w:r>
    </w:p>
    <w:p w14:paraId="3024FD02">
      <w:pPr>
        <w:spacing w:line="500" w:lineRule="exact"/>
        <w:ind w:firstLine="480" w:firstLineChars="200"/>
        <w:rPr>
          <w:rFonts w:hint="eastAsia" w:ascii="宋体" w:hAnsi="宋体" w:cs="宋体"/>
          <w:sz w:val="24"/>
        </w:rPr>
      </w:pPr>
      <w:r>
        <w:rPr>
          <w:rFonts w:hint="eastAsia" w:ascii="宋体" w:hAnsi="宋体" w:cs="宋体"/>
          <w:sz w:val="24"/>
          <w:highlight w:val="white"/>
        </w:rPr>
        <w:t>5.4.2 监理人发现承包人使用了不合格的材料和工程设备，应即时发出指示要求承包人立即改正，并禁止在工程中继续使用不合格的材料和工程设备。</w:t>
      </w:r>
    </w:p>
    <w:p w14:paraId="10194892">
      <w:pPr>
        <w:spacing w:line="500" w:lineRule="exact"/>
        <w:ind w:firstLine="480" w:firstLineChars="200"/>
        <w:rPr>
          <w:rFonts w:hint="eastAsia" w:ascii="宋体" w:hAnsi="宋体" w:cs="宋体"/>
          <w:sz w:val="24"/>
        </w:rPr>
      </w:pPr>
      <w:r>
        <w:rPr>
          <w:rFonts w:hint="eastAsia" w:ascii="宋体" w:hAnsi="宋体" w:cs="宋体"/>
          <w:sz w:val="24"/>
          <w:highlight w:val="white"/>
        </w:rPr>
        <w:t>5.4.3 发包人提供的材料或工程设备不符合合同要求的，承包人有权拒绝，并可要求发包人更换，由此增加的费用和（或）工期延误由发包人承担。</w:t>
      </w:r>
    </w:p>
    <w:p w14:paraId="56B6C1E2">
      <w:pPr>
        <w:spacing w:line="500" w:lineRule="exact"/>
        <w:outlineLvl w:val="2"/>
        <w:rPr>
          <w:rFonts w:hint="eastAsia" w:ascii="宋体" w:hAnsi="宋体" w:cs="宋体"/>
          <w:sz w:val="24"/>
        </w:rPr>
      </w:pPr>
      <w:bookmarkStart w:id="66" w:name="_Toc149635765"/>
      <w:bookmarkStart w:id="67" w:name="_Toc256000113"/>
      <w:bookmarkStart w:id="68" w:name="_Toc149571652"/>
      <w:r>
        <w:rPr>
          <w:rFonts w:hint="eastAsia" w:ascii="宋体" w:hAnsi="宋体" w:cs="宋体"/>
          <w:sz w:val="24"/>
          <w:highlight w:val="white"/>
        </w:rPr>
        <w:t>6. 施工设备和临时设施</w:t>
      </w:r>
      <w:bookmarkEnd w:id="66"/>
      <w:bookmarkEnd w:id="67"/>
      <w:bookmarkEnd w:id="68"/>
    </w:p>
    <w:p w14:paraId="1EF80221">
      <w:pPr>
        <w:spacing w:line="500" w:lineRule="exact"/>
        <w:outlineLvl w:val="3"/>
        <w:rPr>
          <w:rFonts w:hint="eastAsia" w:ascii="宋体" w:hAnsi="宋体" w:cs="宋体"/>
          <w:sz w:val="24"/>
        </w:rPr>
      </w:pPr>
      <w:r>
        <w:rPr>
          <w:rFonts w:hint="eastAsia" w:ascii="宋体" w:hAnsi="宋体" w:cs="宋体"/>
          <w:sz w:val="24"/>
          <w:highlight w:val="white"/>
        </w:rPr>
        <w:t>6.1 承包人提供的施工设备和临时设施</w:t>
      </w:r>
    </w:p>
    <w:p w14:paraId="7D8826FE">
      <w:pPr>
        <w:spacing w:line="500" w:lineRule="exact"/>
        <w:ind w:firstLine="480" w:firstLineChars="200"/>
        <w:rPr>
          <w:rFonts w:hint="eastAsia" w:ascii="宋体" w:hAnsi="宋体" w:cs="宋体"/>
          <w:sz w:val="24"/>
        </w:rPr>
      </w:pPr>
      <w:r>
        <w:rPr>
          <w:rFonts w:hint="eastAsia" w:ascii="宋体" w:hAnsi="宋体" w:cs="宋体"/>
          <w:sz w:val="24"/>
          <w:highlight w:val="white"/>
        </w:rPr>
        <w:t>6.1.1 承包人应按合同进度计划的要求，及时配置施工设备和修建临时设施。进入施工场地的承包人设备需经监理人核查后才能投入使用。承包人更换合同约定的承包人设备的，应报监理人批准。</w:t>
      </w:r>
    </w:p>
    <w:p w14:paraId="03EF0563">
      <w:pPr>
        <w:spacing w:line="500" w:lineRule="exact"/>
        <w:ind w:firstLine="480" w:firstLineChars="200"/>
        <w:rPr>
          <w:rFonts w:hint="eastAsia" w:ascii="宋体" w:hAnsi="宋体" w:cs="宋体"/>
          <w:sz w:val="24"/>
        </w:rPr>
      </w:pPr>
      <w:r>
        <w:rPr>
          <w:rFonts w:hint="eastAsia" w:ascii="宋体" w:hAnsi="宋体" w:cs="宋体"/>
          <w:sz w:val="24"/>
          <w:highlight w:val="white"/>
        </w:rPr>
        <w:t>6.1.2除专用合同条款另有约定外，承包人应自行承担修建临时设施的费用，需要临时占地的，应由发包人办理申请手续并承担相应费用。</w:t>
      </w:r>
    </w:p>
    <w:p w14:paraId="29F78C97">
      <w:pPr>
        <w:spacing w:line="500" w:lineRule="exact"/>
        <w:outlineLvl w:val="3"/>
        <w:rPr>
          <w:rFonts w:hint="eastAsia" w:ascii="宋体" w:hAnsi="宋体" w:cs="宋体"/>
          <w:sz w:val="24"/>
        </w:rPr>
      </w:pPr>
      <w:r>
        <w:rPr>
          <w:rFonts w:hint="eastAsia" w:ascii="宋体" w:hAnsi="宋体" w:cs="宋体"/>
          <w:sz w:val="24"/>
          <w:highlight w:val="white"/>
        </w:rPr>
        <w:t>6.2 发包人提供的施工设备和临时设施</w:t>
      </w:r>
    </w:p>
    <w:p w14:paraId="4BAD00A5">
      <w:pPr>
        <w:spacing w:line="500" w:lineRule="exact"/>
        <w:ind w:firstLine="480" w:firstLineChars="200"/>
        <w:rPr>
          <w:rFonts w:hint="eastAsia" w:ascii="宋体" w:hAnsi="宋体" w:cs="宋体"/>
          <w:sz w:val="24"/>
        </w:rPr>
      </w:pPr>
      <w:r>
        <w:rPr>
          <w:rFonts w:hint="eastAsia" w:ascii="宋体" w:hAnsi="宋体" w:cs="宋体"/>
          <w:sz w:val="24"/>
          <w:highlight w:val="white"/>
        </w:rPr>
        <w:t>发包人提供的施工设备或临时设施在专用合同条款中约定。</w:t>
      </w:r>
    </w:p>
    <w:p w14:paraId="007DB33A">
      <w:pPr>
        <w:spacing w:line="500" w:lineRule="exact"/>
        <w:outlineLvl w:val="3"/>
        <w:rPr>
          <w:rFonts w:hint="eastAsia" w:ascii="宋体" w:hAnsi="宋体" w:cs="宋体"/>
          <w:sz w:val="24"/>
        </w:rPr>
      </w:pPr>
      <w:r>
        <w:rPr>
          <w:rFonts w:hint="eastAsia" w:ascii="宋体" w:hAnsi="宋体" w:cs="宋体"/>
          <w:sz w:val="24"/>
          <w:highlight w:val="white"/>
        </w:rPr>
        <w:t>6.3 要求承包人增加或更换施工设备</w:t>
      </w:r>
    </w:p>
    <w:p w14:paraId="494294E0">
      <w:pPr>
        <w:spacing w:line="500" w:lineRule="exact"/>
        <w:ind w:firstLine="480" w:firstLineChars="200"/>
        <w:rPr>
          <w:rFonts w:hint="eastAsia" w:ascii="宋体" w:hAnsi="宋体" w:cs="宋体"/>
          <w:sz w:val="24"/>
        </w:rPr>
      </w:pPr>
      <w:r>
        <w:rPr>
          <w:rFonts w:hint="eastAsia" w:ascii="宋体" w:hAnsi="宋体" w:cs="宋体"/>
          <w:sz w:val="24"/>
          <w:highlight w:val="white"/>
        </w:rPr>
        <w:t>承包人使用的施工设备不能满足合同进度计划和（或）质量要求时，监理人有权要求承包人增加或更换施工设备，承包人应及时增加或更换，由此增加的费用和（或）工期延误由承包人承担。</w:t>
      </w:r>
    </w:p>
    <w:p w14:paraId="0AF60262">
      <w:pPr>
        <w:spacing w:line="500" w:lineRule="exact"/>
        <w:outlineLvl w:val="3"/>
        <w:rPr>
          <w:rFonts w:hint="eastAsia" w:ascii="宋体" w:hAnsi="宋体" w:cs="宋体"/>
          <w:sz w:val="24"/>
        </w:rPr>
      </w:pPr>
      <w:r>
        <w:rPr>
          <w:rFonts w:hint="eastAsia" w:ascii="宋体" w:hAnsi="宋体" w:cs="宋体"/>
          <w:sz w:val="24"/>
          <w:highlight w:val="white"/>
        </w:rPr>
        <w:t>6.4 施工设备和临时设施专用于合同工程</w:t>
      </w:r>
    </w:p>
    <w:p w14:paraId="48E04198">
      <w:pPr>
        <w:spacing w:line="500" w:lineRule="exact"/>
        <w:ind w:firstLine="480" w:firstLineChars="200"/>
        <w:rPr>
          <w:rFonts w:hint="eastAsia" w:ascii="宋体" w:hAnsi="宋体" w:cs="宋体"/>
          <w:sz w:val="24"/>
        </w:rPr>
      </w:pPr>
      <w:r>
        <w:rPr>
          <w:rFonts w:hint="eastAsia" w:ascii="宋体" w:hAnsi="宋体" w:cs="宋体"/>
          <w:sz w:val="24"/>
          <w:highlight w:val="white"/>
        </w:rPr>
        <w:t>6.4.1除合同另有约定外，运入施工场地的所有施工设备以及在施工场地建设的临时设施应专用于合同工程。未经监理人同意，不得将上述施工设备和临时设施中的任何部分运出施工场地或挪作他用。</w:t>
      </w:r>
    </w:p>
    <w:p w14:paraId="4E349EF9">
      <w:pPr>
        <w:spacing w:line="500" w:lineRule="exact"/>
        <w:ind w:firstLine="480" w:firstLineChars="200"/>
        <w:rPr>
          <w:rFonts w:hint="eastAsia" w:ascii="宋体" w:hAnsi="宋体" w:cs="宋体"/>
          <w:sz w:val="24"/>
        </w:rPr>
      </w:pPr>
      <w:r>
        <w:rPr>
          <w:rFonts w:hint="eastAsia" w:ascii="宋体" w:hAnsi="宋体" w:cs="宋体"/>
          <w:sz w:val="24"/>
          <w:highlight w:val="white"/>
        </w:rPr>
        <w:t>6.4.2 经监理人同意，承包人可根据合同进度计划撤走闲置的施工设备。</w:t>
      </w:r>
    </w:p>
    <w:p w14:paraId="15651C6A">
      <w:pPr>
        <w:spacing w:line="500" w:lineRule="exact"/>
        <w:outlineLvl w:val="2"/>
        <w:rPr>
          <w:rFonts w:hint="eastAsia" w:ascii="宋体" w:hAnsi="宋体" w:cs="宋体"/>
          <w:sz w:val="24"/>
        </w:rPr>
      </w:pPr>
      <w:bookmarkStart w:id="69" w:name="_Toc149571653"/>
      <w:bookmarkStart w:id="70" w:name="_Toc149635766"/>
      <w:bookmarkStart w:id="71" w:name="_Toc256000114"/>
      <w:r>
        <w:rPr>
          <w:rFonts w:hint="eastAsia" w:ascii="宋体" w:hAnsi="宋体" w:cs="宋体"/>
          <w:sz w:val="24"/>
          <w:highlight w:val="white"/>
        </w:rPr>
        <w:t>7. 交通运输</w:t>
      </w:r>
      <w:bookmarkEnd w:id="69"/>
      <w:bookmarkEnd w:id="70"/>
      <w:bookmarkEnd w:id="71"/>
    </w:p>
    <w:p w14:paraId="77183080">
      <w:pPr>
        <w:spacing w:line="500" w:lineRule="exact"/>
        <w:outlineLvl w:val="3"/>
        <w:rPr>
          <w:rFonts w:hint="eastAsia" w:ascii="宋体" w:hAnsi="宋体" w:cs="宋体"/>
          <w:sz w:val="24"/>
        </w:rPr>
      </w:pPr>
      <w:r>
        <w:rPr>
          <w:rFonts w:hint="eastAsia" w:ascii="宋体" w:hAnsi="宋体" w:cs="宋体"/>
          <w:sz w:val="24"/>
          <w:highlight w:val="white"/>
        </w:rPr>
        <w:t>7.1 道路通行权和场外设施</w:t>
      </w:r>
    </w:p>
    <w:p w14:paraId="3158EF3A">
      <w:pPr>
        <w:spacing w:line="500" w:lineRule="exact"/>
        <w:rPr>
          <w:rFonts w:hint="eastAsia" w:ascii="宋体" w:hAnsi="宋体" w:cs="宋体"/>
          <w:sz w:val="24"/>
        </w:rPr>
      </w:pPr>
      <w:r>
        <w:rPr>
          <w:rFonts w:hint="eastAsia" w:ascii="宋体" w:hAnsi="宋体" w:cs="宋体"/>
          <w:sz w:val="24"/>
          <w:highlight w:val="white"/>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39617D40">
      <w:pPr>
        <w:spacing w:line="500" w:lineRule="exact"/>
        <w:outlineLvl w:val="3"/>
        <w:rPr>
          <w:rFonts w:hint="eastAsia" w:ascii="宋体" w:hAnsi="宋体" w:cs="宋体"/>
          <w:sz w:val="24"/>
        </w:rPr>
      </w:pPr>
      <w:r>
        <w:rPr>
          <w:rFonts w:hint="eastAsia" w:ascii="宋体" w:hAnsi="宋体" w:cs="宋体"/>
          <w:sz w:val="24"/>
          <w:highlight w:val="white"/>
        </w:rPr>
        <w:t>7.2 场内施工道路</w:t>
      </w:r>
    </w:p>
    <w:p w14:paraId="14FB2248">
      <w:pPr>
        <w:spacing w:line="500" w:lineRule="exact"/>
        <w:rPr>
          <w:rFonts w:hint="eastAsia" w:ascii="宋体" w:hAnsi="宋体" w:cs="宋体"/>
          <w:sz w:val="24"/>
        </w:rPr>
      </w:pPr>
      <w:r>
        <w:rPr>
          <w:rFonts w:hint="eastAsia" w:ascii="宋体" w:hAnsi="宋体" w:cs="宋体"/>
          <w:sz w:val="24"/>
          <w:highlight w:val="white"/>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5A907787">
      <w:pPr>
        <w:spacing w:line="500" w:lineRule="exact"/>
        <w:ind w:firstLine="420"/>
        <w:rPr>
          <w:rFonts w:hint="eastAsia" w:ascii="宋体" w:hAnsi="宋体" w:cs="宋体"/>
          <w:sz w:val="24"/>
        </w:rPr>
      </w:pPr>
      <w:r>
        <w:rPr>
          <w:rFonts w:hint="eastAsia" w:ascii="宋体" w:hAnsi="宋体" w:cs="宋体"/>
          <w:sz w:val="24"/>
          <w:highlight w:val="white"/>
        </w:rPr>
        <w:t>7.2.2　承包人修建的临时道路和交通设施，应免费提供发包人、监理人以及与本合同有关的其他承包人使用。</w:t>
      </w:r>
    </w:p>
    <w:p w14:paraId="7CC12E6E">
      <w:pPr>
        <w:spacing w:line="500" w:lineRule="exact"/>
        <w:outlineLvl w:val="3"/>
        <w:rPr>
          <w:rFonts w:hint="eastAsia" w:ascii="宋体" w:hAnsi="宋体" w:cs="宋体"/>
          <w:sz w:val="24"/>
        </w:rPr>
      </w:pPr>
      <w:r>
        <w:rPr>
          <w:rFonts w:hint="eastAsia" w:ascii="宋体" w:hAnsi="宋体" w:cs="宋体"/>
          <w:sz w:val="24"/>
          <w:highlight w:val="white"/>
        </w:rPr>
        <w:t>7.3 场外交通</w:t>
      </w:r>
    </w:p>
    <w:p w14:paraId="446C902F">
      <w:pPr>
        <w:spacing w:line="500" w:lineRule="exact"/>
        <w:ind w:firstLine="480" w:firstLineChars="200"/>
        <w:rPr>
          <w:rFonts w:hint="eastAsia" w:ascii="宋体" w:hAnsi="宋体" w:cs="宋体"/>
          <w:sz w:val="24"/>
        </w:rPr>
      </w:pPr>
      <w:r>
        <w:rPr>
          <w:rFonts w:hint="eastAsia" w:ascii="宋体" w:hAnsi="宋体" w:cs="宋体"/>
          <w:sz w:val="24"/>
          <w:highlight w:val="white"/>
        </w:rPr>
        <w:t>7.3.1 承包人车辆外出行驶所需的场外公共道路的通行费、养路费和税款等由承包人承担。</w:t>
      </w:r>
    </w:p>
    <w:p w14:paraId="3CEBF560">
      <w:pPr>
        <w:spacing w:line="500" w:lineRule="exact"/>
        <w:ind w:firstLine="480" w:firstLineChars="200"/>
        <w:rPr>
          <w:rFonts w:hint="eastAsia" w:ascii="宋体" w:hAnsi="宋体" w:cs="宋体"/>
          <w:sz w:val="24"/>
        </w:rPr>
      </w:pPr>
      <w:r>
        <w:rPr>
          <w:rFonts w:hint="eastAsia" w:ascii="宋体" w:hAnsi="宋体" w:cs="宋体"/>
          <w:sz w:val="24"/>
          <w:highlight w:val="white"/>
        </w:rPr>
        <w:t>7.3.2 承包人应遵守有关交通法规，严格按照道路和桥梁的限制荷重安全行驶，并服从交通管理部门的检查和监督。</w:t>
      </w:r>
    </w:p>
    <w:p w14:paraId="3E2533B3">
      <w:pPr>
        <w:spacing w:line="500" w:lineRule="exact"/>
        <w:outlineLvl w:val="3"/>
        <w:rPr>
          <w:rFonts w:hint="eastAsia" w:ascii="宋体" w:hAnsi="宋体" w:cs="宋体"/>
          <w:sz w:val="24"/>
        </w:rPr>
      </w:pPr>
      <w:r>
        <w:rPr>
          <w:rFonts w:hint="eastAsia" w:ascii="宋体" w:hAnsi="宋体" w:cs="宋体"/>
          <w:sz w:val="24"/>
          <w:highlight w:val="white"/>
        </w:rPr>
        <w:t>7.4 超大件和超重件的运输</w:t>
      </w:r>
    </w:p>
    <w:p w14:paraId="414EB450">
      <w:pPr>
        <w:spacing w:line="500" w:lineRule="exact"/>
        <w:ind w:firstLine="480" w:firstLineChars="200"/>
        <w:rPr>
          <w:rFonts w:hint="eastAsia" w:ascii="宋体" w:hAnsi="宋体" w:cs="宋体"/>
          <w:sz w:val="24"/>
        </w:rPr>
      </w:pPr>
      <w:r>
        <w:rPr>
          <w:rFonts w:hint="eastAsia" w:ascii="宋体" w:hAnsi="宋体" w:cs="宋体"/>
          <w:sz w:val="24"/>
          <w:highlight w:val="whit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5A5C82A">
      <w:pPr>
        <w:spacing w:line="500" w:lineRule="exact"/>
        <w:outlineLvl w:val="3"/>
        <w:rPr>
          <w:rFonts w:hint="eastAsia" w:ascii="宋体" w:hAnsi="宋体" w:cs="宋体"/>
          <w:sz w:val="24"/>
        </w:rPr>
      </w:pPr>
      <w:r>
        <w:rPr>
          <w:rFonts w:hint="eastAsia" w:ascii="宋体" w:hAnsi="宋体" w:cs="宋体"/>
          <w:sz w:val="24"/>
          <w:highlight w:val="white"/>
        </w:rPr>
        <w:t>7.5 道路和桥梁的损坏责任</w:t>
      </w:r>
    </w:p>
    <w:p w14:paraId="1D3CE6E3">
      <w:pPr>
        <w:spacing w:line="500" w:lineRule="exact"/>
        <w:ind w:firstLine="480" w:firstLineChars="200"/>
        <w:rPr>
          <w:rFonts w:hint="eastAsia" w:ascii="宋体" w:hAnsi="宋体" w:cs="宋体"/>
          <w:sz w:val="24"/>
        </w:rPr>
      </w:pPr>
      <w:r>
        <w:rPr>
          <w:rFonts w:hint="eastAsia" w:ascii="宋体" w:hAnsi="宋体" w:cs="宋体"/>
          <w:sz w:val="24"/>
          <w:highlight w:val="white"/>
        </w:rPr>
        <w:t>因承包人运输造成施工场地内外公共道路和桥梁损坏的，由承包人承担修复损坏的全部费用和可能引起的赔偿。</w:t>
      </w:r>
    </w:p>
    <w:p w14:paraId="7C5D5164">
      <w:pPr>
        <w:spacing w:line="500" w:lineRule="exact"/>
        <w:outlineLvl w:val="3"/>
        <w:rPr>
          <w:rFonts w:hint="eastAsia" w:ascii="宋体" w:hAnsi="宋体" w:cs="宋体"/>
          <w:sz w:val="24"/>
        </w:rPr>
      </w:pPr>
      <w:r>
        <w:rPr>
          <w:rFonts w:hint="eastAsia" w:ascii="宋体" w:hAnsi="宋体" w:cs="宋体"/>
          <w:sz w:val="24"/>
          <w:highlight w:val="white"/>
        </w:rPr>
        <w:t>7.6 水路和航空运输</w:t>
      </w:r>
    </w:p>
    <w:p w14:paraId="4D3CC41F">
      <w:pPr>
        <w:spacing w:line="500" w:lineRule="exact"/>
        <w:ind w:firstLine="420"/>
        <w:rPr>
          <w:rFonts w:hint="eastAsia" w:ascii="宋体" w:hAnsi="宋体" w:cs="宋体"/>
          <w:sz w:val="24"/>
        </w:rPr>
      </w:pPr>
      <w:r>
        <w:rPr>
          <w:rFonts w:hint="eastAsia" w:ascii="宋体" w:hAnsi="宋体" w:cs="宋体"/>
          <w:sz w:val="24"/>
          <w:highlight w:val="white"/>
        </w:rPr>
        <w:t>本条上述各款的内容适用于水路运输和航空运输，其中“道路”一词的涵义包括河道、航线、船闸、机场、码头、堤防以及水路或航空运输中其他相似结构物；“车辆”一词的涵义包括船舶和飞机等。</w:t>
      </w:r>
    </w:p>
    <w:p w14:paraId="1C46B6F0">
      <w:pPr>
        <w:spacing w:line="500" w:lineRule="exact"/>
        <w:outlineLvl w:val="2"/>
        <w:rPr>
          <w:rFonts w:hint="eastAsia" w:ascii="宋体" w:hAnsi="宋体" w:cs="宋体"/>
          <w:sz w:val="24"/>
        </w:rPr>
      </w:pPr>
      <w:bookmarkStart w:id="72" w:name="_Toc149635767"/>
      <w:bookmarkStart w:id="73" w:name="_Toc256000115"/>
      <w:bookmarkStart w:id="74" w:name="_Toc149571654"/>
      <w:r>
        <w:rPr>
          <w:rFonts w:hint="eastAsia" w:ascii="宋体" w:hAnsi="宋体" w:cs="宋体"/>
          <w:sz w:val="24"/>
          <w:highlight w:val="white"/>
        </w:rPr>
        <w:t>8. 测量放线</w:t>
      </w:r>
      <w:bookmarkEnd w:id="72"/>
      <w:bookmarkEnd w:id="73"/>
      <w:bookmarkEnd w:id="74"/>
    </w:p>
    <w:p w14:paraId="73F3804A">
      <w:pPr>
        <w:spacing w:line="500" w:lineRule="exact"/>
        <w:outlineLvl w:val="3"/>
        <w:rPr>
          <w:rFonts w:hint="eastAsia" w:ascii="宋体" w:hAnsi="宋体" w:cs="宋体"/>
          <w:sz w:val="24"/>
        </w:rPr>
      </w:pPr>
      <w:r>
        <w:rPr>
          <w:rFonts w:hint="eastAsia" w:ascii="宋体" w:hAnsi="宋体" w:cs="宋体"/>
          <w:sz w:val="24"/>
          <w:highlight w:val="white"/>
        </w:rPr>
        <w:t>8.1 施工控制网</w:t>
      </w:r>
    </w:p>
    <w:p w14:paraId="43A64756">
      <w:pPr>
        <w:spacing w:line="500" w:lineRule="exact"/>
        <w:ind w:firstLine="420"/>
        <w:rPr>
          <w:rFonts w:hint="eastAsia" w:ascii="宋体" w:hAnsi="宋体" w:cs="宋体"/>
          <w:sz w:val="24"/>
        </w:rPr>
      </w:pPr>
      <w:r>
        <w:rPr>
          <w:rFonts w:hint="eastAsia" w:ascii="宋体" w:hAnsi="宋体" w:cs="宋体"/>
          <w:sz w:val="24"/>
          <w:highlight w:val="white"/>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E34D625">
      <w:pPr>
        <w:spacing w:line="500" w:lineRule="exact"/>
        <w:ind w:firstLine="420"/>
        <w:rPr>
          <w:rFonts w:hint="eastAsia" w:ascii="宋体" w:hAnsi="宋体" w:cs="宋体"/>
          <w:sz w:val="24"/>
        </w:rPr>
      </w:pPr>
      <w:r>
        <w:rPr>
          <w:rFonts w:hint="eastAsia" w:ascii="宋体" w:hAnsi="宋体" w:cs="宋体"/>
          <w:sz w:val="24"/>
          <w:highlight w:val="white"/>
        </w:rPr>
        <w:t>8.1.2承包人应负责管理施工控制网点。施工控制网点丢失或损坏的，承包人应及时修复。承包人应承担施工控制网点的管理与修复费用，并在工程竣工后将施工控制网点移交发包人。</w:t>
      </w:r>
    </w:p>
    <w:p w14:paraId="0BB1FB3D">
      <w:pPr>
        <w:spacing w:line="500" w:lineRule="exact"/>
        <w:outlineLvl w:val="3"/>
        <w:rPr>
          <w:rFonts w:hint="eastAsia" w:ascii="宋体" w:hAnsi="宋体" w:cs="宋体"/>
          <w:sz w:val="24"/>
        </w:rPr>
      </w:pPr>
      <w:r>
        <w:rPr>
          <w:rFonts w:hint="eastAsia" w:ascii="宋体" w:hAnsi="宋体" w:cs="宋体"/>
          <w:sz w:val="24"/>
          <w:highlight w:val="white"/>
        </w:rPr>
        <w:t>8.2 施工测量</w:t>
      </w:r>
    </w:p>
    <w:p w14:paraId="6FE143D2">
      <w:pPr>
        <w:spacing w:line="500" w:lineRule="exact"/>
        <w:ind w:firstLine="480" w:firstLineChars="200"/>
        <w:rPr>
          <w:rFonts w:hint="eastAsia" w:ascii="宋体" w:hAnsi="宋体" w:cs="宋体"/>
          <w:sz w:val="24"/>
        </w:rPr>
      </w:pPr>
      <w:r>
        <w:rPr>
          <w:rFonts w:hint="eastAsia" w:ascii="宋体" w:hAnsi="宋体" w:cs="宋体"/>
          <w:sz w:val="24"/>
          <w:highlight w:val="white"/>
        </w:rPr>
        <w:t>8.2.1承包人应负责施工过程中的全部施工测量放线工作，并配置合格的人员、仪器、设备和其他物品。</w:t>
      </w:r>
    </w:p>
    <w:p w14:paraId="552892E5">
      <w:pPr>
        <w:spacing w:line="500" w:lineRule="exact"/>
        <w:ind w:firstLine="480" w:firstLineChars="200"/>
        <w:rPr>
          <w:rFonts w:hint="eastAsia" w:ascii="宋体" w:hAnsi="宋体" w:cs="宋体"/>
          <w:sz w:val="24"/>
        </w:rPr>
      </w:pPr>
      <w:r>
        <w:rPr>
          <w:rFonts w:hint="eastAsia" w:ascii="宋体" w:hAnsi="宋体" w:cs="宋体"/>
          <w:sz w:val="24"/>
          <w:highlight w:val="white"/>
        </w:rPr>
        <w:t>8.2.2监理人可以指示承包人进行抽样复测，当复测中发现错误或出现超过合同约定的误差时，承包人应按监理人指示进行修正或补测，并承担相应的复测费用。</w:t>
      </w:r>
    </w:p>
    <w:p w14:paraId="7FEE2989">
      <w:pPr>
        <w:spacing w:line="500" w:lineRule="exact"/>
        <w:outlineLvl w:val="3"/>
        <w:rPr>
          <w:rFonts w:hint="eastAsia" w:ascii="宋体" w:hAnsi="宋体" w:cs="宋体"/>
          <w:sz w:val="24"/>
        </w:rPr>
      </w:pPr>
      <w:r>
        <w:rPr>
          <w:rFonts w:hint="eastAsia" w:ascii="宋体" w:hAnsi="宋体" w:cs="宋体"/>
          <w:sz w:val="24"/>
          <w:highlight w:val="white"/>
        </w:rPr>
        <w:t>8.3 基准资料错误的责任</w:t>
      </w:r>
    </w:p>
    <w:p w14:paraId="23FA915E">
      <w:pPr>
        <w:spacing w:line="500" w:lineRule="exact"/>
        <w:ind w:firstLine="480" w:firstLineChars="200"/>
        <w:rPr>
          <w:rFonts w:hint="eastAsia" w:ascii="宋体" w:hAnsi="宋体" w:cs="宋体"/>
          <w:sz w:val="24"/>
        </w:rPr>
      </w:pPr>
      <w:r>
        <w:rPr>
          <w:rFonts w:hint="eastAsia" w:ascii="宋体" w:hAnsi="宋体" w:cs="宋体"/>
          <w:sz w:val="24"/>
          <w:highlight w:val="whit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D48B5AC">
      <w:pPr>
        <w:spacing w:line="500" w:lineRule="exact"/>
        <w:outlineLvl w:val="3"/>
        <w:rPr>
          <w:rFonts w:hint="eastAsia" w:ascii="宋体" w:hAnsi="宋体" w:cs="宋体"/>
          <w:sz w:val="24"/>
        </w:rPr>
      </w:pPr>
      <w:r>
        <w:rPr>
          <w:rFonts w:hint="eastAsia" w:ascii="宋体" w:hAnsi="宋体" w:cs="宋体"/>
          <w:sz w:val="24"/>
          <w:highlight w:val="white"/>
        </w:rPr>
        <w:t>8.4 监理人使用施工控制网</w:t>
      </w:r>
    </w:p>
    <w:p w14:paraId="6FE8A5BC">
      <w:pPr>
        <w:spacing w:line="500" w:lineRule="exact"/>
        <w:ind w:firstLine="420"/>
        <w:rPr>
          <w:rFonts w:hint="eastAsia" w:ascii="宋体" w:hAnsi="宋体" w:cs="宋体"/>
          <w:sz w:val="24"/>
        </w:rPr>
      </w:pPr>
      <w:r>
        <w:rPr>
          <w:rFonts w:hint="eastAsia" w:ascii="宋体" w:hAnsi="宋体" w:cs="宋体"/>
          <w:sz w:val="24"/>
          <w:highlight w:val="white"/>
        </w:rPr>
        <w:t>监理人需要使用施工控制网的，承包人应提供必要的协助，发包人不再为此支付费用。</w:t>
      </w:r>
    </w:p>
    <w:p w14:paraId="3E1DC8A4">
      <w:pPr>
        <w:spacing w:line="500" w:lineRule="exact"/>
        <w:outlineLvl w:val="3"/>
        <w:rPr>
          <w:rFonts w:hint="eastAsia" w:ascii="宋体" w:hAnsi="宋体" w:cs="宋体"/>
          <w:sz w:val="24"/>
        </w:rPr>
      </w:pPr>
      <w:r>
        <w:rPr>
          <w:rFonts w:hint="eastAsia" w:ascii="宋体" w:hAnsi="宋体" w:cs="宋体"/>
          <w:sz w:val="24"/>
          <w:highlight w:val="white"/>
        </w:rPr>
        <w:t>8.5 补充地质勘探</w:t>
      </w:r>
    </w:p>
    <w:p w14:paraId="14E911C5">
      <w:pPr>
        <w:spacing w:line="500" w:lineRule="exact"/>
        <w:rPr>
          <w:rFonts w:hint="eastAsia" w:ascii="宋体" w:hAnsi="宋体" w:cs="宋体"/>
          <w:sz w:val="24"/>
        </w:rPr>
      </w:pPr>
      <w:r>
        <w:rPr>
          <w:rFonts w:hint="eastAsia" w:ascii="宋体" w:hAnsi="宋体" w:cs="宋体"/>
          <w:sz w:val="24"/>
          <w:highlight w:val="white"/>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0093BA8F">
      <w:pPr>
        <w:spacing w:line="500" w:lineRule="exact"/>
        <w:outlineLvl w:val="2"/>
        <w:rPr>
          <w:rFonts w:hint="eastAsia" w:ascii="宋体" w:hAnsi="宋体" w:cs="宋体"/>
          <w:sz w:val="24"/>
        </w:rPr>
      </w:pPr>
      <w:bookmarkStart w:id="75" w:name="_Toc256000116"/>
      <w:bookmarkStart w:id="76" w:name="_Toc149571655"/>
      <w:bookmarkStart w:id="77" w:name="_Toc149635768"/>
      <w:r>
        <w:rPr>
          <w:rFonts w:hint="eastAsia" w:ascii="宋体" w:hAnsi="宋体" w:cs="宋体"/>
          <w:sz w:val="24"/>
          <w:highlight w:val="white"/>
        </w:rPr>
        <w:t>9. 施工安全、治安保卫和环境保护</w:t>
      </w:r>
      <w:bookmarkEnd w:id="75"/>
      <w:bookmarkEnd w:id="76"/>
      <w:bookmarkEnd w:id="77"/>
    </w:p>
    <w:p w14:paraId="18614692">
      <w:pPr>
        <w:spacing w:line="500" w:lineRule="exact"/>
        <w:outlineLvl w:val="3"/>
        <w:rPr>
          <w:rFonts w:hint="eastAsia" w:ascii="宋体" w:hAnsi="宋体" w:cs="宋体"/>
          <w:sz w:val="24"/>
        </w:rPr>
      </w:pPr>
      <w:r>
        <w:rPr>
          <w:rFonts w:hint="eastAsia" w:ascii="宋体" w:hAnsi="宋体" w:cs="宋体"/>
          <w:sz w:val="24"/>
          <w:highlight w:val="white"/>
        </w:rPr>
        <w:t>9.1 发包人的施工安全责任</w:t>
      </w:r>
    </w:p>
    <w:p w14:paraId="0E2426B6">
      <w:pPr>
        <w:spacing w:line="500" w:lineRule="exact"/>
        <w:ind w:firstLine="420"/>
        <w:rPr>
          <w:rFonts w:hint="eastAsia" w:ascii="宋体" w:hAnsi="宋体" w:cs="宋体"/>
          <w:sz w:val="24"/>
        </w:rPr>
      </w:pPr>
      <w:r>
        <w:rPr>
          <w:rFonts w:hint="eastAsia" w:ascii="宋体" w:hAnsi="宋体" w:cs="宋体"/>
          <w:sz w:val="24"/>
          <w:highlight w:val="white"/>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1EE0FEAA">
      <w:pPr>
        <w:spacing w:line="500" w:lineRule="exact"/>
        <w:ind w:firstLine="480" w:firstLineChars="200"/>
        <w:rPr>
          <w:rFonts w:hint="eastAsia" w:ascii="宋体" w:hAnsi="宋体" w:cs="宋体"/>
          <w:sz w:val="24"/>
        </w:rPr>
      </w:pPr>
      <w:r>
        <w:rPr>
          <w:rFonts w:hint="eastAsia" w:ascii="宋体" w:hAnsi="宋体" w:cs="宋体"/>
          <w:sz w:val="24"/>
          <w:highlight w:val="white"/>
        </w:rPr>
        <w:t>9.1.2 发包人应对其现场机构雇佣的全部人员的工伤事故承担责任，但由于承包人原因造成发包人人员工伤的，应由承包人承担责任。</w:t>
      </w:r>
    </w:p>
    <w:p w14:paraId="694C2A30">
      <w:pPr>
        <w:spacing w:line="500" w:lineRule="exact"/>
        <w:ind w:firstLine="480" w:firstLineChars="200"/>
        <w:rPr>
          <w:rFonts w:hint="eastAsia" w:ascii="宋体" w:hAnsi="宋体" w:cs="宋体"/>
          <w:sz w:val="24"/>
        </w:rPr>
      </w:pPr>
      <w:r>
        <w:rPr>
          <w:rFonts w:hint="eastAsia" w:ascii="宋体" w:hAnsi="宋体" w:cs="宋体"/>
          <w:sz w:val="24"/>
          <w:highlight w:val="white"/>
        </w:rPr>
        <w:t>9.1.3 发包人应负责赔偿以下各种情况造成的第三者人身伤亡和财产损失：</w:t>
      </w:r>
    </w:p>
    <w:p w14:paraId="6295A15D">
      <w:pPr>
        <w:spacing w:line="500" w:lineRule="exact"/>
        <w:ind w:firstLine="480" w:firstLineChars="200"/>
        <w:rPr>
          <w:rFonts w:hint="eastAsia" w:ascii="宋体" w:hAnsi="宋体" w:cs="宋体"/>
          <w:sz w:val="24"/>
        </w:rPr>
      </w:pPr>
      <w:r>
        <w:rPr>
          <w:rFonts w:hint="eastAsia" w:ascii="宋体" w:hAnsi="宋体" w:cs="宋体"/>
          <w:sz w:val="24"/>
          <w:highlight w:val="white"/>
        </w:rPr>
        <w:t>（1） 工程或工程的任何部分对土地的占用所造成的第三者财产损失；</w:t>
      </w:r>
    </w:p>
    <w:p w14:paraId="48769E27">
      <w:pPr>
        <w:spacing w:line="500" w:lineRule="exact"/>
        <w:ind w:firstLine="420"/>
        <w:rPr>
          <w:rFonts w:hint="eastAsia" w:ascii="宋体" w:hAnsi="宋体" w:cs="宋体"/>
          <w:sz w:val="24"/>
        </w:rPr>
      </w:pPr>
      <w:r>
        <w:rPr>
          <w:rFonts w:hint="eastAsia" w:ascii="宋体" w:hAnsi="宋体" w:cs="宋体"/>
          <w:sz w:val="24"/>
          <w:highlight w:val="white"/>
        </w:rPr>
        <w:t>（2） 由于发包人原因在施工场地及其毗邻地带造成的第三者人身伤亡和财产损失。</w:t>
      </w:r>
    </w:p>
    <w:p w14:paraId="2996E090">
      <w:pPr>
        <w:spacing w:line="500" w:lineRule="exact"/>
        <w:rPr>
          <w:rFonts w:hint="eastAsia" w:ascii="宋体" w:hAnsi="宋体" w:cs="宋体"/>
          <w:sz w:val="24"/>
        </w:rPr>
      </w:pPr>
      <w:r>
        <w:rPr>
          <w:rFonts w:hint="eastAsia" w:ascii="宋体" w:hAnsi="宋体" w:cs="宋体"/>
          <w:sz w:val="24"/>
          <w:highlight w:val="white"/>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70F08FF6">
      <w:pPr>
        <w:spacing w:line="500" w:lineRule="exact"/>
        <w:rPr>
          <w:rFonts w:hint="eastAsia" w:ascii="宋体" w:hAnsi="宋体" w:cs="宋体"/>
          <w:sz w:val="24"/>
        </w:rPr>
      </w:pPr>
      <w:r>
        <w:rPr>
          <w:rFonts w:hint="eastAsia" w:ascii="宋体" w:hAnsi="宋体" w:cs="宋体"/>
          <w:sz w:val="24"/>
          <w:highlight w:val="white"/>
        </w:rPr>
        <w:t>　　9.1.5　发包人按照已标价工程量清单所列金额和合同约定的计量支付规定，支付安全作业环境及安全施工措施所需费用。</w:t>
      </w:r>
    </w:p>
    <w:p w14:paraId="207D00EC">
      <w:pPr>
        <w:spacing w:line="500" w:lineRule="exact"/>
        <w:rPr>
          <w:rFonts w:hint="eastAsia" w:ascii="宋体" w:hAnsi="宋体" w:cs="宋体"/>
          <w:sz w:val="24"/>
        </w:rPr>
      </w:pPr>
      <w:r>
        <w:rPr>
          <w:rFonts w:hint="eastAsia" w:ascii="宋体" w:hAnsi="宋体" w:cs="宋体"/>
          <w:sz w:val="24"/>
          <w:highlight w:val="white"/>
        </w:rPr>
        <w:t>　　9.1.6　发包人负责组织工程参建单位编制保证安全生产的措施方案。工程开工前，就落实保证安全生产的措施进行全面系统的布置，进一步明确承包人的安全生产责任。</w:t>
      </w:r>
    </w:p>
    <w:p w14:paraId="52989406">
      <w:pPr>
        <w:spacing w:line="500" w:lineRule="exact"/>
        <w:rPr>
          <w:rFonts w:hint="eastAsia" w:ascii="宋体" w:hAnsi="宋体" w:cs="宋体"/>
          <w:sz w:val="24"/>
        </w:rPr>
      </w:pPr>
      <w:r>
        <w:rPr>
          <w:rFonts w:hint="eastAsia" w:ascii="宋体" w:hAnsi="宋体" w:cs="宋体"/>
          <w:sz w:val="24"/>
          <w:highlight w:val="white"/>
        </w:rPr>
        <w:t>　　9.1.7　发包人负责在拆除工程和爆破工程施工14天前向有关部门或机构报送相关备案资料。</w:t>
      </w:r>
    </w:p>
    <w:p w14:paraId="33A5CB45">
      <w:pPr>
        <w:spacing w:line="500" w:lineRule="exact"/>
        <w:outlineLvl w:val="3"/>
        <w:rPr>
          <w:rFonts w:hint="eastAsia" w:ascii="宋体" w:hAnsi="宋体" w:cs="宋体"/>
          <w:sz w:val="24"/>
        </w:rPr>
      </w:pPr>
      <w:r>
        <w:rPr>
          <w:rFonts w:hint="eastAsia" w:ascii="宋体" w:hAnsi="宋体" w:cs="宋体"/>
          <w:sz w:val="24"/>
          <w:highlight w:val="white"/>
        </w:rPr>
        <w:t>9.2 承包人的施工安全责任</w:t>
      </w:r>
    </w:p>
    <w:p w14:paraId="4BD17792">
      <w:pPr>
        <w:spacing w:line="500" w:lineRule="exact"/>
        <w:ind w:firstLine="420"/>
        <w:rPr>
          <w:rFonts w:hint="eastAsia" w:ascii="宋体" w:hAnsi="宋体" w:cs="宋体"/>
          <w:sz w:val="24"/>
        </w:rPr>
      </w:pPr>
      <w:r>
        <w:rPr>
          <w:rFonts w:hint="eastAsia" w:ascii="宋体" w:hAnsi="宋体" w:cs="宋体"/>
          <w:sz w:val="24"/>
          <w:highlight w:val="white"/>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110AE56C">
      <w:pPr>
        <w:spacing w:line="500" w:lineRule="exact"/>
        <w:ind w:firstLine="480" w:firstLineChars="200"/>
        <w:rPr>
          <w:rFonts w:hint="eastAsia" w:ascii="宋体" w:hAnsi="宋体" w:cs="宋体"/>
          <w:sz w:val="24"/>
        </w:rPr>
      </w:pPr>
      <w:r>
        <w:rPr>
          <w:rFonts w:hint="eastAsia" w:ascii="宋体" w:hAnsi="宋体" w:cs="宋体"/>
          <w:sz w:val="24"/>
          <w:highlight w:val="white"/>
        </w:rPr>
        <w:t>9.2.2 承包人应加强施工作业安全管理，特别应加强易燃、易爆材料、火工器材、有毒与腐蚀性材料和其他危险品的管理，以及对爆破作业和地下工程施工等危险作业的管理。</w:t>
      </w:r>
    </w:p>
    <w:p w14:paraId="36B71E16">
      <w:pPr>
        <w:spacing w:line="500" w:lineRule="exact"/>
        <w:ind w:firstLine="480" w:firstLineChars="200"/>
        <w:rPr>
          <w:rFonts w:hint="eastAsia" w:ascii="宋体" w:hAnsi="宋体" w:cs="宋体"/>
          <w:sz w:val="24"/>
        </w:rPr>
      </w:pPr>
      <w:r>
        <w:rPr>
          <w:rFonts w:hint="eastAsia" w:ascii="宋体" w:hAnsi="宋体" w:cs="宋体"/>
          <w:sz w:val="24"/>
          <w:highlight w:val="white"/>
        </w:rPr>
        <w:t>9.2.3 承包人应严格按照国家安全标准制定施工安全操作规程，配备必要的安全生产和劳动保护设施，加强对承包人人员的安全教育，并发放安全工作手册和劳动保护用具。</w:t>
      </w:r>
    </w:p>
    <w:p w14:paraId="2D0D74AF">
      <w:pPr>
        <w:spacing w:line="500" w:lineRule="exact"/>
        <w:ind w:firstLine="480" w:firstLineChars="200"/>
        <w:rPr>
          <w:rFonts w:hint="eastAsia" w:ascii="宋体" w:hAnsi="宋体" w:cs="宋体"/>
          <w:sz w:val="24"/>
        </w:rPr>
      </w:pPr>
      <w:r>
        <w:rPr>
          <w:rFonts w:hint="eastAsia" w:ascii="宋体" w:hAnsi="宋体" w:cs="宋体"/>
          <w:sz w:val="24"/>
          <w:highlight w:val="white"/>
        </w:rPr>
        <w:t>9.2.4 承包人应按监理人的指示制定应对灾害的紧急预案，报送监理人审批。承包人还应按预案做好安全检查，配置必要的救助物资和器材，切实保护好有关人员的人身和财产安全。</w:t>
      </w:r>
    </w:p>
    <w:p w14:paraId="13DB4091">
      <w:pPr>
        <w:spacing w:line="500" w:lineRule="exact"/>
        <w:ind w:firstLine="480" w:firstLineChars="200"/>
        <w:rPr>
          <w:rFonts w:hint="eastAsia" w:ascii="宋体" w:hAnsi="宋体" w:cs="宋体"/>
          <w:sz w:val="24"/>
        </w:rPr>
      </w:pPr>
      <w:r>
        <w:rPr>
          <w:rFonts w:hint="eastAsia" w:ascii="宋体" w:hAnsi="宋体" w:cs="宋体"/>
          <w:sz w:val="24"/>
          <w:highlight w:val="whit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46A26283">
      <w:pPr>
        <w:spacing w:line="500" w:lineRule="exact"/>
        <w:ind w:firstLine="480" w:firstLineChars="200"/>
        <w:rPr>
          <w:rFonts w:hint="eastAsia" w:ascii="宋体" w:hAnsi="宋体" w:cs="宋体"/>
          <w:sz w:val="24"/>
        </w:rPr>
      </w:pPr>
      <w:r>
        <w:rPr>
          <w:rFonts w:hint="eastAsia" w:ascii="宋体" w:hAnsi="宋体" w:cs="宋体"/>
          <w:sz w:val="24"/>
          <w:highlight w:val="white"/>
        </w:rPr>
        <w:t>9.2.6 承包人应对其履行合同所雇佣的全部人员，包括分包人人员的工伤事故承担责任，但由于发包人原因造成承包人人员工伤事故的，应由发包人承担责任。</w:t>
      </w:r>
    </w:p>
    <w:p w14:paraId="6DD417E0">
      <w:pPr>
        <w:spacing w:line="500" w:lineRule="exact"/>
        <w:ind w:firstLine="420"/>
        <w:rPr>
          <w:rFonts w:hint="eastAsia" w:ascii="宋体" w:hAnsi="宋体" w:cs="宋体"/>
          <w:sz w:val="24"/>
        </w:rPr>
      </w:pPr>
      <w:r>
        <w:rPr>
          <w:rFonts w:hint="eastAsia" w:ascii="宋体" w:hAnsi="宋体" w:cs="宋体"/>
          <w:sz w:val="24"/>
          <w:highlight w:val="white"/>
        </w:rPr>
        <w:t>9.2.7 由于承包人原因在施工场地内及其毗邻地带造成的第三者人员伤亡和财产损失，由承包人负责赔偿。</w:t>
      </w:r>
    </w:p>
    <w:p w14:paraId="2911EBAF">
      <w:pPr>
        <w:spacing w:line="500" w:lineRule="exact"/>
        <w:rPr>
          <w:rFonts w:hint="eastAsia" w:ascii="宋体" w:hAnsi="宋体" w:cs="宋体"/>
          <w:sz w:val="24"/>
        </w:rPr>
      </w:pPr>
      <w:r>
        <w:rPr>
          <w:rFonts w:hint="eastAsia" w:ascii="宋体" w:hAnsi="宋体" w:cs="宋体"/>
          <w:sz w:val="24"/>
          <w:highlight w:val="white"/>
        </w:rPr>
        <w:t>　　9.2.8 承包人已标价工程量清单应包含工程安全作业环境及安全施工措施所需费用。</w:t>
      </w:r>
    </w:p>
    <w:p w14:paraId="341A6848">
      <w:pPr>
        <w:spacing w:line="500" w:lineRule="exact"/>
        <w:rPr>
          <w:rFonts w:hint="eastAsia" w:ascii="宋体" w:hAnsi="宋体" w:cs="宋体"/>
          <w:sz w:val="24"/>
        </w:rPr>
      </w:pPr>
      <w:r>
        <w:rPr>
          <w:rFonts w:hint="eastAsia" w:ascii="宋体" w:hAnsi="宋体" w:cs="宋体"/>
          <w:sz w:val="24"/>
          <w:highlight w:val="white"/>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25CCF187">
      <w:pPr>
        <w:spacing w:line="500" w:lineRule="exact"/>
        <w:rPr>
          <w:rFonts w:hint="eastAsia" w:ascii="宋体" w:hAnsi="宋体" w:cs="宋体"/>
          <w:sz w:val="24"/>
        </w:rPr>
      </w:pPr>
      <w:r>
        <w:rPr>
          <w:rFonts w:hint="eastAsia" w:ascii="宋体" w:hAnsi="宋体" w:cs="宋体"/>
          <w:sz w:val="24"/>
          <w:highlight w:val="white"/>
        </w:rPr>
        <w:t>　　9.2.10 承包人应设立安全生产管理机构，施工现场应有专职安全生产管理人员。</w:t>
      </w:r>
    </w:p>
    <w:p w14:paraId="044A3B09">
      <w:pPr>
        <w:spacing w:line="500" w:lineRule="exact"/>
        <w:rPr>
          <w:rFonts w:hint="eastAsia" w:ascii="宋体" w:hAnsi="宋体" w:cs="宋体"/>
          <w:sz w:val="24"/>
        </w:rPr>
      </w:pPr>
      <w:r>
        <w:rPr>
          <w:rFonts w:hint="eastAsia" w:ascii="宋体" w:hAnsi="宋体" w:cs="宋体"/>
          <w:sz w:val="24"/>
          <w:highlight w:val="white"/>
        </w:rPr>
        <w:t>　　9.2.11 承包人应负责对特种作业人员进行专门的安全作业培训，并保证特种作业人员持证上岗。</w:t>
      </w:r>
    </w:p>
    <w:p w14:paraId="396320A9">
      <w:pPr>
        <w:spacing w:line="500" w:lineRule="exact"/>
        <w:rPr>
          <w:rFonts w:hint="eastAsia" w:ascii="宋体" w:hAnsi="宋体" w:cs="宋体"/>
          <w:sz w:val="24"/>
        </w:rPr>
      </w:pPr>
      <w:r>
        <w:rPr>
          <w:rFonts w:hint="eastAsia" w:ascii="宋体" w:hAnsi="宋体" w:cs="宋体"/>
          <w:sz w:val="24"/>
          <w:highlight w:val="white"/>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2123A362">
      <w:pPr>
        <w:spacing w:line="500" w:lineRule="exact"/>
        <w:ind w:firstLine="420"/>
        <w:rPr>
          <w:rFonts w:hint="eastAsia" w:ascii="宋体" w:hAnsi="宋体" w:cs="宋体"/>
          <w:sz w:val="24"/>
        </w:rPr>
      </w:pPr>
      <w:r>
        <w:rPr>
          <w:rFonts w:hint="eastAsia" w:ascii="宋体" w:hAnsi="宋体" w:cs="宋体"/>
          <w:sz w:val="24"/>
          <w:highlight w:val="white"/>
        </w:rPr>
        <w:t>9.2.13 承包人在使用施工起重机械和整体提升脚手架、模板等自升式架设设施前，应组织有关单位进行验收。</w:t>
      </w:r>
    </w:p>
    <w:p w14:paraId="6BA0C45E">
      <w:pPr>
        <w:spacing w:line="500" w:lineRule="exact"/>
        <w:outlineLvl w:val="3"/>
        <w:rPr>
          <w:rFonts w:hint="eastAsia" w:ascii="宋体" w:hAnsi="宋体" w:cs="宋体"/>
          <w:sz w:val="24"/>
        </w:rPr>
      </w:pPr>
      <w:r>
        <w:rPr>
          <w:rFonts w:hint="eastAsia" w:ascii="宋体" w:hAnsi="宋体" w:cs="宋体"/>
          <w:sz w:val="24"/>
          <w:highlight w:val="white"/>
        </w:rPr>
        <w:t>9.3 治安保卫</w:t>
      </w:r>
    </w:p>
    <w:p w14:paraId="3B9FE82C">
      <w:pPr>
        <w:spacing w:line="500" w:lineRule="exact"/>
        <w:ind w:firstLine="480" w:firstLineChars="200"/>
        <w:rPr>
          <w:rFonts w:hint="eastAsia" w:ascii="宋体" w:hAnsi="宋体" w:cs="宋体"/>
          <w:sz w:val="24"/>
        </w:rPr>
      </w:pPr>
      <w:r>
        <w:rPr>
          <w:rFonts w:hint="eastAsia" w:ascii="宋体" w:hAnsi="宋体" w:cs="宋体"/>
          <w:sz w:val="24"/>
          <w:highlight w:val="white"/>
        </w:rPr>
        <w:t>9.3.1 除合同另有约定外，发包人应与当地公安部门协商，在现场建立治安管理机构或联防组织，统一管理施工场地的治安保卫事项，履行合同工程的治安保卫职责。</w:t>
      </w:r>
    </w:p>
    <w:p w14:paraId="1BA101A0">
      <w:pPr>
        <w:spacing w:line="500" w:lineRule="exact"/>
        <w:ind w:firstLine="480" w:firstLineChars="200"/>
        <w:rPr>
          <w:rFonts w:hint="eastAsia" w:ascii="宋体" w:hAnsi="宋体" w:cs="宋体"/>
          <w:sz w:val="24"/>
        </w:rPr>
      </w:pPr>
      <w:r>
        <w:rPr>
          <w:rFonts w:hint="eastAsia" w:ascii="宋体" w:hAnsi="宋体" w:cs="宋体"/>
          <w:sz w:val="24"/>
          <w:highlight w:val="white"/>
        </w:rPr>
        <w:t>9.3.2 发包人和承包人除应协助现场治安管理机构或联防组织维护施工场地的社会治安外，还应做好包括生活区在内的各自管辖区的治安保卫工作。</w:t>
      </w:r>
    </w:p>
    <w:p w14:paraId="2A20C657">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 </w:t>
      </w:r>
    </w:p>
    <w:p w14:paraId="5CB1DD7D">
      <w:pPr>
        <w:spacing w:line="500" w:lineRule="exact"/>
        <w:outlineLvl w:val="3"/>
        <w:rPr>
          <w:rFonts w:hint="eastAsia" w:ascii="宋体" w:hAnsi="宋体" w:cs="宋体"/>
          <w:sz w:val="24"/>
        </w:rPr>
      </w:pPr>
      <w:r>
        <w:rPr>
          <w:rFonts w:hint="eastAsia" w:ascii="宋体" w:hAnsi="宋体" w:cs="宋体"/>
          <w:sz w:val="24"/>
          <w:highlight w:val="white"/>
        </w:rPr>
        <w:t>9.4 环境保护</w:t>
      </w:r>
    </w:p>
    <w:p w14:paraId="21B41A96">
      <w:pPr>
        <w:spacing w:line="500" w:lineRule="exact"/>
        <w:ind w:firstLine="480" w:firstLineChars="200"/>
        <w:rPr>
          <w:rFonts w:hint="eastAsia" w:ascii="宋体" w:hAnsi="宋体" w:cs="宋体"/>
          <w:sz w:val="24"/>
        </w:rPr>
      </w:pPr>
      <w:r>
        <w:rPr>
          <w:rFonts w:hint="eastAsia" w:ascii="宋体" w:hAnsi="宋体" w:cs="宋体"/>
          <w:sz w:val="24"/>
          <w:highlight w:val="white"/>
        </w:rPr>
        <w:t>9.4.1 承包人在施工过程中，应遵守有关环境保护的法律，履行合同约定的环境保护义务，并对违反法律和合同约定义务所造成的环境破坏、人身伤害和财产损失负责。</w:t>
      </w:r>
    </w:p>
    <w:p w14:paraId="406891F9">
      <w:pPr>
        <w:spacing w:line="500" w:lineRule="exact"/>
        <w:ind w:firstLine="480" w:firstLineChars="200"/>
        <w:rPr>
          <w:rFonts w:hint="eastAsia" w:ascii="宋体" w:hAnsi="宋体" w:cs="宋体"/>
          <w:sz w:val="24"/>
        </w:rPr>
      </w:pPr>
      <w:r>
        <w:rPr>
          <w:rFonts w:hint="eastAsia" w:ascii="宋体" w:hAnsi="宋体" w:cs="宋体"/>
          <w:sz w:val="24"/>
          <w:highlight w:val="white"/>
        </w:rPr>
        <w:t>9.4.2 承包人应按合同约定的环保工作内容，编制施工环保措施计划，报送监理人审批。</w:t>
      </w:r>
    </w:p>
    <w:p w14:paraId="7AC6CE3E">
      <w:pPr>
        <w:spacing w:line="500" w:lineRule="exact"/>
        <w:ind w:firstLine="480" w:firstLineChars="200"/>
        <w:rPr>
          <w:rFonts w:hint="eastAsia" w:ascii="宋体" w:hAnsi="宋体" w:cs="宋体"/>
          <w:sz w:val="24"/>
        </w:rPr>
      </w:pPr>
      <w:r>
        <w:rPr>
          <w:rFonts w:hint="eastAsia" w:ascii="宋体" w:hAnsi="宋体" w:cs="宋体"/>
          <w:sz w:val="24"/>
          <w:highlight w:val="whit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7B8809B7">
      <w:pPr>
        <w:spacing w:line="500" w:lineRule="exact"/>
        <w:ind w:firstLine="480" w:firstLineChars="200"/>
        <w:rPr>
          <w:rFonts w:hint="eastAsia" w:ascii="宋体" w:hAnsi="宋体" w:cs="宋体"/>
          <w:sz w:val="24"/>
        </w:rPr>
      </w:pPr>
      <w:r>
        <w:rPr>
          <w:rFonts w:hint="eastAsia" w:ascii="宋体" w:hAnsi="宋体" w:cs="宋体"/>
          <w:sz w:val="24"/>
          <w:highlight w:val="white"/>
        </w:rPr>
        <w:t>9.4.4 承包人应按合同约定采取有效措施，对施工开挖的边坡及时进行支护,维护排水设施，并进行水土保护，避免因施工造成的地质灾害。</w:t>
      </w:r>
    </w:p>
    <w:p w14:paraId="0673D5EB">
      <w:pPr>
        <w:spacing w:line="500" w:lineRule="exact"/>
        <w:ind w:firstLine="480" w:firstLineChars="200"/>
        <w:rPr>
          <w:rFonts w:hint="eastAsia" w:ascii="宋体" w:hAnsi="宋体" w:cs="宋体"/>
          <w:sz w:val="24"/>
        </w:rPr>
      </w:pPr>
      <w:r>
        <w:rPr>
          <w:rFonts w:hint="eastAsia" w:ascii="宋体" w:hAnsi="宋体" w:cs="宋体"/>
          <w:sz w:val="24"/>
          <w:highlight w:val="white"/>
        </w:rPr>
        <w:t>9.4.5 承包人应按国家饮用水管理标准定期对饮用水源进行监测，防止施工活动污染饮用水源。</w:t>
      </w:r>
    </w:p>
    <w:p w14:paraId="365F9A56">
      <w:pPr>
        <w:spacing w:line="500" w:lineRule="exact"/>
        <w:ind w:firstLine="480" w:firstLineChars="200"/>
        <w:rPr>
          <w:rFonts w:hint="eastAsia" w:ascii="宋体" w:hAnsi="宋体" w:cs="宋体"/>
          <w:sz w:val="24"/>
        </w:rPr>
      </w:pPr>
      <w:r>
        <w:rPr>
          <w:rFonts w:hint="eastAsia" w:ascii="宋体" w:hAnsi="宋体" w:cs="宋体"/>
          <w:sz w:val="24"/>
          <w:highlight w:val="white"/>
        </w:rPr>
        <w:t>9.4.6 承包人应按合同约定，加强对噪声、粉尘、废气、废水和废油的控制，努力降低噪声，控制粉尘和废气浓度，做好废水和废油的治理和排放。</w:t>
      </w:r>
    </w:p>
    <w:p w14:paraId="019575F0">
      <w:pPr>
        <w:spacing w:line="500" w:lineRule="exact"/>
        <w:outlineLvl w:val="3"/>
        <w:rPr>
          <w:rFonts w:hint="eastAsia" w:ascii="宋体" w:hAnsi="宋体" w:cs="宋体"/>
          <w:sz w:val="24"/>
        </w:rPr>
      </w:pPr>
      <w:r>
        <w:rPr>
          <w:rFonts w:hint="eastAsia" w:ascii="宋体" w:hAnsi="宋体" w:cs="宋体"/>
          <w:sz w:val="24"/>
          <w:highlight w:val="white"/>
        </w:rPr>
        <w:t>9.5 事故处理</w:t>
      </w:r>
    </w:p>
    <w:p w14:paraId="192CFEBE">
      <w:pPr>
        <w:spacing w:line="500" w:lineRule="exact"/>
        <w:rPr>
          <w:rFonts w:hint="eastAsia" w:ascii="宋体" w:hAnsi="宋体" w:cs="宋体"/>
          <w:sz w:val="24"/>
        </w:rPr>
      </w:pPr>
      <w:r>
        <w:rPr>
          <w:rFonts w:hint="eastAsia" w:ascii="宋体" w:hAnsi="宋体" w:cs="宋体"/>
          <w:sz w:val="24"/>
          <w:highlight w:val="white"/>
        </w:rPr>
        <w:t>　　9.5.1 发包人负责组织参建单位制定本工程的质量与安全事故应急预案，建立质量与安全事故应急处置指挥部。</w:t>
      </w:r>
    </w:p>
    <w:p w14:paraId="4C78591F">
      <w:pPr>
        <w:spacing w:line="500" w:lineRule="exact"/>
        <w:rPr>
          <w:rFonts w:hint="eastAsia" w:ascii="宋体" w:hAnsi="宋体" w:cs="宋体"/>
          <w:sz w:val="24"/>
        </w:rPr>
      </w:pPr>
      <w:r>
        <w:rPr>
          <w:rFonts w:hint="eastAsia" w:ascii="宋体" w:hAnsi="宋体" w:cs="宋体"/>
          <w:sz w:val="24"/>
          <w:highlight w:val="white"/>
        </w:rPr>
        <w:t>　　9.5.2 承包人应对施工现场易发生重大事故的部位、环节进行监控，配备救援器材、设备，并定期组织演练。</w:t>
      </w:r>
    </w:p>
    <w:p w14:paraId="6289A099">
      <w:pPr>
        <w:spacing w:line="500" w:lineRule="exact"/>
        <w:rPr>
          <w:rFonts w:hint="eastAsia" w:ascii="宋体" w:hAnsi="宋体" w:cs="宋体"/>
          <w:sz w:val="24"/>
        </w:rPr>
      </w:pPr>
      <w:r>
        <w:rPr>
          <w:rFonts w:hint="eastAsia" w:ascii="宋体" w:hAnsi="宋体" w:cs="宋体"/>
          <w:sz w:val="24"/>
          <w:highlight w:val="white"/>
        </w:rPr>
        <w:t>　　9.5.3 工程开工前，承包人应根据本工程的特点制定施工现场施工质量与安全事故应急预案，并报发包人备案。</w:t>
      </w:r>
    </w:p>
    <w:p w14:paraId="22DE33D6">
      <w:pPr>
        <w:spacing w:line="500" w:lineRule="exact"/>
        <w:rPr>
          <w:rFonts w:hint="eastAsia" w:ascii="宋体" w:hAnsi="宋体" w:cs="宋体"/>
          <w:sz w:val="24"/>
        </w:rPr>
      </w:pPr>
      <w:r>
        <w:rPr>
          <w:rFonts w:hint="eastAsia" w:ascii="宋体" w:hAnsi="宋体" w:cs="宋体"/>
          <w:sz w:val="24"/>
          <w:highlight w:val="white"/>
        </w:rPr>
        <w:t>　　9.5.4 施工过程中发生事故时，发包人、承包人应立即启动应急预案。</w:t>
      </w:r>
    </w:p>
    <w:p w14:paraId="6A2A2CF3">
      <w:pPr>
        <w:spacing w:line="500" w:lineRule="exact"/>
        <w:rPr>
          <w:rFonts w:hint="eastAsia" w:ascii="宋体" w:hAnsi="宋体" w:cs="宋体"/>
          <w:sz w:val="24"/>
        </w:rPr>
      </w:pPr>
      <w:r>
        <w:rPr>
          <w:rFonts w:hint="eastAsia" w:ascii="宋体" w:hAnsi="宋体" w:cs="宋体"/>
          <w:sz w:val="24"/>
          <w:highlight w:val="white"/>
        </w:rPr>
        <w:t>　　9.5.5 事故调查处理由发包人按相关规定履行手续，承包人应配合。</w:t>
      </w:r>
    </w:p>
    <w:p w14:paraId="7EC42288">
      <w:pPr>
        <w:spacing w:line="500" w:lineRule="exact"/>
        <w:outlineLvl w:val="3"/>
        <w:rPr>
          <w:rFonts w:hint="eastAsia" w:ascii="宋体" w:hAnsi="宋体" w:cs="宋体"/>
          <w:sz w:val="24"/>
        </w:rPr>
      </w:pPr>
      <w:r>
        <w:rPr>
          <w:rFonts w:hint="eastAsia" w:ascii="宋体" w:hAnsi="宋体" w:cs="宋体"/>
          <w:sz w:val="24"/>
          <w:highlight w:val="white"/>
        </w:rPr>
        <w:t>9.6 水土保持</w:t>
      </w:r>
    </w:p>
    <w:p w14:paraId="3A31756E">
      <w:pPr>
        <w:spacing w:line="500" w:lineRule="exact"/>
        <w:rPr>
          <w:rFonts w:hint="eastAsia" w:ascii="宋体" w:hAnsi="宋体" w:cs="宋体"/>
          <w:sz w:val="24"/>
        </w:rPr>
      </w:pPr>
      <w:r>
        <w:rPr>
          <w:rFonts w:hint="eastAsia" w:ascii="宋体" w:hAnsi="宋体" w:cs="宋体"/>
          <w:sz w:val="24"/>
          <w:highlight w:val="white"/>
        </w:rPr>
        <w:t>　　9.6.1 发包人应及时向承包人提供水土保持方案。</w:t>
      </w:r>
    </w:p>
    <w:p w14:paraId="39004382">
      <w:pPr>
        <w:spacing w:line="500" w:lineRule="exact"/>
        <w:rPr>
          <w:rFonts w:hint="eastAsia" w:ascii="宋体" w:hAnsi="宋体" w:cs="宋体"/>
          <w:sz w:val="24"/>
        </w:rPr>
      </w:pPr>
      <w:r>
        <w:rPr>
          <w:rFonts w:hint="eastAsia" w:ascii="宋体" w:hAnsi="宋体" w:cs="宋体"/>
          <w:sz w:val="24"/>
          <w:highlight w:val="white"/>
        </w:rPr>
        <w:t>　　9.6.2 承包人在施工过程中，应遵守有关水土保持的法律法规和规章，履行合同约定的水土保持义务，并对其违反法律和合同约定义务所造成的水土流失灾害、人身伤害和财产损失负责。</w:t>
      </w:r>
    </w:p>
    <w:p w14:paraId="1E02B8AA">
      <w:pPr>
        <w:spacing w:line="500" w:lineRule="exact"/>
        <w:rPr>
          <w:rFonts w:hint="eastAsia" w:ascii="宋体" w:hAnsi="宋体" w:cs="宋体"/>
          <w:sz w:val="24"/>
        </w:rPr>
      </w:pPr>
      <w:r>
        <w:rPr>
          <w:rFonts w:hint="eastAsia" w:ascii="宋体" w:hAnsi="宋体" w:cs="宋体"/>
          <w:sz w:val="24"/>
          <w:highlight w:val="white"/>
        </w:rPr>
        <w:t>　　9.6.3 承包人的水土保持措施计划，应满足技术标准和要求(合同技术条款)约定的要求。</w:t>
      </w:r>
    </w:p>
    <w:p w14:paraId="3360C0A2">
      <w:pPr>
        <w:spacing w:line="500" w:lineRule="exact"/>
        <w:outlineLvl w:val="3"/>
        <w:rPr>
          <w:rFonts w:hint="eastAsia" w:ascii="宋体" w:hAnsi="宋体" w:cs="宋体"/>
          <w:sz w:val="24"/>
        </w:rPr>
      </w:pPr>
      <w:r>
        <w:rPr>
          <w:rFonts w:hint="eastAsia" w:ascii="宋体" w:hAnsi="宋体" w:cs="宋体"/>
          <w:sz w:val="24"/>
          <w:highlight w:val="white"/>
        </w:rPr>
        <w:t>9.7 文明工地</w:t>
      </w:r>
    </w:p>
    <w:p w14:paraId="45D9A852">
      <w:pPr>
        <w:spacing w:line="500" w:lineRule="exact"/>
        <w:rPr>
          <w:rFonts w:hint="eastAsia" w:ascii="宋体" w:hAnsi="宋体" w:cs="宋体"/>
          <w:sz w:val="24"/>
        </w:rPr>
      </w:pPr>
      <w:r>
        <w:rPr>
          <w:rFonts w:hint="eastAsia" w:ascii="宋体" w:hAnsi="宋体" w:cs="宋体"/>
          <w:sz w:val="24"/>
          <w:highlight w:val="white"/>
        </w:rPr>
        <w:t>　　9.7.1 发包人应按专用合同条款的约定，负责建立创建文明建设工地的组织机构，制定创建文明建设工地的规划和办法。</w:t>
      </w:r>
    </w:p>
    <w:p w14:paraId="11FE790E">
      <w:pPr>
        <w:spacing w:line="500" w:lineRule="exact"/>
        <w:rPr>
          <w:rFonts w:hint="eastAsia" w:ascii="宋体" w:hAnsi="宋体" w:cs="宋体"/>
          <w:sz w:val="24"/>
        </w:rPr>
      </w:pPr>
      <w:r>
        <w:rPr>
          <w:rFonts w:hint="eastAsia" w:ascii="宋体" w:hAnsi="宋体" w:cs="宋体"/>
          <w:sz w:val="24"/>
          <w:highlight w:val="white"/>
        </w:rPr>
        <w:t>　　9.7.2 承包人应按创建文明建设工地的规划和办法，履行职责，承担相应责任</w:t>
      </w:r>
      <w:r>
        <w:rPr>
          <w:rFonts w:hint="eastAsia" w:ascii="宋体" w:hAnsi="宋体" w:eastAsia="宋体" w:cs="宋体"/>
          <w:sz w:val="24"/>
          <w:highlight w:val="white"/>
          <w:lang w:eastAsia="zh-CN"/>
        </w:rPr>
        <w:t>。</w:t>
      </w:r>
      <w:r>
        <w:rPr>
          <w:rFonts w:hint="eastAsia" w:ascii="宋体" w:hAnsi="宋体" w:cs="宋体"/>
          <w:sz w:val="24"/>
          <w:highlight w:val="white"/>
        </w:rPr>
        <w:t>所需费用应含在已标价工程量清单中。</w:t>
      </w:r>
    </w:p>
    <w:p w14:paraId="119DF7FD">
      <w:pPr>
        <w:spacing w:line="500" w:lineRule="exact"/>
        <w:outlineLvl w:val="3"/>
        <w:rPr>
          <w:rFonts w:hint="eastAsia" w:ascii="宋体" w:hAnsi="宋体" w:cs="宋体"/>
          <w:sz w:val="24"/>
        </w:rPr>
      </w:pPr>
      <w:r>
        <w:rPr>
          <w:rFonts w:hint="eastAsia" w:ascii="宋体" w:hAnsi="宋体" w:cs="宋体"/>
          <w:sz w:val="24"/>
          <w:highlight w:val="white"/>
        </w:rPr>
        <w:t>9.8 防汛度汛</w:t>
      </w:r>
    </w:p>
    <w:p w14:paraId="0A931518">
      <w:pPr>
        <w:spacing w:line="500" w:lineRule="exact"/>
        <w:rPr>
          <w:rFonts w:hint="eastAsia" w:ascii="宋体" w:hAnsi="宋体" w:cs="宋体"/>
          <w:sz w:val="24"/>
        </w:rPr>
      </w:pPr>
      <w:r>
        <w:rPr>
          <w:rFonts w:hint="eastAsia" w:ascii="宋体" w:hAnsi="宋体" w:cs="宋体"/>
          <w:sz w:val="24"/>
          <w:highlight w:val="white"/>
        </w:rPr>
        <w:t>　　9.8.1 发包人负责组织工程参建单位编制本工程的度汛方案和措施。</w:t>
      </w:r>
    </w:p>
    <w:p w14:paraId="617E86B2">
      <w:pPr>
        <w:spacing w:line="500" w:lineRule="exact"/>
        <w:rPr>
          <w:rFonts w:hint="eastAsia" w:ascii="宋体" w:hAnsi="宋体" w:cs="宋体"/>
          <w:sz w:val="24"/>
        </w:rPr>
      </w:pPr>
      <w:r>
        <w:rPr>
          <w:rFonts w:hint="eastAsia" w:ascii="宋体" w:hAnsi="宋体" w:cs="宋体"/>
          <w:sz w:val="24"/>
          <w:highlight w:val="white"/>
        </w:rPr>
        <w:t>　　9.8.2 承包人应根据发包人编制的本工程度汛方案和措施，制定相应的度汛方案，报发包人批准后实施。</w:t>
      </w:r>
    </w:p>
    <w:p w14:paraId="49911C50">
      <w:pPr>
        <w:spacing w:line="500" w:lineRule="exact"/>
        <w:outlineLvl w:val="2"/>
        <w:rPr>
          <w:rFonts w:hint="eastAsia" w:ascii="宋体" w:hAnsi="宋体" w:cs="宋体"/>
          <w:sz w:val="24"/>
        </w:rPr>
      </w:pPr>
      <w:bookmarkStart w:id="78" w:name="_Toc149635769"/>
      <w:bookmarkStart w:id="79" w:name="_Toc256000117"/>
      <w:bookmarkStart w:id="80" w:name="_Toc149571656"/>
      <w:r>
        <w:rPr>
          <w:rFonts w:hint="eastAsia" w:ascii="宋体" w:hAnsi="宋体" w:cs="宋体"/>
          <w:sz w:val="24"/>
          <w:highlight w:val="white"/>
        </w:rPr>
        <w:t>10. 进度计划</w:t>
      </w:r>
      <w:bookmarkEnd w:id="78"/>
      <w:bookmarkEnd w:id="79"/>
      <w:bookmarkEnd w:id="80"/>
    </w:p>
    <w:p w14:paraId="10A02BA8">
      <w:pPr>
        <w:spacing w:line="500" w:lineRule="exact"/>
        <w:outlineLvl w:val="3"/>
        <w:rPr>
          <w:rFonts w:hint="eastAsia" w:ascii="宋体" w:hAnsi="宋体" w:cs="宋体"/>
          <w:sz w:val="24"/>
        </w:rPr>
      </w:pPr>
      <w:r>
        <w:rPr>
          <w:rFonts w:hint="eastAsia" w:ascii="宋体" w:hAnsi="宋体" w:cs="宋体"/>
          <w:sz w:val="24"/>
          <w:highlight w:val="white"/>
        </w:rPr>
        <w:t>10.1 合同进度计划</w:t>
      </w:r>
    </w:p>
    <w:p w14:paraId="3A85B357">
      <w:pPr>
        <w:spacing w:line="500" w:lineRule="exact"/>
        <w:rPr>
          <w:rFonts w:hint="eastAsia" w:ascii="宋体" w:hAnsi="宋体" w:cs="宋体"/>
          <w:sz w:val="24"/>
        </w:rPr>
      </w:pPr>
      <w:r>
        <w:rPr>
          <w:rFonts w:hint="eastAsia" w:ascii="宋体" w:hAnsi="宋体" w:cs="宋体"/>
          <w:sz w:val="24"/>
          <w:highlight w:val="white"/>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D84528F">
      <w:pPr>
        <w:spacing w:line="500" w:lineRule="exact"/>
        <w:outlineLvl w:val="3"/>
        <w:rPr>
          <w:rFonts w:hint="eastAsia" w:ascii="宋体" w:hAnsi="宋体" w:cs="宋体"/>
          <w:sz w:val="24"/>
        </w:rPr>
      </w:pPr>
      <w:r>
        <w:rPr>
          <w:rFonts w:hint="eastAsia" w:ascii="宋体" w:hAnsi="宋体" w:cs="宋体"/>
          <w:sz w:val="24"/>
          <w:highlight w:val="white"/>
        </w:rPr>
        <w:t>10.2 合同进度计划的修订</w:t>
      </w:r>
    </w:p>
    <w:p w14:paraId="7958AAF9">
      <w:pPr>
        <w:spacing w:line="500" w:lineRule="exact"/>
        <w:rPr>
          <w:rFonts w:hint="eastAsia" w:ascii="宋体" w:hAnsi="宋体" w:cs="宋体"/>
          <w:sz w:val="24"/>
        </w:rPr>
      </w:pPr>
      <w:r>
        <w:rPr>
          <w:rFonts w:hint="eastAsia" w:ascii="宋体" w:hAnsi="宋体" w:cs="宋体"/>
          <w:sz w:val="24"/>
          <w:highlight w:val="white"/>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4A66F7A2">
      <w:pPr>
        <w:spacing w:line="500" w:lineRule="exact"/>
        <w:rPr>
          <w:rFonts w:hint="eastAsia" w:ascii="宋体" w:hAnsi="宋体" w:cs="宋体"/>
          <w:sz w:val="24"/>
        </w:rPr>
      </w:pPr>
      <w:r>
        <w:rPr>
          <w:rFonts w:hint="eastAsia" w:ascii="宋体" w:hAnsi="宋体" w:cs="宋体"/>
          <w:sz w:val="24"/>
          <w:highlight w:val="white"/>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6A6475E7">
      <w:pPr>
        <w:spacing w:line="500" w:lineRule="exact"/>
        <w:outlineLvl w:val="3"/>
        <w:rPr>
          <w:rFonts w:hint="eastAsia" w:ascii="宋体" w:hAnsi="宋体" w:cs="宋体"/>
          <w:sz w:val="24"/>
        </w:rPr>
      </w:pPr>
      <w:r>
        <w:rPr>
          <w:rFonts w:hint="eastAsia" w:ascii="宋体" w:hAnsi="宋体" w:cs="宋体"/>
          <w:sz w:val="24"/>
          <w:highlight w:val="white"/>
        </w:rPr>
        <w:t>10.3 单位工程进度计划</w:t>
      </w:r>
    </w:p>
    <w:p w14:paraId="18CBEC1E">
      <w:pPr>
        <w:spacing w:line="500" w:lineRule="exact"/>
        <w:rPr>
          <w:rFonts w:hint="eastAsia" w:ascii="宋体" w:hAnsi="宋体" w:cs="宋体"/>
          <w:sz w:val="24"/>
        </w:rPr>
      </w:pPr>
      <w:r>
        <w:rPr>
          <w:rFonts w:hint="eastAsia" w:ascii="宋体" w:hAnsi="宋体" w:cs="宋体"/>
          <w:sz w:val="24"/>
          <w:highlight w:val="white"/>
        </w:rPr>
        <w:t>　　监理人认为有必要时，承包人应按监理人指示的内容和期限，并根据合同进度计划的进度控制要求，编制单位工程进度计划，提交监理人审批。</w:t>
      </w:r>
    </w:p>
    <w:p w14:paraId="3E59CDF8">
      <w:pPr>
        <w:spacing w:line="500" w:lineRule="exact"/>
        <w:outlineLvl w:val="3"/>
        <w:rPr>
          <w:rFonts w:hint="eastAsia" w:ascii="宋体" w:hAnsi="宋体" w:cs="宋体"/>
          <w:sz w:val="24"/>
        </w:rPr>
      </w:pPr>
      <w:r>
        <w:rPr>
          <w:rFonts w:hint="eastAsia" w:ascii="宋体" w:hAnsi="宋体" w:cs="宋体"/>
          <w:sz w:val="24"/>
          <w:highlight w:val="white"/>
        </w:rPr>
        <w:t>10.4 提交资金流估算表</w:t>
      </w:r>
    </w:p>
    <w:p w14:paraId="54F192AE">
      <w:pPr>
        <w:spacing w:line="500" w:lineRule="exact"/>
        <w:rPr>
          <w:rFonts w:hint="eastAsia" w:ascii="宋体" w:hAnsi="宋体" w:cs="宋体"/>
          <w:sz w:val="24"/>
        </w:rPr>
      </w:pPr>
      <w:r>
        <w:rPr>
          <w:rFonts w:hint="eastAsia" w:ascii="宋体" w:hAnsi="宋体" w:cs="宋体"/>
          <w:sz w:val="24"/>
          <w:highlight w:val="white"/>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258970BB">
      <w:pPr>
        <w:rPr>
          <w:rFonts w:hint="eastAsia" w:ascii="Times New Roman" w:hAnsi="Times New Roman"/>
        </w:rPr>
      </w:pPr>
    </w:p>
    <w:p w14:paraId="5B73244F">
      <w:pPr>
        <w:jc w:val="center"/>
        <w:rPr>
          <w:b/>
        </w:rPr>
      </w:pPr>
      <w:r>
        <w:rPr>
          <w:rFonts w:hint="eastAsia"/>
          <w:b/>
          <w:highlight w:val="white"/>
        </w:rPr>
        <w:t>资金流估算表</w:t>
      </w:r>
      <w:r>
        <w:rPr>
          <w:b/>
          <w:highlight w:val="white"/>
        </w:rPr>
        <w:t>(</w:t>
      </w:r>
      <w:r>
        <w:rPr>
          <w:rFonts w:hint="eastAsia"/>
          <w:b/>
          <w:highlight w:val="white"/>
        </w:rPr>
        <w:t>参考格式</w:t>
      </w:r>
      <w:r>
        <w:rPr>
          <w:b/>
          <w:highlight w:val="white"/>
        </w:rPr>
        <w:t>)</w:t>
      </w:r>
    </w:p>
    <w:p w14:paraId="4A3234E6">
      <w:pPr>
        <w:jc w:val="right"/>
      </w:pPr>
      <w:r>
        <w:rPr>
          <w:rFonts w:hint="eastAsia"/>
          <w:highlight w:val="white"/>
        </w:rPr>
        <w:t>金额单位</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
        <w:gridCol w:w="439"/>
        <w:gridCol w:w="1020"/>
        <w:gridCol w:w="1314"/>
        <w:gridCol w:w="1486"/>
        <w:gridCol w:w="962"/>
        <w:gridCol w:w="962"/>
        <w:gridCol w:w="824"/>
        <w:gridCol w:w="875"/>
        <w:gridCol w:w="1022"/>
      </w:tblGrid>
      <w:tr w14:paraId="611F8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77E34FF2">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年</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83DD948">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月</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5E80F6">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工程</w:t>
            </w:r>
          </w:p>
          <w:p w14:paraId="798C3BF6">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预付款</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76818A37">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完成工作量付款</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4813489">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质量保证金扣留</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C28FD0C">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材料款扣除</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7C9E3806">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预付款扣还</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11438071">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其它</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1A1281F">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应收款</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D93C511">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累计</w:t>
            </w:r>
          </w:p>
          <w:p w14:paraId="1E2AFC27">
            <w:pPr>
              <w:widowControl w:val="0"/>
              <w:jc w:val="center"/>
              <w:rPr>
                <w:rFonts w:ascii="Times New Roman" w:hAnsi="Times New Roman" w:eastAsia="宋体"/>
                <w:kern w:val="2"/>
                <w:sz w:val="21"/>
                <w:szCs w:val="24"/>
                <w:lang w:val="en-US" w:eastAsia="zh-CN" w:bidi="ar-SA"/>
              </w:rPr>
            </w:pPr>
            <w:r>
              <w:rPr>
                <w:rFonts w:hint="eastAsia" w:ascii="Calibri" w:hAnsi="Calibri" w:eastAsia="宋体"/>
                <w:kern w:val="2"/>
                <w:sz w:val="21"/>
                <w:szCs w:val="22"/>
                <w:highlight w:val="white"/>
                <w:lang w:val="en-US" w:eastAsia="zh-CN" w:bidi="ar-SA"/>
              </w:rPr>
              <w:t>应收款</w:t>
            </w:r>
          </w:p>
        </w:tc>
      </w:tr>
      <w:tr w14:paraId="6889A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79D43056">
            <w:pPr>
              <w:widowControl w:val="0"/>
              <w:jc w:val="center"/>
              <w:rPr>
                <w:rFonts w:ascii="Times New Roman" w:hAnsi="Times New Roman" w:eastAsia="宋体"/>
                <w:kern w:val="2"/>
                <w:sz w:val="21"/>
                <w:szCs w:val="24"/>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3BFF58D">
            <w:pPr>
              <w:widowControl w:val="0"/>
              <w:jc w:val="center"/>
              <w:rPr>
                <w:rFonts w:ascii="Times New Roman" w:hAnsi="Times New Roman" w:eastAsia="宋体"/>
                <w:kern w:val="2"/>
                <w:sz w:val="21"/>
                <w:szCs w:val="24"/>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546A2F">
            <w:pPr>
              <w:widowControl w:val="0"/>
              <w:jc w:val="center"/>
              <w:rPr>
                <w:rFonts w:ascii="Times New Roman" w:hAnsi="Times New Roman" w:eastAsia="宋体"/>
                <w:kern w:val="2"/>
                <w:sz w:val="21"/>
                <w:szCs w:val="24"/>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0024191">
            <w:pPr>
              <w:widowControl w:val="0"/>
              <w:jc w:val="center"/>
              <w:rPr>
                <w:rFonts w:ascii="Times New Roman" w:hAnsi="Times New Roman" w:eastAsia="宋体"/>
                <w:kern w:val="2"/>
                <w:sz w:val="21"/>
                <w:szCs w:val="24"/>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61FA87FE">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3AB1B76">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E252FD9">
            <w:pPr>
              <w:widowControl w:val="0"/>
              <w:jc w:val="center"/>
              <w:rPr>
                <w:rFonts w:ascii="Times New Roman" w:hAnsi="Times New Roman" w:eastAsia="宋体"/>
                <w:kern w:val="2"/>
                <w:sz w:val="21"/>
                <w:szCs w:val="24"/>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83DEE98">
            <w:pPr>
              <w:widowControl w:val="0"/>
              <w:jc w:val="center"/>
              <w:rPr>
                <w:rFonts w:ascii="Times New Roman" w:hAnsi="Times New Roman" w:eastAsia="宋体"/>
                <w:kern w:val="2"/>
                <w:sz w:val="21"/>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0B0F243">
            <w:pPr>
              <w:widowControl w:val="0"/>
              <w:jc w:val="center"/>
              <w:rPr>
                <w:rFonts w:ascii="Times New Roman" w:hAnsi="Times New Roman" w:eastAsia="宋体"/>
                <w:kern w:val="2"/>
                <w:sz w:val="21"/>
                <w:szCs w:val="24"/>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7337E90">
            <w:pPr>
              <w:widowControl w:val="0"/>
              <w:jc w:val="center"/>
              <w:rPr>
                <w:rFonts w:ascii="Times New Roman" w:hAnsi="Times New Roman" w:eastAsia="宋体"/>
                <w:kern w:val="2"/>
                <w:sz w:val="21"/>
                <w:szCs w:val="24"/>
                <w:lang w:val="en-US" w:eastAsia="zh-CN" w:bidi="ar-SA"/>
              </w:rPr>
            </w:pPr>
          </w:p>
        </w:tc>
      </w:tr>
      <w:tr w14:paraId="7F8A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68C0A155">
            <w:pPr>
              <w:widowControl w:val="0"/>
              <w:jc w:val="center"/>
              <w:rPr>
                <w:rFonts w:ascii="Times New Roman" w:hAnsi="Times New Roman" w:eastAsia="宋体"/>
                <w:kern w:val="2"/>
                <w:sz w:val="21"/>
                <w:szCs w:val="24"/>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0210854C">
            <w:pPr>
              <w:widowControl w:val="0"/>
              <w:jc w:val="center"/>
              <w:rPr>
                <w:rFonts w:ascii="Times New Roman" w:hAnsi="Times New Roman" w:eastAsia="宋体"/>
                <w:kern w:val="2"/>
                <w:sz w:val="21"/>
                <w:szCs w:val="24"/>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B0D7A0">
            <w:pPr>
              <w:widowControl w:val="0"/>
              <w:jc w:val="center"/>
              <w:rPr>
                <w:rFonts w:ascii="Times New Roman" w:hAnsi="Times New Roman" w:eastAsia="宋体"/>
                <w:kern w:val="2"/>
                <w:sz w:val="21"/>
                <w:szCs w:val="24"/>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8244188">
            <w:pPr>
              <w:widowControl w:val="0"/>
              <w:jc w:val="center"/>
              <w:rPr>
                <w:rFonts w:ascii="Times New Roman" w:hAnsi="Times New Roman" w:eastAsia="宋体"/>
                <w:kern w:val="2"/>
                <w:sz w:val="21"/>
                <w:szCs w:val="24"/>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9E315A5">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1B39949">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C982EF0">
            <w:pPr>
              <w:widowControl w:val="0"/>
              <w:jc w:val="center"/>
              <w:rPr>
                <w:rFonts w:ascii="Times New Roman" w:hAnsi="Times New Roman" w:eastAsia="宋体"/>
                <w:kern w:val="2"/>
                <w:sz w:val="21"/>
                <w:szCs w:val="24"/>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65B794DC">
            <w:pPr>
              <w:widowControl w:val="0"/>
              <w:jc w:val="center"/>
              <w:rPr>
                <w:rFonts w:ascii="Times New Roman" w:hAnsi="Times New Roman" w:eastAsia="宋体"/>
                <w:kern w:val="2"/>
                <w:sz w:val="21"/>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89922D">
            <w:pPr>
              <w:widowControl w:val="0"/>
              <w:jc w:val="center"/>
              <w:rPr>
                <w:rFonts w:ascii="Times New Roman" w:hAnsi="Times New Roman" w:eastAsia="宋体"/>
                <w:kern w:val="2"/>
                <w:sz w:val="21"/>
                <w:szCs w:val="24"/>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7634DCC">
            <w:pPr>
              <w:widowControl w:val="0"/>
              <w:jc w:val="center"/>
              <w:rPr>
                <w:rFonts w:ascii="Times New Roman" w:hAnsi="Times New Roman" w:eastAsia="宋体"/>
                <w:kern w:val="2"/>
                <w:sz w:val="21"/>
                <w:szCs w:val="24"/>
                <w:lang w:val="en-US" w:eastAsia="zh-CN" w:bidi="ar-SA"/>
              </w:rPr>
            </w:pPr>
          </w:p>
        </w:tc>
      </w:tr>
      <w:tr w14:paraId="787DF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 w:type="dxa"/>
            <w:tcBorders>
              <w:top w:val="single" w:color="000000" w:sz="4" w:space="0"/>
              <w:left w:val="single" w:color="000000" w:sz="4" w:space="0"/>
              <w:bottom w:val="single" w:color="000000" w:sz="4" w:space="0"/>
              <w:right w:val="single" w:color="000000" w:sz="4" w:space="0"/>
            </w:tcBorders>
            <w:noWrap w:val="0"/>
            <w:vAlign w:val="center"/>
          </w:tcPr>
          <w:p w14:paraId="7A1A730B">
            <w:pPr>
              <w:widowControl w:val="0"/>
              <w:jc w:val="center"/>
              <w:rPr>
                <w:rFonts w:ascii="Times New Roman" w:hAnsi="Times New Roman" w:eastAsia="宋体"/>
                <w:kern w:val="2"/>
                <w:sz w:val="21"/>
                <w:szCs w:val="24"/>
                <w:lang w:val="en-US" w:eastAsia="zh-CN" w:bidi="ar-SA"/>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795224A9">
            <w:pPr>
              <w:widowControl w:val="0"/>
              <w:jc w:val="center"/>
              <w:rPr>
                <w:rFonts w:ascii="Times New Roman" w:hAnsi="Times New Roman" w:eastAsia="宋体"/>
                <w:kern w:val="2"/>
                <w:sz w:val="21"/>
                <w:szCs w:val="24"/>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CC1830">
            <w:pPr>
              <w:widowControl w:val="0"/>
              <w:jc w:val="center"/>
              <w:rPr>
                <w:rFonts w:ascii="Times New Roman" w:hAnsi="Times New Roman" w:eastAsia="宋体"/>
                <w:kern w:val="2"/>
                <w:sz w:val="21"/>
                <w:szCs w:val="24"/>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D7EC991">
            <w:pPr>
              <w:widowControl w:val="0"/>
              <w:jc w:val="center"/>
              <w:rPr>
                <w:rFonts w:ascii="Times New Roman" w:hAnsi="Times New Roman" w:eastAsia="宋体"/>
                <w:kern w:val="2"/>
                <w:sz w:val="21"/>
                <w:szCs w:val="24"/>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DE20D64">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58B6EC5">
            <w:pPr>
              <w:widowControl w:val="0"/>
              <w:jc w:val="center"/>
              <w:rPr>
                <w:rFonts w:ascii="Times New Roman" w:hAnsi="Times New Roman" w:eastAsia="宋体"/>
                <w:kern w:val="2"/>
                <w:sz w:val="21"/>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1B17DF9">
            <w:pPr>
              <w:widowControl w:val="0"/>
              <w:jc w:val="center"/>
              <w:rPr>
                <w:rFonts w:ascii="Times New Roman" w:hAnsi="Times New Roman" w:eastAsia="宋体"/>
                <w:kern w:val="2"/>
                <w:sz w:val="21"/>
                <w:szCs w:val="24"/>
                <w:lang w:val="en-US" w:eastAsia="zh-CN" w:bidi="ar-SA"/>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1D4CEF5">
            <w:pPr>
              <w:widowControl w:val="0"/>
              <w:jc w:val="center"/>
              <w:rPr>
                <w:rFonts w:ascii="Times New Roman" w:hAnsi="Times New Roman" w:eastAsia="宋体"/>
                <w:kern w:val="2"/>
                <w:sz w:val="21"/>
                <w:szCs w:val="24"/>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9288C8">
            <w:pPr>
              <w:widowControl w:val="0"/>
              <w:jc w:val="center"/>
              <w:rPr>
                <w:rFonts w:ascii="Times New Roman" w:hAnsi="Times New Roman" w:eastAsia="宋体"/>
                <w:kern w:val="2"/>
                <w:sz w:val="21"/>
                <w:szCs w:val="24"/>
                <w:lang w:val="en-US" w:eastAsia="zh-CN" w:bidi="ar-SA"/>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E986E6F">
            <w:pPr>
              <w:widowControl w:val="0"/>
              <w:jc w:val="center"/>
              <w:rPr>
                <w:rFonts w:ascii="Times New Roman" w:hAnsi="Times New Roman" w:eastAsia="宋体"/>
                <w:kern w:val="2"/>
                <w:sz w:val="21"/>
                <w:szCs w:val="24"/>
                <w:lang w:val="en-US" w:eastAsia="zh-CN" w:bidi="ar-SA"/>
              </w:rPr>
            </w:pPr>
          </w:p>
        </w:tc>
      </w:tr>
    </w:tbl>
    <w:p w14:paraId="1DFEC526">
      <w:pPr>
        <w:spacing w:line="500" w:lineRule="exact"/>
        <w:outlineLvl w:val="2"/>
        <w:rPr>
          <w:rFonts w:ascii="宋体" w:hAnsi="宋体" w:cs="宋体"/>
          <w:sz w:val="24"/>
        </w:rPr>
      </w:pPr>
      <w:bookmarkStart w:id="81" w:name="_Toc256000118"/>
      <w:bookmarkStart w:id="82" w:name="_Toc149635770"/>
      <w:bookmarkStart w:id="83" w:name="_Toc149571657"/>
      <w:r>
        <w:rPr>
          <w:rFonts w:hint="eastAsia" w:ascii="宋体" w:hAnsi="宋体" w:cs="宋体"/>
          <w:sz w:val="24"/>
          <w:highlight w:val="white"/>
        </w:rPr>
        <w:t>11. 开工和竣工(完工)</w:t>
      </w:r>
      <w:bookmarkEnd w:id="81"/>
      <w:bookmarkEnd w:id="82"/>
      <w:bookmarkEnd w:id="83"/>
    </w:p>
    <w:p w14:paraId="004167B9">
      <w:pPr>
        <w:spacing w:line="500" w:lineRule="exact"/>
        <w:outlineLvl w:val="3"/>
        <w:rPr>
          <w:rFonts w:hint="eastAsia" w:ascii="宋体" w:hAnsi="宋体" w:cs="宋体"/>
          <w:sz w:val="24"/>
        </w:rPr>
      </w:pPr>
      <w:r>
        <w:rPr>
          <w:rFonts w:hint="eastAsia" w:ascii="宋体" w:hAnsi="宋体" w:cs="宋体"/>
          <w:sz w:val="24"/>
          <w:highlight w:val="white"/>
        </w:rPr>
        <w:t>11.1 开工</w:t>
      </w:r>
    </w:p>
    <w:p w14:paraId="2F3D8775">
      <w:pPr>
        <w:spacing w:line="500" w:lineRule="exact"/>
        <w:ind w:firstLine="480" w:firstLineChars="200"/>
        <w:rPr>
          <w:rFonts w:hint="eastAsia" w:ascii="宋体" w:hAnsi="宋体" w:cs="宋体"/>
          <w:sz w:val="24"/>
        </w:rPr>
      </w:pPr>
      <w:r>
        <w:rPr>
          <w:rFonts w:hint="eastAsia" w:ascii="宋体" w:hAnsi="宋体" w:cs="宋体"/>
          <w:sz w:val="24"/>
          <w:highlight w:val="white"/>
        </w:rPr>
        <w:t>11.1.1 监理人应在开工日期7天前向承包人发出开工通知。监理人在发出开工通知前应获得发包人同意。工期自监理人发出的开工通知中载明的开工日期起计算</w:t>
      </w:r>
      <w:r>
        <w:rPr>
          <w:rFonts w:hint="eastAsia" w:ascii="宋体" w:hAnsi="宋体" w:eastAsia="宋体" w:cs="宋体"/>
          <w:sz w:val="24"/>
          <w:highlight w:val="white"/>
          <w:lang w:eastAsia="zh-CN"/>
        </w:rPr>
        <w:t>。</w:t>
      </w:r>
      <w:r>
        <w:rPr>
          <w:rFonts w:hint="eastAsia" w:ascii="宋体" w:hAnsi="宋体" w:cs="宋体"/>
          <w:sz w:val="24"/>
          <w:highlight w:val="white"/>
        </w:rPr>
        <w:t>承包人应在开工日期后尽快施工。</w:t>
      </w:r>
    </w:p>
    <w:p w14:paraId="4D541B25">
      <w:pPr>
        <w:spacing w:line="500" w:lineRule="exact"/>
        <w:ind w:firstLine="480" w:firstLineChars="200"/>
        <w:rPr>
          <w:rFonts w:hint="eastAsia" w:ascii="宋体" w:hAnsi="宋体" w:cs="宋体"/>
          <w:sz w:val="24"/>
        </w:rPr>
      </w:pPr>
      <w:r>
        <w:rPr>
          <w:rFonts w:hint="eastAsia" w:ascii="宋体" w:hAnsi="宋体" w:cs="宋体"/>
          <w:sz w:val="24"/>
          <w:highlight w:val="whit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2693315E">
      <w:pPr>
        <w:spacing w:line="500" w:lineRule="exact"/>
        <w:ind w:firstLine="480" w:firstLineChars="200"/>
        <w:rPr>
          <w:rFonts w:hint="eastAsia" w:ascii="宋体" w:hAnsi="宋体" w:cs="宋体"/>
          <w:sz w:val="24"/>
        </w:rPr>
      </w:pPr>
      <w:r>
        <w:rPr>
          <w:rFonts w:hint="eastAsia" w:ascii="宋体" w:hAnsi="宋体" w:cs="宋体"/>
          <w:sz w:val="24"/>
          <w:highlight w:val="white"/>
        </w:rPr>
        <w:t>11.1.3　若发包人未能按合同约定向承包人提供开工的必要条件，承包人有权要求延长工期。监理人应在收到承包人的书面要求后，按第3.5款的约定，与合同双方商定或确定增加的费用和延长的工期。</w:t>
      </w:r>
    </w:p>
    <w:p w14:paraId="2E7315D3">
      <w:pPr>
        <w:spacing w:line="500" w:lineRule="exact"/>
        <w:rPr>
          <w:rFonts w:hint="eastAsia" w:ascii="宋体" w:hAnsi="宋体" w:cs="宋体"/>
          <w:sz w:val="24"/>
        </w:rPr>
      </w:pPr>
      <w:r>
        <w:rPr>
          <w:rFonts w:hint="eastAsia" w:ascii="宋体" w:hAnsi="宋体" w:cs="宋体"/>
          <w:sz w:val="24"/>
          <w:highlight w:val="white"/>
        </w:rPr>
        <w:t>　　11.1.4　承包人在接到开工通知后14天内未按进度计划要求及时进场组织施工</w:t>
      </w:r>
      <w:r>
        <w:rPr>
          <w:rFonts w:hint="eastAsia" w:ascii="宋体" w:hAnsi="宋体" w:eastAsia="宋体" w:cs="宋体"/>
          <w:sz w:val="24"/>
          <w:highlight w:val="white"/>
          <w:lang w:eastAsia="zh-CN"/>
        </w:rPr>
        <w:t>，</w:t>
      </w:r>
      <w:r>
        <w:rPr>
          <w:rFonts w:hint="eastAsia" w:ascii="宋体" w:hAnsi="宋体" w:cs="宋体"/>
          <w:sz w:val="24"/>
          <w:highlight w:val="white"/>
        </w:rPr>
        <w:t>监理人可通知承包人在接到通知后7天内提交一份说明其进场延误的书面报告，报送监理人。书面报告应说明不能及时进场的原因和补救措施，由此增加的费用和工期延误责任由承包人承担。</w:t>
      </w:r>
    </w:p>
    <w:p w14:paraId="1040F7AD">
      <w:pPr>
        <w:spacing w:line="500" w:lineRule="exact"/>
        <w:outlineLvl w:val="3"/>
        <w:rPr>
          <w:rFonts w:hint="eastAsia" w:ascii="宋体" w:hAnsi="宋体" w:cs="宋体"/>
          <w:sz w:val="24"/>
        </w:rPr>
      </w:pPr>
      <w:r>
        <w:rPr>
          <w:rFonts w:hint="eastAsia" w:ascii="宋体" w:hAnsi="宋体" w:cs="宋体"/>
          <w:sz w:val="24"/>
          <w:highlight w:val="white"/>
        </w:rPr>
        <w:t>11.2 竣工(完工)</w:t>
      </w:r>
    </w:p>
    <w:p w14:paraId="7CBA136D">
      <w:pPr>
        <w:spacing w:line="500" w:lineRule="exact"/>
        <w:ind w:firstLine="420"/>
        <w:rPr>
          <w:rFonts w:hint="eastAsia" w:ascii="宋体" w:hAnsi="宋体" w:cs="宋体"/>
          <w:sz w:val="24"/>
        </w:rPr>
      </w:pPr>
      <w:r>
        <w:rPr>
          <w:rFonts w:hint="eastAsia" w:ascii="宋体" w:hAnsi="宋体" w:cs="宋体"/>
          <w:sz w:val="24"/>
          <w:highlight w:val="white"/>
        </w:rPr>
        <w:t>承包人应在第1.1.4.3目约定的期限内完成合同工程。合同工程实际完工日期在合同工程完工证书中明确。</w:t>
      </w:r>
    </w:p>
    <w:p w14:paraId="7CD5C364">
      <w:pPr>
        <w:spacing w:line="500" w:lineRule="exact"/>
        <w:outlineLvl w:val="3"/>
        <w:rPr>
          <w:rFonts w:hint="eastAsia" w:ascii="宋体" w:hAnsi="宋体" w:cs="宋体"/>
          <w:sz w:val="24"/>
        </w:rPr>
      </w:pPr>
      <w:r>
        <w:rPr>
          <w:rFonts w:hint="eastAsia" w:ascii="宋体" w:hAnsi="宋体" w:cs="宋体"/>
          <w:sz w:val="24"/>
          <w:highlight w:val="white"/>
        </w:rPr>
        <w:t>11.3 发包人的工期延误</w:t>
      </w:r>
    </w:p>
    <w:p w14:paraId="1515FCA3">
      <w:pPr>
        <w:spacing w:line="500" w:lineRule="exact"/>
        <w:ind w:firstLine="480" w:firstLineChars="200"/>
        <w:rPr>
          <w:rFonts w:hint="eastAsia" w:ascii="宋体" w:hAnsi="宋体" w:cs="宋体"/>
          <w:sz w:val="24"/>
        </w:rPr>
      </w:pPr>
      <w:r>
        <w:rPr>
          <w:rFonts w:hint="eastAsia" w:ascii="宋体" w:hAnsi="宋体" w:cs="宋体"/>
          <w:sz w:val="24"/>
          <w:highlight w:val="white"/>
        </w:rPr>
        <w:t>在履行合同过程中，由于发包人的下列原因造成工期延误的，承包人有权要求发包人延长工期和（或）增加费用，并支付合理利润。需要修订合同进度计划的，按照第10.2款的约定办理。</w:t>
      </w:r>
    </w:p>
    <w:p w14:paraId="3E727870">
      <w:pPr>
        <w:spacing w:line="500" w:lineRule="exact"/>
        <w:ind w:firstLine="410" w:firstLineChars="171"/>
        <w:rPr>
          <w:rFonts w:hint="eastAsia" w:ascii="宋体" w:hAnsi="宋体" w:cs="宋体"/>
          <w:sz w:val="24"/>
        </w:rPr>
      </w:pPr>
      <w:r>
        <w:rPr>
          <w:rFonts w:hint="eastAsia" w:ascii="宋体" w:hAnsi="宋体" w:cs="宋体"/>
          <w:sz w:val="24"/>
          <w:highlight w:val="white"/>
        </w:rPr>
        <w:t>（1）增加合同工作内容；</w:t>
      </w:r>
    </w:p>
    <w:p w14:paraId="6E0DAE6B">
      <w:pPr>
        <w:spacing w:line="500" w:lineRule="exact"/>
        <w:ind w:firstLine="410" w:firstLineChars="171"/>
        <w:rPr>
          <w:rFonts w:hint="eastAsia" w:ascii="宋体" w:hAnsi="宋体" w:cs="宋体"/>
          <w:sz w:val="24"/>
        </w:rPr>
      </w:pPr>
      <w:r>
        <w:rPr>
          <w:rFonts w:hint="eastAsia" w:ascii="宋体" w:hAnsi="宋体" w:cs="宋体"/>
          <w:sz w:val="24"/>
          <w:highlight w:val="white"/>
        </w:rPr>
        <w:t>（2）改变合同中任何一项工作的质量要求或其他特性；</w:t>
      </w:r>
    </w:p>
    <w:p w14:paraId="01555791">
      <w:pPr>
        <w:spacing w:line="500" w:lineRule="exact"/>
        <w:ind w:firstLine="410" w:firstLineChars="171"/>
        <w:rPr>
          <w:rFonts w:hint="eastAsia" w:ascii="宋体" w:hAnsi="宋体" w:cs="宋体"/>
          <w:sz w:val="24"/>
        </w:rPr>
      </w:pPr>
      <w:r>
        <w:rPr>
          <w:rFonts w:hint="eastAsia" w:ascii="宋体" w:hAnsi="宋体" w:cs="宋体"/>
          <w:sz w:val="24"/>
          <w:highlight w:val="white"/>
        </w:rPr>
        <w:t>（3）发包人迟延提供材料、工程设备或变更交货地点的；</w:t>
      </w:r>
    </w:p>
    <w:p w14:paraId="04F145B4">
      <w:pPr>
        <w:spacing w:line="500" w:lineRule="exact"/>
        <w:ind w:firstLine="410" w:firstLineChars="171"/>
        <w:rPr>
          <w:rFonts w:hint="eastAsia" w:ascii="宋体" w:hAnsi="宋体" w:cs="宋体"/>
          <w:sz w:val="24"/>
        </w:rPr>
      </w:pPr>
      <w:r>
        <w:rPr>
          <w:rFonts w:hint="eastAsia" w:ascii="宋体" w:hAnsi="宋体" w:cs="宋体"/>
          <w:sz w:val="24"/>
          <w:highlight w:val="white"/>
        </w:rPr>
        <w:t>（4）因发包人原因导致的暂停施工；</w:t>
      </w:r>
    </w:p>
    <w:p w14:paraId="1C5CF901">
      <w:pPr>
        <w:spacing w:line="500" w:lineRule="exact"/>
        <w:ind w:firstLine="410" w:firstLineChars="171"/>
        <w:rPr>
          <w:rFonts w:hint="eastAsia" w:ascii="宋体" w:hAnsi="宋体" w:cs="宋体"/>
          <w:sz w:val="24"/>
        </w:rPr>
      </w:pPr>
      <w:r>
        <w:rPr>
          <w:rFonts w:hint="eastAsia" w:ascii="宋体" w:hAnsi="宋体" w:cs="宋体"/>
          <w:sz w:val="24"/>
          <w:highlight w:val="white"/>
        </w:rPr>
        <w:t>（5）提供图纸延误；</w:t>
      </w:r>
    </w:p>
    <w:p w14:paraId="6EF002B2">
      <w:pPr>
        <w:spacing w:line="500" w:lineRule="exact"/>
        <w:ind w:firstLine="410" w:firstLineChars="171"/>
        <w:rPr>
          <w:rFonts w:hint="eastAsia" w:ascii="宋体" w:hAnsi="宋体" w:cs="宋体"/>
          <w:sz w:val="24"/>
        </w:rPr>
      </w:pPr>
      <w:r>
        <w:rPr>
          <w:rFonts w:hint="eastAsia" w:ascii="宋体" w:hAnsi="宋体" w:cs="宋体"/>
          <w:sz w:val="24"/>
          <w:highlight w:val="white"/>
        </w:rPr>
        <w:t>（6）未按合同约定及时支付预付款、进度款；</w:t>
      </w:r>
    </w:p>
    <w:p w14:paraId="43DFEA1D">
      <w:pPr>
        <w:spacing w:line="500" w:lineRule="exact"/>
        <w:ind w:firstLine="480" w:firstLineChars="200"/>
        <w:rPr>
          <w:rFonts w:hint="eastAsia" w:ascii="宋体" w:hAnsi="宋体" w:cs="宋体"/>
          <w:sz w:val="24"/>
        </w:rPr>
      </w:pPr>
      <w:r>
        <w:rPr>
          <w:rFonts w:hint="eastAsia" w:ascii="宋体" w:hAnsi="宋体" w:cs="宋体"/>
          <w:sz w:val="24"/>
          <w:highlight w:val="white"/>
        </w:rPr>
        <w:t>（7）发包人造成工期延误的其他原因。</w:t>
      </w:r>
    </w:p>
    <w:p w14:paraId="49BE8DD7">
      <w:pPr>
        <w:spacing w:line="500" w:lineRule="exact"/>
        <w:outlineLvl w:val="3"/>
        <w:rPr>
          <w:rFonts w:hint="eastAsia" w:ascii="宋体" w:hAnsi="宋体" w:cs="宋体"/>
          <w:sz w:val="24"/>
        </w:rPr>
      </w:pPr>
      <w:r>
        <w:rPr>
          <w:rFonts w:hint="eastAsia" w:ascii="宋体" w:hAnsi="宋体" w:cs="宋体"/>
          <w:sz w:val="24"/>
          <w:highlight w:val="white"/>
        </w:rPr>
        <w:t>11.4 异常恶劣的气候条件</w:t>
      </w:r>
    </w:p>
    <w:p w14:paraId="736AA5E5">
      <w:pPr>
        <w:spacing w:line="500" w:lineRule="exact"/>
        <w:rPr>
          <w:rFonts w:hint="eastAsia" w:ascii="宋体" w:hAnsi="宋体" w:cs="宋体"/>
          <w:sz w:val="24"/>
        </w:rPr>
      </w:pPr>
      <w:r>
        <w:rPr>
          <w:rFonts w:hint="eastAsia" w:ascii="宋体" w:hAnsi="宋体" w:cs="宋体"/>
          <w:sz w:val="24"/>
          <w:highlight w:val="white"/>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64135182">
      <w:pPr>
        <w:spacing w:line="500" w:lineRule="exact"/>
        <w:rPr>
          <w:rFonts w:hint="eastAsia" w:ascii="宋体" w:hAnsi="宋体" w:cs="宋体"/>
          <w:sz w:val="24"/>
        </w:rPr>
      </w:pPr>
      <w:r>
        <w:rPr>
          <w:rFonts w:hint="eastAsia" w:ascii="宋体" w:hAnsi="宋体" w:cs="宋体"/>
          <w:sz w:val="24"/>
          <w:highlight w:val="white"/>
        </w:rPr>
        <w:t>　　11.4.2　异常恶劣气候条件造成的工期延误和工程损坏，应由发包人与承包人参照本合同通用合同条款第21.3款的约定协商处理。</w:t>
      </w:r>
    </w:p>
    <w:p w14:paraId="625CEBB1">
      <w:pPr>
        <w:spacing w:line="500" w:lineRule="exact"/>
        <w:ind w:firstLine="420"/>
        <w:rPr>
          <w:rFonts w:hint="eastAsia" w:ascii="宋体" w:hAnsi="宋体" w:cs="宋体"/>
          <w:sz w:val="24"/>
        </w:rPr>
      </w:pPr>
      <w:r>
        <w:rPr>
          <w:rFonts w:hint="eastAsia" w:ascii="宋体" w:hAnsi="宋体" w:cs="宋体"/>
          <w:sz w:val="24"/>
          <w:highlight w:val="white"/>
        </w:rPr>
        <w:t>11.4.3　本合同工程界定异常恶劣气候条件的范围在专用合同条款中约定。</w:t>
      </w:r>
    </w:p>
    <w:p w14:paraId="50922015">
      <w:pPr>
        <w:spacing w:line="500" w:lineRule="exact"/>
        <w:outlineLvl w:val="3"/>
        <w:rPr>
          <w:rFonts w:hint="eastAsia" w:ascii="宋体" w:hAnsi="宋体" w:cs="宋体"/>
          <w:sz w:val="24"/>
        </w:rPr>
      </w:pPr>
      <w:r>
        <w:rPr>
          <w:rFonts w:hint="eastAsia" w:ascii="宋体" w:hAnsi="宋体" w:cs="宋体"/>
          <w:sz w:val="24"/>
          <w:highlight w:val="white"/>
        </w:rPr>
        <w:t xml:space="preserve">11.5 承包人工期延误 </w:t>
      </w:r>
    </w:p>
    <w:p w14:paraId="5574449B">
      <w:pPr>
        <w:spacing w:line="500" w:lineRule="exact"/>
        <w:ind w:firstLine="480" w:firstLineChars="200"/>
        <w:rPr>
          <w:rFonts w:hint="eastAsia" w:ascii="宋体" w:hAnsi="宋体" w:cs="宋体"/>
          <w:sz w:val="24"/>
        </w:rPr>
      </w:pPr>
      <w:r>
        <w:rPr>
          <w:rFonts w:hint="eastAsia" w:ascii="宋体" w:hAnsi="宋体" w:cs="宋体"/>
          <w:sz w:val="24"/>
          <w:highlight w:val="whit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2E2AD8E">
      <w:pPr>
        <w:spacing w:line="500" w:lineRule="exact"/>
        <w:outlineLvl w:val="3"/>
        <w:rPr>
          <w:rFonts w:hint="eastAsia" w:ascii="宋体" w:hAnsi="宋体" w:cs="宋体"/>
          <w:sz w:val="24"/>
        </w:rPr>
      </w:pPr>
      <w:r>
        <w:rPr>
          <w:rFonts w:hint="eastAsia" w:ascii="宋体" w:hAnsi="宋体" w:cs="宋体"/>
          <w:sz w:val="24"/>
          <w:highlight w:val="white"/>
        </w:rPr>
        <w:t>11.6 工期提前</w:t>
      </w:r>
    </w:p>
    <w:p w14:paraId="2EE83905">
      <w:pPr>
        <w:spacing w:line="500" w:lineRule="exact"/>
        <w:rPr>
          <w:rFonts w:hint="eastAsia" w:ascii="宋体" w:hAnsi="宋体" w:cs="宋体"/>
          <w:sz w:val="24"/>
        </w:rPr>
      </w:pPr>
      <w:r>
        <w:rPr>
          <w:rFonts w:hint="eastAsia" w:ascii="宋体" w:hAnsi="宋体" w:cs="宋体"/>
          <w:sz w:val="24"/>
          <w:highlight w:val="white"/>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75BDA5D3">
      <w:pPr>
        <w:spacing w:line="500" w:lineRule="exact"/>
        <w:rPr>
          <w:rFonts w:hint="eastAsia" w:ascii="宋体" w:hAnsi="宋体" w:eastAsia="宋体" w:cs="宋体"/>
          <w:sz w:val="24"/>
          <w:lang w:eastAsia="zh-CN"/>
        </w:rPr>
      </w:pPr>
      <w:r>
        <w:rPr>
          <w:rFonts w:hint="eastAsia" w:ascii="宋体" w:hAnsi="宋体" w:cs="宋体"/>
          <w:sz w:val="24"/>
          <w:highlight w:val="white"/>
        </w:rPr>
        <w:t>　　发包人要求提前完工的，双方协商一致后应签订提前完工协议，协议内容包括</w:t>
      </w:r>
      <w:r>
        <w:rPr>
          <w:rFonts w:hint="eastAsia" w:ascii="宋体" w:hAnsi="宋体" w:eastAsia="宋体" w:cs="宋体"/>
          <w:sz w:val="24"/>
          <w:highlight w:val="white"/>
          <w:lang w:eastAsia="zh-CN"/>
        </w:rPr>
        <w:t>：</w:t>
      </w:r>
    </w:p>
    <w:p w14:paraId="3AF14ECC">
      <w:pPr>
        <w:spacing w:line="500" w:lineRule="exact"/>
        <w:rPr>
          <w:rFonts w:hint="eastAsia" w:ascii="宋体" w:hAnsi="宋体" w:cs="宋体"/>
          <w:sz w:val="24"/>
        </w:rPr>
      </w:pPr>
      <w:r>
        <w:rPr>
          <w:rFonts w:hint="eastAsia" w:ascii="宋体" w:hAnsi="宋体" w:cs="宋体"/>
          <w:sz w:val="24"/>
          <w:highlight w:val="white"/>
        </w:rPr>
        <w:t>　　(1)提前的时间和修订后的进度计划；</w:t>
      </w:r>
    </w:p>
    <w:p w14:paraId="68820D2E">
      <w:pPr>
        <w:spacing w:line="500" w:lineRule="exact"/>
        <w:rPr>
          <w:rFonts w:hint="eastAsia" w:ascii="宋体" w:hAnsi="宋体" w:cs="宋体"/>
          <w:sz w:val="24"/>
        </w:rPr>
      </w:pPr>
      <w:r>
        <w:rPr>
          <w:rFonts w:hint="eastAsia" w:ascii="宋体" w:hAnsi="宋体" w:cs="宋体"/>
          <w:sz w:val="24"/>
          <w:highlight w:val="white"/>
        </w:rPr>
        <w:t>　　(2)承包人的赶工措施；</w:t>
      </w:r>
    </w:p>
    <w:p w14:paraId="55289306">
      <w:pPr>
        <w:spacing w:line="500" w:lineRule="exact"/>
        <w:rPr>
          <w:rFonts w:hint="eastAsia" w:ascii="宋体" w:hAnsi="宋体" w:cs="宋体"/>
          <w:sz w:val="24"/>
        </w:rPr>
      </w:pPr>
      <w:r>
        <w:rPr>
          <w:rFonts w:hint="eastAsia" w:ascii="宋体" w:hAnsi="宋体" w:cs="宋体"/>
          <w:sz w:val="24"/>
          <w:highlight w:val="white"/>
        </w:rPr>
        <w:t>　　(3)发包人为赶工提供的条件；</w:t>
      </w:r>
    </w:p>
    <w:p w14:paraId="3DC956AE">
      <w:pPr>
        <w:spacing w:line="500" w:lineRule="exact"/>
        <w:rPr>
          <w:rFonts w:hint="eastAsia" w:ascii="宋体" w:hAnsi="宋体" w:cs="宋体"/>
          <w:sz w:val="24"/>
        </w:rPr>
      </w:pPr>
      <w:r>
        <w:rPr>
          <w:rFonts w:hint="eastAsia" w:ascii="宋体" w:hAnsi="宋体" w:cs="宋体"/>
          <w:sz w:val="24"/>
          <w:highlight w:val="white"/>
        </w:rPr>
        <w:t>　　(4)赶工费用(包括利润和奖金)。</w:t>
      </w:r>
    </w:p>
    <w:p w14:paraId="7FE13939">
      <w:pPr>
        <w:spacing w:line="500" w:lineRule="exact"/>
        <w:outlineLvl w:val="2"/>
        <w:rPr>
          <w:rFonts w:hint="eastAsia" w:ascii="宋体" w:hAnsi="宋体" w:cs="宋体"/>
          <w:sz w:val="24"/>
        </w:rPr>
      </w:pPr>
      <w:bookmarkStart w:id="84" w:name="_Toc149571658"/>
      <w:bookmarkStart w:id="85" w:name="_Toc149635771"/>
      <w:bookmarkStart w:id="86" w:name="_Toc256000119"/>
      <w:r>
        <w:rPr>
          <w:rFonts w:hint="eastAsia" w:ascii="宋体" w:hAnsi="宋体" w:cs="宋体"/>
          <w:sz w:val="24"/>
          <w:highlight w:val="white"/>
        </w:rPr>
        <w:t>12. 暂停施工</w:t>
      </w:r>
      <w:bookmarkEnd w:id="84"/>
      <w:bookmarkEnd w:id="85"/>
      <w:bookmarkEnd w:id="86"/>
    </w:p>
    <w:p w14:paraId="234848D3">
      <w:pPr>
        <w:spacing w:line="500" w:lineRule="exact"/>
        <w:outlineLvl w:val="3"/>
        <w:rPr>
          <w:rFonts w:hint="eastAsia" w:ascii="宋体" w:hAnsi="宋体" w:cs="宋体"/>
          <w:sz w:val="24"/>
        </w:rPr>
      </w:pPr>
      <w:r>
        <w:rPr>
          <w:rFonts w:hint="eastAsia" w:ascii="宋体" w:hAnsi="宋体" w:cs="宋体"/>
          <w:sz w:val="24"/>
          <w:highlight w:val="white"/>
        </w:rPr>
        <w:t>12.1 承包人暂停施工的责任</w:t>
      </w:r>
    </w:p>
    <w:p w14:paraId="60726988">
      <w:pPr>
        <w:spacing w:line="500" w:lineRule="exact"/>
        <w:ind w:firstLine="480" w:firstLineChars="200"/>
        <w:rPr>
          <w:rFonts w:hint="eastAsia" w:ascii="宋体" w:hAnsi="宋体" w:cs="宋体"/>
          <w:sz w:val="24"/>
        </w:rPr>
      </w:pPr>
      <w:r>
        <w:rPr>
          <w:rFonts w:hint="eastAsia" w:ascii="宋体" w:hAnsi="宋体" w:cs="宋体"/>
          <w:sz w:val="24"/>
          <w:highlight w:val="white"/>
        </w:rPr>
        <w:t>因下列暂停施工增加的费用和（或）工期延误由承包人承担：</w:t>
      </w:r>
    </w:p>
    <w:p w14:paraId="71FB13B1">
      <w:pPr>
        <w:spacing w:line="500" w:lineRule="exact"/>
        <w:ind w:firstLine="480" w:firstLineChars="200"/>
        <w:rPr>
          <w:rFonts w:hint="eastAsia" w:ascii="宋体" w:hAnsi="宋体" w:cs="宋体"/>
          <w:sz w:val="24"/>
        </w:rPr>
      </w:pPr>
      <w:r>
        <w:rPr>
          <w:rFonts w:hint="eastAsia" w:ascii="宋体" w:hAnsi="宋体" w:cs="宋体"/>
          <w:sz w:val="24"/>
          <w:highlight w:val="white"/>
        </w:rPr>
        <w:t>（1）承包人违约引起的暂停施工；</w:t>
      </w:r>
    </w:p>
    <w:p w14:paraId="0D4FB37A">
      <w:pPr>
        <w:spacing w:line="500" w:lineRule="exact"/>
        <w:ind w:firstLine="480" w:firstLineChars="200"/>
        <w:rPr>
          <w:rFonts w:hint="eastAsia" w:ascii="宋体" w:hAnsi="宋体" w:cs="宋体"/>
          <w:sz w:val="24"/>
        </w:rPr>
      </w:pPr>
      <w:r>
        <w:rPr>
          <w:rFonts w:hint="eastAsia" w:ascii="宋体" w:hAnsi="宋体" w:cs="宋体"/>
          <w:sz w:val="24"/>
          <w:highlight w:val="white"/>
        </w:rPr>
        <w:t>（2）由于承包人原因为工程合理施工和安全保障所必需的暂停施工；</w:t>
      </w:r>
    </w:p>
    <w:p w14:paraId="3112CE14">
      <w:pPr>
        <w:spacing w:line="500" w:lineRule="exact"/>
        <w:ind w:firstLine="480" w:firstLineChars="200"/>
        <w:rPr>
          <w:rFonts w:hint="eastAsia" w:ascii="宋体" w:hAnsi="宋体" w:cs="宋体"/>
          <w:sz w:val="24"/>
        </w:rPr>
      </w:pPr>
      <w:r>
        <w:rPr>
          <w:rFonts w:hint="eastAsia" w:ascii="宋体" w:hAnsi="宋体" w:cs="宋体"/>
          <w:sz w:val="24"/>
          <w:highlight w:val="white"/>
        </w:rPr>
        <w:t>（3）承包人擅自暂停施工；</w:t>
      </w:r>
    </w:p>
    <w:p w14:paraId="0DBB9DF2">
      <w:pPr>
        <w:spacing w:line="500" w:lineRule="exact"/>
        <w:ind w:firstLine="480" w:firstLineChars="200"/>
        <w:rPr>
          <w:rFonts w:hint="eastAsia" w:ascii="宋体" w:hAnsi="宋体" w:cs="宋体"/>
          <w:sz w:val="24"/>
        </w:rPr>
      </w:pPr>
      <w:r>
        <w:rPr>
          <w:rFonts w:hint="eastAsia" w:ascii="宋体" w:hAnsi="宋体" w:cs="宋体"/>
          <w:sz w:val="24"/>
          <w:highlight w:val="white"/>
        </w:rPr>
        <w:t>（4）承包人其他原因引起的暂停施工；</w:t>
      </w:r>
    </w:p>
    <w:p w14:paraId="3B2B295A">
      <w:pPr>
        <w:spacing w:line="500" w:lineRule="exact"/>
        <w:ind w:firstLine="480" w:firstLineChars="200"/>
        <w:rPr>
          <w:rFonts w:hint="eastAsia" w:ascii="宋体" w:hAnsi="宋体" w:cs="宋体"/>
          <w:sz w:val="24"/>
        </w:rPr>
      </w:pPr>
      <w:r>
        <w:rPr>
          <w:rFonts w:hint="eastAsia" w:ascii="宋体" w:hAnsi="宋体" w:cs="宋体"/>
          <w:sz w:val="24"/>
          <w:highlight w:val="white"/>
        </w:rPr>
        <w:t>（5）专用合同条款约定由承包人承担的其他暂停施工。</w:t>
      </w:r>
    </w:p>
    <w:p w14:paraId="220C72D0">
      <w:pPr>
        <w:spacing w:line="500" w:lineRule="exact"/>
        <w:outlineLvl w:val="3"/>
        <w:rPr>
          <w:rFonts w:hint="eastAsia" w:ascii="宋体" w:hAnsi="宋体" w:cs="宋体"/>
          <w:sz w:val="24"/>
        </w:rPr>
      </w:pPr>
      <w:r>
        <w:rPr>
          <w:rFonts w:hint="eastAsia" w:ascii="宋体" w:hAnsi="宋体" w:cs="宋体"/>
          <w:sz w:val="24"/>
          <w:highlight w:val="white"/>
        </w:rPr>
        <w:t>12.2 发包人暂停施工的责任</w:t>
      </w:r>
    </w:p>
    <w:p w14:paraId="76A33D1D">
      <w:pPr>
        <w:spacing w:line="500" w:lineRule="exact"/>
        <w:rPr>
          <w:rFonts w:hint="eastAsia" w:ascii="宋体" w:hAnsi="宋体" w:cs="宋体"/>
          <w:sz w:val="24"/>
        </w:rPr>
      </w:pPr>
      <w:r>
        <w:rPr>
          <w:rFonts w:hint="eastAsia" w:ascii="宋体" w:hAnsi="宋体" w:cs="宋体"/>
          <w:sz w:val="24"/>
          <w:highlight w:val="white"/>
        </w:rPr>
        <w:t>　　由于发包人原因引起的暂停施工造成工期延误的，承包人有权要求发包人延长工期和(或)增加费用，并支付合理利润。</w:t>
      </w:r>
    </w:p>
    <w:p w14:paraId="00F59AA1">
      <w:pPr>
        <w:spacing w:line="500" w:lineRule="exact"/>
        <w:rPr>
          <w:rFonts w:hint="eastAsia" w:ascii="宋体" w:hAnsi="宋体" w:cs="宋体"/>
          <w:sz w:val="24"/>
        </w:rPr>
      </w:pPr>
      <w:r>
        <w:rPr>
          <w:rFonts w:hint="eastAsia" w:ascii="宋体" w:hAnsi="宋体" w:cs="宋体"/>
          <w:sz w:val="24"/>
          <w:highlight w:val="white"/>
        </w:rPr>
        <w:t>　　属于下列任何一种情况引起的暂停施工，均为发包人的责任：</w:t>
      </w:r>
    </w:p>
    <w:p w14:paraId="02F5456D">
      <w:pPr>
        <w:spacing w:line="500" w:lineRule="exact"/>
        <w:rPr>
          <w:rFonts w:hint="eastAsia" w:ascii="宋体" w:hAnsi="宋体" w:cs="宋体"/>
          <w:sz w:val="24"/>
        </w:rPr>
      </w:pPr>
      <w:r>
        <w:rPr>
          <w:rFonts w:hint="eastAsia" w:ascii="宋体" w:hAnsi="宋体" w:cs="宋体"/>
          <w:sz w:val="24"/>
          <w:highlight w:val="white"/>
        </w:rPr>
        <w:t>　　(1)由于发包人违约引起的暂停施工；</w:t>
      </w:r>
    </w:p>
    <w:p w14:paraId="40DCDBD1">
      <w:pPr>
        <w:spacing w:line="500" w:lineRule="exact"/>
        <w:rPr>
          <w:rFonts w:hint="eastAsia" w:ascii="宋体" w:hAnsi="宋体" w:cs="宋体"/>
          <w:sz w:val="24"/>
        </w:rPr>
      </w:pPr>
      <w:r>
        <w:rPr>
          <w:rFonts w:hint="eastAsia" w:ascii="宋体" w:hAnsi="宋体" w:cs="宋体"/>
          <w:sz w:val="24"/>
          <w:highlight w:val="white"/>
        </w:rPr>
        <w:t>　　(2)由于不可抗力的自然或社会因素引起的暂停施工；</w:t>
      </w:r>
    </w:p>
    <w:p w14:paraId="3C1323C4">
      <w:pPr>
        <w:spacing w:line="500" w:lineRule="exact"/>
        <w:ind w:firstLine="420"/>
        <w:rPr>
          <w:rFonts w:hint="eastAsia" w:ascii="宋体" w:hAnsi="宋体" w:cs="宋体"/>
          <w:sz w:val="24"/>
        </w:rPr>
      </w:pPr>
      <w:r>
        <w:rPr>
          <w:rFonts w:hint="eastAsia" w:ascii="宋体" w:hAnsi="宋体" w:cs="宋体"/>
          <w:sz w:val="24"/>
          <w:highlight w:val="white"/>
        </w:rPr>
        <w:t>(3)专用合同条款中约定的其它由于发包人原因引起的暂停施工。</w:t>
      </w:r>
    </w:p>
    <w:p w14:paraId="363D1506">
      <w:pPr>
        <w:spacing w:line="500" w:lineRule="exact"/>
        <w:outlineLvl w:val="3"/>
        <w:rPr>
          <w:rFonts w:hint="eastAsia" w:ascii="宋体" w:hAnsi="宋体" w:cs="宋体"/>
          <w:sz w:val="24"/>
        </w:rPr>
      </w:pPr>
      <w:r>
        <w:rPr>
          <w:rFonts w:hint="eastAsia" w:ascii="宋体" w:hAnsi="宋体" w:cs="宋体"/>
          <w:sz w:val="24"/>
          <w:highlight w:val="white"/>
        </w:rPr>
        <w:t>12.3 监理人暂停施工指示</w:t>
      </w:r>
    </w:p>
    <w:p w14:paraId="6B2E5026">
      <w:pPr>
        <w:spacing w:line="500" w:lineRule="exact"/>
        <w:ind w:firstLine="480" w:firstLineChars="200"/>
        <w:rPr>
          <w:rFonts w:hint="eastAsia" w:ascii="宋体" w:hAnsi="宋体" w:cs="宋体"/>
          <w:sz w:val="24"/>
        </w:rPr>
      </w:pPr>
      <w:r>
        <w:rPr>
          <w:rFonts w:hint="eastAsia" w:ascii="宋体" w:hAnsi="宋体" w:cs="宋体"/>
          <w:sz w:val="24"/>
          <w:highlight w:val="white"/>
        </w:rPr>
        <w:t>12.3.1 监理人认为有必要时，可向承包人作出暂停施工的指示，承包人应按监理人指示暂停施工。不论由于何种原因引起的暂停施工，暂停施工期间承包人应负责妥善保护工程并提供安全保障。</w:t>
      </w:r>
    </w:p>
    <w:p w14:paraId="247C7F11">
      <w:pPr>
        <w:spacing w:line="500" w:lineRule="exact"/>
        <w:ind w:firstLine="480" w:firstLineChars="200"/>
        <w:rPr>
          <w:rFonts w:hint="eastAsia" w:ascii="宋体" w:hAnsi="宋体" w:cs="宋体"/>
          <w:sz w:val="24"/>
        </w:rPr>
      </w:pPr>
      <w:r>
        <w:rPr>
          <w:rFonts w:hint="eastAsia" w:ascii="宋体" w:hAnsi="宋体" w:cs="宋体"/>
          <w:sz w:val="24"/>
          <w:highlight w:val="whit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3F57E801">
      <w:pPr>
        <w:spacing w:line="500" w:lineRule="exact"/>
        <w:outlineLvl w:val="3"/>
        <w:rPr>
          <w:rFonts w:hint="eastAsia" w:ascii="宋体" w:hAnsi="宋体" w:cs="宋体"/>
          <w:sz w:val="24"/>
        </w:rPr>
      </w:pPr>
      <w:r>
        <w:rPr>
          <w:rFonts w:hint="eastAsia" w:ascii="宋体" w:hAnsi="宋体" w:cs="宋体"/>
          <w:sz w:val="24"/>
          <w:highlight w:val="white"/>
        </w:rPr>
        <w:t>12.4 暂停施工后的复工</w:t>
      </w:r>
    </w:p>
    <w:p w14:paraId="4F78D127">
      <w:pPr>
        <w:spacing w:line="500" w:lineRule="exact"/>
        <w:ind w:firstLine="480" w:firstLineChars="200"/>
        <w:rPr>
          <w:rFonts w:hint="eastAsia" w:ascii="宋体" w:hAnsi="宋体" w:cs="宋体"/>
          <w:sz w:val="24"/>
        </w:rPr>
      </w:pPr>
      <w:r>
        <w:rPr>
          <w:rFonts w:hint="eastAsia" w:ascii="宋体" w:hAnsi="宋体" w:cs="宋体"/>
          <w:sz w:val="24"/>
          <w:highlight w:val="whit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1895CB94">
      <w:pPr>
        <w:spacing w:line="500" w:lineRule="exact"/>
        <w:ind w:firstLine="480" w:firstLineChars="200"/>
        <w:rPr>
          <w:rFonts w:hint="eastAsia" w:ascii="宋体" w:hAnsi="宋体" w:cs="宋体"/>
          <w:sz w:val="24"/>
        </w:rPr>
      </w:pPr>
      <w:r>
        <w:rPr>
          <w:rFonts w:hint="eastAsia" w:ascii="宋体" w:hAnsi="宋体" w:cs="宋体"/>
          <w:sz w:val="24"/>
          <w:highlight w:val="white"/>
        </w:rPr>
        <w:t>12.4.2 承包人无故拖延和拒绝复工的，由此增加的费用和工期延误由承包人承担；因发包人原因无法按时复工的，承包人有权要求发包人延长工期和（或）增加费用，并支付合理利润。</w:t>
      </w:r>
    </w:p>
    <w:p w14:paraId="15862AD1">
      <w:pPr>
        <w:spacing w:line="500" w:lineRule="exact"/>
        <w:outlineLvl w:val="3"/>
        <w:rPr>
          <w:rFonts w:hint="eastAsia" w:ascii="宋体" w:hAnsi="宋体" w:cs="宋体"/>
          <w:sz w:val="24"/>
        </w:rPr>
      </w:pPr>
      <w:r>
        <w:rPr>
          <w:rFonts w:hint="eastAsia" w:ascii="宋体" w:hAnsi="宋体" w:cs="宋体"/>
          <w:sz w:val="24"/>
          <w:highlight w:val="white"/>
        </w:rPr>
        <w:t>12.5 暂停施工持续56天以上</w:t>
      </w:r>
    </w:p>
    <w:p w14:paraId="13ABA481">
      <w:pPr>
        <w:spacing w:line="500" w:lineRule="exact"/>
        <w:ind w:firstLine="470" w:firstLineChars="196"/>
        <w:rPr>
          <w:rFonts w:hint="eastAsia" w:ascii="宋体" w:hAnsi="宋体" w:cs="宋体"/>
          <w:sz w:val="24"/>
        </w:rPr>
      </w:pPr>
      <w:r>
        <w:rPr>
          <w:rFonts w:hint="eastAsia" w:ascii="宋体" w:hAnsi="宋体" w:cs="宋体"/>
          <w:sz w:val="24"/>
          <w:highlight w:val="whit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057C23E9">
      <w:pPr>
        <w:spacing w:line="500" w:lineRule="exact"/>
        <w:ind w:firstLine="480" w:firstLineChars="200"/>
        <w:rPr>
          <w:rFonts w:hint="eastAsia" w:ascii="宋体" w:hAnsi="宋体" w:cs="宋体"/>
          <w:sz w:val="24"/>
        </w:rPr>
      </w:pPr>
      <w:r>
        <w:rPr>
          <w:rFonts w:hint="eastAsia" w:ascii="宋体" w:hAnsi="宋体" w:cs="宋体"/>
          <w:sz w:val="24"/>
          <w:highlight w:val="white"/>
        </w:rPr>
        <w:t>12.5.2 由于承包人责任引起的暂停施工，如承包人在收到监理人暂停施工指示后56天内不认真采取有效的复工措施，造成工期延误，可视为承包人违约，应按第22.1款的约定办理。</w:t>
      </w:r>
    </w:p>
    <w:p w14:paraId="0463AB9F">
      <w:pPr>
        <w:spacing w:line="500" w:lineRule="exact"/>
        <w:outlineLvl w:val="2"/>
        <w:rPr>
          <w:rFonts w:hint="eastAsia" w:ascii="宋体" w:hAnsi="宋体" w:cs="宋体"/>
          <w:sz w:val="24"/>
        </w:rPr>
      </w:pPr>
      <w:bookmarkStart w:id="87" w:name="_Toc149635772"/>
      <w:bookmarkStart w:id="88" w:name="_Toc256000120"/>
      <w:bookmarkStart w:id="89" w:name="_Toc149571659"/>
      <w:r>
        <w:rPr>
          <w:rFonts w:hint="eastAsia" w:ascii="宋体" w:hAnsi="宋体" w:cs="宋体"/>
          <w:sz w:val="24"/>
          <w:highlight w:val="white"/>
        </w:rPr>
        <w:t>13. 工程质量</w:t>
      </w:r>
      <w:bookmarkEnd w:id="87"/>
      <w:bookmarkEnd w:id="88"/>
      <w:bookmarkEnd w:id="89"/>
    </w:p>
    <w:p w14:paraId="22AB4982">
      <w:pPr>
        <w:spacing w:line="500" w:lineRule="exact"/>
        <w:outlineLvl w:val="3"/>
        <w:rPr>
          <w:rFonts w:hint="eastAsia" w:ascii="宋体" w:hAnsi="宋体" w:cs="宋体"/>
          <w:sz w:val="24"/>
        </w:rPr>
      </w:pPr>
      <w:r>
        <w:rPr>
          <w:rFonts w:hint="eastAsia" w:ascii="宋体" w:hAnsi="宋体" w:cs="宋体"/>
          <w:sz w:val="24"/>
          <w:highlight w:val="white"/>
        </w:rPr>
        <w:t>13.1 工程质量要求</w:t>
      </w:r>
    </w:p>
    <w:p w14:paraId="7D8DE9E4">
      <w:pPr>
        <w:spacing w:line="500" w:lineRule="exact"/>
        <w:ind w:firstLine="480" w:firstLineChars="200"/>
        <w:rPr>
          <w:rFonts w:hint="eastAsia" w:ascii="宋体" w:hAnsi="宋体" w:cs="宋体"/>
          <w:sz w:val="24"/>
        </w:rPr>
      </w:pPr>
      <w:r>
        <w:rPr>
          <w:rFonts w:hint="eastAsia" w:ascii="宋体" w:hAnsi="宋体" w:cs="宋体"/>
          <w:sz w:val="24"/>
          <w:highlight w:val="white"/>
        </w:rPr>
        <w:t>13.1.1 工程质量验收按合同约定验收标准执行。</w:t>
      </w:r>
    </w:p>
    <w:p w14:paraId="6206E0A2">
      <w:pPr>
        <w:spacing w:line="500" w:lineRule="exact"/>
        <w:ind w:firstLine="480" w:firstLineChars="200"/>
        <w:rPr>
          <w:rFonts w:hint="eastAsia" w:ascii="宋体" w:hAnsi="宋体" w:cs="宋体"/>
          <w:sz w:val="24"/>
        </w:rPr>
      </w:pPr>
      <w:r>
        <w:rPr>
          <w:rFonts w:hint="eastAsia" w:ascii="宋体" w:hAnsi="宋体" w:cs="宋体"/>
          <w:sz w:val="24"/>
          <w:highlight w:val="white"/>
        </w:rPr>
        <w:t>13.1.2 因承包人原因造成工程质量达不到合同约定验收标准的，监理人有权要求承包人返工直至符合合同要求为止，由此造成的费用增加和（或）工期延误由承包人承担。</w:t>
      </w:r>
    </w:p>
    <w:p w14:paraId="5E0A2DE7">
      <w:pPr>
        <w:spacing w:line="500" w:lineRule="exact"/>
        <w:ind w:firstLine="480" w:firstLineChars="200"/>
        <w:rPr>
          <w:rFonts w:hint="eastAsia" w:ascii="宋体" w:hAnsi="宋体" w:cs="宋体"/>
          <w:sz w:val="24"/>
        </w:rPr>
      </w:pPr>
      <w:r>
        <w:rPr>
          <w:rFonts w:hint="eastAsia" w:ascii="宋体" w:hAnsi="宋体" w:cs="宋体"/>
          <w:sz w:val="24"/>
          <w:highlight w:val="white"/>
        </w:rPr>
        <w:t>13.1.3 因发包人原因造成工程质量达不到合同约定验收标准的，发包人应承担由于承包人返工造成的费用增加和（或）工期延误，并支付承包人合理利润。</w:t>
      </w:r>
    </w:p>
    <w:p w14:paraId="70C32D2A">
      <w:pPr>
        <w:spacing w:line="500" w:lineRule="exact"/>
        <w:outlineLvl w:val="3"/>
        <w:rPr>
          <w:rFonts w:hint="eastAsia" w:ascii="宋体" w:hAnsi="宋体" w:cs="宋体"/>
          <w:sz w:val="24"/>
        </w:rPr>
      </w:pPr>
      <w:r>
        <w:rPr>
          <w:rFonts w:hint="eastAsia" w:ascii="宋体" w:hAnsi="宋体" w:cs="宋体"/>
          <w:sz w:val="24"/>
          <w:highlight w:val="white"/>
        </w:rPr>
        <w:t>13.2 承包人的质量管理</w:t>
      </w:r>
    </w:p>
    <w:p w14:paraId="775A03EA">
      <w:pPr>
        <w:spacing w:line="500" w:lineRule="exact"/>
        <w:ind w:firstLine="420"/>
        <w:rPr>
          <w:rFonts w:hint="eastAsia" w:ascii="宋体" w:hAnsi="宋体" w:cs="宋体"/>
          <w:sz w:val="24"/>
        </w:rPr>
      </w:pPr>
      <w:r>
        <w:rPr>
          <w:rFonts w:hint="eastAsia" w:ascii="宋体" w:hAnsi="宋体" w:cs="宋体"/>
          <w:sz w:val="24"/>
          <w:highlight w:val="white"/>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4390FFC9">
      <w:pPr>
        <w:spacing w:line="500" w:lineRule="exact"/>
        <w:ind w:firstLine="420"/>
        <w:rPr>
          <w:rFonts w:hint="eastAsia" w:ascii="宋体" w:hAnsi="宋体" w:cs="宋体"/>
          <w:sz w:val="24"/>
        </w:rPr>
      </w:pPr>
      <w:r>
        <w:rPr>
          <w:rFonts w:hint="eastAsia" w:ascii="宋体" w:hAnsi="宋体" w:cs="宋体"/>
          <w:sz w:val="24"/>
          <w:highlight w:val="white"/>
        </w:rPr>
        <w:t>13.2.2 承包人应加强对施工人员的质量教育和技术培训，定期考核施工人员的劳动技能，严格执行规范和操作规程。</w:t>
      </w:r>
    </w:p>
    <w:p w14:paraId="388C425D">
      <w:pPr>
        <w:spacing w:line="500" w:lineRule="exact"/>
        <w:outlineLvl w:val="3"/>
        <w:rPr>
          <w:rFonts w:hint="eastAsia" w:ascii="宋体" w:hAnsi="宋体" w:cs="宋体"/>
          <w:sz w:val="24"/>
        </w:rPr>
      </w:pPr>
      <w:r>
        <w:rPr>
          <w:rFonts w:hint="eastAsia" w:ascii="宋体" w:hAnsi="宋体" w:cs="宋体"/>
          <w:sz w:val="24"/>
          <w:highlight w:val="white"/>
        </w:rPr>
        <w:t>13.3 承包人的质量检查</w:t>
      </w:r>
    </w:p>
    <w:p w14:paraId="6FB97DDA">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承包人应按合同约定对材料、工程设备以及工程的所有部位及其施工工艺进行全过程的质量检查和检验，并作详细记录，编制工程质量报表，报送监理人审查。</w:t>
      </w:r>
    </w:p>
    <w:p w14:paraId="590E3223">
      <w:pPr>
        <w:spacing w:line="500" w:lineRule="exact"/>
        <w:outlineLvl w:val="3"/>
        <w:rPr>
          <w:rFonts w:hint="eastAsia" w:ascii="宋体" w:hAnsi="宋体" w:cs="宋体"/>
          <w:sz w:val="24"/>
        </w:rPr>
      </w:pPr>
      <w:r>
        <w:rPr>
          <w:rFonts w:hint="eastAsia" w:ascii="宋体" w:hAnsi="宋体" w:cs="宋体"/>
          <w:sz w:val="24"/>
          <w:highlight w:val="white"/>
        </w:rPr>
        <w:t>13.4 监理人的质量检查</w:t>
      </w:r>
    </w:p>
    <w:p w14:paraId="01D072F5">
      <w:pPr>
        <w:spacing w:line="500" w:lineRule="exact"/>
        <w:ind w:firstLine="480" w:firstLineChars="200"/>
        <w:rPr>
          <w:rFonts w:hint="eastAsia" w:ascii="宋体" w:hAnsi="宋体" w:cs="宋体"/>
          <w:sz w:val="24"/>
        </w:rPr>
      </w:pPr>
      <w:r>
        <w:rPr>
          <w:rFonts w:hint="eastAsia" w:ascii="宋体" w:hAnsi="宋体" w:cs="宋体"/>
          <w:sz w:val="24"/>
          <w:highlight w:val="whit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5BFB502">
      <w:pPr>
        <w:spacing w:line="500" w:lineRule="exact"/>
        <w:outlineLvl w:val="3"/>
        <w:rPr>
          <w:rFonts w:hint="eastAsia" w:ascii="宋体" w:hAnsi="宋体" w:cs="宋体"/>
          <w:sz w:val="24"/>
        </w:rPr>
      </w:pPr>
      <w:r>
        <w:rPr>
          <w:rFonts w:hint="eastAsia" w:ascii="宋体" w:hAnsi="宋体" w:cs="宋体"/>
          <w:sz w:val="24"/>
          <w:highlight w:val="white"/>
        </w:rPr>
        <w:t>13.5 工程隐蔽部位覆盖前的检查</w:t>
      </w:r>
    </w:p>
    <w:p w14:paraId="5CE1CC31">
      <w:pPr>
        <w:spacing w:line="500" w:lineRule="exact"/>
        <w:ind w:firstLine="480" w:firstLineChars="200"/>
        <w:rPr>
          <w:rFonts w:hint="eastAsia" w:ascii="宋体" w:hAnsi="宋体" w:cs="宋体"/>
          <w:sz w:val="24"/>
        </w:rPr>
      </w:pPr>
      <w:r>
        <w:rPr>
          <w:rFonts w:hint="eastAsia" w:ascii="宋体" w:hAnsi="宋体" w:cs="宋体"/>
          <w:sz w:val="24"/>
          <w:highlight w:val="white"/>
        </w:rPr>
        <w:t>13.5.1 通知监理人检查</w:t>
      </w:r>
    </w:p>
    <w:p w14:paraId="7FC1E88F">
      <w:pPr>
        <w:spacing w:line="500" w:lineRule="exact"/>
        <w:ind w:firstLine="480" w:firstLineChars="200"/>
        <w:rPr>
          <w:rFonts w:hint="eastAsia" w:ascii="宋体" w:hAnsi="宋体" w:cs="宋体"/>
          <w:sz w:val="24"/>
        </w:rPr>
      </w:pPr>
      <w:r>
        <w:rPr>
          <w:rFonts w:hint="eastAsia" w:ascii="宋体" w:hAnsi="宋体" w:cs="宋体"/>
          <w:sz w:val="24"/>
          <w:highlight w:val="whit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777D3B05">
      <w:pPr>
        <w:spacing w:line="500" w:lineRule="exact"/>
        <w:ind w:firstLine="480" w:firstLineChars="200"/>
        <w:rPr>
          <w:rFonts w:hint="eastAsia" w:ascii="宋体" w:hAnsi="宋体" w:cs="宋体"/>
          <w:sz w:val="24"/>
        </w:rPr>
      </w:pPr>
      <w:r>
        <w:rPr>
          <w:rFonts w:hint="eastAsia" w:ascii="宋体" w:hAnsi="宋体" w:cs="宋体"/>
          <w:sz w:val="24"/>
          <w:highlight w:val="white"/>
        </w:rPr>
        <w:t>13.5.2 监理人未到场检查</w:t>
      </w:r>
    </w:p>
    <w:p w14:paraId="54845603">
      <w:pPr>
        <w:spacing w:line="500" w:lineRule="exact"/>
        <w:ind w:firstLine="480" w:firstLineChars="200"/>
        <w:rPr>
          <w:rFonts w:hint="eastAsia" w:ascii="宋体" w:hAnsi="宋体" w:cs="宋体"/>
          <w:sz w:val="24"/>
        </w:rPr>
      </w:pPr>
      <w:r>
        <w:rPr>
          <w:rFonts w:hint="eastAsia" w:ascii="宋体" w:hAnsi="宋体" w:cs="宋体"/>
          <w:sz w:val="24"/>
          <w:highlight w:val="whit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216194C3">
      <w:pPr>
        <w:spacing w:line="500" w:lineRule="exact"/>
        <w:ind w:firstLine="480" w:firstLineChars="200"/>
        <w:rPr>
          <w:rFonts w:hint="eastAsia" w:ascii="宋体" w:hAnsi="宋体" w:cs="宋体"/>
          <w:sz w:val="24"/>
        </w:rPr>
      </w:pPr>
      <w:r>
        <w:rPr>
          <w:rFonts w:hint="eastAsia" w:ascii="宋体" w:hAnsi="宋体" w:cs="宋体"/>
          <w:sz w:val="24"/>
          <w:highlight w:val="white"/>
        </w:rPr>
        <w:t>13.5.3 监理人重新检查</w:t>
      </w:r>
    </w:p>
    <w:p w14:paraId="71E85C0C">
      <w:pPr>
        <w:spacing w:line="500" w:lineRule="exact"/>
        <w:ind w:firstLine="480" w:firstLineChars="200"/>
        <w:rPr>
          <w:rFonts w:hint="eastAsia" w:ascii="宋体" w:hAnsi="宋体" w:cs="宋体"/>
          <w:sz w:val="24"/>
        </w:rPr>
      </w:pPr>
      <w:r>
        <w:rPr>
          <w:rFonts w:hint="eastAsia" w:ascii="宋体" w:hAnsi="宋体" w:cs="宋体"/>
          <w:sz w:val="24"/>
          <w:highlight w:val="whit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C7449D5">
      <w:pPr>
        <w:spacing w:line="500" w:lineRule="exact"/>
        <w:ind w:firstLine="480" w:firstLineChars="200"/>
        <w:rPr>
          <w:rFonts w:hint="eastAsia" w:ascii="宋体" w:hAnsi="宋体" w:cs="宋体"/>
          <w:sz w:val="24"/>
        </w:rPr>
      </w:pPr>
      <w:r>
        <w:rPr>
          <w:rFonts w:hint="eastAsia" w:ascii="宋体" w:hAnsi="宋体" w:cs="宋体"/>
          <w:sz w:val="24"/>
          <w:highlight w:val="white"/>
        </w:rPr>
        <w:t>13.5.4 承包人私自覆盖</w:t>
      </w:r>
    </w:p>
    <w:p w14:paraId="3A11668B">
      <w:pPr>
        <w:spacing w:line="500" w:lineRule="exact"/>
        <w:ind w:firstLine="480" w:firstLineChars="200"/>
        <w:rPr>
          <w:rFonts w:hint="eastAsia" w:ascii="宋体" w:hAnsi="宋体" w:cs="宋体"/>
          <w:sz w:val="24"/>
        </w:rPr>
      </w:pPr>
      <w:r>
        <w:rPr>
          <w:rFonts w:hint="eastAsia" w:ascii="宋体" w:hAnsi="宋体" w:cs="宋体"/>
          <w:sz w:val="24"/>
          <w:highlight w:val="white"/>
        </w:rPr>
        <w:t>承包人未通知监理人到场检查，私自将工程隐蔽部位覆盖的，监理人有权指示承包人钻孔探测或揭开检查，由此增加的费用和（或）工期延误由承包人承担。</w:t>
      </w:r>
    </w:p>
    <w:p w14:paraId="5240A080">
      <w:pPr>
        <w:spacing w:line="500" w:lineRule="exact"/>
        <w:outlineLvl w:val="3"/>
        <w:rPr>
          <w:rFonts w:hint="eastAsia" w:ascii="宋体" w:hAnsi="宋体" w:cs="宋体"/>
          <w:sz w:val="24"/>
        </w:rPr>
      </w:pPr>
      <w:r>
        <w:rPr>
          <w:rFonts w:hint="eastAsia" w:ascii="宋体" w:hAnsi="宋体" w:cs="宋体"/>
          <w:sz w:val="24"/>
          <w:highlight w:val="white"/>
        </w:rPr>
        <w:t>13.6 清除不合格工程</w:t>
      </w:r>
    </w:p>
    <w:p w14:paraId="507AB7E2">
      <w:pPr>
        <w:spacing w:line="500" w:lineRule="exact"/>
        <w:ind w:firstLine="480" w:firstLineChars="200"/>
        <w:rPr>
          <w:rFonts w:hint="eastAsia" w:ascii="宋体" w:hAnsi="宋体" w:cs="宋体"/>
          <w:sz w:val="24"/>
        </w:rPr>
      </w:pPr>
      <w:r>
        <w:rPr>
          <w:rFonts w:hint="eastAsia" w:ascii="宋体" w:hAnsi="宋体" w:cs="宋体"/>
          <w:sz w:val="24"/>
          <w:highlight w:val="whit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70001AC">
      <w:pPr>
        <w:spacing w:line="500" w:lineRule="exact"/>
        <w:ind w:firstLine="480" w:firstLineChars="200"/>
        <w:rPr>
          <w:rFonts w:hint="eastAsia" w:ascii="宋体" w:hAnsi="宋体" w:cs="宋体"/>
          <w:sz w:val="24"/>
        </w:rPr>
      </w:pPr>
      <w:r>
        <w:rPr>
          <w:rFonts w:hint="eastAsia" w:ascii="宋体" w:hAnsi="宋体" w:cs="宋体"/>
          <w:sz w:val="24"/>
          <w:highlight w:val="white"/>
        </w:rPr>
        <w:t>13.6.2 由于发包人提供的材料或工程设备不合格造成的工程不合格，需要承包人采取措施补救的，发包人应承担由此增加的费用和（或）工期延误，并支付承包人合理利润。</w:t>
      </w:r>
    </w:p>
    <w:p w14:paraId="024E0160">
      <w:pPr>
        <w:spacing w:line="500" w:lineRule="exact"/>
        <w:outlineLvl w:val="3"/>
        <w:rPr>
          <w:rFonts w:hint="eastAsia" w:ascii="宋体" w:hAnsi="宋体" w:cs="宋体"/>
          <w:sz w:val="24"/>
        </w:rPr>
      </w:pPr>
      <w:r>
        <w:rPr>
          <w:rFonts w:hint="eastAsia" w:ascii="宋体" w:hAnsi="宋体" w:cs="宋体"/>
          <w:sz w:val="24"/>
          <w:highlight w:val="white"/>
        </w:rPr>
        <w:t>13.7 质量评定</w:t>
      </w:r>
    </w:p>
    <w:p w14:paraId="19DF64BC">
      <w:pPr>
        <w:spacing w:line="500" w:lineRule="exact"/>
        <w:rPr>
          <w:rFonts w:hint="eastAsia" w:ascii="宋体" w:hAnsi="宋体" w:cs="宋体"/>
          <w:sz w:val="24"/>
        </w:rPr>
      </w:pPr>
      <w:r>
        <w:rPr>
          <w:rFonts w:hint="eastAsia" w:ascii="宋体" w:hAnsi="宋体" w:cs="宋体"/>
          <w:sz w:val="24"/>
          <w:highlight w:val="white"/>
        </w:rPr>
        <w:t>　　13.7.1 发包人应组织承包人进行工程项目划分，并确定单位工程、主要分部工程、重要隐蔽单元工程和关键部位单元工程。</w:t>
      </w:r>
    </w:p>
    <w:p w14:paraId="0988E58B">
      <w:pPr>
        <w:spacing w:line="500" w:lineRule="exact"/>
        <w:rPr>
          <w:rFonts w:hint="eastAsia" w:ascii="宋体" w:hAnsi="宋体" w:cs="宋体"/>
          <w:sz w:val="24"/>
        </w:rPr>
      </w:pPr>
      <w:r>
        <w:rPr>
          <w:rFonts w:hint="eastAsia" w:ascii="宋体" w:hAnsi="宋体" w:cs="宋体"/>
          <w:sz w:val="24"/>
          <w:highlight w:val="white"/>
        </w:rPr>
        <w:t>　　13.7.2 工程实施过程中，单位工程、主要分部工程、重要隐蔽单元工程和关键部位单元工程的项目划分需要调整时，承包人应报发包人确认。</w:t>
      </w:r>
    </w:p>
    <w:p w14:paraId="7FD06DE4">
      <w:pPr>
        <w:spacing w:line="500" w:lineRule="exact"/>
        <w:rPr>
          <w:rFonts w:hint="eastAsia" w:ascii="宋体" w:hAnsi="宋体" w:cs="宋体"/>
          <w:sz w:val="24"/>
        </w:rPr>
      </w:pPr>
      <w:r>
        <w:rPr>
          <w:rFonts w:hint="eastAsia" w:ascii="宋体" w:hAnsi="宋体" w:cs="宋体"/>
          <w:sz w:val="24"/>
          <w:highlight w:val="white"/>
        </w:rPr>
        <w:t>　　13.7.3 承包人应在单元(工序)工程质量自评合格后，报监理人核定质量等级并签证认可。</w:t>
      </w:r>
    </w:p>
    <w:p w14:paraId="1465443F">
      <w:pPr>
        <w:spacing w:line="500" w:lineRule="exact"/>
        <w:rPr>
          <w:rFonts w:hint="eastAsia" w:ascii="宋体" w:hAnsi="宋体" w:cs="宋体"/>
          <w:sz w:val="24"/>
        </w:rPr>
      </w:pPr>
      <w:r>
        <w:rPr>
          <w:rFonts w:hint="eastAsia" w:ascii="宋体" w:hAnsi="宋体" w:cs="宋体"/>
          <w:sz w:val="24"/>
          <w:highlight w:val="white"/>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76A542C8">
      <w:pPr>
        <w:spacing w:line="500" w:lineRule="exact"/>
        <w:rPr>
          <w:rFonts w:hint="eastAsia" w:ascii="宋体" w:hAnsi="宋体" w:cs="宋体"/>
          <w:sz w:val="24"/>
        </w:rPr>
      </w:pPr>
      <w:r>
        <w:rPr>
          <w:rFonts w:hint="eastAsia" w:ascii="宋体" w:hAnsi="宋体" w:cs="宋体"/>
          <w:sz w:val="24"/>
          <w:highlight w:val="white"/>
        </w:rPr>
        <w:t>　　13.7.5 承包人应在分部工程质量自评合格后，报监理人复核和发包人认定。发包人负责按有关规定完成分部工程质量结论报工程质量监督机构核备(核定)手续。</w:t>
      </w:r>
    </w:p>
    <w:p w14:paraId="0874FB41">
      <w:pPr>
        <w:spacing w:line="500" w:lineRule="exact"/>
        <w:rPr>
          <w:rFonts w:hint="eastAsia" w:ascii="宋体" w:hAnsi="宋体" w:cs="宋体"/>
          <w:sz w:val="24"/>
        </w:rPr>
      </w:pPr>
      <w:r>
        <w:rPr>
          <w:rFonts w:hint="eastAsia" w:ascii="宋体" w:hAnsi="宋体" w:cs="宋体"/>
          <w:sz w:val="24"/>
          <w:highlight w:val="white"/>
        </w:rPr>
        <w:t>　　13.7.6 承包人应在单位工程质量自评合格后，报监理人复核和发包人认定。发包人负责按有关规定完成单位工程质量结论报工程质量监督机构核定手续。</w:t>
      </w:r>
    </w:p>
    <w:p w14:paraId="46489224">
      <w:pPr>
        <w:spacing w:line="500" w:lineRule="exact"/>
        <w:rPr>
          <w:rFonts w:hint="eastAsia" w:ascii="宋体" w:hAnsi="宋体" w:cs="宋体"/>
          <w:sz w:val="24"/>
        </w:rPr>
      </w:pPr>
      <w:r>
        <w:rPr>
          <w:rFonts w:hint="eastAsia" w:ascii="宋体" w:hAnsi="宋体" w:cs="宋体"/>
          <w:sz w:val="24"/>
          <w:highlight w:val="white"/>
        </w:rPr>
        <w:t>　　13.7.7 除专用合同条款另有约定外，工程质量等级分为合格和优良，应分别达到约定的标准。</w:t>
      </w:r>
    </w:p>
    <w:p w14:paraId="080C5675">
      <w:pPr>
        <w:spacing w:line="500" w:lineRule="exact"/>
        <w:outlineLvl w:val="3"/>
        <w:rPr>
          <w:rFonts w:hint="eastAsia" w:ascii="宋体" w:hAnsi="宋体" w:cs="宋体"/>
          <w:sz w:val="24"/>
        </w:rPr>
      </w:pPr>
      <w:r>
        <w:rPr>
          <w:rFonts w:hint="eastAsia" w:ascii="宋体" w:hAnsi="宋体" w:cs="宋体"/>
          <w:sz w:val="24"/>
          <w:highlight w:val="white"/>
        </w:rPr>
        <w:t>13.8 质量事故处理</w:t>
      </w:r>
    </w:p>
    <w:p w14:paraId="60EC1402">
      <w:pPr>
        <w:spacing w:line="500" w:lineRule="exact"/>
        <w:rPr>
          <w:rFonts w:hint="eastAsia" w:ascii="宋体" w:hAnsi="宋体" w:cs="宋体"/>
          <w:sz w:val="24"/>
        </w:rPr>
      </w:pPr>
      <w:r>
        <w:rPr>
          <w:rFonts w:hint="eastAsia" w:ascii="宋体" w:hAnsi="宋体" w:cs="宋体"/>
          <w:sz w:val="24"/>
          <w:highlight w:val="white"/>
        </w:rPr>
        <w:t>　　13.8.1 发生质量事故时，承包人应及时向发包人和监理人报告。</w:t>
      </w:r>
    </w:p>
    <w:p w14:paraId="0C194FFB">
      <w:pPr>
        <w:spacing w:line="500" w:lineRule="exact"/>
        <w:rPr>
          <w:rFonts w:hint="eastAsia" w:ascii="宋体" w:hAnsi="宋体" w:cs="宋体"/>
          <w:sz w:val="24"/>
        </w:rPr>
      </w:pPr>
      <w:r>
        <w:rPr>
          <w:rFonts w:hint="eastAsia" w:ascii="宋体" w:hAnsi="宋体" w:cs="宋体"/>
          <w:sz w:val="24"/>
          <w:highlight w:val="white"/>
        </w:rPr>
        <w:t>　　13.8.2 质量事故调查处理由发包人按相关规定履行手续，承包人应配合。</w:t>
      </w:r>
    </w:p>
    <w:p w14:paraId="79A914F4">
      <w:pPr>
        <w:spacing w:line="500" w:lineRule="exact"/>
        <w:rPr>
          <w:rFonts w:hint="eastAsia" w:ascii="宋体" w:hAnsi="宋体" w:cs="宋体"/>
          <w:sz w:val="24"/>
        </w:rPr>
      </w:pPr>
      <w:r>
        <w:rPr>
          <w:rFonts w:hint="eastAsia" w:ascii="宋体" w:hAnsi="宋体" w:cs="宋体"/>
          <w:sz w:val="24"/>
          <w:highlight w:val="white"/>
        </w:rPr>
        <w:t>　　13.8.3 承包人应对质量缺陷进行备案。发包人委托监理人对质量缺陷备案情况进行监督检查并履行相关手续。</w:t>
      </w:r>
    </w:p>
    <w:p w14:paraId="1BA24AFF">
      <w:pPr>
        <w:spacing w:line="500" w:lineRule="exact"/>
        <w:rPr>
          <w:rFonts w:hint="eastAsia" w:ascii="宋体" w:hAnsi="宋体" w:cs="宋体"/>
          <w:sz w:val="24"/>
        </w:rPr>
      </w:pPr>
      <w:r>
        <w:rPr>
          <w:rFonts w:hint="eastAsia" w:ascii="宋体" w:hAnsi="宋体" w:cs="宋体"/>
          <w:sz w:val="24"/>
          <w:highlight w:val="white"/>
        </w:rPr>
        <w:t>　　13.8.4 除专用合同条款另有约定外，工程竣工验收时，发包人负责向竣工验收委员会汇报并提交历次质量缺陷处理的备案资料。</w:t>
      </w:r>
    </w:p>
    <w:p w14:paraId="34C9C368">
      <w:pPr>
        <w:spacing w:line="500" w:lineRule="exact"/>
        <w:outlineLvl w:val="2"/>
        <w:rPr>
          <w:rFonts w:hint="eastAsia" w:ascii="宋体" w:hAnsi="宋体" w:cs="宋体"/>
          <w:sz w:val="24"/>
        </w:rPr>
      </w:pPr>
      <w:bookmarkStart w:id="90" w:name="_Toc149571660"/>
      <w:bookmarkStart w:id="91" w:name="_Toc256000121"/>
      <w:bookmarkStart w:id="92" w:name="_Toc149635773"/>
      <w:r>
        <w:rPr>
          <w:rFonts w:hint="eastAsia" w:ascii="宋体" w:hAnsi="宋体" w:cs="宋体"/>
          <w:sz w:val="24"/>
          <w:highlight w:val="white"/>
        </w:rPr>
        <w:t>14. 试验和检验</w:t>
      </w:r>
      <w:bookmarkEnd w:id="90"/>
      <w:bookmarkEnd w:id="91"/>
      <w:bookmarkEnd w:id="92"/>
    </w:p>
    <w:p w14:paraId="17490660">
      <w:pPr>
        <w:spacing w:line="500" w:lineRule="exact"/>
        <w:outlineLvl w:val="3"/>
        <w:rPr>
          <w:rFonts w:hint="eastAsia" w:ascii="宋体" w:hAnsi="宋体" w:cs="宋体"/>
          <w:sz w:val="24"/>
        </w:rPr>
      </w:pPr>
      <w:r>
        <w:rPr>
          <w:rFonts w:hint="eastAsia" w:ascii="宋体" w:hAnsi="宋体" w:cs="宋体"/>
          <w:sz w:val="24"/>
          <w:highlight w:val="white"/>
        </w:rPr>
        <w:t>14.1 材料、工程设备和工程的试验和检验</w:t>
      </w:r>
    </w:p>
    <w:p w14:paraId="284F1624">
      <w:pPr>
        <w:spacing w:line="500" w:lineRule="exact"/>
        <w:ind w:firstLine="480" w:firstLineChars="200"/>
        <w:rPr>
          <w:rFonts w:hint="eastAsia" w:ascii="宋体" w:hAnsi="宋体" w:cs="宋体"/>
          <w:sz w:val="24"/>
        </w:rPr>
      </w:pPr>
      <w:r>
        <w:rPr>
          <w:rFonts w:hint="eastAsia" w:ascii="宋体" w:hAnsi="宋体" w:cs="宋体"/>
          <w:sz w:val="24"/>
          <w:highlight w:val="whit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CC63DE4">
      <w:pPr>
        <w:spacing w:line="500" w:lineRule="exact"/>
        <w:ind w:firstLine="480" w:firstLineChars="200"/>
        <w:rPr>
          <w:rFonts w:hint="eastAsia" w:ascii="宋体" w:hAnsi="宋体" w:cs="宋体"/>
          <w:sz w:val="24"/>
        </w:rPr>
      </w:pPr>
      <w:r>
        <w:rPr>
          <w:rFonts w:hint="eastAsia" w:ascii="宋体" w:hAnsi="宋体" w:cs="宋体"/>
          <w:sz w:val="24"/>
          <w:highlight w:val="white"/>
        </w:rPr>
        <w:t>14.1.2 监理人未按合同约定派员参加试验和检验的，除监理人另有指示外，承包人可自行试验和检验，并应立即将试验和检验结果报送监理人，监理人应签字确认。</w:t>
      </w:r>
    </w:p>
    <w:p w14:paraId="1575656B">
      <w:pPr>
        <w:spacing w:line="500" w:lineRule="exact"/>
        <w:ind w:firstLine="480" w:firstLineChars="200"/>
        <w:rPr>
          <w:rFonts w:hint="eastAsia" w:ascii="宋体" w:hAnsi="宋体" w:cs="宋体"/>
          <w:sz w:val="24"/>
        </w:rPr>
      </w:pPr>
      <w:r>
        <w:rPr>
          <w:rFonts w:hint="eastAsia" w:ascii="宋体" w:hAnsi="宋体" w:cs="宋体"/>
          <w:sz w:val="24"/>
          <w:highlight w:val="whit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5EB5996">
      <w:pPr>
        <w:spacing w:line="500" w:lineRule="exact"/>
        <w:ind w:firstLine="480" w:firstLineChars="200"/>
        <w:rPr>
          <w:rFonts w:hint="eastAsia" w:ascii="宋体" w:hAnsi="宋体" w:cs="宋体"/>
          <w:sz w:val="24"/>
        </w:rPr>
      </w:pPr>
      <w:r>
        <w:rPr>
          <w:rFonts w:hint="eastAsia" w:ascii="宋体" w:hAnsi="宋体" w:cs="宋体"/>
          <w:sz w:val="24"/>
          <w:highlight w:val="white"/>
        </w:rPr>
        <w:t>14.1.4　承包人应按相关规定和标准对水泥、钢材等原材料与中间产品质量进行检验，并报监理人复核。</w:t>
      </w:r>
    </w:p>
    <w:p w14:paraId="18CBF880">
      <w:pPr>
        <w:spacing w:line="500" w:lineRule="exact"/>
        <w:rPr>
          <w:rFonts w:hint="eastAsia" w:ascii="宋体" w:hAnsi="宋体" w:cs="宋体"/>
          <w:sz w:val="24"/>
        </w:rPr>
      </w:pPr>
      <w:r>
        <w:rPr>
          <w:rFonts w:hint="eastAsia" w:ascii="宋体" w:hAnsi="宋体" w:cs="宋体"/>
          <w:sz w:val="24"/>
          <w:highlight w:val="white"/>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A6F9EA7">
      <w:pPr>
        <w:spacing w:line="500" w:lineRule="exact"/>
        <w:ind w:firstLine="420"/>
        <w:rPr>
          <w:rFonts w:hint="eastAsia" w:ascii="宋体" w:hAnsi="宋体" w:cs="宋体"/>
          <w:sz w:val="24"/>
        </w:rPr>
      </w:pPr>
      <w:r>
        <w:rPr>
          <w:rFonts w:hint="eastAsia" w:ascii="宋体" w:hAnsi="宋体" w:cs="宋体"/>
          <w:sz w:val="24"/>
          <w:highlight w:val="white"/>
        </w:rPr>
        <w:t>14.1.6　对专用合同条款约定的试块、试件及有关材料，监理人实行见证取样。见证取样资料由承包人制备，记录应真实齐全，监理人、承包人等参与见证取样人员均应在相关文件上签字。</w:t>
      </w:r>
    </w:p>
    <w:p w14:paraId="2655597C">
      <w:pPr>
        <w:spacing w:line="500" w:lineRule="exact"/>
        <w:outlineLvl w:val="3"/>
        <w:rPr>
          <w:rFonts w:hint="eastAsia" w:ascii="宋体" w:hAnsi="宋体" w:cs="宋体"/>
          <w:sz w:val="24"/>
        </w:rPr>
      </w:pPr>
      <w:r>
        <w:rPr>
          <w:rFonts w:hint="eastAsia" w:ascii="宋体" w:hAnsi="宋体" w:cs="宋体"/>
          <w:sz w:val="24"/>
          <w:highlight w:val="white"/>
        </w:rPr>
        <w:t>14.2 现场材料试验</w:t>
      </w:r>
    </w:p>
    <w:p w14:paraId="3D305130">
      <w:pPr>
        <w:spacing w:line="500" w:lineRule="exact"/>
        <w:ind w:firstLine="480" w:firstLineChars="200"/>
        <w:rPr>
          <w:rFonts w:hint="eastAsia" w:ascii="宋体" w:hAnsi="宋体" w:cs="宋体"/>
          <w:sz w:val="24"/>
        </w:rPr>
      </w:pPr>
      <w:r>
        <w:rPr>
          <w:rFonts w:hint="eastAsia" w:ascii="宋体" w:hAnsi="宋体" w:cs="宋体"/>
          <w:sz w:val="24"/>
          <w:highlight w:val="white"/>
        </w:rPr>
        <w:t>14.2.1 承包人根据合同约定或监理人指示进行的现场材料试验，应由承包人提供试验场所、试验人员、试验设备器材以及其他必要的试验条件。</w:t>
      </w:r>
    </w:p>
    <w:p w14:paraId="68F0ADA9">
      <w:pPr>
        <w:spacing w:line="500" w:lineRule="exact"/>
        <w:ind w:firstLine="480" w:firstLineChars="200"/>
        <w:rPr>
          <w:rFonts w:hint="eastAsia" w:ascii="宋体" w:hAnsi="宋体" w:cs="宋体"/>
          <w:sz w:val="24"/>
        </w:rPr>
      </w:pPr>
      <w:r>
        <w:rPr>
          <w:rFonts w:hint="eastAsia" w:ascii="宋体" w:hAnsi="宋体" w:cs="宋体"/>
          <w:sz w:val="24"/>
          <w:highlight w:val="white"/>
        </w:rPr>
        <w:t>14.2.2 监理人在必要时可以使用承包人的试验场所、试验设备器材以及其他试验条件，进行以工程质量检查为目的的复核性材料试验，承包人应予以协助。</w:t>
      </w:r>
    </w:p>
    <w:p w14:paraId="0CE3083E">
      <w:pPr>
        <w:spacing w:line="500" w:lineRule="exact"/>
        <w:outlineLvl w:val="3"/>
        <w:rPr>
          <w:rFonts w:hint="eastAsia" w:ascii="宋体" w:hAnsi="宋体" w:cs="宋体"/>
          <w:sz w:val="24"/>
        </w:rPr>
      </w:pPr>
      <w:r>
        <w:rPr>
          <w:rFonts w:hint="eastAsia" w:ascii="宋体" w:hAnsi="宋体" w:cs="宋体"/>
          <w:sz w:val="24"/>
          <w:highlight w:val="white"/>
        </w:rPr>
        <w:t>14.3 现场工艺试验</w:t>
      </w:r>
    </w:p>
    <w:p w14:paraId="4440323F">
      <w:pPr>
        <w:spacing w:line="500" w:lineRule="exact"/>
        <w:ind w:firstLine="480" w:firstLineChars="200"/>
        <w:rPr>
          <w:rFonts w:hint="eastAsia" w:ascii="宋体" w:hAnsi="宋体" w:cs="宋体"/>
          <w:sz w:val="24"/>
        </w:rPr>
      </w:pPr>
      <w:r>
        <w:rPr>
          <w:rFonts w:hint="eastAsia" w:ascii="宋体" w:hAnsi="宋体" w:cs="宋体"/>
          <w:sz w:val="24"/>
          <w:highlight w:val="white"/>
        </w:rPr>
        <w:t>承包人应按合同约定或监理人指示进行现场工艺试验。对大型的现场工艺试验</w:t>
      </w:r>
      <w:r>
        <w:rPr>
          <w:rFonts w:hint="eastAsia" w:ascii="宋体" w:hAnsi="宋体" w:eastAsia="宋体" w:cs="宋体"/>
          <w:sz w:val="24"/>
          <w:highlight w:val="white"/>
          <w:lang w:eastAsia="zh-CN"/>
        </w:rPr>
        <w:t>，</w:t>
      </w:r>
      <w:r>
        <w:rPr>
          <w:rFonts w:hint="eastAsia" w:ascii="宋体" w:hAnsi="宋体" w:cs="宋体"/>
          <w:sz w:val="24"/>
          <w:highlight w:val="white"/>
        </w:rPr>
        <w:t>监理人认为必要时，应由承包人根据监理人提出的工艺试验要求，编制工艺试验措施计划，报送监理人审批。</w:t>
      </w:r>
    </w:p>
    <w:p w14:paraId="5F6775EE">
      <w:pPr>
        <w:spacing w:line="500" w:lineRule="exact"/>
        <w:outlineLvl w:val="2"/>
        <w:rPr>
          <w:rFonts w:hint="eastAsia" w:ascii="宋体" w:hAnsi="宋体" w:cs="宋体"/>
          <w:sz w:val="24"/>
        </w:rPr>
      </w:pPr>
      <w:bookmarkStart w:id="93" w:name="_Toc149571661"/>
      <w:bookmarkStart w:id="94" w:name="_Toc149635774"/>
      <w:bookmarkStart w:id="95" w:name="_Toc256000122"/>
      <w:r>
        <w:rPr>
          <w:rFonts w:hint="eastAsia" w:ascii="宋体" w:hAnsi="宋体" w:cs="宋体"/>
          <w:sz w:val="24"/>
          <w:highlight w:val="white"/>
        </w:rPr>
        <w:t>15. 变更</w:t>
      </w:r>
      <w:bookmarkEnd w:id="93"/>
      <w:bookmarkEnd w:id="94"/>
      <w:bookmarkEnd w:id="95"/>
    </w:p>
    <w:p w14:paraId="2338A2B9">
      <w:pPr>
        <w:spacing w:line="500" w:lineRule="exact"/>
        <w:outlineLvl w:val="3"/>
        <w:rPr>
          <w:rFonts w:hint="eastAsia" w:ascii="宋体" w:hAnsi="宋体" w:cs="宋体"/>
          <w:sz w:val="24"/>
        </w:rPr>
      </w:pPr>
      <w:r>
        <w:rPr>
          <w:rFonts w:hint="eastAsia" w:ascii="宋体" w:hAnsi="宋体" w:cs="宋体"/>
          <w:sz w:val="24"/>
          <w:highlight w:val="white"/>
        </w:rPr>
        <w:t>15.1 变更的范围和内容</w:t>
      </w:r>
    </w:p>
    <w:p w14:paraId="13633FF9">
      <w:pPr>
        <w:spacing w:line="500" w:lineRule="exact"/>
        <w:rPr>
          <w:rFonts w:hint="eastAsia" w:ascii="宋体" w:hAnsi="宋体" w:cs="宋体"/>
          <w:sz w:val="24"/>
        </w:rPr>
      </w:pPr>
      <w:r>
        <w:rPr>
          <w:rFonts w:hint="eastAsia" w:ascii="宋体" w:hAnsi="宋体" w:cs="宋体"/>
          <w:sz w:val="24"/>
          <w:highlight w:val="white"/>
        </w:rPr>
        <w:t>　　在履行合同中发生以下情形之一，应按照本款规定进行变更。</w:t>
      </w:r>
    </w:p>
    <w:p w14:paraId="1388F258">
      <w:pPr>
        <w:spacing w:line="500" w:lineRule="exact"/>
        <w:rPr>
          <w:rFonts w:hint="eastAsia" w:ascii="宋体" w:hAnsi="宋体" w:cs="宋体"/>
          <w:sz w:val="24"/>
        </w:rPr>
      </w:pPr>
      <w:r>
        <w:rPr>
          <w:rFonts w:hint="eastAsia" w:ascii="宋体" w:hAnsi="宋体" w:cs="宋体"/>
          <w:sz w:val="24"/>
          <w:highlight w:val="white"/>
        </w:rPr>
        <w:t>　　(1)取消合同中任何一项工作，但被取消的工作不能转由发包人或其它人实施；</w:t>
      </w:r>
    </w:p>
    <w:p w14:paraId="0A6D2BCA">
      <w:pPr>
        <w:spacing w:line="500" w:lineRule="exact"/>
        <w:rPr>
          <w:rFonts w:hint="eastAsia" w:ascii="宋体" w:hAnsi="宋体" w:cs="宋体"/>
          <w:sz w:val="24"/>
        </w:rPr>
      </w:pPr>
      <w:r>
        <w:rPr>
          <w:rFonts w:hint="eastAsia" w:ascii="宋体" w:hAnsi="宋体" w:cs="宋体"/>
          <w:sz w:val="24"/>
          <w:highlight w:val="white"/>
        </w:rPr>
        <w:t>　　(2)改变合同中任何一项工作的质量或其它特性；</w:t>
      </w:r>
    </w:p>
    <w:p w14:paraId="70EA3FEF">
      <w:pPr>
        <w:spacing w:line="500" w:lineRule="exact"/>
        <w:rPr>
          <w:rFonts w:hint="eastAsia" w:ascii="宋体" w:hAnsi="宋体" w:cs="宋体"/>
          <w:sz w:val="24"/>
        </w:rPr>
      </w:pPr>
      <w:r>
        <w:rPr>
          <w:rFonts w:hint="eastAsia" w:ascii="宋体" w:hAnsi="宋体" w:cs="宋体"/>
          <w:sz w:val="24"/>
          <w:highlight w:val="white"/>
        </w:rPr>
        <w:t>　　(3)改变合同工程的基线、标高、位置或尺寸；</w:t>
      </w:r>
    </w:p>
    <w:p w14:paraId="0ED73FF7">
      <w:pPr>
        <w:spacing w:line="500" w:lineRule="exact"/>
        <w:rPr>
          <w:rFonts w:hint="eastAsia" w:ascii="宋体" w:hAnsi="宋体" w:cs="宋体"/>
          <w:sz w:val="24"/>
        </w:rPr>
      </w:pPr>
      <w:r>
        <w:rPr>
          <w:rFonts w:hint="eastAsia" w:ascii="宋体" w:hAnsi="宋体" w:cs="宋体"/>
          <w:sz w:val="24"/>
          <w:highlight w:val="white"/>
        </w:rPr>
        <w:t>　　(4)改变合同中任何一项工作的施工时间或改变已批准的施工工艺或顺序；</w:t>
      </w:r>
    </w:p>
    <w:p w14:paraId="53578103">
      <w:pPr>
        <w:spacing w:line="500" w:lineRule="exact"/>
        <w:rPr>
          <w:rFonts w:hint="eastAsia" w:ascii="宋体" w:hAnsi="宋体" w:cs="宋体"/>
          <w:sz w:val="24"/>
        </w:rPr>
      </w:pPr>
      <w:r>
        <w:rPr>
          <w:rFonts w:hint="eastAsia" w:ascii="宋体" w:hAnsi="宋体" w:cs="宋体"/>
          <w:sz w:val="24"/>
          <w:highlight w:val="white"/>
        </w:rPr>
        <w:t>　　(5)为完成工程需要追加的额外工作；</w:t>
      </w:r>
    </w:p>
    <w:p w14:paraId="5899C533">
      <w:pPr>
        <w:spacing w:line="500" w:lineRule="exact"/>
        <w:rPr>
          <w:rFonts w:hint="eastAsia" w:ascii="宋体" w:hAnsi="宋体" w:cs="宋体"/>
          <w:sz w:val="24"/>
        </w:rPr>
      </w:pPr>
      <w:r>
        <w:rPr>
          <w:rFonts w:hint="eastAsia" w:ascii="宋体" w:hAnsi="宋体" w:cs="宋体"/>
          <w:sz w:val="24"/>
          <w:highlight w:val="white"/>
        </w:rPr>
        <w:t>　　(6)增加或减少专用合同条款中约定的关键项目工程量超过其工程总量的一定数量百分比。</w:t>
      </w:r>
    </w:p>
    <w:p w14:paraId="1F3B0376">
      <w:pPr>
        <w:spacing w:line="500" w:lineRule="exact"/>
        <w:ind w:firstLine="420"/>
        <w:rPr>
          <w:rFonts w:hint="eastAsia" w:ascii="宋体" w:hAnsi="宋体" w:cs="宋体"/>
          <w:sz w:val="24"/>
        </w:rPr>
      </w:pPr>
      <w:r>
        <w:rPr>
          <w:rFonts w:hint="eastAsia" w:ascii="宋体" w:hAnsi="宋体" w:cs="宋体"/>
          <w:sz w:val="24"/>
          <w:highlight w:val="white"/>
        </w:rPr>
        <w:t>上述第(1)～(6)目的变更内容引起工程施工组织和进度计划发生实质性变动和影响其原定的价格时，才予调整该项目的单价。第(6)目情形下单价调整方式在专用合同条款中约定。</w:t>
      </w:r>
    </w:p>
    <w:p w14:paraId="60299A56">
      <w:pPr>
        <w:spacing w:line="500" w:lineRule="exact"/>
        <w:outlineLvl w:val="3"/>
        <w:rPr>
          <w:rFonts w:hint="eastAsia" w:ascii="宋体" w:hAnsi="宋体" w:cs="宋体"/>
          <w:sz w:val="24"/>
        </w:rPr>
      </w:pPr>
      <w:r>
        <w:rPr>
          <w:rFonts w:hint="eastAsia" w:ascii="宋体" w:hAnsi="宋体" w:cs="宋体"/>
          <w:sz w:val="24"/>
          <w:highlight w:val="white"/>
        </w:rPr>
        <w:t>15.2 变更权</w:t>
      </w:r>
    </w:p>
    <w:p w14:paraId="1192BE53">
      <w:pPr>
        <w:spacing w:line="500" w:lineRule="exact"/>
        <w:ind w:firstLine="480" w:firstLineChars="200"/>
        <w:rPr>
          <w:rFonts w:hint="eastAsia" w:ascii="宋体" w:hAnsi="宋体" w:cs="宋体"/>
          <w:sz w:val="24"/>
        </w:rPr>
      </w:pPr>
      <w:r>
        <w:rPr>
          <w:rFonts w:hint="eastAsia" w:ascii="宋体" w:hAnsi="宋体" w:cs="宋体"/>
          <w:sz w:val="24"/>
          <w:highlight w:val="white"/>
        </w:rPr>
        <w:t>在履行合同过程中，经发包人同意，监理人可按第15.3款约定的变更程序向承包人作出变更指示，承包人应遵照执行。没有监理人的变更指示，承包人不得擅自变更。</w:t>
      </w:r>
    </w:p>
    <w:p w14:paraId="5793847D">
      <w:pPr>
        <w:spacing w:line="500" w:lineRule="exact"/>
        <w:outlineLvl w:val="3"/>
        <w:rPr>
          <w:rFonts w:hint="eastAsia" w:ascii="宋体" w:hAnsi="宋体" w:cs="宋体"/>
          <w:sz w:val="24"/>
        </w:rPr>
      </w:pPr>
      <w:r>
        <w:rPr>
          <w:rFonts w:hint="eastAsia" w:ascii="宋体" w:hAnsi="宋体" w:cs="宋体"/>
          <w:sz w:val="24"/>
          <w:highlight w:val="white"/>
        </w:rPr>
        <w:t>15.3 变更程序</w:t>
      </w:r>
    </w:p>
    <w:p w14:paraId="71AFF98E">
      <w:pPr>
        <w:spacing w:line="500" w:lineRule="exact"/>
        <w:ind w:firstLine="480" w:firstLineChars="200"/>
        <w:rPr>
          <w:rFonts w:hint="eastAsia" w:ascii="宋体" w:hAnsi="宋体" w:cs="宋体"/>
          <w:sz w:val="24"/>
        </w:rPr>
      </w:pPr>
      <w:r>
        <w:rPr>
          <w:rFonts w:hint="eastAsia" w:ascii="宋体" w:hAnsi="宋体" w:cs="宋体"/>
          <w:sz w:val="24"/>
          <w:highlight w:val="white"/>
        </w:rPr>
        <w:t>15.3.1 变更的提出</w:t>
      </w:r>
    </w:p>
    <w:p w14:paraId="4057F013">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258819BE">
      <w:pPr>
        <w:spacing w:line="500" w:lineRule="exact"/>
        <w:ind w:firstLine="480" w:firstLineChars="200"/>
        <w:rPr>
          <w:rFonts w:hint="eastAsia" w:ascii="宋体" w:hAnsi="宋体" w:cs="宋体"/>
          <w:sz w:val="24"/>
        </w:rPr>
      </w:pPr>
      <w:r>
        <w:rPr>
          <w:rFonts w:hint="eastAsia" w:ascii="宋体" w:hAnsi="宋体" w:cs="宋体"/>
          <w:sz w:val="24"/>
          <w:highlight w:val="white"/>
        </w:rPr>
        <w:t>（2）在合同履行过程中，发生第15.1款约定情形的，监理人应按照第15.3.3项约定向承包人发出变更指示。</w:t>
      </w:r>
    </w:p>
    <w:p w14:paraId="456AEA5B">
      <w:pPr>
        <w:spacing w:line="500" w:lineRule="exact"/>
        <w:ind w:firstLine="480" w:firstLineChars="200"/>
        <w:rPr>
          <w:rFonts w:hint="eastAsia" w:ascii="宋体" w:hAnsi="宋体" w:cs="宋体"/>
          <w:sz w:val="24"/>
        </w:rPr>
      </w:pPr>
      <w:r>
        <w:rPr>
          <w:rFonts w:hint="eastAsia" w:ascii="宋体" w:hAnsi="宋体" w:cs="宋体"/>
          <w:sz w:val="24"/>
          <w:highlight w:val="whit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w:t>
      </w:r>
      <w:r>
        <w:rPr>
          <w:rFonts w:hint="eastAsia" w:ascii="宋体" w:hAnsi="宋体" w:eastAsia="宋体" w:cs="宋体"/>
          <w:sz w:val="24"/>
          <w:highlight w:val="white"/>
          <w:lang w:eastAsia="zh-CN"/>
        </w:rPr>
        <w:t>，</w:t>
      </w:r>
      <w:r>
        <w:rPr>
          <w:rFonts w:hint="eastAsia" w:ascii="宋体" w:hAnsi="宋体" w:cs="宋体"/>
          <w:sz w:val="24"/>
          <w:highlight w:val="white"/>
        </w:rPr>
        <w:t>确认存在变更的，应在收到承包人书面建议后的14天内作出变更指示。经研究后不同意作为变更的，应由监理人书面答复承包人。</w:t>
      </w:r>
    </w:p>
    <w:p w14:paraId="3A127F25">
      <w:pPr>
        <w:spacing w:line="500" w:lineRule="exact"/>
        <w:ind w:firstLine="480" w:firstLineChars="200"/>
        <w:rPr>
          <w:rFonts w:hint="eastAsia" w:ascii="宋体" w:hAnsi="宋体" w:cs="宋体"/>
          <w:sz w:val="24"/>
        </w:rPr>
      </w:pPr>
      <w:r>
        <w:rPr>
          <w:rFonts w:hint="eastAsia" w:ascii="宋体" w:hAnsi="宋体" w:cs="宋体"/>
          <w:sz w:val="24"/>
          <w:highlight w:val="white"/>
        </w:rPr>
        <w:t>（4）若承包人收到监理人的变更意向书后认为难以实施此项变更，应立即通知监理人，说明原因并附详细依据。监理人与承包人和发包人协商后确定撤销、改变或不改变原变更意向书。</w:t>
      </w:r>
    </w:p>
    <w:p w14:paraId="10618BA5">
      <w:pPr>
        <w:spacing w:line="500" w:lineRule="exact"/>
        <w:ind w:firstLine="480" w:firstLineChars="200"/>
        <w:rPr>
          <w:rFonts w:hint="eastAsia" w:ascii="宋体" w:hAnsi="宋体" w:cs="宋体"/>
          <w:sz w:val="24"/>
        </w:rPr>
      </w:pPr>
      <w:r>
        <w:rPr>
          <w:rFonts w:hint="eastAsia" w:ascii="宋体" w:hAnsi="宋体" w:cs="宋体"/>
          <w:sz w:val="24"/>
          <w:highlight w:val="white"/>
        </w:rPr>
        <w:t>15.3.2 变更估价</w:t>
      </w:r>
    </w:p>
    <w:p w14:paraId="772768FA">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r>
        <w:rPr>
          <w:rFonts w:hint="eastAsia" w:ascii="宋体" w:hAnsi="宋体" w:eastAsia="宋体" w:cs="宋体"/>
          <w:sz w:val="24"/>
          <w:highlight w:val="white"/>
          <w:lang w:eastAsia="zh-CN"/>
        </w:rPr>
        <w:t>。</w:t>
      </w:r>
    </w:p>
    <w:p w14:paraId="14C39AE6">
      <w:pPr>
        <w:spacing w:line="500" w:lineRule="exact"/>
        <w:ind w:firstLine="480" w:firstLineChars="200"/>
        <w:rPr>
          <w:rFonts w:hint="eastAsia" w:ascii="宋体" w:hAnsi="宋体" w:cs="宋体"/>
          <w:sz w:val="24"/>
        </w:rPr>
      </w:pPr>
      <w:r>
        <w:rPr>
          <w:rFonts w:hint="eastAsia" w:ascii="宋体" w:hAnsi="宋体" w:cs="宋体"/>
          <w:sz w:val="24"/>
          <w:highlight w:val="white"/>
        </w:rPr>
        <w:t>（2）变更工作影响工期的，承包人应提出调整工期的具体细节。监理人认为有必要时，可要求承包人提交要求提前或延长工期的施工进度计划及相应施工措施等详细资料。</w:t>
      </w:r>
    </w:p>
    <w:p w14:paraId="775C8740">
      <w:pPr>
        <w:spacing w:line="500" w:lineRule="exact"/>
        <w:ind w:firstLine="480" w:firstLineChars="200"/>
        <w:rPr>
          <w:rFonts w:hint="eastAsia" w:ascii="宋体" w:hAnsi="宋体" w:cs="宋体"/>
          <w:sz w:val="24"/>
        </w:rPr>
      </w:pPr>
      <w:r>
        <w:rPr>
          <w:rFonts w:hint="eastAsia" w:ascii="宋体" w:hAnsi="宋体" w:cs="宋体"/>
          <w:sz w:val="24"/>
          <w:highlight w:val="white"/>
        </w:rPr>
        <w:t>（3）除专用合同条款对期限另有约定外，监理人收到承包人变更报价书后的14天内，根据第15.4款约定的估价原则，按照第3.5款商定或确定变更价格。</w:t>
      </w:r>
    </w:p>
    <w:p w14:paraId="344DDDE7">
      <w:pPr>
        <w:spacing w:line="500" w:lineRule="exact"/>
        <w:ind w:firstLine="480" w:firstLineChars="200"/>
        <w:rPr>
          <w:rFonts w:hint="eastAsia" w:ascii="宋体" w:hAnsi="宋体" w:cs="宋体"/>
          <w:sz w:val="24"/>
        </w:rPr>
      </w:pPr>
      <w:r>
        <w:rPr>
          <w:rFonts w:hint="eastAsia" w:ascii="宋体" w:hAnsi="宋体" w:cs="宋体"/>
          <w:sz w:val="24"/>
          <w:highlight w:val="white"/>
        </w:rPr>
        <w:t>15.3.3 变更指示</w:t>
      </w:r>
    </w:p>
    <w:p w14:paraId="5FCE3303">
      <w:pPr>
        <w:spacing w:line="500" w:lineRule="exact"/>
        <w:ind w:firstLine="480" w:firstLineChars="200"/>
        <w:rPr>
          <w:rFonts w:hint="eastAsia" w:ascii="宋体" w:hAnsi="宋体" w:cs="宋体"/>
          <w:sz w:val="24"/>
        </w:rPr>
      </w:pPr>
      <w:r>
        <w:rPr>
          <w:rFonts w:hint="eastAsia" w:ascii="宋体" w:hAnsi="宋体" w:cs="宋体"/>
          <w:sz w:val="24"/>
          <w:highlight w:val="white"/>
        </w:rPr>
        <w:t>（1）变更指示只能由监理人发出。</w:t>
      </w:r>
    </w:p>
    <w:p w14:paraId="46FE35ED">
      <w:pPr>
        <w:spacing w:line="500" w:lineRule="exact"/>
        <w:ind w:firstLine="480" w:firstLineChars="200"/>
        <w:rPr>
          <w:rFonts w:hint="eastAsia" w:ascii="宋体" w:hAnsi="宋体" w:cs="宋体"/>
          <w:sz w:val="24"/>
        </w:rPr>
      </w:pPr>
      <w:r>
        <w:rPr>
          <w:rFonts w:hint="eastAsia" w:ascii="宋体" w:hAnsi="宋体" w:cs="宋体"/>
          <w:sz w:val="24"/>
          <w:highlight w:val="white"/>
        </w:rPr>
        <w:t>（2）变更指示应说明变更的目的、范围、变更内容以及变更的工程量及其进度和技术要求，并附有关图纸和文件。承包人收到变更指示后，应按变更指示进行变更工作。</w:t>
      </w:r>
    </w:p>
    <w:p w14:paraId="3B0683D3">
      <w:pPr>
        <w:spacing w:line="500" w:lineRule="exact"/>
        <w:outlineLvl w:val="3"/>
        <w:rPr>
          <w:rFonts w:hint="eastAsia" w:ascii="宋体" w:hAnsi="宋体" w:cs="宋体"/>
          <w:sz w:val="24"/>
        </w:rPr>
      </w:pPr>
      <w:r>
        <w:rPr>
          <w:rFonts w:hint="eastAsia" w:ascii="宋体" w:hAnsi="宋体" w:cs="宋体"/>
          <w:sz w:val="24"/>
          <w:highlight w:val="white"/>
        </w:rPr>
        <w:t>15.4 变更的估价原则</w:t>
      </w:r>
    </w:p>
    <w:p w14:paraId="1AC4477F">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除专用合同条款另有约定外，因变更引起的价格调整按照本款约定处理。</w:t>
      </w:r>
    </w:p>
    <w:p w14:paraId="7ECC9F5B">
      <w:pPr>
        <w:spacing w:line="500" w:lineRule="exact"/>
        <w:ind w:firstLine="480" w:firstLineChars="200"/>
        <w:rPr>
          <w:rFonts w:hint="eastAsia" w:ascii="宋体" w:hAnsi="宋体" w:cs="宋体"/>
          <w:sz w:val="24"/>
        </w:rPr>
      </w:pPr>
      <w:r>
        <w:rPr>
          <w:rFonts w:hint="eastAsia" w:ascii="宋体" w:hAnsi="宋体" w:cs="宋体"/>
          <w:sz w:val="24"/>
          <w:highlight w:val="white"/>
        </w:rPr>
        <w:t>15.4.1 已标价工程量清单中有适用于变更工作的子目的，采用该子目的单价。</w:t>
      </w:r>
    </w:p>
    <w:p w14:paraId="2043F695">
      <w:pPr>
        <w:spacing w:line="500" w:lineRule="exact"/>
        <w:ind w:firstLine="480" w:firstLineChars="200"/>
        <w:rPr>
          <w:rFonts w:hint="eastAsia" w:ascii="宋体" w:hAnsi="宋体" w:cs="宋体"/>
          <w:sz w:val="24"/>
        </w:rPr>
      </w:pPr>
      <w:r>
        <w:rPr>
          <w:rFonts w:hint="eastAsia" w:ascii="宋体" w:hAnsi="宋体" w:cs="宋体"/>
          <w:sz w:val="24"/>
          <w:highlight w:val="white"/>
        </w:rPr>
        <w:t>15.4.2 已标价工程量清单中无适用于变更工作的子目，但有类似子目的，可在合理范围内参照类似子目的单价，由监理人按第3.5款商定或确定变更工作的单价。</w:t>
      </w:r>
    </w:p>
    <w:p w14:paraId="5E8E3B41">
      <w:pPr>
        <w:spacing w:line="500" w:lineRule="exact"/>
        <w:ind w:firstLine="480" w:firstLineChars="200"/>
        <w:rPr>
          <w:rFonts w:hint="eastAsia" w:ascii="宋体" w:hAnsi="宋体" w:cs="宋体"/>
          <w:sz w:val="24"/>
        </w:rPr>
      </w:pPr>
      <w:r>
        <w:rPr>
          <w:rFonts w:hint="eastAsia" w:ascii="宋体" w:hAnsi="宋体" w:cs="宋体"/>
          <w:sz w:val="24"/>
          <w:highlight w:val="white"/>
        </w:rPr>
        <w:t>15.4.3 已标价工程量清单中无适用或类似子目的单价，可按照成本加利润的原则，由监理人按第3.5款商定或确定变更工作的单价。</w:t>
      </w:r>
    </w:p>
    <w:p w14:paraId="3C343C27">
      <w:pPr>
        <w:spacing w:line="500" w:lineRule="exact"/>
        <w:outlineLvl w:val="3"/>
        <w:rPr>
          <w:rFonts w:hint="eastAsia" w:ascii="宋体" w:hAnsi="宋体" w:cs="宋体"/>
          <w:sz w:val="24"/>
        </w:rPr>
      </w:pPr>
      <w:r>
        <w:rPr>
          <w:rFonts w:hint="eastAsia" w:ascii="宋体" w:hAnsi="宋体" w:cs="宋体"/>
          <w:sz w:val="24"/>
          <w:highlight w:val="white"/>
        </w:rPr>
        <w:t>15.5 承包人的合理化建议</w:t>
      </w:r>
    </w:p>
    <w:p w14:paraId="11B5CC1E">
      <w:pPr>
        <w:spacing w:line="500" w:lineRule="exact"/>
        <w:ind w:firstLine="480" w:firstLineChars="200"/>
        <w:rPr>
          <w:rFonts w:hint="eastAsia" w:ascii="宋体" w:hAnsi="宋体" w:cs="宋体"/>
          <w:sz w:val="24"/>
        </w:rPr>
      </w:pPr>
      <w:r>
        <w:rPr>
          <w:rFonts w:hint="eastAsia" w:ascii="宋体" w:hAnsi="宋体" w:cs="宋体"/>
          <w:sz w:val="24"/>
          <w:highlight w:val="whit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97372F5">
      <w:pPr>
        <w:spacing w:line="500" w:lineRule="exact"/>
        <w:ind w:firstLine="480" w:firstLineChars="200"/>
        <w:rPr>
          <w:rFonts w:hint="eastAsia" w:ascii="宋体" w:hAnsi="宋体" w:cs="宋体"/>
          <w:sz w:val="24"/>
        </w:rPr>
      </w:pPr>
      <w:r>
        <w:rPr>
          <w:rFonts w:hint="eastAsia" w:ascii="宋体" w:hAnsi="宋体" w:cs="宋体"/>
          <w:sz w:val="24"/>
          <w:highlight w:val="white"/>
        </w:rPr>
        <w:t>15.5.2 承包人提出的合理化建议降低了合同价格、缩短了工期或者提高了工程经济效益的，发包人可按国家有关规定在专用合同条款中约定给予奖励。</w:t>
      </w:r>
    </w:p>
    <w:p w14:paraId="551B28F0">
      <w:pPr>
        <w:spacing w:line="500" w:lineRule="exact"/>
        <w:outlineLvl w:val="3"/>
        <w:rPr>
          <w:rFonts w:hint="eastAsia" w:ascii="宋体" w:hAnsi="宋体" w:cs="宋体"/>
          <w:sz w:val="24"/>
        </w:rPr>
      </w:pPr>
      <w:r>
        <w:rPr>
          <w:rFonts w:hint="eastAsia" w:ascii="宋体" w:hAnsi="宋体" w:cs="宋体"/>
          <w:sz w:val="24"/>
          <w:highlight w:val="white"/>
        </w:rPr>
        <w:t>15.6 暂列金额</w:t>
      </w:r>
    </w:p>
    <w:p w14:paraId="62DCB444">
      <w:pPr>
        <w:spacing w:line="500" w:lineRule="exact"/>
        <w:ind w:firstLine="480" w:firstLineChars="200"/>
        <w:rPr>
          <w:rFonts w:hint="eastAsia" w:ascii="宋体" w:hAnsi="宋体" w:cs="宋体"/>
          <w:sz w:val="24"/>
        </w:rPr>
      </w:pPr>
      <w:r>
        <w:rPr>
          <w:rFonts w:hint="eastAsia" w:ascii="宋体" w:hAnsi="宋体" w:cs="宋体"/>
          <w:sz w:val="24"/>
          <w:highlight w:val="white"/>
        </w:rPr>
        <w:t>暂列金额只能按照监理人的指示使用，并对合同价格进行相应调整。</w:t>
      </w:r>
    </w:p>
    <w:p w14:paraId="331452F3">
      <w:pPr>
        <w:spacing w:line="500" w:lineRule="exact"/>
        <w:outlineLvl w:val="3"/>
        <w:rPr>
          <w:rFonts w:hint="eastAsia" w:ascii="宋体" w:hAnsi="宋体" w:cs="宋体"/>
          <w:sz w:val="24"/>
        </w:rPr>
      </w:pPr>
      <w:r>
        <w:rPr>
          <w:rFonts w:hint="eastAsia" w:ascii="宋体" w:hAnsi="宋体" w:cs="宋体"/>
          <w:sz w:val="24"/>
          <w:highlight w:val="white"/>
        </w:rPr>
        <w:t>15.7 计日工</w:t>
      </w:r>
    </w:p>
    <w:p w14:paraId="0D1ECA85">
      <w:pPr>
        <w:spacing w:line="500" w:lineRule="exact"/>
        <w:ind w:firstLine="480" w:firstLineChars="200"/>
        <w:rPr>
          <w:rFonts w:hint="eastAsia" w:ascii="宋体" w:hAnsi="宋体" w:cs="宋体"/>
          <w:sz w:val="24"/>
          <w:shd w:val="pct10" w:color="auto" w:fill="FFFFFF"/>
        </w:rPr>
      </w:pPr>
      <w:r>
        <w:rPr>
          <w:rFonts w:hint="eastAsia" w:ascii="宋体" w:hAnsi="宋体" w:cs="宋体"/>
          <w:sz w:val="24"/>
          <w:highlight w:val="white"/>
        </w:rPr>
        <w:t>15.7.1 发包人认为有必要时，由监理人通知承包人以计日工方式实施变更的零星工作。其价款按列入已标价工程量清单中的计日工计价子目及其单价进行计算。</w:t>
      </w:r>
    </w:p>
    <w:p w14:paraId="7F06EE8C">
      <w:pPr>
        <w:spacing w:line="500" w:lineRule="exact"/>
        <w:ind w:firstLine="480" w:firstLineChars="200"/>
        <w:rPr>
          <w:rFonts w:hint="eastAsia" w:ascii="宋体" w:hAnsi="宋体" w:cs="宋体"/>
          <w:sz w:val="24"/>
        </w:rPr>
      </w:pPr>
      <w:r>
        <w:rPr>
          <w:rFonts w:hint="eastAsia" w:ascii="宋体" w:hAnsi="宋体" w:cs="宋体"/>
          <w:sz w:val="24"/>
          <w:highlight w:val="white"/>
        </w:rPr>
        <w:t>15.7.2 采用计日工计价的任何一项变更工作，应从暂列金额中支付，承包人应在该项变更的实施过程中，每天提交以下报表和有关凭证报送监理人审批：</w:t>
      </w:r>
    </w:p>
    <w:p w14:paraId="15D08DBE">
      <w:pPr>
        <w:spacing w:line="500" w:lineRule="exact"/>
        <w:ind w:firstLine="820" w:firstLineChars="342"/>
        <w:rPr>
          <w:rFonts w:hint="eastAsia" w:ascii="宋体" w:hAnsi="宋体" w:cs="宋体"/>
          <w:sz w:val="24"/>
        </w:rPr>
      </w:pPr>
      <w:r>
        <w:rPr>
          <w:rFonts w:hint="eastAsia" w:ascii="宋体" w:hAnsi="宋体" w:cs="宋体"/>
          <w:sz w:val="24"/>
          <w:highlight w:val="white"/>
        </w:rPr>
        <w:t>（1）工作名称、内容和数量；</w:t>
      </w:r>
    </w:p>
    <w:p w14:paraId="7CB9199D">
      <w:pPr>
        <w:spacing w:line="500" w:lineRule="exact"/>
        <w:ind w:firstLine="820" w:firstLineChars="342"/>
        <w:rPr>
          <w:rFonts w:hint="eastAsia" w:ascii="宋体" w:hAnsi="宋体" w:cs="宋体"/>
          <w:sz w:val="24"/>
        </w:rPr>
      </w:pPr>
      <w:r>
        <w:rPr>
          <w:rFonts w:hint="eastAsia" w:ascii="宋体" w:hAnsi="宋体" w:cs="宋体"/>
          <w:sz w:val="24"/>
          <w:highlight w:val="white"/>
        </w:rPr>
        <w:t>（2）投入该工作所有人员的姓名、工种、级别和耗用工时；</w:t>
      </w:r>
    </w:p>
    <w:p w14:paraId="37AD9C91">
      <w:pPr>
        <w:spacing w:line="500" w:lineRule="exact"/>
        <w:ind w:firstLine="820" w:firstLineChars="342"/>
        <w:rPr>
          <w:rFonts w:hint="eastAsia" w:ascii="宋体" w:hAnsi="宋体" w:cs="宋体"/>
          <w:sz w:val="24"/>
        </w:rPr>
      </w:pPr>
      <w:r>
        <w:rPr>
          <w:rFonts w:hint="eastAsia" w:ascii="宋体" w:hAnsi="宋体" w:cs="宋体"/>
          <w:sz w:val="24"/>
          <w:highlight w:val="white"/>
        </w:rPr>
        <w:t>（3）投入该工作的材料类别和数量；</w:t>
      </w:r>
    </w:p>
    <w:p w14:paraId="4CD0C0E6">
      <w:pPr>
        <w:spacing w:line="500" w:lineRule="exact"/>
        <w:ind w:firstLine="820" w:firstLineChars="342"/>
        <w:rPr>
          <w:rFonts w:hint="eastAsia" w:ascii="宋体" w:hAnsi="宋体" w:cs="宋体"/>
          <w:sz w:val="24"/>
        </w:rPr>
      </w:pPr>
      <w:r>
        <w:rPr>
          <w:rFonts w:hint="eastAsia" w:ascii="宋体" w:hAnsi="宋体" w:cs="宋体"/>
          <w:sz w:val="24"/>
          <w:highlight w:val="white"/>
        </w:rPr>
        <w:t>（4）投入该工作的施工设备型号、台数和耗用台时；</w:t>
      </w:r>
    </w:p>
    <w:p w14:paraId="730A746B">
      <w:pPr>
        <w:spacing w:line="500" w:lineRule="exact"/>
        <w:ind w:firstLine="820" w:firstLineChars="342"/>
        <w:rPr>
          <w:rFonts w:hint="eastAsia" w:ascii="宋体" w:hAnsi="宋体" w:cs="宋体"/>
          <w:sz w:val="24"/>
        </w:rPr>
      </w:pPr>
      <w:r>
        <w:rPr>
          <w:rFonts w:hint="eastAsia" w:ascii="宋体" w:hAnsi="宋体" w:cs="宋体"/>
          <w:sz w:val="24"/>
          <w:highlight w:val="white"/>
        </w:rPr>
        <w:t>（5）监理人要求提交的其他资料和凭证。</w:t>
      </w:r>
    </w:p>
    <w:p w14:paraId="778E2845">
      <w:pPr>
        <w:spacing w:line="500" w:lineRule="exact"/>
        <w:ind w:firstLine="480" w:firstLineChars="200"/>
        <w:rPr>
          <w:rFonts w:hint="eastAsia" w:ascii="宋体" w:hAnsi="宋体" w:cs="宋体"/>
          <w:sz w:val="24"/>
        </w:rPr>
      </w:pPr>
      <w:r>
        <w:rPr>
          <w:rFonts w:hint="eastAsia" w:ascii="宋体" w:hAnsi="宋体" w:cs="宋体"/>
          <w:sz w:val="24"/>
          <w:highlight w:val="white"/>
        </w:rPr>
        <w:t>15.7.3 计日工由承包人汇总后，按第17.3.2项的约定列入进度付款申请单，由监理人复核并经发包人同意后列入进度付款。</w:t>
      </w:r>
    </w:p>
    <w:p w14:paraId="0F3E39B2">
      <w:pPr>
        <w:spacing w:line="500" w:lineRule="exact"/>
        <w:outlineLvl w:val="3"/>
        <w:rPr>
          <w:rFonts w:hint="eastAsia" w:ascii="宋体" w:hAnsi="宋体" w:cs="宋体"/>
          <w:sz w:val="24"/>
        </w:rPr>
      </w:pPr>
      <w:r>
        <w:rPr>
          <w:rFonts w:hint="eastAsia" w:ascii="宋体" w:hAnsi="宋体" w:cs="宋体"/>
          <w:sz w:val="24"/>
          <w:highlight w:val="white"/>
        </w:rPr>
        <w:t>15.8 暂估价</w:t>
      </w:r>
    </w:p>
    <w:p w14:paraId="7D3E683F">
      <w:pPr>
        <w:spacing w:line="500" w:lineRule="exact"/>
        <w:ind w:firstLine="420"/>
        <w:rPr>
          <w:rFonts w:hint="eastAsia" w:ascii="宋体" w:hAnsi="宋体" w:cs="宋体"/>
          <w:sz w:val="24"/>
        </w:rPr>
      </w:pPr>
      <w:r>
        <w:rPr>
          <w:rFonts w:hint="eastAsia" w:ascii="宋体" w:hAnsi="宋体" w:cs="宋体"/>
          <w:sz w:val="24"/>
          <w:highlight w:val="white"/>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40CF8FB5">
      <w:pPr>
        <w:spacing w:line="500" w:lineRule="exact"/>
        <w:ind w:firstLine="480" w:firstLineChars="200"/>
        <w:rPr>
          <w:rFonts w:hint="eastAsia" w:ascii="宋体" w:hAnsi="宋体" w:cs="宋体"/>
          <w:sz w:val="24"/>
        </w:rPr>
      </w:pPr>
      <w:r>
        <w:rPr>
          <w:rFonts w:hint="eastAsia" w:ascii="宋体" w:hAnsi="宋体" w:cs="宋体"/>
          <w:sz w:val="24"/>
          <w:highlight w:val="whit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CEB1093">
      <w:pPr>
        <w:spacing w:line="500" w:lineRule="exact"/>
        <w:ind w:firstLine="420"/>
        <w:rPr>
          <w:rFonts w:hint="eastAsia" w:ascii="宋体" w:hAnsi="宋体" w:cs="宋体"/>
          <w:sz w:val="24"/>
        </w:rPr>
      </w:pPr>
      <w:r>
        <w:rPr>
          <w:rFonts w:hint="eastAsia" w:ascii="宋体" w:hAnsi="宋体" w:cs="宋体"/>
          <w:sz w:val="24"/>
          <w:highlight w:val="whit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9282154">
      <w:pPr>
        <w:spacing w:line="500" w:lineRule="exact"/>
        <w:outlineLvl w:val="2"/>
        <w:rPr>
          <w:rFonts w:hint="eastAsia" w:ascii="宋体" w:hAnsi="宋体" w:cs="宋体"/>
          <w:sz w:val="24"/>
        </w:rPr>
      </w:pPr>
      <w:bookmarkStart w:id="96" w:name="_Toc256000123"/>
      <w:bookmarkStart w:id="97" w:name="_Toc149635775"/>
      <w:bookmarkStart w:id="98" w:name="_Toc149571662"/>
      <w:r>
        <w:rPr>
          <w:rFonts w:hint="eastAsia" w:ascii="宋体" w:hAnsi="宋体" w:cs="宋体"/>
          <w:sz w:val="24"/>
          <w:highlight w:val="white"/>
        </w:rPr>
        <w:t>16. 价格调整</w:t>
      </w:r>
      <w:bookmarkEnd w:id="96"/>
      <w:bookmarkEnd w:id="97"/>
      <w:bookmarkEnd w:id="98"/>
    </w:p>
    <w:p w14:paraId="07B77B19">
      <w:pPr>
        <w:spacing w:line="500" w:lineRule="exact"/>
        <w:outlineLvl w:val="3"/>
        <w:rPr>
          <w:rFonts w:hint="eastAsia" w:ascii="宋体" w:hAnsi="宋体" w:cs="宋体"/>
          <w:sz w:val="24"/>
        </w:rPr>
      </w:pPr>
      <w:r>
        <w:rPr>
          <w:rFonts w:hint="eastAsia" w:ascii="宋体" w:hAnsi="宋体" w:cs="宋体"/>
          <w:sz w:val="24"/>
          <w:highlight w:val="white"/>
        </w:rPr>
        <w:t>16.1 物价波动引起的价格调整</w:t>
      </w:r>
    </w:p>
    <w:p w14:paraId="13E7E100">
      <w:pPr>
        <w:spacing w:line="500" w:lineRule="exact"/>
        <w:ind w:firstLine="480" w:firstLineChars="200"/>
        <w:rPr>
          <w:rFonts w:hint="eastAsia" w:ascii="宋体" w:hAnsi="宋体" w:cs="宋体"/>
          <w:sz w:val="24"/>
        </w:rPr>
      </w:pPr>
      <w:r>
        <w:rPr>
          <w:rFonts w:hint="eastAsia" w:ascii="宋体" w:hAnsi="宋体" w:cs="宋体"/>
          <w:sz w:val="24"/>
          <w:highlight w:val="white"/>
        </w:rPr>
        <w:t>由于物价波动原因引起合同价格需要调整的，其价格调整方式在专用合同条款中约定。</w:t>
      </w:r>
    </w:p>
    <w:p w14:paraId="78C41FEC">
      <w:pPr>
        <w:spacing w:line="500" w:lineRule="exact"/>
        <w:ind w:firstLine="480" w:firstLineChars="200"/>
        <w:rPr>
          <w:rFonts w:hint="eastAsia" w:ascii="宋体" w:hAnsi="宋体" w:cs="宋体"/>
          <w:sz w:val="24"/>
        </w:rPr>
      </w:pPr>
      <w:r>
        <w:rPr>
          <w:rFonts w:hint="eastAsia" w:ascii="宋体" w:hAnsi="宋体" w:cs="宋体"/>
          <w:sz w:val="24"/>
          <w:highlight w:val="white"/>
        </w:rPr>
        <w:t>16.1.1 采用价格指数调整价格差额</w:t>
      </w:r>
    </w:p>
    <w:p w14:paraId="0DFA43D6">
      <w:pPr>
        <w:spacing w:line="500" w:lineRule="exact"/>
        <w:ind w:firstLine="480" w:firstLineChars="200"/>
        <w:rPr>
          <w:rFonts w:hint="eastAsia" w:ascii="宋体" w:hAnsi="宋体" w:eastAsia="宋体" w:cs="宋体"/>
          <w:sz w:val="24"/>
          <w:lang w:eastAsia="zh-CN"/>
        </w:rPr>
      </w:pPr>
      <w:r>
        <w:rPr>
          <w:rFonts w:hint="eastAsia" w:ascii="宋体" w:hAnsi="宋体" w:cs="宋体"/>
          <w:sz w:val="24"/>
          <w:highlight w:val="white"/>
        </w:rPr>
        <w:t>16.1.1.1 价格调整公式</w:t>
      </w:r>
      <w:r>
        <w:rPr>
          <w:rFonts w:hint="eastAsia" w:ascii="宋体" w:hAnsi="宋体" w:eastAsia="宋体" w:cs="宋体"/>
          <w:sz w:val="24"/>
          <w:highlight w:val="white"/>
          <w:lang w:eastAsia="zh-CN"/>
        </w:rPr>
        <w:t>（</w:t>
      </w:r>
      <w:r>
        <w:rPr>
          <w:rFonts w:hint="eastAsia" w:ascii="宋体" w:hAnsi="宋体" w:eastAsia="宋体" w:cs="宋体"/>
          <w:sz w:val="24"/>
          <w:highlight w:val="white"/>
          <w:lang w:val="en-US" w:eastAsia="zh-CN"/>
        </w:rPr>
        <w:t>总价合同不适用本条款</w:t>
      </w:r>
      <w:r>
        <w:rPr>
          <w:rFonts w:hint="eastAsia" w:ascii="宋体" w:hAnsi="宋体" w:eastAsia="宋体" w:cs="宋体"/>
          <w:sz w:val="24"/>
          <w:highlight w:val="white"/>
          <w:lang w:eastAsia="zh-CN"/>
        </w:rPr>
        <w:t>）</w:t>
      </w:r>
    </w:p>
    <w:p w14:paraId="2846C692">
      <w:pPr>
        <w:spacing w:line="500" w:lineRule="exact"/>
        <w:ind w:firstLine="480" w:firstLineChars="200"/>
        <w:rPr>
          <w:rFonts w:hint="eastAsia" w:ascii="宋体" w:hAnsi="宋体" w:cs="宋体"/>
          <w:sz w:val="24"/>
        </w:rPr>
      </w:pPr>
      <w:r>
        <w:rPr>
          <w:rFonts w:hint="eastAsia" w:ascii="宋体" w:hAnsi="宋体" w:cs="宋体"/>
          <w:sz w:val="24"/>
          <w:highlight w:val="white"/>
        </w:rPr>
        <w:t>因人工、材料和设备等价格波动影响合同价格时，根据投标函附录中的价格指数和权重表约定的数据，按以下公式计算差额并调整合同价格。</w:t>
      </w:r>
    </w:p>
    <w:p w14:paraId="67831139">
      <w:pPr>
        <w:autoSpaceDE w:val="0"/>
        <w:autoSpaceDN w:val="0"/>
        <w:adjustRightInd w:val="0"/>
        <w:spacing w:line="500" w:lineRule="exact"/>
        <w:ind w:right="248" w:firstLine="956" w:firstLineChars="398"/>
        <w:rPr>
          <w:rFonts w:hint="eastAsia" w:ascii="宋体" w:hAnsi="宋体" w:cs="宋体"/>
          <w:sz w:val="24"/>
        </w:rPr>
      </w:pPr>
      <w:r>
        <w:rPr>
          <w:rFonts w:hint="eastAsia" w:ascii="宋体" w:hAnsi="宋体" w:cs="宋体"/>
          <w:b/>
          <w:bCs/>
          <w:kern w:val="0"/>
          <w:sz w:val="24"/>
          <w:highlight w:val="white"/>
          <w:lang w:val="zh-CN"/>
        </w:rPr>
        <w:t xml:space="preserve">        </w:t>
      </w:r>
      <w:r>
        <w:rPr>
          <w:rFonts w:hint="eastAsia" w:ascii="宋体" w:hAnsi="宋体" w:cs="宋体"/>
          <w:position w:val="-34"/>
          <w:sz w:val="24"/>
          <w:szCs w:val="24"/>
        </w:rPr>
        <w:object>
          <v:shape id="_x0000_i1025" o:spt="75" type="#_x0000_t75" style="height:39.75pt;width:306pt;" o:ole="t" filled="f" o:preferrelative="t" stroked="f" coordsize="21600,21600">
            <v:path/>
            <v:fill on="f" focussize="0,0"/>
            <v:stroke on="f"/>
            <v:imagedata r:id="rId31" o:title=""/>
            <o:lock v:ext="edit" aspectratio="t"/>
            <w10:wrap type="none"/>
            <w10:anchorlock/>
          </v:shape>
          <o:OLEObject Type="Embed" ProgID="Equation.3" ShapeID="_x0000_i1025" DrawAspect="Content" ObjectID="_1468075725" r:id="rId30">
            <o:LockedField>false</o:LockedField>
          </o:OLEObject>
        </w:object>
      </w:r>
    </w:p>
    <w:p w14:paraId="081AD2F8">
      <w:pPr>
        <w:tabs>
          <w:tab w:val="left" w:pos="1260"/>
        </w:tabs>
        <w:spacing w:line="500" w:lineRule="exact"/>
        <w:ind w:firstLine="480" w:firstLineChars="200"/>
        <w:rPr>
          <w:rFonts w:hint="eastAsia" w:ascii="宋体" w:hAnsi="宋体" w:cs="宋体"/>
          <w:sz w:val="24"/>
        </w:rPr>
      </w:pPr>
      <w:r>
        <w:rPr>
          <w:rFonts w:hint="eastAsia" w:ascii="宋体" w:hAnsi="宋体" w:cs="宋体"/>
          <w:sz w:val="24"/>
          <w:highlight w:val="white"/>
        </w:rPr>
        <w:t xml:space="preserve"> </w:t>
      </w:r>
    </w:p>
    <w:p w14:paraId="496B3901">
      <w:pPr>
        <w:tabs>
          <w:tab w:val="left" w:pos="1260"/>
        </w:tabs>
        <w:spacing w:line="500" w:lineRule="exact"/>
        <w:ind w:firstLine="480" w:firstLineChars="200"/>
        <w:rPr>
          <w:rFonts w:hint="eastAsia" w:ascii="宋体" w:hAnsi="宋体" w:cs="宋体"/>
          <w:sz w:val="24"/>
        </w:rPr>
      </w:pPr>
      <w:r>
        <w:rPr>
          <w:rFonts w:hint="eastAsia" w:ascii="宋体" w:hAnsi="宋体" w:cs="宋体"/>
          <w:sz w:val="24"/>
          <w:highlight w:val="white"/>
        </w:rPr>
        <w:t>式中： △P -- 需调整的价格差额；</w:t>
      </w:r>
    </w:p>
    <w:p w14:paraId="3F2C96DE">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P</w:t>
      </w:r>
      <w:r>
        <w:rPr>
          <w:rFonts w:hint="eastAsia" w:ascii="宋体" w:hAnsi="宋体" w:cs="宋体"/>
          <w:sz w:val="24"/>
          <w:highlight w:val="white"/>
          <w:vertAlign w:val="subscript"/>
        </w:rPr>
        <w:t>0</w:t>
      </w:r>
      <w:r>
        <w:rPr>
          <w:rFonts w:hint="eastAsia" w:ascii="宋体" w:hAnsi="宋体" w:cs="宋体"/>
          <w:sz w:val="24"/>
          <w:highlight w:val="whit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0642CC02">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A -- 定值权重(即不调部分的权重)；</w:t>
      </w:r>
    </w:p>
    <w:p w14:paraId="42696775">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B</w:t>
      </w:r>
      <w:r>
        <w:rPr>
          <w:rFonts w:hint="eastAsia" w:ascii="宋体" w:hAnsi="宋体" w:cs="宋体"/>
          <w:sz w:val="24"/>
          <w:highlight w:val="white"/>
          <w:vertAlign w:val="subscript"/>
        </w:rPr>
        <w:t>1</w:t>
      </w:r>
      <w:r>
        <w:rPr>
          <w:rFonts w:hint="eastAsia" w:ascii="宋体" w:hAnsi="宋体" w:cs="宋体"/>
          <w:sz w:val="24"/>
          <w:highlight w:val="white"/>
        </w:rPr>
        <w:t>; B</w:t>
      </w:r>
      <w:r>
        <w:rPr>
          <w:rFonts w:hint="eastAsia" w:ascii="宋体" w:hAnsi="宋体" w:cs="宋体"/>
          <w:sz w:val="24"/>
          <w:highlight w:val="white"/>
          <w:vertAlign w:val="subscript"/>
        </w:rPr>
        <w:t>2</w:t>
      </w:r>
      <w:r>
        <w:rPr>
          <w:rFonts w:hint="eastAsia" w:ascii="宋体" w:hAnsi="宋体" w:cs="宋体"/>
          <w:sz w:val="24"/>
          <w:highlight w:val="white"/>
        </w:rPr>
        <w:t xml:space="preserve"> ;B</w:t>
      </w:r>
      <w:r>
        <w:rPr>
          <w:rFonts w:hint="eastAsia" w:ascii="宋体" w:hAnsi="宋体" w:cs="宋体"/>
          <w:sz w:val="24"/>
          <w:highlight w:val="white"/>
          <w:vertAlign w:val="subscript"/>
        </w:rPr>
        <w:t>3</w:t>
      </w:r>
      <w:r>
        <w:rPr>
          <w:rFonts w:hint="eastAsia" w:ascii="宋体" w:hAnsi="宋体" w:cs="宋体"/>
          <w:sz w:val="24"/>
          <w:highlight w:val="white"/>
        </w:rPr>
        <w:t>·····B</w:t>
      </w:r>
      <w:r>
        <w:rPr>
          <w:rFonts w:hint="eastAsia" w:ascii="宋体" w:hAnsi="宋体" w:cs="宋体"/>
          <w:sz w:val="24"/>
          <w:highlight w:val="white"/>
          <w:vertAlign w:val="subscript"/>
        </w:rPr>
        <w:t>n</w:t>
      </w:r>
      <w:r>
        <w:rPr>
          <w:rFonts w:hint="eastAsia" w:ascii="宋体" w:hAnsi="宋体" w:cs="宋体"/>
          <w:sz w:val="24"/>
          <w:highlight w:val="white"/>
        </w:rPr>
        <w:t xml:space="preserve"> -- 各可调因子的变值权重(即可调部分的权重)为各可调因子在投标函投标总报价中所占的比例；</w:t>
      </w:r>
    </w:p>
    <w:p w14:paraId="478C27E0">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F</w:t>
      </w:r>
      <w:r>
        <w:rPr>
          <w:rFonts w:hint="eastAsia" w:ascii="宋体" w:hAnsi="宋体" w:cs="宋体"/>
          <w:sz w:val="24"/>
          <w:highlight w:val="white"/>
          <w:vertAlign w:val="subscript"/>
        </w:rPr>
        <w:t>t1</w:t>
      </w:r>
      <w:r>
        <w:rPr>
          <w:rFonts w:hint="eastAsia" w:ascii="宋体" w:hAnsi="宋体" w:cs="宋体"/>
          <w:sz w:val="24"/>
          <w:highlight w:val="white"/>
        </w:rPr>
        <w:t xml:space="preserve"> ;F</w:t>
      </w:r>
      <w:r>
        <w:rPr>
          <w:rFonts w:hint="eastAsia" w:ascii="宋体" w:hAnsi="宋体" w:cs="宋体"/>
          <w:sz w:val="24"/>
          <w:highlight w:val="white"/>
          <w:vertAlign w:val="subscript"/>
        </w:rPr>
        <w:t>t2</w:t>
      </w:r>
      <w:r>
        <w:rPr>
          <w:rFonts w:hint="eastAsia" w:ascii="宋体" w:hAnsi="宋体" w:cs="宋体"/>
          <w:sz w:val="24"/>
          <w:highlight w:val="white"/>
        </w:rPr>
        <w:t xml:space="preserve"> ;F</w:t>
      </w:r>
      <w:r>
        <w:rPr>
          <w:rFonts w:hint="eastAsia" w:ascii="宋体" w:hAnsi="宋体" w:cs="宋体"/>
          <w:sz w:val="24"/>
          <w:highlight w:val="white"/>
          <w:vertAlign w:val="subscript"/>
        </w:rPr>
        <w:t>t3</w:t>
      </w:r>
      <w:r>
        <w:rPr>
          <w:rFonts w:hint="eastAsia" w:ascii="宋体" w:hAnsi="宋体" w:cs="宋体"/>
          <w:sz w:val="24"/>
          <w:highlight w:val="white"/>
        </w:rPr>
        <w:t>·····F</w:t>
      </w:r>
      <w:r>
        <w:rPr>
          <w:rFonts w:hint="eastAsia" w:ascii="宋体" w:hAnsi="宋体" w:cs="宋体"/>
          <w:sz w:val="24"/>
          <w:highlight w:val="white"/>
          <w:vertAlign w:val="subscript"/>
        </w:rPr>
        <w:t>tn</w:t>
      </w:r>
      <w:r>
        <w:rPr>
          <w:rFonts w:hint="eastAsia" w:ascii="宋体" w:hAnsi="宋体" w:cs="宋体"/>
          <w:sz w:val="24"/>
          <w:highlight w:val="white"/>
        </w:rPr>
        <w:t xml:space="preserve"> -- 各可调因子的现行价格指数，指第17.3.3项、第17.5.2项和第17.6.2项约定的付款证书相关周期最后一天的前42天的各可调因子的价格指数；</w:t>
      </w:r>
    </w:p>
    <w:p w14:paraId="4EF46155">
      <w:pPr>
        <w:tabs>
          <w:tab w:val="left" w:pos="1260"/>
        </w:tabs>
        <w:spacing w:line="500" w:lineRule="exact"/>
        <w:rPr>
          <w:rFonts w:hint="eastAsia" w:ascii="宋体" w:hAnsi="宋体" w:cs="宋体"/>
          <w:sz w:val="24"/>
        </w:rPr>
      </w:pPr>
      <w:r>
        <w:rPr>
          <w:rFonts w:hint="eastAsia" w:ascii="宋体" w:hAnsi="宋体" w:cs="宋体"/>
          <w:sz w:val="24"/>
          <w:highlight w:val="white"/>
        </w:rPr>
        <w:tab/>
      </w:r>
      <w:r>
        <w:rPr>
          <w:rFonts w:hint="eastAsia" w:ascii="宋体" w:hAnsi="宋体" w:cs="宋体"/>
          <w:sz w:val="24"/>
          <w:highlight w:val="white"/>
        </w:rPr>
        <w:t>F</w:t>
      </w:r>
      <w:r>
        <w:rPr>
          <w:rFonts w:hint="eastAsia" w:ascii="宋体" w:hAnsi="宋体" w:cs="宋体"/>
          <w:sz w:val="24"/>
          <w:highlight w:val="white"/>
          <w:vertAlign w:val="subscript"/>
        </w:rPr>
        <w:t>o1</w:t>
      </w:r>
      <w:r>
        <w:rPr>
          <w:rFonts w:hint="eastAsia" w:ascii="宋体" w:hAnsi="宋体" w:cs="宋体"/>
          <w:sz w:val="24"/>
          <w:highlight w:val="white"/>
        </w:rPr>
        <w:t>; F</w:t>
      </w:r>
      <w:r>
        <w:rPr>
          <w:rFonts w:hint="eastAsia" w:ascii="宋体" w:hAnsi="宋体" w:cs="宋体"/>
          <w:sz w:val="24"/>
          <w:highlight w:val="white"/>
          <w:vertAlign w:val="subscript"/>
        </w:rPr>
        <w:t>o2</w:t>
      </w:r>
      <w:r>
        <w:rPr>
          <w:rFonts w:hint="eastAsia" w:ascii="宋体" w:hAnsi="宋体" w:cs="宋体"/>
          <w:sz w:val="24"/>
          <w:highlight w:val="white"/>
        </w:rPr>
        <w:t>; F</w:t>
      </w:r>
      <w:r>
        <w:rPr>
          <w:rFonts w:hint="eastAsia" w:ascii="宋体" w:hAnsi="宋体" w:cs="宋体"/>
          <w:sz w:val="24"/>
          <w:highlight w:val="white"/>
          <w:vertAlign w:val="subscript"/>
        </w:rPr>
        <w:t>o3</w:t>
      </w:r>
      <w:r>
        <w:rPr>
          <w:rFonts w:hint="eastAsia" w:ascii="宋体" w:hAnsi="宋体" w:cs="宋体"/>
          <w:sz w:val="24"/>
          <w:highlight w:val="white"/>
        </w:rPr>
        <w:t>·····F</w:t>
      </w:r>
      <w:r>
        <w:rPr>
          <w:rFonts w:hint="eastAsia" w:ascii="宋体" w:hAnsi="宋体" w:cs="宋体"/>
          <w:sz w:val="24"/>
          <w:highlight w:val="white"/>
          <w:vertAlign w:val="subscript"/>
        </w:rPr>
        <w:t>on</w:t>
      </w:r>
      <w:r>
        <w:rPr>
          <w:rFonts w:hint="eastAsia" w:ascii="宋体" w:hAnsi="宋体" w:cs="宋体"/>
          <w:sz w:val="24"/>
          <w:highlight w:val="white"/>
        </w:rPr>
        <w:t xml:space="preserve"> -- 各可调因子的基本价格指数，指基准日期的各可调因子的价格指数。</w:t>
      </w:r>
    </w:p>
    <w:p w14:paraId="4F2E40C6">
      <w:pPr>
        <w:spacing w:line="500" w:lineRule="exact"/>
        <w:ind w:firstLine="480" w:firstLineChars="200"/>
        <w:rPr>
          <w:rFonts w:hint="eastAsia" w:ascii="宋体" w:hAnsi="宋体" w:cs="宋体"/>
          <w:sz w:val="24"/>
        </w:rPr>
      </w:pPr>
      <w:r>
        <w:rPr>
          <w:rFonts w:hint="eastAsia" w:ascii="宋体" w:hAnsi="宋体" w:cs="宋体"/>
          <w:sz w:val="24"/>
          <w:highlight w:val="whit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5507F1C">
      <w:pPr>
        <w:spacing w:line="500" w:lineRule="exact"/>
        <w:ind w:firstLine="480" w:firstLineChars="200"/>
        <w:rPr>
          <w:rFonts w:hint="eastAsia" w:ascii="宋体" w:hAnsi="宋体" w:cs="宋体"/>
          <w:sz w:val="24"/>
        </w:rPr>
      </w:pPr>
      <w:r>
        <w:rPr>
          <w:rFonts w:hint="eastAsia" w:ascii="宋体" w:hAnsi="宋体" w:cs="宋体"/>
          <w:sz w:val="24"/>
          <w:highlight w:val="white"/>
        </w:rPr>
        <w:t>16.1.1.2 暂时确定调整差额</w:t>
      </w:r>
    </w:p>
    <w:p w14:paraId="490FE128">
      <w:pPr>
        <w:spacing w:line="500" w:lineRule="exact"/>
        <w:ind w:firstLine="480" w:firstLineChars="200"/>
        <w:rPr>
          <w:rFonts w:hint="eastAsia" w:ascii="宋体" w:hAnsi="宋体" w:cs="宋体"/>
          <w:sz w:val="24"/>
        </w:rPr>
      </w:pPr>
      <w:r>
        <w:rPr>
          <w:rFonts w:hint="eastAsia" w:ascii="宋体" w:hAnsi="宋体" w:cs="宋体"/>
          <w:sz w:val="24"/>
          <w:highlight w:val="white"/>
        </w:rPr>
        <w:t>在计算调整差额时得不到现行价格指数的，可暂用上一次价格指数计算，并在以后的付款中再按实际价格指数进行调整。</w:t>
      </w:r>
    </w:p>
    <w:p w14:paraId="05248DEB">
      <w:pPr>
        <w:spacing w:line="500" w:lineRule="exact"/>
        <w:ind w:firstLine="480" w:firstLineChars="200"/>
        <w:rPr>
          <w:rFonts w:hint="eastAsia" w:ascii="宋体" w:hAnsi="宋体" w:cs="宋体"/>
          <w:sz w:val="24"/>
        </w:rPr>
      </w:pPr>
      <w:r>
        <w:rPr>
          <w:rFonts w:hint="eastAsia" w:ascii="宋体" w:hAnsi="宋体" w:cs="宋体"/>
          <w:sz w:val="24"/>
          <w:highlight w:val="white"/>
        </w:rPr>
        <w:t>16.1.1.3 权重的调整</w:t>
      </w:r>
    </w:p>
    <w:p w14:paraId="28244EC6">
      <w:pPr>
        <w:spacing w:line="500" w:lineRule="exact"/>
        <w:ind w:firstLine="480" w:firstLineChars="200"/>
        <w:rPr>
          <w:rFonts w:hint="eastAsia" w:ascii="宋体" w:hAnsi="宋体" w:cs="宋体"/>
          <w:sz w:val="24"/>
        </w:rPr>
      </w:pPr>
      <w:r>
        <w:rPr>
          <w:rFonts w:hint="eastAsia" w:ascii="宋体" w:hAnsi="宋体" w:cs="宋体"/>
          <w:sz w:val="24"/>
          <w:highlight w:val="white"/>
        </w:rPr>
        <w:t>按第15.1款约定的变更导致原定合同中的权重不合理时，由监理人与承包人和发包人协商后进行调整。</w:t>
      </w:r>
    </w:p>
    <w:p w14:paraId="7676FB20">
      <w:pPr>
        <w:spacing w:line="500" w:lineRule="exact"/>
        <w:ind w:firstLine="480" w:firstLineChars="200"/>
        <w:rPr>
          <w:rFonts w:hint="eastAsia" w:ascii="宋体" w:hAnsi="宋体" w:cs="宋体"/>
          <w:sz w:val="24"/>
        </w:rPr>
      </w:pPr>
      <w:r>
        <w:rPr>
          <w:rFonts w:hint="eastAsia" w:ascii="宋体" w:hAnsi="宋体" w:cs="宋体"/>
          <w:sz w:val="24"/>
          <w:highlight w:val="white"/>
        </w:rPr>
        <w:t>16.1.1.4 承包人工期延误后的价格调整</w:t>
      </w:r>
    </w:p>
    <w:p w14:paraId="06A6CA2A">
      <w:pPr>
        <w:spacing w:line="500" w:lineRule="exact"/>
        <w:rPr>
          <w:rFonts w:hint="eastAsia" w:ascii="宋体" w:hAnsi="宋体" w:cs="宋体"/>
          <w:sz w:val="24"/>
        </w:rPr>
      </w:pPr>
      <w:r>
        <w:rPr>
          <w:rFonts w:hint="eastAsia" w:ascii="宋体" w:hAnsi="宋体" w:cs="宋体"/>
          <w:sz w:val="24"/>
          <w:highlight w:val="whit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51D88D11">
      <w:pPr>
        <w:spacing w:line="500" w:lineRule="exact"/>
        <w:ind w:firstLine="480" w:firstLineChars="200"/>
        <w:rPr>
          <w:rFonts w:hint="eastAsia" w:ascii="宋体" w:hAnsi="宋体" w:cs="宋体"/>
          <w:sz w:val="24"/>
        </w:rPr>
      </w:pPr>
      <w:r>
        <w:rPr>
          <w:rFonts w:hint="eastAsia" w:ascii="宋体" w:hAnsi="宋体" w:cs="宋体"/>
          <w:sz w:val="24"/>
          <w:highlight w:val="white"/>
        </w:rPr>
        <w:t>16.1.2　采用造价信息调整价格差额</w:t>
      </w:r>
    </w:p>
    <w:p w14:paraId="461A73BF">
      <w:pPr>
        <w:spacing w:line="500" w:lineRule="exact"/>
        <w:rPr>
          <w:rFonts w:hint="eastAsia" w:ascii="宋体" w:hAnsi="宋体" w:cs="宋体"/>
          <w:sz w:val="24"/>
        </w:rPr>
      </w:pPr>
      <w:r>
        <w:rPr>
          <w:rFonts w:hint="eastAsia" w:ascii="宋体" w:hAnsi="宋体" w:cs="宋体"/>
          <w:sz w:val="24"/>
          <w:highlight w:val="white"/>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72F22BE1">
      <w:pPr>
        <w:spacing w:line="500" w:lineRule="exact"/>
        <w:rPr>
          <w:rFonts w:hint="eastAsia" w:ascii="宋体" w:hAnsi="宋体" w:cs="宋体"/>
          <w:sz w:val="24"/>
        </w:rPr>
      </w:pPr>
      <w:r>
        <w:rPr>
          <w:rFonts w:hint="eastAsia" w:ascii="宋体" w:hAnsi="宋体" w:cs="宋体"/>
          <w:sz w:val="24"/>
          <w:highlight w:val="white"/>
        </w:rPr>
        <w:t>工程造价信息的来源以及价格调整的项目和系数在专用合同条款中约定。</w:t>
      </w:r>
    </w:p>
    <w:p w14:paraId="7794927C">
      <w:pPr>
        <w:spacing w:line="500" w:lineRule="exact"/>
        <w:outlineLvl w:val="3"/>
        <w:rPr>
          <w:rFonts w:hint="eastAsia" w:ascii="宋体" w:hAnsi="宋体" w:cs="宋体"/>
          <w:sz w:val="24"/>
        </w:rPr>
      </w:pPr>
      <w:r>
        <w:rPr>
          <w:rFonts w:hint="eastAsia" w:ascii="宋体" w:hAnsi="宋体" w:cs="宋体"/>
          <w:sz w:val="24"/>
          <w:highlight w:val="white"/>
        </w:rPr>
        <w:t>16.2 法律变化引起的价格调整</w:t>
      </w:r>
    </w:p>
    <w:p w14:paraId="137EA767">
      <w:pPr>
        <w:spacing w:line="500" w:lineRule="exact"/>
        <w:ind w:firstLine="480" w:firstLineChars="200"/>
        <w:rPr>
          <w:rFonts w:hint="eastAsia" w:ascii="宋体" w:hAnsi="宋体" w:cs="宋体"/>
          <w:sz w:val="24"/>
        </w:rPr>
      </w:pPr>
      <w:r>
        <w:rPr>
          <w:rFonts w:hint="eastAsia" w:ascii="宋体" w:hAnsi="宋体" w:cs="宋体"/>
          <w:sz w:val="24"/>
          <w:highlight w:val="whit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63F92433">
      <w:pPr>
        <w:spacing w:line="500" w:lineRule="exact"/>
        <w:outlineLvl w:val="2"/>
        <w:rPr>
          <w:rFonts w:hint="eastAsia" w:ascii="宋体" w:hAnsi="宋体" w:cs="宋体"/>
          <w:sz w:val="24"/>
        </w:rPr>
      </w:pPr>
      <w:bookmarkStart w:id="99" w:name="_Toc149571663"/>
      <w:bookmarkStart w:id="100" w:name="_Toc149635776"/>
      <w:bookmarkStart w:id="101" w:name="_Toc256000124"/>
      <w:r>
        <w:rPr>
          <w:rFonts w:hint="eastAsia" w:ascii="宋体" w:hAnsi="宋体" w:cs="宋体"/>
          <w:sz w:val="24"/>
          <w:highlight w:val="white"/>
        </w:rPr>
        <w:t>17. 计量与支付</w:t>
      </w:r>
      <w:bookmarkEnd w:id="99"/>
      <w:bookmarkEnd w:id="100"/>
      <w:bookmarkEnd w:id="101"/>
    </w:p>
    <w:p w14:paraId="237505F0">
      <w:pPr>
        <w:spacing w:line="500" w:lineRule="exact"/>
        <w:outlineLvl w:val="3"/>
        <w:rPr>
          <w:rFonts w:hint="eastAsia" w:ascii="宋体" w:hAnsi="宋体" w:cs="宋体"/>
          <w:sz w:val="24"/>
        </w:rPr>
      </w:pPr>
      <w:r>
        <w:rPr>
          <w:rFonts w:hint="eastAsia" w:ascii="宋体" w:hAnsi="宋体" w:cs="宋体"/>
          <w:sz w:val="24"/>
          <w:highlight w:val="white"/>
        </w:rPr>
        <w:t>17.1 计量</w:t>
      </w:r>
    </w:p>
    <w:p w14:paraId="40ED3EF7">
      <w:pPr>
        <w:spacing w:line="500" w:lineRule="exact"/>
        <w:ind w:firstLine="480" w:firstLineChars="200"/>
        <w:rPr>
          <w:rFonts w:hint="eastAsia" w:ascii="宋体" w:hAnsi="宋体" w:cs="宋体"/>
          <w:sz w:val="24"/>
        </w:rPr>
      </w:pPr>
      <w:r>
        <w:rPr>
          <w:rFonts w:hint="eastAsia" w:ascii="宋体" w:hAnsi="宋体" w:cs="宋体"/>
          <w:sz w:val="24"/>
          <w:highlight w:val="white"/>
        </w:rPr>
        <w:t>17.1.1 计量单位</w:t>
      </w:r>
    </w:p>
    <w:p w14:paraId="35303349">
      <w:pPr>
        <w:spacing w:line="500" w:lineRule="exact"/>
        <w:ind w:firstLine="480" w:firstLineChars="200"/>
        <w:rPr>
          <w:rFonts w:hint="eastAsia" w:ascii="宋体" w:hAnsi="宋体" w:cs="宋体"/>
          <w:sz w:val="24"/>
        </w:rPr>
      </w:pPr>
      <w:r>
        <w:rPr>
          <w:rFonts w:hint="eastAsia" w:ascii="宋体" w:hAnsi="宋体" w:cs="宋体"/>
          <w:sz w:val="24"/>
          <w:highlight w:val="white"/>
        </w:rPr>
        <w:t>计量采用国家法定的计量单位。</w:t>
      </w:r>
    </w:p>
    <w:p w14:paraId="59C8B0B1">
      <w:pPr>
        <w:spacing w:line="500" w:lineRule="exact"/>
        <w:ind w:firstLine="480" w:firstLineChars="200"/>
        <w:rPr>
          <w:rFonts w:hint="eastAsia" w:ascii="宋体" w:hAnsi="宋体" w:cs="宋体"/>
          <w:sz w:val="24"/>
        </w:rPr>
      </w:pPr>
      <w:r>
        <w:rPr>
          <w:rFonts w:hint="eastAsia" w:ascii="宋体" w:hAnsi="宋体" w:cs="宋体"/>
          <w:sz w:val="24"/>
          <w:highlight w:val="white"/>
        </w:rPr>
        <w:t>17.1.2 计量方法</w:t>
      </w:r>
    </w:p>
    <w:p w14:paraId="5B7E2227">
      <w:pPr>
        <w:spacing w:line="500" w:lineRule="exact"/>
        <w:ind w:firstLine="420"/>
        <w:rPr>
          <w:rFonts w:hint="eastAsia" w:ascii="宋体" w:hAnsi="宋体" w:cs="宋体"/>
          <w:sz w:val="24"/>
        </w:rPr>
      </w:pPr>
      <w:r>
        <w:rPr>
          <w:rFonts w:hint="eastAsia" w:ascii="宋体" w:hAnsi="宋体" w:cs="宋体"/>
          <w:sz w:val="24"/>
          <w:highlight w:val="white"/>
        </w:rPr>
        <w:t>结算工程量应按工程量清单中约定的方法计量。</w:t>
      </w:r>
    </w:p>
    <w:p w14:paraId="76CF81FB">
      <w:pPr>
        <w:spacing w:line="500" w:lineRule="exact"/>
        <w:ind w:firstLine="480" w:firstLineChars="200"/>
        <w:rPr>
          <w:rFonts w:hint="eastAsia" w:ascii="宋体" w:hAnsi="宋体" w:cs="宋体"/>
          <w:sz w:val="24"/>
        </w:rPr>
      </w:pPr>
      <w:r>
        <w:rPr>
          <w:rFonts w:hint="eastAsia" w:ascii="宋体" w:hAnsi="宋体" w:cs="宋体"/>
          <w:sz w:val="24"/>
          <w:highlight w:val="white"/>
        </w:rPr>
        <w:t>17.1.3 计量周期</w:t>
      </w:r>
    </w:p>
    <w:p w14:paraId="72D9660B">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除专用合同条款另有约定外，单价子目已完成工程量按月计量，总价子目的计量周期按批准的支付分解报告确定。</w:t>
      </w:r>
    </w:p>
    <w:p w14:paraId="7FAD034E">
      <w:pPr>
        <w:spacing w:line="500" w:lineRule="exact"/>
        <w:ind w:firstLine="480" w:firstLineChars="200"/>
        <w:rPr>
          <w:rFonts w:hint="eastAsia" w:ascii="宋体" w:hAnsi="宋体" w:cs="宋体"/>
          <w:sz w:val="24"/>
        </w:rPr>
      </w:pPr>
      <w:r>
        <w:rPr>
          <w:rFonts w:hint="eastAsia" w:ascii="宋体" w:hAnsi="宋体" w:cs="宋体"/>
          <w:sz w:val="24"/>
          <w:highlight w:val="white"/>
        </w:rPr>
        <w:t>17.1.4 单价子目的计量</w:t>
      </w:r>
    </w:p>
    <w:p w14:paraId="4C509E05">
      <w:pPr>
        <w:spacing w:line="500" w:lineRule="exact"/>
        <w:ind w:firstLine="480" w:firstLineChars="200"/>
        <w:rPr>
          <w:rFonts w:hint="eastAsia" w:ascii="宋体" w:hAnsi="宋体" w:cs="宋体"/>
          <w:sz w:val="24"/>
        </w:rPr>
      </w:pPr>
      <w:r>
        <w:rPr>
          <w:rFonts w:hint="eastAsia" w:ascii="宋体" w:hAnsi="宋体" w:cs="宋体"/>
          <w:sz w:val="24"/>
          <w:highlight w:val="white"/>
        </w:rPr>
        <w:t>（1）已标价工程量清单中的单价子目工程量为估算工程量。结算工程量是承包人实际完成的，并按合同约定的计量方法进行计量的工程量。</w:t>
      </w:r>
    </w:p>
    <w:p w14:paraId="427839CA">
      <w:pPr>
        <w:spacing w:line="500" w:lineRule="exact"/>
        <w:ind w:firstLine="480" w:firstLineChars="200"/>
        <w:rPr>
          <w:rFonts w:hint="eastAsia" w:ascii="宋体" w:hAnsi="宋体" w:cs="宋体"/>
          <w:sz w:val="24"/>
        </w:rPr>
      </w:pPr>
      <w:r>
        <w:rPr>
          <w:rFonts w:hint="eastAsia" w:ascii="宋体" w:hAnsi="宋体" w:cs="宋体"/>
          <w:sz w:val="24"/>
          <w:highlight w:val="white"/>
        </w:rPr>
        <w:t>（2）承包人对已完成的工程进行计量，向监理人提交进度付款申请单、已完成工程量报表和有关计量资料。</w:t>
      </w:r>
    </w:p>
    <w:p w14:paraId="6E56608C">
      <w:pPr>
        <w:spacing w:line="500" w:lineRule="exact"/>
        <w:ind w:firstLine="480" w:firstLineChars="200"/>
        <w:rPr>
          <w:rFonts w:hint="eastAsia" w:ascii="宋体" w:hAnsi="宋体" w:cs="宋体"/>
          <w:sz w:val="24"/>
        </w:rPr>
      </w:pPr>
      <w:r>
        <w:rPr>
          <w:rFonts w:hint="eastAsia" w:ascii="宋体" w:hAnsi="宋体" w:cs="宋体"/>
          <w:sz w:val="24"/>
          <w:highlight w:val="whit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31D633AD">
      <w:pPr>
        <w:spacing w:line="500" w:lineRule="exact"/>
        <w:ind w:firstLine="480" w:firstLineChars="200"/>
        <w:rPr>
          <w:rFonts w:hint="eastAsia" w:ascii="宋体" w:hAnsi="宋体" w:cs="宋体"/>
          <w:sz w:val="24"/>
        </w:rPr>
      </w:pPr>
      <w:r>
        <w:rPr>
          <w:rFonts w:hint="eastAsia" w:ascii="宋体" w:hAnsi="宋体" w:cs="宋体"/>
          <w:sz w:val="24"/>
          <w:highlight w:val="white"/>
        </w:rPr>
        <w:t>（4）监理人认为有必要时，可通知承包人共同进行联合测量、计量，承包人应遵照执行。</w:t>
      </w:r>
    </w:p>
    <w:p w14:paraId="679D0637">
      <w:pPr>
        <w:spacing w:line="500" w:lineRule="exact"/>
        <w:ind w:firstLine="480" w:firstLineChars="200"/>
        <w:rPr>
          <w:rFonts w:hint="eastAsia" w:ascii="宋体" w:hAnsi="宋体" w:cs="宋体"/>
          <w:sz w:val="24"/>
        </w:rPr>
      </w:pPr>
      <w:r>
        <w:rPr>
          <w:rFonts w:hint="eastAsia" w:ascii="宋体" w:hAnsi="宋体" w:cs="宋体"/>
          <w:sz w:val="24"/>
          <w:highlight w:val="whit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16F494F7">
      <w:pPr>
        <w:spacing w:line="500" w:lineRule="exact"/>
        <w:ind w:firstLine="420"/>
        <w:rPr>
          <w:rFonts w:hint="eastAsia" w:ascii="宋体" w:hAnsi="宋体" w:cs="宋体"/>
          <w:sz w:val="24"/>
        </w:rPr>
      </w:pPr>
      <w:r>
        <w:rPr>
          <w:rFonts w:hint="eastAsia" w:ascii="宋体" w:hAnsi="宋体" w:cs="宋体"/>
          <w:sz w:val="24"/>
          <w:highlight w:val="white"/>
        </w:rPr>
        <w:t>（6）监理人应在收到承包人提交的工程量报表后的7天内进行复核，监理人未在约定时间内复核的，承包人提交的工程量报表中的工程量视为承包人实际完成的工程量，据此计算工程价款。</w:t>
      </w:r>
    </w:p>
    <w:p w14:paraId="17675751">
      <w:pPr>
        <w:spacing w:line="500" w:lineRule="exact"/>
        <w:rPr>
          <w:rFonts w:hint="eastAsia" w:ascii="宋体" w:hAnsi="宋体" w:cs="宋体"/>
          <w:sz w:val="24"/>
        </w:rPr>
      </w:pPr>
      <w:r>
        <w:rPr>
          <w:rFonts w:hint="eastAsia" w:ascii="宋体" w:hAnsi="宋体" w:cs="宋体"/>
          <w:sz w:val="24"/>
          <w:highlight w:val="white"/>
        </w:rPr>
        <w:t>　　17.1.5 总价子目的计量</w:t>
      </w:r>
    </w:p>
    <w:p w14:paraId="108613CA">
      <w:pPr>
        <w:spacing w:line="500" w:lineRule="exact"/>
        <w:rPr>
          <w:rFonts w:hint="eastAsia" w:ascii="宋体" w:hAnsi="宋体" w:cs="宋体"/>
          <w:sz w:val="24"/>
        </w:rPr>
      </w:pPr>
      <w:r>
        <w:rPr>
          <w:rFonts w:hint="eastAsia" w:ascii="宋体" w:hAnsi="宋体" w:cs="宋体"/>
          <w:sz w:val="24"/>
          <w:highlight w:val="white"/>
        </w:rPr>
        <w:t>　　总价子目的分解和计量按照下述约定进行。</w:t>
      </w:r>
    </w:p>
    <w:p w14:paraId="4DF36A21">
      <w:pPr>
        <w:spacing w:line="500" w:lineRule="exact"/>
        <w:rPr>
          <w:rFonts w:hint="eastAsia" w:ascii="宋体" w:hAnsi="宋体" w:cs="宋体"/>
          <w:sz w:val="24"/>
        </w:rPr>
      </w:pPr>
      <w:r>
        <w:rPr>
          <w:rFonts w:hint="eastAsia" w:ascii="宋体" w:hAnsi="宋体" w:cs="宋体"/>
          <w:sz w:val="24"/>
          <w:highlight w:val="white"/>
        </w:rPr>
        <w:t>　　(1)总价子目的计量和支付应以总价为基础，不因第16.1款中的因素而进行调整。承包人实际完成的工程量，是进行工程目标管理和控制进度支付的依据。</w:t>
      </w:r>
    </w:p>
    <w:p w14:paraId="6D01C8C9">
      <w:pPr>
        <w:spacing w:line="500" w:lineRule="exact"/>
        <w:rPr>
          <w:rFonts w:hint="eastAsia" w:ascii="宋体" w:hAnsi="宋体" w:cs="宋体"/>
          <w:sz w:val="24"/>
        </w:rPr>
      </w:pPr>
      <w:r>
        <w:rPr>
          <w:rFonts w:hint="eastAsia" w:ascii="宋体" w:hAnsi="宋体" w:cs="宋体"/>
          <w:sz w:val="24"/>
          <w:highlight w:val="white"/>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1BD7083B">
      <w:pPr>
        <w:spacing w:line="500" w:lineRule="exact"/>
        <w:rPr>
          <w:rFonts w:hint="eastAsia" w:ascii="宋体" w:hAnsi="宋体" w:cs="宋体"/>
          <w:sz w:val="24"/>
        </w:rPr>
      </w:pPr>
      <w:r>
        <w:rPr>
          <w:rFonts w:hint="eastAsia" w:ascii="宋体" w:hAnsi="宋体" w:cs="宋体"/>
          <w:sz w:val="24"/>
          <w:highlight w:val="white"/>
        </w:rPr>
        <w:t>　　(3)监理人对承包人提交的上述资料进行复核，以确定分阶段实际完成的工程量和工程形象目标。对其有异议的，可要求承包人按第8.2款约定进行共同复核和抽样复测。</w:t>
      </w:r>
    </w:p>
    <w:p w14:paraId="260419E8">
      <w:pPr>
        <w:spacing w:line="500" w:lineRule="exact"/>
        <w:rPr>
          <w:rFonts w:hint="eastAsia" w:ascii="宋体" w:hAnsi="宋体" w:cs="宋体"/>
          <w:sz w:val="24"/>
        </w:rPr>
      </w:pPr>
      <w:r>
        <w:rPr>
          <w:rFonts w:hint="eastAsia" w:ascii="宋体" w:hAnsi="宋体" w:cs="宋体"/>
          <w:sz w:val="24"/>
          <w:highlight w:val="white"/>
        </w:rPr>
        <w:t>　　(4)除按照第15条约定的变更外，总价子目的工程量是承包人用于结算的最终工程量。</w:t>
      </w:r>
    </w:p>
    <w:p w14:paraId="0C496193">
      <w:pPr>
        <w:spacing w:line="500" w:lineRule="exact"/>
        <w:outlineLvl w:val="3"/>
        <w:rPr>
          <w:rFonts w:hint="eastAsia" w:ascii="宋体" w:hAnsi="宋体" w:cs="宋体"/>
          <w:sz w:val="24"/>
        </w:rPr>
      </w:pPr>
      <w:r>
        <w:rPr>
          <w:rFonts w:hint="eastAsia" w:ascii="宋体" w:hAnsi="宋体" w:cs="宋体"/>
          <w:sz w:val="24"/>
          <w:highlight w:val="white"/>
        </w:rPr>
        <w:t>17.2 预付款</w:t>
      </w:r>
    </w:p>
    <w:p w14:paraId="67439F75">
      <w:pPr>
        <w:spacing w:line="500" w:lineRule="exact"/>
        <w:rPr>
          <w:rFonts w:hint="eastAsia" w:ascii="宋体" w:hAnsi="宋体" w:cs="宋体"/>
          <w:sz w:val="24"/>
        </w:rPr>
      </w:pPr>
      <w:r>
        <w:rPr>
          <w:rFonts w:hint="eastAsia" w:ascii="宋体" w:hAnsi="宋体" w:cs="宋体"/>
          <w:sz w:val="24"/>
          <w:highlight w:val="white"/>
        </w:rPr>
        <w:t>　　17.2.1 预付款</w:t>
      </w:r>
    </w:p>
    <w:p w14:paraId="3430CA90">
      <w:pPr>
        <w:spacing w:line="500" w:lineRule="exact"/>
        <w:rPr>
          <w:rFonts w:hint="eastAsia" w:ascii="宋体" w:hAnsi="宋体" w:cs="宋体"/>
          <w:sz w:val="24"/>
        </w:rPr>
      </w:pPr>
      <w:r>
        <w:rPr>
          <w:rFonts w:hint="eastAsia" w:ascii="宋体" w:hAnsi="宋体" w:cs="宋体"/>
          <w:sz w:val="24"/>
          <w:highlight w:val="white"/>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2338A97B">
      <w:pPr>
        <w:spacing w:line="500" w:lineRule="exact"/>
        <w:rPr>
          <w:rFonts w:hint="eastAsia" w:ascii="宋体" w:hAnsi="宋体" w:cs="宋体"/>
          <w:sz w:val="24"/>
        </w:rPr>
      </w:pPr>
      <w:r>
        <w:rPr>
          <w:rFonts w:hint="eastAsia" w:ascii="宋体" w:hAnsi="宋体" w:cs="宋体"/>
          <w:sz w:val="24"/>
          <w:highlight w:val="white"/>
        </w:rPr>
        <w:t>　　17.2.2 预付款保函(担保)</w:t>
      </w:r>
    </w:p>
    <w:p w14:paraId="66220225">
      <w:pPr>
        <w:spacing w:line="500" w:lineRule="exact"/>
        <w:rPr>
          <w:rFonts w:hint="eastAsia" w:ascii="宋体" w:hAnsi="宋体" w:cs="宋体"/>
          <w:sz w:val="24"/>
        </w:rPr>
      </w:pPr>
      <w:r>
        <w:rPr>
          <w:rFonts w:hint="eastAsia" w:ascii="宋体" w:hAnsi="宋体" w:cs="宋体"/>
          <w:sz w:val="24"/>
          <w:highlight w:val="white"/>
        </w:rPr>
        <w:t>　　(1)承包人应在收到第一次工程预付款的同时向发包人提交工程预付款担保，担保金额应与第一次工程预付款金额相同，工程预付款担保在第一次工程预付款被发包人扣回前一直有效。</w:t>
      </w:r>
    </w:p>
    <w:p w14:paraId="74C6C279">
      <w:pPr>
        <w:spacing w:line="500" w:lineRule="exact"/>
        <w:rPr>
          <w:rFonts w:hint="eastAsia" w:ascii="宋体" w:hAnsi="宋体" w:cs="宋体"/>
          <w:sz w:val="24"/>
        </w:rPr>
      </w:pPr>
      <w:r>
        <w:rPr>
          <w:rFonts w:hint="eastAsia" w:ascii="宋体" w:hAnsi="宋体" w:cs="宋体"/>
          <w:sz w:val="24"/>
          <w:highlight w:val="white"/>
        </w:rPr>
        <w:t>　　(2)工程材料预付款的担保在专用合同条款中约定。</w:t>
      </w:r>
    </w:p>
    <w:p w14:paraId="07D51D07">
      <w:pPr>
        <w:spacing w:line="500" w:lineRule="exact"/>
        <w:rPr>
          <w:rFonts w:hint="eastAsia" w:ascii="宋体" w:hAnsi="宋体" w:cs="宋体"/>
          <w:sz w:val="24"/>
        </w:rPr>
      </w:pPr>
      <w:r>
        <w:rPr>
          <w:rFonts w:hint="eastAsia" w:ascii="宋体" w:hAnsi="宋体" w:cs="宋体"/>
          <w:sz w:val="24"/>
          <w:highlight w:val="white"/>
        </w:rPr>
        <w:t>　　(3)预付款担保的担保金额可根据预付款扣回的金额相应递减。</w:t>
      </w:r>
    </w:p>
    <w:p w14:paraId="0610C463">
      <w:pPr>
        <w:spacing w:line="500" w:lineRule="exact"/>
        <w:rPr>
          <w:rFonts w:hint="eastAsia" w:ascii="宋体" w:hAnsi="宋体" w:cs="宋体"/>
          <w:sz w:val="24"/>
        </w:rPr>
      </w:pPr>
      <w:r>
        <w:rPr>
          <w:rFonts w:hint="eastAsia" w:ascii="宋体" w:hAnsi="宋体" w:cs="宋体"/>
          <w:sz w:val="24"/>
          <w:highlight w:val="white"/>
        </w:rPr>
        <w:t>　　17.2.3 预付款的扣回与还清</w:t>
      </w:r>
    </w:p>
    <w:p w14:paraId="40B0FA38">
      <w:pPr>
        <w:spacing w:line="500" w:lineRule="exact"/>
        <w:ind w:firstLine="420"/>
        <w:rPr>
          <w:rFonts w:hint="eastAsia" w:ascii="宋体" w:hAnsi="宋体" w:cs="宋体"/>
          <w:sz w:val="24"/>
        </w:rPr>
      </w:pPr>
      <w:r>
        <w:rPr>
          <w:rFonts w:hint="eastAsia" w:ascii="宋体" w:hAnsi="宋体" w:cs="宋体"/>
          <w:sz w:val="24"/>
          <w:highlight w:val="whit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05DE9997">
      <w:pPr>
        <w:spacing w:line="500" w:lineRule="exact"/>
        <w:outlineLvl w:val="3"/>
        <w:rPr>
          <w:rFonts w:hint="eastAsia" w:ascii="宋体" w:hAnsi="宋体" w:cs="宋体"/>
          <w:sz w:val="24"/>
        </w:rPr>
      </w:pPr>
      <w:r>
        <w:rPr>
          <w:rFonts w:hint="eastAsia" w:ascii="宋体" w:hAnsi="宋体" w:cs="宋体"/>
          <w:sz w:val="24"/>
          <w:highlight w:val="white"/>
        </w:rPr>
        <w:t>17.3 工程进度付款</w:t>
      </w:r>
    </w:p>
    <w:p w14:paraId="5EEC1703">
      <w:pPr>
        <w:spacing w:line="500" w:lineRule="exact"/>
        <w:ind w:firstLine="480" w:firstLineChars="200"/>
        <w:rPr>
          <w:rFonts w:hint="eastAsia" w:ascii="宋体" w:hAnsi="宋体" w:cs="宋体"/>
          <w:sz w:val="24"/>
        </w:rPr>
      </w:pPr>
      <w:r>
        <w:rPr>
          <w:rFonts w:hint="eastAsia" w:ascii="宋体" w:hAnsi="宋体" w:cs="宋体"/>
          <w:sz w:val="24"/>
          <w:highlight w:val="white"/>
        </w:rPr>
        <w:t>17.3.1 付款周期</w:t>
      </w:r>
    </w:p>
    <w:p w14:paraId="2A255E9C">
      <w:pPr>
        <w:spacing w:line="500" w:lineRule="exact"/>
        <w:ind w:firstLine="480" w:firstLineChars="200"/>
        <w:rPr>
          <w:rFonts w:hint="eastAsia" w:ascii="宋体" w:hAnsi="宋体" w:cs="宋体"/>
          <w:sz w:val="24"/>
        </w:rPr>
      </w:pPr>
      <w:r>
        <w:rPr>
          <w:rFonts w:hint="eastAsia" w:ascii="宋体" w:hAnsi="宋体" w:cs="宋体"/>
          <w:sz w:val="24"/>
          <w:highlight w:val="white"/>
        </w:rPr>
        <w:t>付款周期同计量周期。</w:t>
      </w:r>
    </w:p>
    <w:p w14:paraId="56607658">
      <w:pPr>
        <w:spacing w:line="500" w:lineRule="exact"/>
        <w:ind w:firstLine="480" w:firstLineChars="200"/>
        <w:rPr>
          <w:rFonts w:hint="eastAsia" w:ascii="宋体" w:hAnsi="宋体" w:cs="宋体"/>
          <w:sz w:val="24"/>
        </w:rPr>
      </w:pPr>
      <w:r>
        <w:rPr>
          <w:rFonts w:hint="eastAsia" w:ascii="宋体" w:hAnsi="宋体" w:cs="宋体"/>
          <w:sz w:val="24"/>
          <w:highlight w:val="white"/>
        </w:rPr>
        <w:t>17.3.2 进度付款申请单</w:t>
      </w:r>
    </w:p>
    <w:p w14:paraId="299C3A40">
      <w:pPr>
        <w:spacing w:line="500" w:lineRule="exact"/>
        <w:ind w:firstLine="480" w:firstLineChars="200"/>
        <w:rPr>
          <w:rFonts w:hint="eastAsia" w:ascii="宋体" w:hAnsi="宋体" w:cs="宋体"/>
          <w:dstrike/>
          <w:sz w:val="24"/>
        </w:rPr>
      </w:pPr>
      <w:r>
        <w:rPr>
          <w:rFonts w:hint="eastAsia" w:ascii="宋体" w:hAnsi="宋体" w:cs="宋体"/>
          <w:sz w:val="24"/>
          <w:highlight w:val="whit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FA313FA">
      <w:pPr>
        <w:spacing w:line="500" w:lineRule="exact"/>
        <w:ind w:firstLine="480" w:firstLineChars="200"/>
        <w:rPr>
          <w:rFonts w:hint="eastAsia" w:ascii="宋体" w:hAnsi="宋体" w:cs="宋体"/>
          <w:sz w:val="24"/>
        </w:rPr>
      </w:pPr>
      <w:r>
        <w:rPr>
          <w:rFonts w:hint="eastAsia" w:ascii="宋体" w:hAnsi="宋体" w:cs="宋体"/>
          <w:sz w:val="24"/>
          <w:highlight w:val="white"/>
        </w:rPr>
        <w:t>（1）截至本次付款周期末已实施工程的价款；</w:t>
      </w:r>
    </w:p>
    <w:p w14:paraId="7FA4CBB7">
      <w:pPr>
        <w:spacing w:line="500" w:lineRule="exact"/>
        <w:ind w:firstLine="480" w:firstLineChars="200"/>
        <w:rPr>
          <w:rFonts w:hint="eastAsia" w:ascii="宋体" w:hAnsi="宋体" w:cs="宋体"/>
          <w:sz w:val="24"/>
        </w:rPr>
      </w:pPr>
      <w:r>
        <w:rPr>
          <w:rFonts w:hint="eastAsia" w:ascii="宋体" w:hAnsi="宋体" w:cs="宋体"/>
          <w:sz w:val="24"/>
          <w:highlight w:val="white"/>
        </w:rPr>
        <w:t>（2）根据第15条应增加和扣减的变更金额；</w:t>
      </w:r>
    </w:p>
    <w:p w14:paraId="6C33D043">
      <w:pPr>
        <w:spacing w:line="500" w:lineRule="exact"/>
        <w:ind w:firstLine="480" w:firstLineChars="200"/>
        <w:rPr>
          <w:rFonts w:hint="eastAsia" w:ascii="宋体" w:hAnsi="宋体" w:cs="宋体"/>
          <w:sz w:val="24"/>
        </w:rPr>
      </w:pPr>
      <w:r>
        <w:rPr>
          <w:rFonts w:hint="eastAsia" w:ascii="宋体" w:hAnsi="宋体" w:cs="宋体"/>
          <w:sz w:val="24"/>
          <w:highlight w:val="white"/>
        </w:rPr>
        <w:t>（3）根据第23条应增加和扣减的索赔金额；</w:t>
      </w:r>
    </w:p>
    <w:p w14:paraId="0DDAE0CE">
      <w:pPr>
        <w:spacing w:line="500" w:lineRule="exact"/>
        <w:ind w:firstLine="480" w:firstLineChars="200"/>
        <w:rPr>
          <w:rFonts w:hint="eastAsia" w:ascii="宋体" w:hAnsi="宋体" w:cs="宋体"/>
          <w:sz w:val="24"/>
        </w:rPr>
      </w:pPr>
      <w:r>
        <w:rPr>
          <w:rFonts w:hint="eastAsia" w:ascii="宋体" w:hAnsi="宋体" w:cs="宋体"/>
          <w:sz w:val="24"/>
          <w:highlight w:val="white"/>
        </w:rPr>
        <w:t>（4）根据第17.2款约定应支付的预付款和扣减的返还预付款；</w:t>
      </w:r>
    </w:p>
    <w:p w14:paraId="5F05832A">
      <w:pPr>
        <w:spacing w:line="500" w:lineRule="exact"/>
        <w:ind w:firstLine="480" w:firstLineChars="200"/>
        <w:rPr>
          <w:rFonts w:hint="eastAsia" w:ascii="宋体" w:hAnsi="宋体" w:cs="宋体"/>
          <w:sz w:val="24"/>
        </w:rPr>
      </w:pPr>
      <w:r>
        <w:rPr>
          <w:rFonts w:hint="eastAsia" w:ascii="宋体" w:hAnsi="宋体" w:cs="宋体"/>
          <w:sz w:val="24"/>
          <w:highlight w:val="white"/>
        </w:rPr>
        <w:t>（5）根据第17.4.1项约定应扣减的质量保证金；</w:t>
      </w:r>
    </w:p>
    <w:p w14:paraId="63E44411">
      <w:pPr>
        <w:spacing w:line="500" w:lineRule="exact"/>
        <w:ind w:firstLine="480" w:firstLineChars="200"/>
        <w:rPr>
          <w:rFonts w:hint="eastAsia" w:ascii="宋体" w:hAnsi="宋体" w:cs="宋体"/>
          <w:sz w:val="24"/>
        </w:rPr>
      </w:pPr>
      <w:r>
        <w:rPr>
          <w:rFonts w:hint="eastAsia" w:ascii="宋体" w:hAnsi="宋体" w:cs="宋体"/>
          <w:sz w:val="24"/>
          <w:highlight w:val="white"/>
        </w:rPr>
        <w:t>（6）根据合同应增加和扣减的其他金额。</w:t>
      </w:r>
    </w:p>
    <w:p w14:paraId="0DC8E52C">
      <w:pPr>
        <w:spacing w:line="500" w:lineRule="exact"/>
        <w:ind w:firstLine="480" w:firstLineChars="200"/>
        <w:rPr>
          <w:rFonts w:hint="eastAsia" w:ascii="宋体" w:hAnsi="宋体" w:cs="宋体"/>
          <w:sz w:val="24"/>
        </w:rPr>
      </w:pPr>
      <w:r>
        <w:rPr>
          <w:rFonts w:hint="eastAsia" w:ascii="宋体" w:hAnsi="宋体" w:cs="宋体"/>
          <w:sz w:val="24"/>
          <w:highlight w:val="white"/>
        </w:rPr>
        <w:t>17.3.3 进度付款证书和支付时间</w:t>
      </w:r>
    </w:p>
    <w:p w14:paraId="78374C70">
      <w:pPr>
        <w:spacing w:line="500" w:lineRule="exact"/>
        <w:ind w:firstLine="480" w:firstLineChars="200"/>
        <w:rPr>
          <w:rFonts w:hint="eastAsia" w:ascii="宋体" w:hAnsi="宋体" w:cs="宋体"/>
          <w:sz w:val="24"/>
        </w:rPr>
      </w:pPr>
      <w:r>
        <w:rPr>
          <w:rFonts w:hint="eastAsia" w:ascii="宋体" w:hAnsi="宋体" w:cs="宋体"/>
          <w:sz w:val="24"/>
          <w:highlight w:val="whit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6831968">
      <w:pPr>
        <w:spacing w:line="500" w:lineRule="exact"/>
        <w:ind w:firstLine="480" w:firstLineChars="200"/>
        <w:rPr>
          <w:rFonts w:hint="eastAsia" w:ascii="宋体" w:hAnsi="宋体" w:cs="宋体"/>
          <w:sz w:val="24"/>
        </w:rPr>
      </w:pPr>
      <w:r>
        <w:rPr>
          <w:rFonts w:hint="eastAsia" w:ascii="宋体" w:hAnsi="宋体" w:cs="宋体"/>
          <w:sz w:val="24"/>
          <w:highlight w:val="white"/>
        </w:rPr>
        <w:t>（2）发包人应在监理人收到进度付款申请单后的28天内，将进度应付款支付给承包人。发包人不按期支付的，按专用合同条款的约定支付逾期付款违约金。</w:t>
      </w:r>
    </w:p>
    <w:p w14:paraId="7CED9CF1">
      <w:pPr>
        <w:spacing w:line="500" w:lineRule="exact"/>
        <w:ind w:firstLine="480" w:firstLineChars="200"/>
        <w:rPr>
          <w:rFonts w:hint="eastAsia" w:ascii="宋体" w:hAnsi="宋体" w:cs="宋体"/>
          <w:sz w:val="24"/>
        </w:rPr>
      </w:pPr>
      <w:r>
        <w:rPr>
          <w:rFonts w:hint="eastAsia" w:ascii="宋体" w:hAnsi="宋体" w:cs="宋体"/>
          <w:sz w:val="24"/>
          <w:highlight w:val="white"/>
        </w:rPr>
        <w:t>（3）监理人出具进度付款证书，不应视为监理人已同意、批准或接受了承包人完成的该部分工作。</w:t>
      </w:r>
    </w:p>
    <w:p w14:paraId="27EC8A87">
      <w:pPr>
        <w:spacing w:line="500" w:lineRule="exact"/>
        <w:ind w:firstLine="480" w:firstLineChars="200"/>
        <w:rPr>
          <w:rFonts w:hint="eastAsia" w:ascii="宋体" w:hAnsi="宋体" w:cs="宋体"/>
          <w:sz w:val="24"/>
        </w:rPr>
      </w:pPr>
      <w:r>
        <w:rPr>
          <w:rFonts w:hint="eastAsia" w:ascii="宋体" w:hAnsi="宋体" w:cs="宋体"/>
          <w:sz w:val="24"/>
          <w:highlight w:val="white"/>
        </w:rPr>
        <w:t>（4）进度付款涉及政府投资资金的，按照国库集中支付等国家相关规定和专用合同条款的约定办理。</w:t>
      </w:r>
    </w:p>
    <w:p w14:paraId="4BC0E7E9">
      <w:pPr>
        <w:spacing w:line="500" w:lineRule="exact"/>
        <w:ind w:firstLine="480" w:firstLineChars="200"/>
        <w:rPr>
          <w:rFonts w:hint="eastAsia" w:ascii="宋体" w:hAnsi="宋体" w:cs="宋体"/>
          <w:sz w:val="24"/>
        </w:rPr>
      </w:pPr>
      <w:r>
        <w:rPr>
          <w:rFonts w:hint="eastAsia" w:ascii="宋体" w:hAnsi="宋体" w:cs="宋体"/>
          <w:sz w:val="24"/>
          <w:highlight w:val="white"/>
        </w:rPr>
        <w:t>17.3.4 工程进度付款的修正</w:t>
      </w:r>
    </w:p>
    <w:p w14:paraId="0A902E42">
      <w:pPr>
        <w:spacing w:line="500" w:lineRule="exact"/>
        <w:ind w:firstLine="480" w:firstLineChars="200"/>
        <w:rPr>
          <w:rFonts w:hint="eastAsia" w:ascii="宋体" w:hAnsi="宋体" w:cs="宋体"/>
          <w:sz w:val="24"/>
        </w:rPr>
      </w:pPr>
      <w:r>
        <w:rPr>
          <w:rFonts w:hint="eastAsia" w:ascii="宋体" w:hAnsi="宋体" w:cs="宋体"/>
          <w:sz w:val="24"/>
          <w:highlight w:val="white"/>
        </w:rPr>
        <w:t>在对以往历次已签发的进度付款证书进行汇总和复核中发现错、漏或重复的，监理人有权予以修正，承包人也有权提出修正申请。经双方复核同意的修正，应在本次进度付款中支付或扣除。</w:t>
      </w:r>
    </w:p>
    <w:p w14:paraId="529D487A">
      <w:pPr>
        <w:spacing w:line="500" w:lineRule="exact"/>
        <w:outlineLvl w:val="3"/>
        <w:rPr>
          <w:rFonts w:hint="eastAsia" w:ascii="宋体" w:hAnsi="宋体" w:cs="宋体"/>
          <w:sz w:val="24"/>
        </w:rPr>
      </w:pPr>
      <w:r>
        <w:rPr>
          <w:rFonts w:hint="eastAsia" w:ascii="宋体" w:hAnsi="宋体" w:cs="宋体"/>
          <w:sz w:val="24"/>
          <w:highlight w:val="white"/>
        </w:rPr>
        <w:t>17.4 质量保证金</w:t>
      </w:r>
    </w:p>
    <w:p w14:paraId="6B9BD9B7">
      <w:pPr>
        <w:spacing w:line="500" w:lineRule="exact"/>
        <w:rPr>
          <w:rFonts w:hint="eastAsia" w:ascii="宋体" w:hAnsi="宋体" w:cs="宋体"/>
          <w:sz w:val="24"/>
        </w:rPr>
      </w:pPr>
      <w:r>
        <w:rPr>
          <w:rFonts w:hint="eastAsia" w:ascii="宋体" w:hAnsi="宋体" w:cs="宋体"/>
          <w:sz w:val="24"/>
          <w:highlight w:val="white"/>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120C81AF">
      <w:pPr>
        <w:spacing w:line="500" w:lineRule="exact"/>
        <w:ind w:firstLine="420"/>
        <w:rPr>
          <w:rFonts w:hint="eastAsia" w:ascii="宋体" w:hAnsi="宋体" w:cs="宋体"/>
          <w:sz w:val="24"/>
        </w:rPr>
      </w:pPr>
      <w:r>
        <w:rPr>
          <w:rFonts w:hint="eastAsia" w:ascii="宋体" w:hAnsi="宋体" w:cs="宋体"/>
          <w:sz w:val="24"/>
          <w:highlight w:val="white"/>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5AF69929">
      <w:pPr>
        <w:spacing w:line="500" w:lineRule="exact"/>
        <w:ind w:firstLine="420"/>
        <w:rPr>
          <w:rFonts w:hint="eastAsia" w:ascii="宋体" w:hAnsi="宋体" w:cs="宋体"/>
          <w:sz w:val="24"/>
        </w:rPr>
      </w:pPr>
      <w:r>
        <w:rPr>
          <w:rFonts w:hint="eastAsia" w:ascii="宋体" w:hAnsi="宋体" w:cs="宋体"/>
          <w:sz w:val="24"/>
          <w:highlight w:val="white"/>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29AAEBCF">
      <w:pPr>
        <w:spacing w:line="500" w:lineRule="exact"/>
        <w:outlineLvl w:val="3"/>
        <w:rPr>
          <w:rFonts w:hint="eastAsia" w:ascii="宋体" w:hAnsi="宋体" w:cs="宋体"/>
          <w:sz w:val="24"/>
        </w:rPr>
      </w:pPr>
      <w:r>
        <w:rPr>
          <w:rFonts w:hint="eastAsia" w:ascii="宋体" w:hAnsi="宋体" w:cs="宋体"/>
          <w:sz w:val="24"/>
          <w:highlight w:val="white"/>
        </w:rPr>
        <w:t>17.5 竣工结算(完工结算)</w:t>
      </w:r>
    </w:p>
    <w:p w14:paraId="0E14375C">
      <w:pPr>
        <w:spacing w:line="500" w:lineRule="exact"/>
        <w:rPr>
          <w:rFonts w:hint="eastAsia" w:ascii="宋体" w:hAnsi="宋体" w:cs="宋体"/>
          <w:sz w:val="24"/>
        </w:rPr>
      </w:pPr>
      <w:r>
        <w:rPr>
          <w:rFonts w:hint="eastAsia" w:ascii="宋体" w:hAnsi="宋体" w:cs="宋体"/>
          <w:sz w:val="24"/>
          <w:highlight w:val="white"/>
        </w:rPr>
        <w:t>　　17.5.1 竣工(完工)付款申请单</w:t>
      </w:r>
    </w:p>
    <w:p w14:paraId="27AF9C6B">
      <w:pPr>
        <w:spacing w:line="500" w:lineRule="exact"/>
        <w:rPr>
          <w:rFonts w:hint="eastAsia" w:ascii="宋体" w:hAnsi="宋体" w:cs="宋体"/>
          <w:sz w:val="24"/>
        </w:rPr>
      </w:pPr>
      <w:r>
        <w:rPr>
          <w:rFonts w:hint="eastAsia" w:ascii="宋体" w:hAnsi="宋体" w:cs="宋体"/>
          <w:sz w:val="24"/>
          <w:highlight w:val="white"/>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41AF3AFB">
      <w:pPr>
        <w:spacing w:line="500" w:lineRule="exact"/>
        <w:rPr>
          <w:rFonts w:hint="eastAsia" w:ascii="宋体" w:hAnsi="宋体" w:cs="宋体"/>
          <w:sz w:val="24"/>
        </w:rPr>
      </w:pPr>
      <w:r>
        <w:rPr>
          <w:rFonts w:hint="eastAsia" w:ascii="宋体" w:hAnsi="宋体" w:cs="宋体"/>
          <w:sz w:val="24"/>
          <w:highlight w:val="white"/>
        </w:rPr>
        <w:t>　　(2)监理人对完工付款申请单有异议的，有权要求承包人进行修正和提供补充资料。经监理人和承包人协商后，由承包人向监理人提交修正后的完工付款申请单。</w:t>
      </w:r>
    </w:p>
    <w:p w14:paraId="7A5B181D">
      <w:pPr>
        <w:spacing w:line="500" w:lineRule="exact"/>
        <w:rPr>
          <w:rFonts w:hint="eastAsia" w:ascii="宋体" w:hAnsi="宋体" w:cs="宋体"/>
          <w:sz w:val="24"/>
        </w:rPr>
      </w:pPr>
      <w:r>
        <w:rPr>
          <w:rFonts w:hint="eastAsia" w:ascii="宋体" w:hAnsi="宋体" w:cs="宋体"/>
          <w:sz w:val="24"/>
          <w:highlight w:val="white"/>
        </w:rPr>
        <w:t>　　17.5.2 竣工(完工)付款证书及支付时间</w:t>
      </w:r>
    </w:p>
    <w:p w14:paraId="24CD7497">
      <w:pPr>
        <w:spacing w:line="500" w:lineRule="exact"/>
        <w:rPr>
          <w:rFonts w:hint="eastAsia" w:ascii="宋体" w:hAnsi="宋体" w:cs="宋体"/>
          <w:sz w:val="24"/>
        </w:rPr>
      </w:pPr>
      <w:r>
        <w:rPr>
          <w:rFonts w:hint="eastAsia" w:ascii="宋体" w:hAnsi="宋体" w:cs="宋体"/>
          <w:sz w:val="24"/>
          <w:highlight w:val="white"/>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4DED5515">
      <w:pPr>
        <w:spacing w:line="500" w:lineRule="exact"/>
        <w:rPr>
          <w:rFonts w:hint="eastAsia" w:ascii="宋体" w:hAnsi="宋体" w:cs="宋体"/>
          <w:sz w:val="24"/>
        </w:rPr>
      </w:pPr>
      <w:r>
        <w:rPr>
          <w:rFonts w:hint="eastAsia" w:ascii="宋体" w:hAnsi="宋体" w:cs="宋体"/>
          <w:sz w:val="24"/>
          <w:highlight w:val="white"/>
        </w:rPr>
        <w:t>　　(2)发包人应在监理人出具完工付款证书后的14天内，将应支付款支付给承包人</w:t>
      </w:r>
      <w:r>
        <w:rPr>
          <w:rFonts w:hint="eastAsia" w:ascii="宋体" w:hAnsi="宋体" w:eastAsia="宋体" w:cs="宋体"/>
          <w:sz w:val="24"/>
          <w:highlight w:val="white"/>
          <w:lang w:eastAsia="zh-CN"/>
        </w:rPr>
        <w:t>。</w:t>
      </w:r>
      <w:r>
        <w:rPr>
          <w:rFonts w:hint="eastAsia" w:ascii="宋体" w:hAnsi="宋体" w:cs="宋体"/>
          <w:sz w:val="24"/>
          <w:highlight w:val="white"/>
        </w:rPr>
        <w:t>发包人不按期支付的，按第17.3.3(2)目的约定，将逾期付款违约金支付给承包人。</w:t>
      </w:r>
    </w:p>
    <w:p w14:paraId="552A300C">
      <w:pPr>
        <w:spacing w:line="500" w:lineRule="exact"/>
        <w:rPr>
          <w:rFonts w:hint="eastAsia" w:ascii="宋体" w:hAnsi="宋体" w:cs="宋体"/>
          <w:sz w:val="24"/>
        </w:rPr>
      </w:pPr>
      <w:r>
        <w:rPr>
          <w:rFonts w:hint="eastAsia" w:ascii="宋体" w:hAnsi="宋体" w:cs="宋体"/>
          <w:sz w:val="24"/>
          <w:highlight w:val="white"/>
        </w:rPr>
        <w:t>　　(3)承包人对发包人签认的完工付款证书有异议的，发包人可出具完工付款申请单中承包人已同意部分的临时付款证书。存在争议的部分，按第24条的约定办理。</w:t>
      </w:r>
    </w:p>
    <w:p w14:paraId="2A5563FD">
      <w:pPr>
        <w:spacing w:line="500" w:lineRule="exact"/>
        <w:rPr>
          <w:rFonts w:hint="eastAsia" w:ascii="宋体" w:hAnsi="宋体" w:cs="宋体"/>
          <w:sz w:val="24"/>
        </w:rPr>
      </w:pPr>
      <w:r>
        <w:rPr>
          <w:rFonts w:hint="eastAsia" w:ascii="宋体" w:hAnsi="宋体" w:cs="宋体"/>
          <w:sz w:val="24"/>
          <w:highlight w:val="white"/>
        </w:rPr>
        <w:t>　　(4)完工付款涉及政府投资资金的，按第17.3.3(4)目的约定办理。</w:t>
      </w:r>
    </w:p>
    <w:p w14:paraId="0CF96571">
      <w:pPr>
        <w:spacing w:line="500" w:lineRule="exact"/>
        <w:outlineLvl w:val="3"/>
        <w:rPr>
          <w:rFonts w:hint="eastAsia" w:ascii="宋体" w:hAnsi="宋体" w:cs="宋体"/>
          <w:sz w:val="24"/>
        </w:rPr>
      </w:pPr>
      <w:r>
        <w:rPr>
          <w:rFonts w:hint="eastAsia" w:ascii="宋体" w:hAnsi="宋体" w:cs="宋体"/>
          <w:sz w:val="24"/>
          <w:highlight w:val="white"/>
        </w:rPr>
        <w:t>17.6 最终结清</w:t>
      </w:r>
    </w:p>
    <w:p w14:paraId="765A9CED">
      <w:pPr>
        <w:spacing w:line="500" w:lineRule="exact"/>
        <w:rPr>
          <w:rFonts w:hint="eastAsia" w:ascii="宋体" w:hAnsi="宋体" w:cs="宋体"/>
          <w:sz w:val="24"/>
        </w:rPr>
      </w:pPr>
      <w:r>
        <w:rPr>
          <w:rFonts w:hint="eastAsia" w:ascii="宋体" w:hAnsi="宋体" w:cs="宋体"/>
          <w:sz w:val="24"/>
          <w:highlight w:val="white"/>
        </w:rPr>
        <w:t>　　17.6.1 最终结清申请单</w:t>
      </w:r>
    </w:p>
    <w:p w14:paraId="4064CF22">
      <w:pPr>
        <w:spacing w:line="500" w:lineRule="exact"/>
        <w:rPr>
          <w:rFonts w:hint="eastAsia" w:ascii="宋体" w:hAnsi="宋体" w:cs="宋体"/>
          <w:sz w:val="24"/>
        </w:rPr>
      </w:pPr>
      <w:r>
        <w:rPr>
          <w:rFonts w:hint="eastAsia" w:ascii="宋体" w:hAnsi="宋体" w:cs="宋体"/>
          <w:sz w:val="24"/>
          <w:highlight w:val="white"/>
        </w:rPr>
        <w:t>　　(1)工程质量保修责任终止证书签发后，承包人应按监理人批准的格式提交最终结清申请单。提交最终结清申请单的份数在专用合同条款中约定。</w:t>
      </w:r>
    </w:p>
    <w:p w14:paraId="182A51DC">
      <w:pPr>
        <w:spacing w:line="500" w:lineRule="exact"/>
        <w:ind w:firstLine="420"/>
        <w:rPr>
          <w:rFonts w:hint="eastAsia" w:ascii="宋体" w:hAnsi="宋体" w:cs="宋体"/>
          <w:sz w:val="24"/>
        </w:rPr>
      </w:pPr>
      <w:r>
        <w:rPr>
          <w:rFonts w:hint="eastAsia" w:ascii="宋体" w:hAnsi="宋体" w:cs="宋体"/>
          <w:sz w:val="24"/>
          <w:highlight w:val="white"/>
        </w:rPr>
        <w:t>(2)发包人对最终结清申请单内容有异议的，有权要求承包人进行修正和提供补充资料，由承包人向监理人提交修正后的最终结清申请单。</w:t>
      </w:r>
    </w:p>
    <w:p w14:paraId="0E19885D">
      <w:pPr>
        <w:spacing w:line="500" w:lineRule="exact"/>
        <w:ind w:firstLine="480" w:firstLineChars="200"/>
        <w:rPr>
          <w:rFonts w:hint="eastAsia" w:ascii="宋体" w:hAnsi="宋体" w:cs="宋体"/>
          <w:sz w:val="24"/>
        </w:rPr>
      </w:pPr>
      <w:r>
        <w:rPr>
          <w:rFonts w:hint="eastAsia" w:ascii="宋体" w:hAnsi="宋体" w:cs="宋体"/>
          <w:sz w:val="24"/>
          <w:highlight w:val="white"/>
        </w:rPr>
        <w:t>17.6.2 最终结清证书和支付时间</w:t>
      </w:r>
    </w:p>
    <w:p w14:paraId="79FA55B0">
      <w:pPr>
        <w:spacing w:line="500" w:lineRule="exact"/>
        <w:ind w:firstLine="480" w:firstLineChars="200"/>
        <w:rPr>
          <w:rFonts w:hint="eastAsia" w:ascii="宋体" w:hAnsi="宋体" w:cs="宋体"/>
          <w:sz w:val="24"/>
        </w:rPr>
      </w:pPr>
      <w:r>
        <w:rPr>
          <w:rFonts w:hint="eastAsia" w:ascii="宋体" w:hAnsi="宋体" w:cs="宋体"/>
          <w:sz w:val="24"/>
          <w:highlight w:val="whit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EA8A61E">
      <w:pPr>
        <w:spacing w:line="500" w:lineRule="exact"/>
        <w:ind w:firstLine="480" w:firstLineChars="200"/>
        <w:rPr>
          <w:rFonts w:hint="eastAsia" w:ascii="宋体" w:hAnsi="宋体" w:cs="宋体"/>
          <w:sz w:val="24"/>
        </w:rPr>
      </w:pPr>
      <w:r>
        <w:rPr>
          <w:rFonts w:hint="eastAsia" w:ascii="宋体" w:hAnsi="宋体" w:cs="宋体"/>
          <w:sz w:val="24"/>
          <w:highlight w:val="white"/>
        </w:rPr>
        <w:t>（2）发包人应在监理人出具最终结清证书后的14天内，将应支付款支付给承包人。发包人不按期支付的，按第17.3.3（2）目的约定，将逾期付款违约金支付给承包人。</w:t>
      </w:r>
    </w:p>
    <w:p w14:paraId="262661EB">
      <w:pPr>
        <w:spacing w:line="500" w:lineRule="exact"/>
        <w:ind w:firstLine="480" w:firstLineChars="200"/>
        <w:rPr>
          <w:rFonts w:hint="eastAsia" w:ascii="宋体" w:hAnsi="宋体" w:cs="宋体"/>
          <w:sz w:val="24"/>
        </w:rPr>
      </w:pPr>
      <w:r>
        <w:rPr>
          <w:rFonts w:hint="eastAsia" w:ascii="宋体" w:hAnsi="宋体" w:cs="宋体"/>
          <w:sz w:val="24"/>
          <w:highlight w:val="white"/>
        </w:rPr>
        <w:t>（3）承包人对发包人签认的最终结清证书有异议的，按第24条的约定办理。</w:t>
      </w:r>
    </w:p>
    <w:p w14:paraId="2B633267">
      <w:pPr>
        <w:spacing w:line="500" w:lineRule="exact"/>
        <w:ind w:firstLine="420"/>
        <w:rPr>
          <w:rFonts w:hint="eastAsia" w:ascii="宋体" w:hAnsi="宋体" w:cs="宋体"/>
          <w:sz w:val="24"/>
        </w:rPr>
      </w:pPr>
      <w:r>
        <w:rPr>
          <w:rFonts w:hint="eastAsia" w:ascii="宋体" w:hAnsi="宋体" w:cs="宋体"/>
          <w:sz w:val="24"/>
          <w:highlight w:val="white"/>
        </w:rPr>
        <w:t>（4）最终结清付款涉及政府投资资金的，按第17.3.3（４）目的约定办理。</w:t>
      </w:r>
    </w:p>
    <w:p w14:paraId="4406E763">
      <w:pPr>
        <w:spacing w:line="500" w:lineRule="exact"/>
        <w:outlineLvl w:val="3"/>
        <w:rPr>
          <w:rFonts w:hint="eastAsia" w:ascii="宋体" w:hAnsi="宋体" w:cs="宋体"/>
          <w:sz w:val="24"/>
        </w:rPr>
      </w:pPr>
      <w:r>
        <w:rPr>
          <w:rFonts w:hint="eastAsia" w:ascii="宋体" w:hAnsi="宋体" w:cs="宋体"/>
          <w:sz w:val="24"/>
          <w:highlight w:val="white"/>
        </w:rPr>
        <w:t>17.7 竣工财务决算</w:t>
      </w:r>
    </w:p>
    <w:p w14:paraId="369BD2D4">
      <w:pPr>
        <w:spacing w:line="500" w:lineRule="exact"/>
        <w:rPr>
          <w:rFonts w:hint="eastAsia" w:ascii="宋体" w:hAnsi="宋体" w:cs="宋体"/>
          <w:sz w:val="24"/>
        </w:rPr>
      </w:pPr>
      <w:r>
        <w:rPr>
          <w:rFonts w:hint="eastAsia" w:ascii="宋体" w:hAnsi="宋体" w:cs="宋体"/>
          <w:sz w:val="24"/>
          <w:highlight w:val="white"/>
        </w:rPr>
        <w:t>　　发包人负责编制本工程项目竣工财务决算，承包人应按专用合同条款的约定提供竣工财务决算编制所需的相关材料。</w:t>
      </w:r>
    </w:p>
    <w:p w14:paraId="7C1FBA35">
      <w:pPr>
        <w:spacing w:line="500" w:lineRule="exact"/>
        <w:outlineLvl w:val="3"/>
        <w:rPr>
          <w:rFonts w:hint="eastAsia" w:ascii="宋体" w:hAnsi="宋体" w:cs="宋体"/>
          <w:sz w:val="24"/>
        </w:rPr>
      </w:pPr>
      <w:r>
        <w:rPr>
          <w:rFonts w:hint="eastAsia" w:ascii="宋体" w:hAnsi="宋体" w:cs="宋体"/>
          <w:sz w:val="24"/>
          <w:highlight w:val="white"/>
        </w:rPr>
        <w:t>17.8 竣工审计</w:t>
      </w:r>
    </w:p>
    <w:p w14:paraId="22CB3805">
      <w:pPr>
        <w:spacing w:line="500" w:lineRule="exact"/>
        <w:rPr>
          <w:rFonts w:hint="eastAsia" w:ascii="宋体" w:hAnsi="宋体" w:cs="宋体"/>
          <w:sz w:val="24"/>
        </w:rPr>
      </w:pPr>
      <w:r>
        <w:rPr>
          <w:rFonts w:hint="eastAsia" w:ascii="宋体" w:hAnsi="宋体" w:cs="宋体"/>
          <w:sz w:val="24"/>
          <w:highlight w:val="white"/>
        </w:rPr>
        <w:t>　　发包人负责完成本工程竣工审计手续，承包人应完成相关配合工作。</w:t>
      </w:r>
    </w:p>
    <w:p w14:paraId="747D5C2F">
      <w:pPr>
        <w:spacing w:line="500" w:lineRule="exact"/>
        <w:outlineLvl w:val="2"/>
        <w:rPr>
          <w:rFonts w:hint="eastAsia" w:ascii="宋体" w:hAnsi="宋体" w:cs="宋体"/>
          <w:sz w:val="24"/>
        </w:rPr>
      </w:pPr>
      <w:bookmarkStart w:id="102" w:name="_Toc256000125"/>
      <w:bookmarkStart w:id="103" w:name="_Toc149635777"/>
      <w:bookmarkStart w:id="104" w:name="_Toc149571664"/>
      <w:r>
        <w:rPr>
          <w:rFonts w:hint="eastAsia" w:ascii="宋体" w:hAnsi="宋体" w:cs="宋体"/>
          <w:sz w:val="24"/>
          <w:highlight w:val="white"/>
        </w:rPr>
        <w:t>18. 竣工验收(验收)</w:t>
      </w:r>
      <w:bookmarkEnd w:id="102"/>
      <w:bookmarkEnd w:id="103"/>
      <w:bookmarkEnd w:id="104"/>
    </w:p>
    <w:p w14:paraId="46480985">
      <w:pPr>
        <w:spacing w:line="500" w:lineRule="exact"/>
        <w:outlineLvl w:val="3"/>
        <w:rPr>
          <w:rFonts w:hint="eastAsia" w:ascii="宋体" w:hAnsi="宋体" w:cs="宋体"/>
          <w:sz w:val="24"/>
        </w:rPr>
      </w:pPr>
      <w:r>
        <w:rPr>
          <w:rFonts w:hint="eastAsia" w:ascii="宋体" w:hAnsi="宋体" w:cs="宋体"/>
          <w:sz w:val="24"/>
          <w:highlight w:val="white"/>
        </w:rPr>
        <w:t>18.1 验收工作分类</w:t>
      </w:r>
    </w:p>
    <w:p w14:paraId="2AAD0263">
      <w:pPr>
        <w:spacing w:line="500" w:lineRule="exact"/>
        <w:rPr>
          <w:rFonts w:hint="eastAsia" w:ascii="宋体" w:hAnsi="宋体" w:cs="宋体"/>
          <w:sz w:val="24"/>
        </w:rPr>
      </w:pPr>
      <w:r>
        <w:rPr>
          <w:rFonts w:hint="eastAsia" w:ascii="宋体" w:hAnsi="宋体" w:cs="宋体"/>
          <w:sz w:val="24"/>
          <w:highlight w:val="white"/>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65B99234">
      <w:pPr>
        <w:spacing w:line="500" w:lineRule="exact"/>
        <w:outlineLvl w:val="3"/>
        <w:rPr>
          <w:rFonts w:hint="eastAsia" w:ascii="宋体" w:hAnsi="宋体" w:cs="宋体"/>
          <w:sz w:val="24"/>
        </w:rPr>
      </w:pPr>
      <w:r>
        <w:rPr>
          <w:rFonts w:hint="eastAsia" w:ascii="宋体" w:hAnsi="宋体" w:cs="宋体"/>
          <w:sz w:val="24"/>
          <w:highlight w:val="white"/>
        </w:rPr>
        <w:t>18.2 分部工程验收</w:t>
      </w:r>
    </w:p>
    <w:p w14:paraId="432C2262">
      <w:pPr>
        <w:spacing w:line="500" w:lineRule="exact"/>
        <w:rPr>
          <w:rFonts w:hint="eastAsia" w:ascii="宋体" w:hAnsi="宋体" w:cs="宋体"/>
          <w:sz w:val="24"/>
        </w:rPr>
      </w:pPr>
      <w:r>
        <w:rPr>
          <w:rFonts w:hint="eastAsia" w:ascii="宋体" w:hAnsi="宋体" w:cs="宋体"/>
          <w:sz w:val="24"/>
          <w:highlight w:val="white"/>
        </w:rPr>
        <w:t>　　18.2.1 分部工程具备验收条件时，承包人应向发包人提交验收申请报告，发包人应在收到验收申请报告之日起10个工作日内决定是否同意进行验收。</w:t>
      </w:r>
    </w:p>
    <w:p w14:paraId="213D9574">
      <w:pPr>
        <w:spacing w:line="500" w:lineRule="exact"/>
        <w:rPr>
          <w:rFonts w:hint="eastAsia" w:ascii="宋体" w:hAnsi="宋体" w:cs="宋体"/>
          <w:sz w:val="24"/>
        </w:rPr>
      </w:pPr>
      <w:r>
        <w:rPr>
          <w:rFonts w:hint="eastAsia" w:ascii="宋体" w:hAnsi="宋体" w:cs="宋体"/>
          <w:sz w:val="24"/>
          <w:highlight w:val="white"/>
        </w:rPr>
        <w:t>　　18.2.2 除专用合同条款另有约定外，监理人主持分部工程验收，承包人应派符合条件的代表参加验收工作组。</w:t>
      </w:r>
    </w:p>
    <w:p w14:paraId="44CCFFB4">
      <w:pPr>
        <w:spacing w:line="500" w:lineRule="exact"/>
        <w:rPr>
          <w:rFonts w:hint="eastAsia" w:ascii="宋体" w:hAnsi="宋体" w:cs="宋体"/>
          <w:sz w:val="24"/>
        </w:rPr>
      </w:pPr>
      <w:r>
        <w:rPr>
          <w:rFonts w:hint="eastAsia" w:ascii="宋体" w:hAnsi="宋体" w:cs="宋体"/>
          <w:sz w:val="24"/>
          <w:highlight w:val="white"/>
        </w:rPr>
        <w:t>　　18.2.3 分部工程验收通过后，发包人向承包人发送分部工程验收鉴定书。承包人应及时完成分部工程验收鉴定书载明应由承包人处理的遗留问题。</w:t>
      </w:r>
    </w:p>
    <w:p w14:paraId="4A68DC1B">
      <w:pPr>
        <w:spacing w:line="500" w:lineRule="exact"/>
        <w:outlineLvl w:val="3"/>
        <w:rPr>
          <w:rFonts w:hint="eastAsia" w:ascii="宋体" w:hAnsi="宋体" w:cs="宋体"/>
          <w:sz w:val="24"/>
        </w:rPr>
      </w:pPr>
      <w:r>
        <w:rPr>
          <w:rFonts w:hint="eastAsia" w:ascii="宋体" w:hAnsi="宋体" w:cs="宋体"/>
          <w:sz w:val="24"/>
          <w:highlight w:val="white"/>
        </w:rPr>
        <w:t>18.3 单位工程验收</w:t>
      </w:r>
    </w:p>
    <w:p w14:paraId="7B435025">
      <w:pPr>
        <w:spacing w:line="500" w:lineRule="exact"/>
        <w:rPr>
          <w:rFonts w:hint="eastAsia" w:ascii="宋体" w:hAnsi="宋体" w:cs="宋体"/>
          <w:sz w:val="24"/>
        </w:rPr>
      </w:pPr>
      <w:r>
        <w:rPr>
          <w:rFonts w:hint="eastAsia" w:ascii="宋体" w:hAnsi="宋体" w:cs="宋体"/>
          <w:sz w:val="24"/>
          <w:highlight w:val="white"/>
        </w:rPr>
        <w:t>　　18.3.1 单位工程具备验收条件时，承包人应向发包人提交验收申请报告，发包人应在收到验收申请报告之日起10个工作日内决定是否同意进行验收。</w:t>
      </w:r>
    </w:p>
    <w:p w14:paraId="6BF35F68">
      <w:pPr>
        <w:spacing w:line="500" w:lineRule="exact"/>
        <w:rPr>
          <w:rFonts w:hint="eastAsia" w:ascii="宋体" w:hAnsi="宋体" w:cs="宋体"/>
          <w:sz w:val="24"/>
        </w:rPr>
      </w:pPr>
      <w:r>
        <w:rPr>
          <w:rFonts w:hint="eastAsia" w:ascii="宋体" w:hAnsi="宋体" w:cs="宋体"/>
          <w:sz w:val="24"/>
          <w:highlight w:val="white"/>
        </w:rPr>
        <w:t>　　18.3.2 发包人主持单位工程验收，承包人应派符合条件的代表参加验收工作组。</w:t>
      </w:r>
    </w:p>
    <w:p w14:paraId="2BD7DC43">
      <w:pPr>
        <w:spacing w:line="500" w:lineRule="exact"/>
        <w:rPr>
          <w:rFonts w:hint="eastAsia" w:ascii="宋体" w:hAnsi="宋体" w:cs="宋体"/>
          <w:sz w:val="24"/>
        </w:rPr>
      </w:pPr>
      <w:r>
        <w:rPr>
          <w:rFonts w:hint="eastAsia" w:ascii="宋体" w:hAnsi="宋体" w:cs="宋体"/>
          <w:sz w:val="24"/>
          <w:highlight w:val="white"/>
        </w:rPr>
        <w:t>　　18.3.3 单位工程验收通过后，发包人向承包人发送单位工程验收鉴定书。承包人应及时完成单位工程验收鉴定书载明应由承包人处理的遗留问题。</w:t>
      </w:r>
    </w:p>
    <w:p w14:paraId="2277AD5A">
      <w:pPr>
        <w:spacing w:line="500" w:lineRule="exact"/>
        <w:rPr>
          <w:rFonts w:hint="eastAsia" w:ascii="宋体" w:hAnsi="宋体" w:cs="宋体"/>
          <w:sz w:val="24"/>
        </w:rPr>
      </w:pPr>
      <w:r>
        <w:rPr>
          <w:rFonts w:hint="eastAsia" w:ascii="宋体" w:hAnsi="宋体" w:cs="宋体"/>
          <w:sz w:val="24"/>
          <w:highlight w:val="white"/>
        </w:rPr>
        <w:t>　　18.3.4 需提前投入使用的单位工程在专用合同条款中明确。</w:t>
      </w:r>
    </w:p>
    <w:p w14:paraId="5E2417B5">
      <w:pPr>
        <w:spacing w:line="500" w:lineRule="exact"/>
        <w:outlineLvl w:val="3"/>
        <w:rPr>
          <w:rFonts w:hint="eastAsia" w:ascii="宋体" w:hAnsi="宋体" w:cs="宋体"/>
          <w:sz w:val="24"/>
        </w:rPr>
      </w:pPr>
      <w:r>
        <w:rPr>
          <w:rFonts w:hint="eastAsia" w:ascii="宋体" w:hAnsi="宋体" w:cs="宋体"/>
          <w:sz w:val="24"/>
          <w:highlight w:val="white"/>
        </w:rPr>
        <w:t>18.4 合同工程完工验收</w:t>
      </w:r>
    </w:p>
    <w:p w14:paraId="3131A439">
      <w:pPr>
        <w:spacing w:line="500" w:lineRule="exact"/>
        <w:rPr>
          <w:rFonts w:hint="eastAsia" w:ascii="宋体" w:hAnsi="宋体" w:cs="宋体"/>
          <w:sz w:val="24"/>
        </w:rPr>
      </w:pPr>
      <w:r>
        <w:rPr>
          <w:rFonts w:hint="eastAsia" w:ascii="宋体" w:hAnsi="宋体" w:cs="宋体"/>
          <w:sz w:val="24"/>
          <w:highlight w:val="white"/>
        </w:rPr>
        <w:t>　　18.4.1 合同工程具备验收条件时，承包人应向发包人提交验收申请报告，发包人应在收到验收申请报告之日起20个工作日内决定是否同意进行验收。</w:t>
      </w:r>
    </w:p>
    <w:p w14:paraId="47E1DFE0">
      <w:pPr>
        <w:spacing w:line="500" w:lineRule="exact"/>
        <w:rPr>
          <w:rFonts w:hint="eastAsia" w:ascii="宋体" w:hAnsi="宋体" w:cs="宋体"/>
          <w:sz w:val="24"/>
        </w:rPr>
      </w:pPr>
      <w:r>
        <w:rPr>
          <w:rFonts w:hint="eastAsia" w:ascii="宋体" w:hAnsi="宋体" w:cs="宋体"/>
          <w:sz w:val="24"/>
          <w:highlight w:val="white"/>
        </w:rPr>
        <w:t>　　18.4.2 发包人主持合同工程完工验收，承包人应派代表参加验收工作组。</w:t>
      </w:r>
    </w:p>
    <w:p w14:paraId="61EFBDF7">
      <w:pPr>
        <w:spacing w:line="500" w:lineRule="exact"/>
        <w:rPr>
          <w:rFonts w:hint="eastAsia" w:ascii="宋体" w:hAnsi="宋体" w:cs="宋体"/>
          <w:sz w:val="24"/>
        </w:rPr>
      </w:pPr>
      <w:r>
        <w:rPr>
          <w:rFonts w:hint="eastAsia" w:ascii="宋体" w:hAnsi="宋体" w:cs="宋体"/>
          <w:sz w:val="24"/>
          <w:highlight w:val="white"/>
        </w:rPr>
        <w:t>　　18.4.3 合同工程完工验收通过后，发包人向承包人发送合同工程完工验收鉴定书。承包人应及时完成合同工程完工验收鉴定书载明应由承包人处理的遗留问题。</w:t>
      </w:r>
    </w:p>
    <w:p w14:paraId="5735D0FB">
      <w:pPr>
        <w:spacing w:line="500" w:lineRule="exact"/>
        <w:rPr>
          <w:rFonts w:hint="eastAsia" w:ascii="宋体" w:hAnsi="宋体" w:cs="宋体"/>
          <w:sz w:val="24"/>
        </w:rPr>
      </w:pPr>
      <w:r>
        <w:rPr>
          <w:rFonts w:hint="eastAsia" w:ascii="宋体" w:hAnsi="宋体" w:cs="宋体"/>
          <w:sz w:val="24"/>
          <w:highlight w:val="white"/>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5E36EB75">
      <w:pPr>
        <w:spacing w:line="500" w:lineRule="exact"/>
        <w:outlineLvl w:val="3"/>
        <w:rPr>
          <w:rFonts w:hint="eastAsia" w:ascii="宋体" w:hAnsi="宋体" w:cs="宋体"/>
          <w:sz w:val="24"/>
        </w:rPr>
      </w:pPr>
      <w:r>
        <w:rPr>
          <w:rFonts w:hint="eastAsia" w:ascii="宋体" w:hAnsi="宋体" w:cs="宋体"/>
          <w:sz w:val="24"/>
          <w:highlight w:val="white"/>
        </w:rPr>
        <w:t>18.5 阶段验收</w:t>
      </w:r>
    </w:p>
    <w:p w14:paraId="7BEBE10F">
      <w:pPr>
        <w:spacing w:line="500" w:lineRule="exact"/>
        <w:rPr>
          <w:rFonts w:hint="eastAsia" w:ascii="宋体" w:hAnsi="宋体" w:cs="宋体"/>
          <w:sz w:val="24"/>
        </w:rPr>
      </w:pPr>
      <w:r>
        <w:rPr>
          <w:rFonts w:hint="eastAsia" w:ascii="宋体" w:hAnsi="宋体" w:cs="宋体"/>
          <w:sz w:val="24"/>
          <w:highlight w:val="white"/>
        </w:rPr>
        <w:t>　　18.5.1 工程建设具备阶段验收条件时，发包人负责提出阶段验收申请报告。承包人应派代表参加阶段验收，并作为被验收单位在验收鉴定书上签字。阶段验收的具体类别在专用合同条款中约定。</w:t>
      </w:r>
    </w:p>
    <w:p w14:paraId="5448BAD5">
      <w:pPr>
        <w:spacing w:line="500" w:lineRule="exact"/>
        <w:rPr>
          <w:rFonts w:hint="eastAsia" w:ascii="宋体" w:hAnsi="宋体" w:cs="宋体"/>
          <w:sz w:val="24"/>
        </w:rPr>
      </w:pPr>
      <w:r>
        <w:rPr>
          <w:rFonts w:hint="eastAsia" w:ascii="宋体" w:hAnsi="宋体" w:cs="宋体"/>
          <w:sz w:val="24"/>
          <w:highlight w:val="white"/>
        </w:rPr>
        <w:t>　　18.5.2 承包人应及时完成阶段验收鉴定书载明应由承包人处理的遗留问题。</w:t>
      </w:r>
    </w:p>
    <w:p w14:paraId="1CBB96AD">
      <w:pPr>
        <w:spacing w:line="500" w:lineRule="exact"/>
        <w:outlineLvl w:val="3"/>
        <w:rPr>
          <w:rFonts w:hint="eastAsia" w:ascii="宋体" w:hAnsi="宋体" w:cs="宋体"/>
          <w:sz w:val="24"/>
        </w:rPr>
      </w:pPr>
      <w:r>
        <w:rPr>
          <w:rFonts w:hint="eastAsia" w:ascii="宋体" w:hAnsi="宋体" w:cs="宋体"/>
          <w:sz w:val="24"/>
          <w:highlight w:val="white"/>
        </w:rPr>
        <w:t>18.6 专项验收</w:t>
      </w:r>
    </w:p>
    <w:p w14:paraId="44DF5A94">
      <w:pPr>
        <w:spacing w:line="500" w:lineRule="exact"/>
        <w:rPr>
          <w:rFonts w:hint="eastAsia" w:ascii="宋体" w:hAnsi="宋体" w:cs="宋体"/>
          <w:sz w:val="24"/>
        </w:rPr>
      </w:pPr>
      <w:r>
        <w:rPr>
          <w:rFonts w:hint="eastAsia" w:ascii="宋体" w:hAnsi="宋体" w:cs="宋体"/>
          <w:sz w:val="24"/>
          <w:highlight w:val="white"/>
        </w:rPr>
        <w:t>　　18.6.1 发包人负责提出专项验收申请报告。承包人应按专项验收的相关规定参加专项验收。专项验收的具体类别在专用合同条款中约定。</w:t>
      </w:r>
    </w:p>
    <w:p w14:paraId="74458C3C">
      <w:pPr>
        <w:spacing w:line="500" w:lineRule="exact"/>
        <w:rPr>
          <w:rFonts w:hint="eastAsia" w:ascii="宋体" w:hAnsi="宋体" w:cs="宋体"/>
          <w:sz w:val="24"/>
        </w:rPr>
      </w:pPr>
      <w:r>
        <w:rPr>
          <w:rFonts w:hint="eastAsia" w:ascii="宋体" w:hAnsi="宋体" w:cs="宋体"/>
          <w:sz w:val="24"/>
          <w:highlight w:val="white"/>
        </w:rPr>
        <w:t>　　18.6.2 承包人应及时完成专项验收成果性文件载明应由承包人处理的遗留问题。</w:t>
      </w:r>
    </w:p>
    <w:p w14:paraId="57A8236D">
      <w:pPr>
        <w:spacing w:line="500" w:lineRule="exact"/>
        <w:outlineLvl w:val="3"/>
        <w:rPr>
          <w:rFonts w:hint="eastAsia" w:ascii="宋体" w:hAnsi="宋体" w:cs="宋体"/>
          <w:sz w:val="24"/>
        </w:rPr>
      </w:pPr>
      <w:r>
        <w:rPr>
          <w:rFonts w:hint="eastAsia" w:ascii="宋体" w:hAnsi="宋体" w:cs="宋体"/>
          <w:sz w:val="24"/>
          <w:highlight w:val="white"/>
        </w:rPr>
        <w:t>18.7 竣工验收</w:t>
      </w:r>
    </w:p>
    <w:p w14:paraId="0E69CE82">
      <w:pPr>
        <w:spacing w:line="500" w:lineRule="exact"/>
        <w:rPr>
          <w:rFonts w:hint="eastAsia" w:ascii="宋体" w:hAnsi="宋体" w:cs="宋体"/>
          <w:sz w:val="24"/>
        </w:rPr>
      </w:pPr>
      <w:r>
        <w:rPr>
          <w:rFonts w:hint="eastAsia" w:ascii="宋体" w:hAnsi="宋体" w:cs="宋体"/>
          <w:sz w:val="24"/>
          <w:highlight w:val="white"/>
        </w:rPr>
        <w:t>　　18.7.1 申请竣工验收前，发包人组织竣工验收自查，承包人应派代表参加。</w:t>
      </w:r>
    </w:p>
    <w:p w14:paraId="4754729D">
      <w:pPr>
        <w:spacing w:line="500" w:lineRule="exact"/>
        <w:rPr>
          <w:rFonts w:hint="eastAsia" w:ascii="宋体" w:hAnsi="宋体" w:cs="宋体"/>
          <w:sz w:val="24"/>
        </w:rPr>
      </w:pPr>
      <w:r>
        <w:rPr>
          <w:rFonts w:hint="eastAsia" w:ascii="宋体" w:hAnsi="宋体" w:cs="宋体"/>
          <w:sz w:val="24"/>
          <w:highlight w:val="white"/>
        </w:rPr>
        <w:t>　　18.7.2 竣工验收分为竣工技术预验收和竣工验收两个阶段。发包人应通知承包人派代表参加技术预验收和竣工验收。</w:t>
      </w:r>
    </w:p>
    <w:p w14:paraId="762B5654">
      <w:pPr>
        <w:spacing w:line="500" w:lineRule="exact"/>
        <w:rPr>
          <w:rFonts w:hint="eastAsia" w:ascii="宋体" w:hAnsi="宋体" w:cs="宋体"/>
          <w:sz w:val="24"/>
        </w:rPr>
      </w:pPr>
      <w:r>
        <w:rPr>
          <w:rFonts w:hint="eastAsia" w:ascii="宋体" w:hAnsi="宋体" w:cs="宋体"/>
          <w:sz w:val="24"/>
          <w:highlight w:val="white"/>
        </w:rPr>
        <w:t>　　18.7.3 专用合同条款约定工程需要进行技术鉴定的，承包人应提交有关资料并完成配合工作。</w:t>
      </w:r>
    </w:p>
    <w:p w14:paraId="4C46013A">
      <w:pPr>
        <w:spacing w:line="500" w:lineRule="exact"/>
        <w:rPr>
          <w:rFonts w:hint="eastAsia" w:ascii="宋体" w:hAnsi="宋体" w:cs="宋体"/>
          <w:sz w:val="24"/>
        </w:rPr>
      </w:pPr>
      <w:r>
        <w:rPr>
          <w:rFonts w:hint="eastAsia" w:ascii="宋体" w:hAnsi="宋体" w:cs="宋体"/>
          <w:sz w:val="24"/>
          <w:highlight w:val="white"/>
        </w:rPr>
        <w:t>　　18.7.4 竣工验收需要进行质量检测的，所需费用由发包人承担，但因承包人原因造成质量不合格的除外。</w:t>
      </w:r>
    </w:p>
    <w:p w14:paraId="381C2C69">
      <w:pPr>
        <w:spacing w:line="500" w:lineRule="exact"/>
        <w:rPr>
          <w:rFonts w:hint="eastAsia" w:ascii="宋体" w:hAnsi="宋体" w:cs="宋体"/>
          <w:sz w:val="24"/>
        </w:rPr>
      </w:pPr>
      <w:r>
        <w:rPr>
          <w:rFonts w:hint="eastAsia" w:ascii="宋体" w:hAnsi="宋体" w:cs="宋体"/>
          <w:sz w:val="24"/>
          <w:highlight w:val="white"/>
        </w:rPr>
        <w:t>　　18.7.5 工程质量保修期满以及竣工验收遗留问题和尾工处理完成并通过验收后，发包人负责将处理情况和验收成果报送竣工验收主持单位，申请领取工程竣工证书，并发送承包人。</w:t>
      </w:r>
    </w:p>
    <w:p w14:paraId="170D8AF4">
      <w:pPr>
        <w:spacing w:line="500" w:lineRule="exact"/>
        <w:outlineLvl w:val="3"/>
        <w:rPr>
          <w:rFonts w:hint="eastAsia" w:ascii="宋体" w:hAnsi="宋体" w:cs="宋体"/>
          <w:sz w:val="24"/>
        </w:rPr>
      </w:pPr>
      <w:r>
        <w:rPr>
          <w:rFonts w:hint="eastAsia" w:ascii="宋体" w:hAnsi="宋体" w:cs="宋体"/>
          <w:sz w:val="24"/>
          <w:highlight w:val="white"/>
        </w:rPr>
        <w:t>18.8 施工期运行</w:t>
      </w:r>
    </w:p>
    <w:p w14:paraId="25256614">
      <w:pPr>
        <w:spacing w:line="500" w:lineRule="exact"/>
        <w:rPr>
          <w:rFonts w:hint="eastAsia" w:ascii="宋体" w:hAnsi="宋体" w:cs="宋体"/>
          <w:sz w:val="24"/>
        </w:rPr>
      </w:pPr>
      <w:r>
        <w:rPr>
          <w:rFonts w:hint="eastAsia" w:ascii="宋体" w:hAnsi="宋体" w:cs="宋体"/>
          <w:sz w:val="24"/>
          <w:highlight w:val="white"/>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1B75C600">
      <w:pPr>
        <w:spacing w:line="500" w:lineRule="exact"/>
        <w:rPr>
          <w:rFonts w:hint="eastAsia" w:ascii="宋体" w:hAnsi="宋体" w:cs="宋体"/>
          <w:sz w:val="24"/>
        </w:rPr>
      </w:pPr>
      <w:r>
        <w:rPr>
          <w:rFonts w:hint="eastAsia" w:ascii="宋体" w:hAnsi="宋体" w:cs="宋体"/>
          <w:sz w:val="24"/>
          <w:highlight w:val="white"/>
        </w:rPr>
        <w:t>　　18.8.2 在施工期运行中发现工程或工程设备损坏或存在缺陷的，由承包人按第19.2款约定进行修复。</w:t>
      </w:r>
    </w:p>
    <w:p w14:paraId="2E5DEF6F">
      <w:pPr>
        <w:spacing w:line="500" w:lineRule="exact"/>
        <w:outlineLvl w:val="3"/>
        <w:rPr>
          <w:rFonts w:hint="eastAsia" w:ascii="宋体" w:hAnsi="宋体" w:cs="宋体"/>
          <w:sz w:val="24"/>
        </w:rPr>
      </w:pPr>
      <w:r>
        <w:rPr>
          <w:rFonts w:hint="eastAsia" w:ascii="宋体" w:hAnsi="宋体" w:cs="宋体"/>
          <w:sz w:val="24"/>
          <w:highlight w:val="white"/>
        </w:rPr>
        <w:t>18.9 试运行</w:t>
      </w:r>
    </w:p>
    <w:p w14:paraId="51B0C568">
      <w:pPr>
        <w:spacing w:line="500" w:lineRule="exact"/>
        <w:rPr>
          <w:rFonts w:hint="eastAsia" w:ascii="宋体" w:hAnsi="宋体" w:cs="宋体"/>
          <w:sz w:val="24"/>
        </w:rPr>
      </w:pPr>
      <w:r>
        <w:rPr>
          <w:rFonts w:hint="eastAsia" w:ascii="宋体" w:hAnsi="宋体" w:cs="宋体"/>
          <w:sz w:val="24"/>
          <w:highlight w:val="white"/>
        </w:rPr>
        <w:t>　　18.9.1 除专用合同条款另有约定外，承包人应按规定进行工程及工程设备试运行，负责提供试运行所需的人员、器材和必要的条件，并承担全部试运行费用。</w:t>
      </w:r>
    </w:p>
    <w:p w14:paraId="5E8C330E">
      <w:pPr>
        <w:spacing w:line="500" w:lineRule="exact"/>
        <w:rPr>
          <w:rFonts w:hint="eastAsia" w:ascii="宋体" w:hAnsi="宋体" w:cs="宋体"/>
          <w:sz w:val="24"/>
        </w:rPr>
      </w:pPr>
      <w:r>
        <w:rPr>
          <w:rFonts w:hint="eastAsia" w:ascii="宋体" w:hAnsi="宋体" w:cs="宋体"/>
          <w:sz w:val="24"/>
          <w:highlight w:val="white"/>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AA34289">
      <w:pPr>
        <w:spacing w:line="500" w:lineRule="exact"/>
        <w:outlineLvl w:val="3"/>
        <w:rPr>
          <w:rFonts w:hint="eastAsia" w:ascii="宋体" w:hAnsi="宋体" w:cs="宋体"/>
          <w:sz w:val="24"/>
        </w:rPr>
      </w:pPr>
      <w:r>
        <w:rPr>
          <w:rFonts w:hint="eastAsia" w:ascii="宋体" w:hAnsi="宋体" w:cs="宋体"/>
          <w:sz w:val="24"/>
          <w:highlight w:val="white"/>
        </w:rPr>
        <w:t>18.10 竣工(完工)清场</w:t>
      </w:r>
    </w:p>
    <w:p w14:paraId="31961FDB">
      <w:pPr>
        <w:spacing w:line="500" w:lineRule="exact"/>
        <w:rPr>
          <w:rFonts w:hint="eastAsia" w:ascii="宋体" w:hAnsi="宋体" w:cs="宋体"/>
          <w:sz w:val="24"/>
        </w:rPr>
      </w:pPr>
      <w:r>
        <w:rPr>
          <w:rFonts w:hint="eastAsia" w:ascii="宋体" w:hAnsi="宋体" w:cs="宋体"/>
          <w:sz w:val="24"/>
          <w:highlight w:val="white"/>
        </w:rPr>
        <w:t>　　18.10.1 工程项目竣工(完工)清场的工作范围和内容在技术标准和要求(合同技术条款)中约定。</w:t>
      </w:r>
    </w:p>
    <w:p w14:paraId="209D3022">
      <w:pPr>
        <w:spacing w:line="500" w:lineRule="exact"/>
        <w:rPr>
          <w:rFonts w:hint="eastAsia" w:ascii="宋体" w:hAnsi="宋体" w:cs="宋体"/>
          <w:sz w:val="24"/>
        </w:rPr>
      </w:pPr>
      <w:r>
        <w:rPr>
          <w:rFonts w:hint="eastAsia" w:ascii="宋体" w:hAnsi="宋体" w:cs="宋体"/>
          <w:sz w:val="24"/>
          <w:highlight w:val="white"/>
        </w:rPr>
        <w:t>　　18.10.2 承包人未按监理人的要求恢复临时占地，或者场地清理未达到合同约定的，发包人有权委托其它人恢复或清理，所发生的金额从拟支付给承包人的款项中扣除。</w:t>
      </w:r>
    </w:p>
    <w:p w14:paraId="02B0EBF7">
      <w:pPr>
        <w:spacing w:line="500" w:lineRule="exact"/>
        <w:outlineLvl w:val="3"/>
        <w:rPr>
          <w:rFonts w:hint="eastAsia" w:ascii="宋体" w:hAnsi="宋体" w:cs="宋体"/>
          <w:sz w:val="24"/>
        </w:rPr>
      </w:pPr>
      <w:r>
        <w:rPr>
          <w:rFonts w:hint="eastAsia" w:ascii="宋体" w:hAnsi="宋体" w:cs="宋体"/>
          <w:sz w:val="24"/>
          <w:highlight w:val="white"/>
        </w:rPr>
        <w:t>18.11 施工队伍的撤离</w:t>
      </w:r>
    </w:p>
    <w:p w14:paraId="3C7AB451">
      <w:pPr>
        <w:spacing w:line="500" w:lineRule="exact"/>
        <w:rPr>
          <w:rFonts w:hint="eastAsia" w:ascii="宋体" w:hAnsi="宋体" w:cs="宋体"/>
          <w:sz w:val="24"/>
        </w:rPr>
      </w:pPr>
      <w:r>
        <w:rPr>
          <w:rFonts w:hint="eastAsia" w:ascii="宋体" w:hAnsi="宋体" w:cs="宋体"/>
          <w:sz w:val="24"/>
          <w:highlight w:val="white"/>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6FBB6F9B">
      <w:pPr>
        <w:spacing w:line="500" w:lineRule="exact"/>
        <w:outlineLvl w:val="2"/>
        <w:rPr>
          <w:rFonts w:hint="eastAsia" w:ascii="宋体" w:hAnsi="宋体" w:cs="宋体"/>
          <w:sz w:val="24"/>
        </w:rPr>
      </w:pPr>
      <w:bookmarkStart w:id="105" w:name="_Toc256000126"/>
      <w:bookmarkStart w:id="106" w:name="_Toc149635778"/>
      <w:bookmarkStart w:id="107" w:name="_Toc149571665"/>
      <w:r>
        <w:rPr>
          <w:rFonts w:hint="eastAsia" w:ascii="宋体" w:hAnsi="宋体" w:cs="宋体"/>
          <w:sz w:val="24"/>
          <w:highlight w:val="white"/>
        </w:rPr>
        <w:t>19. 缺陷责任与保修责任</w:t>
      </w:r>
      <w:bookmarkEnd w:id="105"/>
      <w:bookmarkEnd w:id="106"/>
      <w:bookmarkEnd w:id="107"/>
    </w:p>
    <w:p w14:paraId="24671098">
      <w:pPr>
        <w:spacing w:line="500" w:lineRule="exact"/>
        <w:outlineLvl w:val="3"/>
        <w:rPr>
          <w:rFonts w:hint="eastAsia" w:ascii="宋体" w:hAnsi="宋体" w:cs="宋体"/>
          <w:sz w:val="24"/>
        </w:rPr>
      </w:pPr>
      <w:r>
        <w:rPr>
          <w:rFonts w:hint="eastAsia" w:ascii="宋体" w:hAnsi="宋体" w:cs="宋体"/>
          <w:sz w:val="24"/>
          <w:highlight w:val="white"/>
        </w:rPr>
        <w:t>19.1 缺陷责任期(工程质量保修期)的起算时间</w:t>
      </w:r>
    </w:p>
    <w:p w14:paraId="696D9823">
      <w:pPr>
        <w:spacing w:line="500" w:lineRule="exact"/>
        <w:ind w:firstLine="420"/>
        <w:rPr>
          <w:rFonts w:hint="eastAsia" w:ascii="宋体" w:hAnsi="宋体" w:cs="宋体"/>
          <w:sz w:val="24"/>
        </w:rPr>
      </w:pPr>
      <w:r>
        <w:rPr>
          <w:rFonts w:hint="eastAsia" w:ascii="宋体" w:hAnsi="宋体" w:cs="宋体"/>
          <w:sz w:val="24"/>
          <w:highlight w:val="whit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029F76AB">
      <w:pPr>
        <w:spacing w:line="500" w:lineRule="exact"/>
        <w:outlineLvl w:val="3"/>
        <w:rPr>
          <w:rFonts w:hint="eastAsia" w:ascii="宋体" w:hAnsi="宋体" w:cs="宋体"/>
          <w:sz w:val="24"/>
        </w:rPr>
      </w:pPr>
      <w:r>
        <w:rPr>
          <w:rFonts w:hint="eastAsia" w:ascii="宋体" w:hAnsi="宋体" w:cs="宋体"/>
          <w:sz w:val="24"/>
          <w:highlight w:val="white"/>
        </w:rPr>
        <w:t>19.2 缺陷责任</w:t>
      </w:r>
    </w:p>
    <w:p w14:paraId="4630830B">
      <w:pPr>
        <w:spacing w:line="500" w:lineRule="exact"/>
        <w:ind w:firstLine="480" w:firstLineChars="200"/>
        <w:rPr>
          <w:rFonts w:hint="eastAsia" w:ascii="宋体" w:hAnsi="宋体" w:cs="宋体"/>
          <w:sz w:val="24"/>
        </w:rPr>
      </w:pPr>
      <w:r>
        <w:rPr>
          <w:rFonts w:hint="eastAsia" w:ascii="宋体" w:hAnsi="宋体" w:cs="宋体"/>
          <w:sz w:val="24"/>
          <w:highlight w:val="white"/>
        </w:rPr>
        <w:t>19.2.1 承包人应在缺陷责任期内对已交付使用的工程承担缺陷责任。</w:t>
      </w:r>
    </w:p>
    <w:p w14:paraId="79EAEAA9">
      <w:pPr>
        <w:spacing w:line="500" w:lineRule="exact"/>
        <w:ind w:firstLine="480" w:firstLineChars="200"/>
        <w:rPr>
          <w:rFonts w:hint="eastAsia" w:ascii="宋体" w:hAnsi="宋体" w:cs="宋体"/>
          <w:sz w:val="24"/>
        </w:rPr>
      </w:pPr>
      <w:r>
        <w:rPr>
          <w:rFonts w:hint="eastAsia" w:ascii="宋体" w:hAnsi="宋体" w:cs="宋体"/>
          <w:sz w:val="24"/>
          <w:highlight w:val="whit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AE76A08">
      <w:pPr>
        <w:spacing w:line="500" w:lineRule="exact"/>
        <w:ind w:firstLine="480" w:firstLineChars="200"/>
        <w:rPr>
          <w:rFonts w:hint="eastAsia" w:ascii="宋体" w:hAnsi="宋体" w:cs="宋体"/>
          <w:sz w:val="24"/>
        </w:rPr>
      </w:pPr>
      <w:r>
        <w:rPr>
          <w:rFonts w:hint="eastAsia" w:ascii="宋体" w:hAnsi="宋体" w:cs="宋体"/>
          <w:sz w:val="24"/>
          <w:highlight w:val="whit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92DB6CE">
      <w:pPr>
        <w:spacing w:line="500" w:lineRule="exact"/>
        <w:ind w:firstLine="480" w:firstLineChars="200"/>
        <w:rPr>
          <w:rFonts w:hint="eastAsia" w:ascii="宋体" w:hAnsi="宋体" w:cs="宋体"/>
          <w:sz w:val="24"/>
        </w:rPr>
      </w:pPr>
      <w:r>
        <w:rPr>
          <w:rFonts w:hint="eastAsia" w:ascii="宋体" w:hAnsi="宋体" w:cs="宋体"/>
          <w:sz w:val="24"/>
          <w:highlight w:val="white"/>
        </w:rPr>
        <w:t>19.2.4 承包人不能在合理时间内修复缺陷的，发包人可自行修复或委托其他人修复，所需费用和利润的承担，按第19.2.3项约定办理。</w:t>
      </w:r>
    </w:p>
    <w:p w14:paraId="59DFD968">
      <w:pPr>
        <w:spacing w:line="500" w:lineRule="exact"/>
        <w:outlineLvl w:val="3"/>
        <w:rPr>
          <w:rFonts w:hint="eastAsia" w:ascii="宋体" w:hAnsi="宋体" w:cs="宋体"/>
          <w:sz w:val="24"/>
        </w:rPr>
      </w:pPr>
      <w:r>
        <w:rPr>
          <w:rFonts w:hint="eastAsia" w:ascii="宋体" w:hAnsi="宋体" w:cs="宋体"/>
          <w:sz w:val="24"/>
          <w:highlight w:val="white"/>
        </w:rPr>
        <w:t>19.3 缺陷责任期的延长</w:t>
      </w:r>
    </w:p>
    <w:p w14:paraId="53535D88">
      <w:pPr>
        <w:spacing w:line="500" w:lineRule="exact"/>
        <w:ind w:firstLine="480" w:firstLineChars="200"/>
        <w:rPr>
          <w:rFonts w:hint="eastAsia" w:ascii="宋体" w:hAnsi="宋体" w:cs="宋体"/>
          <w:sz w:val="24"/>
        </w:rPr>
      </w:pPr>
      <w:r>
        <w:rPr>
          <w:rFonts w:hint="eastAsia" w:ascii="宋体" w:hAnsi="宋体" w:cs="宋体"/>
          <w:sz w:val="24"/>
          <w:highlight w:val="white"/>
        </w:rPr>
        <w:t>由于承包人原因造成某项缺陷或损坏使某项工程或工程设备不能按原定目标使用而需要再次检查、检验和修复的，发包人有权要求承包人相应延长缺陷责任期，但缺陷责任期最长不超过2年。</w:t>
      </w:r>
    </w:p>
    <w:p w14:paraId="4D8DA8B3">
      <w:pPr>
        <w:spacing w:line="500" w:lineRule="exact"/>
        <w:outlineLvl w:val="3"/>
        <w:rPr>
          <w:rFonts w:hint="eastAsia" w:ascii="宋体" w:hAnsi="宋体" w:cs="宋体"/>
          <w:sz w:val="24"/>
        </w:rPr>
      </w:pPr>
      <w:r>
        <w:rPr>
          <w:rFonts w:hint="eastAsia" w:ascii="宋体" w:hAnsi="宋体" w:cs="宋体"/>
          <w:sz w:val="24"/>
          <w:highlight w:val="white"/>
        </w:rPr>
        <w:t>19.4 进一步试验和试运行</w:t>
      </w:r>
    </w:p>
    <w:p w14:paraId="1D5D79F3">
      <w:pPr>
        <w:spacing w:line="500" w:lineRule="exact"/>
        <w:ind w:firstLine="480" w:firstLineChars="200"/>
        <w:rPr>
          <w:rFonts w:hint="eastAsia" w:ascii="宋体" w:hAnsi="宋体" w:cs="宋体"/>
          <w:sz w:val="24"/>
        </w:rPr>
      </w:pPr>
      <w:r>
        <w:rPr>
          <w:rFonts w:hint="eastAsia" w:ascii="宋体" w:hAnsi="宋体" w:cs="宋体"/>
          <w:sz w:val="24"/>
          <w:highlight w:val="white"/>
        </w:rPr>
        <w:t>任何一项缺陷或损坏修复后，经检查证明其影响了工程或工程设备的使用性能，承包人应重新进行合同约定的试验和试运行，试验和试运行的全部费用应由责任方承担。</w:t>
      </w:r>
    </w:p>
    <w:p w14:paraId="04671B1C">
      <w:pPr>
        <w:spacing w:line="500" w:lineRule="exact"/>
        <w:outlineLvl w:val="3"/>
        <w:rPr>
          <w:rFonts w:hint="eastAsia" w:ascii="宋体" w:hAnsi="宋体" w:cs="宋体"/>
          <w:sz w:val="24"/>
        </w:rPr>
      </w:pPr>
      <w:r>
        <w:rPr>
          <w:rFonts w:hint="eastAsia" w:ascii="宋体" w:hAnsi="宋体" w:cs="宋体"/>
          <w:sz w:val="24"/>
          <w:highlight w:val="white"/>
        </w:rPr>
        <w:t>19.5 承包人的进入权</w:t>
      </w:r>
    </w:p>
    <w:p w14:paraId="342E5A87">
      <w:pPr>
        <w:spacing w:line="500" w:lineRule="exact"/>
        <w:rPr>
          <w:rFonts w:hint="eastAsia" w:ascii="宋体" w:hAnsi="宋体" w:cs="宋体"/>
          <w:sz w:val="24"/>
        </w:rPr>
      </w:pPr>
      <w:r>
        <w:rPr>
          <w:rFonts w:hint="eastAsia" w:ascii="宋体" w:hAnsi="宋体" w:cs="宋体"/>
          <w:sz w:val="24"/>
          <w:highlight w:val="white"/>
        </w:rPr>
        <w:t>缺陷责任期内承包人为缺陷修复工作需要，有权进入工程现场，但应遵守发包人的保安和保密规定。</w:t>
      </w:r>
    </w:p>
    <w:p w14:paraId="51E5D535">
      <w:pPr>
        <w:spacing w:line="500" w:lineRule="exact"/>
        <w:outlineLvl w:val="3"/>
        <w:rPr>
          <w:rFonts w:hint="eastAsia" w:ascii="宋体" w:hAnsi="宋体" w:cs="宋体"/>
          <w:sz w:val="24"/>
        </w:rPr>
      </w:pPr>
      <w:r>
        <w:rPr>
          <w:rFonts w:hint="eastAsia" w:ascii="宋体" w:hAnsi="宋体" w:cs="宋体"/>
          <w:sz w:val="24"/>
          <w:highlight w:val="white"/>
        </w:rPr>
        <w:t>19.6 缺陷责任期终止证书(工程质量保修责任终止证书)</w:t>
      </w:r>
    </w:p>
    <w:p w14:paraId="15DB7AB4">
      <w:pPr>
        <w:spacing w:line="500" w:lineRule="exact"/>
        <w:rPr>
          <w:rFonts w:hint="eastAsia" w:ascii="宋体" w:hAnsi="宋体" w:cs="宋体"/>
          <w:sz w:val="24"/>
        </w:rPr>
      </w:pPr>
      <w:r>
        <w:rPr>
          <w:rFonts w:hint="eastAsia" w:ascii="宋体" w:hAnsi="宋体" w:cs="宋体"/>
          <w:sz w:val="24"/>
          <w:highlight w:val="white"/>
        </w:rPr>
        <w:t>　　合同工程完工验收或投入使用验收后，发包人与承包人应办理工程交接手续，承包人应向发包人递交工程质量保修书。</w:t>
      </w:r>
    </w:p>
    <w:p w14:paraId="0AC31798">
      <w:pPr>
        <w:spacing w:line="500" w:lineRule="exact"/>
        <w:ind w:firstLine="420"/>
        <w:rPr>
          <w:rFonts w:hint="eastAsia" w:ascii="宋体" w:hAnsi="宋体" w:cs="宋体"/>
          <w:sz w:val="24"/>
        </w:rPr>
      </w:pPr>
      <w:r>
        <w:rPr>
          <w:rFonts w:hint="eastAsia" w:ascii="宋体" w:hAnsi="宋体" w:cs="宋体"/>
          <w:sz w:val="24"/>
          <w:highlight w:val="white"/>
        </w:rPr>
        <w:t>缺陷责任期(工程质量保修期)满后30个工作日内，发包人应向承包人颁发工程质量保修责任终止证书，并退还剩余的质量保证金，但保修责任范围内的质量缺陷未处理完成的应除外。</w:t>
      </w:r>
    </w:p>
    <w:p w14:paraId="25EAABEA">
      <w:pPr>
        <w:spacing w:line="500" w:lineRule="exact"/>
        <w:outlineLvl w:val="3"/>
        <w:rPr>
          <w:rFonts w:hint="eastAsia" w:ascii="宋体" w:hAnsi="宋体" w:cs="宋体"/>
          <w:sz w:val="24"/>
        </w:rPr>
      </w:pPr>
      <w:r>
        <w:rPr>
          <w:rFonts w:hint="eastAsia" w:ascii="宋体" w:hAnsi="宋体" w:cs="宋体"/>
          <w:sz w:val="24"/>
          <w:highlight w:val="white"/>
        </w:rPr>
        <w:t>19.7 保修责任</w:t>
      </w:r>
    </w:p>
    <w:p w14:paraId="27806B79">
      <w:pPr>
        <w:spacing w:line="500" w:lineRule="exact"/>
        <w:ind w:firstLine="420"/>
        <w:rPr>
          <w:rFonts w:hint="eastAsia" w:ascii="宋体" w:hAnsi="宋体" w:cs="宋体"/>
          <w:sz w:val="24"/>
        </w:rPr>
      </w:pPr>
      <w:r>
        <w:rPr>
          <w:rFonts w:hint="eastAsia" w:ascii="宋体" w:hAnsi="宋体" w:cs="宋体"/>
          <w:sz w:val="24"/>
          <w:highlight w:val="whit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15BED7CF">
      <w:pPr>
        <w:spacing w:line="500" w:lineRule="exact"/>
        <w:outlineLvl w:val="2"/>
        <w:rPr>
          <w:rFonts w:hint="eastAsia" w:ascii="宋体" w:hAnsi="宋体" w:cs="宋体"/>
          <w:sz w:val="24"/>
        </w:rPr>
      </w:pPr>
      <w:bookmarkStart w:id="108" w:name="_Toc149635779"/>
      <w:bookmarkStart w:id="109" w:name="_Toc256000127"/>
      <w:bookmarkStart w:id="110" w:name="_Toc149571666"/>
      <w:r>
        <w:rPr>
          <w:rFonts w:hint="eastAsia" w:ascii="宋体" w:hAnsi="宋体" w:cs="宋体"/>
          <w:sz w:val="24"/>
          <w:highlight w:val="white"/>
        </w:rPr>
        <w:t>20. 保险</w:t>
      </w:r>
      <w:bookmarkEnd w:id="108"/>
      <w:bookmarkEnd w:id="109"/>
      <w:bookmarkEnd w:id="110"/>
    </w:p>
    <w:p w14:paraId="1A31BD6C">
      <w:pPr>
        <w:spacing w:line="500" w:lineRule="exact"/>
        <w:outlineLvl w:val="3"/>
        <w:rPr>
          <w:rFonts w:hint="eastAsia" w:ascii="宋体" w:hAnsi="宋体" w:cs="宋体"/>
          <w:sz w:val="24"/>
        </w:rPr>
      </w:pPr>
      <w:r>
        <w:rPr>
          <w:rFonts w:hint="eastAsia" w:ascii="宋体" w:hAnsi="宋体" w:cs="宋体"/>
          <w:sz w:val="24"/>
          <w:highlight w:val="white"/>
        </w:rPr>
        <w:t>20.1 工程保险</w:t>
      </w:r>
    </w:p>
    <w:p w14:paraId="708E132B">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182B401D">
      <w:pPr>
        <w:spacing w:line="500" w:lineRule="exact"/>
        <w:outlineLvl w:val="3"/>
        <w:rPr>
          <w:rFonts w:hint="eastAsia" w:ascii="宋体" w:hAnsi="宋体" w:cs="宋体"/>
          <w:sz w:val="24"/>
        </w:rPr>
      </w:pPr>
      <w:r>
        <w:rPr>
          <w:rFonts w:hint="eastAsia" w:ascii="宋体" w:hAnsi="宋体" w:cs="宋体"/>
          <w:sz w:val="24"/>
          <w:highlight w:val="white"/>
        </w:rPr>
        <w:t>20.2 人员工伤事故的保险</w:t>
      </w:r>
    </w:p>
    <w:p w14:paraId="4B43765A">
      <w:pPr>
        <w:spacing w:line="500" w:lineRule="exact"/>
        <w:ind w:firstLine="480" w:firstLineChars="200"/>
        <w:rPr>
          <w:rFonts w:hint="eastAsia" w:ascii="宋体" w:hAnsi="宋体" w:cs="宋体"/>
          <w:sz w:val="24"/>
        </w:rPr>
      </w:pPr>
      <w:r>
        <w:rPr>
          <w:rFonts w:hint="eastAsia" w:ascii="宋体" w:hAnsi="宋体" w:cs="宋体"/>
          <w:sz w:val="24"/>
          <w:highlight w:val="white"/>
        </w:rPr>
        <w:t>20.2.1 承包人员工伤事故的保险</w:t>
      </w:r>
    </w:p>
    <w:p w14:paraId="07B42CA1">
      <w:pPr>
        <w:spacing w:line="500" w:lineRule="exact"/>
        <w:ind w:firstLine="480" w:firstLineChars="200"/>
        <w:rPr>
          <w:rFonts w:hint="eastAsia" w:ascii="宋体" w:hAnsi="宋体" w:cs="宋体"/>
          <w:sz w:val="24"/>
        </w:rPr>
      </w:pPr>
      <w:r>
        <w:rPr>
          <w:rFonts w:hint="eastAsia" w:ascii="宋体" w:hAnsi="宋体" w:cs="宋体"/>
          <w:sz w:val="24"/>
          <w:highlight w:val="white"/>
        </w:rPr>
        <w:t>承包人应依照有关法律规定参加工伤保险，为其履行合同所雇佣的全部人员，缴纳工伤保险费，并要求其分包人也进行此项保险。</w:t>
      </w:r>
    </w:p>
    <w:p w14:paraId="5217254F">
      <w:pPr>
        <w:spacing w:line="500" w:lineRule="exact"/>
        <w:ind w:firstLine="480" w:firstLineChars="200"/>
        <w:rPr>
          <w:rFonts w:hint="eastAsia" w:ascii="宋体" w:hAnsi="宋体" w:cs="宋体"/>
          <w:sz w:val="24"/>
        </w:rPr>
      </w:pPr>
      <w:r>
        <w:rPr>
          <w:rFonts w:hint="eastAsia" w:ascii="宋体" w:hAnsi="宋体" w:cs="宋体"/>
          <w:sz w:val="24"/>
          <w:highlight w:val="white"/>
        </w:rPr>
        <w:t>20.2.2 发包人员工伤事故的保险</w:t>
      </w:r>
    </w:p>
    <w:p w14:paraId="30A223EF">
      <w:pPr>
        <w:spacing w:line="500" w:lineRule="exact"/>
        <w:ind w:firstLine="480" w:firstLineChars="200"/>
        <w:rPr>
          <w:rFonts w:hint="eastAsia" w:ascii="宋体" w:hAnsi="宋体" w:cs="宋体"/>
          <w:sz w:val="24"/>
        </w:rPr>
      </w:pPr>
      <w:r>
        <w:rPr>
          <w:rFonts w:hint="eastAsia" w:ascii="宋体" w:hAnsi="宋体" w:cs="宋体"/>
          <w:sz w:val="24"/>
          <w:highlight w:val="white"/>
        </w:rPr>
        <w:t>发包人应依照有关法律规定参加工伤保险，为其现场机构雇佣的全部人员，缴纳工伤保险费，并要求其监理人也进行此项保险。</w:t>
      </w:r>
    </w:p>
    <w:p w14:paraId="31A688B5">
      <w:pPr>
        <w:spacing w:line="500" w:lineRule="exact"/>
        <w:outlineLvl w:val="3"/>
        <w:rPr>
          <w:rFonts w:hint="eastAsia" w:ascii="宋体" w:hAnsi="宋体" w:cs="宋体"/>
          <w:sz w:val="24"/>
        </w:rPr>
      </w:pPr>
      <w:r>
        <w:rPr>
          <w:rFonts w:hint="eastAsia" w:ascii="宋体" w:hAnsi="宋体" w:cs="宋体"/>
          <w:sz w:val="24"/>
          <w:highlight w:val="white"/>
        </w:rPr>
        <w:t>20.3 人身意外伤害险</w:t>
      </w:r>
    </w:p>
    <w:p w14:paraId="032E4644">
      <w:pPr>
        <w:spacing w:line="500" w:lineRule="exact"/>
        <w:ind w:firstLine="480" w:firstLineChars="200"/>
        <w:rPr>
          <w:rFonts w:hint="eastAsia" w:ascii="宋体" w:hAnsi="宋体" w:cs="宋体"/>
          <w:sz w:val="24"/>
        </w:rPr>
      </w:pPr>
      <w:r>
        <w:rPr>
          <w:rFonts w:hint="eastAsia" w:ascii="宋体" w:hAnsi="宋体" w:cs="宋体"/>
          <w:sz w:val="24"/>
          <w:highlight w:val="white"/>
        </w:rPr>
        <w:t>20.3.1 发包人应在整个施工期间为其现场机构雇用的全部人员，投保人身意外伤害险，缴纳保险费，并要求其监理人也进行此项保险。</w:t>
      </w:r>
    </w:p>
    <w:p w14:paraId="607CF86D">
      <w:pPr>
        <w:spacing w:line="500" w:lineRule="exact"/>
        <w:ind w:firstLine="480" w:firstLineChars="200"/>
        <w:rPr>
          <w:rFonts w:hint="eastAsia" w:ascii="宋体" w:hAnsi="宋体" w:cs="宋体"/>
          <w:sz w:val="24"/>
        </w:rPr>
      </w:pPr>
      <w:r>
        <w:rPr>
          <w:rFonts w:hint="eastAsia" w:ascii="宋体" w:hAnsi="宋体" w:cs="宋体"/>
          <w:sz w:val="24"/>
          <w:highlight w:val="white"/>
        </w:rPr>
        <w:t>20.3.2 承包人应在整个施工期间为其现场机构雇用的全部人员，投保人身意外伤害险，缴纳保险费，并要求其分包人也进行此项保险。</w:t>
      </w:r>
    </w:p>
    <w:p w14:paraId="237C1C14">
      <w:pPr>
        <w:spacing w:line="500" w:lineRule="exact"/>
        <w:outlineLvl w:val="3"/>
        <w:rPr>
          <w:rFonts w:hint="eastAsia" w:ascii="宋体" w:hAnsi="宋体" w:cs="宋体"/>
          <w:sz w:val="24"/>
        </w:rPr>
      </w:pPr>
      <w:r>
        <w:rPr>
          <w:rFonts w:hint="eastAsia" w:ascii="宋体" w:hAnsi="宋体" w:cs="宋体"/>
          <w:sz w:val="24"/>
          <w:highlight w:val="white"/>
        </w:rPr>
        <w:t>20.4 第三者责任险</w:t>
      </w:r>
    </w:p>
    <w:p w14:paraId="03225340">
      <w:pPr>
        <w:spacing w:line="500" w:lineRule="exact"/>
        <w:ind w:firstLine="480" w:firstLineChars="200"/>
        <w:rPr>
          <w:rFonts w:hint="eastAsia" w:ascii="宋体" w:hAnsi="宋体" w:cs="宋体"/>
          <w:sz w:val="24"/>
        </w:rPr>
      </w:pPr>
      <w:r>
        <w:rPr>
          <w:rFonts w:hint="eastAsia" w:ascii="宋体" w:hAnsi="宋体" w:cs="宋体"/>
          <w:sz w:val="24"/>
          <w:highlight w:val="whit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6368EC2D">
      <w:pPr>
        <w:spacing w:line="500" w:lineRule="exact"/>
        <w:ind w:firstLine="480" w:firstLineChars="200"/>
        <w:rPr>
          <w:rFonts w:hint="eastAsia" w:ascii="宋体" w:hAnsi="宋体" w:cs="宋体"/>
          <w:sz w:val="24"/>
        </w:rPr>
      </w:pPr>
      <w:r>
        <w:rPr>
          <w:rFonts w:hint="eastAsia" w:ascii="宋体" w:hAnsi="宋体" w:cs="宋体"/>
          <w:sz w:val="24"/>
          <w:highlight w:val="white"/>
        </w:rPr>
        <w:t>20.4.2 在缺陷责任期终止证书颁发前，承包人应以承包人和发包人的共同名义，投保第20.4.1项约定的第三者责任险，其保险费率、保险金额等有关内容在专用合同条款中约定。</w:t>
      </w:r>
    </w:p>
    <w:p w14:paraId="00195FE6">
      <w:pPr>
        <w:spacing w:line="500" w:lineRule="exact"/>
        <w:outlineLvl w:val="3"/>
        <w:rPr>
          <w:rFonts w:hint="eastAsia" w:ascii="宋体" w:hAnsi="宋体" w:cs="宋体"/>
          <w:sz w:val="24"/>
        </w:rPr>
      </w:pPr>
      <w:r>
        <w:rPr>
          <w:rFonts w:hint="eastAsia" w:ascii="宋体" w:hAnsi="宋体" w:cs="宋体"/>
          <w:sz w:val="24"/>
          <w:highlight w:val="white"/>
        </w:rPr>
        <w:t>20.5 其他保险</w:t>
      </w:r>
    </w:p>
    <w:p w14:paraId="24D54263">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除专用合同条款另有约定外，承包人应为其施工设备、进场的材料和工程设备等办理保险。</w:t>
      </w:r>
    </w:p>
    <w:p w14:paraId="3C410C32">
      <w:pPr>
        <w:spacing w:line="500" w:lineRule="exact"/>
        <w:outlineLvl w:val="3"/>
        <w:rPr>
          <w:rFonts w:hint="eastAsia" w:ascii="宋体" w:hAnsi="宋体" w:cs="宋体"/>
          <w:sz w:val="24"/>
        </w:rPr>
      </w:pPr>
      <w:r>
        <w:rPr>
          <w:rFonts w:hint="eastAsia" w:ascii="宋体" w:hAnsi="宋体" w:cs="宋体"/>
          <w:sz w:val="24"/>
          <w:highlight w:val="white"/>
        </w:rPr>
        <w:t>20.6 对各项保险的一般要求</w:t>
      </w:r>
    </w:p>
    <w:p w14:paraId="5A8477D7">
      <w:pPr>
        <w:spacing w:line="500" w:lineRule="exact"/>
        <w:ind w:firstLine="480" w:firstLineChars="200"/>
        <w:rPr>
          <w:rFonts w:hint="eastAsia" w:ascii="宋体" w:hAnsi="宋体" w:cs="宋体"/>
          <w:sz w:val="24"/>
        </w:rPr>
      </w:pPr>
      <w:r>
        <w:rPr>
          <w:rFonts w:hint="eastAsia" w:ascii="宋体" w:hAnsi="宋体" w:cs="宋体"/>
          <w:sz w:val="24"/>
          <w:highlight w:val="white"/>
        </w:rPr>
        <w:t>20.6.1 保险凭证</w:t>
      </w:r>
    </w:p>
    <w:p w14:paraId="2D1E37B6">
      <w:pPr>
        <w:spacing w:line="500" w:lineRule="exact"/>
        <w:ind w:firstLine="480" w:firstLineChars="200"/>
        <w:rPr>
          <w:rFonts w:hint="eastAsia" w:ascii="宋体" w:hAnsi="宋体" w:cs="宋体"/>
          <w:sz w:val="24"/>
        </w:rPr>
      </w:pPr>
      <w:r>
        <w:rPr>
          <w:rFonts w:hint="eastAsia" w:ascii="宋体" w:hAnsi="宋体" w:cs="宋体"/>
          <w:sz w:val="24"/>
          <w:highlight w:val="white"/>
        </w:rPr>
        <w:t>承包人应在专用合同条款约定的期限内向发包人提交各项保险生效的证据和保险单备份，保险单必须与专用合同条款约定的条件保持一致。</w:t>
      </w:r>
    </w:p>
    <w:p w14:paraId="599E6387">
      <w:pPr>
        <w:spacing w:line="500" w:lineRule="exact"/>
        <w:ind w:firstLine="480" w:firstLineChars="200"/>
        <w:rPr>
          <w:rFonts w:hint="eastAsia" w:ascii="宋体" w:hAnsi="宋体" w:cs="宋体"/>
          <w:sz w:val="24"/>
        </w:rPr>
      </w:pPr>
      <w:r>
        <w:rPr>
          <w:rFonts w:hint="eastAsia" w:ascii="宋体" w:hAnsi="宋体" w:cs="宋体"/>
          <w:sz w:val="24"/>
          <w:highlight w:val="white"/>
        </w:rPr>
        <w:t>20.6.2 保险合同条款的变动</w:t>
      </w:r>
    </w:p>
    <w:p w14:paraId="58B5B07E">
      <w:pPr>
        <w:spacing w:line="500" w:lineRule="exact"/>
        <w:ind w:firstLine="480" w:firstLineChars="200"/>
        <w:rPr>
          <w:rFonts w:hint="eastAsia" w:ascii="宋体" w:hAnsi="宋体" w:cs="宋体"/>
          <w:sz w:val="24"/>
        </w:rPr>
      </w:pPr>
      <w:r>
        <w:rPr>
          <w:rFonts w:hint="eastAsia" w:ascii="宋体" w:hAnsi="宋体" w:cs="宋体"/>
          <w:sz w:val="24"/>
          <w:highlight w:val="white"/>
        </w:rPr>
        <w:t>承包人需要变动保险合同条款时，应事先征得发包人同意，并通知监理人。保险人作出变动的，承包人应在收到保险人通知后立即通知发包人和监理人。</w:t>
      </w:r>
    </w:p>
    <w:p w14:paraId="7914293C">
      <w:pPr>
        <w:spacing w:line="500" w:lineRule="exact"/>
        <w:ind w:firstLine="480" w:firstLineChars="200"/>
        <w:rPr>
          <w:rFonts w:hint="eastAsia" w:ascii="宋体" w:hAnsi="宋体" w:cs="宋体"/>
          <w:sz w:val="24"/>
        </w:rPr>
      </w:pPr>
      <w:r>
        <w:rPr>
          <w:rFonts w:hint="eastAsia" w:ascii="宋体" w:hAnsi="宋体" w:cs="宋体"/>
          <w:sz w:val="24"/>
          <w:highlight w:val="white"/>
        </w:rPr>
        <w:t>20.6.3 持续保险</w:t>
      </w:r>
    </w:p>
    <w:p w14:paraId="2BEC68C2">
      <w:pPr>
        <w:spacing w:line="500" w:lineRule="exact"/>
        <w:rPr>
          <w:rFonts w:hint="eastAsia" w:ascii="宋体" w:hAnsi="宋体" w:cs="宋体"/>
          <w:sz w:val="24"/>
        </w:rPr>
      </w:pPr>
      <w:r>
        <w:rPr>
          <w:rFonts w:hint="eastAsia" w:ascii="宋体" w:hAnsi="宋体" w:cs="宋体"/>
          <w:sz w:val="24"/>
          <w:highlight w:val="white"/>
        </w:rPr>
        <w:t>承包人应与保险人保持联系，使保险人能够随时了解工程实施中的变动，并确保按保险合同条款要求持续保险。</w:t>
      </w:r>
    </w:p>
    <w:p w14:paraId="4DB4EC7C">
      <w:pPr>
        <w:spacing w:line="500" w:lineRule="exact"/>
        <w:ind w:firstLine="480" w:firstLineChars="200"/>
        <w:rPr>
          <w:rFonts w:hint="eastAsia" w:ascii="宋体" w:hAnsi="宋体" w:cs="宋体"/>
          <w:sz w:val="24"/>
        </w:rPr>
      </w:pPr>
      <w:r>
        <w:rPr>
          <w:rFonts w:hint="eastAsia" w:ascii="宋体" w:hAnsi="宋体" w:cs="宋体"/>
          <w:sz w:val="24"/>
          <w:highlight w:val="white"/>
        </w:rPr>
        <w:t>20.6.4　保险金不足以补偿损失时，应由承包人和发包人各自负责补偿的范围和金额在专用合同条款中约定。</w:t>
      </w:r>
    </w:p>
    <w:p w14:paraId="3FCB0BDF">
      <w:pPr>
        <w:spacing w:line="500" w:lineRule="exact"/>
        <w:ind w:firstLine="480" w:firstLineChars="200"/>
        <w:rPr>
          <w:rFonts w:hint="eastAsia" w:ascii="宋体" w:hAnsi="宋体" w:cs="宋体"/>
          <w:sz w:val="24"/>
        </w:rPr>
      </w:pPr>
      <w:r>
        <w:rPr>
          <w:rFonts w:hint="eastAsia" w:ascii="宋体" w:hAnsi="宋体" w:cs="宋体"/>
          <w:sz w:val="24"/>
          <w:highlight w:val="white"/>
        </w:rPr>
        <w:t>20.6.5 未按约定投保的补救</w:t>
      </w:r>
    </w:p>
    <w:p w14:paraId="6A1924E6">
      <w:pPr>
        <w:spacing w:line="500" w:lineRule="exact"/>
        <w:ind w:firstLine="480" w:firstLineChars="200"/>
        <w:rPr>
          <w:rFonts w:hint="eastAsia" w:ascii="宋体" w:hAnsi="宋体" w:cs="宋体"/>
          <w:sz w:val="24"/>
        </w:rPr>
      </w:pPr>
      <w:r>
        <w:rPr>
          <w:rFonts w:hint="eastAsia" w:ascii="宋体" w:hAnsi="宋体" w:cs="宋体"/>
          <w:sz w:val="24"/>
          <w:highlight w:val="white"/>
        </w:rPr>
        <w:t>（1）由于负有投保义务的一方当事人未按合同约定办理保险，或未能使保险持续有效的，另一方当事人可代为办理，所需费用由对方当事人承担。</w:t>
      </w:r>
    </w:p>
    <w:p w14:paraId="39524B2A">
      <w:pPr>
        <w:spacing w:line="500" w:lineRule="exact"/>
        <w:ind w:firstLine="480" w:firstLineChars="200"/>
        <w:rPr>
          <w:rFonts w:hint="eastAsia" w:ascii="宋体" w:hAnsi="宋体" w:cs="宋体"/>
          <w:sz w:val="24"/>
        </w:rPr>
      </w:pPr>
      <w:r>
        <w:rPr>
          <w:rFonts w:hint="eastAsia" w:ascii="宋体" w:hAnsi="宋体" w:cs="宋体"/>
          <w:sz w:val="24"/>
          <w:highlight w:val="white"/>
        </w:rPr>
        <w:t>（2）由于负有投保义务的一方当事人未按合同约定办理某项保险，导致受益人未能得到保险人的赔偿，原应从该项保险得到的保险金应由负有投保义务的一方当事人支付。</w:t>
      </w:r>
    </w:p>
    <w:p w14:paraId="4F59F59C">
      <w:pPr>
        <w:spacing w:line="500" w:lineRule="exact"/>
        <w:ind w:firstLine="480" w:firstLineChars="200"/>
        <w:rPr>
          <w:rFonts w:hint="eastAsia" w:ascii="宋体" w:hAnsi="宋体" w:cs="宋体"/>
          <w:sz w:val="24"/>
        </w:rPr>
      </w:pPr>
      <w:r>
        <w:rPr>
          <w:rFonts w:hint="eastAsia" w:ascii="宋体" w:hAnsi="宋体" w:cs="宋体"/>
          <w:sz w:val="24"/>
          <w:highlight w:val="white"/>
        </w:rPr>
        <w:t>20.6.6 报告义务</w:t>
      </w:r>
    </w:p>
    <w:p w14:paraId="6CA4A971">
      <w:pPr>
        <w:spacing w:line="500" w:lineRule="exact"/>
        <w:ind w:firstLine="240" w:firstLineChars="100"/>
        <w:rPr>
          <w:rFonts w:hint="eastAsia" w:ascii="宋体" w:hAnsi="宋体" w:cs="宋体"/>
          <w:sz w:val="24"/>
        </w:rPr>
      </w:pPr>
      <w:r>
        <w:rPr>
          <w:rFonts w:hint="eastAsia" w:ascii="宋体" w:hAnsi="宋体" w:cs="宋体"/>
          <w:sz w:val="24"/>
          <w:highlight w:val="white"/>
        </w:rPr>
        <w:t>当保险事故发生时，投保人应按照保险单规定的条件和期限及时向保险人报告。</w:t>
      </w:r>
    </w:p>
    <w:p w14:paraId="4B3E8C54">
      <w:pPr>
        <w:spacing w:line="500" w:lineRule="exact"/>
        <w:outlineLvl w:val="3"/>
        <w:rPr>
          <w:rFonts w:hint="eastAsia" w:ascii="宋体" w:hAnsi="宋体" w:cs="宋体"/>
          <w:sz w:val="24"/>
        </w:rPr>
      </w:pPr>
      <w:r>
        <w:rPr>
          <w:rFonts w:hint="eastAsia" w:ascii="宋体" w:hAnsi="宋体" w:cs="宋体"/>
          <w:sz w:val="24"/>
          <w:highlight w:val="white"/>
        </w:rPr>
        <w:t>20.7 风险责任的转移</w:t>
      </w:r>
    </w:p>
    <w:p w14:paraId="5F51D08D">
      <w:pPr>
        <w:spacing w:line="500" w:lineRule="exact"/>
        <w:rPr>
          <w:rFonts w:hint="eastAsia" w:ascii="宋体" w:hAnsi="宋体" w:cs="宋体"/>
          <w:sz w:val="24"/>
        </w:rPr>
      </w:pPr>
      <w:r>
        <w:rPr>
          <w:rFonts w:hint="eastAsia" w:ascii="宋体" w:hAnsi="宋体" w:cs="宋体"/>
          <w:sz w:val="24"/>
          <w:highlight w:val="white"/>
        </w:rPr>
        <w:t>　　工程通过合同工程完工验收并移交给发包人后，原由承包人应承担的风险责任，以及保险的责任、权利和义务同时转移给发包人，但承包人在缺陷责任期(工程质量保修期)前造成损失和损坏情形除外。</w:t>
      </w:r>
    </w:p>
    <w:p w14:paraId="297FD06E">
      <w:pPr>
        <w:spacing w:line="500" w:lineRule="exact"/>
        <w:outlineLvl w:val="2"/>
        <w:rPr>
          <w:rFonts w:hint="eastAsia" w:ascii="宋体" w:hAnsi="宋体" w:cs="宋体"/>
          <w:sz w:val="24"/>
        </w:rPr>
      </w:pPr>
      <w:bookmarkStart w:id="111" w:name="_Toc149635780"/>
      <w:bookmarkStart w:id="112" w:name="_Toc149571667"/>
      <w:bookmarkStart w:id="113" w:name="_Toc256000128"/>
      <w:r>
        <w:rPr>
          <w:rFonts w:hint="eastAsia" w:ascii="宋体" w:hAnsi="宋体" w:cs="宋体"/>
          <w:sz w:val="24"/>
          <w:highlight w:val="white"/>
        </w:rPr>
        <w:t>21. 不可抗力</w:t>
      </w:r>
      <w:bookmarkEnd w:id="111"/>
      <w:bookmarkEnd w:id="112"/>
      <w:bookmarkEnd w:id="113"/>
    </w:p>
    <w:p w14:paraId="2FD59BFD">
      <w:pPr>
        <w:spacing w:line="500" w:lineRule="exact"/>
        <w:outlineLvl w:val="3"/>
        <w:rPr>
          <w:rFonts w:hint="eastAsia" w:ascii="宋体" w:hAnsi="宋体" w:cs="宋体"/>
          <w:sz w:val="24"/>
        </w:rPr>
      </w:pPr>
      <w:r>
        <w:rPr>
          <w:rFonts w:hint="eastAsia" w:ascii="宋体" w:hAnsi="宋体" w:cs="宋体"/>
          <w:sz w:val="24"/>
          <w:highlight w:val="white"/>
        </w:rPr>
        <w:t>21.1 不可抗力的确认</w:t>
      </w:r>
    </w:p>
    <w:p w14:paraId="06C5558C">
      <w:pPr>
        <w:spacing w:line="500" w:lineRule="exact"/>
        <w:ind w:firstLine="480" w:firstLineChars="200"/>
        <w:rPr>
          <w:rFonts w:hint="eastAsia" w:ascii="宋体" w:hAnsi="宋体" w:cs="宋体"/>
          <w:sz w:val="24"/>
        </w:rPr>
      </w:pPr>
      <w:r>
        <w:rPr>
          <w:rFonts w:hint="eastAsia" w:ascii="宋体" w:hAnsi="宋体" w:cs="宋体"/>
          <w:sz w:val="24"/>
          <w:highlight w:val="whit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D9609DC">
      <w:pPr>
        <w:spacing w:line="500" w:lineRule="exact"/>
        <w:ind w:firstLine="480" w:firstLineChars="200"/>
        <w:rPr>
          <w:rFonts w:hint="eastAsia" w:ascii="宋体" w:hAnsi="宋体" w:cs="宋体"/>
          <w:sz w:val="24"/>
        </w:rPr>
      </w:pPr>
      <w:r>
        <w:rPr>
          <w:rFonts w:hint="eastAsia" w:ascii="宋体" w:hAnsi="宋体" w:cs="宋体"/>
          <w:sz w:val="24"/>
          <w:highlight w:val="whit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3F423383">
      <w:pPr>
        <w:spacing w:line="500" w:lineRule="exact"/>
        <w:outlineLvl w:val="3"/>
        <w:rPr>
          <w:rFonts w:hint="eastAsia" w:ascii="宋体" w:hAnsi="宋体" w:cs="宋体"/>
          <w:sz w:val="24"/>
        </w:rPr>
      </w:pPr>
      <w:r>
        <w:rPr>
          <w:rFonts w:hint="eastAsia" w:ascii="宋体" w:hAnsi="宋体" w:cs="宋体"/>
          <w:sz w:val="24"/>
          <w:highlight w:val="white"/>
        </w:rPr>
        <w:t>21.2 不可抗力的通知</w:t>
      </w:r>
    </w:p>
    <w:p w14:paraId="08AF82F5">
      <w:pPr>
        <w:spacing w:line="500" w:lineRule="exact"/>
        <w:ind w:firstLine="480" w:firstLineChars="200"/>
        <w:rPr>
          <w:rFonts w:hint="eastAsia" w:ascii="宋体" w:hAnsi="宋体" w:cs="宋体"/>
          <w:sz w:val="24"/>
        </w:rPr>
      </w:pPr>
      <w:r>
        <w:rPr>
          <w:rFonts w:hint="eastAsia" w:ascii="宋体" w:hAnsi="宋体" w:cs="宋体"/>
          <w:sz w:val="24"/>
          <w:highlight w:val="white"/>
        </w:rPr>
        <w:t>21.2.1 合同一方当事人遇到不可抗力事件，使其履行合同义务受到阻碍时，应立即通知合同另一方当事人和监理人，书面说明不可抗力和受阻碍的详细情况，并提供必要的证明。</w:t>
      </w:r>
    </w:p>
    <w:p w14:paraId="02F240C0">
      <w:pPr>
        <w:spacing w:line="500" w:lineRule="exact"/>
        <w:ind w:firstLine="480" w:firstLineChars="200"/>
        <w:rPr>
          <w:rFonts w:hint="eastAsia" w:ascii="宋体" w:hAnsi="宋体" w:cs="宋体"/>
          <w:sz w:val="24"/>
        </w:rPr>
      </w:pPr>
      <w:r>
        <w:rPr>
          <w:rFonts w:hint="eastAsia" w:ascii="宋体" w:hAnsi="宋体" w:cs="宋体"/>
          <w:sz w:val="24"/>
          <w:highlight w:val="white"/>
        </w:rPr>
        <w:t>21.2.2 如不可抗力持续发生，合同一方当事人应及时向合同另一方当事人和监理人提交中间报告，说明不可抗力和履行合同受阻的情况，并于不可抗力事件结束后28天内提交最终报告及有关资料。</w:t>
      </w:r>
    </w:p>
    <w:p w14:paraId="277D1129">
      <w:pPr>
        <w:spacing w:line="500" w:lineRule="exact"/>
        <w:outlineLvl w:val="3"/>
        <w:rPr>
          <w:rFonts w:hint="eastAsia" w:ascii="宋体" w:hAnsi="宋体" w:cs="宋体"/>
          <w:sz w:val="24"/>
        </w:rPr>
      </w:pPr>
      <w:r>
        <w:rPr>
          <w:rFonts w:hint="eastAsia" w:ascii="宋体" w:hAnsi="宋体" w:cs="宋体"/>
          <w:sz w:val="24"/>
          <w:highlight w:val="white"/>
        </w:rPr>
        <w:t>21.3 不可抗力后果及其处理</w:t>
      </w:r>
    </w:p>
    <w:p w14:paraId="73E1E595">
      <w:pPr>
        <w:spacing w:line="500" w:lineRule="exact"/>
        <w:ind w:firstLine="480" w:firstLineChars="200"/>
        <w:rPr>
          <w:rFonts w:hint="eastAsia" w:ascii="宋体" w:hAnsi="宋体" w:cs="宋体"/>
          <w:sz w:val="24"/>
        </w:rPr>
      </w:pPr>
      <w:r>
        <w:rPr>
          <w:rFonts w:hint="eastAsia" w:ascii="宋体" w:hAnsi="宋体" w:cs="宋体"/>
          <w:sz w:val="24"/>
          <w:highlight w:val="white"/>
        </w:rPr>
        <w:t>21.3.1 不可抗力造成损害的责任</w:t>
      </w:r>
    </w:p>
    <w:p w14:paraId="14222902">
      <w:pPr>
        <w:spacing w:line="500" w:lineRule="exact"/>
        <w:ind w:firstLine="480" w:firstLineChars="200"/>
        <w:rPr>
          <w:rFonts w:hint="eastAsia" w:ascii="宋体" w:hAnsi="宋体" w:cs="宋体"/>
          <w:sz w:val="24"/>
        </w:rPr>
      </w:pPr>
      <w:r>
        <w:rPr>
          <w:rFonts w:hint="eastAsia" w:ascii="宋体" w:hAnsi="宋体" w:cs="宋体"/>
          <w:sz w:val="24"/>
          <w:highlight w:val="white"/>
        </w:rPr>
        <w:t>除专用合同条款另有约定外，不可抗力导致的人员伤亡、财产损失、费用增加和（或）工期延误等后果，由合同双方按以下原则承担：</w:t>
      </w:r>
    </w:p>
    <w:p w14:paraId="033BD92B">
      <w:pPr>
        <w:spacing w:line="500" w:lineRule="exact"/>
        <w:ind w:firstLine="480" w:firstLineChars="200"/>
        <w:rPr>
          <w:rFonts w:hint="eastAsia" w:ascii="宋体" w:hAnsi="宋体" w:cs="宋体"/>
          <w:sz w:val="24"/>
        </w:rPr>
      </w:pPr>
      <w:r>
        <w:rPr>
          <w:rFonts w:hint="eastAsia" w:ascii="宋体" w:hAnsi="宋体" w:cs="宋体"/>
          <w:sz w:val="24"/>
          <w:highlight w:val="white"/>
        </w:rPr>
        <w:t>（1）永久工程，包括已运至施工场地的材料和工程设备的损害，以及因工程损害造成的第三者人员伤亡和财产损失由发包人承担；</w:t>
      </w:r>
    </w:p>
    <w:p w14:paraId="1121093D">
      <w:pPr>
        <w:spacing w:line="500" w:lineRule="exact"/>
        <w:ind w:firstLine="480" w:firstLineChars="200"/>
        <w:rPr>
          <w:rFonts w:hint="eastAsia" w:ascii="宋体" w:hAnsi="宋体" w:cs="宋体"/>
          <w:sz w:val="24"/>
        </w:rPr>
      </w:pPr>
      <w:r>
        <w:rPr>
          <w:rFonts w:hint="eastAsia" w:ascii="宋体" w:hAnsi="宋体" w:cs="宋体"/>
          <w:sz w:val="24"/>
          <w:highlight w:val="white"/>
        </w:rPr>
        <w:t>（2）承包人设备的损坏由承包人承担；</w:t>
      </w:r>
    </w:p>
    <w:p w14:paraId="69F247E9">
      <w:pPr>
        <w:spacing w:line="500" w:lineRule="exact"/>
        <w:ind w:firstLine="480" w:firstLineChars="200"/>
        <w:rPr>
          <w:rFonts w:hint="eastAsia" w:ascii="宋体" w:hAnsi="宋体" w:cs="宋体"/>
          <w:sz w:val="24"/>
        </w:rPr>
      </w:pPr>
      <w:r>
        <w:rPr>
          <w:rFonts w:hint="eastAsia" w:ascii="宋体" w:hAnsi="宋体" w:cs="宋体"/>
          <w:sz w:val="24"/>
          <w:highlight w:val="white"/>
        </w:rPr>
        <w:t>（3）发包人和承包人各自承担其人员伤亡和其他财产损失及其相关费用；</w:t>
      </w:r>
    </w:p>
    <w:p w14:paraId="75EA6F06">
      <w:pPr>
        <w:spacing w:line="500" w:lineRule="exact"/>
        <w:ind w:firstLine="480" w:firstLineChars="200"/>
        <w:rPr>
          <w:rFonts w:hint="eastAsia" w:ascii="宋体" w:hAnsi="宋体" w:cs="宋体"/>
          <w:sz w:val="24"/>
        </w:rPr>
      </w:pPr>
      <w:r>
        <w:rPr>
          <w:rFonts w:hint="eastAsia" w:ascii="宋体" w:hAnsi="宋体" w:cs="宋体"/>
          <w:sz w:val="24"/>
          <w:highlight w:val="white"/>
        </w:rPr>
        <w:t>（4）承包人的停工损失由承包人承担，但停工期间应监理人要求照管工程和清理、修复工程的金额由发包人承担；</w:t>
      </w:r>
    </w:p>
    <w:p w14:paraId="3699D781">
      <w:pPr>
        <w:spacing w:line="500" w:lineRule="exact"/>
        <w:ind w:firstLine="480" w:firstLineChars="200"/>
        <w:rPr>
          <w:rFonts w:hint="eastAsia" w:ascii="宋体" w:hAnsi="宋体" w:cs="宋体"/>
          <w:sz w:val="24"/>
        </w:rPr>
      </w:pPr>
      <w:r>
        <w:rPr>
          <w:rFonts w:hint="eastAsia" w:ascii="宋体" w:hAnsi="宋体" w:cs="宋体"/>
          <w:sz w:val="24"/>
          <w:highlight w:val="white"/>
        </w:rPr>
        <w:t>（5）不能按期竣工的，应合理延长工期，承包人不需支付逾期竣工违约金。发包人要求赶工的，承包人应采取赶工措施，赶工费用由发包人承担。</w:t>
      </w:r>
    </w:p>
    <w:p w14:paraId="5BD3C3B2">
      <w:pPr>
        <w:spacing w:line="500" w:lineRule="exact"/>
        <w:ind w:firstLine="480" w:firstLineChars="200"/>
        <w:rPr>
          <w:rFonts w:hint="eastAsia" w:ascii="宋体" w:hAnsi="宋体" w:cs="宋体"/>
          <w:sz w:val="24"/>
        </w:rPr>
      </w:pPr>
      <w:r>
        <w:rPr>
          <w:rFonts w:hint="eastAsia" w:ascii="宋体" w:hAnsi="宋体" w:cs="宋体"/>
          <w:sz w:val="24"/>
          <w:highlight w:val="white"/>
        </w:rPr>
        <w:t>21.3.2 延迟履行期间发生的不可抗力</w:t>
      </w:r>
    </w:p>
    <w:p w14:paraId="7DBB3A4A">
      <w:pPr>
        <w:spacing w:line="500" w:lineRule="exact"/>
        <w:ind w:firstLine="480" w:firstLineChars="200"/>
        <w:rPr>
          <w:rFonts w:hint="eastAsia" w:ascii="宋体" w:hAnsi="宋体" w:cs="宋体"/>
          <w:sz w:val="24"/>
        </w:rPr>
      </w:pPr>
      <w:r>
        <w:rPr>
          <w:rFonts w:hint="eastAsia" w:ascii="宋体" w:hAnsi="宋体" w:cs="宋体"/>
          <w:sz w:val="24"/>
          <w:highlight w:val="white"/>
        </w:rPr>
        <w:t>合同一方当事人延迟履行，在延迟履行期间发生不可抗力的，不免除其责任。</w:t>
      </w:r>
    </w:p>
    <w:p w14:paraId="3D57210E">
      <w:pPr>
        <w:spacing w:line="500" w:lineRule="exact"/>
        <w:ind w:firstLine="480" w:firstLineChars="200"/>
        <w:rPr>
          <w:rFonts w:hint="eastAsia" w:ascii="宋体" w:hAnsi="宋体" w:cs="宋体"/>
          <w:sz w:val="24"/>
        </w:rPr>
      </w:pPr>
      <w:r>
        <w:rPr>
          <w:rFonts w:hint="eastAsia" w:ascii="宋体" w:hAnsi="宋体" w:cs="宋体"/>
          <w:sz w:val="24"/>
          <w:highlight w:val="white"/>
        </w:rPr>
        <w:t>21.3.3 避免和减少不可抗力损失</w:t>
      </w:r>
    </w:p>
    <w:p w14:paraId="01120ADC">
      <w:pPr>
        <w:spacing w:line="500" w:lineRule="exact"/>
        <w:ind w:firstLine="480" w:firstLineChars="200"/>
        <w:rPr>
          <w:rFonts w:hint="eastAsia" w:ascii="宋体" w:hAnsi="宋体" w:cs="宋体"/>
          <w:sz w:val="24"/>
        </w:rPr>
      </w:pPr>
      <w:r>
        <w:rPr>
          <w:rFonts w:hint="eastAsia" w:ascii="宋体" w:hAnsi="宋体" w:cs="宋体"/>
          <w:sz w:val="24"/>
          <w:highlight w:val="white"/>
        </w:rPr>
        <w:t>不可抗力发生后，发包人和承包人均应采取措施尽量避免和减少损失的扩大，任何一方没有采取有效措施导致损失扩大的，应对扩大的损失承担责任。</w:t>
      </w:r>
    </w:p>
    <w:p w14:paraId="083C324A">
      <w:pPr>
        <w:spacing w:line="500" w:lineRule="exact"/>
        <w:ind w:firstLine="480" w:firstLineChars="200"/>
        <w:rPr>
          <w:rFonts w:hint="eastAsia" w:ascii="宋体" w:hAnsi="宋体" w:cs="宋体"/>
          <w:sz w:val="24"/>
        </w:rPr>
      </w:pPr>
      <w:r>
        <w:rPr>
          <w:rFonts w:hint="eastAsia" w:ascii="宋体" w:hAnsi="宋体" w:cs="宋体"/>
          <w:sz w:val="24"/>
          <w:highlight w:val="white"/>
        </w:rPr>
        <w:t>21.3.4 因不可抗力解除合同</w:t>
      </w:r>
    </w:p>
    <w:p w14:paraId="5B03F02D">
      <w:pPr>
        <w:spacing w:line="500" w:lineRule="exact"/>
        <w:rPr>
          <w:rFonts w:hint="eastAsia" w:ascii="宋体" w:hAnsi="宋体" w:cs="宋体"/>
          <w:sz w:val="24"/>
        </w:rPr>
      </w:pPr>
      <w:r>
        <w:rPr>
          <w:rFonts w:hint="eastAsia" w:ascii="宋体" w:hAnsi="宋体" w:cs="宋体"/>
          <w:sz w:val="24"/>
          <w:highlight w:val="whit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554A0FAC">
      <w:pPr>
        <w:spacing w:line="500" w:lineRule="exact"/>
        <w:outlineLvl w:val="2"/>
        <w:rPr>
          <w:rFonts w:hint="eastAsia" w:ascii="宋体" w:hAnsi="宋体" w:cs="宋体"/>
          <w:sz w:val="24"/>
        </w:rPr>
      </w:pPr>
      <w:bookmarkStart w:id="114" w:name="_Toc149571668"/>
      <w:bookmarkStart w:id="115" w:name="_Toc149635781"/>
      <w:bookmarkStart w:id="116" w:name="_Toc256000129"/>
      <w:r>
        <w:rPr>
          <w:rFonts w:hint="eastAsia" w:ascii="宋体" w:hAnsi="宋体" w:cs="宋体"/>
          <w:sz w:val="24"/>
          <w:highlight w:val="white"/>
        </w:rPr>
        <w:t>22. 违约</w:t>
      </w:r>
      <w:bookmarkEnd w:id="114"/>
      <w:bookmarkEnd w:id="115"/>
      <w:bookmarkEnd w:id="116"/>
    </w:p>
    <w:p w14:paraId="03E3EDFD">
      <w:pPr>
        <w:spacing w:line="500" w:lineRule="exact"/>
        <w:outlineLvl w:val="3"/>
        <w:rPr>
          <w:rFonts w:hint="eastAsia" w:ascii="宋体" w:hAnsi="宋体" w:cs="宋体"/>
          <w:sz w:val="24"/>
        </w:rPr>
      </w:pPr>
      <w:r>
        <w:rPr>
          <w:rFonts w:hint="eastAsia" w:ascii="宋体" w:hAnsi="宋体" w:cs="宋体"/>
          <w:sz w:val="24"/>
          <w:highlight w:val="white"/>
        </w:rPr>
        <w:t>22.1 承包人违约</w:t>
      </w:r>
    </w:p>
    <w:p w14:paraId="40145061">
      <w:pPr>
        <w:spacing w:line="500" w:lineRule="exact"/>
        <w:rPr>
          <w:rFonts w:hint="eastAsia" w:ascii="宋体" w:hAnsi="宋体" w:cs="宋体"/>
          <w:sz w:val="24"/>
        </w:rPr>
      </w:pPr>
      <w:r>
        <w:rPr>
          <w:rFonts w:hint="eastAsia" w:ascii="宋体" w:hAnsi="宋体" w:cs="宋体"/>
          <w:sz w:val="24"/>
          <w:highlight w:val="white"/>
        </w:rPr>
        <w:t>　　22.1.1 承包人违约的情形</w:t>
      </w:r>
    </w:p>
    <w:p w14:paraId="209DA471">
      <w:pPr>
        <w:spacing w:line="500" w:lineRule="exact"/>
        <w:rPr>
          <w:rFonts w:hint="eastAsia" w:ascii="宋体" w:hAnsi="宋体" w:cs="宋体"/>
          <w:sz w:val="24"/>
        </w:rPr>
      </w:pPr>
      <w:r>
        <w:rPr>
          <w:rFonts w:hint="eastAsia" w:ascii="宋体" w:hAnsi="宋体" w:cs="宋体"/>
          <w:sz w:val="24"/>
          <w:highlight w:val="white"/>
        </w:rPr>
        <w:t>　　在履行合同过程中发生的下列情况属承包人违约：</w:t>
      </w:r>
    </w:p>
    <w:p w14:paraId="1A866E34">
      <w:pPr>
        <w:spacing w:line="500" w:lineRule="exact"/>
        <w:rPr>
          <w:rFonts w:hint="eastAsia" w:ascii="宋体" w:hAnsi="宋体" w:cs="宋体"/>
          <w:sz w:val="24"/>
        </w:rPr>
      </w:pPr>
      <w:r>
        <w:rPr>
          <w:rFonts w:hint="eastAsia" w:ascii="宋体" w:hAnsi="宋体" w:cs="宋体"/>
          <w:sz w:val="24"/>
          <w:highlight w:val="white"/>
        </w:rPr>
        <w:t>　　(1)承包人违反第1.8款或第4.3款的约定，私自将合同的全部或部分权利转让给其他人，或私自将合同的全部或部分义务转移给其他人；</w:t>
      </w:r>
    </w:p>
    <w:p w14:paraId="0E68795B">
      <w:pPr>
        <w:spacing w:line="500" w:lineRule="exact"/>
        <w:rPr>
          <w:rFonts w:hint="eastAsia" w:ascii="宋体" w:hAnsi="宋体" w:cs="宋体"/>
          <w:sz w:val="24"/>
        </w:rPr>
      </w:pPr>
      <w:r>
        <w:rPr>
          <w:rFonts w:hint="eastAsia" w:ascii="宋体" w:hAnsi="宋体" w:cs="宋体"/>
          <w:sz w:val="24"/>
          <w:highlight w:val="white"/>
        </w:rPr>
        <w:t>　　(2)承包人违反第5.3款或第6.4款的约定，未经监理人批准，私自将已按合同约定进入施工场地的施工设备、临时设施或材料撤离施工场地；</w:t>
      </w:r>
    </w:p>
    <w:p w14:paraId="575AA14B">
      <w:pPr>
        <w:spacing w:line="500" w:lineRule="exact"/>
        <w:rPr>
          <w:rFonts w:hint="eastAsia" w:ascii="宋体" w:hAnsi="宋体" w:cs="宋体"/>
          <w:sz w:val="24"/>
        </w:rPr>
      </w:pPr>
      <w:r>
        <w:rPr>
          <w:rFonts w:hint="eastAsia" w:ascii="宋体" w:hAnsi="宋体" w:cs="宋体"/>
          <w:sz w:val="24"/>
          <w:highlight w:val="white"/>
        </w:rPr>
        <w:t>　　(3)承包人违反第5.4款的约定使用了不合格材料或工程设备，工程质量达不到标准要求，又拒绝清除不合格工程；</w:t>
      </w:r>
    </w:p>
    <w:p w14:paraId="387C19CC">
      <w:pPr>
        <w:spacing w:line="500" w:lineRule="exact"/>
        <w:rPr>
          <w:rFonts w:hint="eastAsia" w:ascii="宋体" w:hAnsi="宋体" w:cs="宋体"/>
          <w:sz w:val="24"/>
        </w:rPr>
      </w:pPr>
      <w:r>
        <w:rPr>
          <w:rFonts w:hint="eastAsia" w:ascii="宋体" w:hAnsi="宋体" w:cs="宋体"/>
          <w:sz w:val="24"/>
          <w:highlight w:val="white"/>
        </w:rPr>
        <w:t>　　(4)承包人未能按合同进度计划及时完成合同约定的工作，已造成或预期造成工期延误；</w:t>
      </w:r>
    </w:p>
    <w:p w14:paraId="1AB541CC">
      <w:pPr>
        <w:spacing w:line="500" w:lineRule="exact"/>
        <w:rPr>
          <w:rFonts w:hint="eastAsia" w:ascii="宋体" w:hAnsi="宋体" w:cs="宋体"/>
          <w:sz w:val="24"/>
        </w:rPr>
      </w:pPr>
      <w:r>
        <w:rPr>
          <w:rFonts w:hint="eastAsia" w:ascii="宋体" w:hAnsi="宋体" w:cs="宋体"/>
          <w:sz w:val="24"/>
          <w:highlight w:val="white"/>
        </w:rPr>
        <w:t>　　(5)承包人在缺陷责任期(工程质量保修期)内，未能对合同工程完工验收鉴定书所列的缺陷清单的内容或缺陷责任期(工程质量保修期)内发生的缺陷进行修复，而又拒绝按监理人指示再进行修补；</w:t>
      </w:r>
    </w:p>
    <w:p w14:paraId="1B82880A">
      <w:pPr>
        <w:spacing w:line="500" w:lineRule="exact"/>
        <w:rPr>
          <w:rFonts w:hint="eastAsia" w:ascii="宋体" w:hAnsi="宋体" w:cs="宋体"/>
          <w:sz w:val="24"/>
        </w:rPr>
      </w:pPr>
      <w:r>
        <w:rPr>
          <w:rFonts w:hint="eastAsia" w:ascii="宋体" w:hAnsi="宋体" w:cs="宋体"/>
          <w:sz w:val="24"/>
          <w:highlight w:val="white"/>
        </w:rPr>
        <w:t>　　(6)承包人无法继续履行或明确表示不履行或实质上已停止履行合同；</w:t>
      </w:r>
    </w:p>
    <w:p w14:paraId="25C74D3C">
      <w:pPr>
        <w:spacing w:line="500" w:lineRule="exact"/>
        <w:ind w:firstLine="420"/>
        <w:rPr>
          <w:rFonts w:hint="eastAsia" w:ascii="宋体" w:hAnsi="宋体" w:cs="宋体"/>
          <w:sz w:val="24"/>
        </w:rPr>
      </w:pPr>
      <w:r>
        <w:rPr>
          <w:rFonts w:hint="eastAsia" w:ascii="宋体" w:hAnsi="宋体" w:cs="宋体"/>
          <w:sz w:val="24"/>
          <w:highlight w:val="white"/>
        </w:rPr>
        <w:t>(7)承包人不按合同约定履行义务的其它情况。</w:t>
      </w:r>
    </w:p>
    <w:p w14:paraId="2A79848B">
      <w:pPr>
        <w:spacing w:line="500" w:lineRule="exact"/>
        <w:ind w:firstLine="480" w:firstLineChars="200"/>
        <w:rPr>
          <w:rFonts w:hint="eastAsia" w:ascii="宋体" w:hAnsi="宋体" w:cs="宋体"/>
          <w:sz w:val="24"/>
        </w:rPr>
      </w:pPr>
      <w:r>
        <w:rPr>
          <w:rFonts w:hint="eastAsia" w:ascii="宋体" w:hAnsi="宋体" w:cs="宋体"/>
          <w:sz w:val="24"/>
          <w:highlight w:val="white"/>
        </w:rPr>
        <w:t>22.1.2 对承包人违约的处理</w:t>
      </w:r>
    </w:p>
    <w:p w14:paraId="3E25825A">
      <w:pPr>
        <w:spacing w:line="500" w:lineRule="exact"/>
        <w:ind w:firstLine="480" w:firstLineChars="200"/>
        <w:rPr>
          <w:rFonts w:hint="eastAsia" w:ascii="宋体" w:hAnsi="宋体" w:cs="宋体"/>
          <w:sz w:val="24"/>
        </w:rPr>
      </w:pPr>
      <w:r>
        <w:rPr>
          <w:rFonts w:hint="eastAsia" w:ascii="宋体" w:hAnsi="宋体" w:cs="宋体"/>
          <w:sz w:val="24"/>
          <w:highlight w:val="white"/>
        </w:rPr>
        <w:t>（1）承包人发生第22.1.1（6）目约定的违约情况时，发包人可通知承包人立即解除合同，并按有关法律处理。</w:t>
      </w:r>
    </w:p>
    <w:p w14:paraId="5F6F3CA5">
      <w:pPr>
        <w:spacing w:line="500" w:lineRule="exact"/>
        <w:ind w:firstLine="480" w:firstLineChars="200"/>
        <w:rPr>
          <w:rFonts w:hint="eastAsia" w:ascii="宋体" w:hAnsi="宋体" w:cs="宋体"/>
          <w:sz w:val="24"/>
        </w:rPr>
      </w:pPr>
      <w:r>
        <w:rPr>
          <w:rFonts w:hint="eastAsia" w:ascii="宋体" w:hAnsi="宋体" w:cs="宋体"/>
          <w:sz w:val="24"/>
          <w:highlight w:val="white"/>
        </w:rPr>
        <w:t>（2）承包人发生除第22.1.1（6）目约定以外的其他违约情况时，监理人可向承包人发出整改通知，要求其在指定的期限内改正。承包人应承担其违约所引起的费用增加和（或）工期延误。</w:t>
      </w:r>
    </w:p>
    <w:p w14:paraId="3F4B7BFB">
      <w:pPr>
        <w:spacing w:line="500" w:lineRule="exact"/>
        <w:ind w:firstLine="480" w:firstLineChars="200"/>
        <w:rPr>
          <w:rFonts w:hint="eastAsia" w:ascii="宋体" w:hAnsi="宋体" w:cs="宋体"/>
          <w:sz w:val="24"/>
        </w:rPr>
      </w:pPr>
      <w:r>
        <w:rPr>
          <w:rFonts w:hint="eastAsia" w:ascii="宋体" w:hAnsi="宋体" w:cs="宋体"/>
          <w:sz w:val="24"/>
          <w:highlight w:val="white"/>
        </w:rPr>
        <w:t>（3）经检查证明承包人已采取了有效措施纠正违约行为，具备复工条件的，可由监理人签发复工通知复工。</w:t>
      </w:r>
    </w:p>
    <w:p w14:paraId="001732AB">
      <w:pPr>
        <w:spacing w:line="500" w:lineRule="exact"/>
        <w:ind w:firstLine="480" w:firstLineChars="200"/>
        <w:rPr>
          <w:rFonts w:hint="eastAsia" w:ascii="宋体" w:hAnsi="宋体" w:cs="宋体"/>
          <w:sz w:val="24"/>
        </w:rPr>
      </w:pPr>
      <w:r>
        <w:rPr>
          <w:rFonts w:hint="eastAsia" w:ascii="宋体" w:hAnsi="宋体" w:cs="宋体"/>
          <w:sz w:val="24"/>
          <w:highlight w:val="white"/>
        </w:rPr>
        <w:t>22.1.3 承包人违约解除合同</w:t>
      </w:r>
    </w:p>
    <w:p w14:paraId="2DA338BE">
      <w:pPr>
        <w:spacing w:line="500" w:lineRule="exact"/>
        <w:ind w:firstLine="480" w:firstLineChars="200"/>
        <w:rPr>
          <w:rFonts w:hint="eastAsia" w:ascii="宋体" w:hAnsi="宋体" w:cs="宋体"/>
          <w:sz w:val="24"/>
        </w:rPr>
      </w:pPr>
      <w:r>
        <w:rPr>
          <w:rFonts w:hint="eastAsia" w:ascii="宋体" w:hAnsi="宋体" w:cs="宋体"/>
          <w:sz w:val="24"/>
          <w:highlight w:val="whit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1F95CFB0">
      <w:pPr>
        <w:spacing w:line="500" w:lineRule="exact"/>
        <w:ind w:firstLine="480" w:firstLineChars="200"/>
        <w:rPr>
          <w:rFonts w:hint="eastAsia" w:ascii="宋体" w:hAnsi="宋体" w:cs="宋体"/>
          <w:sz w:val="24"/>
        </w:rPr>
      </w:pPr>
      <w:r>
        <w:rPr>
          <w:rFonts w:hint="eastAsia" w:ascii="宋体" w:hAnsi="宋体" w:cs="宋体"/>
          <w:sz w:val="24"/>
          <w:highlight w:val="white"/>
        </w:rPr>
        <w:t>22.1.4 合同解除后的估价、付款和结清</w:t>
      </w:r>
    </w:p>
    <w:p w14:paraId="77C28254">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（1）合同解除后，监理人按第3.5款商定或确定承包人实际完成工作的价值，以及承包人已提供的材料、施工设备、工程设备和临时工程等的价值。 </w:t>
      </w:r>
    </w:p>
    <w:p w14:paraId="137B28C1">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（2）合同解除后，发包人应暂停对承包人的一切付款，查清各项付款和已扣款金额，包括承包人应支付的违约金。 </w:t>
      </w:r>
    </w:p>
    <w:p w14:paraId="20861923">
      <w:pPr>
        <w:spacing w:line="500" w:lineRule="exact"/>
        <w:ind w:firstLine="480" w:firstLineChars="200"/>
        <w:rPr>
          <w:rFonts w:hint="eastAsia" w:ascii="宋体" w:hAnsi="宋体" w:cs="宋体"/>
          <w:sz w:val="24"/>
        </w:rPr>
      </w:pPr>
      <w:r>
        <w:rPr>
          <w:rFonts w:hint="eastAsia" w:ascii="宋体" w:hAnsi="宋体" w:cs="宋体"/>
          <w:sz w:val="24"/>
          <w:highlight w:val="white"/>
        </w:rPr>
        <w:t>（3）合同解除后，发包人应按第23.4款的约定向承包人索赔由于解除合同给发包人造成的损失。</w:t>
      </w:r>
    </w:p>
    <w:p w14:paraId="39E171D2">
      <w:pPr>
        <w:spacing w:line="500" w:lineRule="exact"/>
        <w:ind w:firstLine="480" w:firstLineChars="200"/>
        <w:rPr>
          <w:rFonts w:hint="eastAsia" w:ascii="宋体" w:hAnsi="宋体" w:cs="宋体"/>
          <w:sz w:val="24"/>
        </w:rPr>
      </w:pPr>
      <w:r>
        <w:rPr>
          <w:rFonts w:hint="eastAsia" w:ascii="宋体" w:hAnsi="宋体" w:cs="宋体"/>
          <w:sz w:val="24"/>
          <w:highlight w:val="white"/>
        </w:rPr>
        <w:t>（4）合同双方确认上述往来款项后，出具最终结清付款证书，结清全部合同款项。</w:t>
      </w:r>
    </w:p>
    <w:p w14:paraId="08DEF946">
      <w:pPr>
        <w:spacing w:line="500" w:lineRule="exact"/>
        <w:ind w:firstLine="480" w:firstLineChars="200"/>
        <w:rPr>
          <w:rFonts w:hint="eastAsia" w:ascii="宋体" w:hAnsi="宋体" w:cs="宋体"/>
          <w:sz w:val="24"/>
        </w:rPr>
      </w:pPr>
      <w:r>
        <w:rPr>
          <w:rFonts w:hint="eastAsia" w:ascii="宋体" w:hAnsi="宋体" w:cs="宋体"/>
          <w:sz w:val="24"/>
          <w:highlight w:val="white"/>
        </w:rPr>
        <w:t>（5）发包人和承包人未能就解除合同后的结清达成一致而形成争议的，按第24条的约定办理。</w:t>
      </w:r>
    </w:p>
    <w:p w14:paraId="4198AE9B">
      <w:pPr>
        <w:spacing w:line="500" w:lineRule="exact"/>
        <w:ind w:firstLine="480" w:firstLineChars="200"/>
        <w:rPr>
          <w:rFonts w:hint="eastAsia" w:ascii="宋体" w:hAnsi="宋体" w:cs="宋体"/>
          <w:sz w:val="24"/>
        </w:rPr>
      </w:pPr>
      <w:r>
        <w:rPr>
          <w:rFonts w:hint="eastAsia" w:ascii="宋体" w:hAnsi="宋体" w:cs="宋体"/>
          <w:sz w:val="24"/>
          <w:highlight w:val="white"/>
        </w:rPr>
        <w:t>22.1.5 协议利益的转让</w:t>
      </w:r>
    </w:p>
    <w:p w14:paraId="63C198D7">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因承包人违约解除合同的，发包人有权要求承包人将其为实施合同而签订的材料和设备的订货协议或任何服务协议利益转让给发包人，并在解除合同后的14天内，依法办理转让手续。 </w:t>
      </w:r>
    </w:p>
    <w:p w14:paraId="5552B94A">
      <w:pPr>
        <w:spacing w:line="500" w:lineRule="exact"/>
        <w:ind w:firstLine="480" w:firstLineChars="200"/>
        <w:rPr>
          <w:rFonts w:hint="eastAsia" w:ascii="宋体" w:hAnsi="宋体" w:cs="宋体"/>
          <w:sz w:val="24"/>
        </w:rPr>
      </w:pPr>
      <w:r>
        <w:rPr>
          <w:rFonts w:hint="eastAsia" w:ascii="宋体" w:hAnsi="宋体" w:cs="宋体"/>
          <w:sz w:val="24"/>
          <w:highlight w:val="white"/>
        </w:rPr>
        <w:t>22.1.6 紧急情况下无能力或不愿进行抢救</w:t>
      </w:r>
    </w:p>
    <w:p w14:paraId="1F9195EC">
      <w:pPr>
        <w:spacing w:line="500" w:lineRule="exact"/>
        <w:ind w:firstLine="420"/>
        <w:rPr>
          <w:rFonts w:hint="eastAsia" w:ascii="宋体" w:hAnsi="宋体" w:cs="宋体"/>
          <w:sz w:val="24"/>
        </w:rPr>
      </w:pPr>
      <w:r>
        <w:rPr>
          <w:rFonts w:hint="eastAsia" w:ascii="宋体" w:hAnsi="宋体" w:cs="宋体"/>
          <w:sz w:val="24"/>
          <w:highlight w:val="whit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AF4F8A6">
      <w:pPr>
        <w:spacing w:line="500" w:lineRule="exact"/>
        <w:outlineLvl w:val="3"/>
        <w:rPr>
          <w:rFonts w:hint="eastAsia" w:ascii="宋体" w:hAnsi="宋体" w:cs="宋体"/>
          <w:sz w:val="24"/>
        </w:rPr>
      </w:pPr>
      <w:r>
        <w:rPr>
          <w:rFonts w:hint="eastAsia" w:ascii="宋体" w:hAnsi="宋体" w:cs="宋体"/>
          <w:sz w:val="24"/>
          <w:highlight w:val="white"/>
        </w:rPr>
        <w:t>22.2 发包人违约</w:t>
      </w:r>
    </w:p>
    <w:p w14:paraId="54DE136C">
      <w:pPr>
        <w:spacing w:line="500" w:lineRule="exact"/>
        <w:ind w:firstLine="480" w:firstLineChars="200"/>
        <w:rPr>
          <w:rFonts w:hint="eastAsia" w:ascii="宋体" w:hAnsi="宋体" w:cs="宋体"/>
          <w:sz w:val="24"/>
        </w:rPr>
      </w:pPr>
      <w:r>
        <w:rPr>
          <w:rFonts w:hint="eastAsia" w:ascii="宋体" w:hAnsi="宋体" w:cs="宋体"/>
          <w:sz w:val="24"/>
          <w:highlight w:val="white"/>
        </w:rPr>
        <w:t>22.2.1 发包人违约的情形</w:t>
      </w:r>
    </w:p>
    <w:p w14:paraId="63C9D449">
      <w:pPr>
        <w:spacing w:line="500" w:lineRule="exact"/>
        <w:ind w:firstLine="480" w:firstLineChars="200"/>
        <w:rPr>
          <w:rFonts w:hint="eastAsia" w:ascii="宋体" w:hAnsi="宋体" w:cs="宋体"/>
          <w:sz w:val="24"/>
        </w:rPr>
      </w:pPr>
      <w:r>
        <w:rPr>
          <w:rFonts w:hint="eastAsia" w:ascii="宋体" w:hAnsi="宋体" w:cs="宋体"/>
          <w:sz w:val="24"/>
          <w:highlight w:val="white"/>
        </w:rPr>
        <w:t>在履行合同过程中发生的下列情形，属发包人违约：</w:t>
      </w:r>
    </w:p>
    <w:p w14:paraId="74643599">
      <w:pPr>
        <w:spacing w:line="500" w:lineRule="exact"/>
        <w:ind w:firstLine="480" w:firstLineChars="200"/>
        <w:rPr>
          <w:rFonts w:hint="eastAsia" w:ascii="宋体" w:hAnsi="宋体" w:cs="宋体"/>
          <w:sz w:val="24"/>
        </w:rPr>
      </w:pPr>
      <w:r>
        <w:rPr>
          <w:rFonts w:hint="eastAsia" w:ascii="宋体" w:hAnsi="宋体" w:cs="宋体"/>
          <w:sz w:val="24"/>
          <w:highlight w:val="white"/>
        </w:rPr>
        <w:t>（1）发包人未能按合同约定支付预付款或合同价款，或拖延、拒绝批准付款申请和支付凭证，导致付款延误的；</w:t>
      </w:r>
    </w:p>
    <w:p w14:paraId="14F93E2F">
      <w:pPr>
        <w:spacing w:line="500" w:lineRule="exact"/>
        <w:ind w:firstLine="480" w:firstLineChars="200"/>
        <w:rPr>
          <w:rFonts w:hint="eastAsia" w:ascii="宋体" w:hAnsi="宋体" w:cs="宋体"/>
          <w:sz w:val="24"/>
        </w:rPr>
      </w:pPr>
      <w:r>
        <w:rPr>
          <w:rFonts w:hint="eastAsia" w:ascii="宋体" w:hAnsi="宋体" w:cs="宋体"/>
          <w:sz w:val="24"/>
          <w:highlight w:val="white"/>
        </w:rPr>
        <w:t>（2）发包人原因造成停工的；</w:t>
      </w:r>
    </w:p>
    <w:p w14:paraId="1F8BA872">
      <w:pPr>
        <w:spacing w:line="500" w:lineRule="exact"/>
        <w:ind w:firstLine="480" w:firstLineChars="200"/>
        <w:rPr>
          <w:rFonts w:hint="eastAsia" w:ascii="宋体" w:hAnsi="宋体" w:cs="宋体"/>
          <w:sz w:val="24"/>
        </w:rPr>
      </w:pPr>
      <w:r>
        <w:rPr>
          <w:rFonts w:hint="eastAsia" w:ascii="宋体" w:hAnsi="宋体" w:cs="宋体"/>
          <w:sz w:val="24"/>
          <w:highlight w:val="white"/>
        </w:rPr>
        <w:t>（3）监理人无正当理由没有在约定期限内发出复工指示，导致承包人无法复工的；</w:t>
      </w:r>
    </w:p>
    <w:p w14:paraId="07AFD83C">
      <w:pPr>
        <w:spacing w:line="500" w:lineRule="exact"/>
        <w:ind w:firstLine="480" w:firstLineChars="200"/>
        <w:rPr>
          <w:rFonts w:hint="eastAsia" w:ascii="宋体" w:hAnsi="宋体" w:cs="宋体"/>
          <w:sz w:val="24"/>
        </w:rPr>
      </w:pPr>
      <w:r>
        <w:rPr>
          <w:rFonts w:hint="eastAsia" w:ascii="宋体" w:hAnsi="宋体" w:cs="宋体"/>
          <w:sz w:val="24"/>
          <w:highlight w:val="white"/>
        </w:rPr>
        <w:t>（4）发包人无法继续履行或明确表示不履行或实质上已停止履行合同的；</w:t>
      </w:r>
    </w:p>
    <w:p w14:paraId="588C6772">
      <w:pPr>
        <w:spacing w:line="500" w:lineRule="exact"/>
        <w:ind w:firstLine="480" w:firstLineChars="200"/>
        <w:rPr>
          <w:rFonts w:hint="eastAsia" w:ascii="宋体" w:hAnsi="宋体" w:cs="宋体"/>
          <w:sz w:val="24"/>
        </w:rPr>
      </w:pPr>
      <w:r>
        <w:rPr>
          <w:rFonts w:hint="eastAsia" w:ascii="宋体" w:hAnsi="宋体" w:cs="宋体"/>
          <w:sz w:val="24"/>
          <w:highlight w:val="white"/>
        </w:rPr>
        <w:t>（5）发包人不履行合同约定其他义务的。</w:t>
      </w:r>
    </w:p>
    <w:p w14:paraId="4720D8A9">
      <w:pPr>
        <w:spacing w:line="500" w:lineRule="exact"/>
        <w:ind w:firstLine="480" w:firstLineChars="200"/>
        <w:rPr>
          <w:rFonts w:hint="eastAsia" w:ascii="宋体" w:hAnsi="宋体" w:cs="宋体"/>
          <w:sz w:val="24"/>
        </w:rPr>
      </w:pPr>
      <w:r>
        <w:rPr>
          <w:rFonts w:hint="eastAsia" w:ascii="宋体" w:hAnsi="宋体" w:cs="宋体"/>
          <w:sz w:val="24"/>
          <w:highlight w:val="white"/>
        </w:rPr>
        <w:t>22.2.2 承包人有权暂停施工</w:t>
      </w:r>
    </w:p>
    <w:p w14:paraId="6D0E2FB5">
      <w:pPr>
        <w:spacing w:line="500" w:lineRule="exact"/>
        <w:ind w:firstLine="480" w:firstLineChars="200"/>
        <w:rPr>
          <w:rFonts w:hint="eastAsia" w:ascii="宋体" w:hAnsi="宋体" w:cs="宋体"/>
          <w:sz w:val="24"/>
        </w:rPr>
      </w:pPr>
      <w:r>
        <w:rPr>
          <w:rFonts w:hint="eastAsia" w:ascii="宋体" w:hAnsi="宋体" w:cs="宋体"/>
          <w:sz w:val="24"/>
          <w:highlight w:val="whit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A4A85F1">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22.2.3 发包人违约解除合同 </w:t>
      </w:r>
    </w:p>
    <w:p w14:paraId="14E3E1E6">
      <w:pPr>
        <w:spacing w:line="500" w:lineRule="exact"/>
        <w:ind w:firstLine="480" w:firstLineChars="200"/>
        <w:rPr>
          <w:rFonts w:hint="eastAsia" w:ascii="宋体" w:hAnsi="宋体" w:cs="宋体"/>
          <w:sz w:val="24"/>
        </w:rPr>
      </w:pPr>
      <w:r>
        <w:rPr>
          <w:rFonts w:hint="eastAsia" w:ascii="宋体" w:hAnsi="宋体" w:cs="宋体"/>
          <w:sz w:val="24"/>
          <w:highlight w:val="white"/>
        </w:rPr>
        <w:t xml:space="preserve">（1）发生第22.2.1（4）目的违约情况时，承包人可书面通知发包人解除合同。   </w:t>
      </w:r>
    </w:p>
    <w:p w14:paraId="5A6F03FA">
      <w:pPr>
        <w:spacing w:line="500" w:lineRule="exact"/>
        <w:ind w:firstLine="480" w:firstLineChars="200"/>
        <w:rPr>
          <w:rFonts w:hint="eastAsia" w:ascii="宋体" w:hAnsi="宋体" w:cs="宋体"/>
          <w:sz w:val="24"/>
        </w:rPr>
      </w:pPr>
      <w:r>
        <w:rPr>
          <w:rFonts w:hint="eastAsia" w:ascii="宋体" w:hAnsi="宋体" w:cs="宋体"/>
          <w:sz w:val="24"/>
          <w:highlight w:val="whit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195DD944">
      <w:pPr>
        <w:spacing w:line="500" w:lineRule="exact"/>
        <w:ind w:firstLine="480" w:firstLineChars="200"/>
        <w:rPr>
          <w:rFonts w:hint="eastAsia" w:ascii="宋体" w:hAnsi="宋体" w:cs="宋体"/>
          <w:sz w:val="24"/>
        </w:rPr>
      </w:pPr>
      <w:r>
        <w:rPr>
          <w:rFonts w:hint="eastAsia" w:ascii="宋体" w:hAnsi="宋体" w:cs="宋体"/>
          <w:sz w:val="24"/>
          <w:highlight w:val="white"/>
        </w:rPr>
        <w:t>22.2.4 解除合同后的付款</w:t>
      </w:r>
    </w:p>
    <w:p w14:paraId="298F45D3">
      <w:pPr>
        <w:spacing w:line="500" w:lineRule="exact"/>
        <w:ind w:firstLine="480" w:firstLineChars="200"/>
        <w:rPr>
          <w:rFonts w:hint="eastAsia" w:ascii="宋体" w:hAnsi="宋体" w:cs="宋体"/>
          <w:sz w:val="24"/>
        </w:rPr>
      </w:pPr>
      <w:r>
        <w:rPr>
          <w:rFonts w:hint="eastAsia" w:ascii="宋体" w:hAnsi="宋体" w:cs="宋体"/>
          <w:sz w:val="24"/>
          <w:highlight w:val="white"/>
        </w:rPr>
        <w:t>因发包人违约解除合同的，发包人应在解除合同后28天内向承包人支付下列金额，承包人应在此期限内及时向发包人提交要求支付下列金额的有关资料和凭证：</w:t>
      </w:r>
    </w:p>
    <w:p w14:paraId="0A91BBF9">
      <w:pPr>
        <w:spacing w:line="500" w:lineRule="exact"/>
        <w:ind w:firstLine="480" w:firstLineChars="200"/>
        <w:rPr>
          <w:rFonts w:hint="eastAsia" w:ascii="宋体" w:hAnsi="宋体" w:cs="宋体"/>
          <w:sz w:val="24"/>
        </w:rPr>
      </w:pPr>
      <w:r>
        <w:rPr>
          <w:rFonts w:hint="eastAsia" w:ascii="宋体" w:hAnsi="宋体" w:cs="宋体"/>
          <w:sz w:val="24"/>
          <w:highlight w:val="white"/>
        </w:rPr>
        <w:t>（1）合同解除日以前所完成工作的价款；</w:t>
      </w:r>
    </w:p>
    <w:p w14:paraId="17D019CA">
      <w:pPr>
        <w:spacing w:line="500" w:lineRule="exact"/>
        <w:ind w:firstLine="480" w:firstLineChars="200"/>
        <w:rPr>
          <w:rFonts w:hint="eastAsia" w:ascii="宋体" w:hAnsi="宋体" w:cs="宋体"/>
          <w:sz w:val="24"/>
        </w:rPr>
      </w:pPr>
      <w:r>
        <w:rPr>
          <w:rFonts w:hint="eastAsia" w:ascii="宋体" w:hAnsi="宋体" w:cs="宋体"/>
          <w:sz w:val="24"/>
          <w:highlight w:val="white"/>
        </w:rPr>
        <w:t>（2）承包人为该工程施工订购并已付款的材料、工程设备和其他物品的金额。发包人付还后，该材料、工程设备和其他物品归发包人所有；</w:t>
      </w:r>
    </w:p>
    <w:p w14:paraId="647C451C">
      <w:pPr>
        <w:spacing w:line="500" w:lineRule="exact"/>
        <w:ind w:firstLine="480" w:firstLineChars="200"/>
        <w:rPr>
          <w:rFonts w:hint="eastAsia" w:ascii="宋体" w:hAnsi="宋体" w:cs="宋体"/>
          <w:sz w:val="24"/>
        </w:rPr>
      </w:pPr>
      <w:r>
        <w:rPr>
          <w:rFonts w:hint="eastAsia" w:ascii="宋体" w:hAnsi="宋体" w:cs="宋体"/>
          <w:sz w:val="24"/>
          <w:highlight w:val="white"/>
        </w:rPr>
        <w:t>（3）承包人为完成工程所发生的，而发包人未支付的金额；</w:t>
      </w:r>
    </w:p>
    <w:p w14:paraId="52EDD7DF">
      <w:pPr>
        <w:spacing w:line="500" w:lineRule="exact"/>
        <w:ind w:firstLine="480" w:firstLineChars="200"/>
        <w:rPr>
          <w:rFonts w:hint="eastAsia" w:ascii="宋体" w:hAnsi="宋体" w:cs="宋体"/>
          <w:sz w:val="24"/>
        </w:rPr>
      </w:pPr>
      <w:r>
        <w:rPr>
          <w:rFonts w:hint="eastAsia" w:ascii="宋体" w:hAnsi="宋体" w:cs="宋体"/>
          <w:sz w:val="24"/>
          <w:highlight w:val="white"/>
        </w:rPr>
        <w:t>（4）承包人撤离施工场地以及遣散承包人人员的金额；</w:t>
      </w:r>
    </w:p>
    <w:p w14:paraId="04C41739">
      <w:pPr>
        <w:spacing w:line="500" w:lineRule="exact"/>
        <w:ind w:firstLine="480" w:firstLineChars="200"/>
        <w:rPr>
          <w:rFonts w:hint="eastAsia" w:ascii="宋体" w:hAnsi="宋体" w:cs="宋体"/>
          <w:sz w:val="24"/>
        </w:rPr>
      </w:pPr>
      <w:r>
        <w:rPr>
          <w:rFonts w:hint="eastAsia" w:ascii="宋体" w:hAnsi="宋体" w:cs="宋体"/>
          <w:sz w:val="24"/>
          <w:highlight w:val="white"/>
        </w:rPr>
        <w:t>（5）由于解除合同应赔偿的承包人损失；</w:t>
      </w:r>
    </w:p>
    <w:p w14:paraId="2C783893">
      <w:pPr>
        <w:spacing w:line="500" w:lineRule="exact"/>
        <w:ind w:firstLine="480" w:firstLineChars="200"/>
        <w:rPr>
          <w:rFonts w:hint="eastAsia" w:ascii="宋体" w:hAnsi="宋体" w:cs="宋体"/>
          <w:sz w:val="24"/>
        </w:rPr>
      </w:pPr>
      <w:r>
        <w:rPr>
          <w:rFonts w:hint="eastAsia" w:ascii="宋体" w:hAnsi="宋体" w:cs="宋体"/>
          <w:sz w:val="24"/>
          <w:highlight w:val="white"/>
        </w:rPr>
        <w:t>（6）按合同约定在合同解除日前应支付给承包人的其他金额。</w:t>
      </w:r>
    </w:p>
    <w:p w14:paraId="6003465B">
      <w:pPr>
        <w:spacing w:line="500" w:lineRule="exact"/>
        <w:ind w:firstLine="480" w:firstLineChars="200"/>
        <w:rPr>
          <w:rFonts w:hint="eastAsia" w:ascii="宋体" w:hAnsi="宋体" w:cs="宋体"/>
          <w:sz w:val="24"/>
        </w:rPr>
      </w:pPr>
      <w:r>
        <w:rPr>
          <w:rFonts w:hint="eastAsia" w:ascii="宋体" w:hAnsi="宋体" w:cs="宋体"/>
          <w:sz w:val="24"/>
          <w:highlight w:val="white"/>
        </w:rPr>
        <w:t>发包人应按本项约定支付上述金额并退还质量保证金和履约担保，但有权要求承包人支付应偿还给发包人的各项金额。</w:t>
      </w:r>
    </w:p>
    <w:p w14:paraId="3AE704CA">
      <w:pPr>
        <w:spacing w:line="500" w:lineRule="exact"/>
        <w:ind w:firstLine="480" w:firstLineChars="200"/>
        <w:rPr>
          <w:rFonts w:hint="eastAsia" w:ascii="宋体" w:hAnsi="宋体" w:cs="宋体"/>
          <w:sz w:val="24"/>
        </w:rPr>
      </w:pPr>
      <w:r>
        <w:rPr>
          <w:rFonts w:hint="eastAsia" w:ascii="宋体" w:hAnsi="宋体" w:cs="宋体"/>
          <w:sz w:val="24"/>
          <w:highlight w:val="white"/>
        </w:rPr>
        <w:t>22.2.5 解除合同后的承包人撤离</w:t>
      </w:r>
    </w:p>
    <w:p w14:paraId="2AF58EA9">
      <w:pPr>
        <w:spacing w:line="500" w:lineRule="exact"/>
        <w:ind w:firstLine="480" w:firstLineChars="200"/>
        <w:rPr>
          <w:rFonts w:hint="eastAsia" w:ascii="宋体" w:hAnsi="宋体" w:cs="宋体"/>
          <w:sz w:val="24"/>
        </w:rPr>
      </w:pPr>
      <w:r>
        <w:rPr>
          <w:rFonts w:hint="eastAsia" w:ascii="宋体" w:hAnsi="宋体" w:cs="宋体"/>
          <w:sz w:val="24"/>
          <w:highlight w:val="whit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58D3E59D">
      <w:pPr>
        <w:spacing w:line="500" w:lineRule="exact"/>
        <w:outlineLvl w:val="3"/>
        <w:rPr>
          <w:rFonts w:hint="eastAsia" w:ascii="宋体" w:hAnsi="宋体" w:cs="宋体"/>
          <w:sz w:val="24"/>
        </w:rPr>
      </w:pPr>
      <w:r>
        <w:rPr>
          <w:rFonts w:hint="eastAsia" w:ascii="宋体" w:hAnsi="宋体" w:cs="宋体"/>
          <w:sz w:val="24"/>
          <w:highlight w:val="white"/>
        </w:rPr>
        <w:t>22.3 第三人造成的违约</w:t>
      </w:r>
    </w:p>
    <w:p w14:paraId="659CB6DB">
      <w:pPr>
        <w:spacing w:line="500" w:lineRule="exact"/>
        <w:ind w:firstLine="480" w:firstLineChars="200"/>
        <w:rPr>
          <w:rFonts w:hint="eastAsia" w:ascii="宋体" w:hAnsi="宋体" w:cs="宋体"/>
          <w:sz w:val="24"/>
        </w:rPr>
      </w:pPr>
      <w:r>
        <w:rPr>
          <w:rFonts w:hint="eastAsia" w:ascii="宋体" w:hAnsi="宋体" w:cs="宋体"/>
          <w:sz w:val="24"/>
          <w:highlight w:val="white"/>
        </w:rPr>
        <w:t>在履行合同过程中，一方当事人因第三人的原因造成违约的，应当向对方当事人承担违约责任。一方当事人和第三人之间的纠纷，依照法律规定或者按照约定解决。</w:t>
      </w:r>
    </w:p>
    <w:p w14:paraId="102792E9">
      <w:pPr>
        <w:spacing w:line="500" w:lineRule="exact"/>
        <w:outlineLvl w:val="2"/>
        <w:rPr>
          <w:rFonts w:hint="eastAsia" w:ascii="宋体" w:hAnsi="宋体" w:cs="宋体"/>
          <w:sz w:val="24"/>
        </w:rPr>
      </w:pPr>
      <w:bookmarkStart w:id="117" w:name="_Toc149571669"/>
      <w:bookmarkStart w:id="118" w:name="_Toc256000130"/>
      <w:bookmarkStart w:id="119" w:name="_Toc149635782"/>
      <w:r>
        <w:rPr>
          <w:rFonts w:hint="eastAsia" w:ascii="宋体" w:hAnsi="宋体" w:cs="宋体"/>
          <w:sz w:val="24"/>
          <w:highlight w:val="white"/>
        </w:rPr>
        <w:t>23. 索赔</w:t>
      </w:r>
      <w:bookmarkEnd w:id="117"/>
      <w:bookmarkEnd w:id="118"/>
      <w:bookmarkEnd w:id="119"/>
    </w:p>
    <w:p w14:paraId="4C927798">
      <w:pPr>
        <w:spacing w:line="500" w:lineRule="exact"/>
        <w:outlineLvl w:val="3"/>
        <w:rPr>
          <w:rFonts w:hint="eastAsia" w:ascii="宋体" w:hAnsi="宋体" w:cs="宋体"/>
          <w:sz w:val="24"/>
        </w:rPr>
      </w:pPr>
      <w:r>
        <w:rPr>
          <w:rFonts w:hint="eastAsia" w:ascii="宋体" w:hAnsi="宋体" w:cs="宋体"/>
          <w:sz w:val="24"/>
          <w:highlight w:val="white"/>
        </w:rPr>
        <w:t>23.1 承包人索赔的提出</w:t>
      </w:r>
    </w:p>
    <w:p w14:paraId="0AE3D255">
      <w:pPr>
        <w:spacing w:line="500" w:lineRule="exact"/>
        <w:ind w:firstLine="480" w:firstLineChars="200"/>
        <w:rPr>
          <w:rFonts w:hint="eastAsia" w:ascii="宋体" w:hAnsi="宋体" w:cs="宋体"/>
          <w:sz w:val="24"/>
        </w:rPr>
      </w:pPr>
      <w:r>
        <w:rPr>
          <w:rFonts w:hint="eastAsia" w:ascii="宋体" w:hAnsi="宋体" w:cs="宋体"/>
          <w:sz w:val="24"/>
          <w:highlight w:val="white"/>
        </w:rPr>
        <w:t>根据合同约定，承包人认为有权得到追加付款和（或）延长工期的，应按以下程序向发包人提出索赔：</w:t>
      </w:r>
    </w:p>
    <w:p w14:paraId="5D212E3C">
      <w:pPr>
        <w:spacing w:line="500" w:lineRule="exact"/>
        <w:ind w:firstLine="410" w:firstLineChars="171"/>
        <w:rPr>
          <w:rFonts w:hint="eastAsia" w:ascii="宋体" w:hAnsi="宋体" w:cs="宋体"/>
          <w:sz w:val="24"/>
        </w:rPr>
      </w:pPr>
      <w:r>
        <w:rPr>
          <w:rFonts w:hint="eastAsia" w:ascii="宋体" w:hAnsi="宋体" w:cs="宋体"/>
          <w:sz w:val="24"/>
          <w:highlight w:val="whit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F04C335">
      <w:pPr>
        <w:spacing w:line="500" w:lineRule="exact"/>
        <w:ind w:firstLine="410" w:firstLineChars="171"/>
        <w:rPr>
          <w:rFonts w:hint="eastAsia" w:ascii="宋体" w:hAnsi="宋体" w:cs="宋体"/>
          <w:sz w:val="24"/>
        </w:rPr>
      </w:pPr>
      <w:r>
        <w:rPr>
          <w:rFonts w:hint="eastAsia" w:ascii="宋体" w:hAnsi="宋体" w:cs="宋体"/>
          <w:sz w:val="24"/>
          <w:highlight w:val="white"/>
        </w:rPr>
        <w:t>（2）承包人应在发出索赔意向通知书后28天内，向监理人正式递交索赔通知书</w:t>
      </w:r>
      <w:r>
        <w:rPr>
          <w:rFonts w:hint="eastAsia" w:ascii="宋体" w:hAnsi="宋体" w:eastAsia="宋体" w:cs="宋体"/>
          <w:sz w:val="24"/>
          <w:highlight w:val="white"/>
          <w:lang w:eastAsia="zh-CN"/>
        </w:rPr>
        <w:t>。</w:t>
      </w:r>
      <w:r>
        <w:rPr>
          <w:rFonts w:hint="eastAsia" w:ascii="宋体" w:hAnsi="宋体" w:cs="宋体"/>
          <w:sz w:val="24"/>
          <w:highlight w:val="white"/>
        </w:rPr>
        <w:t>索赔通知书应详细说明索赔理由以及要求追加的付款金额和（或）延长的工期，并附必要的记录和证明材料；</w:t>
      </w:r>
    </w:p>
    <w:p w14:paraId="32CABEAC">
      <w:pPr>
        <w:spacing w:line="500" w:lineRule="exact"/>
        <w:ind w:firstLine="410" w:firstLineChars="171"/>
        <w:rPr>
          <w:rFonts w:hint="eastAsia" w:ascii="宋体" w:hAnsi="宋体" w:cs="宋体"/>
          <w:sz w:val="24"/>
        </w:rPr>
      </w:pPr>
      <w:r>
        <w:rPr>
          <w:rFonts w:hint="eastAsia" w:ascii="宋体" w:hAnsi="宋体" w:cs="宋体"/>
          <w:sz w:val="24"/>
          <w:highlight w:val="white"/>
        </w:rPr>
        <w:t>（3）索赔事件具有连续影响的，承包人应按合理时间间隔继续递交延续索赔通知，说明连续影响的实际情况和记录，列出累计的追加付款金额和（或）工期延长天数；</w:t>
      </w:r>
    </w:p>
    <w:p w14:paraId="262F8337">
      <w:pPr>
        <w:spacing w:line="500" w:lineRule="exact"/>
        <w:ind w:firstLine="410" w:firstLineChars="171"/>
        <w:rPr>
          <w:rFonts w:hint="eastAsia" w:ascii="宋体" w:hAnsi="宋体" w:cs="宋体"/>
          <w:sz w:val="24"/>
        </w:rPr>
      </w:pPr>
      <w:r>
        <w:rPr>
          <w:rFonts w:hint="eastAsia" w:ascii="宋体" w:hAnsi="宋体" w:cs="宋体"/>
          <w:sz w:val="24"/>
          <w:highlight w:val="white"/>
        </w:rPr>
        <w:t>（4）在索赔事件影响结束后的28天内，承包人应向监理人递交最终索赔通知书</w:t>
      </w:r>
      <w:r>
        <w:rPr>
          <w:rFonts w:hint="eastAsia" w:ascii="宋体" w:hAnsi="宋体" w:eastAsia="宋体" w:cs="宋体"/>
          <w:sz w:val="24"/>
          <w:highlight w:val="white"/>
          <w:lang w:eastAsia="zh-CN"/>
        </w:rPr>
        <w:t>，</w:t>
      </w:r>
      <w:r>
        <w:rPr>
          <w:rFonts w:hint="eastAsia" w:ascii="宋体" w:hAnsi="宋体" w:cs="宋体"/>
          <w:sz w:val="24"/>
          <w:highlight w:val="white"/>
        </w:rPr>
        <w:t>说明最终要求索赔的追加付款金额和延长的工期，并附必要的记录和证明材料。</w:t>
      </w:r>
    </w:p>
    <w:p w14:paraId="587B2FB4">
      <w:pPr>
        <w:spacing w:line="500" w:lineRule="exact"/>
        <w:outlineLvl w:val="3"/>
        <w:rPr>
          <w:rFonts w:hint="eastAsia" w:ascii="宋体" w:hAnsi="宋体" w:cs="宋体"/>
          <w:sz w:val="24"/>
        </w:rPr>
      </w:pPr>
      <w:r>
        <w:rPr>
          <w:rFonts w:hint="eastAsia" w:ascii="宋体" w:hAnsi="宋体" w:cs="宋体"/>
          <w:sz w:val="24"/>
          <w:highlight w:val="white"/>
        </w:rPr>
        <w:t>23.2 承包人索赔处理程序</w:t>
      </w:r>
    </w:p>
    <w:p w14:paraId="7071D244">
      <w:pPr>
        <w:spacing w:line="500" w:lineRule="exact"/>
        <w:ind w:firstLine="410" w:firstLineChars="171"/>
        <w:rPr>
          <w:rFonts w:hint="eastAsia" w:ascii="宋体" w:hAnsi="宋体" w:cs="宋体"/>
          <w:sz w:val="24"/>
        </w:rPr>
      </w:pPr>
      <w:r>
        <w:rPr>
          <w:rFonts w:hint="eastAsia" w:ascii="宋体" w:hAnsi="宋体" w:cs="宋体"/>
          <w:sz w:val="24"/>
          <w:highlight w:val="white"/>
        </w:rPr>
        <w:t>（1）监理人收到承包人提交的索赔通知书后，应及时审查索赔通知书的内容、查验承包人的记录和证明材料，必要时监理人可要求承包人提交全部原始记录备份。</w:t>
      </w:r>
    </w:p>
    <w:p w14:paraId="55E392E4">
      <w:pPr>
        <w:spacing w:line="500" w:lineRule="exact"/>
        <w:ind w:firstLine="410" w:firstLineChars="171"/>
        <w:rPr>
          <w:rFonts w:hint="eastAsia" w:ascii="宋体" w:hAnsi="宋体" w:cs="宋体"/>
          <w:sz w:val="24"/>
        </w:rPr>
      </w:pPr>
      <w:r>
        <w:rPr>
          <w:rFonts w:hint="eastAsia" w:ascii="宋体" w:hAnsi="宋体" w:cs="宋体"/>
          <w:sz w:val="24"/>
          <w:highlight w:val="white"/>
        </w:rPr>
        <w:t>（2）监理人应按第3.5款商定或确定追加的付款和（或）延长的工期，并在收到上述索赔通知书或有关索赔的进一步证明材料后的42天内，将索赔处理结果答复承包人。</w:t>
      </w:r>
    </w:p>
    <w:p w14:paraId="58F628D7">
      <w:pPr>
        <w:spacing w:line="500" w:lineRule="exact"/>
        <w:ind w:firstLine="480" w:firstLineChars="200"/>
        <w:rPr>
          <w:rFonts w:hint="eastAsia" w:ascii="宋体" w:hAnsi="宋体" w:cs="宋体"/>
          <w:sz w:val="24"/>
        </w:rPr>
      </w:pPr>
      <w:r>
        <w:rPr>
          <w:rFonts w:hint="eastAsia" w:ascii="宋体" w:hAnsi="宋体" w:cs="宋体"/>
          <w:sz w:val="24"/>
          <w:highlight w:val="white"/>
        </w:rPr>
        <w:t>（3）承包人接受索赔处理结果的，发包人应在作出索赔处理结果答复后28天内完成赔付。承包人不接受索赔处理结果的，按第24条的约定办理。</w:t>
      </w:r>
    </w:p>
    <w:p w14:paraId="3B4228B2">
      <w:pPr>
        <w:spacing w:line="500" w:lineRule="exact"/>
        <w:outlineLvl w:val="3"/>
        <w:rPr>
          <w:rFonts w:hint="eastAsia" w:ascii="宋体" w:hAnsi="宋体" w:cs="宋体"/>
          <w:sz w:val="24"/>
        </w:rPr>
      </w:pPr>
      <w:r>
        <w:rPr>
          <w:rFonts w:hint="eastAsia" w:ascii="宋体" w:hAnsi="宋体" w:cs="宋体"/>
          <w:sz w:val="24"/>
          <w:highlight w:val="white"/>
        </w:rPr>
        <w:t>23.3 承包人提出索赔的期限</w:t>
      </w:r>
    </w:p>
    <w:p w14:paraId="52CDBDE0">
      <w:pPr>
        <w:spacing w:line="500" w:lineRule="exact"/>
        <w:rPr>
          <w:rFonts w:hint="eastAsia" w:ascii="宋体" w:hAnsi="宋体" w:cs="宋体"/>
          <w:sz w:val="24"/>
        </w:rPr>
      </w:pPr>
      <w:r>
        <w:rPr>
          <w:rFonts w:hint="eastAsia" w:ascii="宋体" w:hAnsi="宋体" w:cs="宋体"/>
          <w:sz w:val="24"/>
          <w:highlight w:val="white"/>
        </w:rPr>
        <w:t>　　23.3.1　承包人按第17.5款的约定接受了完工付款证书后，应被认为已无权再提出在合同工程完工证书颁发前所发生的任何索赔。</w:t>
      </w:r>
    </w:p>
    <w:p w14:paraId="7FF2FB61">
      <w:pPr>
        <w:spacing w:line="500" w:lineRule="exact"/>
        <w:rPr>
          <w:rFonts w:hint="eastAsia" w:ascii="宋体" w:hAnsi="宋体" w:cs="宋体"/>
          <w:sz w:val="24"/>
        </w:rPr>
      </w:pPr>
      <w:r>
        <w:rPr>
          <w:rFonts w:hint="eastAsia" w:ascii="宋体" w:hAnsi="宋体" w:cs="宋体"/>
          <w:sz w:val="24"/>
          <w:highlight w:val="white"/>
        </w:rPr>
        <w:t>　　23.3.2　承包人按第17.6款的约定提交的最终结清申请单中，只限于提出合同工程完工证书颁发后发生的索赔。提出索赔的期限自接受最终结清证书时终止。</w:t>
      </w:r>
    </w:p>
    <w:p w14:paraId="4032AB37">
      <w:pPr>
        <w:spacing w:line="500" w:lineRule="exact"/>
        <w:outlineLvl w:val="3"/>
        <w:rPr>
          <w:rFonts w:hint="eastAsia" w:ascii="宋体" w:hAnsi="宋体" w:cs="宋体"/>
          <w:sz w:val="24"/>
        </w:rPr>
      </w:pPr>
      <w:r>
        <w:rPr>
          <w:rFonts w:hint="eastAsia" w:ascii="宋体" w:hAnsi="宋体" w:cs="宋体"/>
          <w:sz w:val="24"/>
          <w:highlight w:val="white"/>
        </w:rPr>
        <w:t>23.4 发包人的索赔</w:t>
      </w:r>
    </w:p>
    <w:p w14:paraId="2E79951C">
      <w:pPr>
        <w:spacing w:line="500" w:lineRule="exact"/>
        <w:ind w:firstLine="480" w:firstLineChars="200"/>
        <w:rPr>
          <w:rFonts w:hint="eastAsia" w:ascii="宋体" w:hAnsi="宋体" w:cs="宋体"/>
          <w:sz w:val="24"/>
        </w:rPr>
      </w:pPr>
      <w:r>
        <w:rPr>
          <w:rFonts w:hint="eastAsia" w:ascii="宋体" w:hAnsi="宋体" w:cs="宋体"/>
          <w:sz w:val="24"/>
          <w:highlight w:val="whit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100ADB9B">
      <w:pPr>
        <w:spacing w:line="500" w:lineRule="exact"/>
        <w:ind w:firstLine="480" w:firstLineChars="200"/>
        <w:rPr>
          <w:rFonts w:hint="eastAsia" w:ascii="宋体" w:hAnsi="宋体" w:cs="宋体"/>
          <w:sz w:val="24"/>
        </w:rPr>
      </w:pPr>
      <w:r>
        <w:rPr>
          <w:rFonts w:hint="eastAsia" w:ascii="宋体" w:hAnsi="宋体" w:cs="宋体"/>
          <w:sz w:val="24"/>
          <w:highlight w:val="whit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169EB076">
      <w:pPr>
        <w:spacing w:line="500" w:lineRule="exact"/>
        <w:ind w:firstLine="480" w:firstLineChars="200"/>
        <w:rPr>
          <w:rFonts w:hint="eastAsia" w:ascii="宋体" w:hAnsi="宋体" w:cs="宋体"/>
          <w:sz w:val="24"/>
        </w:rPr>
      </w:pPr>
      <w:r>
        <w:rPr>
          <w:rFonts w:hint="eastAsia" w:ascii="宋体" w:hAnsi="宋体" w:cs="宋体"/>
          <w:sz w:val="24"/>
          <w:highlight w:val="white"/>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4002E7A9">
      <w:pPr>
        <w:spacing w:line="500" w:lineRule="exact"/>
        <w:ind w:firstLine="480" w:firstLineChars="200"/>
        <w:rPr>
          <w:rFonts w:hint="eastAsia" w:ascii="宋体" w:hAnsi="宋体" w:cs="宋体"/>
          <w:sz w:val="24"/>
        </w:rPr>
      </w:pPr>
      <w:r>
        <w:rPr>
          <w:rFonts w:hint="eastAsia" w:ascii="宋体" w:hAnsi="宋体" w:cs="宋体"/>
          <w:sz w:val="24"/>
          <w:highlight w:val="white"/>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31B9DC16">
      <w:pPr>
        <w:spacing w:line="500" w:lineRule="exact"/>
        <w:outlineLvl w:val="2"/>
        <w:rPr>
          <w:rFonts w:hint="eastAsia" w:ascii="宋体" w:hAnsi="宋体" w:cs="宋体"/>
          <w:sz w:val="24"/>
        </w:rPr>
      </w:pPr>
      <w:bookmarkStart w:id="120" w:name="_Toc149571670"/>
      <w:bookmarkStart w:id="121" w:name="_Toc149635783"/>
      <w:bookmarkStart w:id="122" w:name="_Toc256000131"/>
      <w:r>
        <w:rPr>
          <w:rFonts w:hint="eastAsia" w:ascii="宋体" w:hAnsi="宋体" w:cs="宋体"/>
          <w:sz w:val="24"/>
          <w:highlight w:val="white"/>
        </w:rPr>
        <w:t>24. 争议的解决</w:t>
      </w:r>
      <w:bookmarkEnd w:id="120"/>
      <w:bookmarkEnd w:id="121"/>
      <w:bookmarkEnd w:id="122"/>
    </w:p>
    <w:p w14:paraId="0317787C">
      <w:pPr>
        <w:spacing w:line="500" w:lineRule="exact"/>
        <w:outlineLvl w:val="3"/>
        <w:rPr>
          <w:rFonts w:hint="eastAsia" w:ascii="宋体" w:hAnsi="宋体" w:cs="宋体"/>
          <w:sz w:val="24"/>
        </w:rPr>
      </w:pPr>
      <w:r>
        <w:rPr>
          <w:rFonts w:hint="eastAsia" w:ascii="宋体" w:hAnsi="宋体" w:cs="宋体"/>
          <w:sz w:val="24"/>
          <w:highlight w:val="white"/>
        </w:rPr>
        <w:t>24.1 争议的解决方式</w:t>
      </w:r>
    </w:p>
    <w:p w14:paraId="5BA252D0">
      <w:pPr>
        <w:spacing w:line="500" w:lineRule="exact"/>
        <w:ind w:firstLine="480" w:firstLineChars="200"/>
        <w:rPr>
          <w:rFonts w:hint="eastAsia" w:ascii="宋体" w:hAnsi="宋体" w:cs="宋体"/>
          <w:sz w:val="24"/>
        </w:rPr>
      </w:pPr>
      <w:r>
        <w:rPr>
          <w:rFonts w:hint="eastAsia" w:ascii="宋体" w:hAnsi="宋体" w:cs="宋体"/>
          <w:sz w:val="24"/>
          <w:highlight w:val="whit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EE26ED7">
      <w:pPr>
        <w:spacing w:line="500" w:lineRule="exact"/>
        <w:ind w:firstLine="480" w:firstLineChars="200"/>
        <w:rPr>
          <w:rFonts w:hint="eastAsia" w:ascii="宋体" w:hAnsi="宋体" w:cs="宋体"/>
          <w:sz w:val="24"/>
        </w:rPr>
      </w:pPr>
      <w:r>
        <w:rPr>
          <w:rFonts w:hint="eastAsia" w:ascii="宋体" w:hAnsi="宋体" w:cs="宋体"/>
          <w:sz w:val="24"/>
          <w:highlight w:val="white"/>
        </w:rPr>
        <w:t>（1）向约定的仲裁委员会申请仲裁；</w:t>
      </w:r>
    </w:p>
    <w:p w14:paraId="27CC3286">
      <w:pPr>
        <w:spacing w:line="500" w:lineRule="exact"/>
        <w:ind w:firstLine="480" w:firstLineChars="200"/>
        <w:rPr>
          <w:rFonts w:hint="eastAsia" w:ascii="宋体" w:hAnsi="宋体" w:cs="宋体"/>
          <w:sz w:val="24"/>
        </w:rPr>
      </w:pPr>
      <w:r>
        <w:rPr>
          <w:rFonts w:hint="eastAsia" w:ascii="宋体" w:hAnsi="宋体" w:cs="宋体"/>
          <w:sz w:val="24"/>
          <w:highlight w:val="white"/>
        </w:rPr>
        <w:t>（2）向有管辖权的人民法院提起诉讼。</w:t>
      </w:r>
    </w:p>
    <w:p w14:paraId="4291196D">
      <w:pPr>
        <w:spacing w:line="500" w:lineRule="exact"/>
        <w:outlineLvl w:val="3"/>
        <w:rPr>
          <w:rFonts w:hint="eastAsia" w:ascii="宋体" w:hAnsi="宋体" w:cs="宋体"/>
          <w:sz w:val="24"/>
        </w:rPr>
      </w:pPr>
      <w:r>
        <w:rPr>
          <w:rFonts w:hint="eastAsia" w:ascii="宋体" w:hAnsi="宋体" w:cs="宋体"/>
          <w:sz w:val="24"/>
          <w:highlight w:val="white"/>
        </w:rPr>
        <w:t>24.2 友好解决</w:t>
      </w:r>
    </w:p>
    <w:p w14:paraId="358EE454">
      <w:pPr>
        <w:spacing w:line="500" w:lineRule="exact"/>
        <w:ind w:firstLine="480" w:firstLineChars="200"/>
        <w:rPr>
          <w:rFonts w:hint="eastAsia" w:ascii="宋体" w:hAnsi="宋体" w:cs="宋体"/>
          <w:sz w:val="24"/>
        </w:rPr>
      </w:pPr>
      <w:r>
        <w:rPr>
          <w:rFonts w:hint="eastAsia" w:ascii="宋体" w:hAnsi="宋体" w:cs="宋体"/>
          <w:sz w:val="24"/>
          <w:highlight w:val="white"/>
        </w:rPr>
        <w:t>在提请争议评审、仲裁或者诉讼前，以及在争议评审、仲裁或诉讼过程中，发包人和承包人均可共同努力友好协商解决争议。</w:t>
      </w:r>
    </w:p>
    <w:p w14:paraId="31D99B3B">
      <w:pPr>
        <w:spacing w:line="500" w:lineRule="exact"/>
        <w:outlineLvl w:val="3"/>
        <w:rPr>
          <w:rFonts w:hint="eastAsia" w:ascii="宋体" w:hAnsi="宋体" w:cs="宋体"/>
          <w:sz w:val="24"/>
        </w:rPr>
      </w:pPr>
      <w:r>
        <w:rPr>
          <w:rFonts w:hint="eastAsia" w:ascii="宋体" w:hAnsi="宋体" w:cs="宋体"/>
          <w:sz w:val="24"/>
          <w:highlight w:val="white"/>
        </w:rPr>
        <w:t>24.3 争议评审</w:t>
      </w:r>
    </w:p>
    <w:p w14:paraId="2143F5FA">
      <w:pPr>
        <w:spacing w:line="500" w:lineRule="exact"/>
        <w:ind w:firstLine="480" w:firstLineChars="200"/>
        <w:rPr>
          <w:rFonts w:hint="eastAsia" w:ascii="宋体" w:hAnsi="宋体" w:cs="宋体"/>
          <w:sz w:val="24"/>
        </w:rPr>
      </w:pPr>
      <w:r>
        <w:rPr>
          <w:rFonts w:hint="eastAsia" w:ascii="宋体" w:hAnsi="宋体" w:cs="宋体"/>
          <w:sz w:val="24"/>
          <w:highlight w:val="white"/>
        </w:rPr>
        <w:t>24.3.1 采用争议评审的，发包人和承包人应在开工日后的28天内或在争议发生后，协商成立争议评审组。争议评审组由有合同管理和工程实践经验的专家组成。</w:t>
      </w:r>
    </w:p>
    <w:p w14:paraId="4EE2EAB6">
      <w:pPr>
        <w:spacing w:line="500" w:lineRule="exact"/>
        <w:ind w:firstLine="480" w:firstLineChars="200"/>
        <w:rPr>
          <w:rFonts w:hint="eastAsia" w:ascii="宋体" w:hAnsi="宋体" w:cs="宋体"/>
          <w:sz w:val="24"/>
        </w:rPr>
      </w:pPr>
      <w:r>
        <w:rPr>
          <w:rFonts w:hint="eastAsia" w:ascii="宋体" w:hAnsi="宋体" w:cs="宋体"/>
          <w:sz w:val="24"/>
          <w:highlight w:val="white"/>
        </w:rPr>
        <w:t>24.3.2 合同双方的争议，应首先由申请人向争议评审组提交一份详细的评审申请报告，并附必要的文件、图纸和证明材料，申请人还应将上述报告的备份同时提交给被申请人和监理人。</w:t>
      </w:r>
    </w:p>
    <w:p w14:paraId="1DC1105E">
      <w:pPr>
        <w:spacing w:line="500" w:lineRule="exact"/>
        <w:ind w:firstLine="480" w:firstLineChars="200"/>
        <w:rPr>
          <w:rFonts w:hint="eastAsia" w:ascii="宋体" w:hAnsi="宋体" w:cs="宋体"/>
          <w:sz w:val="24"/>
        </w:rPr>
      </w:pPr>
      <w:r>
        <w:rPr>
          <w:rFonts w:hint="eastAsia" w:ascii="宋体" w:hAnsi="宋体" w:cs="宋体"/>
          <w:sz w:val="24"/>
          <w:highlight w:val="white"/>
        </w:rPr>
        <w:t>24.3.3 被申请人在收到申请人评审申请报告备份后的28天内，向争议评审组提交一份答辩报告，并附证明材料。被申请人应将答辩报告的备份同时提交给申请人和监理人。</w:t>
      </w:r>
    </w:p>
    <w:p w14:paraId="2FD94D08">
      <w:pPr>
        <w:spacing w:line="500" w:lineRule="exact"/>
        <w:ind w:firstLine="480" w:firstLineChars="200"/>
        <w:rPr>
          <w:rFonts w:hint="eastAsia" w:ascii="宋体" w:hAnsi="宋体" w:cs="宋体"/>
          <w:sz w:val="24"/>
        </w:rPr>
      </w:pPr>
      <w:r>
        <w:rPr>
          <w:rFonts w:hint="eastAsia" w:ascii="宋体" w:hAnsi="宋体" w:cs="宋体"/>
          <w:sz w:val="24"/>
          <w:highlight w:val="white"/>
        </w:rPr>
        <w:t>24.3.4 除专用合同条款另有约定外，争议评审组在收到合同双方报告后的14天内，邀请双方代表和有关人员举行调查会，向双方调查争议细节；必要时争议评审组可要求双方进一步提供补充材料。</w:t>
      </w:r>
    </w:p>
    <w:p w14:paraId="17C4D38C">
      <w:pPr>
        <w:spacing w:line="500" w:lineRule="exact"/>
        <w:ind w:firstLine="480" w:firstLineChars="200"/>
        <w:rPr>
          <w:rFonts w:hint="eastAsia" w:ascii="宋体" w:hAnsi="宋体" w:cs="宋体"/>
          <w:sz w:val="24"/>
        </w:rPr>
      </w:pPr>
      <w:r>
        <w:rPr>
          <w:rFonts w:hint="eastAsia" w:ascii="宋体" w:hAnsi="宋体" w:cs="宋体"/>
          <w:sz w:val="24"/>
          <w:highlight w:val="whit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1F10AB2E">
      <w:pPr>
        <w:spacing w:line="500" w:lineRule="exact"/>
        <w:ind w:firstLine="480" w:firstLineChars="200"/>
        <w:rPr>
          <w:rFonts w:hint="eastAsia" w:ascii="宋体" w:hAnsi="宋体" w:cs="宋体"/>
          <w:sz w:val="24"/>
        </w:rPr>
      </w:pPr>
      <w:r>
        <w:rPr>
          <w:rFonts w:hint="eastAsia" w:ascii="宋体" w:hAnsi="宋体" w:cs="宋体"/>
          <w:sz w:val="24"/>
          <w:highlight w:val="white"/>
        </w:rPr>
        <w:t>24.3.6 发包人和承包人接受评审意见的，由监理人根据评审意见拟定执行协议，经争议双方签字后作为合同的补充文件，并遵照执行。</w:t>
      </w:r>
    </w:p>
    <w:p w14:paraId="5B4A14F4">
      <w:pPr>
        <w:spacing w:line="500" w:lineRule="exact"/>
        <w:ind w:firstLine="480" w:firstLineChars="200"/>
        <w:rPr>
          <w:rFonts w:hint="eastAsia" w:ascii="宋体" w:hAnsi="宋体" w:cs="宋体"/>
          <w:sz w:val="24"/>
        </w:rPr>
      </w:pPr>
      <w:r>
        <w:rPr>
          <w:rFonts w:hint="eastAsia" w:ascii="宋体" w:hAnsi="宋体" w:cs="宋体"/>
          <w:sz w:val="24"/>
          <w:highlight w:val="whit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4DD25882">
      <w:pPr>
        <w:spacing w:line="500" w:lineRule="exact"/>
        <w:outlineLvl w:val="3"/>
        <w:rPr>
          <w:rFonts w:hint="eastAsia" w:ascii="宋体" w:hAnsi="宋体" w:cs="宋体"/>
          <w:sz w:val="24"/>
        </w:rPr>
      </w:pPr>
      <w:r>
        <w:rPr>
          <w:rFonts w:hint="eastAsia" w:ascii="宋体" w:hAnsi="宋体" w:cs="宋体"/>
          <w:sz w:val="24"/>
          <w:highlight w:val="white"/>
        </w:rPr>
        <w:t>24.4 仲裁</w:t>
      </w:r>
    </w:p>
    <w:p w14:paraId="0A0AFF6B">
      <w:pPr>
        <w:spacing w:line="500" w:lineRule="exact"/>
        <w:rPr>
          <w:rFonts w:hint="eastAsia" w:ascii="宋体" w:hAnsi="宋体" w:cs="宋体"/>
          <w:sz w:val="24"/>
        </w:rPr>
      </w:pPr>
      <w:r>
        <w:rPr>
          <w:rFonts w:hint="eastAsia" w:ascii="宋体" w:hAnsi="宋体" w:cs="宋体"/>
          <w:sz w:val="24"/>
          <w:highlight w:val="white"/>
        </w:rPr>
        <w:t>　　24.4.1　若合同双方商定直接向仲裁机构申请仲裁，应签订仲裁协议并约定仲裁机构。</w:t>
      </w:r>
    </w:p>
    <w:p w14:paraId="4C639562">
      <w:pPr>
        <w:spacing w:line="500" w:lineRule="exact"/>
        <w:rPr>
          <w:rFonts w:hint="eastAsia" w:ascii="宋体" w:hAnsi="宋体" w:cs="宋体"/>
          <w:sz w:val="24"/>
        </w:rPr>
      </w:pPr>
      <w:r>
        <w:rPr>
          <w:rFonts w:hint="eastAsia" w:ascii="宋体" w:hAnsi="宋体" w:cs="宋体"/>
          <w:sz w:val="24"/>
          <w:highlight w:val="white"/>
        </w:rPr>
        <w:t>　　24.4.2　若合同双方未能达成仲裁协议，则本合同的仲裁条款无效，任一方均有权向人民法院提起诉讼。</w:t>
      </w:r>
    </w:p>
    <w:p w14:paraId="00C261C1">
      <w:pPr>
        <w:rPr>
          <w:rFonts w:hint="eastAsia"/>
          <w:highlight w:val="cyan"/>
        </w:rPr>
      </w:pPr>
      <w:bookmarkStart w:id="123" w:name="EB3e1f5b10bab64251bff14278e5620109"/>
      <w:r>
        <w:rPr>
          <w:rFonts w:hint="eastAsia"/>
          <w:color w:val="000080"/>
          <w:sz w:val="20"/>
          <w:highlight w:val="white"/>
        </w:rPr>
        <w:t xml:space="preserve"> </w:t>
      </w:r>
      <w:bookmarkEnd w:id="123"/>
    </w:p>
    <w:p w14:paraId="372C2CEC">
      <w:pPr>
        <w:rPr>
          <w:highlight w:val="red"/>
        </w:rPr>
      </w:pPr>
    </w:p>
    <w:p w14:paraId="093E8435">
      <w:pPr>
        <w:pStyle w:val="20"/>
        <w:jc w:val="center"/>
        <w:outlineLvl w:val="1"/>
        <w:rPr>
          <w:rFonts w:ascii="宋体" w:hAnsi="宋体"/>
          <w:sz w:val="24"/>
        </w:rPr>
      </w:pPr>
      <w:bookmarkStart w:id="124" w:name="_Toc256000132"/>
      <w:bookmarkStart w:id="125" w:name="_Toc135390358"/>
      <w:r>
        <w:rPr>
          <w:rFonts w:ascii="宋体" w:hAnsi="宋体"/>
          <w:sz w:val="24"/>
        </w:rPr>
        <w:t>第2节　专用合同条款</w:t>
      </w:r>
      <w:bookmarkEnd w:id="124"/>
      <w:bookmarkEnd w:id="125"/>
    </w:p>
    <w:p w14:paraId="421904A6">
      <w:pPr>
        <w:pStyle w:val="20"/>
        <w:spacing w:line="500" w:lineRule="exact"/>
        <w:outlineLvl w:val="2"/>
        <w:rPr>
          <w:rFonts w:ascii="宋体" w:hAnsi="宋体" w:cs="宋体"/>
          <w:sz w:val="24"/>
        </w:rPr>
      </w:pPr>
      <w:bookmarkStart w:id="126" w:name="_Toc135390359"/>
      <w:bookmarkStart w:id="127" w:name="_Toc256000133"/>
      <w:r>
        <w:rPr>
          <w:rFonts w:hint="eastAsia" w:ascii="宋体" w:hAnsi="宋体" w:cs="宋体"/>
          <w:sz w:val="24"/>
        </w:rPr>
        <w:t>1. 一般约定</w:t>
      </w:r>
      <w:bookmarkEnd w:id="126"/>
      <w:bookmarkEnd w:id="127"/>
    </w:p>
    <w:p w14:paraId="7E1BA1AD">
      <w:pPr>
        <w:pStyle w:val="20"/>
        <w:spacing w:line="500" w:lineRule="exact"/>
        <w:outlineLvl w:val="3"/>
        <w:rPr>
          <w:rFonts w:ascii="宋体" w:hAnsi="宋体" w:cs="宋体"/>
          <w:sz w:val="24"/>
        </w:rPr>
      </w:pPr>
      <w:r>
        <w:rPr>
          <w:rFonts w:hint="eastAsia" w:ascii="宋体" w:hAnsi="宋体" w:cs="宋体"/>
          <w:sz w:val="24"/>
        </w:rPr>
        <w:t>1.1 词语定义</w:t>
      </w:r>
    </w:p>
    <w:p w14:paraId="3C3F9D4F">
      <w:pPr>
        <w:pStyle w:val="20"/>
        <w:spacing w:line="500" w:lineRule="exact"/>
        <w:rPr>
          <w:rFonts w:ascii="宋体" w:hAnsi="宋体" w:cs="宋体"/>
          <w:sz w:val="24"/>
        </w:rPr>
      </w:pPr>
      <w:r>
        <w:rPr>
          <w:rFonts w:hint="eastAsia" w:ascii="宋体" w:hAnsi="宋体" w:cs="宋体"/>
          <w:sz w:val="24"/>
        </w:rPr>
        <w:t>　　1.1.2　合同当事人和人员</w:t>
      </w:r>
    </w:p>
    <w:p w14:paraId="24C26671">
      <w:pPr>
        <w:pStyle w:val="20"/>
        <w:spacing w:line="500" w:lineRule="exact"/>
        <w:rPr>
          <w:rFonts w:ascii="宋体" w:hAnsi="宋体" w:cs="宋体"/>
          <w:sz w:val="24"/>
        </w:rPr>
      </w:pPr>
      <w:r>
        <w:rPr>
          <w:rFonts w:hint="eastAsia" w:ascii="宋体" w:hAnsi="宋体" w:cs="宋体"/>
          <w:sz w:val="24"/>
        </w:rPr>
        <w:t>　　1.1.2.2　发包人：</w:t>
      </w:r>
      <w:r>
        <w:rPr>
          <w:rFonts w:hint="eastAsia" w:ascii="宋体" w:hAnsi="宋体" w:cs="宋体"/>
          <w:sz w:val="24"/>
          <w:u w:val="single"/>
        </w:rPr>
        <w:t>　/　　</w:t>
      </w:r>
      <w:r>
        <w:rPr>
          <w:rFonts w:hint="eastAsia" w:ascii="宋体" w:hAnsi="宋体" w:cs="宋体"/>
          <w:sz w:val="24"/>
        </w:rPr>
        <w:t>(填入发包人的名称)。</w:t>
      </w:r>
    </w:p>
    <w:p w14:paraId="74DA7D72">
      <w:pPr>
        <w:pStyle w:val="20"/>
        <w:spacing w:line="500" w:lineRule="exact"/>
        <w:rPr>
          <w:rFonts w:ascii="宋体" w:hAnsi="宋体" w:cs="宋体"/>
          <w:sz w:val="24"/>
        </w:rPr>
      </w:pPr>
      <w:r>
        <w:rPr>
          <w:rFonts w:hint="eastAsia" w:ascii="宋体" w:hAnsi="宋体" w:cs="宋体"/>
          <w:sz w:val="24"/>
        </w:rPr>
        <w:t>　　1.1.2.3　承包人：</w:t>
      </w:r>
      <w:r>
        <w:rPr>
          <w:rFonts w:hint="eastAsia" w:ascii="宋体" w:hAnsi="宋体" w:cs="宋体"/>
          <w:sz w:val="24"/>
          <w:u w:val="single"/>
        </w:rPr>
        <w:t>　/　　</w:t>
      </w:r>
      <w:r>
        <w:rPr>
          <w:rFonts w:hint="eastAsia" w:ascii="宋体" w:hAnsi="宋体" w:cs="宋体"/>
          <w:sz w:val="24"/>
        </w:rPr>
        <w:t>(签约后填入承包人的名称)。</w:t>
      </w:r>
    </w:p>
    <w:p w14:paraId="1F73799C">
      <w:pPr>
        <w:pStyle w:val="20"/>
        <w:spacing w:line="500" w:lineRule="exact"/>
        <w:rPr>
          <w:rFonts w:ascii="宋体" w:hAnsi="宋体" w:cs="宋体"/>
          <w:sz w:val="24"/>
        </w:rPr>
      </w:pPr>
      <w:r>
        <w:rPr>
          <w:rFonts w:hint="eastAsia" w:ascii="宋体" w:hAnsi="宋体" w:cs="宋体"/>
          <w:sz w:val="24"/>
        </w:rPr>
        <w:t>　　1.1.2.5　分包人：</w:t>
      </w:r>
      <w:r>
        <w:rPr>
          <w:rFonts w:hint="eastAsia" w:ascii="宋体" w:hAnsi="宋体" w:cs="宋体"/>
          <w:sz w:val="24"/>
          <w:u w:val="single"/>
        </w:rPr>
        <w:t>　/　　</w:t>
      </w:r>
      <w:r>
        <w:rPr>
          <w:rFonts w:hint="eastAsia" w:ascii="宋体" w:hAnsi="宋体" w:cs="宋体"/>
          <w:sz w:val="24"/>
        </w:rPr>
        <w:t>(签约后填入分包人的名称)。</w:t>
      </w:r>
    </w:p>
    <w:p w14:paraId="2AD1C042">
      <w:pPr>
        <w:pStyle w:val="20"/>
        <w:spacing w:line="500" w:lineRule="exact"/>
        <w:rPr>
          <w:rFonts w:ascii="宋体" w:hAnsi="宋体" w:cs="宋体"/>
          <w:sz w:val="24"/>
        </w:rPr>
      </w:pPr>
      <w:r>
        <w:rPr>
          <w:rFonts w:hint="eastAsia" w:ascii="宋体" w:hAnsi="宋体" w:cs="宋体"/>
          <w:sz w:val="24"/>
        </w:rPr>
        <w:t>　　1.1.2.6　监理人：</w:t>
      </w:r>
      <w:r>
        <w:rPr>
          <w:rFonts w:hint="eastAsia" w:ascii="宋体" w:hAnsi="宋体" w:cs="宋体"/>
          <w:sz w:val="24"/>
          <w:u w:val="single"/>
        </w:rPr>
        <w:t>　/　　</w:t>
      </w:r>
      <w:r>
        <w:rPr>
          <w:rFonts w:hint="eastAsia" w:ascii="宋体" w:hAnsi="宋体" w:cs="宋体"/>
          <w:sz w:val="24"/>
        </w:rPr>
        <w:t>(填入监理人名称)。</w:t>
      </w:r>
    </w:p>
    <w:p w14:paraId="565DAD76">
      <w:pPr>
        <w:pStyle w:val="20"/>
        <w:spacing w:line="500" w:lineRule="exact"/>
        <w:rPr>
          <w:rFonts w:ascii="宋体" w:hAnsi="宋体" w:cs="宋体"/>
          <w:sz w:val="24"/>
        </w:rPr>
      </w:pPr>
      <w:r>
        <w:rPr>
          <w:rFonts w:hint="eastAsia" w:ascii="宋体" w:hAnsi="宋体" w:cs="宋体"/>
          <w:sz w:val="24"/>
        </w:rPr>
        <w:t>　　1.1.4　日期</w:t>
      </w:r>
    </w:p>
    <w:p w14:paraId="3C1786A7">
      <w:pPr>
        <w:pStyle w:val="20"/>
        <w:spacing w:line="500" w:lineRule="exact"/>
        <w:rPr>
          <w:rFonts w:ascii="宋体" w:hAnsi="宋体" w:cs="宋体"/>
          <w:sz w:val="24"/>
        </w:rPr>
      </w:pPr>
      <w:r>
        <w:rPr>
          <w:rFonts w:hint="eastAsia" w:ascii="宋体" w:hAnsi="宋体" w:cs="宋体"/>
          <w:sz w:val="24"/>
        </w:rPr>
        <w:t>　　1.1.4.5</w:t>
      </w:r>
      <w:r>
        <w:rPr>
          <w:rFonts w:hint="eastAsia" w:ascii="宋体" w:hAnsi="宋体" w:cs="宋体"/>
          <w:sz w:val="24"/>
          <w:highlight w:val="none"/>
        </w:rPr>
        <w:t>　缺陷责任期(工程质量保修期)：</w:t>
      </w:r>
      <w:r>
        <w:rPr>
          <w:rFonts w:hint="eastAsia" w:ascii="宋体" w:hAnsi="宋体" w:cs="宋体"/>
          <w:sz w:val="24"/>
          <w:highlight w:val="none"/>
          <w:u w:val="single"/>
        </w:rPr>
        <w:t>　　24个月　　</w:t>
      </w:r>
      <w:r>
        <w:rPr>
          <w:rFonts w:hint="eastAsia" w:ascii="宋体" w:hAnsi="宋体" w:cs="宋体"/>
          <w:sz w:val="24"/>
          <w:u w:val="single"/>
        </w:rPr>
        <w:t>　</w:t>
      </w:r>
      <w:r>
        <w:rPr>
          <w:rFonts w:hint="eastAsia" w:ascii="宋体" w:hAnsi="宋体" w:cs="宋体"/>
          <w:sz w:val="24"/>
        </w:rPr>
        <w:t>。</w:t>
      </w:r>
    </w:p>
    <w:p w14:paraId="64E8628A">
      <w:pPr>
        <w:pStyle w:val="20"/>
        <w:spacing w:line="500" w:lineRule="exact"/>
        <w:outlineLvl w:val="3"/>
        <w:rPr>
          <w:rFonts w:ascii="宋体" w:hAnsi="宋体" w:cs="宋体"/>
          <w:sz w:val="24"/>
        </w:rPr>
      </w:pPr>
      <w:r>
        <w:rPr>
          <w:rFonts w:hint="eastAsia" w:ascii="宋体" w:hAnsi="宋体" w:cs="宋体"/>
          <w:sz w:val="24"/>
        </w:rPr>
        <w:t>1.4 合同文件的优先顺序</w:t>
      </w:r>
    </w:p>
    <w:p w14:paraId="3018066E">
      <w:pPr>
        <w:pStyle w:val="20"/>
        <w:widowControl/>
        <w:ind w:firstLine="480"/>
        <w:jc w:val="left"/>
        <w:rPr>
          <w:rFonts w:hint="eastAsia" w:ascii="宋体" w:hAnsi="宋体" w:cs="宋体"/>
          <w:sz w:val="24"/>
        </w:rPr>
      </w:pPr>
      <w:r>
        <w:rPr>
          <w:rFonts w:hint="eastAsia" w:ascii="宋体" w:hAnsi="宋体" w:cs="宋体"/>
          <w:sz w:val="24"/>
        </w:rPr>
        <w:t>进入合同文件的各项文件及其优先顺序：</w:t>
      </w:r>
    </w:p>
    <w:p w14:paraId="4A657C10">
      <w:pPr>
        <w:pStyle w:val="20"/>
        <w:widowControl/>
        <w:jc w:val="left"/>
      </w:pPr>
      <w:r>
        <w:rPr>
          <w:rFonts w:hint="eastAsia" w:ascii="宋体" w:hAnsi="宋体" w:cs="宋体"/>
          <w:color w:val="000000"/>
          <w:kern w:val="0"/>
          <w:sz w:val="24"/>
          <w:lang w:bidi="ar"/>
        </w:rPr>
        <w:t xml:space="preserve">⑴ 合同协议书； </w:t>
      </w:r>
    </w:p>
    <w:p w14:paraId="1F4F1E74">
      <w:pPr>
        <w:pStyle w:val="20"/>
        <w:widowControl/>
        <w:jc w:val="left"/>
      </w:pPr>
      <w:r>
        <w:rPr>
          <w:rFonts w:hint="eastAsia" w:ascii="宋体" w:hAnsi="宋体" w:cs="宋体"/>
          <w:color w:val="000000"/>
          <w:kern w:val="0"/>
          <w:sz w:val="24"/>
          <w:lang w:bidi="ar"/>
        </w:rPr>
        <w:t xml:space="preserve">⑵ 中标通知书； </w:t>
      </w:r>
    </w:p>
    <w:p w14:paraId="3BC67BA2">
      <w:pPr>
        <w:pStyle w:val="20"/>
        <w:widowControl/>
        <w:jc w:val="left"/>
      </w:pPr>
      <w:r>
        <w:rPr>
          <w:rFonts w:hint="eastAsia" w:ascii="宋体" w:hAnsi="宋体" w:cs="宋体"/>
          <w:color w:val="000000"/>
          <w:kern w:val="0"/>
          <w:sz w:val="24"/>
          <w:lang w:bidi="ar"/>
        </w:rPr>
        <w:t xml:space="preserve">⑶ 投标函及投标函附录； </w:t>
      </w:r>
    </w:p>
    <w:p w14:paraId="397F7AB8">
      <w:pPr>
        <w:pStyle w:val="20"/>
        <w:widowControl/>
        <w:jc w:val="left"/>
      </w:pPr>
      <w:r>
        <w:rPr>
          <w:rFonts w:hint="eastAsia" w:ascii="宋体" w:hAnsi="宋体" w:cs="宋体"/>
          <w:color w:val="000000"/>
          <w:kern w:val="0"/>
          <w:sz w:val="24"/>
          <w:lang w:bidi="ar"/>
        </w:rPr>
        <w:t xml:space="preserve">⑷ 专用合同条款； </w:t>
      </w:r>
    </w:p>
    <w:p w14:paraId="4E78A3E4">
      <w:pPr>
        <w:pStyle w:val="20"/>
        <w:widowControl/>
        <w:jc w:val="left"/>
      </w:pPr>
      <w:r>
        <w:rPr>
          <w:rFonts w:hint="eastAsia" w:ascii="宋体" w:hAnsi="宋体" w:cs="宋体"/>
          <w:color w:val="000000"/>
          <w:kern w:val="0"/>
          <w:sz w:val="24"/>
          <w:lang w:bidi="ar"/>
        </w:rPr>
        <w:t xml:space="preserve">⑸ 通用合同条款； </w:t>
      </w:r>
    </w:p>
    <w:p w14:paraId="08116FB3">
      <w:pPr>
        <w:pStyle w:val="20"/>
        <w:widowControl/>
        <w:jc w:val="left"/>
      </w:pPr>
      <w:r>
        <w:rPr>
          <w:rFonts w:hint="eastAsia" w:ascii="宋体" w:hAnsi="宋体" w:cs="宋体"/>
          <w:color w:val="000000"/>
          <w:kern w:val="0"/>
          <w:sz w:val="24"/>
          <w:lang w:bidi="ar"/>
        </w:rPr>
        <w:t xml:space="preserve">⑹ 技术标准和规范要求； </w:t>
      </w:r>
    </w:p>
    <w:p w14:paraId="148EC47E">
      <w:pPr>
        <w:pStyle w:val="20"/>
        <w:widowControl/>
        <w:jc w:val="left"/>
      </w:pPr>
      <w:r>
        <w:rPr>
          <w:rFonts w:hint="eastAsia" w:ascii="宋体" w:hAnsi="宋体" w:cs="宋体"/>
          <w:color w:val="000000"/>
          <w:kern w:val="0"/>
          <w:sz w:val="24"/>
          <w:lang w:bidi="ar"/>
        </w:rPr>
        <w:t xml:space="preserve">⑺ 图纸； </w:t>
      </w:r>
    </w:p>
    <w:p w14:paraId="37ED792C">
      <w:pPr>
        <w:pStyle w:val="20"/>
        <w:widowControl/>
        <w:jc w:val="left"/>
      </w:pPr>
      <w:r>
        <w:rPr>
          <w:rFonts w:hint="eastAsia" w:ascii="宋体" w:hAnsi="宋体" w:cs="宋体"/>
          <w:color w:val="000000"/>
          <w:kern w:val="0"/>
          <w:sz w:val="24"/>
          <w:lang w:bidi="ar"/>
        </w:rPr>
        <w:t xml:space="preserve">⑻ 已标价工程量清单； </w:t>
      </w:r>
    </w:p>
    <w:p w14:paraId="20E4E96A">
      <w:pPr>
        <w:pStyle w:val="20"/>
        <w:widowControl/>
        <w:jc w:val="left"/>
      </w:pPr>
      <w:r>
        <w:rPr>
          <w:rFonts w:hint="eastAsia" w:ascii="宋体" w:hAnsi="宋体" w:cs="宋体"/>
          <w:color w:val="000000"/>
          <w:kern w:val="0"/>
          <w:sz w:val="24"/>
          <w:lang w:bidi="ar"/>
        </w:rPr>
        <w:t>⑼ 其他合同文件。</w:t>
      </w:r>
    </w:p>
    <w:p w14:paraId="484A1DCB">
      <w:pPr>
        <w:pStyle w:val="20"/>
        <w:spacing w:line="500" w:lineRule="exact"/>
        <w:outlineLvl w:val="3"/>
        <w:rPr>
          <w:rFonts w:ascii="宋体" w:hAnsi="宋体" w:cs="宋体"/>
          <w:sz w:val="24"/>
        </w:rPr>
      </w:pPr>
      <w:r>
        <w:rPr>
          <w:rFonts w:hint="eastAsia" w:ascii="宋体" w:hAnsi="宋体" w:cs="宋体"/>
          <w:sz w:val="24"/>
        </w:rPr>
        <w:t>1.7 联络</w:t>
      </w:r>
    </w:p>
    <w:p w14:paraId="2661E177">
      <w:pPr>
        <w:pStyle w:val="20"/>
        <w:spacing w:line="500" w:lineRule="exact"/>
        <w:rPr>
          <w:rFonts w:ascii="宋体" w:hAnsi="宋体" w:cs="宋体"/>
          <w:sz w:val="24"/>
        </w:rPr>
      </w:pPr>
      <w:r>
        <w:rPr>
          <w:rFonts w:hint="eastAsia" w:ascii="宋体" w:hAnsi="宋体" w:cs="宋体"/>
          <w:sz w:val="24"/>
        </w:rPr>
        <w:t>　　1.7.2　来往函件均应按技术标准和要求(合同技术条款)约定的期限送达</w:t>
      </w:r>
      <w:r>
        <w:rPr>
          <w:rFonts w:hint="eastAsia" w:ascii="宋体" w:hAnsi="宋体" w:cs="宋体"/>
          <w:sz w:val="24"/>
          <w:u w:val="single"/>
        </w:rPr>
        <w:t>　　　　　</w:t>
      </w:r>
      <w:r>
        <w:rPr>
          <w:rFonts w:hint="eastAsia" w:ascii="宋体" w:hAnsi="宋体" w:cs="宋体"/>
          <w:sz w:val="24"/>
        </w:rPr>
        <w:t>(填写文件送达地点)。</w:t>
      </w:r>
    </w:p>
    <w:p w14:paraId="33F63B11">
      <w:pPr>
        <w:pStyle w:val="20"/>
        <w:spacing w:line="500" w:lineRule="exact"/>
        <w:outlineLvl w:val="2"/>
        <w:rPr>
          <w:rFonts w:ascii="宋体" w:hAnsi="宋体" w:cs="宋体"/>
          <w:sz w:val="24"/>
        </w:rPr>
      </w:pPr>
      <w:bookmarkStart w:id="128" w:name="_Toc135390360"/>
      <w:bookmarkStart w:id="129" w:name="_Toc256000134"/>
      <w:r>
        <w:rPr>
          <w:rFonts w:hint="eastAsia" w:ascii="宋体" w:hAnsi="宋体" w:cs="宋体"/>
          <w:sz w:val="24"/>
        </w:rPr>
        <w:t>2. 发包人义务</w:t>
      </w:r>
      <w:bookmarkEnd w:id="128"/>
      <w:bookmarkEnd w:id="129"/>
    </w:p>
    <w:p w14:paraId="241EBA3D">
      <w:pPr>
        <w:pStyle w:val="20"/>
        <w:spacing w:line="500" w:lineRule="exact"/>
        <w:outlineLvl w:val="3"/>
        <w:rPr>
          <w:rFonts w:ascii="宋体" w:hAnsi="宋体" w:cs="宋体"/>
          <w:sz w:val="24"/>
        </w:rPr>
      </w:pPr>
      <w:r>
        <w:rPr>
          <w:rFonts w:hint="eastAsia" w:ascii="宋体" w:hAnsi="宋体" w:cs="宋体"/>
          <w:sz w:val="24"/>
        </w:rPr>
        <w:t>2.3 提供施工场地</w:t>
      </w:r>
    </w:p>
    <w:p w14:paraId="1D1B884D">
      <w:pPr>
        <w:pStyle w:val="20"/>
        <w:spacing w:line="500" w:lineRule="exact"/>
        <w:rPr>
          <w:rFonts w:ascii="宋体" w:hAnsi="宋体" w:cs="宋体"/>
          <w:sz w:val="24"/>
        </w:rPr>
      </w:pPr>
      <w:r>
        <w:rPr>
          <w:rFonts w:hint="eastAsia" w:ascii="宋体" w:hAnsi="宋体" w:cs="宋体"/>
          <w:sz w:val="24"/>
        </w:rPr>
        <w:t>　　2.3.2　发包人提供的施工场地范围为：</w:t>
      </w:r>
      <w:r>
        <w:rPr>
          <w:rFonts w:hint="eastAsia" w:ascii="宋体" w:hAnsi="宋体" w:cs="宋体"/>
          <w:sz w:val="24"/>
          <w:u w:val="single"/>
        </w:rPr>
        <w:t>　　　　　　　　　　</w:t>
      </w:r>
      <w:r>
        <w:rPr>
          <w:rFonts w:hint="eastAsia" w:ascii="宋体" w:hAnsi="宋体" w:cs="宋体"/>
          <w:sz w:val="24"/>
        </w:rPr>
        <w:t>。</w:t>
      </w:r>
    </w:p>
    <w:p w14:paraId="4207FFD4">
      <w:pPr>
        <w:pStyle w:val="20"/>
        <w:spacing w:line="500" w:lineRule="exact"/>
        <w:rPr>
          <w:rFonts w:ascii="宋体" w:hAnsi="宋体" w:cs="宋体"/>
          <w:sz w:val="24"/>
        </w:rPr>
      </w:pPr>
      <w:r>
        <w:rPr>
          <w:rFonts w:hint="eastAsia" w:ascii="宋体" w:hAnsi="宋体" w:cs="宋体"/>
          <w:sz w:val="24"/>
        </w:rPr>
        <w:t>　　2.3.3　承包人自行勘察的施工场地范围为：</w:t>
      </w:r>
      <w:r>
        <w:rPr>
          <w:rFonts w:hint="eastAsia" w:ascii="宋体" w:hAnsi="宋体" w:cs="宋体"/>
          <w:sz w:val="24"/>
          <w:u w:val="single"/>
        </w:rPr>
        <w:t>　　　　　　　　　　</w:t>
      </w:r>
      <w:r>
        <w:rPr>
          <w:rFonts w:hint="eastAsia" w:ascii="宋体" w:hAnsi="宋体" w:cs="宋体"/>
          <w:sz w:val="24"/>
        </w:rPr>
        <w:t>。</w:t>
      </w:r>
    </w:p>
    <w:p w14:paraId="613BC393">
      <w:pPr>
        <w:pStyle w:val="20"/>
        <w:spacing w:line="500" w:lineRule="exact"/>
        <w:outlineLvl w:val="3"/>
        <w:rPr>
          <w:rFonts w:ascii="宋体" w:hAnsi="宋体" w:cs="宋体"/>
          <w:sz w:val="24"/>
        </w:rPr>
      </w:pPr>
      <w:r>
        <w:rPr>
          <w:rFonts w:hint="eastAsia" w:ascii="宋体" w:hAnsi="宋体" w:cs="宋体"/>
          <w:sz w:val="24"/>
        </w:rPr>
        <w:t>2.8 其它义务</w:t>
      </w:r>
    </w:p>
    <w:p w14:paraId="252B0692">
      <w:pPr>
        <w:pStyle w:val="20"/>
        <w:spacing w:line="500" w:lineRule="exact"/>
        <w:rPr>
          <w:rFonts w:ascii="宋体" w:hAnsi="宋体" w:cs="宋体"/>
          <w:sz w:val="24"/>
        </w:rPr>
      </w:pPr>
      <w:r>
        <w:rPr>
          <w:rFonts w:hint="eastAsia" w:ascii="宋体" w:hAnsi="宋体" w:cs="宋体"/>
          <w:sz w:val="24"/>
        </w:rPr>
        <w:t>　　(根据发包人的合同管理要求补充)</w:t>
      </w:r>
    </w:p>
    <w:p w14:paraId="6BFB2A4B">
      <w:pPr>
        <w:pStyle w:val="20"/>
        <w:spacing w:line="500" w:lineRule="exact"/>
        <w:rPr>
          <w:rFonts w:ascii="宋体" w:hAnsi="宋体" w:cs="宋体"/>
          <w:sz w:val="24"/>
        </w:rPr>
      </w:pPr>
      <w:r>
        <w:rPr>
          <w:rFonts w:hint="eastAsia" w:ascii="宋体" w:hAnsi="宋体" w:cs="宋体"/>
          <w:sz w:val="24"/>
        </w:rPr>
        <w:t>　　(1)……</w:t>
      </w:r>
    </w:p>
    <w:p w14:paraId="572251BA">
      <w:pPr>
        <w:pStyle w:val="20"/>
        <w:spacing w:line="500" w:lineRule="exact"/>
        <w:rPr>
          <w:rFonts w:ascii="宋体" w:hAnsi="宋体" w:cs="宋体"/>
          <w:sz w:val="24"/>
        </w:rPr>
      </w:pPr>
      <w:r>
        <w:rPr>
          <w:rFonts w:hint="eastAsia" w:ascii="宋体" w:hAnsi="宋体" w:cs="宋体"/>
          <w:sz w:val="24"/>
        </w:rPr>
        <w:t>　　(2)……</w:t>
      </w:r>
    </w:p>
    <w:p w14:paraId="5641AB08">
      <w:pPr>
        <w:pStyle w:val="20"/>
        <w:spacing w:line="500" w:lineRule="exact"/>
        <w:outlineLvl w:val="2"/>
        <w:rPr>
          <w:rFonts w:ascii="宋体" w:hAnsi="宋体" w:cs="宋体"/>
          <w:sz w:val="24"/>
        </w:rPr>
      </w:pPr>
      <w:bookmarkStart w:id="130" w:name="_Toc256000135"/>
      <w:bookmarkStart w:id="131" w:name="_Toc135390361"/>
      <w:r>
        <w:rPr>
          <w:rFonts w:hint="eastAsia" w:ascii="宋体" w:hAnsi="宋体" w:cs="宋体"/>
          <w:sz w:val="24"/>
        </w:rPr>
        <w:t>3. 监理人</w:t>
      </w:r>
      <w:bookmarkEnd w:id="130"/>
      <w:bookmarkEnd w:id="131"/>
    </w:p>
    <w:p w14:paraId="37E5D453">
      <w:pPr>
        <w:pStyle w:val="20"/>
        <w:spacing w:line="500" w:lineRule="exact"/>
        <w:outlineLvl w:val="3"/>
        <w:rPr>
          <w:rFonts w:ascii="宋体" w:hAnsi="宋体" w:cs="宋体"/>
          <w:sz w:val="24"/>
        </w:rPr>
      </w:pPr>
      <w:r>
        <w:rPr>
          <w:rFonts w:hint="eastAsia" w:ascii="宋体" w:hAnsi="宋体" w:cs="宋体"/>
          <w:sz w:val="24"/>
        </w:rPr>
        <w:t>3.1 监理人的职责和权力</w:t>
      </w:r>
    </w:p>
    <w:p w14:paraId="5F1E07FD">
      <w:pPr>
        <w:pStyle w:val="20"/>
        <w:spacing w:line="500" w:lineRule="exact"/>
        <w:rPr>
          <w:rFonts w:ascii="宋体" w:hAnsi="宋体" w:cs="宋体"/>
          <w:sz w:val="24"/>
        </w:rPr>
      </w:pPr>
      <w:r>
        <w:rPr>
          <w:rFonts w:hint="eastAsia" w:ascii="宋体" w:hAnsi="宋体" w:cs="宋体"/>
          <w:sz w:val="24"/>
        </w:rPr>
        <w:t>　　3.1.1　监理人须根据发包人事先批准的权力范围行使权力，发包人批准的权力范围：(填写监理人须经发包人批准才能行使的权力，以下示例供参考)</w:t>
      </w:r>
    </w:p>
    <w:p w14:paraId="02ABEEFD">
      <w:pPr>
        <w:pStyle w:val="20"/>
        <w:spacing w:line="500" w:lineRule="exact"/>
        <w:rPr>
          <w:rFonts w:ascii="宋体" w:hAnsi="宋体" w:cs="宋体"/>
          <w:sz w:val="24"/>
        </w:rPr>
      </w:pPr>
      <w:r>
        <w:rPr>
          <w:rFonts w:hint="eastAsia" w:ascii="宋体" w:hAnsi="宋体" w:cs="宋体"/>
          <w:sz w:val="24"/>
        </w:rPr>
        <w:t>　　(1)按第4.3款约定，批准工程的分包；</w:t>
      </w:r>
    </w:p>
    <w:p w14:paraId="50C8B71A">
      <w:pPr>
        <w:pStyle w:val="20"/>
        <w:spacing w:line="500" w:lineRule="exact"/>
        <w:rPr>
          <w:rFonts w:ascii="宋体" w:hAnsi="宋体" w:cs="宋体"/>
          <w:sz w:val="24"/>
        </w:rPr>
      </w:pPr>
      <w:r>
        <w:rPr>
          <w:rFonts w:hint="eastAsia" w:ascii="宋体" w:hAnsi="宋体" w:cs="宋体"/>
          <w:sz w:val="24"/>
        </w:rPr>
        <w:t>　　(2)按第11.3款约定，确定延长完工期限；</w:t>
      </w:r>
    </w:p>
    <w:p w14:paraId="56D69729">
      <w:pPr>
        <w:pStyle w:val="20"/>
        <w:spacing w:line="500" w:lineRule="exact"/>
        <w:rPr>
          <w:rFonts w:ascii="宋体" w:hAnsi="宋体" w:cs="宋体"/>
          <w:sz w:val="24"/>
        </w:rPr>
      </w:pPr>
      <w:r>
        <w:rPr>
          <w:rFonts w:hint="eastAsia" w:ascii="宋体" w:hAnsi="宋体" w:cs="宋体"/>
          <w:sz w:val="24"/>
        </w:rPr>
        <w:t>　　(3)按第15.6款约定，批准暂列金额的使用；</w:t>
      </w:r>
    </w:p>
    <w:p w14:paraId="1CBF8C30">
      <w:pPr>
        <w:pStyle w:val="20"/>
        <w:spacing w:line="500" w:lineRule="exact"/>
        <w:rPr>
          <w:rFonts w:ascii="宋体" w:hAnsi="宋体" w:cs="宋体"/>
          <w:sz w:val="24"/>
        </w:rPr>
      </w:pPr>
      <w:r>
        <w:rPr>
          <w:rFonts w:hint="eastAsia" w:ascii="宋体" w:hAnsi="宋体" w:cs="宋体"/>
          <w:sz w:val="24"/>
        </w:rPr>
        <w:t>　　(4)……</w:t>
      </w:r>
    </w:p>
    <w:p w14:paraId="36FF378E">
      <w:pPr>
        <w:pStyle w:val="20"/>
        <w:spacing w:line="500" w:lineRule="exact"/>
        <w:outlineLvl w:val="2"/>
        <w:rPr>
          <w:rFonts w:ascii="宋体" w:hAnsi="宋体" w:cs="宋体"/>
          <w:sz w:val="24"/>
        </w:rPr>
      </w:pPr>
      <w:bookmarkStart w:id="132" w:name="_Toc256000136"/>
      <w:bookmarkStart w:id="133" w:name="_Toc135390362"/>
      <w:r>
        <w:rPr>
          <w:rFonts w:hint="eastAsia" w:ascii="宋体" w:hAnsi="宋体" w:cs="宋体"/>
          <w:sz w:val="24"/>
        </w:rPr>
        <w:t>4. 承包人</w:t>
      </w:r>
      <w:bookmarkEnd w:id="132"/>
      <w:bookmarkEnd w:id="133"/>
    </w:p>
    <w:p w14:paraId="016115DD">
      <w:pPr>
        <w:pStyle w:val="20"/>
        <w:spacing w:line="500" w:lineRule="exact"/>
        <w:outlineLvl w:val="3"/>
        <w:rPr>
          <w:rFonts w:ascii="宋体" w:hAnsi="宋体" w:cs="宋体"/>
          <w:sz w:val="24"/>
        </w:rPr>
      </w:pPr>
      <w:r>
        <w:rPr>
          <w:rFonts w:hint="eastAsia" w:ascii="宋体" w:hAnsi="宋体" w:cs="宋体"/>
          <w:sz w:val="24"/>
        </w:rPr>
        <w:t>4.1 承包人的一般义务</w:t>
      </w:r>
    </w:p>
    <w:p w14:paraId="4B2D6A89">
      <w:pPr>
        <w:pStyle w:val="20"/>
        <w:widowControl/>
        <w:jc w:val="left"/>
      </w:pPr>
      <w:r>
        <w:rPr>
          <w:rFonts w:hint="eastAsia" w:ascii="宋体" w:hAnsi="宋体" w:cs="宋体"/>
          <w:color w:val="000000"/>
          <w:kern w:val="0"/>
          <w:sz w:val="24"/>
          <w:lang w:bidi="ar"/>
        </w:rPr>
        <w:t xml:space="preserve">4.1.10 其它义务 </w:t>
      </w:r>
    </w:p>
    <w:p w14:paraId="3ED951C1">
      <w:pPr>
        <w:pStyle w:val="20"/>
        <w:spacing w:line="500" w:lineRule="exact"/>
        <w:rPr>
          <w:rFonts w:hint="eastAsia" w:ascii="宋体" w:hAnsi="宋体" w:cs="宋体"/>
          <w:color w:val="000000"/>
          <w:kern w:val="0"/>
          <w:sz w:val="24"/>
          <w:lang w:bidi="ar"/>
        </w:rPr>
      </w:pPr>
      <w:r>
        <w:rPr>
          <w:rFonts w:hint="eastAsia" w:ascii="宋体" w:hAnsi="宋体" w:cs="宋体"/>
          <w:color w:val="000000"/>
          <w:kern w:val="0"/>
          <w:sz w:val="24"/>
          <w:lang w:bidi="ar"/>
        </w:rPr>
        <w:t>4.1.10.1 现场察勘</w:t>
      </w:r>
    </w:p>
    <w:p w14:paraId="23F0B45B">
      <w:pPr>
        <w:pStyle w:val="20"/>
        <w:widowControl/>
        <w:jc w:val="left"/>
      </w:pPr>
      <w:r>
        <w:rPr>
          <w:rFonts w:hint="eastAsia" w:ascii="宋体" w:hAnsi="宋体" w:cs="宋体"/>
          <w:color w:val="000000"/>
          <w:kern w:val="0"/>
          <w:sz w:val="24"/>
          <w:lang w:bidi="ar"/>
        </w:rPr>
        <w:t xml:space="preserve">(1)发包人不组织现场察勘，承包人在提交投标文件以及补充文件之前，应视为已对现场及其周围环境和与之有关的可用资料进行了勘察，并对以下几点在费用和时间方面的可行性满意： </w:t>
      </w:r>
    </w:p>
    <w:p w14:paraId="52CB086D">
      <w:pPr>
        <w:pStyle w:val="20"/>
        <w:widowControl/>
        <w:jc w:val="left"/>
      </w:pPr>
      <w:r>
        <w:rPr>
          <w:rFonts w:hint="eastAsia" w:ascii="宋体" w:hAnsi="宋体" w:cs="宋体"/>
          <w:color w:val="000000"/>
          <w:kern w:val="0"/>
          <w:sz w:val="24"/>
          <w:lang w:bidi="ar"/>
        </w:rPr>
        <w:t xml:space="preserve">①现场的地形、地质条件； </w:t>
      </w:r>
    </w:p>
    <w:p w14:paraId="2093F2BF">
      <w:pPr>
        <w:pStyle w:val="20"/>
        <w:widowControl/>
        <w:jc w:val="left"/>
      </w:pPr>
      <w:r>
        <w:rPr>
          <w:rFonts w:hint="eastAsia" w:ascii="宋体" w:hAnsi="宋体" w:cs="宋体"/>
          <w:color w:val="000000"/>
          <w:kern w:val="0"/>
          <w:sz w:val="24"/>
          <w:lang w:bidi="ar"/>
        </w:rPr>
        <w:t xml:space="preserve">②水文和气候的条件； </w:t>
      </w:r>
    </w:p>
    <w:p w14:paraId="3F632FDA">
      <w:pPr>
        <w:pStyle w:val="20"/>
        <w:widowControl/>
        <w:jc w:val="left"/>
      </w:pPr>
      <w:r>
        <w:rPr>
          <w:rFonts w:hint="eastAsia" w:ascii="宋体" w:hAnsi="宋体" w:cs="宋体"/>
          <w:color w:val="000000"/>
          <w:kern w:val="0"/>
          <w:sz w:val="24"/>
          <w:lang w:bidi="ar"/>
        </w:rPr>
        <w:t xml:space="preserve">③为工程施工和完工以及修补其任何缺陷所需的工作和材料的范围与性质； </w:t>
      </w:r>
    </w:p>
    <w:p w14:paraId="1AD7454E">
      <w:pPr>
        <w:pStyle w:val="20"/>
        <w:widowControl/>
        <w:jc w:val="left"/>
      </w:pPr>
      <w:r>
        <w:rPr>
          <w:rFonts w:hint="eastAsia" w:ascii="宋体" w:hAnsi="宋体" w:cs="宋体"/>
          <w:color w:val="000000"/>
          <w:kern w:val="0"/>
          <w:sz w:val="24"/>
          <w:lang w:bidi="ar"/>
        </w:rPr>
        <w:t xml:space="preserve">④进入现场的手段以及承包人可能需要的生产和生活条件；并且，一般应认为承包人已取得有关上述可能对其投标文件产生影响或发生作用的风险、意外事件及所有其它情况的全部必要资料。应当认为承包人的投标文件是以发包人提供的可利用的资料和承包人自己进行的上述视察和检查为依据的。无论发包人提供或承包人自己收集的上述资料，对于其完整性和正确性以及做出的推论、解释和结论均由承包人负责。 </w:t>
      </w:r>
    </w:p>
    <w:p w14:paraId="3E612349">
      <w:pPr>
        <w:pStyle w:val="20"/>
        <w:widowControl/>
        <w:jc w:val="left"/>
      </w:pPr>
      <w:r>
        <w:rPr>
          <w:rFonts w:hint="eastAsia" w:ascii="宋体" w:hAnsi="宋体" w:cs="宋体"/>
          <w:color w:val="000000"/>
          <w:kern w:val="0"/>
          <w:sz w:val="24"/>
          <w:lang w:bidi="ar"/>
        </w:rPr>
        <w:t xml:space="preserve">(2)承包人不得以下列理由提出索取额外款项的申请：对第 4.1.10 款 4.1.10.1 目中（1） 所述事项或其他方面有所误解；指称或以事实指出任何受雇或非受雇于发包人的人员向承包人提供错误或不足够资料；同时承包人亦不得以上述理由或因承包人未能预见任何事实上会影响或已经影响合同工程进行的施工为理由，而获得免除他根据合同规定须承担的风险或责任。 </w:t>
      </w:r>
    </w:p>
    <w:p w14:paraId="376961CB">
      <w:pPr>
        <w:pStyle w:val="20"/>
        <w:widowControl/>
        <w:jc w:val="left"/>
      </w:pPr>
      <w:r>
        <w:rPr>
          <w:rFonts w:hint="eastAsia" w:ascii="宋体" w:hAnsi="宋体" w:cs="宋体"/>
          <w:color w:val="000000"/>
          <w:kern w:val="0"/>
          <w:sz w:val="24"/>
          <w:lang w:bidi="ar"/>
        </w:rPr>
        <w:t xml:space="preserve">4.1.10.2 投标价包括所有费用 </w:t>
      </w:r>
    </w:p>
    <w:p w14:paraId="3771F983">
      <w:pPr>
        <w:pStyle w:val="20"/>
        <w:widowControl/>
        <w:jc w:val="left"/>
      </w:pPr>
      <w:r>
        <w:rPr>
          <w:rFonts w:hint="eastAsia" w:ascii="宋体" w:hAnsi="宋体" w:cs="宋体"/>
          <w:color w:val="000000"/>
          <w:kern w:val="0"/>
          <w:sz w:val="24"/>
          <w:lang w:bidi="ar"/>
        </w:rPr>
        <w:t xml:space="preserve">承包人应对投标报价以及经评标确定的工程量清单中所报的单价和合价的正确性和完备性负责。除合同中另有规定的以外，上述报价包括了合同内列明和包含的全部风险、责任和义务，以及为合同工程的施工、完工和修补缺陷所需的全部费用及利润、税费等。 </w:t>
      </w:r>
    </w:p>
    <w:p w14:paraId="20CE8CFD">
      <w:pPr>
        <w:pStyle w:val="20"/>
        <w:widowControl/>
        <w:jc w:val="left"/>
      </w:pPr>
      <w:r>
        <w:rPr>
          <w:rFonts w:hint="eastAsia" w:ascii="宋体" w:hAnsi="宋体" w:cs="宋体"/>
          <w:color w:val="000000"/>
          <w:kern w:val="0"/>
          <w:sz w:val="24"/>
          <w:lang w:bidi="ar"/>
        </w:rPr>
        <w:t xml:space="preserve">4.1.10.3 现场施工配合与协调 </w:t>
      </w:r>
    </w:p>
    <w:p w14:paraId="5D21CBD4">
      <w:pPr>
        <w:pStyle w:val="20"/>
        <w:widowControl/>
        <w:jc w:val="left"/>
      </w:pPr>
      <w:r>
        <w:rPr>
          <w:rFonts w:hint="eastAsia" w:ascii="宋体" w:hAnsi="宋体" w:cs="宋体"/>
          <w:color w:val="000000"/>
          <w:kern w:val="0"/>
          <w:sz w:val="24"/>
          <w:lang w:bidi="ar"/>
        </w:rPr>
        <w:t xml:space="preserve">承包人在实施和完成承建合同工程及修复缺陷过程中的一切作业应保证发包人免于承担因承包人借用、占用或进出其他标段工区或影响作业等所引起的索赔、诉讼费、损害赔偿及其他开支，有义务提供与相邻标段工程施工的配合与协调，包括： </w:t>
      </w:r>
    </w:p>
    <w:p w14:paraId="73464FD4">
      <w:pPr>
        <w:pStyle w:val="20"/>
        <w:widowControl/>
        <w:jc w:val="left"/>
      </w:pPr>
      <w:r>
        <w:rPr>
          <w:rFonts w:hint="eastAsia" w:ascii="宋体" w:hAnsi="宋体" w:cs="宋体"/>
          <w:color w:val="000000"/>
          <w:kern w:val="0"/>
          <w:sz w:val="24"/>
          <w:lang w:bidi="ar"/>
        </w:rPr>
        <w:t xml:space="preserve">(1)工作面的安全和施工质量影响。 </w:t>
      </w:r>
    </w:p>
    <w:p w14:paraId="54EF1C90">
      <w:pPr>
        <w:pStyle w:val="20"/>
        <w:widowControl/>
        <w:jc w:val="left"/>
      </w:pPr>
      <w:r>
        <w:rPr>
          <w:rFonts w:hint="eastAsia" w:ascii="宋体" w:hAnsi="宋体" w:cs="宋体"/>
          <w:color w:val="000000"/>
          <w:kern w:val="0"/>
          <w:sz w:val="24"/>
          <w:lang w:bidi="ar"/>
        </w:rPr>
        <w:t xml:space="preserve">(2)施工进度的影响。 </w:t>
      </w:r>
    </w:p>
    <w:p w14:paraId="51220943">
      <w:pPr>
        <w:pStyle w:val="20"/>
        <w:widowControl/>
        <w:jc w:val="left"/>
      </w:pPr>
      <w:r>
        <w:rPr>
          <w:rFonts w:hint="eastAsia" w:ascii="宋体" w:hAnsi="宋体" w:cs="宋体"/>
          <w:color w:val="000000"/>
          <w:kern w:val="0"/>
          <w:sz w:val="24"/>
          <w:lang w:bidi="ar"/>
        </w:rPr>
        <w:t xml:space="preserve">(3)及时提供或移交工作面。 </w:t>
      </w:r>
    </w:p>
    <w:p w14:paraId="24881D30">
      <w:pPr>
        <w:pStyle w:val="20"/>
        <w:widowControl/>
        <w:jc w:val="left"/>
      </w:pPr>
      <w:r>
        <w:rPr>
          <w:rFonts w:hint="eastAsia" w:ascii="宋体" w:hAnsi="宋体" w:cs="宋体"/>
          <w:color w:val="000000"/>
          <w:kern w:val="0"/>
          <w:sz w:val="24"/>
          <w:lang w:bidi="ar"/>
        </w:rPr>
        <w:t>(4)保持相邻界面附近的结构质量。</w:t>
      </w:r>
    </w:p>
    <w:p w14:paraId="4FB668CE">
      <w:pPr>
        <w:pStyle w:val="20"/>
        <w:widowControl/>
        <w:jc w:val="left"/>
      </w:pPr>
      <w:r>
        <w:rPr>
          <w:rFonts w:hint="eastAsia" w:ascii="宋体" w:hAnsi="宋体" w:cs="宋体"/>
          <w:color w:val="000000"/>
          <w:kern w:val="0"/>
          <w:sz w:val="24"/>
          <w:lang w:bidi="ar"/>
        </w:rPr>
        <w:t xml:space="preserve">(5)为其他标段承包人提供交通道路、交叉工作面的作业场地。 </w:t>
      </w:r>
    </w:p>
    <w:p w14:paraId="2CFB204F">
      <w:pPr>
        <w:pStyle w:val="20"/>
        <w:widowControl/>
        <w:jc w:val="left"/>
      </w:pPr>
      <w:r>
        <w:rPr>
          <w:rFonts w:hint="eastAsia" w:ascii="宋体" w:hAnsi="宋体" w:cs="宋体"/>
          <w:color w:val="000000"/>
          <w:kern w:val="0"/>
          <w:sz w:val="24"/>
          <w:lang w:bidi="ar"/>
        </w:rPr>
        <w:t xml:space="preserve">(6)在承建标段范围区段的维护与保养，不得造成损坏或障碍而影响相邻标段的施工。 </w:t>
      </w:r>
    </w:p>
    <w:p w14:paraId="5D63E7A7">
      <w:pPr>
        <w:pStyle w:val="20"/>
        <w:widowControl/>
        <w:jc w:val="left"/>
      </w:pPr>
      <w:r>
        <w:rPr>
          <w:rFonts w:hint="eastAsia" w:ascii="宋体" w:hAnsi="宋体" w:cs="宋体"/>
          <w:color w:val="000000"/>
          <w:kern w:val="0"/>
          <w:sz w:val="24"/>
          <w:lang w:bidi="ar"/>
        </w:rPr>
        <w:t xml:space="preserve">4.1.10.4 对现场作业和施工方法负责 </w:t>
      </w:r>
    </w:p>
    <w:p w14:paraId="0B36C54B">
      <w:pPr>
        <w:pStyle w:val="24"/>
        <w:spacing w:line="500" w:lineRule="exact"/>
        <w:outlineLvl w:val="3"/>
        <w:rPr>
          <w:rFonts w:hint="eastAsia" w:ascii="宋体" w:hAnsi="宋体" w:cs="宋体"/>
          <w:sz w:val="24"/>
        </w:rPr>
      </w:pPr>
    </w:p>
    <w:p w14:paraId="7F014B5F">
      <w:pPr>
        <w:pStyle w:val="24"/>
        <w:spacing w:line="500" w:lineRule="exact"/>
        <w:rPr>
          <w:rFonts w:ascii="宋体" w:hAnsi="宋体" w:cs="宋体"/>
          <w:sz w:val="24"/>
        </w:rPr>
      </w:pPr>
      <w:r>
        <w:rPr>
          <w:rFonts w:hint="eastAsia" w:ascii="宋体" w:hAnsi="宋体" w:cs="宋体"/>
          <w:sz w:val="24"/>
        </w:rPr>
        <w:t>　　</w:t>
      </w:r>
    </w:p>
    <w:p w14:paraId="06ACEBDD">
      <w:pPr>
        <w:pStyle w:val="20"/>
        <w:widowControl/>
        <w:jc w:val="left"/>
      </w:pPr>
      <w:r>
        <w:rPr>
          <w:rFonts w:hint="eastAsia" w:ascii="宋体" w:hAnsi="宋体" w:cs="宋体"/>
          <w:sz w:val="24"/>
        </w:rPr>
        <w:t>　　</w:t>
      </w:r>
      <w:r>
        <w:rPr>
          <w:rFonts w:hint="eastAsia" w:ascii="宋体" w:hAnsi="宋体" w:cs="宋体"/>
          <w:color w:val="000000"/>
          <w:kern w:val="0"/>
          <w:sz w:val="24"/>
          <w:lang w:bidi="ar"/>
        </w:rPr>
        <w:t xml:space="preserve">对于承包人进场前发包人已委托第三方完成的工程量，承包人应配合发包人做好与第三方的清算协调配合工作，具体清算方式在合同中约定。 </w:t>
      </w:r>
    </w:p>
    <w:p w14:paraId="7B873A8C">
      <w:pPr>
        <w:pStyle w:val="20"/>
        <w:widowControl/>
        <w:jc w:val="left"/>
      </w:pPr>
      <w:r>
        <w:rPr>
          <w:rFonts w:hint="eastAsia" w:ascii="宋体" w:hAnsi="宋体" w:cs="宋体"/>
          <w:color w:val="000000"/>
          <w:kern w:val="0"/>
          <w:sz w:val="24"/>
          <w:lang w:bidi="ar"/>
        </w:rPr>
        <w:t xml:space="preserve">4.1.10.5 对现场作业和施工方法负责 </w:t>
      </w:r>
    </w:p>
    <w:p w14:paraId="43085994">
      <w:pPr>
        <w:pStyle w:val="20"/>
        <w:widowControl/>
        <w:jc w:val="left"/>
      </w:pPr>
      <w:r>
        <w:rPr>
          <w:rFonts w:hint="eastAsia" w:ascii="宋体" w:hAnsi="宋体" w:cs="宋体"/>
          <w:color w:val="000000"/>
          <w:kern w:val="0"/>
          <w:sz w:val="24"/>
          <w:lang w:bidi="ar"/>
        </w:rPr>
        <w:t xml:space="preserve">监理人对承包人的施工计划、方法、措施以及设计图纸的审查与批准，或对于分包人的确认，或对于承包人所实施工程的检查和检验，并不意味着可变更或减轻承包人应承担的全部合同义务和责任。 </w:t>
      </w:r>
    </w:p>
    <w:p w14:paraId="112D87BC">
      <w:pPr>
        <w:pStyle w:val="20"/>
        <w:widowControl/>
        <w:jc w:val="left"/>
      </w:pPr>
      <w:r>
        <w:rPr>
          <w:rFonts w:hint="eastAsia" w:ascii="宋体" w:hAnsi="宋体" w:cs="宋体"/>
          <w:color w:val="000000"/>
          <w:kern w:val="0"/>
          <w:sz w:val="24"/>
          <w:lang w:bidi="ar"/>
        </w:rPr>
        <w:t xml:space="preserve">4.1.10.6 防汛 </w:t>
      </w:r>
    </w:p>
    <w:p w14:paraId="17278548">
      <w:pPr>
        <w:pStyle w:val="20"/>
        <w:widowControl/>
        <w:jc w:val="left"/>
      </w:pPr>
      <w:r>
        <w:rPr>
          <w:rFonts w:hint="eastAsia" w:ascii="宋体" w:hAnsi="宋体" w:cs="宋体"/>
          <w:color w:val="000000"/>
          <w:kern w:val="0"/>
          <w:sz w:val="24"/>
          <w:lang w:bidi="ar"/>
        </w:rPr>
        <w:t xml:space="preserve">(1)在合同工程施工期，承包人有义务采取措施防御洪水，保证工程的安全，必须服从发包人抗洪抢险的统一调度指挥。 </w:t>
      </w:r>
    </w:p>
    <w:p w14:paraId="3214036A">
      <w:pPr>
        <w:pStyle w:val="20"/>
        <w:widowControl/>
        <w:jc w:val="left"/>
      </w:pPr>
      <w:r>
        <w:rPr>
          <w:rFonts w:hint="eastAsia" w:ascii="宋体" w:hAnsi="宋体" w:cs="宋体"/>
          <w:color w:val="000000"/>
          <w:kern w:val="0"/>
          <w:sz w:val="24"/>
          <w:lang w:bidi="ar"/>
        </w:rPr>
        <w:t xml:space="preserve">(2)由于承包人施工需要设置在河道(或行洪区)内的所有临时设施，不能影响渡汛安全，必要时应在汛前拆除。 </w:t>
      </w:r>
    </w:p>
    <w:p w14:paraId="56C0ACAF">
      <w:pPr>
        <w:pStyle w:val="20"/>
        <w:widowControl/>
        <w:jc w:val="left"/>
      </w:pPr>
      <w:r>
        <w:rPr>
          <w:rFonts w:hint="eastAsia" w:ascii="宋体" w:hAnsi="宋体" w:cs="宋体"/>
          <w:color w:val="000000"/>
          <w:kern w:val="0"/>
          <w:sz w:val="24"/>
          <w:lang w:bidi="ar"/>
        </w:rPr>
        <w:t xml:space="preserve">4.1.10.7 对公众利益损害负责 </w:t>
      </w:r>
    </w:p>
    <w:p w14:paraId="763D1FA4">
      <w:pPr>
        <w:pStyle w:val="20"/>
        <w:widowControl/>
        <w:jc w:val="left"/>
      </w:pPr>
      <w:r>
        <w:rPr>
          <w:rFonts w:hint="eastAsia" w:ascii="宋体" w:hAnsi="宋体" w:cs="宋体"/>
          <w:color w:val="000000"/>
          <w:kern w:val="0"/>
          <w:sz w:val="24"/>
          <w:lang w:bidi="ar"/>
        </w:rPr>
        <w:t xml:space="preserve">在符合合同要求所许可的范围内，实施和完成本合同工程及缺陷修复工程中的一切施工作业，不得对现有工程及各种管道、电线、电缆、涵闸等设施造成任何影响或破坏，不得影响邻近建筑物、构造物、当地居民与企业财产等的安全与正常使用或不适当地干扰群众的通行方便。如果发生上述情况，并由此导致索赔、赔偿、诉讼费、指控费及其他开支时，应由承包人承担一切责任及费用。承包人应协调和处理好与当地群众的关系。 </w:t>
      </w:r>
    </w:p>
    <w:p w14:paraId="2FFBD51A">
      <w:pPr>
        <w:pStyle w:val="20"/>
        <w:widowControl/>
        <w:jc w:val="left"/>
      </w:pPr>
      <w:r>
        <w:rPr>
          <w:rFonts w:hint="eastAsia" w:ascii="宋体" w:hAnsi="宋体" w:cs="宋体"/>
          <w:color w:val="000000"/>
          <w:kern w:val="0"/>
          <w:sz w:val="24"/>
          <w:lang w:bidi="ar"/>
        </w:rPr>
        <w:t xml:space="preserve">4.1.10.8 对工程施工质量负终身责任 </w:t>
      </w:r>
    </w:p>
    <w:p w14:paraId="39C578D5">
      <w:pPr>
        <w:pStyle w:val="20"/>
        <w:widowControl/>
        <w:jc w:val="left"/>
      </w:pPr>
      <w:r>
        <w:rPr>
          <w:rFonts w:hint="eastAsia" w:ascii="宋体" w:hAnsi="宋体" w:cs="宋体"/>
          <w:color w:val="000000"/>
          <w:kern w:val="0"/>
          <w:sz w:val="24"/>
          <w:lang w:bidi="ar"/>
        </w:rPr>
        <w:t xml:space="preserve">承包人对合同工程的施工质量负终身责任，承包人的法定代表人是工程施工质量的终身责任人。 </w:t>
      </w:r>
    </w:p>
    <w:p w14:paraId="69B1F35E">
      <w:pPr>
        <w:pStyle w:val="20"/>
        <w:widowControl/>
        <w:jc w:val="left"/>
      </w:pPr>
      <w:r>
        <w:rPr>
          <w:rFonts w:hint="eastAsia" w:ascii="宋体" w:hAnsi="宋体" w:cs="宋体"/>
          <w:color w:val="000000"/>
          <w:kern w:val="0"/>
          <w:sz w:val="24"/>
          <w:lang w:bidi="ar"/>
        </w:rPr>
        <w:t xml:space="preserve">4.1.10.9 其他 </w:t>
      </w:r>
    </w:p>
    <w:p w14:paraId="219A6605">
      <w:pPr>
        <w:pStyle w:val="20"/>
        <w:widowControl/>
        <w:jc w:val="left"/>
      </w:pPr>
      <w:r>
        <w:rPr>
          <w:rFonts w:hint="eastAsia" w:ascii="宋体" w:hAnsi="宋体" w:cs="宋体"/>
          <w:color w:val="000000"/>
          <w:kern w:val="0"/>
          <w:sz w:val="24"/>
          <w:lang w:bidi="ar"/>
        </w:rPr>
        <w:t xml:space="preserve">（1） 承包人必须保证按合同文件规定的时间内及时组织人员、设备按时进场，其进场人员、设备必须与投标文件中所承诺的人员、设备相一致，否则发包人将按照相关条款追究违约责任直至解除合同。 </w:t>
      </w:r>
    </w:p>
    <w:p w14:paraId="24EF363E">
      <w:pPr>
        <w:pStyle w:val="20"/>
        <w:widowControl/>
        <w:jc w:val="left"/>
      </w:pPr>
      <w:r>
        <w:rPr>
          <w:rFonts w:hint="eastAsia" w:ascii="宋体" w:hAnsi="宋体" w:cs="宋体"/>
          <w:color w:val="000000"/>
          <w:kern w:val="0"/>
          <w:sz w:val="24"/>
          <w:lang w:bidi="ar"/>
        </w:rPr>
        <w:t xml:space="preserve">（2）承包人必须保证按合同文件承诺的主要人员包括：项目经理、技术负责人、负责部门工作及关键岗位工作人员（涉及工作包括不限于经济、技术、质量检验试验、安全、物资、合同等方面）及其他主要技术人员按每月要求最少天数（22 天）在场，否则发包人将按照相关条款追究违约责任直至解除合同。 </w:t>
      </w:r>
    </w:p>
    <w:p w14:paraId="5901A61B">
      <w:pPr>
        <w:pStyle w:val="20"/>
        <w:widowControl/>
        <w:jc w:val="left"/>
      </w:pPr>
      <w:r>
        <w:rPr>
          <w:rFonts w:hint="eastAsia" w:ascii="宋体" w:hAnsi="宋体" w:cs="宋体"/>
          <w:color w:val="000000"/>
          <w:kern w:val="0"/>
          <w:sz w:val="24"/>
          <w:lang w:bidi="ar"/>
        </w:rPr>
        <w:t xml:space="preserve">（3）项目经理、技术负责人、负责部门工作及关键岗位工作人员（涉及工作包括不限于经济、技术、质量检验试验、安全、物资、合同等）及其他主要技术人员等必须持证上岗。 </w:t>
      </w:r>
    </w:p>
    <w:p w14:paraId="54B94A0A">
      <w:pPr>
        <w:pStyle w:val="20"/>
        <w:widowControl/>
        <w:jc w:val="left"/>
      </w:pPr>
      <w:r>
        <w:rPr>
          <w:rFonts w:hint="eastAsia" w:ascii="宋体" w:hAnsi="宋体" w:cs="宋体"/>
          <w:color w:val="000000"/>
          <w:kern w:val="0"/>
          <w:sz w:val="24"/>
          <w:lang w:bidi="ar"/>
        </w:rPr>
        <w:t>（4）承包人自己增加临时用地手续由承包人自行解决。</w:t>
      </w:r>
    </w:p>
    <w:p w14:paraId="6E510F57">
      <w:pPr>
        <w:pStyle w:val="20"/>
        <w:widowControl/>
        <w:jc w:val="left"/>
      </w:pPr>
      <w:r>
        <w:rPr>
          <w:rFonts w:hint="eastAsia" w:ascii="宋体" w:hAnsi="宋体" w:cs="宋体"/>
          <w:color w:val="000000"/>
          <w:kern w:val="0"/>
          <w:sz w:val="24"/>
          <w:lang w:bidi="ar"/>
        </w:rPr>
        <w:t xml:space="preserve">（5） 承包人应组建现场试验室，现场试验室应具有满足本工程建设需要的试验人员及其试验设备，并无偿提供现场试验、检验设备供发包人或监理人使用。 </w:t>
      </w:r>
    </w:p>
    <w:p w14:paraId="49F209DB">
      <w:pPr>
        <w:pStyle w:val="20"/>
        <w:widowControl/>
        <w:jc w:val="left"/>
      </w:pPr>
      <w:r>
        <w:rPr>
          <w:rFonts w:hint="eastAsia" w:ascii="宋体" w:hAnsi="宋体" w:cs="宋体"/>
          <w:color w:val="000000"/>
          <w:kern w:val="0"/>
          <w:sz w:val="24"/>
          <w:lang w:bidi="ar"/>
        </w:rPr>
        <w:t xml:space="preserve">（6）承包人必须保证每月按时、足额发放民工工资。承包人应按照《新疆维吾尔自治区农民工工资保证金管理暂行办法》以及《新疆维吾尔自治区建设领域农民工工资支付管理办法》执行。 </w:t>
      </w:r>
    </w:p>
    <w:p w14:paraId="126DE8C7">
      <w:pPr>
        <w:pStyle w:val="20"/>
        <w:widowControl/>
        <w:jc w:val="left"/>
      </w:pPr>
      <w:r>
        <w:rPr>
          <w:rFonts w:hint="eastAsia" w:ascii="宋体" w:hAnsi="宋体" w:cs="宋体"/>
          <w:color w:val="000000"/>
          <w:kern w:val="0"/>
          <w:sz w:val="24"/>
          <w:lang w:bidi="ar"/>
        </w:rPr>
        <w:t xml:space="preserve">（7）施工生产、生活用电 </w:t>
      </w:r>
    </w:p>
    <w:p w14:paraId="7FECAC8F">
      <w:pPr>
        <w:pStyle w:val="20"/>
        <w:widowControl/>
        <w:jc w:val="left"/>
      </w:pPr>
      <w:r>
        <w:rPr>
          <w:rFonts w:hint="eastAsia" w:ascii="宋体" w:hAnsi="宋体" w:cs="宋体"/>
          <w:color w:val="000000"/>
          <w:kern w:val="0"/>
          <w:sz w:val="24"/>
          <w:lang w:bidi="ar"/>
        </w:rPr>
        <w:t xml:space="preserve">1）施工生产、生活用水由承包人自行解决。 </w:t>
      </w:r>
    </w:p>
    <w:p w14:paraId="533DBD35">
      <w:pPr>
        <w:pStyle w:val="20"/>
        <w:widowControl/>
        <w:jc w:val="left"/>
      </w:pPr>
      <w:r>
        <w:rPr>
          <w:rFonts w:hint="eastAsia" w:ascii="宋体" w:hAnsi="宋体" w:cs="宋体"/>
          <w:color w:val="000000"/>
          <w:kern w:val="0"/>
          <w:sz w:val="24"/>
          <w:lang w:bidi="ar"/>
        </w:rPr>
        <w:t xml:space="preserve">2）承包人应向发包人、监理人及设计代表免费提供施工现场值班室用电(包括提供供电装置和维护)。 </w:t>
      </w:r>
    </w:p>
    <w:p w14:paraId="3FCB0014">
      <w:pPr>
        <w:pStyle w:val="20"/>
        <w:widowControl/>
        <w:jc w:val="left"/>
      </w:pPr>
      <w:r>
        <w:rPr>
          <w:rFonts w:hint="eastAsia" w:ascii="宋体" w:hAnsi="宋体" w:cs="宋体"/>
          <w:color w:val="000000"/>
          <w:kern w:val="0"/>
          <w:sz w:val="24"/>
          <w:lang w:bidi="ar"/>
        </w:rPr>
        <w:t xml:space="preserve">（8） 施工生产、生活用水 </w:t>
      </w:r>
    </w:p>
    <w:p w14:paraId="25EC2935">
      <w:pPr>
        <w:pStyle w:val="20"/>
        <w:widowControl/>
        <w:jc w:val="left"/>
      </w:pPr>
      <w:r>
        <w:rPr>
          <w:rFonts w:hint="eastAsia" w:ascii="宋体" w:hAnsi="宋体" w:cs="宋体"/>
          <w:color w:val="000000"/>
          <w:kern w:val="0"/>
          <w:sz w:val="24"/>
          <w:lang w:bidi="ar"/>
        </w:rPr>
        <w:t xml:space="preserve">1）施工和生活用水由承包人自行解决，其供水系统的总供水能力应满足施工要求，水质符合现行有关规范、标准的规定。 </w:t>
      </w:r>
    </w:p>
    <w:p w14:paraId="273F2131">
      <w:pPr>
        <w:pStyle w:val="20"/>
        <w:widowControl/>
        <w:jc w:val="left"/>
      </w:pPr>
      <w:r>
        <w:rPr>
          <w:rFonts w:hint="eastAsia" w:ascii="宋体" w:hAnsi="宋体" w:cs="宋体"/>
          <w:color w:val="000000"/>
          <w:kern w:val="0"/>
          <w:sz w:val="24"/>
          <w:lang w:bidi="ar"/>
        </w:rPr>
        <w:t xml:space="preserve">2）承包人应按本合同工程施工需要自行负责设计、施工、采购、安装、管理和维修其施工区和生活区的供水系统，包括修建为保证正常供水的引水、储水和水处理设施等。 </w:t>
      </w:r>
    </w:p>
    <w:p w14:paraId="1C4D814E">
      <w:pPr>
        <w:pStyle w:val="20"/>
        <w:widowControl/>
        <w:jc w:val="left"/>
      </w:pPr>
      <w:r>
        <w:rPr>
          <w:rFonts w:hint="eastAsia" w:ascii="宋体" w:hAnsi="宋体" w:cs="宋体"/>
          <w:color w:val="000000"/>
          <w:kern w:val="0"/>
          <w:sz w:val="24"/>
          <w:lang w:bidi="ar"/>
        </w:rPr>
        <w:t xml:space="preserve">3）为进入本标段现场的其它第三方承包人提供施工和生活用水方便，具体提供措施和收费办法由双方协商确定。 </w:t>
      </w:r>
    </w:p>
    <w:p w14:paraId="41DCD9B3">
      <w:pPr>
        <w:pStyle w:val="20"/>
        <w:widowControl/>
        <w:jc w:val="left"/>
      </w:pPr>
      <w:r>
        <w:rPr>
          <w:rFonts w:hint="eastAsia" w:ascii="宋体" w:hAnsi="宋体" w:cs="宋体"/>
          <w:color w:val="000000"/>
          <w:kern w:val="0"/>
          <w:sz w:val="24"/>
          <w:lang w:bidi="ar"/>
        </w:rPr>
        <w:t xml:space="preserve">4）承包人应向发包人、监理人及设计代表提供现场办公和生活用水，包括引向发包人、监理人及设计代表办公地点和生活区的引水、储水和水处理设施及其设备（设施）的施工、安装和日常维修等工作。上述供水设施建设和日常供水费用包括在施工供水项目的总价内。 </w:t>
      </w:r>
    </w:p>
    <w:p w14:paraId="5A204997">
      <w:pPr>
        <w:pStyle w:val="20"/>
        <w:widowControl/>
        <w:jc w:val="left"/>
      </w:pPr>
      <w:r>
        <w:rPr>
          <w:rFonts w:hint="eastAsia" w:ascii="宋体" w:hAnsi="宋体" w:cs="宋体"/>
          <w:color w:val="000000"/>
          <w:kern w:val="0"/>
          <w:sz w:val="24"/>
          <w:lang w:bidi="ar"/>
        </w:rPr>
        <w:t xml:space="preserve">（9）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14:paraId="7D6A619C">
      <w:pPr>
        <w:pStyle w:val="20"/>
        <w:widowControl/>
        <w:jc w:val="left"/>
      </w:pPr>
      <w:r>
        <w:rPr>
          <w:rFonts w:hint="eastAsia" w:ascii="宋体" w:hAnsi="宋体" w:cs="宋体"/>
          <w:color w:val="000000"/>
          <w:kern w:val="0"/>
          <w:sz w:val="24"/>
          <w:lang w:bidi="ar"/>
        </w:rPr>
        <w:t xml:space="preserve">（10）涉及安全生产等救助工作，承包人应服从发包人和监理人的统一调度指挥。 </w:t>
      </w:r>
    </w:p>
    <w:p w14:paraId="2DCCDFCD">
      <w:pPr>
        <w:pStyle w:val="20"/>
        <w:widowControl/>
        <w:jc w:val="left"/>
      </w:pPr>
      <w:r>
        <w:rPr>
          <w:rFonts w:hint="eastAsia" w:ascii="宋体" w:hAnsi="宋体" w:cs="宋体"/>
          <w:color w:val="000000"/>
          <w:kern w:val="0"/>
          <w:sz w:val="24"/>
          <w:lang w:bidi="ar"/>
        </w:rPr>
        <w:t xml:space="preserve">（11）按照国家政策和有关规定：承包人在少数民族地区从事工程建设活动，应当尊重当地少数民族的传统、习俗和宗教信仰。 </w:t>
      </w:r>
    </w:p>
    <w:p w14:paraId="4A473CBE">
      <w:pPr>
        <w:pStyle w:val="20"/>
        <w:widowControl/>
        <w:jc w:val="left"/>
      </w:pPr>
      <w:r>
        <w:rPr>
          <w:rFonts w:hint="eastAsia" w:ascii="宋体" w:hAnsi="宋体" w:cs="宋体"/>
          <w:color w:val="000000"/>
          <w:kern w:val="0"/>
          <w:sz w:val="24"/>
          <w:lang w:bidi="ar"/>
        </w:rPr>
        <w:t xml:space="preserve">（12）本工程所有火工材料的采购、运输、存放、使用及其导爆管等均必须遵守当地公安机关有关规定，并由承包人自行负责，承包人不得因在投标阶段或合同执行阶段，未遵守当地公安机关有关规定所产生的所有费用，向发包人提出索赔或变更。 </w:t>
      </w:r>
    </w:p>
    <w:p w14:paraId="49B88FD7">
      <w:pPr>
        <w:pStyle w:val="20"/>
        <w:widowControl/>
        <w:jc w:val="left"/>
      </w:pPr>
      <w:r>
        <w:rPr>
          <w:rFonts w:hint="eastAsia" w:ascii="宋体" w:hAnsi="宋体" w:cs="宋体"/>
          <w:color w:val="000000"/>
          <w:kern w:val="0"/>
          <w:sz w:val="24"/>
          <w:lang w:bidi="ar"/>
        </w:rPr>
        <w:t>（13）必须遵守当地公安机关的相关规定，配备设置安保设备、人员等措施，安全保卫相关费用由承包人自行承担。</w:t>
      </w:r>
    </w:p>
    <w:p w14:paraId="0741C21F">
      <w:pPr>
        <w:pStyle w:val="20"/>
        <w:spacing w:line="500" w:lineRule="exact"/>
        <w:outlineLvl w:val="3"/>
        <w:rPr>
          <w:rFonts w:ascii="宋体" w:hAnsi="宋体" w:cs="宋体"/>
          <w:sz w:val="24"/>
        </w:rPr>
      </w:pPr>
      <w:r>
        <w:rPr>
          <w:rFonts w:hint="eastAsia" w:ascii="宋体" w:hAnsi="宋体" w:cs="宋体"/>
          <w:sz w:val="24"/>
        </w:rPr>
        <w:t>4.3 分包</w:t>
      </w:r>
    </w:p>
    <w:p w14:paraId="4E2AC21D">
      <w:pPr>
        <w:pStyle w:val="20"/>
        <w:widowControl/>
        <w:jc w:val="left"/>
      </w:pPr>
      <w:r>
        <w:rPr>
          <w:rFonts w:hint="eastAsia" w:ascii="宋体" w:hAnsi="宋体" w:cs="宋体"/>
          <w:sz w:val="24"/>
        </w:rPr>
        <w:t>　　</w:t>
      </w:r>
      <w:r>
        <w:rPr>
          <w:rFonts w:hint="eastAsia" w:ascii="宋体" w:hAnsi="宋体" w:cs="宋体"/>
          <w:color w:val="000000"/>
          <w:kern w:val="0"/>
          <w:sz w:val="24"/>
          <w:lang w:bidi="ar"/>
        </w:rPr>
        <w:t>4.3.2 允许承包人分包的工程项目、工作内容与分包金额限额为：本工程不允许分包</w:t>
      </w:r>
    </w:p>
    <w:p w14:paraId="6A03A35A">
      <w:pPr>
        <w:pStyle w:val="20"/>
        <w:widowControl/>
        <w:jc w:val="left"/>
        <w:rPr>
          <w:rFonts w:hint="eastAsia" w:ascii="宋体" w:hAnsi="宋体" w:cs="宋体"/>
          <w:color w:val="000000"/>
          <w:kern w:val="0"/>
          <w:sz w:val="24"/>
          <w:u w:val="single"/>
          <w:lang w:bidi="ar"/>
        </w:rPr>
      </w:pPr>
      <w:r>
        <w:rPr>
          <w:rFonts w:hint="eastAsia" w:ascii="宋体" w:hAnsi="宋体" w:cs="宋体"/>
          <w:sz w:val="24"/>
        </w:rPr>
        <w:t>：</w:t>
      </w:r>
      <w:r>
        <w:rPr>
          <w:rFonts w:hint="eastAsia" w:ascii="宋体" w:hAnsi="宋体" w:cs="宋体"/>
          <w:color w:val="000000"/>
          <w:kern w:val="0"/>
          <w:sz w:val="24"/>
          <w:u w:val="single"/>
          <w:lang w:bidi="ar"/>
        </w:rPr>
        <w:t>本工程不允许分包</w:t>
      </w:r>
    </w:p>
    <w:p w14:paraId="2A4CAA35">
      <w:pPr>
        <w:pStyle w:val="20"/>
        <w:widowControl/>
        <w:jc w:val="left"/>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 xml:space="preserve"> 承包人人员的管理 </w:t>
      </w:r>
    </w:p>
    <w:p w14:paraId="3AF3C2AF">
      <w:pPr>
        <w:pStyle w:val="20"/>
        <w:widowControl/>
        <w:jc w:val="left"/>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4.1</w:t>
      </w:r>
      <w:r>
        <w:rPr>
          <w:rFonts w:hint="eastAsia" w:ascii="宋体" w:hAnsi="宋体" w:cs="宋体"/>
          <w:color w:val="000000"/>
          <w:kern w:val="0"/>
          <w:sz w:val="24"/>
          <w:lang w:bidi="ar"/>
        </w:rPr>
        <w:t xml:space="preserve"> 补充条款 </w:t>
      </w:r>
    </w:p>
    <w:p w14:paraId="1178648A">
      <w:pPr>
        <w:pStyle w:val="20"/>
        <w:widowControl/>
        <w:jc w:val="left"/>
      </w:pPr>
      <w:r>
        <w:rPr>
          <w:rFonts w:hint="eastAsia" w:ascii="宋体" w:hAnsi="宋体" w:cs="宋体"/>
          <w:color w:val="000000"/>
          <w:kern w:val="0"/>
          <w:sz w:val="24"/>
          <w:lang w:bidi="ar"/>
        </w:rPr>
        <w:t xml:space="preserve">（1）承包人项目经理 </w:t>
      </w:r>
    </w:p>
    <w:p w14:paraId="11FA60BB">
      <w:pPr>
        <w:pStyle w:val="20"/>
        <w:widowControl/>
        <w:jc w:val="left"/>
      </w:pPr>
      <w:r>
        <w:rPr>
          <w:rFonts w:hint="eastAsia" w:ascii="宋体" w:hAnsi="宋体" w:cs="宋体"/>
          <w:color w:val="000000"/>
          <w:kern w:val="0"/>
          <w:sz w:val="24"/>
          <w:lang w:bidi="ar"/>
        </w:rPr>
        <w:t xml:space="preserve">承包人须派投标文件中明确的项目经理进驻施工现场。未经发包人同意，本合同实施期间内项目经理不得更换，否则将对承包人处以罚款或清除出场的处罚。发包人有权因承包人项目经理管理不善，造成施工期内发生社会治安案件、重大安全事故、质量事故及工期延误等要求更换项目经理，承包人承担造成的所有损失。承包人项目经理短期（每月累计不超过八天）离开项目现场应事先征得监理人和发包人同意，并委派相应资质、资历的人员代替其职责。 </w:t>
      </w:r>
      <w:r>
        <w:rPr>
          <w:rFonts w:hint="eastAsia" w:ascii="宋体" w:hAnsi="宋体" w:cs="宋体"/>
          <w:color w:val="000000"/>
          <w:kern w:val="0"/>
          <w:sz w:val="24"/>
          <w:lang w:val="en-US" w:eastAsia="zh-CN" w:bidi="ar"/>
        </w:rPr>
        <w:t>项目管理机构人员应当按照投标文件成承诺的时间履约，如未经发包人同意，一个月内有三名或者以上相关人员未能按照承诺时间履职的，发包人有权解除合同关系并由承包人承担全部责任</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不能达到履职要求的其它情形，按照每人每天500元进行罚款处罚。</w:t>
      </w:r>
      <w:r>
        <w:rPr>
          <w:rFonts w:hint="eastAsia" w:ascii="宋体" w:hAnsi="宋体" w:cs="宋体"/>
          <w:color w:val="000000"/>
          <w:kern w:val="0"/>
          <w:sz w:val="24"/>
          <w:lang w:bidi="ar"/>
        </w:rPr>
        <w:t xml:space="preserve"> </w:t>
      </w:r>
    </w:p>
    <w:p w14:paraId="57EDB9F8">
      <w:pPr>
        <w:pStyle w:val="20"/>
        <w:widowControl/>
        <w:jc w:val="left"/>
      </w:pPr>
      <w:r>
        <w:rPr>
          <w:rFonts w:hint="eastAsia" w:ascii="宋体" w:hAnsi="宋体" w:cs="宋体"/>
          <w:color w:val="000000"/>
          <w:kern w:val="0"/>
          <w:sz w:val="24"/>
          <w:lang w:bidi="ar"/>
        </w:rPr>
        <w:t xml:space="preserve">（2）承包人人员的管理 </w:t>
      </w:r>
    </w:p>
    <w:p w14:paraId="64627FD3">
      <w:pPr>
        <w:pStyle w:val="20"/>
        <w:widowControl/>
        <w:jc w:val="left"/>
      </w:pPr>
      <w:r>
        <w:rPr>
          <w:rFonts w:hint="eastAsia" w:ascii="宋体" w:hAnsi="宋体" w:cs="宋体"/>
          <w:color w:val="000000"/>
          <w:kern w:val="0"/>
          <w:sz w:val="24"/>
          <w:lang w:bidi="ar"/>
        </w:rPr>
        <w:t xml:space="preserve">1）签订合同后 7 日内，负责承担本项目的项目经理、技术负责人、安全员、质检 </w:t>
      </w:r>
    </w:p>
    <w:p w14:paraId="50A47DB5">
      <w:pPr>
        <w:pStyle w:val="20"/>
        <w:widowControl/>
        <w:jc w:val="left"/>
      </w:pPr>
      <w:r>
        <w:rPr>
          <w:rFonts w:hint="eastAsia" w:ascii="宋体" w:hAnsi="宋体" w:cs="宋体"/>
          <w:color w:val="000000"/>
          <w:kern w:val="0"/>
          <w:sz w:val="24"/>
          <w:lang w:bidi="ar"/>
        </w:rPr>
        <w:t xml:space="preserve">员、施工员、测量员、实验员、资料员等人员未按合同协议书以及投标文件中承诺到位。 </w:t>
      </w:r>
    </w:p>
    <w:p w14:paraId="596E0891">
      <w:pPr>
        <w:pStyle w:val="20"/>
        <w:widowControl/>
        <w:jc w:val="left"/>
      </w:pPr>
      <w:r>
        <w:rPr>
          <w:rFonts w:hint="eastAsia" w:ascii="宋体" w:hAnsi="宋体" w:cs="宋体"/>
          <w:color w:val="000000"/>
          <w:kern w:val="0"/>
          <w:sz w:val="24"/>
          <w:lang w:bidi="ar"/>
        </w:rPr>
        <w:t xml:space="preserve">尽管承包人已按约定派遣了上述各类人员，但若这些人员仍不能满足合同进度计划和（或）质量要求时，监理人有权要求承包人继续增派这类人员，并书面通知承包人。承包人在接到上述通知后应在七日内增派人员到位，不得无故拖延。在施工承包合同期内，发包人有权在紧急情况下调用承包人施工人员执行与工程有关的任务。 </w:t>
      </w:r>
    </w:p>
    <w:p w14:paraId="38F70655">
      <w:pPr>
        <w:pStyle w:val="20"/>
        <w:widowControl/>
        <w:jc w:val="left"/>
      </w:pPr>
      <w:r>
        <w:rPr>
          <w:rFonts w:hint="eastAsia" w:ascii="宋体" w:hAnsi="宋体" w:cs="宋体"/>
          <w:color w:val="000000"/>
          <w:kern w:val="0"/>
          <w:sz w:val="24"/>
          <w:lang w:bidi="ar"/>
        </w:rPr>
        <w:t xml:space="preserve">2）承包人须派投标文件中明确的技术负责人进驻施工现场，同时应将技术负责人相关证件原件交予发包人直至本工程完工验收。未经发包人同意，本合同实施期间内技术负责人不得更换。承包人技术负责人短期（每月累计不超过八天）离开项目现场应事先征得监理人同意，并委派相应资质、资历的人员代替其职责。 </w:t>
      </w:r>
    </w:p>
    <w:p w14:paraId="2AF60DE5">
      <w:pPr>
        <w:pStyle w:val="20"/>
        <w:widowControl/>
        <w:jc w:val="left"/>
      </w:pPr>
      <w:r>
        <w:rPr>
          <w:rFonts w:hint="eastAsia" w:ascii="宋体" w:hAnsi="宋体" w:cs="宋体"/>
          <w:color w:val="000000"/>
          <w:kern w:val="0"/>
          <w:sz w:val="24"/>
          <w:lang w:bidi="ar"/>
        </w:rPr>
        <w:t xml:space="preserve">3）若存在特殊情况，承包人需变更除项目经理、技术负责人外的负责部门工作及关键岗位工作人员（经济、技术、质量检验试验、安全、物资、合同等人员），必须上报监理人并经批准后才允许更换不低于原投标文件所列人员资格的人员。 </w:t>
      </w:r>
    </w:p>
    <w:p w14:paraId="627F0216">
      <w:pPr>
        <w:pStyle w:val="20"/>
        <w:widowControl/>
        <w:jc w:val="left"/>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 xml:space="preserve"> 不利物质条件 </w:t>
      </w:r>
    </w:p>
    <w:p w14:paraId="4C37B24E">
      <w:pPr>
        <w:pStyle w:val="20"/>
        <w:widowControl/>
        <w:jc w:val="left"/>
        <w:rPr>
          <w:rFonts w:ascii="宋体" w:hAnsi="宋体" w:cs="宋体"/>
          <w:sz w:val="24"/>
        </w:rPr>
      </w:pPr>
      <w:r>
        <w:rPr>
          <w:rFonts w:hint="eastAsia" w:ascii="宋体" w:hAnsi="宋体" w:cs="宋体"/>
          <w:color w:val="000000"/>
          <w:kern w:val="0"/>
          <w:sz w:val="24"/>
          <w:lang w:bidi="ar"/>
        </w:rPr>
        <w:t>4.</w:t>
      </w:r>
      <w:r>
        <w:rPr>
          <w:rFonts w:hint="eastAsia" w:ascii="宋体" w:hAnsi="宋体" w:cs="宋体"/>
          <w:color w:val="000000"/>
          <w:kern w:val="0"/>
          <w:sz w:val="24"/>
          <w:lang w:val="en-US" w:eastAsia="zh-CN" w:bidi="ar"/>
        </w:rPr>
        <w:t>5.1</w:t>
      </w:r>
      <w:r>
        <w:rPr>
          <w:rFonts w:hint="eastAsia" w:ascii="宋体" w:hAnsi="宋体" w:cs="宋体"/>
          <w:color w:val="000000"/>
          <w:kern w:val="0"/>
          <w:sz w:val="24"/>
          <w:lang w:bidi="ar"/>
        </w:rPr>
        <w:t xml:space="preserve">不利物质条件的范围：无。 </w:t>
      </w:r>
    </w:p>
    <w:p w14:paraId="2E79D168">
      <w:pPr>
        <w:pStyle w:val="20"/>
        <w:spacing w:line="500" w:lineRule="exact"/>
        <w:outlineLvl w:val="2"/>
        <w:rPr>
          <w:rFonts w:ascii="宋体" w:hAnsi="宋体" w:cs="宋体"/>
          <w:sz w:val="24"/>
        </w:rPr>
      </w:pPr>
      <w:bookmarkStart w:id="134" w:name="_Toc256000138"/>
      <w:bookmarkStart w:id="135" w:name="_Toc135390363"/>
      <w:r>
        <w:rPr>
          <w:rFonts w:hint="eastAsia" w:ascii="宋体" w:hAnsi="宋体" w:cs="宋体"/>
          <w:sz w:val="24"/>
        </w:rPr>
        <w:t>5. 材料和工程设备</w:t>
      </w:r>
      <w:bookmarkEnd w:id="134"/>
      <w:bookmarkEnd w:id="135"/>
    </w:p>
    <w:p w14:paraId="5FAFE898">
      <w:pPr>
        <w:pStyle w:val="20"/>
        <w:widowControl/>
        <w:jc w:val="left"/>
      </w:pPr>
      <w:r>
        <w:rPr>
          <w:rFonts w:hint="eastAsia" w:ascii="宋体" w:hAnsi="宋体" w:cs="宋体"/>
          <w:color w:val="000000"/>
          <w:kern w:val="0"/>
          <w:sz w:val="24"/>
          <w:lang w:bidi="ar"/>
        </w:rPr>
        <w:t xml:space="preserve">5.1 承包人提供的材料和工程设备 </w:t>
      </w:r>
    </w:p>
    <w:p w14:paraId="18E877EB">
      <w:pPr>
        <w:pStyle w:val="20"/>
        <w:widowControl/>
        <w:jc w:val="left"/>
      </w:pPr>
      <w:r>
        <w:rPr>
          <w:rFonts w:hint="eastAsia" w:ascii="宋体" w:hAnsi="宋体" w:cs="宋体"/>
          <w:color w:val="000000"/>
          <w:kern w:val="0"/>
          <w:sz w:val="24"/>
          <w:lang w:bidi="ar"/>
        </w:rPr>
        <w:t xml:space="preserve">5.1.2 承包人应根据进度计划安排和监理人相关管理要求，按时将各项材料和工程 </w:t>
      </w:r>
    </w:p>
    <w:p w14:paraId="7A70F3A8">
      <w:pPr>
        <w:pStyle w:val="20"/>
        <w:widowControl/>
        <w:jc w:val="left"/>
      </w:pPr>
      <w:r>
        <w:rPr>
          <w:rFonts w:hint="eastAsia" w:ascii="宋体" w:hAnsi="宋体" w:cs="宋体"/>
          <w:color w:val="000000"/>
          <w:kern w:val="0"/>
          <w:sz w:val="24"/>
          <w:lang w:bidi="ar"/>
        </w:rPr>
        <w:t>设备的供货人及品种、规格、数量和供货时间等报送监理人审批</w:t>
      </w:r>
    </w:p>
    <w:p w14:paraId="3F5A7B7B">
      <w:pPr>
        <w:pStyle w:val="20"/>
        <w:widowControl/>
        <w:jc w:val="left"/>
      </w:pPr>
      <w:r>
        <w:rPr>
          <w:rFonts w:hint="eastAsia" w:ascii="宋体" w:hAnsi="宋体" w:cs="宋体"/>
          <w:b/>
          <w:bCs/>
          <w:color w:val="000000"/>
          <w:kern w:val="0"/>
          <w:sz w:val="24"/>
          <w:lang w:bidi="ar"/>
        </w:rPr>
        <w:t xml:space="preserve">5.2 发包人提供的材料和工程设备 </w:t>
      </w:r>
    </w:p>
    <w:p w14:paraId="339817C1">
      <w:pPr>
        <w:pStyle w:val="20"/>
        <w:widowControl/>
        <w:jc w:val="left"/>
      </w:pPr>
      <w:r>
        <w:rPr>
          <w:rFonts w:hint="eastAsia" w:ascii="宋体" w:hAnsi="宋体" w:cs="宋体"/>
          <w:color w:val="000000"/>
          <w:kern w:val="0"/>
          <w:szCs w:val="21"/>
          <w:lang w:bidi="ar"/>
        </w:rPr>
        <w:t>无</w:t>
      </w:r>
    </w:p>
    <w:p w14:paraId="19E13506">
      <w:pPr>
        <w:pStyle w:val="20"/>
        <w:spacing w:line="500" w:lineRule="exact"/>
        <w:outlineLvl w:val="2"/>
        <w:rPr>
          <w:rFonts w:ascii="宋体" w:hAnsi="宋体" w:cs="宋体"/>
          <w:sz w:val="24"/>
        </w:rPr>
      </w:pPr>
      <w:bookmarkStart w:id="136" w:name="_Toc256000139"/>
      <w:bookmarkStart w:id="137" w:name="_Toc135390364"/>
      <w:r>
        <w:rPr>
          <w:rFonts w:hint="eastAsia" w:ascii="宋体" w:hAnsi="宋体" w:cs="宋体"/>
          <w:sz w:val="24"/>
        </w:rPr>
        <w:t>6. 施工设备和临时设施</w:t>
      </w:r>
      <w:bookmarkEnd w:id="136"/>
      <w:bookmarkEnd w:id="137"/>
    </w:p>
    <w:p w14:paraId="2F517E61">
      <w:pPr>
        <w:pStyle w:val="20"/>
        <w:spacing w:line="500" w:lineRule="exact"/>
        <w:outlineLvl w:val="3"/>
        <w:rPr>
          <w:rFonts w:ascii="宋体" w:hAnsi="宋体" w:cs="宋体"/>
          <w:sz w:val="24"/>
        </w:rPr>
      </w:pPr>
      <w:r>
        <w:rPr>
          <w:rFonts w:hint="eastAsia" w:ascii="宋体" w:hAnsi="宋体" w:cs="宋体"/>
          <w:sz w:val="24"/>
        </w:rPr>
        <w:t>6.2 发包人</w:t>
      </w:r>
      <w:r>
        <w:rPr>
          <w:rFonts w:hint="eastAsia" w:ascii="宋体" w:hAnsi="宋体" w:cs="宋体"/>
          <w:sz w:val="24"/>
          <w:lang w:val="en-US" w:eastAsia="zh-CN"/>
        </w:rPr>
        <w:t>不</w:t>
      </w:r>
      <w:r>
        <w:rPr>
          <w:rFonts w:hint="eastAsia" w:ascii="宋体" w:hAnsi="宋体" w:cs="宋体"/>
          <w:sz w:val="24"/>
        </w:rPr>
        <w:t>提供的施工设备和临时设施　</w:t>
      </w:r>
    </w:p>
    <w:p w14:paraId="350FFA2B">
      <w:pPr>
        <w:pStyle w:val="20"/>
        <w:spacing w:line="500" w:lineRule="exact"/>
        <w:outlineLvl w:val="2"/>
        <w:rPr>
          <w:rFonts w:ascii="宋体" w:hAnsi="宋体" w:cs="宋体"/>
          <w:sz w:val="24"/>
        </w:rPr>
      </w:pPr>
      <w:bookmarkStart w:id="138" w:name="_Toc256000140"/>
      <w:bookmarkStart w:id="139" w:name="_Toc135390365"/>
      <w:r>
        <w:rPr>
          <w:rFonts w:hint="eastAsia" w:ascii="宋体" w:hAnsi="宋体" w:cs="宋体"/>
          <w:sz w:val="24"/>
        </w:rPr>
        <w:t>7. 交通运输</w:t>
      </w:r>
      <w:bookmarkEnd w:id="138"/>
      <w:bookmarkEnd w:id="139"/>
    </w:p>
    <w:p w14:paraId="37BDE20B">
      <w:pPr>
        <w:pStyle w:val="20"/>
        <w:spacing w:line="500" w:lineRule="exact"/>
        <w:outlineLvl w:val="3"/>
        <w:rPr>
          <w:rFonts w:ascii="宋体" w:hAnsi="宋体" w:cs="宋体"/>
          <w:sz w:val="24"/>
        </w:rPr>
      </w:pPr>
      <w:r>
        <w:rPr>
          <w:rFonts w:hint="eastAsia" w:ascii="宋体" w:hAnsi="宋体" w:cs="宋体"/>
          <w:sz w:val="24"/>
        </w:rPr>
        <w:t>7.1 道路通行权和场外设施</w:t>
      </w:r>
    </w:p>
    <w:p w14:paraId="732FB928">
      <w:pPr>
        <w:pStyle w:val="20"/>
        <w:spacing w:line="500" w:lineRule="exact"/>
        <w:rPr>
          <w:rFonts w:ascii="宋体" w:hAnsi="宋体" w:cs="宋体"/>
          <w:sz w:val="24"/>
        </w:rPr>
      </w:pPr>
      <w:r>
        <w:rPr>
          <w:rFonts w:hint="eastAsia" w:ascii="宋体" w:hAnsi="宋体" w:cs="宋体"/>
          <w:sz w:val="24"/>
        </w:rPr>
        <w:t>　　道路通行权和场外设施的约定：</w:t>
      </w:r>
      <w:r>
        <w:rPr>
          <w:rFonts w:hint="eastAsia" w:ascii="宋体" w:hAnsi="宋体" w:cs="宋体"/>
          <w:sz w:val="24"/>
          <w:u w:val="single"/>
        </w:rPr>
        <w:t>　　无　　　　</w:t>
      </w:r>
      <w:r>
        <w:rPr>
          <w:rFonts w:hint="eastAsia" w:ascii="宋体" w:hAnsi="宋体" w:cs="宋体"/>
          <w:sz w:val="24"/>
        </w:rPr>
        <w:t>。</w:t>
      </w:r>
    </w:p>
    <w:p w14:paraId="7C344334">
      <w:pPr>
        <w:pStyle w:val="20"/>
        <w:spacing w:line="500" w:lineRule="exact"/>
        <w:outlineLvl w:val="2"/>
        <w:rPr>
          <w:rFonts w:ascii="宋体" w:hAnsi="宋体" w:cs="宋体"/>
          <w:sz w:val="24"/>
        </w:rPr>
      </w:pPr>
      <w:bookmarkStart w:id="140" w:name="_Toc256000141"/>
      <w:bookmarkStart w:id="141" w:name="_Toc135390366"/>
      <w:r>
        <w:rPr>
          <w:rFonts w:hint="eastAsia" w:ascii="宋体" w:hAnsi="宋体" w:cs="宋体"/>
          <w:sz w:val="24"/>
        </w:rPr>
        <w:t>8. 测量放线</w:t>
      </w:r>
      <w:bookmarkEnd w:id="140"/>
      <w:bookmarkEnd w:id="141"/>
    </w:p>
    <w:p w14:paraId="185F2F67">
      <w:pPr>
        <w:pStyle w:val="20"/>
        <w:spacing w:line="500" w:lineRule="exact"/>
        <w:outlineLvl w:val="3"/>
        <w:rPr>
          <w:rFonts w:ascii="宋体" w:hAnsi="宋体" w:cs="宋体"/>
          <w:sz w:val="24"/>
        </w:rPr>
      </w:pPr>
      <w:r>
        <w:rPr>
          <w:rFonts w:hint="eastAsia" w:ascii="宋体" w:hAnsi="宋体" w:cs="宋体"/>
          <w:sz w:val="24"/>
        </w:rPr>
        <w:t>8.1 施工控制网</w:t>
      </w:r>
    </w:p>
    <w:p w14:paraId="3EEE2A97">
      <w:pPr>
        <w:pStyle w:val="20"/>
        <w:widowControl/>
        <w:jc w:val="left"/>
      </w:pPr>
      <w:r>
        <w:rPr>
          <w:rFonts w:hint="eastAsia" w:ascii="宋体" w:hAnsi="宋体" w:cs="宋体"/>
          <w:sz w:val="24"/>
        </w:rPr>
        <w:t>　</w:t>
      </w:r>
      <w:r>
        <w:rPr>
          <w:rFonts w:hint="eastAsia" w:ascii="宋体" w:hAnsi="宋体" w:cs="宋体"/>
          <w:b/>
          <w:bCs/>
          <w:color w:val="000000"/>
          <w:kern w:val="0"/>
          <w:sz w:val="24"/>
          <w:lang w:bidi="ar"/>
        </w:rPr>
        <w:t xml:space="preserve">8.1.1 </w:t>
      </w:r>
      <w:r>
        <w:rPr>
          <w:rFonts w:hint="eastAsia" w:ascii="宋体" w:hAnsi="宋体" w:cs="宋体"/>
          <w:color w:val="000000"/>
          <w:kern w:val="0"/>
          <w:sz w:val="24"/>
          <w:lang w:bidi="ar"/>
        </w:rPr>
        <w:t>施工控制网的约定： 发包人提供基点，由监理人组织，设计方、承包方参与交底，承包人按批准的实施方案、施工组织设计自行布置施工控制网。</w:t>
      </w:r>
    </w:p>
    <w:p w14:paraId="34F0C2E3">
      <w:pPr>
        <w:pStyle w:val="20"/>
        <w:spacing w:line="500" w:lineRule="exact"/>
        <w:outlineLvl w:val="2"/>
        <w:rPr>
          <w:rFonts w:ascii="宋体" w:hAnsi="宋体" w:cs="宋体"/>
          <w:sz w:val="24"/>
        </w:rPr>
      </w:pPr>
      <w:bookmarkStart w:id="142" w:name="_Toc256000142"/>
      <w:bookmarkStart w:id="143" w:name="_Toc135390367"/>
      <w:r>
        <w:rPr>
          <w:rFonts w:hint="eastAsia" w:ascii="宋体" w:hAnsi="宋体" w:cs="宋体"/>
          <w:sz w:val="24"/>
        </w:rPr>
        <w:t>9. 施工安全、治安保卫和环境保护</w:t>
      </w:r>
      <w:bookmarkEnd w:id="142"/>
      <w:bookmarkEnd w:id="143"/>
    </w:p>
    <w:p w14:paraId="5ED79A02">
      <w:pPr>
        <w:pStyle w:val="20"/>
        <w:spacing w:line="500" w:lineRule="exact"/>
        <w:outlineLvl w:val="3"/>
        <w:rPr>
          <w:rFonts w:hint="eastAsia" w:ascii="宋体" w:hAnsi="宋体" w:cs="宋体"/>
          <w:sz w:val="24"/>
        </w:rPr>
      </w:pPr>
      <w:r>
        <w:rPr>
          <w:rFonts w:hint="eastAsia" w:ascii="宋体" w:hAnsi="宋体" w:cs="宋体"/>
          <w:sz w:val="24"/>
        </w:rPr>
        <w:t>9.1 发包人的施工安全责任</w:t>
      </w:r>
    </w:p>
    <w:p w14:paraId="14A0522F">
      <w:pPr>
        <w:pStyle w:val="20"/>
        <w:spacing w:line="500" w:lineRule="exact"/>
        <w:outlineLvl w:val="3"/>
        <w:rPr>
          <w:rFonts w:ascii="宋体" w:hAnsi="宋体" w:cs="宋体"/>
          <w:sz w:val="24"/>
        </w:rPr>
      </w:pPr>
      <w:r>
        <w:rPr>
          <w:rFonts w:hint="eastAsia" w:ascii="宋体" w:hAnsi="宋体" w:cs="宋体"/>
          <w:sz w:val="24"/>
        </w:rPr>
        <w:t>9.1.4　发包人提供</w:t>
      </w:r>
      <w:r>
        <w:rPr>
          <w:rFonts w:hint="eastAsia" w:ascii="宋体" w:hAnsi="宋体" w:cs="宋体"/>
          <w:sz w:val="24"/>
          <w:u w:val="single"/>
        </w:rPr>
        <w:t>　　　　/　　　</w:t>
      </w:r>
      <w:r>
        <w:rPr>
          <w:rFonts w:hint="eastAsia" w:ascii="宋体" w:hAnsi="宋体" w:cs="宋体"/>
          <w:sz w:val="24"/>
        </w:rPr>
        <w:t>资料，其余资料由承包人负责收集。</w:t>
      </w:r>
    </w:p>
    <w:p w14:paraId="0D3D3F08">
      <w:pPr>
        <w:pStyle w:val="20"/>
        <w:spacing w:line="500" w:lineRule="exact"/>
        <w:outlineLvl w:val="3"/>
        <w:rPr>
          <w:rFonts w:ascii="宋体" w:hAnsi="宋体" w:cs="宋体"/>
          <w:sz w:val="24"/>
        </w:rPr>
      </w:pPr>
      <w:r>
        <w:rPr>
          <w:rFonts w:hint="eastAsia" w:ascii="宋体" w:hAnsi="宋体" w:cs="宋体"/>
          <w:sz w:val="24"/>
        </w:rPr>
        <w:t>9.2 承包人的施工安全责任</w:t>
      </w:r>
    </w:p>
    <w:p w14:paraId="3E3D6C3A">
      <w:pPr>
        <w:pStyle w:val="20"/>
        <w:widowControl/>
        <w:jc w:val="left"/>
        <w:rPr>
          <w:rFonts w:ascii="宋体" w:hAnsi="宋体" w:cs="宋体"/>
          <w:sz w:val="24"/>
        </w:rPr>
      </w:pPr>
      <w:r>
        <w:rPr>
          <w:rFonts w:hint="eastAsia" w:ascii="宋体" w:hAnsi="宋体" w:cs="宋体"/>
          <w:sz w:val="24"/>
        </w:rPr>
        <w:t>　</w:t>
      </w:r>
      <w:r>
        <w:rPr>
          <w:rFonts w:hint="eastAsia" w:ascii="宋体" w:hAnsi="宋体" w:cs="宋体"/>
          <w:b/>
          <w:bCs/>
          <w:color w:val="000000"/>
          <w:kern w:val="0"/>
          <w:sz w:val="24"/>
          <w:lang w:bidi="ar"/>
        </w:rPr>
        <w:t xml:space="preserve">9.2.2 </w:t>
      </w:r>
      <w:r>
        <w:rPr>
          <w:rFonts w:hint="eastAsia" w:ascii="宋体" w:hAnsi="宋体" w:cs="宋体"/>
          <w:color w:val="000000"/>
          <w:kern w:val="0"/>
          <w:sz w:val="24"/>
          <w:lang w:bidi="ar"/>
        </w:rPr>
        <w:t>本合同安全施工措施费用：全部由承包人承担，并包括在相关工作的合同价格中。</w:t>
      </w:r>
    </w:p>
    <w:p w14:paraId="5922B632">
      <w:pPr>
        <w:pStyle w:val="20"/>
        <w:spacing w:line="500" w:lineRule="exact"/>
        <w:outlineLvl w:val="3"/>
        <w:rPr>
          <w:rFonts w:ascii="宋体" w:hAnsi="宋体" w:cs="宋体"/>
          <w:sz w:val="24"/>
        </w:rPr>
      </w:pPr>
      <w:r>
        <w:rPr>
          <w:rFonts w:hint="eastAsia" w:ascii="宋体" w:hAnsi="宋体" w:cs="宋体"/>
          <w:sz w:val="24"/>
        </w:rPr>
        <w:t>9.</w:t>
      </w:r>
      <w:r>
        <w:rPr>
          <w:rFonts w:hint="eastAsia" w:ascii="宋体" w:hAnsi="宋体" w:cs="宋体"/>
          <w:sz w:val="24"/>
          <w:lang w:val="en-US" w:eastAsia="zh-CN"/>
        </w:rPr>
        <w:t>3</w:t>
      </w:r>
      <w:r>
        <w:rPr>
          <w:rFonts w:hint="eastAsia" w:ascii="宋体" w:hAnsi="宋体" w:cs="宋体"/>
          <w:sz w:val="24"/>
        </w:rPr>
        <w:t xml:space="preserve"> 文明工地</w:t>
      </w:r>
    </w:p>
    <w:p w14:paraId="3795D1C9">
      <w:pPr>
        <w:pStyle w:val="20"/>
        <w:spacing w:line="500" w:lineRule="exact"/>
        <w:rPr>
          <w:rFonts w:ascii="宋体" w:hAnsi="宋体" w:cs="宋体"/>
          <w:sz w:val="24"/>
        </w:rPr>
      </w:pPr>
      <w:r>
        <w:rPr>
          <w:rFonts w:hint="eastAsia" w:ascii="宋体" w:hAnsi="宋体" w:cs="宋体"/>
          <w:sz w:val="24"/>
        </w:rPr>
        <w:t>9.</w:t>
      </w:r>
      <w:r>
        <w:rPr>
          <w:rFonts w:hint="eastAsia" w:ascii="宋体" w:hAnsi="宋体" w:cs="宋体"/>
          <w:sz w:val="24"/>
          <w:lang w:val="en-US" w:eastAsia="zh-CN"/>
        </w:rPr>
        <w:t>3</w:t>
      </w:r>
      <w:r>
        <w:rPr>
          <w:rFonts w:hint="eastAsia" w:ascii="宋体" w:hAnsi="宋体" w:cs="宋体"/>
          <w:sz w:val="24"/>
        </w:rPr>
        <w:t>.1　本合同文明工地的约定：</w:t>
      </w:r>
      <w:r>
        <w:rPr>
          <w:rFonts w:hint="eastAsia" w:ascii="宋体" w:hAnsi="宋体" w:cs="宋体"/>
          <w:sz w:val="24"/>
          <w:u w:val="single"/>
        </w:rPr>
        <w:t>　　/　　　　</w:t>
      </w:r>
      <w:r>
        <w:rPr>
          <w:rFonts w:hint="eastAsia" w:ascii="宋体" w:hAnsi="宋体" w:cs="宋体"/>
          <w:sz w:val="24"/>
        </w:rPr>
        <w:t>。</w:t>
      </w:r>
    </w:p>
    <w:p w14:paraId="45A6B6A7">
      <w:pPr>
        <w:pStyle w:val="20"/>
        <w:spacing w:line="500" w:lineRule="exact"/>
        <w:outlineLvl w:val="2"/>
        <w:rPr>
          <w:rFonts w:hint="eastAsia" w:ascii="宋体" w:hAnsi="宋体" w:cs="宋体"/>
          <w:sz w:val="24"/>
        </w:rPr>
      </w:pPr>
      <w:bookmarkStart w:id="144" w:name="_Toc135390368"/>
      <w:bookmarkStart w:id="145" w:name="_Toc256000143"/>
      <w:r>
        <w:rPr>
          <w:rFonts w:hint="eastAsia" w:ascii="宋体" w:hAnsi="宋体" w:cs="宋体"/>
          <w:sz w:val="24"/>
          <w:lang w:val="en-US" w:eastAsia="zh-CN"/>
        </w:rPr>
        <w:t>10</w:t>
      </w:r>
      <w:r>
        <w:rPr>
          <w:rFonts w:hint="eastAsia" w:ascii="宋体" w:hAnsi="宋体" w:cs="宋体"/>
          <w:sz w:val="24"/>
        </w:rPr>
        <w:t>. 开工和竣工(完工)</w:t>
      </w:r>
      <w:bookmarkEnd w:id="144"/>
      <w:bookmarkEnd w:id="145"/>
    </w:p>
    <w:p w14:paraId="5B0AC8AB">
      <w:pPr>
        <w:pStyle w:val="20"/>
        <w:widowControl/>
        <w:jc w:val="left"/>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0</w:t>
      </w:r>
      <w:r>
        <w:rPr>
          <w:rFonts w:hint="eastAsia" w:ascii="宋体" w:hAnsi="宋体" w:cs="宋体"/>
          <w:color w:val="000000"/>
          <w:kern w:val="0"/>
          <w:sz w:val="24"/>
          <w:lang w:bidi="ar"/>
        </w:rPr>
        <w:t xml:space="preserve">.1 开工 </w:t>
      </w:r>
    </w:p>
    <w:p w14:paraId="03F82EBF">
      <w:pPr>
        <w:pStyle w:val="20"/>
        <w:widowControl/>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lang w:val="en-US" w:eastAsia="zh-CN" w:bidi="ar"/>
        </w:rPr>
        <w:t>0</w:t>
      </w: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bidi="ar"/>
        </w:rPr>
        <w:t xml:space="preserve"> 总工期：</w:t>
      </w:r>
      <w:r>
        <w:rPr>
          <w:rFonts w:hint="eastAsia" w:ascii="宋体" w:hAnsi="宋体" w:cs="宋体"/>
          <w:color w:val="000000"/>
          <w:kern w:val="0"/>
          <w:sz w:val="24"/>
          <w:highlight w:val="none"/>
          <w:lang w:val="en-US" w:eastAsia="zh-CN" w:bidi="ar"/>
        </w:rPr>
        <w:t>91</w:t>
      </w:r>
      <w:r>
        <w:rPr>
          <w:rFonts w:hint="eastAsia" w:ascii="宋体" w:hAnsi="宋体" w:cs="宋体"/>
          <w:color w:val="000000"/>
          <w:kern w:val="0"/>
          <w:sz w:val="24"/>
          <w:highlight w:val="none"/>
          <w:lang w:bidi="ar"/>
        </w:rPr>
        <w:t>天 ( 日历天)</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计划工期：2024 年</w:t>
      </w:r>
      <w:r>
        <w:rPr>
          <w:rFonts w:hint="eastAsia" w:ascii="宋体" w:hAnsi="宋体" w:cs="宋体"/>
          <w:color w:val="000000"/>
          <w:kern w:val="0"/>
          <w:sz w:val="24"/>
          <w:highlight w:val="none"/>
          <w:lang w:val="en-US" w:eastAsia="zh-CN" w:bidi="ar"/>
        </w:rPr>
        <w:t>04</w:t>
      </w:r>
      <w:r>
        <w:rPr>
          <w:rFonts w:hint="eastAsia" w:ascii="宋体" w:hAnsi="宋体" w:cs="宋体"/>
          <w:color w:val="000000"/>
          <w:kern w:val="0"/>
          <w:sz w:val="24"/>
          <w:highlight w:val="none"/>
          <w:lang w:bidi="ar"/>
        </w:rPr>
        <w:t xml:space="preserve">月 </w:t>
      </w:r>
      <w:r>
        <w:rPr>
          <w:rFonts w:hint="eastAsia" w:ascii="宋体" w:hAnsi="宋体" w:cs="宋体"/>
          <w:color w:val="000000"/>
          <w:kern w:val="0"/>
          <w:sz w:val="24"/>
          <w:highlight w:val="none"/>
          <w:lang w:val="en-US" w:eastAsia="zh-CN" w:bidi="ar"/>
        </w:rPr>
        <w:t>01</w:t>
      </w:r>
      <w:r>
        <w:rPr>
          <w:rFonts w:hint="eastAsia" w:ascii="宋体" w:hAnsi="宋体" w:cs="宋体"/>
          <w:color w:val="000000"/>
          <w:kern w:val="0"/>
          <w:sz w:val="24"/>
          <w:highlight w:val="none"/>
          <w:lang w:bidi="ar"/>
        </w:rPr>
        <w:t>至 2024 年</w:t>
      </w:r>
      <w:r>
        <w:rPr>
          <w:rFonts w:hint="eastAsia" w:ascii="宋体" w:hAnsi="宋体" w:cs="宋体"/>
          <w:color w:val="000000"/>
          <w:kern w:val="0"/>
          <w:sz w:val="24"/>
          <w:highlight w:val="none"/>
          <w:lang w:val="en-US" w:eastAsia="zh-CN" w:bidi="ar"/>
        </w:rPr>
        <w:t>06</w:t>
      </w:r>
      <w:r>
        <w:rPr>
          <w:rFonts w:hint="eastAsia" w:ascii="宋体" w:hAnsi="宋体" w:cs="宋体"/>
          <w:color w:val="000000"/>
          <w:kern w:val="0"/>
          <w:sz w:val="24"/>
          <w:highlight w:val="none"/>
          <w:lang w:bidi="ar"/>
        </w:rPr>
        <w:t xml:space="preserve">月 </w:t>
      </w:r>
      <w:r>
        <w:rPr>
          <w:rFonts w:hint="eastAsia" w:ascii="宋体" w:hAnsi="宋体" w:cs="宋体"/>
          <w:color w:val="000000"/>
          <w:kern w:val="0"/>
          <w:sz w:val="24"/>
          <w:highlight w:val="none"/>
          <w:lang w:val="en-US" w:eastAsia="zh-CN" w:bidi="ar"/>
        </w:rPr>
        <w:t>30</w:t>
      </w:r>
      <w:r>
        <w:rPr>
          <w:rFonts w:hint="eastAsia" w:ascii="宋体" w:hAnsi="宋体" w:cs="宋体"/>
          <w:color w:val="000000"/>
          <w:kern w:val="0"/>
          <w:sz w:val="24"/>
          <w:highlight w:val="none"/>
          <w:lang w:bidi="ar"/>
        </w:rPr>
        <w:t xml:space="preserve">日 。  </w:t>
      </w:r>
    </w:p>
    <w:p w14:paraId="21B61AE8">
      <w:pPr>
        <w:pStyle w:val="20"/>
        <w:widowControl/>
        <w:jc w:val="left"/>
        <w:rPr>
          <w:highlight w:val="none"/>
        </w:rPr>
      </w:pPr>
      <w:r>
        <w:rPr>
          <w:rFonts w:hint="eastAsia" w:ascii="宋体" w:hAnsi="宋体" w:cs="宋体"/>
          <w:color w:val="000000"/>
          <w:kern w:val="0"/>
          <w:sz w:val="24"/>
          <w:highlight w:val="none"/>
          <w:lang w:val="en-US" w:eastAsia="zh-CN" w:bidi="ar"/>
        </w:rPr>
        <w:t>10.1.3</w:t>
      </w:r>
      <w:r>
        <w:rPr>
          <w:rFonts w:hint="eastAsia" w:ascii="宋体" w:hAnsi="宋体" w:cs="宋体"/>
          <w:color w:val="000000"/>
          <w:kern w:val="0"/>
          <w:sz w:val="24"/>
          <w:highlight w:val="none"/>
          <w:lang w:bidi="ar"/>
        </w:rPr>
        <w:t xml:space="preserve">竣工 </w:t>
      </w:r>
    </w:p>
    <w:p w14:paraId="387BF716">
      <w:pPr>
        <w:pStyle w:val="20"/>
        <w:widowControl/>
        <w:jc w:val="left"/>
        <w:rPr>
          <w:highlight w:val="none"/>
        </w:rPr>
      </w:pPr>
      <w:r>
        <w:rPr>
          <w:rFonts w:hint="eastAsia" w:ascii="宋体" w:hAnsi="宋体" w:cs="宋体"/>
          <w:color w:val="000000"/>
          <w:kern w:val="0"/>
          <w:sz w:val="24"/>
          <w:highlight w:val="none"/>
          <w:lang w:bidi="ar"/>
        </w:rPr>
        <w:t xml:space="preserve">计划竣工日期2024 年 </w:t>
      </w:r>
      <w:r>
        <w:rPr>
          <w:rFonts w:hint="eastAsia" w:ascii="宋体" w:hAnsi="宋体" w:cs="宋体"/>
          <w:color w:val="000000"/>
          <w:kern w:val="0"/>
          <w:sz w:val="24"/>
          <w:highlight w:val="none"/>
          <w:lang w:val="en-US" w:eastAsia="zh-CN" w:bidi="ar"/>
        </w:rPr>
        <w:t>06</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lang w:val="en-US" w:eastAsia="zh-CN" w:bidi="ar"/>
        </w:rPr>
        <w:t>30</w:t>
      </w:r>
      <w:r>
        <w:rPr>
          <w:rFonts w:hint="eastAsia" w:ascii="宋体" w:hAnsi="宋体" w:cs="宋体"/>
          <w:color w:val="000000"/>
          <w:kern w:val="0"/>
          <w:sz w:val="24"/>
          <w:highlight w:val="none"/>
          <w:lang w:bidi="ar"/>
        </w:rPr>
        <w:t xml:space="preserve"> 日 。</w:t>
      </w:r>
    </w:p>
    <w:p w14:paraId="136B86C8">
      <w:pPr>
        <w:pStyle w:val="20"/>
        <w:spacing w:line="500" w:lineRule="exact"/>
        <w:outlineLvl w:val="3"/>
        <w:rPr>
          <w:rFonts w:hint="eastAsia" w:ascii="宋体" w:hAnsi="宋体" w:cs="宋体"/>
          <w:sz w:val="24"/>
        </w:rPr>
      </w:pPr>
      <w:r>
        <w:rPr>
          <w:rFonts w:hint="eastAsia" w:ascii="宋体" w:hAnsi="宋体" w:cs="宋体"/>
          <w:sz w:val="24"/>
        </w:rPr>
        <w:t>11. 异常恶劣的气候条件</w:t>
      </w:r>
    </w:p>
    <w:p w14:paraId="792AC5C2">
      <w:pPr>
        <w:pStyle w:val="20"/>
        <w:spacing w:line="500" w:lineRule="exact"/>
        <w:outlineLvl w:val="3"/>
        <w:rPr>
          <w:rFonts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　本合同工程界定异常恶劣气候条件的范围为：</w:t>
      </w:r>
    </w:p>
    <w:p w14:paraId="0B4E9B73">
      <w:pPr>
        <w:pStyle w:val="20"/>
        <w:spacing w:line="500" w:lineRule="exact"/>
        <w:rPr>
          <w:rFonts w:ascii="宋体" w:hAnsi="宋体" w:cs="宋体"/>
          <w:sz w:val="24"/>
        </w:rPr>
      </w:pPr>
      <w:r>
        <w:rPr>
          <w:rFonts w:hint="eastAsia" w:ascii="宋体" w:hAnsi="宋体" w:cs="宋体"/>
          <w:sz w:val="24"/>
        </w:rPr>
        <w:t>　　(1)日降雨量大于　　50　　mm的雨日超过　　2　　天；</w:t>
      </w:r>
    </w:p>
    <w:p w14:paraId="35FB0789">
      <w:pPr>
        <w:pStyle w:val="20"/>
        <w:spacing w:line="500" w:lineRule="exact"/>
        <w:rPr>
          <w:rFonts w:ascii="宋体" w:hAnsi="宋体" w:cs="宋体"/>
          <w:sz w:val="24"/>
        </w:rPr>
      </w:pPr>
      <w:r>
        <w:rPr>
          <w:rFonts w:hint="eastAsia" w:ascii="宋体" w:hAnsi="宋体" w:cs="宋体"/>
          <w:sz w:val="24"/>
        </w:rPr>
        <w:t>　　(2)风速大于　　/　　m/s的　　/　级以上台风灾害；</w:t>
      </w:r>
    </w:p>
    <w:p w14:paraId="5CA1AB4E">
      <w:pPr>
        <w:pStyle w:val="20"/>
        <w:spacing w:line="500" w:lineRule="exact"/>
        <w:rPr>
          <w:rFonts w:ascii="宋体" w:hAnsi="宋体" w:cs="宋体"/>
          <w:sz w:val="24"/>
        </w:rPr>
      </w:pPr>
      <w:r>
        <w:rPr>
          <w:rFonts w:hint="eastAsia" w:ascii="宋体" w:hAnsi="宋体" w:cs="宋体"/>
          <w:sz w:val="24"/>
        </w:rPr>
        <w:t>　　(3)日气温超过　　40　　℃的高温大于　　/　　天；</w:t>
      </w:r>
    </w:p>
    <w:p w14:paraId="535A9079">
      <w:pPr>
        <w:pStyle w:val="20"/>
        <w:spacing w:line="500" w:lineRule="exact"/>
        <w:rPr>
          <w:rFonts w:ascii="宋体" w:hAnsi="宋体" w:cs="宋体"/>
          <w:sz w:val="24"/>
        </w:rPr>
      </w:pPr>
      <w:r>
        <w:rPr>
          <w:rFonts w:hint="eastAsia" w:ascii="宋体" w:hAnsi="宋体" w:cs="宋体"/>
          <w:sz w:val="24"/>
        </w:rPr>
        <w:t>　　(4)日气温低于　-5　　℃的严寒大于　　3　　天；</w:t>
      </w:r>
    </w:p>
    <w:p w14:paraId="63E183F9">
      <w:pPr>
        <w:pStyle w:val="20"/>
        <w:spacing w:line="500" w:lineRule="exact"/>
        <w:rPr>
          <w:rFonts w:ascii="宋体" w:hAnsi="宋体" w:cs="宋体"/>
          <w:sz w:val="24"/>
        </w:rPr>
      </w:pPr>
      <w:r>
        <w:rPr>
          <w:rFonts w:hint="eastAsia" w:ascii="宋体" w:hAnsi="宋体" w:cs="宋体"/>
          <w:sz w:val="24"/>
        </w:rPr>
        <w:t>　　(5)造成工程损坏的冰雹和大雪灾害：　/　　　；</w:t>
      </w:r>
    </w:p>
    <w:p w14:paraId="2151FD4D">
      <w:pPr>
        <w:pStyle w:val="20"/>
        <w:spacing w:line="500" w:lineRule="exact"/>
        <w:rPr>
          <w:rFonts w:ascii="宋体" w:hAnsi="宋体" w:cs="宋体"/>
          <w:sz w:val="24"/>
        </w:rPr>
      </w:pPr>
      <w:r>
        <w:rPr>
          <w:rFonts w:hint="eastAsia" w:ascii="宋体" w:hAnsi="宋体" w:cs="宋体"/>
          <w:sz w:val="24"/>
        </w:rPr>
        <w:t>　　(6)其它异常恶劣气候灾害。</w:t>
      </w:r>
    </w:p>
    <w:p w14:paraId="2C1F1C34">
      <w:pPr>
        <w:pStyle w:val="20"/>
        <w:spacing w:line="500" w:lineRule="exact"/>
        <w:outlineLvl w:val="3"/>
        <w:rPr>
          <w:rFonts w:ascii="宋体" w:hAnsi="宋体" w:cs="宋体"/>
          <w:sz w:val="24"/>
        </w:rPr>
      </w:pPr>
      <w:r>
        <w:rPr>
          <w:rFonts w:hint="eastAsia" w:ascii="宋体" w:hAnsi="宋体" w:cs="宋体"/>
          <w:sz w:val="24"/>
        </w:rPr>
        <w:t>11.</w:t>
      </w:r>
      <w:r>
        <w:rPr>
          <w:rFonts w:hint="eastAsia" w:ascii="宋体" w:hAnsi="宋体" w:cs="宋体"/>
          <w:sz w:val="24"/>
          <w:lang w:val="en-US" w:eastAsia="zh-CN"/>
        </w:rPr>
        <w:t>2</w:t>
      </w:r>
      <w:r>
        <w:rPr>
          <w:rFonts w:hint="eastAsia" w:ascii="宋体" w:hAnsi="宋体" w:cs="宋体"/>
          <w:sz w:val="24"/>
        </w:rPr>
        <w:t xml:space="preserve"> 承包人工期延误</w:t>
      </w:r>
    </w:p>
    <w:p w14:paraId="14D32A2C">
      <w:pPr>
        <w:pStyle w:val="20"/>
        <w:widowControl/>
        <w:jc w:val="left"/>
        <w:rPr>
          <w:rFonts w:hint="eastAsia" w:ascii="宋体" w:hAnsi="宋体" w:cs="宋体"/>
          <w:color w:val="000000"/>
          <w:kern w:val="0"/>
          <w:sz w:val="24"/>
          <w:lang w:bidi="ar"/>
        </w:rPr>
      </w:pPr>
      <w:r>
        <w:rPr>
          <w:rFonts w:hint="eastAsia"/>
        </w:rPr>
        <w:t>　</w:t>
      </w:r>
      <w:r>
        <w:rPr>
          <w:rFonts w:hint="eastAsia" w:ascii="宋体" w:hAnsi="宋体" w:cs="宋体"/>
          <w:color w:val="000000"/>
          <w:kern w:val="0"/>
          <w:sz w:val="24"/>
          <w:lang w:bidi="ar"/>
        </w:rPr>
        <w:t>因承包人原因造成总工期逾期完工的，每延误一天处罚违约金 10000 元。全部逾期完工违约金的总限额为：不超过签约合同价的 5%。对承包人工期延误违约金达到合同总价的 10%，发包人有权单方解除合同，由此给发包人造成的一切损失由承包人承担。</w:t>
      </w:r>
    </w:p>
    <w:p w14:paraId="6143AF4A">
      <w:pPr>
        <w:pStyle w:val="21"/>
      </w:pPr>
      <w:bookmarkStart w:id="146" w:name="_Toc135390369"/>
      <w:bookmarkStart w:id="147" w:name="_Toc256000145"/>
      <w:r>
        <w:rPr>
          <w:rFonts w:hint="eastAsia" w:ascii="宋体" w:hAnsi="宋体" w:cs="宋体"/>
          <w:sz w:val="24"/>
        </w:rPr>
        <w:t>工期提前的奖金约定：</w:t>
      </w:r>
      <w:r>
        <w:rPr>
          <w:rFonts w:hint="eastAsia" w:ascii="宋体" w:hAnsi="宋体" w:cs="宋体"/>
          <w:sz w:val="24"/>
          <w:u w:val="single"/>
        </w:rPr>
        <w:t>　　</w:t>
      </w:r>
      <w:r>
        <w:rPr>
          <w:rFonts w:hint="eastAsia" w:ascii="宋体" w:hAnsi="宋体" w:cs="宋体"/>
          <w:sz w:val="24"/>
          <w:u w:val="single"/>
          <w:lang w:val="en-US" w:eastAsia="zh-CN"/>
        </w:rPr>
        <w:t>/</w:t>
      </w:r>
      <w:r>
        <w:rPr>
          <w:rFonts w:hint="eastAsia" w:ascii="宋体" w:hAnsi="宋体" w:cs="宋体"/>
          <w:sz w:val="24"/>
          <w:u w:val="single"/>
        </w:rPr>
        <w:t>　　</w:t>
      </w:r>
      <w:r>
        <w:rPr>
          <w:rFonts w:hint="eastAsia" w:ascii="宋体" w:hAnsi="宋体" w:cs="宋体"/>
          <w:sz w:val="24"/>
        </w:rPr>
        <w:t>。</w:t>
      </w:r>
      <w:bookmarkEnd w:id="146"/>
      <w:bookmarkEnd w:id="147"/>
    </w:p>
    <w:p w14:paraId="4AC4A11A">
      <w:pPr>
        <w:pStyle w:val="20"/>
        <w:spacing w:line="500" w:lineRule="exact"/>
        <w:outlineLvl w:val="2"/>
        <w:rPr>
          <w:rFonts w:ascii="宋体" w:hAnsi="宋体" w:cs="宋体"/>
          <w:sz w:val="24"/>
        </w:rPr>
      </w:pPr>
      <w:bookmarkStart w:id="148" w:name="_Toc135390370"/>
      <w:bookmarkStart w:id="149" w:name="_Toc256000146"/>
      <w:r>
        <w:rPr>
          <w:rFonts w:hint="eastAsia" w:ascii="宋体" w:hAnsi="宋体" w:cs="宋体"/>
          <w:sz w:val="24"/>
        </w:rPr>
        <w:t>12. 暂停施工</w:t>
      </w:r>
      <w:bookmarkEnd w:id="148"/>
      <w:bookmarkEnd w:id="149"/>
    </w:p>
    <w:p w14:paraId="57D01A29">
      <w:pPr>
        <w:pStyle w:val="20"/>
        <w:widowControl/>
        <w:jc w:val="left"/>
      </w:pPr>
      <w:r>
        <w:rPr>
          <w:rFonts w:hint="eastAsia" w:ascii="宋体" w:hAnsi="宋体" w:cs="宋体"/>
          <w:color w:val="000000"/>
          <w:kern w:val="0"/>
          <w:sz w:val="24"/>
          <w:lang w:bidi="ar"/>
        </w:rPr>
        <w:t xml:space="preserve">12.1 承包人暂停施工的责任 </w:t>
      </w:r>
    </w:p>
    <w:p w14:paraId="1A97695C">
      <w:pPr>
        <w:pStyle w:val="20"/>
        <w:widowControl/>
        <w:jc w:val="left"/>
      </w:pPr>
      <w:r>
        <w:rPr>
          <w:rFonts w:hint="eastAsia" w:ascii="宋体" w:hAnsi="宋体" w:cs="宋体"/>
          <w:color w:val="000000"/>
          <w:kern w:val="0"/>
          <w:sz w:val="24"/>
          <w:lang w:bidi="ar"/>
        </w:rPr>
        <w:t xml:space="preserve">1）承包人承担的其它暂停施工责任的其它情形： </w:t>
      </w:r>
    </w:p>
    <w:p w14:paraId="6D59CD0C">
      <w:pPr>
        <w:pStyle w:val="20"/>
        <w:widowControl/>
        <w:jc w:val="left"/>
      </w:pPr>
      <w:r>
        <w:rPr>
          <w:rFonts w:hint="eastAsia" w:ascii="宋体" w:hAnsi="宋体" w:cs="宋体"/>
          <w:color w:val="000000"/>
          <w:kern w:val="0"/>
          <w:sz w:val="24"/>
          <w:lang w:bidi="ar"/>
        </w:rPr>
        <w:t xml:space="preserve">2）现场气候条件引起的必要停工。 </w:t>
      </w:r>
    </w:p>
    <w:p w14:paraId="68B75D1A">
      <w:pPr>
        <w:pStyle w:val="20"/>
        <w:widowControl/>
        <w:jc w:val="left"/>
      </w:pPr>
      <w:r>
        <w:rPr>
          <w:rFonts w:hint="eastAsia" w:ascii="宋体" w:hAnsi="宋体" w:cs="宋体"/>
          <w:color w:val="000000"/>
          <w:kern w:val="0"/>
          <w:sz w:val="24"/>
          <w:lang w:bidi="ar"/>
        </w:rPr>
        <w:t xml:space="preserve">3）行政主管部门、上级单位的视察、检查、督查、指导工作的必要配合。 </w:t>
      </w:r>
    </w:p>
    <w:p w14:paraId="3858FB14">
      <w:pPr>
        <w:pStyle w:val="20"/>
        <w:widowControl/>
        <w:jc w:val="left"/>
      </w:pPr>
      <w:r>
        <w:rPr>
          <w:rFonts w:hint="eastAsia" w:ascii="宋体" w:hAnsi="宋体" w:cs="宋体"/>
          <w:color w:val="000000"/>
          <w:kern w:val="0"/>
          <w:sz w:val="24"/>
          <w:lang w:bidi="ar"/>
        </w:rPr>
        <w:t xml:space="preserve">4）相临施工单位之间的影响。 </w:t>
      </w:r>
    </w:p>
    <w:p w14:paraId="4119CAD5">
      <w:pPr>
        <w:pStyle w:val="20"/>
        <w:widowControl/>
        <w:jc w:val="left"/>
      </w:pPr>
      <w:r>
        <w:rPr>
          <w:rFonts w:hint="eastAsia" w:ascii="宋体" w:hAnsi="宋体" w:cs="宋体"/>
          <w:color w:val="000000"/>
          <w:kern w:val="0"/>
          <w:sz w:val="24"/>
          <w:lang w:bidi="ar"/>
        </w:rPr>
        <w:t xml:space="preserve">12.2 发包人暂停施工的责任 </w:t>
      </w:r>
    </w:p>
    <w:p w14:paraId="15408CFB">
      <w:pPr>
        <w:pStyle w:val="20"/>
        <w:widowControl/>
        <w:jc w:val="left"/>
        <w:rPr>
          <w:rFonts w:hint="eastAsia" w:ascii="宋体" w:hAnsi="宋体" w:cs="宋体"/>
          <w:sz w:val="24"/>
        </w:rPr>
      </w:pPr>
      <w:r>
        <w:rPr>
          <w:rFonts w:hint="eastAsia" w:ascii="宋体" w:hAnsi="宋体" w:cs="宋体"/>
          <w:color w:val="000000"/>
          <w:kern w:val="0"/>
          <w:sz w:val="24"/>
          <w:lang w:bidi="ar"/>
        </w:rPr>
        <w:t>（1）发包人承担的其它暂停施工责任的其它情形：无。</w:t>
      </w:r>
    </w:p>
    <w:p w14:paraId="4D5DA89C">
      <w:pPr>
        <w:pStyle w:val="20"/>
        <w:spacing w:line="500" w:lineRule="exact"/>
        <w:outlineLvl w:val="2"/>
        <w:rPr>
          <w:rFonts w:ascii="宋体" w:hAnsi="宋体" w:cs="宋体"/>
          <w:sz w:val="24"/>
        </w:rPr>
      </w:pPr>
      <w:bookmarkStart w:id="150" w:name="_Toc256000148"/>
      <w:bookmarkStart w:id="151" w:name="_Toc135390371"/>
      <w:r>
        <w:rPr>
          <w:rFonts w:hint="eastAsia" w:ascii="宋体" w:hAnsi="宋体" w:cs="宋体"/>
          <w:sz w:val="24"/>
        </w:rPr>
        <w:t>13. 工程质量</w:t>
      </w:r>
      <w:bookmarkEnd w:id="150"/>
      <w:bookmarkEnd w:id="151"/>
    </w:p>
    <w:p w14:paraId="489DC3A9">
      <w:pPr>
        <w:pStyle w:val="20"/>
        <w:spacing w:line="500" w:lineRule="exact"/>
        <w:outlineLvl w:val="3"/>
        <w:rPr>
          <w:rFonts w:ascii="宋体" w:hAnsi="宋体" w:cs="宋体"/>
          <w:sz w:val="24"/>
        </w:rPr>
      </w:pPr>
      <w:r>
        <w:rPr>
          <w:rFonts w:hint="eastAsia" w:ascii="宋体" w:hAnsi="宋体" w:cs="宋体"/>
          <w:sz w:val="24"/>
        </w:rPr>
        <w:t>13.7 质量评定</w:t>
      </w:r>
    </w:p>
    <w:p w14:paraId="37AF062D">
      <w:pPr>
        <w:pStyle w:val="20"/>
        <w:spacing w:line="500" w:lineRule="exact"/>
        <w:rPr>
          <w:rFonts w:ascii="宋体" w:hAnsi="宋体" w:cs="宋体"/>
          <w:sz w:val="24"/>
        </w:rPr>
      </w:pPr>
      <w:r>
        <w:rPr>
          <w:rFonts w:hint="eastAsia" w:ascii="宋体" w:hAnsi="宋体" w:cs="宋体"/>
          <w:sz w:val="24"/>
        </w:rPr>
        <w:t>13.7.4　重要隐蔽单元工程和关键部位单元工程质量评定的约定：合格　　　13.7.7　工程合格标准为：　</w:t>
      </w:r>
      <w:r>
        <w:rPr>
          <w:rFonts w:hint="eastAsia" w:ascii="宋体" w:hAnsi="宋体" w:cs="宋体"/>
          <w:color w:val="000000"/>
          <w:kern w:val="0"/>
          <w:sz w:val="24"/>
          <w:u w:val="single"/>
          <w:lang w:bidi="ar"/>
        </w:rPr>
        <w:t>以质量验收规程为准</w:t>
      </w:r>
      <w:r>
        <w:rPr>
          <w:rFonts w:hint="eastAsia" w:ascii="宋体" w:hAnsi="宋体" w:cs="宋体"/>
          <w:sz w:val="24"/>
        </w:rPr>
        <w:t>　；优良标准为：</w:t>
      </w:r>
      <w:r>
        <w:rPr>
          <w:rFonts w:hint="eastAsia" w:ascii="宋体" w:hAnsi="宋体" w:cs="宋体"/>
          <w:sz w:val="24"/>
          <w:u w:val="single"/>
        </w:rPr>
        <w:t>　　/　</w:t>
      </w:r>
      <w:r>
        <w:rPr>
          <w:rFonts w:hint="eastAsia" w:ascii="宋体" w:hAnsi="宋体" w:cs="宋体"/>
          <w:sz w:val="24"/>
        </w:rPr>
        <w:t>　。达到优良的奖金为：　</w:t>
      </w:r>
      <w:r>
        <w:rPr>
          <w:rFonts w:hint="eastAsia" w:ascii="宋体" w:hAnsi="宋体" w:cs="宋体"/>
          <w:sz w:val="24"/>
          <w:u w:val="single"/>
        </w:rPr>
        <w:t>　/　</w:t>
      </w:r>
      <w:r>
        <w:rPr>
          <w:rFonts w:hint="eastAsia" w:ascii="宋体" w:hAnsi="宋体" w:cs="宋体"/>
          <w:sz w:val="24"/>
        </w:rPr>
        <w:t>。</w:t>
      </w:r>
    </w:p>
    <w:p w14:paraId="6229F427">
      <w:pPr>
        <w:pStyle w:val="20"/>
        <w:spacing w:line="500" w:lineRule="exact"/>
        <w:outlineLvl w:val="3"/>
        <w:rPr>
          <w:rFonts w:ascii="宋体" w:hAnsi="宋体" w:cs="宋体"/>
          <w:sz w:val="24"/>
        </w:rPr>
      </w:pPr>
      <w:r>
        <w:rPr>
          <w:rFonts w:hint="eastAsia" w:ascii="宋体" w:hAnsi="宋体" w:cs="宋体"/>
          <w:sz w:val="24"/>
        </w:rPr>
        <w:t>13.8 质量事故处理</w:t>
      </w:r>
    </w:p>
    <w:p w14:paraId="79CA6812">
      <w:pPr>
        <w:pStyle w:val="20"/>
        <w:spacing w:line="500" w:lineRule="exact"/>
        <w:rPr>
          <w:rFonts w:ascii="宋体" w:hAnsi="宋体" w:cs="宋体"/>
          <w:sz w:val="24"/>
        </w:rPr>
      </w:pPr>
      <w:r>
        <w:rPr>
          <w:rFonts w:hint="eastAsia" w:ascii="宋体" w:hAnsi="宋体" w:cs="宋体"/>
          <w:sz w:val="24"/>
        </w:rPr>
        <w:t>　　13.8.4　工程竣工验收时，</w:t>
      </w:r>
      <w:r>
        <w:rPr>
          <w:rFonts w:hint="eastAsia" w:ascii="宋体" w:hAnsi="宋体" w:cs="宋体"/>
          <w:color w:val="000000"/>
          <w:kern w:val="0"/>
          <w:sz w:val="24"/>
          <w:u w:val="single"/>
          <w:lang w:bidi="ar"/>
        </w:rPr>
        <w:t>发包人</w:t>
      </w:r>
      <w:r>
        <w:rPr>
          <w:rFonts w:hint="eastAsia" w:ascii="宋体" w:hAnsi="宋体" w:cs="宋体"/>
          <w:sz w:val="24"/>
        </w:rPr>
        <w:t>向竣工验收委员会汇报并提交历次质量缺陷处理的备案资料。</w:t>
      </w:r>
    </w:p>
    <w:p w14:paraId="4B7272D4">
      <w:pPr>
        <w:pStyle w:val="20"/>
        <w:spacing w:line="500" w:lineRule="exact"/>
        <w:outlineLvl w:val="2"/>
        <w:rPr>
          <w:rFonts w:ascii="宋体" w:hAnsi="宋体" w:cs="宋体"/>
          <w:sz w:val="24"/>
        </w:rPr>
      </w:pPr>
      <w:bookmarkStart w:id="152" w:name="_Toc135390372"/>
      <w:bookmarkStart w:id="153" w:name="_Toc256000149"/>
      <w:r>
        <w:rPr>
          <w:rFonts w:hint="eastAsia" w:ascii="宋体" w:hAnsi="宋体" w:cs="宋体"/>
          <w:sz w:val="24"/>
        </w:rPr>
        <w:t>14. 试验和检验</w:t>
      </w:r>
      <w:bookmarkEnd w:id="152"/>
      <w:bookmarkEnd w:id="153"/>
    </w:p>
    <w:p w14:paraId="5B111D92">
      <w:pPr>
        <w:pStyle w:val="20"/>
        <w:spacing w:line="500" w:lineRule="exact"/>
        <w:outlineLvl w:val="3"/>
        <w:rPr>
          <w:rFonts w:ascii="宋体" w:hAnsi="宋体" w:cs="宋体"/>
          <w:sz w:val="24"/>
        </w:rPr>
      </w:pPr>
      <w:r>
        <w:rPr>
          <w:rFonts w:hint="eastAsia" w:ascii="宋体" w:hAnsi="宋体" w:cs="宋体"/>
          <w:sz w:val="24"/>
        </w:rPr>
        <w:t>14.1 材料、工程设备和工程的试验和检验</w:t>
      </w:r>
    </w:p>
    <w:p w14:paraId="377E2474">
      <w:pPr>
        <w:pStyle w:val="20"/>
        <w:spacing w:line="500" w:lineRule="exact"/>
        <w:rPr>
          <w:rFonts w:ascii="宋体" w:hAnsi="宋体" w:cs="宋体"/>
          <w:sz w:val="24"/>
        </w:rPr>
      </w:pPr>
      <w:r>
        <w:rPr>
          <w:rFonts w:hint="eastAsia" w:ascii="宋体" w:hAnsi="宋体" w:cs="宋体"/>
          <w:sz w:val="24"/>
        </w:rPr>
        <w:t>　　14.1.5　水工金属结构、启闭机及机电产品进场后的交货检查和验收中，承包人负责　</w:t>
      </w:r>
      <w:r>
        <w:rPr>
          <w:rFonts w:hint="eastAsia" w:ascii="宋体" w:hAnsi="宋体" w:cs="宋体"/>
          <w:sz w:val="24"/>
          <w:u w:val="single"/>
        </w:rPr>
        <w:t>　/　　</w:t>
      </w:r>
      <w:r>
        <w:rPr>
          <w:rFonts w:hint="eastAsia" w:ascii="宋体" w:hAnsi="宋体" w:cs="宋体"/>
          <w:sz w:val="24"/>
        </w:rPr>
        <w:t>　。</w:t>
      </w:r>
    </w:p>
    <w:p w14:paraId="4BF3BC98">
      <w:pPr>
        <w:pStyle w:val="20"/>
        <w:widowControl/>
        <w:jc w:val="left"/>
        <w:rPr>
          <w:rFonts w:ascii="宋体" w:hAnsi="宋体" w:cs="宋体"/>
          <w:sz w:val="24"/>
        </w:rPr>
      </w:pPr>
      <w:r>
        <w:rPr>
          <w:rFonts w:hint="eastAsia" w:ascii="宋体" w:hAnsi="宋体" w:cs="宋体"/>
          <w:sz w:val="24"/>
        </w:rPr>
        <w:t>　　14.1.6　本工程实行见证取样的试块、试件及有关材料：</w:t>
      </w:r>
      <w:r>
        <w:rPr>
          <w:rFonts w:hint="eastAsia" w:ascii="宋体" w:hAnsi="宋体" w:cs="宋体"/>
          <w:color w:val="000000"/>
          <w:kern w:val="0"/>
          <w:sz w:val="24"/>
          <w:u w:val="single"/>
          <w:lang w:bidi="ar"/>
        </w:rPr>
        <w:t>监理人实行见证取样，见证取样资料 ，由承包人制备，记录应真实齐全，监理人、承包人等参与见证取样人员均应在相关文件上签字。</w:t>
      </w:r>
      <w:r>
        <w:rPr>
          <w:rFonts w:hint="eastAsia" w:ascii="宋体" w:hAnsi="宋体" w:cs="宋体"/>
          <w:sz w:val="24"/>
        </w:rPr>
        <w:t>　　　　　　</w:t>
      </w:r>
    </w:p>
    <w:p w14:paraId="25266148">
      <w:pPr>
        <w:pStyle w:val="20"/>
        <w:spacing w:line="500" w:lineRule="exact"/>
        <w:outlineLvl w:val="2"/>
        <w:rPr>
          <w:rFonts w:ascii="宋体" w:hAnsi="宋体" w:cs="宋体"/>
          <w:sz w:val="24"/>
        </w:rPr>
      </w:pPr>
      <w:bookmarkStart w:id="154" w:name="_Toc135390373"/>
      <w:bookmarkStart w:id="155" w:name="_Toc256000150"/>
      <w:r>
        <w:rPr>
          <w:rFonts w:hint="eastAsia" w:ascii="宋体" w:hAnsi="宋体" w:cs="宋体"/>
          <w:sz w:val="24"/>
        </w:rPr>
        <w:t>15. 变更</w:t>
      </w:r>
      <w:bookmarkEnd w:id="154"/>
      <w:bookmarkEnd w:id="155"/>
    </w:p>
    <w:p w14:paraId="120596F9">
      <w:pPr>
        <w:pStyle w:val="20"/>
        <w:spacing w:line="500" w:lineRule="exact"/>
        <w:outlineLvl w:val="3"/>
        <w:rPr>
          <w:rFonts w:hint="eastAsia" w:ascii="宋体" w:hAnsi="宋体" w:cs="宋体"/>
          <w:sz w:val="24"/>
        </w:rPr>
      </w:pPr>
      <w:r>
        <w:rPr>
          <w:rFonts w:hint="eastAsia" w:ascii="宋体" w:hAnsi="宋体" w:cs="宋体"/>
          <w:sz w:val="24"/>
        </w:rPr>
        <w:t>15.1 变更的范围和内容</w:t>
      </w:r>
    </w:p>
    <w:p w14:paraId="11824274">
      <w:pPr>
        <w:pStyle w:val="20"/>
        <w:spacing w:line="500" w:lineRule="exact"/>
        <w:outlineLvl w:val="3"/>
        <w:rPr>
          <w:rFonts w:hint="eastAsia" w:ascii="宋体" w:hAnsi="宋体" w:cs="宋体"/>
          <w:color w:val="000000"/>
          <w:kern w:val="0"/>
          <w:sz w:val="24"/>
          <w:lang w:bidi="ar"/>
        </w:rPr>
      </w:pPr>
      <w:r>
        <w:rPr>
          <w:rFonts w:hint="eastAsia" w:ascii="宋体" w:hAnsi="宋体" w:cs="宋体"/>
          <w:color w:val="000000"/>
          <w:kern w:val="0"/>
          <w:sz w:val="24"/>
          <w:lang w:bidi="ar"/>
        </w:rPr>
        <w:t>执行通用条款</w:t>
      </w:r>
    </w:p>
    <w:p w14:paraId="665F0D11">
      <w:pPr>
        <w:pStyle w:val="20"/>
        <w:widowControl/>
        <w:jc w:val="left"/>
      </w:pPr>
      <w:r>
        <w:rPr>
          <w:color w:val="000000"/>
          <w:kern w:val="0"/>
          <w:sz w:val="24"/>
          <w:lang w:bidi="ar"/>
        </w:rPr>
        <w:t xml:space="preserve">15.4 </w:t>
      </w:r>
      <w:r>
        <w:rPr>
          <w:rFonts w:hint="eastAsia" w:ascii="宋体" w:hAnsi="宋体" w:cs="宋体"/>
          <w:color w:val="000000"/>
          <w:kern w:val="0"/>
          <w:sz w:val="24"/>
          <w:lang w:bidi="ar"/>
        </w:rPr>
        <w:t xml:space="preserve">变更的估价原则 </w:t>
      </w:r>
    </w:p>
    <w:p w14:paraId="26D6EF65">
      <w:pPr>
        <w:pStyle w:val="20"/>
        <w:widowControl/>
        <w:jc w:val="left"/>
      </w:pPr>
      <w:r>
        <w:rPr>
          <w:rFonts w:hint="eastAsia" w:ascii="宋体" w:hAnsi="宋体" w:cs="宋体"/>
          <w:color w:val="000000"/>
          <w:kern w:val="0"/>
          <w:sz w:val="24"/>
          <w:lang w:bidi="ar"/>
        </w:rPr>
        <w:t xml:space="preserve">15.4.1 已标价工程量清单中有适用于变更工作子目的，采用该子目的综合单价 </w:t>
      </w:r>
    </w:p>
    <w:p w14:paraId="01F314FD">
      <w:pPr>
        <w:pStyle w:val="20"/>
        <w:widowControl/>
        <w:jc w:val="left"/>
      </w:pPr>
      <w:r>
        <w:rPr>
          <w:rFonts w:hint="eastAsia" w:ascii="宋体" w:hAnsi="宋体" w:cs="宋体"/>
          <w:color w:val="000000"/>
          <w:kern w:val="0"/>
          <w:sz w:val="24"/>
          <w:lang w:bidi="ar"/>
        </w:rPr>
        <w:t xml:space="preserve">15.4.2 本合同《已标价工程量清单》中无单价可参考，则新增的单价确定按发包人、监理审核批准的施工工艺、按投标单价的编制方法和基础单价、取费费率重新计算并下浮，下浮率为投标下浮率。由监理人审核报发包人批准。 </w:t>
      </w:r>
    </w:p>
    <w:p w14:paraId="295FF106">
      <w:pPr>
        <w:pStyle w:val="20"/>
        <w:widowControl/>
        <w:jc w:val="left"/>
      </w:pPr>
      <w:r>
        <w:rPr>
          <w:rFonts w:hint="eastAsia" w:ascii="宋体" w:hAnsi="宋体" w:cs="宋体"/>
          <w:color w:val="000000"/>
          <w:kern w:val="0"/>
          <w:sz w:val="24"/>
          <w:lang w:bidi="ar"/>
        </w:rPr>
        <w:t xml:space="preserve">15.4.3 当已标价工程量清单中无类似或相同的主材、辅材材料单价时，则新增单价中的材料采购价以当地造价信息价格为准，或承包人三方询价并经监理、发包人同意的采购价。 </w:t>
      </w:r>
    </w:p>
    <w:p w14:paraId="40BF7AEB">
      <w:pPr>
        <w:pStyle w:val="20"/>
        <w:widowControl/>
        <w:jc w:val="left"/>
      </w:pPr>
      <w:r>
        <w:rPr>
          <w:rFonts w:hint="eastAsia" w:ascii="宋体" w:hAnsi="宋体" w:cs="宋体"/>
          <w:color w:val="000000"/>
          <w:kern w:val="0"/>
          <w:sz w:val="24"/>
          <w:lang w:bidi="ar"/>
        </w:rPr>
        <w:t xml:space="preserve">15.4.4 本合同《已标价工程量清单》中的任一清单项的可计量工程量无论发生何种增减变化，该项目综合单价不予调整 </w:t>
      </w:r>
    </w:p>
    <w:p w14:paraId="152A4B85">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15.4.5 本合同《已标价工程量清单》中的任一清单项变更取消或者未施工，当投标价小于招标控制价时，除了对变更取消项不计价外还需扣除招标控制价与投标报价间的差额。</w:t>
      </w:r>
    </w:p>
    <w:p w14:paraId="42CE173E">
      <w:pPr>
        <w:pStyle w:val="20"/>
        <w:widowControl/>
        <w:jc w:val="left"/>
      </w:pPr>
      <w:r>
        <w:rPr>
          <w:rFonts w:hint="eastAsia" w:ascii="宋体" w:hAnsi="宋体" w:cs="宋体"/>
          <w:b/>
          <w:bCs/>
          <w:color w:val="000000"/>
          <w:kern w:val="0"/>
          <w:sz w:val="24"/>
          <w:lang w:bidi="ar"/>
        </w:rPr>
        <w:t xml:space="preserve">15.5 承包人的合理化建议 </w:t>
      </w:r>
    </w:p>
    <w:p w14:paraId="5E363343">
      <w:pPr>
        <w:pStyle w:val="20"/>
        <w:widowControl/>
        <w:jc w:val="left"/>
      </w:pPr>
      <w:r>
        <w:rPr>
          <w:rFonts w:hint="eastAsia" w:ascii="宋体" w:hAnsi="宋体" w:cs="宋体"/>
          <w:b/>
          <w:bCs/>
          <w:color w:val="000000"/>
          <w:kern w:val="0"/>
          <w:sz w:val="24"/>
          <w:lang w:bidi="ar"/>
        </w:rPr>
        <w:t xml:space="preserve">15.2.2 </w:t>
      </w:r>
      <w:r>
        <w:rPr>
          <w:rFonts w:hint="eastAsia" w:ascii="宋体" w:hAnsi="宋体" w:cs="宋体"/>
          <w:color w:val="000000"/>
          <w:kern w:val="0"/>
          <w:sz w:val="24"/>
          <w:lang w:bidi="ar"/>
        </w:rPr>
        <w:t xml:space="preserve">承包人实现合理化建议的奖励金额为： / 。 </w:t>
      </w:r>
    </w:p>
    <w:p w14:paraId="1BDC8710">
      <w:pPr>
        <w:pStyle w:val="20"/>
        <w:widowControl/>
        <w:jc w:val="left"/>
      </w:pPr>
      <w:r>
        <w:rPr>
          <w:rFonts w:hint="eastAsia" w:ascii="宋体" w:hAnsi="宋体" w:cs="宋体"/>
          <w:b/>
          <w:bCs/>
          <w:color w:val="000000"/>
          <w:kern w:val="0"/>
          <w:sz w:val="24"/>
          <w:lang w:bidi="ar"/>
        </w:rPr>
        <w:t xml:space="preserve">15.8 暂估价 </w:t>
      </w:r>
    </w:p>
    <w:p w14:paraId="0C7ED281">
      <w:pPr>
        <w:pStyle w:val="20"/>
        <w:widowControl/>
        <w:jc w:val="left"/>
      </w:pPr>
      <w:r>
        <w:rPr>
          <w:rFonts w:hint="eastAsia" w:ascii="宋体" w:hAnsi="宋体" w:cs="宋体"/>
          <w:b/>
          <w:bCs/>
          <w:color w:val="000000"/>
          <w:kern w:val="0"/>
          <w:sz w:val="24"/>
          <w:lang w:bidi="ar"/>
        </w:rPr>
        <w:t xml:space="preserve">15.8.1 </w:t>
      </w:r>
      <w:r>
        <w:rPr>
          <w:rFonts w:hint="eastAsia" w:ascii="宋体" w:hAnsi="宋体" w:cs="宋体"/>
          <w:color w:val="000000"/>
          <w:kern w:val="0"/>
          <w:sz w:val="24"/>
          <w:lang w:bidi="ar"/>
        </w:rPr>
        <w:t xml:space="preserve">⑴ 发包人和承包人组织招标的暂估价项目： / ；发包人组织招标的 </w:t>
      </w:r>
    </w:p>
    <w:p w14:paraId="35E8102C">
      <w:pPr>
        <w:pStyle w:val="20"/>
        <w:widowControl/>
        <w:jc w:val="left"/>
      </w:pPr>
      <w:r>
        <w:rPr>
          <w:rFonts w:hint="eastAsia" w:ascii="宋体" w:hAnsi="宋体" w:cs="宋体"/>
          <w:color w:val="000000"/>
          <w:kern w:val="0"/>
          <w:sz w:val="24"/>
          <w:lang w:bidi="ar"/>
        </w:rPr>
        <w:t xml:space="preserve">暂估价项目： / 。 </w:t>
      </w:r>
    </w:p>
    <w:p w14:paraId="291F5825">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⑵ 发包人和承包人以招标方式选择暂估价项目供应商或分包人时，双方的权利义务关系： / 。</w:t>
      </w:r>
    </w:p>
    <w:p w14:paraId="5A851EE3">
      <w:pPr>
        <w:pStyle w:val="24"/>
        <w:spacing w:line="500" w:lineRule="exact"/>
        <w:outlineLvl w:val="2"/>
        <w:rPr>
          <w:rFonts w:ascii="宋体" w:hAnsi="宋体" w:cs="宋体"/>
          <w:sz w:val="24"/>
        </w:rPr>
      </w:pPr>
      <w:bookmarkStart w:id="156" w:name="_Toc256000151"/>
      <w:bookmarkStart w:id="157" w:name="_Toc135390374"/>
      <w:bookmarkStart w:id="158" w:name="_Toc128655023"/>
      <w:r>
        <w:rPr>
          <w:rFonts w:hint="eastAsia" w:ascii="宋体" w:hAnsi="宋体" w:cs="宋体"/>
          <w:sz w:val="24"/>
        </w:rPr>
        <w:t>16. 价格调整</w:t>
      </w:r>
      <w:bookmarkEnd w:id="156"/>
      <w:bookmarkEnd w:id="157"/>
      <w:bookmarkEnd w:id="158"/>
    </w:p>
    <w:p w14:paraId="3D12942C">
      <w:pPr>
        <w:pStyle w:val="24"/>
        <w:spacing w:line="500" w:lineRule="exact"/>
        <w:outlineLvl w:val="3"/>
        <w:rPr>
          <w:rFonts w:ascii="宋体" w:hAnsi="宋体" w:cs="宋体"/>
          <w:sz w:val="24"/>
        </w:rPr>
      </w:pPr>
      <w:r>
        <w:rPr>
          <w:rFonts w:hint="eastAsia" w:ascii="宋体" w:hAnsi="宋体" w:cs="宋体"/>
          <w:sz w:val="24"/>
        </w:rPr>
        <w:t>16.1 物价波动引起的价格调整</w:t>
      </w:r>
    </w:p>
    <w:p w14:paraId="2C052ADF">
      <w:pPr>
        <w:pStyle w:val="24"/>
        <w:spacing w:line="500" w:lineRule="exact"/>
        <w:rPr>
          <w:rFonts w:ascii="宋体" w:hAnsi="宋体" w:cs="宋体"/>
          <w:sz w:val="24"/>
        </w:rPr>
      </w:pPr>
      <w:r>
        <w:rPr>
          <w:rFonts w:hint="eastAsia" w:ascii="宋体" w:hAnsi="宋体" w:cs="宋体"/>
          <w:sz w:val="24"/>
        </w:rPr>
        <w:t>　　物价波动引起的价格调整方式：</w:t>
      </w:r>
      <w:r>
        <w:rPr>
          <w:rFonts w:hint="eastAsia" w:ascii="宋体" w:hAnsi="宋体" w:cs="宋体"/>
          <w:sz w:val="24"/>
          <w:u w:val="single"/>
        </w:rPr>
        <w:t>不调整</w:t>
      </w:r>
      <w:r>
        <w:rPr>
          <w:rFonts w:hint="eastAsia" w:ascii="宋体" w:hAnsi="宋体" w:cs="宋体"/>
          <w:sz w:val="24"/>
        </w:rPr>
        <w:t>　。　　</w:t>
      </w:r>
    </w:p>
    <w:p w14:paraId="25F1DFAE">
      <w:pPr>
        <w:pStyle w:val="24"/>
        <w:spacing w:line="500" w:lineRule="exact"/>
        <w:outlineLvl w:val="2"/>
        <w:rPr>
          <w:rFonts w:ascii="宋体" w:hAnsi="宋体" w:cs="宋体"/>
          <w:sz w:val="24"/>
        </w:rPr>
      </w:pPr>
      <w:bookmarkStart w:id="159" w:name="_Toc128655024"/>
      <w:bookmarkStart w:id="160" w:name="_Toc256000152"/>
      <w:bookmarkStart w:id="161" w:name="_Toc135390375"/>
      <w:r>
        <w:rPr>
          <w:rFonts w:hint="eastAsia" w:ascii="宋体" w:hAnsi="宋体" w:cs="宋体"/>
          <w:sz w:val="24"/>
        </w:rPr>
        <w:t>17. 计量与支付</w:t>
      </w:r>
      <w:bookmarkEnd w:id="159"/>
      <w:bookmarkEnd w:id="160"/>
      <w:bookmarkEnd w:id="161"/>
    </w:p>
    <w:p w14:paraId="25825B45">
      <w:pPr>
        <w:pStyle w:val="20"/>
        <w:spacing w:line="500" w:lineRule="exact"/>
        <w:rPr>
          <w:rFonts w:ascii="宋体" w:hAnsi="宋体" w:cs="宋体"/>
          <w:sz w:val="24"/>
        </w:rPr>
      </w:pPr>
      <w:r>
        <w:rPr>
          <w:rFonts w:hint="eastAsia" w:ascii="宋体" w:hAnsi="宋体" w:cs="宋体"/>
          <w:sz w:val="24"/>
        </w:rPr>
        <w:t>17.2 预付款</w:t>
      </w:r>
    </w:p>
    <w:p w14:paraId="4C4472E3">
      <w:pPr>
        <w:pStyle w:val="20"/>
        <w:spacing w:line="500" w:lineRule="exact"/>
        <w:rPr>
          <w:rFonts w:ascii="宋体" w:hAnsi="宋体" w:cs="宋体"/>
          <w:sz w:val="24"/>
        </w:rPr>
      </w:pPr>
      <w:r>
        <w:rPr>
          <w:rFonts w:hint="eastAsia" w:ascii="宋体" w:hAnsi="宋体" w:cs="宋体"/>
          <w:sz w:val="24"/>
        </w:rPr>
        <w:t>17.2.1　预付款：</w:t>
      </w:r>
    </w:p>
    <w:p w14:paraId="0805CED7">
      <w:pPr>
        <w:pStyle w:val="20"/>
        <w:spacing w:line="500" w:lineRule="exact"/>
        <w:rPr>
          <w:rFonts w:ascii="宋体" w:hAnsi="宋体" w:cs="宋体"/>
          <w:sz w:val="24"/>
        </w:rPr>
      </w:pPr>
      <w:r>
        <w:rPr>
          <w:rFonts w:hint="eastAsia" w:ascii="宋体" w:hAnsi="宋体" w:cs="宋体"/>
          <w:sz w:val="24"/>
        </w:rPr>
        <w:t>　　(1)工程预付款的总金额为签约合同价的　30%，分1次支付给承包人。</w:t>
      </w:r>
    </w:p>
    <w:p w14:paraId="0D090636">
      <w:pPr>
        <w:pStyle w:val="20"/>
        <w:widowControl/>
        <w:jc w:val="left"/>
        <w:rPr>
          <w:rFonts w:hint="eastAsia" w:ascii="宋体" w:hAnsi="宋体" w:cs="宋体"/>
          <w:color w:val="000000"/>
          <w:kern w:val="0"/>
          <w:sz w:val="24"/>
          <w:lang w:bidi="ar"/>
        </w:rPr>
      </w:pPr>
    </w:p>
    <w:p w14:paraId="1870AFB6">
      <w:pPr>
        <w:pStyle w:val="20"/>
        <w:widowControl/>
        <w:jc w:val="left"/>
      </w:pPr>
      <w:r>
        <w:rPr>
          <w:rFonts w:hint="eastAsia" w:ascii="宋体" w:hAnsi="宋体" w:cs="宋体"/>
          <w:color w:val="000000"/>
          <w:kern w:val="0"/>
          <w:sz w:val="24"/>
          <w:lang w:bidi="ar"/>
        </w:rPr>
        <w:t xml:space="preserve">预付款的付款时间应在合同协议书签订后，由承包人向发包人提交了发包人认可 </w:t>
      </w:r>
    </w:p>
    <w:p w14:paraId="63F7ECF8">
      <w:pPr>
        <w:pStyle w:val="20"/>
        <w:widowControl/>
        <w:jc w:val="left"/>
      </w:pPr>
      <w:r>
        <w:rPr>
          <w:rFonts w:hint="eastAsia" w:ascii="宋体" w:hAnsi="宋体" w:cs="宋体"/>
          <w:color w:val="000000"/>
          <w:kern w:val="0"/>
          <w:sz w:val="24"/>
          <w:lang w:bidi="ar"/>
        </w:rPr>
        <w:t xml:space="preserve">的工程预付款担保，并经监理人出具付款证书报送发包人批准后 14 天内予以支付。 </w:t>
      </w:r>
    </w:p>
    <w:p w14:paraId="68D40666">
      <w:pPr>
        <w:pStyle w:val="20"/>
        <w:widowControl/>
        <w:jc w:val="left"/>
      </w:pPr>
      <w:r>
        <w:rPr>
          <w:rFonts w:hint="eastAsia" w:ascii="宋体" w:hAnsi="宋体" w:cs="宋体"/>
          <w:color w:val="000000"/>
          <w:kern w:val="0"/>
          <w:sz w:val="24"/>
          <w:lang w:bidi="ar"/>
        </w:rPr>
        <w:t xml:space="preserve">⑵ 工程材料预付款的额度和预付办法约定为： 本合同不支付材料预付款 </w:t>
      </w:r>
    </w:p>
    <w:p w14:paraId="162D3690">
      <w:pPr>
        <w:pStyle w:val="20"/>
        <w:widowControl/>
        <w:jc w:val="left"/>
      </w:pPr>
      <w:r>
        <w:rPr>
          <w:rFonts w:hint="eastAsia" w:ascii="宋体" w:hAnsi="宋体" w:cs="宋体"/>
          <w:b/>
          <w:bCs/>
          <w:color w:val="000000"/>
          <w:kern w:val="0"/>
          <w:sz w:val="24"/>
          <w:lang w:bidi="ar"/>
        </w:rPr>
        <w:t xml:space="preserve">17.2.2 </w:t>
      </w:r>
      <w:r>
        <w:rPr>
          <w:rFonts w:hint="eastAsia" w:ascii="宋体" w:hAnsi="宋体" w:cs="宋体"/>
          <w:color w:val="000000"/>
          <w:kern w:val="0"/>
          <w:sz w:val="24"/>
          <w:lang w:bidi="ar"/>
        </w:rPr>
        <w:t xml:space="preserve">预付款保函（担保） </w:t>
      </w:r>
    </w:p>
    <w:p w14:paraId="75FCC0D6">
      <w:pPr>
        <w:pStyle w:val="20"/>
        <w:widowControl/>
        <w:jc w:val="left"/>
      </w:pPr>
      <w:r>
        <w:rPr>
          <w:rFonts w:hint="eastAsia" w:ascii="宋体" w:hAnsi="宋体" w:cs="宋体"/>
          <w:color w:val="000000"/>
          <w:kern w:val="0"/>
          <w:sz w:val="24"/>
          <w:lang w:bidi="ar"/>
        </w:rPr>
        <w:t>⑵ 工程材料预付款的担保约定为：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 </w:t>
      </w:r>
    </w:p>
    <w:p w14:paraId="44875B14">
      <w:pPr>
        <w:pStyle w:val="20"/>
        <w:widowControl/>
        <w:jc w:val="left"/>
      </w:pPr>
      <w:r>
        <w:rPr>
          <w:rFonts w:hint="eastAsia" w:ascii="宋体" w:hAnsi="宋体" w:cs="宋体"/>
          <w:b/>
          <w:bCs/>
          <w:color w:val="000000"/>
          <w:kern w:val="0"/>
          <w:sz w:val="24"/>
          <w:lang w:bidi="ar"/>
        </w:rPr>
        <w:t xml:space="preserve">17.2.3 </w:t>
      </w:r>
      <w:r>
        <w:rPr>
          <w:rFonts w:hint="eastAsia" w:ascii="宋体" w:hAnsi="宋体" w:cs="宋体"/>
          <w:color w:val="000000"/>
          <w:kern w:val="0"/>
          <w:sz w:val="24"/>
          <w:lang w:bidi="ar"/>
        </w:rPr>
        <w:t xml:space="preserve">预付款的扣回与还清 </w:t>
      </w:r>
    </w:p>
    <w:p w14:paraId="602664BA">
      <w:pPr>
        <w:pStyle w:val="20"/>
        <w:widowControl/>
        <w:jc w:val="left"/>
      </w:pPr>
      <w:r>
        <w:rPr>
          <w:rFonts w:hint="eastAsia" w:ascii="宋体" w:hAnsi="宋体" w:cs="宋体"/>
          <w:color w:val="000000"/>
          <w:kern w:val="0"/>
          <w:sz w:val="24"/>
          <w:lang w:bidi="ar"/>
        </w:rPr>
        <w:t xml:space="preserve">⑴ 工程预付款在合同累计完成金额达到签约合同价的 </w:t>
      </w:r>
      <w:r>
        <w:rPr>
          <w:rFonts w:hint="eastAsia" w:ascii="宋体" w:hAnsi="宋体" w:cs="宋体"/>
          <w:color w:val="000000"/>
          <w:kern w:val="0"/>
          <w:sz w:val="24"/>
          <w:u w:val="single"/>
          <w:lang w:bidi="ar"/>
        </w:rPr>
        <w:t>30</w:t>
      </w:r>
      <w:r>
        <w:rPr>
          <w:rFonts w:hint="eastAsia" w:ascii="宋体" w:hAnsi="宋体" w:cs="宋体"/>
          <w:color w:val="000000"/>
          <w:kern w:val="0"/>
          <w:sz w:val="24"/>
          <w:lang w:bidi="ar"/>
        </w:rPr>
        <w:t xml:space="preserve"> %时开始扣款，直 </w:t>
      </w:r>
    </w:p>
    <w:p w14:paraId="0D39AB1C">
      <w:pPr>
        <w:pStyle w:val="20"/>
        <w:widowControl/>
        <w:jc w:val="left"/>
      </w:pPr>
      <w:r>
        <w:rPr>
          <w:rFonts w:hint="eastAsia" w:ascii="宋体" w:hAnsi="宋体" w:cs="宋体"/>
          <w:color w:val="000000"/>
          <w:kern w:val="0"/>
          <w:sz w:val="24"/>
          <w:lang w:bidi="ar"/>
        </w:rPr>
        <w:t xml:space="preserve">至合同累计完成金额达到签约合同价的 </w:t>
      </w:r>
      <w:r>
        <w:rPr>
          <w:rFonts w:hint="eastAsia" w:ascii="宋体" w:hAnsi="宋体" w:cs="宋体"/>
          <w:color w:val="000000"/>
          <w:kern w:val="0"/>
          <w:sz w:val="24"/>
          <w:u w:val="single"/>
          <w:lang w:bidi="ar"/>
        </w:rPr>
        <w:t>60</w:t>
      </w:r>
      <w:r>
        <w:rPr>
          <w:rFonts w:hint="eastAsia" w:ascii="宋体" w:hAnsi="宋体" w:cs="宋体"/>
          <w:color w:val="000000"/>
          <w:kern w:val="0"/>
          <w:sz w:val="24"/>
          <w:lang w:bidi="ar"/>
        </w:rPr>
        <w:t xml:space="preserve"> %时全部扣清</w:t>
      </w:r>
    </w:p>
    <w:p w14:paraId="3C1642FC">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drawing>
          <wp:inline distT="0" distB="0" distL="114300" distR="114300">
            <wp:extent cx="2019300" cy="590550"/>
            <wp:effectExtent l="0" t="0" r="0" b="0"/>
            <wp:docPr id="2" name="图片 2" descr="29e3bda979461b11cbb0913c8007a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9e3bda979461b11cbb0913c8007a2d"/>
                    <pic:cNvPicPr>
                      <a:picLocks noChangeAspect="1"/>
                    </pic:cNvPicPr>
                  </pic:nvPicPr>
                  <pic:blipFill>
                    <a:blip r:embed="rId32"/>
                    <a:stretch>
                      <a:fillRect/>
                    </a:stretch>
                  </pic:blipFill>
                  <pic:spPr>
                    <a:xfrm>
                      <a:off x="0" y="0"/>
                      <a:ext cx="2019300" cy="590550"/>
                    </a:xfrm>
                    <a:prstGeom prst="rect">
                      <a:avLst/>
                    </a:prstGeom>
                    <a:noFill/>
                    <a:ln>
                      <a:noFill/>
                    </a:ln>
                  </pic:spPr>
                </pic:pic>
              </a:graphicData>
            </a:graphic>
          </wp:inline>
        </w:drawing>
      </w:r>
    </w:p>
    <w:p w14:paraId="7ED50006">
      <w:pPr>
        <w:pStyle w:val="20"/>
        <w:spacing w:line="500" w:lineRule="exact"/>
        <w:rPr>
          <w:rFonts w:ascii="宋体" w:hAnsi="宋体" w:cs="宋体"/>
          <w:sz w:val="24"/>
        </w:rPr>
      </w:pPr>
    </w:p>
    <w:p w14:paraId="3EAD4D11">
      <w:pPr>
        <w:pStyle w:val="20"/>
        <w:widowControl/>
        <w:jc w:val="left"/>
      </w:pPr>
      <w:r>
        <w:rPr>
          <w:rFonts w:hint="eastAsia" w:ascii="宋体" w:hAnsi="宋体" w:cs="宋体"/>
          <w:sz w:val="24"/>
        </w:rPr>
        <w:t>　　</w:t>
      </w:r>
      <w:r>
        <w:rPr>
          <w:rFonts w:hint="eastAsia" w:ascii="宋体" w:hAnsi="宋体" w:cs="宋体"/>
          <w:color w:val="000000"/>
          <w:kern w:val="0"/>
          <w:sz w:val="24"/>
          <w:lang w:bidi="ar"/>
        </w:rPr>
        <w:t xml:space="preserve">式中 R—每天进度付款中累计扣回的金额； </w:t>
      </w:r>
    </w:p>
    <w:p w14:paraId="7A72E500">
      <w:pPr>
        <w:pStyle w:val="20"/>
        <w:widowControl/>
        <w:jc w:val="left"/>
      </w:pPr>
      <w:r>
        <w:rPr>
          <w:rFonts w:hint="eastAsia" w:ascii="宋体" w:hAnsi="宋体" w:cs="宋体"/>
          <w:color w:val="000000"/>
          <w:kern w:val="0"/>
          <w:sz w:val="24"/>
          <w:lang w:bidi="ar"/>
        </w:rPr>
        <w:t xml:space="preserve">A—工程预付款总金额； </w:t>
      </w:r>
    </w:p>
    <w:p w14:paraId="01F3082F">
      <w:pPr>
        <w:pStyle w:val="20"/>
        <w:widowControl/>
        <w:jc w:val="left"/>
      </w:pPr>
      <w:r>
        <w:rPr>
          <w:rFonts w:hint="eastAsia" w:ascii="宋体" w:hAnsi="宋体" w:cs="宋体"/>
          <w:color w:val="000000"/>
          <w:kern w:val="0"/>
          <w:sz w:val="24"/>
          <w:lang w:bidi="ar"/>
        </w:rPr>
        <w:t xml:space="preserve">S—签约合同价； </w:t>
      </w:r>
    </w:p>
    <w:p w14:paraId="12857592">
      <w:pPr>
        <w:pStyle w:val="20"/>
        <w:widowControl/>
        <w:jc w:val="left"/>
      </w:pPr>
      <w:r>
        <w:rPr>
          <w:rFonts w:hint="eastAsia" w:ascii="宋体" w:hAnsi="宋体" w:cs="宋体"/>
          <w:color w:val="000000"/>
          <w:kern w:val="0"/>
          <w:sz w:val="24"/>
          <w:lang w:bidi="ar"/>
        </w:rPr>
        <w:t xml:space="preserve">C—合同累计完成金额； </w:t>
      </w:r>
    </w:p>
    <w:p w14:paraId="61BF6D48">
      <w:pPr>
        <w:pStyle w:val="20"/>
        <w:widowControl/>
        <w:jc w:val="left"/>
      </w:pPr>
      <w:r>
        <w:rPr>
          <w:rFonts w:hint="eastAsia" w:ascii="宋体" w:hAnsi="宋体" w:cs="宋体"/>
          <w:color w:val="000000"/>
          <w:kern w:val="0"/>
          <w:sz w:val="24"/>
          <w:lang w:bidi="ar"/>
        </w:rPr>
        <w:t>F</w:t>
      </w:r>
      <w:r>
        <w:rPr>
          <w:rFonts w:hint="eastAsia" w:ascii="宋体" w:hAnsi="宋体" w:cs="宋体"/>
          <w:color w:val="000000"/>
          <w:kern w:val="0"/>
          <w:sz w:val="12"/>
          <w:szCs w:val="12"/>
          <w:lang w:bidi="ar"/>
        </w:rPr>
        <w:t>1</w:t>
      </w:r>
      <w:r>
        <w:rPr>
          <w:rFonts w:hint="eastAsia" w:ascii="宋体" w:hAnsi="宋体" w:cs="宋体"/>
          <w:color w:val="000000"/>
          <w:kern w:val="0"/>
          <w:sz w:val="24"/>
          <w:lang w:bidi="ar"/>
        </w:rPr>
        <w:t xml:space="preserve">—开始扣款时合同累计完成金额达到签约合同价的比例；20% </w:t>
      </w:r>
    </w:p>
    <w:p w14:paraId="03EE0871">
      <w:pPr>
        <w:pStyle w:val="20"/>
        <w:widowControl/>
        <w:jc w:val="left"/>
      </w:pPr>
      <w:r>
        <w:rPr>
          <w:rFonts w:hint="eastAsia" w:ascii="宋体" w:hAnsi="宋体" w:cs="宋体"/>
          <w:color w:val="000000"/>
          <w:kern w:val="0"/>
          <w:sz w:val="24"/>
          <w:lang w:bidi="ar"/>
        </w:rPr>
        <w:t>F</w:t>
      </w:r>
      <w:r>
        <w:rPr>
          <w:rFonts w:hint="eastAsia" w:ascii="宋体" w:hAnsi="宋体" w:cs="宋体"/>
          <w:color w:val="000000"/>
          <w:kern w:val="0"/>
          <w:sz w:val="12"/>
          <w:szCs w:val="12"/>
          <w:lang w:bidi="ar"/>
        </w:rPr>
        <w:t>2</w:t>
      </w:r>
      <w:r>
        <w:rPr>
          <w:rFonts w:hint="eastAsia" w:ascii="宋体" w:hAnsi="宋体" w:cs="宋体"/>
          <w:color w:val="000000"/>
          <w:kern w:val="0"/>
          <w:sz w:val="24"/>
          <w:lang w:bidi="ar"/>
        </w:rPr>
        <w:t xml:space="preserve">—全部扣清时合同累计完成金额达到签约合同价的比例；80% </w:t>
      </w:r>
    </w:p>
    <w:p w14:paraId="6B403D0B">
      <w:pPr>
        <w:pStyle w:val="20"/>
        <w:widowControl/>
        <w:jc w:val="left"/>
      </w:pPr>
      <w:r>
        <w:rPr>
          <w:rFonts w:hint="eastAsia" w:ascii="宋体" w:hAnsi="宋体" w:cs="宋体"/>
          <w:color w:val="000000"/>
          <w:kern w:val="0"/>
          <w:sz w:val="24"/>
          <w:lang w:bidi="ar"/>
        </w:rPr>
        <w:t>上述合同累计完成金额均指价格调整前未扣质量保证金的金额</w:t>
      </w:r>
    </w:p>
    <w:p w14:paraId="34C16D14">
      <w:pPr>
        <w:pStyle w:val="20"/>
        <w:widowControl/>
        <w:jc w:val="left"/>
      </w:pPr>
      <w:r>
        <w:rPr>
          <w:rFonts w:hint="eastAsia" w:ascii="宋体" w:hAnsi="宋体" w:cs="宋体"/>
          <w:b/>
          <w:bCs/>
          <w:color w:val="000000"/>
          <w:kern w:val="0"/>
          <w:sz w:val="24"/>
          <w:lang w:bidi="ar"/>
        </w:rPr>
        <w:t xml:space="preserve">17.3 工程进度款 </w:t>
      </w:r>
    </w:p>
    <w:p w14:paraId="1BF413F1">
      <w:pPr>
        <w:pStyle w:val="20"/>
        <w:widowControl/>
        <w:jc w:val="left"/>
      </w:pPr>
      <w:r>
        <w:rPr>
          <w:rFonts w:hint="eastAsia" w:ascii="宋体" w:hAnsi="宋体" w:cs="宋体"/>
          <w:color w:val="000000"/>
          <w:kern w:val="0"/>
          <w:sz w:val="24"/>
          <w:lang w:bidi="ar"/>
        </w:rPr>
        <w:t xml:space="preserve">17.3.1 付款周期 </w:t>
      </w:r>
    </w:p>
    <w:p w14:paraId="68669E47">
      <w:pPr>
        <w:pStyle w:val="20"/>
        <w:widowControl/>
        <w:ind w:firstLine="480" w:firstLineChars="200"/>
        <w:jc w:val="left"/>
        <w:rPr>
          <w:rFonts w:hint="eastAsia" w:ascii="宋体" w:hAnsi="宋体" w:eastAsia="宋体" w:cs="宋体"/>
          <w:color w:val="000000"/>
          <w:kern w:val="0"/>
          <w:sz w:val="24"/>
          <w:u w:val="single"/>
          <w:lang w:val="en-US" w:eastAsia="zh-CN" w:bidi="ar"/>
        </w:rPr>
      </w:pPr>
      <w:r>
        <w:rPr>
          <w:rFonts w:hint="eastAsia" w:ascii="宋体" w:hAnsi="宋体" w:eastAsia="宋体" w:cs="宋体"/>
          <w:color w:val="000000"/>
          <w:kern w:val="0"/>
          <w:sz w:val="24"/>
          <w:u w:val="single"/>
          <w:lang w:val="en-US" w:eastAsia="zh-CN" w:bidi="ar"/>
        </w:rPr>
        <w:t>合同签订后支付合同价款的30％，工程完工验收合格后支付至合同价款的80％，工程资料齐全且无农民工上访支付至工程结算审定价款的100％（其中3％质保金以银行履约保函形式支付）。</w:t>
      </w:r>
    </w:p>
    <w:p w14:paraId="1EBA1567">
      <w:pPr>
        <w:pStyle w:val="20"/>
        <w:widowControl/>
        <w:jc w:val="left"/>
      </w:pPr>
      <w:r>
        <w:rPr>
          <w:rFonts w:hint="eastAsia" w:ascii="宋体" w:hAnsi="宋体" w:cs="宋体"/>
          <w:color w:val="000000"/>
          <w:kern w:val="0"/>
          <w:sz w:val="24"/>
          <w:u w:val="single"/>
          <w:lang w:bidi="ar"/>
        </w:rPr>
        <w:t>农民工工资保障金按有关文件规定执行。</w:t>
      </w:r>
      <w:r>
        <w:rPr>
          <w:rFonts w:hint="eastAsia" w:ascii="宋体" w:hAnsi="宋体" w:cs="宋体"/>
          <w:b/>
          <w:bCs/>
          <w:color w:val="000000"/>
          <w:kern w:val="0"/>
          <w:sz w:val="24"/>
          <w:lang w:bidi="ar"/>
        </w:rPr>
        <w:t xml:space="preserve"> </w:t>
      </w:r>
    </w:p>
    <w:p w14:paraId="7B01B02D">
      <w:pPr>
        <w:pStyle w:val="20"/>
        <w:widowControl/>
        <w:jc w:val="left"/>
      </w:pPr>
      <w:r>
        <w:rPr>
          <w:rFonts w:hint="eastAsia" w:ascii="宋体" w:hAnsi="宋体" w:cs="宋体"/>
          <w:color w:val="000000"/>
          <w:kern w:val="0"/>
          <w:sz w:val="24"/>
          <w:lang w:bidi="ar"/>
        </w:rPr>
        <w:t xml:space="preserve">17.3.2 进度付款申请单 </w:t>
      </w:r>
    </w:p>
    <w:p w14:paraId="5FA11570">
      <w:pPr>
        <w:pStyle w:val="20"/>
        <w:widowControl/>
        <w:jc w:val="left"/>
      </w:pPr>
      <w:r>
        <w:rPr>
          <w:rFonts w:hint="eastAsia" w:ascii="宋体" w:hAnsi="宋体" w:cs="宋体"/>
          <w:color w:val="000000"/>
          <w:kern w:val="0"/>
          <w:sz w:val="24"/>
          <w:lang w:bidi="ar"/>
        </w:rPr>
        <w:t xml:space="preserve">增加以下条款： </w:t>
      </w:r>
    </w:p>
    <w:p w14:paraId="5E2028FF">
      <w:pPr>
        <w:pStyle w:val="20"/>
        <w:widowControl/>
        <w:jc w:val="left"/>
      </w:pPr>
      <w:r>
        <w:rPr>
          <w:rFonts w:hint="eastAsia" w:ascii="宋体" w:hAnsi="宋体" w:cs="宋体"/>
          <w:color w:val="000000"/>
          <w:kern w:val="0"/>
          <w:sz w:val="24"/>
          <w:lang w:bidi="ar"/>
        </w:rPr>
        <w:t xml:space="preserve">（7）根据 15.7 款约定应增加或扣减的计日工金额 </w:t>
      </w:r>
    </w:p>
    <w:p w14:paraId="1C809C0D">
      <w:pPr>
        <w:pStyle w:val="20"/>
        <w:widowControl/>
        <w:jc w:val="left"/>
      </w:pPr>
      <w:r>
        <w:rPr>
          <w:rFonts w:hint="eastAsia" w:ascii="宋体" w:hAnsi="宋体" w:cs="宋体"/>
          <w:color w:val="000000"/>
          <w:kern w:val="0"/>
          <w:sz w:val="24"/>
          <w:lang w:bidi="ar"/>
        </w:rPr>
        <w:t xml:space="preserve">补充以下条款： </w:t>
      </w:r>
    </w:p>
    <w:p w14:paraId="284EF8C1">
      <w:pPr>
        <w:pStyle w:val="20"/>
        <w:widowControl/>
        <w:jc w:val="left"/>
      </w:pPr>
      <w:r>
        <w:rPr>
          <w:rFonts w:hint="eastAsia" w:ascii="宋体" w:hAnsi="宋体" w:cs="宋体"/>
          <w:color w:val="000000"/>
          <w:kern w:val="0"/>
          <w:sz w:val="24"/>
          <w:lang w:bidi="ar"/>
        </w:rPr>
        <w:t xml:space="preserve">17.3.5 安全文明施工措施费的支付 </w:t>
      </w:r>
    </w:p>
    <w:p w14:paraId="17E4F46F">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本合同承包人当月申报下月安全生产费用计划，经监理人和发包人审查后，列入月进度款同时支付。具体按照发包人安全生产费用保障制度执行</w:t>
      </w:r>
    </w:p>
    <w:p w14:paraId="1A08D6C8">
      <w:pPr>
        <w:pStyle w:val="20"/>
        <w:widowControl/>
        <w:jc w:val="left"/>
      </w:pPr>
      <w:r>
        <w:rPr>
          <w:rFonts w:hint="eastAsia" w:ascii="宋体" w:hAnsi="宋体" w:cs="宋体"/>
          <w:color w:val="000000"/>
          <w:kern w:val="0"/>
          <w:sz w:val="24"/>
          <w:lang w:bidi="ar"/>
        </w:rPr>
        <w:t xml:space="preserve">17.3.2 进度付款申请单 </w:t>
      </w:r>
    </w:p>
    <w:p w14:paraId="0F26C616">
      <w:pPr>
        <w:pStyle w:val="20"/>
        <w:widowControl/>
        <w:jc w:val="left"/>
      </w:pPr>
      <w:r>
        <w:rPr>
          <w:rFonts w:hint="eastAsia" w:ascii="宋体" w:hAnsi="宋体" w:cs="宋体"/>
          <w:color w:val="000000"/>
          <w:kern w:val="0"/>
          <w:sz w:val="24"/>
          <w:lang w:bidi="ar"/>
        </w:rPr>
        <w:t xml:space="preserve">承包人应在每月 日按本合同约定的格式向监理人提交进度付款申请单 </w:t>
      </w:r>
    </w:p>
    <w:p w14:paraId="0D374B90">
      <w:pPr>
        <w:pStyle w:val="20"/>
        <w:widowControl/>
        <w:jc w:val="left"/>
      </w:pPr>
      <w:r>
        <w:rPr>
          <w:rFonts w:hint="eastAsia" w:ascii="宋体" w:hAnsi="宋体" w:cs="宋体"/>
          <w:color w:val="000000"/>
          <w:kern w:val="0"/>
          <w:sz w:val="24"/>
          <w:lang w:bidi="ar"/>
        </w:rPr>
        <w:t xml:space="preserve">(一式 6 份)，并附相应的支持性证明文件。进度付款申请单应包括以下内容： </w:t>
      </w:r>
    </w:p>
    <w:p w14:paraId="76E2D981">
      <w:pPr>
        <w:pStyle w:val="20"/>
        <w:widowControl/>
        <w:jc w:val="left"/>
      </w:pPr>
      <w:r>
        <w:rPr>
          <w:rFonts w:hint="eastAsia" w:ascii="宋体" w:hAnsi="宋体" w:cs="宋体"/>
          <w:color w:val="000000"/>
          <w:kern w:val="0"/>
          <w:sz w:val="24"/>
          <w:lang w:bidi="ar"/>
        </w:rPr>
        <w:t xml:space="preserve">(1) 已完成的《工程量清单》中的工程项目及其它项目的应付金额。 </w:t>
      </w:r>
    </w:p>
    <w:p w14:paraId="39134C4D">
      <w:pPr>
        <w:pStyle w:val="20"/>
        <w:widowControl/>
        <w:jc w:val="left"/>
      </w:pPr>
      <w:r>
        <w:rPr>
          <w:rFonts w:hint="eastAsia" w:ascii="宋体" w:hAnsi="宋体" w:cs="宋体"/>
          <w:color w:val="000000"/>
          <w:kern w:val="0"/>
          <w:sz w:val="24"/>
          <w:lang w:bidi="ar"/>
        </w:rPr>
        <w:t xml:space="preserve">(2) 经监理人签认的当月计日工支付凭证标明的应付金额。 </w:t>
      </w:r>
    </w:p>
    <w:p w14:paraId="3B66D326">
      <w:pPr>
        <w:pStyle w:val="20"/>
        <w:widowControl/>
        <w:jc w:val="left"/>
      </w:pPr>
      <w:r>
        <w:rPr>
          <w:rFonts w:hint="eastAsia" w:ascii="宋体" w:hAnsi="宋体" w:cs="宋体"/>
          <w:color w:val="000000"/>
          <w:kern w:val="0"/>
          <w:sz w:val="24"/>
          <w:lang w:bidi="ar"/>
        </w:rPr>
        <w:t xml:space="preserve">(3) 按第 16.1、16.2 款约定的价格调整金额（如有）。 </w:t>
      </w:r>
    </w:p>
    <w:p w14:paraId="7BBBE7CF">
      <w:pPr>
        <w:pStyle w:val="20"/>
        <w:widowControl/>
        <w:jc w:val="left"/>
      </w:pPr>
      <w:r>
        <w:rPr>
          <w:rFonts w:hint="eastAsia" w:ascii="宋体" w:hAnsi="宋体" w:cs="宋体"/>
          <w:color w:val="000000"/>
          <w:kern w:val="0"/>
          <w:sz w:val="24"/>
          <w:lang w:bidi="ar"/>
        </w:rPr>
        <w:t xml:space="preserve">(4) 按第 5.2 款约定应由发包人扣还的工程材料款金额。 </w:t>
      </w:r>
    </w:p>
    <w:p w14:paraId="5CA705CB">
      <w:pPr>
        <w:pStyle w:val="20"/>
        <w:widowControl/>
        <w:jc w:val="left"/>
      </w:pPr>
      <w:r>
        <w:rPr>
          <w:rFonts w:hint="eastAsia" w:ascii="宋体" w:hAnsi="宋体" w:cs="宋体"/>
          <w:color w:val="000000"/>
          <w:kern w:val="0"/>
          <w:sz w:val="24"/>
          <w:lang w:bidi="ar"/>
        </w:rPr>
        <w:t xml:space="preserve">(5) 按第 17.2 款约定应由发包人扣还的工程预付款金额。 </w:t>
      </w:r>
    </w:p>
    <w:p w14:paraId="1D2EBAC9">
      <w:pPr>
        <w:pStyle w:val="20"/>
        <w:widowControl/>
        <w:jc w:val="left"/>
      </w:pPr>
      <w:r>
        <w:rPr>
          <w:rFonts w:hint="eastAsia" w:ascii="宋体" w:hAnsi="宋体" w:cs="宋体"/>
          <w:color w:val="000000"/>
          <w:kern w:val="0"/>
          <w:sz w:val="24"/>
          <w:lang w:bidi="ar"/>
        </w:rPr>
        <w:t xml:space="preserve">(6) 按第 17.4 款约定应由发包人扣留的质量保证金金额。 </w:t>
      </w:r>
    </w:p>
    <w:p w14:paraId="4340625B">
      <w:pPr>
        <w:pStyle w:val="20"/>
        <w:widowControl/>
        <w:jc w:val="left"/>
      </w:pPr>
      <w:r>
        <w:rPr>
          <w:rFonts w:hint="eastAsia" w:ascii="宋体" w:hAnsi="宋体" w:cs="宋体"/>
          <w:color w:val="000000"/>
          <w:kern w:val="0"/>
          <w:sz w:val="24"/>
          <w:lang w:bidi="ar"/>
        </w:rPr>
        <w:t xml:space="preserve">(7) 按合同约定承包人应有权得到的其它金额。 </w:t>
      </w:r>
    </w:p>
    <w:p w14:paraId="125E5C7A">
      <w:pPr>
        <w:pStyle w:val="20"/>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(8) 按合同约定应由承包人付给发包人的其它金额  </w:t>
      </w:r>
    </w:p>
    <w:p w14:paraId="1D54EC42">
      <w:pPr>
        <w:pStyle w:val="20"/>
        <w:widowControl/>
        <w:jc w:val="left"/>
        <w:rPr>
          <w:rFonts w:hint="eastAsia" w:ascii="宋体" w:hAnsi="宋体" w:cs="宋体"/>
          <w:color w:val="000000"/>
          <w:kern w:val="0"/>
          <w:sz w:val="24"/>
          <w:lang w:bidi="ar"/>
        </w:rPr>
      </w:pPr>
    </w:p>
    <w:p w14:paraId="69D2A035">
      <w:pPr>
        <w:pStyle w:val="20"/>
        <w:widowControl/>
        <w:jc w:val="left"/>
        <w:rPr>
          <w:rFonts w:hint="eastAsia" w:ascii="宋体" w:hAnsi="宋体" w:cs="宋体"/>
          <w:color w:val="000000"/>
          <w:kern w:val="0"/>
          <w:sz w:val="24"/>
          <w:lang w:bidi="ar"/>
        </w:rPr>
      </w:pPr>
    </w:p>
    <w:p w14:paraId="7A97D52D">
      <w:pPr>
        <w:pStyle w:val="20"/>
        <w:widowControl/>
        <w:jc w:val="left"/>
        <w:rPr>
          <w:rFonts w:ascii="宋体" w:hAnsi="宋体" w:cs="宋体"/>
          <w:sz w:val="24"/>
        </w:rPr>
      </w:pPr>
      <w:r>
        <w:rPr>
          <w:rFonts w:hint="eastAsia" w:ascii="宋体" w:hAnsi="宋体" w:cs="宋体"/>
          <w:sz w:val="24"/>
        </w:rPr>
        <w:t>17.4 质量保证金</w:t>
      </w:r>
    </w:p>
    <w:p w14:paraId="70C6CCEE">
      <w:pPr>
        <w:pStyle w:val="24"/>
        <w:spacing w:line="500" w:lineRule="exact"/>
        <w:rPr>
          <w:rFonts w:ascii="宋体" w:hAnsi="宋体" w:cs="宋体"/>
          <w:sz w:val="24"/>
        </w:rPr>
      </w:pPr>
      <w:r>
        <w:rPr>
          <w:rFonts w:hint="eastAsia" w:ascii="宋体" w:hAnsi="宋体" w:cs="宋体"/>
          <w:sz w:val="24"/>
        </w:rPr>
        <w:t>　　17.4.1 每个付款周期扣留的质量保证金为工程进度付款的　3%，扣留的质量保证金总额为签约合同价的　3　%。</w:t>
      </w:r>
    </w:p>
    <w:p w14:paraId="387629CD">
      <w:pPr>
        <w:pStyle w:val="24"/>
        <w:spacing w:line="500" w:lineRule="exact"/>
        <w:outlineLvl w:val="3"/>
        <w:rPr>
          <w:rFonts w:ascii="宋体" w:hAnsi="宋体" w:cs="宋体"/>
          <w:sz w:val="24"/>
        </w:rPr>
      </w:pPr>
      <w:r>
        <w:rPr>
          <w:rFonts w:hint="eastAsia" w:ascii="宋体" w:hAnsi="宋体" w:cs="宋体"/>
          <w:sz w:val="24"/>
        </w:rPr>
        <w:t>17.5 竣工(完工)结算</w:t>
      </w:r>
    </w:p>
    <w:p w14:paraId="5737B74B">
      <w:pPr>
        <w:pStyle w:val="24"/>
        <w:spacing w:line="500" w:lineRule="exact"/>
        <w:rPr>
          <w:rFonts w:ascii="宋体" w:hAnsi="宋体" w:cs="宋体"/>
          <w:sz w:val="24"/>
        </w:rPr>
      </w:pPr>
      <w:r>
        <w:rPr>
          <w:rFonts w:hint="eastAsia" w:ascii="宋体" w:hAnsi="宋体" w:cs="宋体"/>
          <w:sz w:val="24"/>
        </w:rPr>
        <w:t>　　17.5.1 竣工(完工)付款申请单</w:t>
      </w:r>
    </w:p>
    <w:p w14:paraId="0B0DAF2D">
      <w:pPr>
        <w:pStyle w:val="20"/>
        <w:widowControl/>
        <w:jc w:val="left"/>
      </w:pPr>
      <w:r>
        <w:rPr>
          <w:rFonts w:hint="eastAsia" w:ascii="宋体" w:hAnsi="宋体" w:cs="宋体"/>
          <w:sz w:val="24"/>
        </w:rPr>
        <w:t>　　</w:t>
      </w:r>
      <w:r>
        <w:rPr>
          <w:rFonts w:hint="eastAsia" w:ascii="宋体" w:hAnsi="宋体" w:cs="宋体"/>
          <w:color w:val="000000"/>
          <w:kern w:val="0"/>
          <w:sz w:val="24"/>
          <w:lang w:bidi="ar"/>
        </w:rPr>
        <w:t>（</w:t>
      </w:r>
      <w:r>
        <w:rPr>
          <w:color w:val="000000"/>
          <w:kern w:val="0"/>
          <w:sz w:val="24"/>
          <w:lang w:bidi="ar"/>
        </w:rPr>
        <w:t>1</w:t>
      </w:r>
      <w:r>
        <w:rPr>
          <w:rFonts w:hint="eastAsia" w:ascii="宋体" w:hAnsi="宋体" w:cs="宋体"/>
          <w:color w:val="000000"/>
          <w:kern w:val="0"/>
          <w:sz w:val="24"/>
          <w:lang w:bidi="ar"/>
        </w:rPr>
        <w:t xml:space="preserve">）承包人应提交完工付款申请单一式 </w:t>
      </w:r>
      <w:r>
        <w:rPr>
          <w:color w:val="000000"/>
          <w:kern w:val="0"/>
          <w:sz w:val="24"/>
          <w:lang w:bidi="ar"/>
        </w:rPr>
        <w:t xml:space="preserve">6 </w:t>
      </w:r>
      <w:r>
        <w:rPr>
          <w:rFonts w:hint="eastAsia" w:ascii="宋体" w:hAnsi="宋体" w:cs="宋体"/>
          <w:color w:val="000000"/>
          <w:kern w:val="0"/>
          <w:sz w:val="24"/>
          <w:lang w:bidi="ar"/>
        </w:rPr>
        <w:t xml:space="preserve">份。在工程完工证书颁发后 </w:t>
      </w:r>
      <w:r>
        <w:rPr>
          <w:color w:val="000000"/>
          <w:kern w:val="0"/>
          <w:sz w:val="24"/>
          <w:lang w:bidi="ar"/>
        </w:rPr>
        <w:t xml:space="preserve">28 </w:t>
      </w:r>
      <w:r>
        <w:rPr>
          <w:rFonts w:hint="eastAsia" w:ascii="宋体" w:hAnsi="宋体" w:cs="宋体"/>
          <w:color w:val="000000"/>
          <w:kern w:val="0"/>
          <w:sz w:val="24"/>
          <w:lang w:bidi="ar"/>
        </w:rPr>
        <w:t xml:space="preserve">天内提交。本条款增加内容： </w:t>
      </w:r>
    </w:p>
    <w:p w14:paraId="0B3BE222">
      <w:pPr>
        <w:pStyle w:val="20"/>
        <w:widowControl/>
        <w:jc w:val="left"/>
      </w:pPr>
      <w:r>
        <w:rPr>
          <w:rFonts w:hint="eastAsia" w:ascii="宋体" w:hAnsi="宋体" w:cs="宋体"/>
          <w:color w:val="000000"/>
          <w:kern w:val="0"/>
          <w:sz w:val="24"/>
          <w:lang w:bidi="ar"/>
        </w:rPr>
        <w:t>（</w:t>
      </w:r>
      <w:r>
        <w:rPr>
          <w:color w:val="000000"/>
          <w:kern w:val="0"/>
          <w:sz w:val="24"/>
          <w:lang w:bidi="ar"/>
        </w:rPr>
        <w:t>1</w:t>
      </w:r>
      <w:r>
        <w:rPr>
          <w:rFonts w:hint="eastAsia" w:ascii="宋体" w:hAnsi="宋体" w:cs="宋体"/>
          <w:color w:val="000000"/>
          <w:kern w:val="0"/>
          <w:sz w:val="24"/>
          <w:lang w:bidi="ar"/>
        </w:rPr>
        <w:t xml:space="preserve">）承包人必须于工程完工后 </w:t>
      </w:r>
      <w:r>
        <w:rPr>
          <w:color w:val="000000"/>
          <w:kern w:val="0"/>
          <w:sz w:val="24"/>
          <w:lang w:bidi="ar"/>
        </w:rPr>
        <w:t xml:space="preserve">42 </w:t>
      </w:r>
      <w:r>
        <w:rPr>
          <w:rFonts w:hint="eastAsia" w:ascii="宋体" w:hAnsi="宋体" w:cs="宋体"/>
          <w:color w:val="000000"/>
          <w:kern w:val="0"/>
          <w:sz w:val="24"/>
          <w:lang w:bidi="ar"/>
        </w:rPr>
        <w:t xml:space="preserve">天内，完成工程结算和竣工资料整编，并上报监 </w:t>
      </w:r>
    </w:p>
    <w:p w14:paraId="38E53D86">
      <w:pPr>
        <w:pStyle w:val="20"/>
        <w:widowControl/>
        <w:jc w:val="left"/>
      </w:pPr>
      <w:r>
        <w:rPr>
          <w:rFonts w:hint="eastAsia" w:ascii="宋体" w:hAnsi="宋体" w:cs="宋体"/>
          <w:color w:val="000000"/>
          <w:kern w:val="0"/>
          <w:sz w:val="24"/>
          <w:lang w:bidi="ar"/>
        </w:rPr>
        <w:t xml:space="preserve">理人进行审核；监理人必须在承包人上报后 </w:t>
      </w:r>
      <w:r>
        <w:rPr>
          <w:color w:val="000000"/>
          <w:kern w:val="0"/>
          <w:sz w:val="24"/>
          <w:lang w:bidi="ar"/>
        </w:rPr>
        <w:t xml:space="preserve">20 </w:t>
      </w:r>
      <w:r>
        <w:rPr>
          <w:rFonts w:hint="eastAsia" w:ascii="宋体" w:hAnsi="宋体" w:cs="宋体"/>
          <w:color w:val="000000"/>
          <w:kern w:val="0"/>
          <w:sz w:val="24"/>
          <w:lang w:bidi="ar"/>
        </w:rPr>
        <w:t xml:space="preserve">天内完成审核，并上报发包人。 </w:t>
      </w:r>
    </w:p>
    <w:p w14:paraId="71276942">
      <w:pPr>
        <w:pStyle w:val="20"/>
        <w:widowControl/>
        <w:jc w:val="left"/>
      </w:pPr>
      <w:r>
        <w:rPr>
          <w:rFonts w:hint="eastAsia" w:ascii="宋体" w:hAnsi="宋体" w:cs="宋体"/>
          <w:color w:val="000000"/>
          <w:kern w:val="0"/>
          <w:sz w:val="24"/>
          <w:lang w:bidi="ar"/>
        </w:rPr>
        <w:t>（</w:t>
      </w:r>
      <w:r>
        <w:rPr>
          <w:color w:val="000000"/>
          <w:kern w:val="0"/>
          <w:sz w:val="24"/>
          <w:lang w:bidi="ar"/>
        </w:rPr>
        <w:t>2</w:t>
      </w:r>
      <w:r>
        <w:rPr>
          <w:rFonts w:hint="eastAsia" w:ascii="宋体" w:hAnsi="宋体" w:cs="宋体"/>
          <w:color w:val="000000"/>
          <w:kern w:val="0"/>
          <w:sz w:val="24"/>
          <w:lang w:bidi="ar"/>
        </w:rPr>
        <w:t xml:space="preserve">）承包人未按时完成工程结算和竣工资料整编工作，发包人将停止承包人一切工程付款，且每逾期 </w:t>
      </w:r>
      <w:r>
        <w:rPr>
          <w:color w:val="000000"/>
          <w:kern w:val="0"/>
          <w:sz w:val="24"/>
          <w:lang w:bidi="ar"/>
        </w:rPr>
        <w:t xml:space="preserve">5 </w:t>
      </w:r>
      <w:r>
        <w:rPr>
          <w:rFonts w:hint="eastAsia" w:ascii="宋体" w:hAnsi="宋体" w:cs="宋体"/>
          <w:color w:val="000000"/>
          <w:kern w:val="0"/>
          <w:sz w:val="24"/>
          <w:lang w:bidi="ar"/>
        </w:rPr>
        <w:t xml:space="preserve">天（不足按 </w:t>
      </w:r>
      <w:r>
        <w:rPr>
          <w:color w:val="000000"/>
          <w:kern w:val="0"/>
          <w:sz w:val="24"/>
          <w:lang w:bidi="ar"/>
        </w:rPr>
        <w:t xml:space="preserve">5 </w:t>
      </w:r>
      <w:r>
        <w:rPr>
          <w:rFonts w:hint="eastAsia" w:ascii="宋体" w:hAnsi="宋体" w:cs="宋体"/>
          <w:color w:val="000000"/>
          <w:kern w:val="0"/>
          <w:sz w:val="24"/>
          <w:lang w:bidi="ar"/>
        </w:rPr>
        <w:t xml:space="preserve">天计）扣款 </w:t>
      </w:r>
      <w:r>
        <w:rPr>
          <w:color w:val="000000"/>
          <w:kern w:val="0"/>
          <w:sz w:val="24"/>
          <w:lang w:bidi="ar"/>
        </w:rPr>
        <w:t xml:space="preserve">1000 </w:t>
      </w:r>
      <w:r>
        <w:rPr>
          <w:rFonts w:hint="eastAsia" w:ascii="宋体" w:hAnsi="宋体" w:cs="宋体"/>
          <w:color w:val="000000"/>
          <w:kern w:val="0"/>
          <w:sz w:val="24"/>
          <w:lang w:bidi="ar"/>
        </w:rPr>
        <w:t>元。监理人未按期完成审核工作，承担相应的责任</w:t>
      </w:r>
    </w:p>
    <w:p w14:paraId="25990D80">
      <w:pPr>
        <w:pStyle w:val="24"/>
        <w:spacing w:line="500" w:lineRule="exact"/>
        <w:rPr>
          <w:rFonts w:ascii="宋体" w:hAnsi="宋体" w:cs="宋体"/>
          <w:sz w:val="24"/>
        </w:rPr>
      </w:pPr>
    </w:p>
    <w:p w14:paraId="0398F0E2">
      <w:pPr>
        <w:pStyle w:val="24"/>
        <w:spacing w:line="500" w:lineRule="exact"/>
        <w:ind w:firstLine="240" w:firstLineChars="100"/>
        <w:outlineLvl w:val="3"/>
        <w:rPr>
          <w:rFonts w:ascii="宋体" w:hAnsi="宋体" w:cs="宋体"/>
          <w:sz w:val="24"/>
        </w:rPr>
      </w:pPr>
      <w:r>
        <w:rPr>
          <w:rFonts w:hint="eastAsia" w:ascii="宋体" w:hAnsi="宋体" w:cs="宋体"/>
          <w:sz w:val="24"/>
        </w:rPr>
        <w:t>17.7 竣工财务决算</w:t>
      </w:r>
    </w:p>
    <w:p w14:paraId="2D4A6B23">
      <w:pPr>
        <w:pStyle w:val="20"/>
        <w:widowControl/>
        <w:jc w:val="left"/>
      </w:pPr>
      <w:r>
        <w:rPr>
          <w:rFonts w:hint="eastAsia" w:ascii="宋体" w:hAnsi="宋体" w:cs="宋体"/>
          <w:sz w:val="24"/>
        </w:rPr>
        <w:t>　　承包人应为竣工财务决算编制提供的资料：</w:t>
      </w:r>
      <w:r>
        <w:rPr>
          <w:rFonts w:hint="eastAsia" w:ascii="宋体" w:hAnsi="宋体" w:cs="宋体"/>
          <w:color w:val="000000"/>
          <w:kern w:val="0"/>
          <w:sz w:val="24"/>
          <w:lang w:bidi="ar"/>
        </w:rPr>
        <w:t>：</w:t>
      </w:r>
      <w:r>
        <w:rPr>
          <w:rFonts w:hint="eastAsia" w:ascii="宋体" w:hAnsi="宋体" w:cs="宋体"/>
          <w:color w:val="000000"/>
          <w:kern w:val="0"/>
          <w:sz w:val="24"/>
          <w:u w:val="single"/>
          <w:lang w:bidi="ar"/>
        </w:rPr>
        <w:t xml:space="preserve"> 竣工结算书、竣工图纸、设计变更、工程 签证、工程量计算书、原始地面测量高程资料（含 CAD 图）、其他竣工资料等。</w:t>
      </w:r>
      <w:r>
        <w:rPr>
          <w:rFonts w:hint="eastAsia" w:ascii="宋体" w:hAnsi="宋体" w:cs="宋体"/>
          <w:color w:val="000000"/>
          <w:kern w:val="0"/>
          <w:sz w:val="24"/>
          <w:lang w:bidi="ar"/>
        </w:rPr>
        <w:t xml:space="preserve"> </w:t>
      </w:r>
    </w:p>
    <w:p w14:paraId="73E5685D">
      <w:pPr>
        <w:pStyle w:val="24"/>
        <w:spacing w:line="500" w:lineRule="exact"/>
        <w:rPr>
          <w:rFonts w:ascii="宋体" w:hAnsi="宋体" w:cs="宋体"/>
          <w:sz w:val="24"/>
        </w:rPr>
      </w:pPr>
      <w:r>
        <w:rPr>
          <w:rFonts w:hint="eastAsia" w:ascii="宋体" w:hAnsi="宋体" w:cs="宋体"/>
          <w:sz w:val="24"/>
        </w:rPr>
        <w:t>　　　　　</w:t>
      </w:r>
    </w:p>
    <w:p w14:paraId="039EAEDF">
      <w:pPr>
        <w:pStyle w:val="24"/>
        <w:spacing w:line="500" w:lineRule="exact"/>
        <w:outlineLvl w:val="2"/>
        <w:rPr>
          <w:rFonts w:ascii="宋体" w:hAnsi="宋体" w:cs="宋体"/>
          <w:sz w:val="24"/>
        </w:rPr>
      </w:pPr>
      <w:bookmarkStart w:id="162" w:name="_Toc135390376"/>
      <w:bookmarkStart w:id="163" w:name="_Toc256000154"/>
      <w:bookmarkStart w:id="164" w:name="_Toc128655025"/>
      <w:r>
        <w:rPr>
          <w:rFonts w:hint="eastAsia" w:ascii="宋体" w:hAnsi="宋体" w:cs="宋体"/>
          <w:sz w:val="24"/>
        </w:rPr>
        <w:t>18. 竣工验收(验收)</w:t>
      </w:r>
      <w:bookmarkEnd w:id="162"/>
      <w:bookmarkEnd w:id="163"/>
      <w:bookmarkEnd w:id="164"/>
    </w:p>
    <w:p w14:paraId="74C9DE1D">
      <w:pPr>
        <w:pStyle w:val="24"/>
        <w:spacing w:line="500" w:lineRule="exact"/>
        <w:outlineLvl w:val="3"/>
        <w:rPr>
          <w:rFonts w:ascii="宋体" w:hAnsi="宋体" w:cs="宋体"/>
          <w:sz w:val="24"/>
        </w:rPr>
      </w:pPr>
      <w:r>
        <w:rPr>
          <w:rFonts w:hint="eastAsia" w:ascii="宋体" w:hAnsi="宋体" w:cs="宋体"/>
          <w:sz w:val="24"/>
        </w:rPr>
        <w:t>18.1 验收工作分类</w:t>
      </w:r>
    </w:p>
    <w:p w14:paraId="23C2ED8F">
      <w:pPr>
        <w:pStyle w:val="20"/>
        <w:widowControl/>
        <w:jc w:val="left"/>
        <w:rPr>
          <w:u w:val="single"/>
        </w:rPr>
      </w:pPr>
      <w:r>
        <w:rPr>
          <w:rFonts w:hint="eastAsia" w:ascii="宋体" w:hAnsi="宋体" w:cs="宋体"/>
          <w:sz w:val="24"/>
        </w:rPr>
        <w:t>　　</w:t>
      </w:r>
      <w:r>
        <w:rPr>
          <w:rFonts w:hint="eastAsia" w:ascii="宋体" w:hAnsi="宋体" w:cs="宋体"/>
          <w:color w:val="000000"/>
          <w:kern w:val="0"/>
          <w:sz w:val="24"/>
          <w:lang w:bidi="ar"/>
        </w:rPr>
        <w:t>本工程法人验收包括：</w:t>
      </w:r>
      <w:r>
        <w:rPr>
          <w:rFonts w:hint="eastAsia" w:ascii="宋体" w:hAnsi="宋体" w:cs="宋体"/>
          <w:color w:val="000000"/>
          <w:kern w:val="0"/>
          <w:sz w:val="24"/>
          <w:u w:val="single"/>
          <w:lang w:bidi="ar"/>
        </w:rPr>
        <w:t>单位工程验收、分部工程验收、外观质量评定</w:t>
      </w:r>
      <w:r>
        <w:rPr>
          <w:rFonts w:hint="eastAsia" w:ascii="宋体" w:hAnsi="宋体" w:cs="宋体"/>
          <w:color w:val="000000"/>
          <w:kern w:val="0"/>
          <w:sz w:val="24"/>
          <w:lang w:bidi="ar"/>
        </w:rPr>
        <w:t xml:space="preserve">；政府验收包括： </w:t>
      </w:r>
      <w:r>
        <w:rPr>
          <w:rFonts w:hint="eastAsia" w:ascii="宋体" w:hAnsi="宋体" w:cs="宋体"/>
          <w:color w:val="000000"/>
          <w:kern w:val="0"/>
          <w:sz w:val="24"/>
          <w:u w:val="single"/>
          <w:lang w:bidi="ar"/>
        </w:rPr>
        <w:t>竣工验收</w:t>
      </w:r>
      <w:r>
        <w:rPr>
          <w:rFonts w:hint="eastAsia" w:ascii="宋体" w:hAnsi="宋体" w:cs="宋体"/>
          <w:color w:val="000000"/>
          <w:kern w:val="0"/>
          <w:sz w:val="24"/>
          <w:lang w:bidi="ar"/>
        </w:rPr>
        <w:t xml:space="preserve"> 。验收条件为</w:t>
      </w:r>
      <w:r>
        <w:rPr>
          <w:rFonts w:hint="eastAsia" w:ascii="宋体" w:hAnsi="宋体" w:cs="宋体"/>
          <w:color w:val="000000"/>
          <w:kern w:val="0"/>
          <w:sz w:val="24"/>
          <w:u w:val="single"/>
          <w:lang w:bidi="ar"/>
        </w:rPr>
        <w:t>：符合相应的验收规范</w:t>
      </w:r>
      <w:r>
        <w:rPr>
          <w:rFonts w:hint="eastAsia" w:ascii="宋体" w:hAnsi="宋体" w:cs="宋体"/>
          <w:color w:val="000000"/>
          <w:kern w:val="0"/>
          <w:sz w:val="24"/>
          <w:lang w:bidi="ar"/>
        </w:rPr>
        <w:t>，验收程序为：</w:t>
      </w:r>
      <w:r>
        <w:rPr>
          <w:rFonts w:hint="eastAsia" w:ascii="宋体" w:hAnsi="宋体" w:cs="宋体"/>
          <w:color w:val="000000"/>
          <w:kern w:val="0"/>
          <w:sz w:val="24"/>
          <w:u w:val="single"/>
          <w:lang w:bidi="ar"/>
        </w:rPr>
        <w:t xml:space="preserve">按相应的验收程序 </w:t>
      </w:r>
    </w:p>
    <w:p w14:paraId="6A30E22D">
      <w:pPr>
        <w:pStyle w:val="20"/>
        <w:widowControl/>
        <w:jc w:val="left"/>
        <w:rPr>
          <w:u w:val="single"/>
        </w:rPr>
      </w:pPr>
      <w:r>
        <w:rPr>
          <w:rFonts w:hint="eastAsia" w:ascii="宋体" w:hAnsi="宋体" w:cs="宋体"/>
          <w:color w:val="000000"/>
          <w:kern w:val="0"/>
          <w:sz w:val="24"/>
          <w:u w:val="single"/>
          <w:lang w:bidi="ar"/>
        </w:rPr>
        <w:t>验收。</w:t>
      </w:r>
    </w:p>
    <w:p w14:paraId="5DA873DF">
      <w:pPr>
        <w:pStyle w:val="24"/>
        <w:spacing w:line="500" w:lineRule="exact"/>
        <w:rPr>
          <w:rFonts w:ascii="宋体" w:hAnsi="宋体" w:cs="宋体"/>
          <w:sz w:val="24"/>
        </w:rPr>
      </w:pPr>
    </w:p>
    <w:p w14:paraId="29B87522">
      <w:pPr>
        <w:pStyle w:val="24"/>
        <w:spacing w:line="500" w:lineRule="exact"/>
        <w:outlineLvl w:val="3"/>
        <w:rPr>
          <w:rFonts w:ascii="宋体" w:hAnsi="宋体" w:cs="宋体"/>
          <w:sz w:val="24"/>
        </w:rPr>
      </w:pPr>
      <w:r>
        <w:rPr>
          <w:rFonts w:hint="eastAsia" w:ascii="宋体" w:hAnsi="宋体" w:cs="宋体"/>
          <w:sz w:val="24"/>
        </w:rPr>
        <w:t>18.2 分部工程验收</w:t>
      </w:r>
    </w:p>
    <w:p w14:paraId="3F1D36DD">
      <w:pPr>
        <w:pStyle w:val="24"/>
        <w:spacing w:line="500" w:lineRule="exact"/>
        <w:rPr>
          <w:rFonts w:ascii="宋体" w:hAnsi="宋体" w:cs="宋体"/>
          <w:sz w:val="24"/>
        </w:rPr>
      </w:pPr>
      <w:r>
        <w:rPr>
          <w:rFonts w:hint="eastAsia" w:ascii="宋体" w:hAnsi="宋体" w:cs="宋体"/>
          <w:sz w:val="24"/>
        </w:rPr>
        <w:t>　　18.2.2　本工程由发包人主持的分部工程验收为　/　，其余由监理人主持。</w:t>
      </w:r>
    </w:p>
    <w:p w14:paraId="1B6559C5">
      <w:pPr>
        <w:pStyle w:val="24"/>
        <w:spacing w:line="500" w:lineRule="exact"/>
        <w:outlineLvl w:val="3"/>
        <w:rPr>
          <w:rFonts w:ascii="宋体" w:hAnsi="宋体" w:cs="宋体"/>
          <w:sz w:val="24"/>
        </w:rPr>
      </w:pPr>
      <w:r>
        <w:rPr>
          <w:rFonts w:hint="eastAsia" w:ascii="宋体" w:hAnsi="宋体" w:cs="宋体"/>
          <w:sz w:val="24"/>
        </w:rPr>
        <w:t>18.3 单位工程验收</w:t>
      </w:r>
    </w:p>
    <w:p w14:paraId="4C37FE61">
      <w:pPr>
        <w:pStyle w:val="24"/>
        <w:spacing w:line="500" w:lineRule="exact"/>
        <w:rPr>
          <w:rFonts w:ascii="宋体" w:hAnsi="宋体" w:cs="宋体"/>
          <w:sz w:val="24"/>
        </w:rPr>
      </w:pPr>
      <w:r>
        <w:rPr>
          <w:rFonts w:hint="eastAsia" w:ascii="宋体" w:hAnsi="宋体" w:cs="宋体"/>
          <w:sz w:val="24"/>
        </w:rPr>
        <w:t>　　18.3.4　提前投入使用的单位工程包括：</w:t>
      </w:r>
      <w:r>
        <w:rPr>
          <w:rFonts w:hint="eastAsia" w:ascii="宋体" w:hAnsi="宋体" w:cs="宋体"/>
          <w:sz w:val="24"/>
          <w:u w:val="single"/>
        </w:rPr>
        <w:t>/　、　/　、　/　。</w:t>
      </w:r>
    </w:p>
    <w:p w14:paraId="787ECE05">
      <w:pPr>
        <w:pStyle w:val="24"/>
        <w:spacing w:line="500" w:lineRule="exact"/>
        <w:outlineLvl w:val="3"/>
        <w:rPr>
          <w:rFonts w:ascii="宋体" w:hAnsi="宋体" w:cs="宋体"/>
          <w:sz w:val="24"/>
        </w:rPr>
      </w:pPr>
      <w:r>
        <w:rPr>
          <w:rFonts w:hint="eastAsia" w:ascii="宋体" w:hAnsi="宋体" w:cs="宋体"/>
          <w:sz w:val="24"/>
        </w:rPr>
        <w:t>18.5 阶段验收</w:t>
      </w:r>
    </w:p>
    <w:p w14:paraId="1CBCE958">
      <w:pPr>
        <w:pStyle w:val="24"/>
        <w:spacing w:line="500" w:lineRule="exact"/>
        <w:rPr>
          <w:rFonts w:ascii="宋体" w:hAnsi="宋体" w:cs="宋体"/>
          <w:sz w:val="24"/>
        </w:rPr>
      </w:pPr>
      <w:r>
        <w:rPr>
          <w:rFonts w:hint="eastAsia" w:ascii="宋体" w:hAnsi="宋体" w:cs="宋体"/>
          <w:sz w:val="24"/>
        </w:rPr>
        <w:t>　　18.5.1　本合同工程阶段验收类别包括：</w:t>
      </w:r>
      <w:r>
        <w:rPr>
          <w:rFonts w:hint="eastAsia" w:ascii="宋体" w:hAnsi="宋体" w:cs="宋体"/>
          <w:sz w:val="24"/>
          <w:u w:val="single"/>
        </w:rPr>
        <w:t>/　、　/　、　/　。</w:t>
      </w:r>
    </w:p>
    <w:p w14:paraId="59262A8E">
      <w:pPr>
        <w:pStyle w:val="24"/>
        <w:spacing w:line="500" w:lineRule="exact"/>
        <w:outlineLvl w:val="3"/>
        <w:rPr>
          <w:rFonts w:ascii="宋体" w:hAnsi="宋体" w:cs="宋体"/>
          <w:sz w:val="24"/>
        </w:rPr>
      </w:pPr>
      <w:r>
        <w:rPr>
          <w:rFonts w:hint="eastAsia" w:ascii="宋体" w:hAnsi="宋体" w:cs="宋体"/>
          <w:sz w:val="24"/>
        </w:rPr>
        <w:t>18.6 专项验收</w:t>
      </w:r>
    </w:p>
    <w:p w14:paraId="70BE22EC">
      <w:pPr>
        <w:pStyle w:val="24"/>
        <w:spacing w:line="500" w:lineRule="exact"/>
        <w:rPr>
          <w:rFonts w:ascii="宋体" w:hAnsi="宋体" w:cs="宋体"/>
          <w:sz w:val="24"/>
        </w:rPr>
      </w:pPr>
      <w:r>
        <w:rPr>
          <w:rFonts w:hint="eastAsia" w:ascii="宋体" w:hAnsi="宋体" w:cs="宋体"/>
          <w:sz w:val="24"/>
        </w:rPr>
        <w:t>　　18.6.2　本合同工程专项验收类别包括：</w:t>
      </w:r>
      <w:r>
        <w:rPr>
          <w:rFonts w:hint="eastAsia" w:ascii="宋体" w:hAnsi="宋体" w:cs="宋体"/>
          <w:sz w:val="24"/>
          <w:u w:val="single"/>
        </w:rPr>
        <w:t>/　、　/　、　/　。</w:t>
      </w:r>
    </w:p>
    <w:p w14:paraId="0B77DADB">
      <w:pPr>
        <w:pStyle w:val="24"/>
        <w:spacing w:line="500" w:lineRule="exact"/>
        <w:outlineLvl w:val="3"/>
        <w:rPr>
          <w:rFonts w:ascii="宋体" w:hAnsi="宋体" w:cs="宋体"/>
          <w:sz w:val="24"/>
        </w:rPr>
      </w:pPr>
      <w:r>
        <w:rPr>
          <w:rFonts w:hint="eastAsia" w:ascii="宋体" w:hAnsi="宋体" w:cs="宋体"/>
          <w:sz w:val="24"/>
        </w:rPr>
        <w:t>18.7 竣工验收</w:t>
      </w:r>
    </w:p>
    <w:p w14:paraId="2C93E4D4">
      <w:pPr>
        <w:pStyle w:val="24"/>
        <w:spacing w:line="500" w:lineRule="exact"/>
        <w:rPr>
          <w:rFonts w:ascii="宋体" w:hAnsi="宋体" w:cs="宋体"/>
          <w:sz w:val="24"/>
        </w:rPr>
      </w:pPr>
      <w:r>
        <w:rPr>
          <w:rFonts w:hint="eastAsia" w:ascii="宋体" w:hAnsi="宋体" w:cs="宋体"/>
          <w:sz w:val="24"/>
        </w:rPr>
        <w:t>　　18.7.3　本工程</w:t>
      </w:r>
      <w:r>
        <w:rPr>
          <w:rFonts w:hint="eastAsia" w:ascii="宋体" w:hAnsi="宋体" w:cs="宋体"/>
          <w:sz w:val="24"/>
          <w:u w:val="single"/>
        </w:rPr>
        <w:t>需要</w:t>
      </w:r>
      <w:r>
        <w:rPr>
          <w:rFonts w:hint="eastAsia" w:ascii="宋体" w:hAnsi="宋体" w:cs="宋体"/>
          <w:sz w:val="24"/>
        </w:rPr>
        <w:t>(需要／不需要)竣工验收技术鉴定(蓄水安全鉴定)。</w:t>
      </w:r>
    </w:p>
    <w:p w14:paraId="224BA8B8">
      <w:pPr>
        <w:pStyle w:val="24"/>
        <w:spacing w:line="500" w:lineRule="exact"/>
        <w:outlineLvl w:val="3"/>
        <w:rPr>
          <w:rFonts w:ascii="宋体" w:hAnsi="宋体" w:cs="宋体"/>
          <w:sz w:val="24"/>
        </w:rPr>
      </w:pPr>
      <w:r>
        <w:rPr>
          <w:rFonts w:hint="eastAsia" w:ascii="宋体" w:hAnsi="宋体" w:cs="宋体"/>
          <w:sz w:val="24"/>
        </w:rPr>
        <w:t>18.8 施工期运行</w:t>
      </w:r>
    </w:p>
    <w:p w14:paraId="4E906E76">
      <w:pPr>
        <w:pStyle w:val="24"/>
        <w:spacing w:line="500" w:lineRule="exact"/>
        <w:rPr>
          <w:rFonts w:ascii="宋体" w:hAnsi="宋体" w:cs="宋体"/>
          <w:sz w:val="24"/>
        </w:rPr>
      </w:pPr>
      <w:r>
        <w:rPr>
          <w:rFonts w:hint="eastAsia" w:ascii="宋体" w:hAnsi="宋体" w:cs="宋体"/>
          <w:sz w:val="24"/>
        </w:rPr>
        <w:t>　　18.8.1　需要在施工期运行的单位工程或工程设备为：</w:t>
      </w:r>
      <w:r>
        <w:rPr>
          <w:rFonts w:hint="eastAsia" w:ascii="宋体" w:hAnsi="宋体" w:cs="宋体"/>
          <w:sz w:val="24"/>
          <w:u w:val="single"/>
        </w:rPr>
        <w:t>/　、　/　、　/　</w:t>
      </w:r>
      <w:r>
        <w:rPr>
          <w:rFonts w:hint="eastAsia" w:ascii="宋体" w:hAnsi="宋体" w:cs="宋体"/>
          <w:sz w:val="24"/>
        </w:rPr>
        <w:t>。</w:t>
      </w:r>
    </w:p>
    <w:p w14:paraId="70A141F5">
      <w:pPr>
        <w:pStyle w:val="24"/>
        <w:spacing w:line="500" w:lineRule="exact"/>
        <w:outlineLvl w:val="3"/>
        <w:rPr>
          <w:rFonts w:ascii="宋体" w:hAnsi="宋体" w:cs="宋体"/>
          <w:sz w:val="24"/>
        </w:rPr>
      </w:pPr>
      <w:r>
        <w:rPr>
          <w:rFonts w:hint="eastAsia" w:ascii="宋体" w:hAnsi="宋体" w:cs="宋体"/>
          <w:sz w:val="24"/>
        </w:rPr>
        <w:t>18.9 试运行</w:t>
      </w:r>
    </w:p>
    <w:p w14:paraId="2972EDA1">
      <w:pPr>
        <w:pStyle w:val="24"/>
        <w:spacing w:line="500" w:lineRule="exact"/>
        <w:rPr>
          <w:rFonts w:ascii="宋体" w:hAnsi="宋体" w:cs="宋体"/>
          <w:sz w:val="24"/>
        </w:rPr>
      </w:pPr>
      <w:r>
        <w:rPr>
          <w:rFonts w:hint="eastAsia" w:ascii="宋体" w:hAnsi="宋体" w:cs="宋体"/>
          <w:sz w:val="24"/>
        </w:rPr>
        <w:t>　　18.9.1　试运行的组织：</w:t>
      </w:r>
      <w:r>
        <w:rPr>
          <w:rFonts w:hint="eastAsia" w:ascii="宋体" w:hAnsi="宋体" w:cs="宋体"/>
          <w:sz w:val="24"/>
          <w:u w:val="single"/>
        </w:rPr>
        <w:t>监理人</w:t>
      </w:r>
      <w:r>
        <w:rPr>
          <w:rFonts w:hint="eastAsia" w:ascii="宋体" w:hAnsi="宋体" w:cs="宋体"/>
          <w:sz w:val="24"/>
        </w:rPr>
        <w:t>　；费用承担：</w:t>
      </w:r>
      <w:r>
        <w:rPr>
          <w:rFonts w:hint="eastAsia" w:ascii="宋体" w:hAnsi="宋体" w:cs="宋体"/>
          <w:sz w:val="24"/>
          <w:u w:val="single"/>
        </w:rPr>
        <w:t>承包人</w:t>
      </w:r>
      <w:r>
        <w:rPr>
          <w:rFonts w:hint="eastAsia" w:ascii="宋体" w:hAnsi="宋体" w:cs="宋体"/>
          <w:sz w:val="24"/>
        </w:rPr>
        <w:t>　　。</w:t>
      </w:r>
    </w:p>
    <w:p w14:paraId="1C309753">
      <w:pPr>
        <w:pStyle w:val="24"/>
        <w:spacing w:line="500" w:lineRule="exact"/>
        <w:outlineLvl w:val="2"/>
        <w:rPr>
          <w:rFonts w:ascii="宋体" w:hAnsi="宋体" w:cs="宋体"/>
          <w:sz w:val="24"/>
        </w:rPr>
      </w:pPr>
      <w:bookmarkStart w:id="165" w:name="_Toc256000155"/>
      <w:bookmarkStart w:id="166" w:name="_Toc128655026"/>
      <w:bookmarkStart w:id="167" w:name="_Toc135390377"/>
      <w:r>
        <w:rPr>
          <w:rFonts w:hint="eastAsia" w:ascii="宋体" w:hAnsi="宋体" w:cs="宋体"/>
          <w:sz w:val="24"/>
        </w:rPr>
        <w:t>19. 缺陷责任与保修责任</w:t>
      </w:r>
      <w:bookmarkEnd w:id="165"/>
      <w:bookmarkEnd w:id="166"/>
      <w:bookmarkEnd w:id="167"/>
    </w:p>
    <w:p w14:paraId="29D06C13">
      <w:pPr>
        <w:pStyle w:val="24"/>
        <w:spacing w:line="500" w:lineRule="exact"/>
        <w:outlineLvl w:val="3"/>
        <w:rPr>
          <w:rFonts w:ascii="宋体" w:hAnsi="宋体" w:cs="宋体"/>
          <w:sz w:val="24"/>
        </w:rPr>
      </w:pPr>
      <w:r>
        <w:rPr>
          <w:rFonts w:hint="eastAsia" w:ascii="宋体" w:hAnsi="宋体" w:cs="宋体"/>
          <w:sz w:val="24"/>
        </w:rPr>
        <w:t>19.1 缺陷责任期(工程质量保修期)的起算时间</w:t>
      </w:r>
    </w:p>
    <w:p w14:paraId="1973CA76">
      <w:pPr>
        <w:pStyle w:val="20"/>
        <w:widowControl/>
        <w:jc w:val="left"/>
      </w:pPr>
      <w:r>
        <w:rPr>
          <w:rFonts w:hint="eastAsia" w:ascii="宋体" w:hAnsi="宋体" w:cs="宋体"/>
          <w:sz w:val="24"/>
        </w:rPr>
        <w:t>　</w:t>
      </w:r>
      <w:r>
        <w:rPr>
          <w:rFonts w:hint="eastAsia" w:ascii="宋体" w:hAnsi="宋体" w:cs="宋体"/>
          <w:color w:val="000000"/>
          <w:kern w:val="0"/>
          <w:sz w:val="24"/>
          <w:lang w:bidi="ar"/>
        </w:rPr>
        <w:t xml:space="preserve">本工程缺陷责任期：自全部工程完工验收合格之日起 24 个月。如在缺陷责任期内发生质量事故，发生质量事故部位的缺陷责任期自修复之日起从新计算。 </w:t>
      </w:r>
    </w:p>
    <w:p w14:paraId="42059EBB">
      <w:pPr>
        <w:pStyle w:val="20"/>
        <w:widowControl/>
        <w:jc w:val="left"/>
      </w:pPr>
      <w:r>
        <w:rPr>
          <w:rFonts w:hint="eastAsia" w:ascii="宋体" w:hAnsi="宋体" w:cs="宋体"/>
          <w:color w:val="000000"/>
          <w:kern w:val="0"/>
          <w:sz w:val="24"/>
          <w:lang w:bidi="ar"/>
        </w:rPr>
        <w:t xml:space="preserve">在缺陷责任期内工程出现施工质量事故由承包人承担保修责任，负责对事故部位修 </w:t>
      </w:r>
    </w:p>
    <w:p w14:paraId="7AAA930C">
      <w:pPr>
        <w:pStyle w:val="20"/>
        <w:widowControl/>
        <w:jc w:val="left"/>
      </w:pPr>
      <w:r>
        <w:rPr>
          <w:rFonts w:hint="eastAsia" w:ascii="宋体" w:hAnsi="宋体" w:cs="宋体"/>
          <w:color w:val="000000"/>
          <w:kern w:val="0"/>
          <w:sz w:val="24"/>
          <w:lang w:bidi="ar"/>
        </w:rPr>
        <w:t>复，费用由承包人承担</w:t>
      </w:r>
    </w:p>
    <w:p w14:paraId="597F0254">
      <w:pPr>
        <w:pStyle w:val="20"/>
        <w:spacing w:line="500" w:lineRule="exact"/>
        <w:rPr>
          <w:rFonts w:ascii="宋体" w:hAnsi="宋体" w:cs="宋体"/>
          <w:sz w:val="24"/>
        </w:rPr>
      </w:pPr>
      <w:r>
        <w:rPr>
          <w:rFonts w:hint="eastAsia" w:ascii="宋体" w:hAnsi="宋体" w:cs="宋体"/>
          <w:sz w:val="24"/>
        </w:rPr>
        <w:t>　　</w:t>
      </w:r>
    </w:p>
    <w:p w14:paraId="58DF4ABF">
      <w:pPr>
        <w:pStyle w:val="24"/>
        <w:spacing w:line="500" w:lineRule="exact"/>
        <w:outlineLvl w:val="2"/>
        <w:rPr>
          <w:rFonts w:ascii="宋体" w:hAnsi="宋体" w:cs="宋体"/>
          <w:sz w:val="24"/>
        </w:rPr>
      </w:pPr>
      <w:bookmarkStart w:id="168" w:name="_Toc135390378"/>
      <w:bookmarkStart w:id="169" w:name="_Toc128655027"/>
      <w:bookmarkStart w:id="170" w:name="_Toc256000156"/>
      <w:r>
        <w:rPr>
          <w:rFonts w:hint="eastAsia" w:ascii="宋体" w:hAnsi="宋体" w:cs="宋体"/>
          <w:sz w:val="24"/>
        </w:rPr>
        <w:t>20. 保险</w:t>
      </w:r>
      <w:bookmarkEnd w:id="168"/>
      <w:bookmarkEnd w:id="169"/>
      <w:bookmarkEnd w:id="170"/>
    </w:p>
    <w:p w14:paraId="6DFF3872">
      <w:pPr>
        <w:pStyle w:val="24"/>
        <w:spacing w:line="500" w:lineRule="exact"/>
        <w:outlineLvl w:val="3"/>
        <w:rPr>
          <w:rFonts w:ascii="宋体" w:hAnsi="宋体" w:cs="宋体"/>
          <w:sz w:val="24"/>
        </w:rPr>
      </w:pPr>
      <w:r>
        <w:rPr>
          <w:rFonts w:hint="eastAsia" w:ascii="宋体" w:hAnsi="宋体" w:cs="宋体"/>
          <w:sz w:val="24"/>
        </w:rPr>
        <w:t>20.1 工程保险</w:t>
      </w:r>
    </w:p>
    <w:p w14:paraId="7F9D3B88">
      <w:pPr>
        <w:pStyle w:val="20"/>
        <w:widowControl/>
        <w:jc w:val="left"/>
      </w:pPr>
      <w:r>
        <w:rPr>
          <w:rFonts w:hint="eastAsia" w:ascii="宋体" w:hAnsi="宋体" w:cs="宋体"/>
          <w:sz w:val="24"/>
        </w:rPr>
        <w:t>　</w:t>
      </w:r>
      <w:r>
        <w:rPr>
          <w:rFonts w:hint="eastAsia" w:ascii="宋体" w:hAnsi="宋体" w:cs="宋体"/>
          <w:color w:val="000000"/>
          <w:kern w:val="0"/>
          <w:sz w:val="24"/>
          <w:lang w:bidi="ar"/>
        </w:rPr>
        <w:t>工程一切险和第三者责任险由发包人负责投保。人身意外伤害险和</w:t>
      </w:r>
      <w:r>
        <w:rPr>
          <w:rFonts w:hint="eastAsia" w:ascii="宋体" w:hAnsi="宋体" w:cs="宋体"/>
          <w:color w:val="000000"/>
          <w:kern w:val="0"/>
          <w:sz w:val="24"/>
          <w:u w:val="single"/>
          <w:lang w:bidi="ar"/>
        </w:rPr>
        <w:t>进场</w:t>
      </w:r>
      <w:r>
        <w:rPr>
          <w:rFonts w:hint="eastAsia" w:ascii="宋体" w:hAnsi="宋体" w:cs="宋体"/>
          <w:color w:val="000000"/>
          <w:kern w:val="0"/>
          <w:sz w:val="24"/>
          <w:lang w:bidi="ar"/>
        </w:rPr>
        <w:t>的施工设备、</w:t>
      </w:r>
      <w:r>
        <w:rPr>
          <w:rFonts w:hint="eastAsia" w:ascii="宋体" w:hAnsi="宋体" w:cs="宋体"/>
          <w:color w:val="000000"/>
          <w:kern w:val="0"/>
          <w:sz w:val="24"/>
          <w:u w:val="single"/>
          <w:lang w:bidi="ar"/>
        </w:rPr>
        <w:t>材料</w:t>
      </w:r>
      <w:r>
        <w:rPr>
          <w:rFonts w:hint="eastAsia" w:ascii="宋体" w:hAnsi="宋体" w:cs="宋体"/>
          <w:color w:val="000000"/>
          <w:kern w:val="0"/>
          <w:sz w:val="24"/>
          <w:lang w:bidi="ar"/>
        </w:rPr>
        <w:t>等险由承包人负责投保。</w:t>
      </w:r>
      <w:r>
        <w:rPr>
          <w:rFonts w:hint="eastAsia" w:ascii="宋体" w:hAnsi="宋体" w:cs="宋体"/>
          <w:color w:val="000000"/>
          <w:kern w:val="0"/>
          <w:sz w:val="24"/>
          <w:u w:val="single"/>
          <w:lang w:bidi="ar"/>
        </w:rPr>
        <w:t>投保的费用计入工程量清单内(实行总价承包)，发包人不另行支付。投标人应按要求进行投保，投保的有效凭证需交发包人处备查。</w:t>
      </w:r>
      <w:r>
        <w:rPr>
          <w:rFonts w:hint="eastAsia" w:ascii="宋体" w:hAnsi="宋体" w:cs="宋体"/>
          <w:color w:val="000000"/>
          <w:kern w:val="0"/>
          <w:sz w:val="24"/>
          <w:lang w:bidi="ar"/>
        </w:rPr>
        <w:t xml:space="preserve"> </w:t>
      </w:r>
    </w:p>
    <w:p w14:paraId="4B29CFF5">
      <w:pPr>
        <w:pStyle w:val="20"/>
        <w:widowControl/>
        <w:jc w:val="left"/>
      </w:pPr>
      <w:r>
        <w:rPr>
          <w:rFonts w:hint="eastAsia" w:ascii="宋体" w:hAnsi="宋体" w:cs="宋体"/>
          <w:color w:val="000000"/>
          <w:kern w:val="0"/>
          <w:sz w:val="24"/>
          <w:lang w:bidi="ar"/>
        </w:rPr>
        <w:t xml:space="preserve">20.7 风险责任的转移 </w:t>
      </w:r>
    </w:p>
    <w:p w14:paraId="7A0482CF">
      <w:pPr>
        <w:pStyle w:val="20"/>
        <w:widowControl/>
        <w:jc w:val="left"/>
      </w:pPr>
      <w:r>
        <w:rPr>
          <w:rFonts w:hint="eastAsia" w:ascii="宋体" w:hAnsi="宋体" w:cs="宋体"/>
          <w:color w:val="000000"/>
          <w:kern w:val="0"/>
          <w:sz w:val="24"/>
          <w:lang w:bidi="ar"/>
        </w:rPr>
        <w:t xml:space="preserve">工程通过竣工验收并移交给发包人后，原由承包人按本条款约定应承担的风险责任，以及保险的责任、权利和义务同时转移给发包人(在缺陷责任期发生的、在缺陷责任期前的承包人原因造成的损失和损坏除外)。 </w:t>
      </w:r>
    </w:p>
    <w:p w14:paraId="4FA64FDF">
      <w:pPr>
        <w:pStyle w:val="24"/>
        <w:spacing w:line="500" w:lineRule="exact"/>
        <w:outlineLvl w:val="2"/>
        <w:rPr>
          <w:rFonts w:ascii="宋体" w:hAnsi="宋体" w:cs="宋体"/>
          <w:sz w:val="24"/>
        </w:rPr>
      </w:pPr>
      <w:bookmarkStart w:id="171" w:name="_Toc256000157"/>
      <w:bookmarkStart w:id="172" w:name="_Toc128655028"/>
      <w:bookmarkStart w:id="173" w:name="_Toc135390379"/>
      <w:r>
        <w:rPr>
          <w:rFonts w:hint="eastAsia" w:ascii="宋体" w:hAnsi="宋体" w:cs="宋体"/>
          <w:sz w:val="24"/>
        </w:rPr>
        <w:t>24. 争议</w:t>
      </w:r>
      <w:bookmarkEnd w:id="171"/>
      <w:bookmarkEnd w:id="172"/>
      <w:bookmarkEnd w:id="173"/>
    </w:p>
    <w:p w14:paraId="60DC6040">
      <w:pPr>
        <w:pStyle w:val="24"/>
        <w:spacing w:line="500" w:lineRule="exact"/>
        <w:outlineLvl w:val="3"/>
        <w:rPr>
          <w:rFonts w:ascii="宋体" w:hAnsi="宋体" w:cs="宋体"/>
          <w:sz w:val="24"/>
        </w:rPr>
      </w:pPr>
      <w:r>
        <w:rPr>
          <w:rFonts w:hint="eastAsia" w:ascii="宋体" w:hAnsi="宋体" w:cs="宋体"/>
          <w:sz w:val="24"/>
        </w:rPr>
        <w:t>24.1 争议的解决方式</w:t>
      </w:r>
    </w:p>
    <w:p w14:paraId="71318A10">
      <w:pPr>
        <w:pStyle w:val="20"/>
        <w:widowControl/>
        <w:jc w:val="left"/>
      </w:pPr>
      <w:r>
        <w:rPr>
          <w:rFonts w:hint="eastAsia" w:ascii="宋体" w:hAnsi="宋体" w:cs="宋体"/>
          <w:color w:val="000000"/>
          <w:kern w:val="0"/>
          <w:sz w:val="24"/>
          <w:lang w:bidi="ar"/>
        </w:rPr>
        <w:t xml:space="preserve">合同当事人友好协商解决，协商不成的，先仲裁（双方认可），仲裁不成再向工程所在地人民法院提起诉讼。 </w:t>
      </w:r>
    </w:p>
    <w:p w14:paraId="455A64CA">
      <w:pPr>
        <w:pStyle w:val="20"/>
        <w:widowControl/>
        <w:jc w:val="left"/>
      </w:pPr>
      <w:r>
        <w:rPr>
          <w:rFonts w:hint="eastAsia" w:ascii="宋体" w:hAnsi="宋体" w:cs="宋体"/>
          <w:b/>
          <w:bCs/>
          <w:color w:val="000000"/>
          <w:kern w:val="0"/>
          <w:sz w:val="24"/>
          <w:lang w:bidi="ar"/>
        </w:rPr>
        <w:t xml:space="preserve">25 合同类型（增加条款） </w:t>
      </w:r>
    </w:p>
    <w:p w14:paraId="77C390B2">
      <w:pPr>
        <w:pStyle w:val="20"/>
        <w:widowControl/>
        <w:jc w:val="left"/>
      </w:pPr>
      <w:r>
        <w:rPr>
          <w:rFonts w:hint="eastAsia" w:ascii="宋体" w:hAnsi="宋体" w:cs="宋体"/>
          <w:b/>
          <w:bCs/>
          <w:color w:val="000000"/>
          <w:kern w:val="0"/>
          <w:sz w:val="24"/>
          <w:lang w:bidi="ar"/>
        </w:rPr>
        <w:t xml:space="preserve">25.2 质量管理 </w:t>
      </w:r>
    </w:p>
    <w:p w14:paraId="492DA9EB">
      <w:pPr>
        <w:pStyle w:val="20"/>
        <w:widowControl/>
        <w:jc w:val="left"/>
      </w:pPr>
      <w:r>
        <w:rPr>
          <w:rFonts w:hint="eastAsia" w:ascii="宋体" w:hAnsi="宋体" w:cs="宋体"/>
          <w:color w:val="000000"/>
          <w:kern w:val="0"/>
          <w:sz w:val="24"/>
          <w:lang w:bidi="ar"/>
        </w:rPr>
        <w:t xml:space="preserve">具体执行发包人质量管理制度 </w:t>
      </w:r>
    </w:p>
    <w:p w14:paraId="3C4E9AAC">
      <w:pPr>
        <w:pStyle w:val="20"/>
        <w:widowControl/>
        <w:jc w:val="left"/>
      </w:pPr>
      <w:r>
        <w:rPr>
          <w:rFonts w:hint="eastAsia" w:ascii="宋体" w:hAnsi="宋体" w:cs="宋体"/>
          <w:b/>
          <w:bCs/>
          <w:color w:val="000000"/>
          <w:kern w:val="0"/>
          <w:sz w:val="24"/>
          <w:lang w:bidi="ar"/>
        </w:rPr>
        <w:t xml:space="preserve">25.3 资料整编 </w:t>
      </w:r>
    </w:p>
    <w:p w14:paraId="5B9BB021">
      <w:pPr>
        <w:pStyle w:val="20"/>
        <w:widowControl/>
        <w:jc w:val="left"/>
        <w:rPr>
          <w:rFonts w:ascii="宋体" w:hAnsi="宋体" w:cs="宋体"/>
          <w:sz w:val="24"/>
        </w:rPr>
      </w:pPr>
      <w:r>
        <w:rPr>
          <w:rFonts w:hint="eastAsia" w:ascii="宋体" w:hAnsi="宋体" w:cs="宋体"/>
          <w:color w:val="000000"/>
          <w:kern w:val="0"/>
          <w:sz w:val="24"/>
          <w:lang w:bidi="ar"/>
        </w:rPr>
        <w:t>25.3.1 工程档案资料的整理严格按照现行水利水电工程有关档案管理规定执行。在施工过程中若发现工程资料与实际不符，视情节严重程度，每发现一次罚款 500-1000 元。</w:t>
      </w:r>
    </w:p>
    <w:p w14:paraId="5C75A08D"/>
    <w:p w14:paraId="14682A9C">
      <w:pPr>
        <w:spacing w:line="246" w:lineRule="auto"/>
        <w:rPr>
          <w:rFonts w:ascii="Arial"/>
          <w:color w:val="auto"/>
          <w:sz w:val="21"/>
        </w:rPr>
      </w:pPr>
    </w:p>
    <w:p w14:paraId="7C4B71C7">
      <w:pPr>
        <w:rPr>
          <w:color w:val="auto"/>
        </w:rPr>
        <w:sectPr>
          <w:headerReference r:id="rId8" w:type="default"/>
          <w:footerReference r:id="rId9" w:type="default"/>
          <w:pgSz w:w="11906" w:h="16839"/>
          <w:pgMar w:top="400" w:right="1532" w:bottom="1156" w:left="1628" w:header="1134" w:footer="996" w:gutter="0"/>
          <w:cols w:space="720" w:num="1"/>
        </w:sectPr>
      </w:pPr>
    </w:p>
    <w:p w14:paraId="0A7C776F">
      <w:pPr>
        <w:spacing w:line="266" w:lineRule="auto"/>
        <w:rPr>
          <w:rFonts w:ascii="Arial"/>
          <w:color w:val="auto"/>
          <w:sz w:val="21"/>
        </w:rPr>
      </w:pPr>
    </w:p>
    <w:p w14:paraId="2694CD5E">
      <w:pPr>
        <w:spacing w:line="266" w:lineRule="auto"/>
        <w:rPr>
          <w:rFonts w:ascii="Arial"/>
          <w:color w:val="auto"/>
          <w:sz w:val="21"/>
        </w:rPr>
      </w:pPr>
    </w:p>
    <w:p w14:paraId="0190BB26">
      <w:pPr>
        <w:numPr>
          <w:ilvl w:val="0"/>
          <w:numId w:val="1"/>
        </w:numPr>
        <w:spacing w:before="101" w:line="227" w:lineRule="auto"/>
        <w:ind w:left="2941"/>
        <w:outlineLvl w:val="0"/>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pP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工程量清单</w:t>
      </w:r>
      <w:r>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t>（另册）</w:t>
      </w:r>
    </w:p>
    <w:p w14:paraId="5C64769B">
      <w:pPr>
        <w:spacing w:before="235" w:line="271" w:lineRule="exact"/>
      </w:pPr>
    </w:p>
    <w:p w14:paraId="5186D300">
      <w:pPr>
        <w:spacing w:before="235" w:line="271" w:lineRule="exact"/>
        <w:rPr>
          <w:rFonts w:ascii="宋体" w:hAnsi="宋体" w:eastAsia="宋体" w:cs="宋体"/>
          <w:color w:val="auto"/>
          <w:spacing w:val="3"/>
          <w:position w:val="1"/>
          <w:sz w:val="20"/>
          <w:szCs w:val="20"/>
        </w:rPr>
      </w:pPr>
    </w:p>
    <w:p w14:paraId="2612A3D2">
      <w:pPr>
        <w:spacing w:before="235" w:line="271" w:lineRule="exact"/>
        <w:rPr>
          <w:rFonts w:ascii="宋体" w:hAnsi="宋体" w:eastAsia="宋体" w:cs="宋体"/>
          <w:color w:val="auto"/>
          <w:spacing w:val="3"/>
          <w:position w:val="1"/>
          <w:sz w:val="20"/>
          <w:szCs w:val="20"/>
        </w:rPr>
      </w:pPr>
    </w:p>
    <w:p w14:paraId="000E0091">
      <w:pPr>
        <w:spacing w:before="235" w:line="271" w:lineRule="exact"/>
        <w:rPr>
          <w:rFonts w:ascii="宋体" w:hAnsi="宋体" w:eastAsia="宋体" w:cs="宋体"/>
          <w:color w:val="auto"/>
          <w:spacing w:val="3"/>
          <w:position w:val="1"/>
          <w:sz w:val="20"/>
          <w:szCs w:val="20"/>
        </w:rPr>
      </w:pPr>
    </w:p>
    <w:p w14:paraId="75ECF1D0">
      <w:pPr>
        <w:spacing w:before="235" w:line="271" w:lineRule="exact"/>
        <w:rPr>
          <w:rFonts w:ascii="宋体" w:hAnsi="宋体" w:eastAsia="宋体" w:cs="宋体"/>
          <w:color w:val="auto"/>
          <w:spacing w:val="3"/>
          <w:position w:val="1"/>
          <w:sz w:val="20"/>
          <w:szCs w:val="20"/>
        </w:rPr>
      </w:pPr>
    </w:p>
    <w:p w14:paraId="1C9D8794">
      <w:pPr>
        <w:spacing w:before="235" w:line="271" w:lineRule="exact"/>
        <w:rPr>
          <w:rFonts w:ascii="宋体" w:hAnsi="宋体" w:eastAsia="宋体" w:cs="宋体"/>
          <w:color w:val="auto"/>
          <w:spacing w:val="3"/>
          <w:position w:val="1"/>
          <w:sz w:val="20"/>
          <w:szCs w:val="20"/>
        </w:rPr>
      </w:pPr>
    </w:p>
    <w:p w14:paraId="53F1F013">
      <w:pPr>
        <w:spacing w:before="235" w:line="271" w:lineRule="exact"/>
        <w:rPr>
          <w:rFonts w:ascii="宋体" w:hAnsi="宋体" w:eastAsia="宋体" w:cs="宋体"/>
          <w:color w:val="auto"/>
          <w:spacing w:val="3"/>
          <w:position w:val="1"/>
          <w:sz w:val="20"/>
          <w:szCs w:val="20"/>
        </w:rPr>
      </w:pPr>
    </w:p>
    <w:p w14:paraId="40017B5D">
      <w:pPr>
        <w:spacing w:before="235" w:line="271" w:lineRule="exact"/>
        <w:rPr>
          <w:rFonts w:ascii="宋体" w:hAnsi="宋体" w:eastAsia="宋体" w:cs="宋体"/>
          <w:color w:val="auto"/>
          <w:spacing w:val="3"/>
          <w:position w:val="1"/>
          <w:sz w:val="20"/>
          <w:szCs w:val="20"/>
        </w:rPr>
      </w:pPr>
    </w:p>
    <w:p w14:paraId="7294BAD1">
      <w:pPr>
        <w:spacing w:before="235" w:line="271" w:lineRule="exact"/>
        <w:rPr>
          <w:rFonts w:ascii="宋体" w:hAnsi="宋体" w:eastAsia="宋体" w:cs="宋体"/>
          <w:color w:val="auto"/>
          <w:spacing w:val="3"/>
          <w:position w:val="1"/>
          <w:sz w:val="20"/>
          <w:szCs w:val="20"/>
        </w:rPr>
      </w:pPr>
    </w:p>
    <w:p w14:paraId="31C546A5">
      <w:pPr>
        <w:spacing w:line="281" w:lineRule="auto"/>
        <w:rPr>
          <w:rFonts w:ascii="Arial"/>
          <w:color w:val="auto"/>
          <w:sz w:val="21"/>
        </w:rPr>
      </w:pPr>
    </w:p>
    <w:p w14:paraId="616EF155">
      <w:pPr>
        <w:spacing w:line="282" w:lineRule="auto"/>
        <w:rPr>
          <w:rFonts w:ascii="Arial"/>
          <w:color w:val="auto"/>
          <w:sz w:val="21"/>
        </w:rPr>
      </w:pPr>
    </w:p>
    <w:p w14:paraId="4ABEDDB9">
      <w:pPr>
        <w:spacing w:line="282" w:lineRule="auto"/>
        <w:rPr>
          <w:rFonts w:ascii="Arial"/>
          <w:color w:val="auto"/>
          <w:sz w:val="21"/>
        </w:rPr>
      </w:pPr>
    </w:p>
    <w:p w14:paraId="1624198B">
      <w:pPr>
        <w:spacing w:line="282" w:lineRule="auto"/>
        <w:rPr>
          <w:rFonts w:ascii="Arial"/>
          <w:color w:val="auto"/>
          <w:sz w:val="21"/>
        </w:rPr>
      </w:pPr>
    </w:p>
    <w:p w14:paraId="183590B0">
      <w:pPr>
        <w:spacing w:line="282" w:lineRule="auto"/>
        <w:rPr>
          <w:rFonts w:ascii="Arial"/>
          <w:color w:val="auto"/>
          <w:sz w:val="21"/>
        </w:rPr>
      </w:pPr>
    </w:p>
    <w:p w14:paraId="00E03457">
      <w:pPr>
        <w:spacing w:line="282" w:lineRule="auto"/>
        <w:rPr>
          <w:rFonts w:ascii="Arial"/>
          <w:color w:val="auto"/>
          <w:sz w:val="21"/>
        </w:rPr>
      </w:pPr>
    </w:p>
    <w:p w14:paraId="698B9A12">
      <w:pPr>
        <w:spacing w:line="282" w:lineRule="auto"/>
        <w:rPr>
          <w:rFonts w:ascii="Arial"/>
          <w:color w:val="auto"/>
          <w:sz w:val="21"/>
        </w:rPr>
      </w:pPr>
    </w:p>
    <w:p w14:paraId="57F696BE">
      <w:pPr>
        <w:spacing w:line="282" w:lineRule="auto"/>
        <w:rPr>
          <w:rFonts w:ascii="Arial"/>
          <w:color w:val="auto"/>
          <w:sz w:val="21"/>
        </w:rPr>
      </w:pPr>
    </w:p>
    <w:p w14:paraId="5C59A967">
      <w:pPr>
        <w:spacing w:line="282" w:lineRule="auto"/>
        <w:rPr>
          <w:rFonts w:ascii="Arial"/>
          <w:color w:val="auto"/>
          <w:sz w:val="21"/>
        </w:rPr>
      </w:pPr>
    </w:p>
    <w:p w14:paraId="6E185A4D">
      <w:pPr>
        <w:spacing w:line="282" w:lineRule="auto"/>
        <w:rPr>
          <w:rFonts w:ascii="Arial"/>
          <w:color w:val="auto"/>
          <w:sz w:val="21"/>
        </w:rPr>
      </w:pPr>
    </w:p>
    <w:p w14:paraId="410F76F8">
      <w:pPr>
        <w:spacing w:line="282" w:lineRule="auto"/>
        <w:rPr>
          <w:rFonts w:ascii="Arial"/>
          <w:color w:val="auto"/>
          <w:sz w:val="21"/>
        </w:rPr>
      </w:pPr>
    </w:p>
    <w:p w14:paraId="1ADAF773">
      <w:pPr>
        <w:spacing w:line="282" w:lineRule="auto"/>
        <w:rPr>
          <w:rFonts w:ascii="Arial"/>
          <w:color w:val="auto"/>
          <w:sz w:val="21"/>
        </w:rPr>
      </w:pPr>
    </w:p>
    <w:p w14:paraId="5CB80506">
      <w:pPr>
        <w:spacing w:line="282" w:lineRule="auto"/>
        <w:rPr>
          <w:rFonts w:ascii="Arial"/>
          <w:color w:val="auto"/>
          <w:sz w:val="21"/>
        </w:rPr>
      </w:pPr>
    </w:p>
    <w:p w14:paraId="33AC2D34">
      <w:pPr>
        <w:spacing w:line="282" w:lineRule="auto"/>
        <w:rPr>
          <w:rFonts w:ascii="Arial"/>
          <w:color w:val="auto"/>
          <w:sz w:val="21"/>
        </w:rPr>
      </w:pPr>
    </w:p>
    <w:p w14:paraId="12833EFA">
      <w:pPr>
        <w:spacing w:line="282" w:lineRule="auto"/>
        <w:rPr>
          <w:rFonts w:ascii="Arial"/>
          <w:color w:val="auto"/>
          <w:sz w:val="21"/>
        </w:rPr>
      </w:pPr>
    </w:p>
    <w:p w14:paraId="2005828B">
      <w:pPr>
        <w:spacing w:line="282" w:lineRule="auto"/>
        <w:rPr>
          <w:rFonts w:ascii="Arial"/>
          <w:color w:val="auto"/>
          <w:sz w:val="21"/>
        </w:rPr>
      </w:pPr>
    </w:p>
    <w:p w14:paraId="30F46F79">
      <w:pPr>
        <w:spacing w:line="282" w:lineRule="auto"/>
        <w:rPr>
          <w:rFonts w:ascii="Arial"/>
          <w:color w:val="auto"/>
          <w:sz w:val="21"/>
        </w:rPr>
      </w:pPr>
    </w:p>
    <w:p w14:paraId="20EF4469">
      <w:pPr>
        <w:spacing w:line="282" w:lineRule="auto"/>
        <w:rPr>
          <w:rFonts w:ascii="Arial"/>
          <w:color w:val="auto"/>
          <w:sz w:val="21"/>
        </w:rPr>
      </w:pPr>
    </w:p>
    <w:p w14:paraId="7AA7D699">
      <w:pPr>
        <w:spacing w:line="282" w:lineRule="auto"/>
        <w:rPr>
          <w:rFonts w:ascii="Arial"/>
          <w:color w:val="auto"/>
          <w:sz w:val="21"/>
        </w:rPr>
      </w:pPr>
    </w:p>
    <w:p w14:paraId="49F888D2">
      <w:pPr>
        <w:spacing w:line="282" w:lineRule="auto"/>
        <w:rPr>
          <w:rFonts w:ascii="Arial"/>
          <w:color w:val="auto"/>
          <w:sz w:val="21"/>
        </w:rPr>
      </w:pPr>
    </w:p>
    <w:p w14:paraId="5A646EC5">
      <w:pPr>
        <w:spacing w:line="282" w:lineRule="auto"/>
        <w:rPr>
          <w:rFonts w:ascii="Arial"/>
          <w:color w:val="auto"/>
          <w:sz w:val="21"/>
        </w:rPr>
      </w:pPr>
    </w:p>
    <w:p w14:paraId="60B95069">
      <w:pPr>
        <w:spacing w:line="282" w:lineRule="auto"/>
        <w:rPr>
          <w:rFonts w:ascii="Arial"/>
          <w:color w:val="auto"/>
          <w:sz w:val="21"/>
        </w:rPr>
      </w:pPr>
    </w:p>
    <w:p w14:paraId="48320141">
      <w:pPr>
        <w:spacing w:line="282" w:lineRule="auto"/>
        <w:rPr>
          <w:rFonts w:ascii="Arial"/>
          <w:color w:val="auto"/>
          <w:sz w:val="21"/>
        </w:rPr>
      </w:pPr>
    </w:p>
    <w:p w14:paraId="6C156416">
      <w:pPr>
        <w:spacing w:line="282" w:lineRule="auto"/>
        <w:rPr>
          <w:rFonts w:ascii="Arial"/>
          <w:color w:val="auto"/>
          <w:sz w:val="21"/>
        </w:rPr>
      </w:pPr>
    </w:p>
    <w:p w14:paraId="3EDA2C78">
      <w:pPr>
        <w:spacing w:line="282" w:lineRule="auto"/>
        <w:rPr>
          <w:rFonts w:ascii="Arial"/>
          <w:color w:val="auto"/>
          <w:sz w:val="21"/>
        </w:rPr>
      </w:pPr>
    </w:p>
    <w:p w14:paraId="56940B8A">
      <w:pPr>
        <w:spacing w:line="282" w:lineRule="auto"/>
        <w:rPr>
          <w:rFonts w:ascii="Arial"/>
          <w:color w:val="auto"/>
          <w:sz w:val="21"/>
        </w:rPr>
      </w:pPr>
    </w:p>
    <w:p w14:paraId="560A0588">
      <w:pPr>
        <w:spacing w:line="282" w:lineRule="auto"/>
        <w:rPr>
          <w:rFonts w:ascii="Arial"/>
          <w:color w:val="auto"/>
          <w:sz w:val="21"/>
        </w:rPr>
      </w:pPr>
    </w:p>
    <w:p w14:paraId="42A0C918">
      <w:pPr>
        <w:spacing w:line="282" w:lineRule="auto"/>
        <w:rPr>
          <w:rFonts w:ascii="Arial"/>
          <w:color w:val="auto"/>
          <w:sz w:val="21"/>
        </w:rPr>
      </w:pPr>
    </w:p>
    <w:p w14:paraId="1045887A">
      <w:pPr>
        <w:spacing w:line="282" w:lineRule="auto"/>
        <w:rPr>
          <w:rFonts w:ascii="Arial"/>
          <w:color w:val="auto"/>
          <w:sz w:val="21"/>
        </w:rPr>
      </w:pPr>
    </w:p>
    <w:p w14:paraId="2B233E64">
      <w:pPr>
        <w:spacing w:line="282" w:lineRule="auto"/>
        <w:rPr>
          <w:rFonts w:ascii="Arial"/>
          <w:color w:val="auto"/>
          <w:sz w:val="21"/>
        </w:rPr>
      </w:pPr>
    </w:p>
    <w:p w14:paraId="157DF4DF">
      <w:pPr>
        <w:spacing w:line="282" w:lineRule="auto"/>
        <w:rPr>
          <w:rFonts w:ascii="Arial"/>
          <w:color w:val="auto"/>
          <w:sz w:val="21"/>
        </w:rPr>
      </w:pPr>
    </w:p>
    <w:p w14:paraId="06143462">
      <w:pPr>
        <w:spacing w:line="282" w:lineRule="auto"/>
        <w:rPr>
          <w:rFonts w:ascii="Arial"/>
          <w:color w:val="auto"/>
          <w:sz w:val="21"/>
        </w:rPr>
      </w:pPr>
    </w:p>
    <w:p w14:paraId="04CF77FD">
      <w:pPr>
        <w:spacing w:line="253" w:lineRule="auto"/>
        <w:rPr>
          <w:rFonts w:ascii="Arial"/>
          <w:color w:val="auto"/>
          <w:sz w:val="21"/>
        </w:rPr>
      </w:pPr>
    </w:p>
    <w:p w14:paraId="51E7BD6E">
      <w:pPr>
        <w:spacing w:line="253" w:lineRule="auto"/>
        <w:rPr>
          <w:rFonts w:ascii="Arial"/>
          <w:color w:val="auto"/>
          <w:sz w:val="21"/>
        </w:rPr>
      </w:pPr>
    </w:p>
    <w:p w14:paraId="3D80C70F">
      <w:pPr>
        <w:spacing w:line="253" w:lineRule="auto"/>
        <w:rPr>
          <w:rFonts w:ascii="Arial"/>
          <w:color w:val="auto"/>
          <w:sz w:val="21"/>
        </w:rPr>
      </w:pPr>
    </w:p>
    <w:p w14:paraId="2781259B">
      <w:pPr>
        <w:spacing w:line="253" w:lineRule="auto"/>
        <w:rPr>
          <w:rFonts w:ascii="Arial"/>
          <w:color w:val="auto"/>
          <w:sz w:val="21"/>
        </w:rPr>
      </w:pPr>
    </w:p>
    <w:p w14:paraId="0FE6A2F0">
      <w:pPr>
        <w:spacing w:before="101" w:line="225" w:lineRule="auto"/>
        <w:ind w:left="2496"/>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hint="eastAsia" w:ascii="宋体" w:hAnsi="宋体" w:eastAsia="宋体" w:cs="宋体"/>
          <w:color w:val="auto"/>
          <w:spacing w:val="10"/>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color w:val="auto"/>
          <w:spacing w:val="10"/>
          <w:sz w:val="31"/>
          <w:szCs w:val="31"/>
          <w14:textOutline w14:w="5793" w14:cap="sq" w14:cmpd="sng">
            <w14:solidFill>
              <w14:srgbClr w14:val="000000"/>
            </w14:solidFill>
            <w14:prstDash w14:val="solid"/>
            <w14:bevel/>
          </w14:textOutline>
        </w:rPr>
        <w:t>章、磋商响应文件格式</w:t>
      </w:r>
    </w:p>
    <w:p w14:paraId="460C160F">
      <w:pPr>
        <w:spacing w:line="344" w:lineRule="auto"/>
        <w:rPr>
          <w:rFonts w:ascii="Arial"/>
          <w:color w:val="auto"/>
          <w:sz w:val="21"/>
        </w:rPr>
      </w:pPr>
    </w:p>
    <w:p w14:paraId="2DAD1AD9">
      <w:pPr>
        <w:spacing w:before="94" w:line="495" w:lineRule="exact"/>
        <w:rPr>
          <w:rFonts w:ascii="宋体" w:hAnsi="宋体" w:eastAsia="宋体" w:cs="宋体"/>
          <w:color w:val="auto"/>
          <w:sz w:val="29"/>
          <w:szCs w:val="29"/>
        </w:rPr>
      </w:pPr>
      <w:r>
        <w:rPr>
          <w:rFonts w:ascii="宋体" w:hAnsi="宋体" w:eastAsia="宋体" w:cs="宋体"/>
          <w:color w:val="auto"/>
          <w:spacing w:val="12"/>
          <w:position w:val="2"/>
          <w:sz w:val="29"/>
          <w:szCs w:val="29"/>
          <w14:textOutline w14:w="5448" w14:cap="sq" w14:cmpd="sng">
            <w14:solidFill>
              <w14:srgbClr w14:val="000000"/>
            </w14:solidFill>
            <w14:prstDash w14:val="solid"/>
            <w14:bevel/>
          </w14:textOutline>
        </w:rPr>
        <w:t>一</w:t>
      </w:r>
      <w:r>
        <w:rPr>
          <w:rFonts w:ascii="宋体" w:hAnsi="宋体" w:eastAsia="宋体" w:cs="宋体"/>
          <w:color w:val="auto"/>
          <w:spacing w:val="8"/>
          <w:position w:val="2"/>
          <w:sz w:val="29"/>
          <w:szCs w:val="29"/>
          <w14:textOutline w14:w="5448" w14:cap="sq" w14:cmpd="sng">
            <w14:solidFill>
              <w14:srgbClr w14:val="000000"/>
            </w14:solidFill>
            <w14:prstDash w14:val="solid"/>
            <w14:bevel/>
          </w14:textOutline>
        </w:rPr>
        <w:t>、投标函格式</w:t>
      </w:r>
    </w:p>
    <w:p w14:paraId="31DEC946">
      <w:pPr>
        <w:spacing w:line="250" w:lineRule="auto"/>
        <w:rPr>
          <w:rFonts w:ascii="Arial"/>
          <w:color w:val="auto"/>
          <w:sz w:val="21"/>
        </w:rPr>
      </w:pPr>
    </w:p>
    <w:p w14:paraId="3D7A66EA">
      <w:pPr>
        <w:spacing w:line="250" w:lineRule="auto"/>
        <w:rPr>
          <w:rFonts w:ascii="Arial"/>
          <w:color w:val="auto"/>
          <w:sz w:val="21"/>
        </w:rPr>
      </w:pPr>
    </w:p>
    <w:p w14:paraId="70DBACCA">
      <w:pPr>
        <w:spacing w:line="251" w:lineRule="auto"/>
        <w:rPr>
          <w:rFonts w:ascii="Arial"/>
          <w:color w:val="auto"/>
          <w:sz w:val="21"/>
        </w:rPr>
      </w:pPr>
    </w:p>
    <w:p w14:paraId="55BF448C">
      <w:pPr>
        <w:spacing w:line="251" w:lineRule="auto"/>
        <w:rPr>
          <w:rFonts w:ascii="Arial"/>
          <w:color w:val="auto"/>
          <w:sz w:val="21"/>
        </w:rPr>
      </w:pPr>
    </w:p>
    <w:p w14:paraId="587D6A6C">
      <w:pPr>
        <w:tabs>
          <w:tab w:val="left" w:pos="3427"/>
        </w:tabs>
        <w:spacing w:before="65" w:line="228" w:lineRule="auto"/>
        <w:ind w:left="2049"/>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u w:val="single" w:color="auto"/>
        </w:rPr>
        <w:t xml:space="preserve">(项目名称)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施工招标</w:t>
      </w:r>
    </w:p>
    <w:p w14:paraId="0EFA373D">
      <w:pPr>
        <w:spacing w:line="242" w:lineRule="auto"/>
        <w:rPr>
          <w:rFonts w:ascii="Arial"/>
          <w:color w:val="auto"/>
          <w:sz w:val="21"/>
        </w:rPr>
      </w:pPr>
    </w:p>
    <w:p w14:paraId="4BC65394">
      <w:pPr>
        <w:spacing w:line="243" w:lineRule="auto"/>
        <w:rPr>
          <w:rFonts w:ascii="Arial"/>
          <w:color w:val="auto"/>
          <w:sz w:val="21"/>
        </w:rPr>
      </w:pPr>
    </w:p>
    <w:p w14:paraId="6151889F">
      <w:pPr>
        <w:spacing w:before="94" w:line="226" w:lineRule="auto"/>
        <w:ind w:left="3090"/>
        <w:rPr>
          <w:rFonts w:ascii="宋体" w:hAnsi="宋体" w:eastAsia="宋体" w:cs="宋体"/>
          <w:color w:val="auto"/>
          <w:sz w:val="29"/>
          <w:szCs w:val="29"/>
        </w:rPr>
      </w:pPr>
      <w:r>
        <w:rPr>
          <w:rFonts w:ascii="宋体" w:hAnsi="宋体" w:eastAsia="宋体" w:cs="宋体"/>
          <w:color w:val="auto"/>
          <w:spacing w:val="13"/>
          <w:sz w:val="29"/>
          <w:szCs w:val="29"/>
          <w14:textOutline w14:w="5448" w14:cap="sq" w14:cmpd="sng">
            <w14:solidFill>
              <w14:srgbClr w14:val="000000"/>
            </w14:solidFill>
            <w14:prstDash w14:val="solid"/>
            <w14:bevel/>
          </w14:textOutline>
        </w:rPr>
        <w:t>磋</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商</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响</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应</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文</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件</w:t>
      </w:r>
    </w:p>
    <w:p w14:paraId="198E413E">
      <w:pPr>
        <w:spacing w:line="246" w:lineRule="auto"/>
        <w:rPr>
          <w:rFonts w:ascii="Arial"/>
          <w:color w:val="auto"/>
          <w:sz w:val="21"/>
        </w:rPr>
      </w:pPr>
    </w:p>
    <w:p w14:paraId="5D5410B0">
      <w:pPr>
        <w:spacing w:line="246" w:lineRule="auto"/>
        <w:rPr>
          <w:rFonts w:ascii="Arial"/>
          <w:color w:val="auto"/>
          <w:sz w:val="21"/>
        </w:rPr>
      </w:pPr>
    </w:p>
    <w:p w14:paraId="2621AF2A">
      <w:pPr>
        <w:spacing w:line="246" w:lineRule="auto"/>
        <w:rPr>
          <w:rFonts w:ascii="Arial"/>
          <w:color w:val="auto"/>
          <w:sz w:val="21"/>
        </w:rPr>
      </w:pPr>
    </w:p>
    <w:p w14:paraId="4EFB7E58">
      <w:pPr>
        <w:spacing w:line="246" w:lineRule="auto"/>
        <w:rPr>
          <w:rFonts w:ascii="Arial"/>
          <w:color w:val="auto"/>
          <w:sz w:val="21"/>
        </w:rPr>
      </w:pPr>
    </w:p>
    <w:p w14:paraId="519B5F41">
      <w:pPr>
        <w:spacing w:line="246" w:lineRule="auto"/>
        <w:rPr>
          <w:rFonts w:ascii="Arial"/>
          <w:color w:val="auto"/>
          <w:sz w:val="21"/>
        </w:rPr>
      </w:pPr>
    </w:p>
    <w:p w14:paraId="516C0780">
      <w:pPr>
        <w:spacing w:line="246" w:lineRule="auto"/>
        <w:rPr>
          <w:rFonts w:ascii="Arial"/>
          <w:color w:val="auto"/>
          <w:sz w:val="21"/>
        </w:rPr>
      </w:pPr>
    </w:p>
    <w:p w14:paraId="22AF73D7">
      <w:pPr>
        <w:spacing w:line="246" w:lineRule="auto"/>
        <w:rPr>
          <w:rFonts w:ascii="Arial"/>
          <w:color w:val="auto"/>
          <w:sz w:val="21"/>
        </w:rPr>
      </w:pPr>
    </w:p>
    <w:p w14:paraId="72E87970">
      <w:pPr>
        <w:spacing w:line="247" w:lineRule="auto"/>
        <w:rPr>
          <w:rFonts w:ascii="Arial"/>
          <w:color w:val="auto"/>
          <w:sz w:val="21"/>
        </w:rPr>
      </w:pPr>
    </w:p>
    <w:p w14:paraId="386C5052">
      <w:pPr>
        <w:spacing w:line="247" w:lineRule="auto"/>
        <w:rPr>
          <w:rFonts w:ascii="Arial"/>
          <w:color w:val="auto"/>
          <w:sz w:val="21"/>
        </w:rPr>
      </w:pPr>
    </w:p>
    <w:p w14:paraId="01BE81E6">
      <w:pPr>
        <w:spacing w:line="247" w:lineRule="auto"/>
        <w:rPr>
          <w:rFonts w:ascii="Arial"/>
          <w:color w:val="auto"/>
          <w:sz w:val="21"/>
        </w:rPr>
      </w:pPr>
    </w:p>
    <w:p w14:paraId="5F15712A">
      <w:pPr>
        <w:spacing w:line="247" w:lineRule="auto"/>
        <w:rPr>
          <w:rFonts w:ascii="Arial"/>
          <w:color w:val="auto"/>
          <w:sz w:val="21"/>
        </w:rPr>
      </w:pPr>
    </w:p>
    <w:p w14:paraId="14673633">
      <w:pPr>
        <w:spacing w:line="247" w:lineRule="auto"/>
        <w:rPr>
          <w:rFonts w:ascii="Arial"/>
          <w:color w:val="auto"/>
          <w:sz w:val="21"/>
        </w:rPr>
      </w:pPr>
    </w:p>
    <w:p w14:paraId="359B2A23">
      <w:pPr>
        <w:spacing w:line="247" w:lineRule="auto"/>
        <w:rPr>
          <w:rFonts w:ascii="Arial"/>
          <w:color w:val="auto"/>
          <w:sz w:val="21"/>
        </w:rPr>
      </w:pPr>
    </w:p>
    <w:p w14:paraId="78938980">
      <w:pPr>
        <w:spacing w:before="65" w:line="501" w:lineRule="auto"/>
        <w:ind w:left="1430" w:right="1456" w:firstLine="316"/>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(盖单</w:t>
      </w:r>
      <w:r>
        <w:rPr>
          <w:rFonts w:ascii="宋体" w:hAnsi="宋体" w:eastAsia="宋体" w:cs="宋体"/>
          <w:color w:val="auto"/>
          <w:spacing w:val="-1"/>
          <w:sz w:val="20"/>
          <w:szCs w:val="20"/>
        </w:rPr>
        <w:t>位</w:t>
      </w:r>
      <w:r>
        <w:rPr>
          <w:rFonts w:ascii="宋体" w:hAnsi="宋体" w:eastAsia="宋体" w:cs="宋体"/>
          <w:color w:val="auto"/>
          <w:sz w:val="20"/>
          <w:szCs w:val="20"/>
        </w:rPr>
        <w:t xml:space="preserve">章)    </w:t>
      </w:r>
      <w:r>
        <w:rPr>
          <w:rFonts w:ascii="宋体" w:hAnsi="宋体" w:eastAsia="宋体" w:cs="宋体"/>
          <w:color w:val="auto"/>
          <w:spacing w:val="2"/>
          <w:sz w:val="20"/>
          <w:szCs w:val="20"/>
        </w:rPr>
        <w:t>法定代表人或其委托代理</w:t>
      </w:r>
      <w:r>
        <w:rPr>
          <w:rFonts w:ascii="宋体" w:hAnsi="宋体" w:eastAsia="宋体" w:cs="宋体"/>
          <w:color w:val="auto"/>
          <w:spacing w:val="1"/>
          <w:sz w:val="20"/>
          <w:szCs w:val="20"/>
        </w:rPr>
        <w:t>人：</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(签字或盖章)</w:t>
      </w:r>
    </w:p>
    <w:p w14:paraId="19CFD964">
      <w:pPr>
        <w:tabs>
          <w:tab w:val="left" w:pos="3632"/>
        </w:tabs>
        <w:spacing w:before="275" w:line="228" w:lineRule="auto"/>
        <w:ind w:left="2783"/>
        <w:rPr>
          <w:rFonts w:hint="eastAsia" w:eastAsia="宋体"/>
          <w:color w:val="auto"/>
          <w:lang w:val="en-US" w:eastAsia="zh-CN"/>
        </w:rPr>
        <w:sectPr>
          <w:footerReference r:id="rId10" w:type="default"/>
          <w:pgSz w:w="11906" w:h="16839"/>
          <w:pgMar w:top="400" w:right="1532" w:bottom="1156" w:left="1636" w:header="0" w:footer="996" w:gutter="0"/>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w:t>
      </w:r>
      <w:r>
        <w:rPr>
          <w:rFonts w:hint="eastAsia" w:ascii="宋体" w:hAnsi="宋体" w:eastAsia="宋体" w:cs="宋体"/>
          <w:color w:val="auto"/>
          <w:spacing w:val="1"/>
          <w:sz w:val="20"/>
          <w:szCs w:val="20"/>
          <w:lang w:val="en-US" w:eastAsia="zh-CN"/>
        </w:rPr>
        <w:t>日</w:t>
      </w:r>
    </w:p>
    <w:p w14:paraId="511D4541">
      <w:pPr>
        <w:spacing w:before="65" w:line="231" w:lineRule="auto"/>
        <w:jc w:val="center"/>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目    </w:t>
      </w:r>
      <w:r>
        <w:rPr>
          <w:rFonts w:ascii="宋体" w:hAnsi="宋体" w:eastAsia="宋体" w:cs="宋体"/>
          <w:color w:val="auto"/>
          <w:spacing w:val="-1"/>
          <w:sz w:val="20"/>
          <w:szCs w:val="20"/>
        </w:rPr>
        <w:t>录</w:t>
      </w:r>
    </w:p>
    <w:p w14:paraId="787C8DEF">
      <w:pPr>
        <w:spacing w:before="230" w:line="271" w:lineRule="exact"/>
        <w:ind w:left="21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2CAD9122">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6497F9EB">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4628A922">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40BE1BC4">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1F42C15A">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0AF7CB34">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4D939835">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244CB9B6">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5A4D8307">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4A9685B4">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26C0F070">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6F765FE1">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214E3C0E">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236B401D">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7CD86138">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5CAB6F94">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420B0C83">
      <w:pPr>
        <w:spacing w:before="175" w:line="269" w:lineRule="exact"/>
        <w:ind w:firstLine="436" w:firstLineChars="200"/>
        <w:rPr>
          <w:rFonts w:ascii="宋体" w:hAnsi="宋体" w:eastAsia="宋体" w:cs="宋体"/>
          <w:color w:val="auto"/>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7CC366B9">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884B90A">
      <w:pPr>
        <w:spacing w:before="83" w:line="228" w:lineRule="auto"/>
        <w:ind w:left="203"/>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技</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术标包括以下内容：</w:t>
      </w:r>
    </w:p>
    <w:p w14:paraId="5AAEDB08">
      <w:pPr>
        <w:spacing w:before="161"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Times New Roman" w:hAnsi="Times New Roman" w:eastAsia="Times New Roman" w:cs="Times New Roman"/>
          <w:color w:val="auto"/>
          <w:spacing w:val="6"/>
          <w:position w:val="15"/>
          <w:sz w:val="20"/>
          <w:szCs w:val="20"/>
          <w:lang w:val="en-US" w:eastAsia="en-US"/>
        </w:rPr>
        <w:t>内容完整性和编制水平</w:t>
      </w:r>
    </w:p>
    <w:p w14:paraId="11F4C1CB">
      <w:pPr>
        <w:spacing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施工方案与技术措施</w:t>
      </w:r>
    </w:p>
    <w:p w14:paraId="20EE2EDE">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质量管理体系与措施</w:t>
      </w:r>
    </w:p>
    <w:p w14:paraId="13621B2A">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kern w:val="0"/>
          <w:sz w:val="21"/>
          <w:szCs w:val="24"/>
          <w:lang w:val="en-US" w:eastAsia="en-US" w:bidi="ar-SA"/>
        </w:rPr>
        <w:t>安全管理体系与措施</w:t>
      </w:r>
    </w:p>
    <w:p w14:paraId="1937A380">
      <w:pPr>
        <w:spacing w:before="161" w:line="228" w:lineRule="auto"/>
        <w:ind w:left="62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ascii="宋体" w:hAnsi="宋体" w:eastAsia="宋体" w:cs="宋体"/>
          <w:kern w:val="0"/>
          <w:sz w:val="21"/>
          <w:szCs w:val="24"/>
          <w:lang w:val="en-US" w:eastAsia="en-US" w:bidi="ar-SA"/>
        </w:rPr>
        <w:t>环境保护管理体系与措施</w:t>
      </w:r>
    </w:p>
    <w:p w14:paraId="558CF585">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kern w:val="0"/>
          <w:sz w:val="21"/>
          <w:szCs w:val="24"/>
          <w:lang w:val="en-US" w:eastAsia="en-US" w:bidi="ar-SA"/>
        </w:rPr>
        <w:t>工程进度计划与措施</w:t>
      </w:r>
    </w:p>
    <w:p w14:paraId="76F3CC7C">
      <w:pPr>
        <w:spacing w:before="161" w:line="229" w:lineRule="auto"/>
        <w:ind w:left="621"/>
        <w:rPr>
          <w:rFonts w:ascii="宋体" w:hAnsi="宋体" w:eastAsia="宋体" w:cs="宋体"/>
          <w:color w:val="auto"/>
          <w:sz w:val="20"/>
          <w:szCs w:val="20"/>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ascii="宋体" w:hAnsi="宋体" w:eastAsia="宋体" w:cs="宋体"/>
          <w:kern w:val="0"/>
          <w:sz w:val="21"/>
          <w:szCs w:val="24"/>
          <w:lang w:val="en-US" w:eastAsia="en-US" w:bidi="ar-SA"/>
        </w:rPr>
        <w:t>资源配备计划</w:t>
      </w:r>
    </w:p>
    <w:p w14:paraId="33EFDE69">
      <w:pPr>
        <w:rPr>
          <w:color w:val="auto"/>
        </w:rPr>
        <w:sectPr>
          <w:footerReference r:id="rId11" w:type="default"/>
          <w:pgSz w:w="11906" w:h="16839"/>
          <w:pgMar w:top="400" w:right="1532" w:bottom="1156" w:left="1785" w:header="1134" w:footer="996" w:gutter="0"/>
          <w:cols w:space="720" w:num="1"/>
        </w:sectPr>
      </w:pPr>
    </w:p>
    <w:p w14:paraId="044BFBF5">
      <w:pPr>
        <w:spacing w:before="65" w:line="271" w:lineRule="exact"/>
        <w:ind w:left="23"/>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、投标函及投标函附录</w:t>
      </w:r>
    </w:p>
    <w:p w14:paraId="791ACF5F">
      <w:pPr>
        <w:spacing w:line="250" w:lineRule="auto"/>
        <w:rPr>
          <w:rFonts w:ascii="Arial"/>
          <w:color w:val="auto"/>
          <w:sz w:val="21"/>
        </w:rPr>
      </w:pPr>
    </w:p>
    <w:p w14:paraId="137A3E2E">
      <w:pPr>
        <w:spacing w:line="251" w:lineRule="auto"/>
        <w:rPr>
          <w:rFonts w:ascii="Arial"/>
          <w:color w:val="auto"/>
          <w:sz w:val="21"/>
        </w:rPr>
      </w:pPr>
    </w:p>
    <w:p w14:paraId="08EEE3F6">
      <w:pPr>
        <w:spacing w:before="65" w:line="229" w:lineRule="auto"/>
        <w:ind w:left="3764"/>
        <w:outlineLvl w:val="2"/>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74C4E873">
      <w:pPr>
        <w:spacing w:line="277" w:lineRule="auto"/>
        <w:rPr>
          <w:rFonts w:ascii="Arial"/>
          <w:color w:val="auto"/>
          <w:sz w:val="21"/>
        </w:rPr>
      </w:pPr>
    </w:p>
    <w:p w14:paraId="5EB25842">
      <w:pPr>
        <w:spacing w:line="277" w:lineRule="auto"/>
        <w:rPr>
          <w:rFonts w:ascii="Arial"/>
          <w:color w:val="auto"/>
          <w:sz w:val="21"/>
        </w:rPr>
      </w:pPr>
    </w:p>
    <w:p w14:paraId="05AD50AD">
      <w:pPr>
        <w:tabs>
          <w:tab w:val="left" w:pos="2637"/>
        </w:tabs>
        <w:spacing w:before="65" w:line="229"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0"/>
          <w:sz w:val="20"/>
          <w:szCs w:val="20"/>
        </w:rPr>
        <w:t>(</w:t>
      </w:r>
      <w:r>
        <w:rPr>
          <w:rFonts w:ascii="宋体" w:hAnsi="宋体" w:eastAsia="宋体" w:cs="宋体"/>
          <w:color w:val="auto"/>
          <w:spacing w:val="6"/>
          <w:sz w:val="20"/>
          <w:szCs w:val="20"/>
        </w:rPr>
        <w:t>招</w:t>
      </w:r>
      <w:r>
        <w:rPr>
          <w:rFonts w:ascii="宋体" w:hAnsi="宋体" w:eastAsia="宋体" w:cs="宋体"/>
          <w:color w:val="auto"/>
          <w:spacing w:val="5"/>
          <w:sz w:val="20"/>
          <w:szCs w:val="20"/>
        </w:rPr>
        <w:t>标人名称) ：</w:t>
      </w:r>
    </w:p>
    <w:p w14:paraId="4110BA4A">
      <w:pPr>
        <w:spacing w:line="282" w:lineRule="auto"/>
        <w:rPr>
          <w:rFonts w:ascii="Arial"/>
          <w:color w:val="auto"/>
          <w:sz w:val="21"/>
        </w:rPr>
      </w:pPr>
    </w:p>
    <w:p w14:paraId="79862630">
      <w:pPr>
        <w:spacing w:line="282" w:lineRule="auto"/>
        <w:rPr>
          <w:rFonts w:ascii="Arial"/>
          <w:color w:val="auto"/>
          <w:sz w:val="21"/>
        </w:rPr>
      </w:pPr>
    </w:p>
    <w:p w14:paraId="225ACEEF">
      <w:pPr>
        <w:numPr>
          <w:ilvl w:val="0"/>
          <w:numId w:val="2"/>
        </w:numPr>
        <w:spacing w:before="65" w:line="228" w:lineRule="auto"/>
        <w:ind w:left="443"/>
        <w:rPr>
          <w:rFonts w:ascii="宋体" w:hAnsi="宋体" w:eastAsia="宋体" w:cs="宋体"/>
          <w:color w:val="auto"/>
          <w:sz w:val="20"/>
          <w:szCs w:val="20"/>
        </w:rPr>
      </w:pPr>
      <w:r>
        <w:rPr>
          <w:rFonts w:ascii="宋体" w:hAnsi="宋体" w:eastAsia="宋体" w:cs="宋体"/>
          <w:color w:val="auto"/>
          <w:spacing w:val="10"/>
          <w:sz w:val="20"/>
          <w:szCs w:val="20"/>
        </w:rPr>
        <w:t>我方已仔细研究了</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(项目名称)</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标段施工竞争性磋商文件的全部内</w:t>
      </w:r>
      <w:r>
        <w:rPr>
          <w:rFonts w:ascii="宋体" w:hAnsi="宋体" w:eastAsia="宋体" w:cs="宋体"/>
          <w:color w:val="auto"/>
          <w:spacing w:val="6"/>
          <w:sz w:val="20"/>
          <w:szCs w:val="20"/>
        </w:rPr>
        <w:t>容，愿意以人民币 (大写)</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元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 的投标总报价，工期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日</w:t>
      </w:r>
      <w:r>
        <w:rPr>
          <w:rFonts w:ascii="宋体" w:hAnsi="宋体" w:eastAsia="宋体" w:cs="宋体"/>
          <w:color w:val="auto"/>
          <w:spacing w:val="-42"/>
          <w:sz w:val="20"/>
          <w:szCs w:val="20"/>
        </w:rPr>
        <w:t>历</w:t>
      </w:r>
      <w:r>
        <w:rPr>
          <w:rFonts w:ascii="宋体" w:hAnsi="宋体" w:eastAsia="宋体" w:cs="宋体"/>
          <w:color w:val="auto"/>
          <w:spacing w:val="-31"/>
          <w:sz w:val="20"/>
          <w:szCs w:val="20"/>
        </w:rPr>
        <w:t xml:space="preserve"> </w:t>
      </w:r>
      <w:r>
        <w:rPr>
          <w:rFonts w:ascii="宋体" w:hAnsi="宋体" w:eastAsia="宋体" w:cs="宋体"/>
          <w:color w:val="auto"/>
          <w:spacing w:val="-21"/>
          <w:sz w:val="20"/>
          <w:szCs w:val="20"/>
        </w:rPr>
        <w:t>天 ，  按 合 同 约 定 实 施 和完 成 承 包 工 程 ，  修 补 工 程 中 的 任 何 缺 陷 ，  工 程 质量 达</w:t>
      </w:r>
      <w:r>
        <w:rPr>
          <w:rFonts w:ascii="宋体" w:hAnsi="宋体" w:eastAsia="宋体" w:cs="宋体"/>
          <w:color w:val="auto"/>
          <w:spacing w:val="7"/>
          <w:sz w:val="20"/>
          <w:szCs w:val="20"/>
        </w:rPr>
        <w:t>到</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 xml:space="preserve"> 。</w:t>
      </w:r>
    </w:p>
    <w:p w14:paraId="4AB3D236">
      <w:pPr>
        <w:spacing w:line="270" w:lineRule="exact"/>
        <w:ind w:left="430"/>
        <w:rPr>
          <w:rFonts w:ascii="宋体" w:hAnsi="宋体" w:eastAsia="宋体" w:cs="宋体"/>
          <w:color w:val="auto"/>
          <w:sz w:val="20"/>
          <w:szCs w:val="20"/>
        </w:rPr>
      </w:pPr>
      <w:r>
        <w:rPr>
          <w:rFonts w:ascii="宋体" w:hAnsi="宋体" w:eastAsia="宋体" w:cs="宋体"/>
          <w:color w:val="auto"/>
          <w:spacing w:val="9"/>
          <w:position w:val="1"/>
          <w:sz w:val="20"/>
          <w:szCs w:val="20"/>
        </w:rPr>
        <w:t>2．我方承诺在投标有效期内不修改、撤销磋商响应文件</w:t>
      </w:r>
      <w:r>
        <w:rPr>
          <w:rFonts w:ascii="宋体" w:hAnsi="宋体" w:eastAsia="宋体" w:cs="宋体"/>
          <w:color w:val="auto"/>
          <w:spacing w:val="7"/>
          <w:position w:val="1"/>
          <w:sz w:val="20"/>
          <w:szCs w:val="20"/>
        </w:rPr>
        <w:t>。</w:t>
      </w:r>
    </w:p>
    <w:p w14:paraId="2894F5D4">
      <w:pPr>
        <w:spacing w:before="172" w:line="405" w:lineRule="auto"/>
        <w:ind w:left="18" w:right="2" w:firstLine="414"/>
        <w:rPr>
          <w:rFonts w:ascii="宋体" w:hAnsi="宋体" w:eastAsia="宋体" w:cs="宋体"/>
          <w:color w:val="auto"/>
          <w:sz w:val="20"/>
          <w:szCs w:val="20"/>
        </w:rPr>
      </w:pPr>
      <w:r>
        <w:rPr>
          <w:rFonts w:ascii="宋体" w:hAnsi="宋体" w:eastAsia="宋体" w:cs="宋体"/>
          <w:color w:val="auto"/>
          <w:spacing w:val="-8"/>
          <w:sz w:val="20"/>
          <w:szCs w:val="20"/>
        </w:rPr>
        <w:t>3 ．随同本投标函提交投标保证金证明一份，金额为人民币 (大 写)</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元</w:t>
      </w:r>
      <w:r>
        <w:rPr>
          <w:rFonts w:ascii="宋体" w:hAnsi="宋体" w:eastAsia="宋体" w:cs="宋体"/>
          <w:color w:val="auto"/>
          <w:sz w:val="20"/>
          <w:szCs w:val="20"/>
        </w:rPr>
        <w:t xml:space="preserve"> </w:t>
      </w:r>
      <w:r>
        <w:rPr>
          <w:rFonts w:ascii="宋体" w:hAnsi="宋体" w:eastAsia="宋体" w:cs="宋体"/>
          <w:color w:val="auto"/>
          <w:spacing w:val="19"/>
          <w:sz w:val="20"/>
          <w:szCs w:val="20"/>
        </w:rPr>
        <w:t>(</w:t>
      </w:r>
      <w:r>
        <w:rPr>
          <w:rFonts w:ascii="宋体" w:hAnsi="宋体" w:eastAsia="宋体" w:cs="宋体"/>
          <w:color w:val="auto"/>
          <w:spacing w:val="11"/>
          <w:sz w:val="20"/>
          <w:szCs w:val="20"/>
        </w:rPr>
        <w:t>¥</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11"/>
          <w:sz w:val="20"/>
          <w:szCs w:val="20"/>
        </w:rPr>
        <w:t>) 。</w:t>
      </w:r>
    </w:p>
    <w:p w14:paraId="26FB1B65">
      <w:pPr>
        <w:spacing w:line="271" w:lineRule="exact"/>
        <w:ind w:left="427"/>
        <w:rPr>
          <w:rFonts w:ascii="宋体" w:hAnsi="宋体" w:eastAsia="宋体" w:cs="宋体"/>
          <w:color w:val="auto"/>
          <w:sz w:val="20"/>
          <w:szCs w:val="20"/>
        </w:rPr>
      </w:pPr>
      <w:r>
        <w:rPr>
          <w:rFonts w:ascii="宋体" w:hAnsi="宋体" w:eastAsia="宋体" w:cs="宋体"/>
          <w:color w:val="auto"/>
          <w:spacing w:val="7"/>
          <w:position w:val="1"/>
          <w:sz w:val="20"/>
          <w:szCs w:val="20"/>
        </w:rPr>
        <w:t>4．如我方中标：</w:t>
      </w:r>
    </w:p>
    <w:p w14:paraId="3C63D30D">
      <w:pPr>
        <w:spacing w:before="170" w:line="227" w:lineRule="auto"/>
        <w:ind w:left="73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1</w:t>
      </w:r>
      <w:r>
        <w:rPr>
          <w:rFonts w:ascii="宋体" w:hAnsi="宋体" w:eastAsia="宋体" w:cs="宋体"/>
          <w:color w:val="auto"/>
          <w:spacing w:val="11"/>
          <w:sz w:val="20"/>
          <w:szCs w:val="20"/>
        </w:rPr>
        <w:t>) 我方承诺在收到中标通知书后，在中标通知书规定的期限内与你方签订合同。</w:t>
      </w:r>
    </w:p>
    <w:p w14:paraId="01DD003A">
      <w:pPr>
        <w:spacing w:before="193" w:line="228" w:lineRule="auto"/>
        <w:ind w:left="735"/>
        <w:rPr>
          <w:rFonts w:ascii="宋体" w:hAnsi="宋体" w:eastAsia="宋体" w:cs="宋体"/>
          <w:color w:val="auto"/>
          <w:sz w:val="20"/>
          <w:szCs w:val="20"/>
        </w:rPr>
      </w:pPr>
      <w:r>
        <w:rPr>
          <w:rFonts w:ascii="宋体" w:hAnsi="宋体" w:eastAsia="宋体" w:cs="宋体"/>
          <w:color w:val="auto"/>
          <w:spacing w:val="22"/>
          <w:sz w:val="20"/>
          <w:szCs w:val="20"/>
        </w:rPr>
        <w:t>(2</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随同本投标函递交的投标函附录属于合同文件的组成部分。</w:t>
      </w:r>
    </w:p>
    <w:p w14:paraId="1910DB32">
      <w:pPr>
        <w:spacing w:before="193"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(3) 我方承诺按照竞争性磋商文件规定向你方递交履约担保</w:t>
      </w:r>
      <w:r>
        <w:rPr>
          <w:rFonts w:ascii="宋体" w:hAnsi="宋体" w:eastAsia="宋体" w:cs="宋体"/>
          <w:color w:val="auto"/>
          <w:spacing w:val="9"/>
          <w:sz w:val="20"/>
          <w:szCs w:val="20"/>
        </w:rPr>
        <w:t>。</w:t>
      </w:r>
    </w:p>
    <w:p w14:paraId="30869F52">
      <w:pPr>
        <w:spacing w:before="196"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(4) 我方承诺在合同约定的期限内完成并移交全部合同工程</w:t>
      </w:r>
      <w:r>
        <w:rPr>
          <w:rFonts w:ascii="宋体" w:hAnsi="宋体" w:eastAsia="宋体" w:cs="宋体"/>
          <w:color w:val="auto"/>
          <w:spacing w:val="8"/>
          <w:sz w:val="20"/>
          <w:szCs w:val="20"/>
        </w:rPr>
        <w:t>。</w:t>
      </w:r>
    </w:p>
    <w:p w14:paraId="07B4E24E">
      <w:pPr>
        <w:spacing w:before="193" w:line="269" w:lineRule="exact"/>
        <w:ind w:left="432"/>
        <w:rPr>
          <w:rFonts w:ascii="宋体" w:hAnsi="宋体" w:eastAsia="宋体" w:cs="宋体"/>
          <w:color w:val="auto"/>
          <w:sz w:val="20"/>
          <w:szCs w:val="20"/>
        </w:rPr>
      </w:pPr>
      <w:r>
        <w:rPr>
          <w:rFonts w:ascii="宋体" w:hAnsi="宋体" w:eastAsia="宋体" w:cs="宋体"/>
          <w:color w:val="auto"/>
          <w:spacing w:val="20"/>
          <w:position w:val="1"/>
          <w:sz w:val="20"/>
          <w:szCs w:val="20"/>
        </w:rPr>
        <w:t>5．</w:t>
      </w:r>
      <w:r>
        <w:rPr>
          <w:rFonts w:ascii="宋体" w:hAnsi="宋体" w:eastAsia="宋体" w:cs="宋体"/>
          <w:color w:val="auto"/>
          <w:spacing w:val="12"/>
          <w:position w:val="1"/>
          <w:sz w:val="20"/>
          <w:szCs w:val="20"/>
        </w:rPr>
        <w:t>我</w:t>
      </w:r>
      <w:r>
        <w:rPr>
          <w:rFonts w:ascii="宋体" w:hAnsi="宋体" w:eastAsia="宋体" w:cs="宋体"/>
          <w:color w:val="auto"/>
          <w:spacing w:val="10"/>
          <w:position w:val="1"/>
          <w:sz w:val="20"/>
          <w:szCs w:val="20"/>
        </w:rPr>
        <w:t>方在此声明，所递交的磋商响应文件及有关资料内容完整、真实和准确，且不存在第</w:t>
      </w:r>
      <w:r>
        <w:rPr>
          <w:rFonts w:ascii="宋体" w:hAnsi="宋体" w:eastAsia="宋体" w:cs="宋体"/>
          <w:color w:val="auto"/>
          <w:spacing w:val="7"/>
          <w:sz w:val="20"/>
          <w:szCs w:val="20"/>
        </w:rPr>
        <w:t>二</w:t>
      </w:r>
      <w:r>
        <w:rPr>
          <w:rFonts w:ascii="宋体" w:hAnsi="宋体" w:eastAsia="宋体" w:cs="宋体"/>
          <w:color w:val="auto"/>
          <w:spacing w:val="4"/>
          <w:sz w:val="20"/>
          <w:szCs w:val="20"/>
        </w:rPr>
        <w:t>章“投标人须知”第 1.4.3 项规定的任何一种情形。</w:t>
      </w:r>
    </w:p>
    <w:p w14:paraId="416FFB10">
      <w:pPr>
        <w:spacing w:before="195" w:line="226" w:lineRule="auto"/>
        <w:ind w:left="429"/>
        <w:rPr>
          <w:rFonts w:ascii="宋体" w:hAnsi="宋体" w:eastAsia="宋体" w:cs="宋体"/>
          <w:color w:val="auto"/>
          <w:sz w:val="20"/>
          <w:szCs w:val="20"/>
        </w:rPr>
      </w:pPr>
      <w:r>
        <w:rPr>
          <w:rFonts w:ascii="宋体" w:hAnsi="宋体" w:eastAsia="宋体" w:cs="宋体"/>
          <w:color w:val="auto"/>
          <w:spacing w:val="-1"/>
          <w:sz w:val="20"/>
          <w:szCs w:val="20"/>
        </w:rPr>
        <w:t>6．</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(其他补充说明) 。</w:t>
      </w:r>
    </w:p>
    <w:p w14:paraId="33456DD6">
      <w:pPr>
        <w:spacing w:line="282" w:lineRule="auto"/>
        <w:rPr>
          <w:rFonts w:ascii="Arial"/>
          <w:color w:val="auto"/>
          <w:sz w:val="21"/>
        </w:rPr>
      </w:pPr>
    </w:p>
    <w:p w14:paraId="3EDDC9BA">
      <w:pPr>
        <w:spacing w:line="282" w:lineRule="auto"/>
        <w:rPr>
          <w:rFonts w:ascii="Arial"/>
          <w:color w:val="auto"/>
          <w:sz w:val="21"/>
        </w:rPr>
      </w:pPr>
    </w:p>
    <w:p w14:paraId="63A2E100">
      <w:pPr>
        <w:spacing w:before="65" w:line="228" w:lineRule="auto"/>
        <w:ind w:left="3685"/>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4060862B">
      <w:pPr>
        <w:spacing w:before="196" w:line="405" w:lineRule="auto"/>
        <w:ind w:left="3682" w:right="58"/>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4AAC64D5">
      <w:pPr>
        <w:spacing w:before="3" w:line="409" w:lineRule="auto"/>
        <w:ind w:left="3680" w:right="5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2C4951B7">
      <w:pPr>
        <w:spacing w:line="359" w:lineRule="auto"/>
        <w:rPr>
          <w:rFonts w:ascii="Arial"/>
          <w:color w:val="auto"/>
          <w:sz w:val="21"/>
        </w:rPr>
      </w:pPr>
    </w:p>
    <w:p w14:paraId="07A642E6">
      <w:pPr>
        <w:tabs>
          <w:tab w:val="left" w:pos="5887"/>
        </w:tabs>
        <w:spacing w:before="65" w:line="228" w:lineRule="auto"/>
        <w:ind w:left="5040"/>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 xml:space="preserve"> 月</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2E4621D2">
      <w:pPr>
        <w:rPr>
          <w:color w:val="auto"/>
        </w:rPr>
        <w:sectPr>
          <w:footerReference r:id="rId12" w:type="default"/>
          <w:pgSz w:w="11906" w:h="16839"/>
          <w:pgMar w:top="400" w:right="1530" w:bottom="1156" w:left="1620" w:header="0" w:footer="996" w:gutter="0"/>
          <w:cols w:space="720" w:num="1"/>
        </w:sectPr>
      </w:pPr>
    </w:p>
    <w:p w14:paraId="73B5F9F3">
      <w:pPr>
        <w:spacing w:line="268" w:lineRule="auto"/>
        <w:rPr>
          <w:rFonts w:ascii="Arial"/>
          <w:color w:val="auto"/>
          <w:sz w:val="21"/>
        </w:rPr>
      </w:pPr>
    </w:p>
    <w:p w14:paraId="45FA8325">
      <w:pPr>
        <w:spacing w:line="268" w:lineRule="auto"/>
        <w:rPr>
          <w:rFonts w:ascii="Arial"/>
          <w:color w:val="auto"/>
          <w:sz w:val="21"/>
        </w:rPr>
      </w:pPr>
    </w:p>
    <w:p w14:paraId="1911EB53">
      <w:pPr>
        <w:spacing w:line="269" w:lineRule="auto"/>
        <w:rPr>
          <w:rFonts w:ascii="Arial"/>
          <w:color w:val="auto"/>
          <w:sz w:val="21"/>
        </w:rPr>
      </w:pPr>
    </w:p>
    <w:p w14:paraId="45ABDEF5">
      <w:pPr>
        <w:spacing w:line="269" w:lineRule="auto"/>
        <w:rPr>
          <w:rFonts w:ascii="Arial"/>
          <w:color w:val="auto"/>
          <w:sz w:val="21"/>
        </w:rPr>
      </w:pPr>
    </w:p>
    <w:p w14:paraId="2F3D3B32">
      <w:pPr>
        <w:spacing w:line="269" w:lineRule="auto"/>
        <w:rPr>
          <w:rFonts w:ascii="Arial"/>
          <w:color w:val="auto"/>
          <w:sz w:val="21"/>
        </w:rPr>
      </w:pPr>
    </w:p>
    <w:p w14:paraId="40DDCBB1">
      <w:pPr>
        <w:spacing w:line="269" w:lineRule="auto"/>
        <w:rPr>
          <w:rFonts w:ascii="Arial"/>
          <w:color w:val="auto"/>
          <w:sz w:val="21"/>
        </w:rPr>
      </w:pPr>
    </w:p>
    <w:p w14:paraId="6ABF3F37">
      <w:pPr>
        <w:spacing w:before="65" w:line="227" w:lineRule="auto"/>
        <w:ind w:left="3668"/>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40DE0AF4">
      <w:pPr>
        <w:rPr>
          <w:color w:val="auto"/>
        </w:rPr>
      </w:pPr>
    </w:p>
    <w:p w14:paraId="537E17F9">
      <w:pPr>
        <w:spacing w:line="219" w:lineRule="exact"/>
        <w:rPr>
          <w:color w:val="auto"/>
        </w:rPr>
      </w:pPr>
    </w:p>
    <w:tbl>
      <w:tblPr>
        <w:tblStyle w:val="17"/>
        <w:tblW w:w="9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2729"/>
        <w:gridCol w:w="1564"/>
        <w:gridCol w:w="1680"/>
        <w:gridCol w:w="840"/>
        <w:gridCol w:w="840"/>
        <w:gridCol w:w="932"/>
      </w:tblGrid>
      <w:tr w14:paraId="54BB4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50" w:type="dxa"/>
            <w:textDirection w:val="tbRlV"/>
            <w:vAlign w:val="top"/>
          </w:tcPr>
          <w:p w14:paraId="33098C87">
            <w:pPr>
              <w:spacing w:before="227" w:line="218" w:lineRule="auto"/>
              <w:ind w:left="269"/>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序</w:t>
            </w:r>
            <w:r>
              <w:rPr>
                <w:rFonts w:ascii="宋体" w:hAnsi="宋体" w:eastAsia="宋体" w:cs="宋体"/>
                <w:color w:val="auto"/>
                <w:spacing w:val="12"/>
                <w:sz w:val="20"/>
                <w:szCs w:val="20"/>
              </w:rPr>
              <w:t xml:space="preserve">  </w:t>
            </w:r>
            <w:r>
              <w:rPr>
                <w:rFonts w:ascii="宋体" w:hAnsi="宋体" w:eastAsia="宋体" w:cs="宋体"/>
                <w:color w:val="auto"/>
                <w:spacing w:val="12"/>
                <w:sz w:val="20"/>
                <w:szCs w:val="20"/>
                <w14:textOutline w14:w="3795" w14:cap="sq" w14:cmpd="sng">
                  <w14:solidFill>
                    <w14:srgbClr w14:val="000000"/>
                  </w14:solidFill>
                  <w14:prstDash w14:val="solid"/>
                  <w14:bevel/>
                </w14:textOutline>
              </w:rPr>
              <w:t>号</w:t>
            </w:r>
          </w:p>
        </w:tc>
        <w:tc>
          <w:tcPr>
            <w:tcW w:w="2729" w:type="dxa"/>
            <w:vAlign w:val="top"/>
          </w:tcPr>
          <w:p w14:paraId="1B956641">
            <w:pPr>
              <w:spacing w:line="423" w:lineRule="auto"/>
              <w:jc w:val="center"/>
              <w:rPr>
                <w:rFonts w:ascii="Arial"/>
                <w:color w:val="auto"/>
                <w:sz w:val="21"/>
              </w:rPr>
            </w:pPr>
          </w:p>
          <w:p w14:paraId="66F8FBA0">
            <w:pPr>
              <w:spacing w:before="65" w:line="228" w:lineRule="auto"/>
              <w:ind w:left="114"/>
              <w:jc w:val="center"/>
              <w:rPr>
                <w:rFonts w:ascii="宋体" w:hAnsi="宋体" w:eastAsia="宋体" w:cs="宋体"/>
                <w:color w:val="auto"/>
                <w:sz w:val="20"/>
                <w:szCs w:val="20"/>
              </w:rPr>
            </w:pPr>
            <w:r>
              <w:rPr>
                <w:rFonts w:ascii="宋体" w:hAnsi="宋体" w:eastAsia="宋体" w:cs="宋体"/>
                <w:color w:val="auto"/>
                <w:spacing w:val="10"/>
                <w:sz w:val="20"/>
                <w:szCs w:val="20"/>
                <w14:textOutline w14:w="3795" w14:cap="sq" w14:cmpd="sng">
                  <w14:solidFill>
                    <w14:srgbClr w14:val="000000"/>
                  </w14:solidFill>
                  <w14:prstDash w14:val="solid"/>
                  <w14:bevel/>
                </w14:textOutline>
              </w:rPr>
              <w:t>项</w:t>
            </w:r>
            <w:r>
              <w:rPr>
                <w:rFonts w:ascii="宋体" w:hAnsi="宋体" w:eastAsia="宋体" w:cs="宋体"/>
                <w:color w:val="auto"/>
                <w:spacing w:val="7"/>
                <w:sz w:val="20"/>
                <w:szCs w:val="20"/>
                <w14:textOutline w14:w="3795" w14:cap="sq" w14:cmpd="sng">
                  <w14:solidFill>
                    <w14:srgbClr w14:val="000000"/>
                  </w14:solidFill>
                  <w14:prstDash w14:val="solid"/>
                  <w14:bevel/>
                </w14:textOutline>
              </w:rPr>
              <w:t>目名称</w:t>
            </w:r>
          </w:p>
        </w:tc>
        <w:tc>
          <w:tcPr>
            <w:tcW w:w="1564" w:type="dxa"/>
            <w:vAlign w:val="top"/>
          </w:tcPr>
          <w:p w14:paraId="000128AA">
            <w:pPr>
              <w:spacing w:before="191" w:line="231" w:lineRule="auto"/>
              <w:jc w:val="center"/>
              <w:rPr>
                <w:rFonts w:hint="default" w:ascii="宋体" w:hAnsi="宋体" w:eastAsia="宋体" w:cs="宋体"/>
                <w:color w:val="auto"/>
                <w:sz w:val="20"/>
                <w:szCs w:val="20"/>
                <w:lang w:val="en-US" w:eastAsia="zh-CN"/>
              </w:rPr>
            </w:pPr>
            <w:r>
              <w:rPr>
                <w:rFonts w:hint="eastAsia" w:ascii="宋体" w:hAnsi="宋体" w:eastAsia="宋体" w:cs="宋体"/>
                <w:color w:val="auto"/>
                <w:spacing w:val="8"/>
                <w:sz w:val="20"/>
                <w:szCs w:val="20"/>
                <w:lang w:val="en-US" w:eastAsia="zh-CN"/>
                <w14:textOutline w14:w="3795" w14:cap="sq" w14:cmpd="sng">
                  <w14:solidFill>
                    <w14:srgbClr w14:val="000000"/>
                  </w14:solidFill>
                  <w14:prstDash w14:val="solid"/>
                  <w14:bevel/>
                </w14:textOutline>
              </w:rPr>
              <w:t>建设内容</w:t>
            </w:r>
          </w:p>
        </w:tc>
        <w:tc>
          <w:tcPr>
            <w:tcW w:w="1680" w:type="dxa"/>
            <w:vAlign w:val="top"/>
          </w:tcPr>
          <w:p w14:paraId="56F6F184">
            <w:pPr>
              <w:spacing w:before="269" w:line="227" w:lineRule="auto"/>
              <w:ind w:left="428"/>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投标总</w:t>
            </w:r>
            <w:r>
              <w:rPr>
                <w:rFonts w:ascii="宋体" w:hAnsi="宋体" w:eastAsia="宋体" w:cs="宋体"/>
                <w:color w:val="auto"/>
                <w:spacing w:val="7"/>
                <w:sz w:val="20"/>
                <w:szCs w:val="20"/>
                <w14:textOutline w14:w="3795" w14:cap="sq" w14:cmpd="sng">
                  <w14:solidFill>
                    <w14:srgbClr w14:val="000000"/>
                  </w14:solidFill>
                  <w14:prstDash w14:val="solid"/>
                  <w14:bevel/>
                </w14:textOutline>
              </w:rPr>
              <w:t>价</w:t>
            </w:r>
          </w:p>
          <w:p w14:paraId="0217D648">
            <w:pPr>
              <w:spacing w:before="193" w:line="229" w:lineRule="auto"/>
              <w:ind w:left="541"/>
              <w:rPr>
                <w:rFonts w:ascii="宋体" w:hAnsi="宋体" w:eastAsia="宋体" w:cs="宋体"/>
                <w:color w:val="auto"/>
                <w:sz w:val="20"/>
                <w:szCs w:val="20"/>
              </w:rPr>
            </w:pPr>
            <w:r>
              <w:rPr>
                <w:rFonts w:ascii="宋体" w:hAnsi="宋体" w:eastAsia="宋体" w:cs="宋体"/>
                <w:color w:val="auto"/>
                <w:spacing w:val="34"/>
                <w:sz w:val="20"/>
                <w:szCs w:val="20"/>
                <w14:textOutline w14:w="3795" w14:cap="sq" w14:cmpd="sng">
                  <w14:solidFill>
                    <w14:srgbClr w14:val="000000"/>
                  </w14:solidFill>
                  <w14:prstDash w14:val="solid"/>
                  <w14:bevel/>
                </w14:textOutline>
              </w:rPr>
              <w:t>(元</w:t>
            </w:r>
            <w:r>
              <w:rPr>
                <w:rFonts w:ascii="宋体" w:hAnsi="宋体" w:eastAsia="宋体" w:cs="宋体"/>
                <w:color w:val="auto"/>
                <w:spacing w:val="33"/>
                <w:sz w:val="20"/>
                <w:szCs w:val="20"/>
                <w14:textOutline w14:w="3795" w14:cap="sq" w14:cmpd="sng">
                  <w14:solidFill>
                    <w14:srgbClr w14:val="000000"/>
                  </w14:solidFill>
                  <w14:prstDash w14:val="solid"/>
                  <w14:bevel/>
                </w14:textOutline>
              </w:rPr>
              <w:t>)</w:t>
            </w:r>
          </w:p>
        </w:tc>
        <w:tc>
          <w:tcPr>
            <w:tcW w:w="840" w:type="dxa"/>
            <w:vAlign w:val="top"/>
          </w:tcPr>
          <w:p w14:paraId="24EA8761">
            <w:pPr>
              <w:spacing w:before="269" w:line="439" w:lineRule="exact"/>
              <w:ind w:left="219"/>
              <w:rPr>
                <w:rFonts w:ascii="宋体" w:hAnsi="宋体" w:eastAsia="宋体" w:cs="宋体"/>
                <w:color w:val="auto"/>
                <w:sz w:val="20"/>
                <w:szCs w:val="20"/>
              </w:rPr>
            </w:pP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r>
              <w:rPr>
                <w:rFonts w:ascii="宋体" w:hAnsi="宋体" w:eastAsia="宋体" w:cs="宋体"/>
                <w:color w:val="auto"/>
                <w:spacing w:val="4"/>
                <w:position w:val="18"/>
                <w:sz w:val="20"/>
                <w:szCs w:val="20"/>
                <w14:textOutline w14:w="3795" w14:cap="sq" w14:cmpd="sng">
                  <w14:solidFill>
                    <w14:srgbClr w14:val="000000"/>
                  </w14:solidFill>
                  <w14:prstDash w14:val="solid"/>
                  <w14:bevel/>
                </w14:textOutline>
              </w:rPr>
              <w:t>程</w:t>
            </w:r>
          </w:p>
          <w:p w14:paraId="473E1AED">
            <w:pPr>
              <w:spacing w:line="229" w:lineRule="auto"/>
              <w:ind w:left="217"/>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质</w:t>
            </w:r>
            <w:r>
              <w:rPr>
                <w:rFonts w:ascii="宋体" w:hAnsi="宋体" w:eastAsia="宋体" w:cs="宋体"/>
                <w:color w:val="auto"/>
                <w:spacing w:val="5"/>
                <w:sz w:val="20"/>
                <w:szCs w:val="20"/>
                <w14:textOutline w14:w="3795" w14:cap="sq" w14:cmpd="sng">
                  <w14:solidFill>
                    <w14:srgbClr w14:val="000000"/>
                  </w14:solidFill>
                  <w14:prstDash w14:val="solid"/>
                  <w14:bevel/>
                </w14:textOutline>
              </w:rPr>
              <w:t>量</w:t>
            </w:r>
          </w:p>
        </w:tc>
        <w:tc>
          <w:tcPr>
            <w:tcW w:w="840" w:type="dxa"/>
            <w:vAlign w:val="top"/>
          </w:tcPr>
          <w:p w14:paraId="6FA3D66C">
            <w:pPr>
              <w:spacing w:before="269" w:line="439" w:lineRule="exact"/>
              <w:ind w:left="217"/>
              <w:rPr>
                <w:rFonts w:ascii="宋体" w:hAnsi="宋体" w:eastAsia="宋体" w:cs="宋体"/>
                <w:color w:val="auto"/>
                <w:sz w:val="20"/>
                <w:szCs w:val="20"/>
              </w:rPr>
            </w:pPr>
            <w:r>
              <w:rPr>
                <w:rFonts w:ascii="宋体" w:hAnsi="宋体" w:eastAsia="宋体" w:cs="宋体"/>
                <w:color w:val="auto"/>
                <w:spacing w:val="6"/>
                <w:position w:val="18"/>
                <w:sz w:val="20"/>
                <w:szCs w:val="20"/>
                <w14:textOutline w14:w="3795" w14:cap="sq" w14:cmpd="sng">
                  <w14:solidFill>
                    <w14:srgbClr w14:val="000000"/>
                  </w14:solidFill>
                  <w14:prstDash w14:val="solid"/>
                  <w14:bevel/>
                </w14:textOutline>
              </w:rPr>
              <w:t>开</w:t>
            </w: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p>
          <w:p w14:paraId="6505A7E5">
            <w:pPr>
              <w:spacing w:line="229" w:lineRule="auto"/>
              <w:ind w:left="252"/>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日期</w:t>
            </w:r>
          </w:p>
        </w:tc>
        <w:tc>
          <w:tcPr>
            <w:tcW w:w="932" w:type="dxa"/>
            <w:vAlign w:val="top"/>
          </w:tcPr>
          <w:p w14:paraId="5F093E9E">
            <w:pPr>
              <w:spacing w:before="269" w:line="439" w:lineRule="exact"/>
              <w:ind w:left="157"/>
              <w:rPr>
                <w:rFonts w:ascii="宋体" w:hAnsi="宋体" w:eastAsia="宋体" w:cs="宋体"/>
                <w:color w:val="auto"/>
                <w:sz w:val="20"/>
                <w:szCs w:val="20"/>
              </w:rPr>
            </w:pPr>
            <w:r>
              <w:rPr>
                <w:rFonts w:ascii="宋体" w:hAnsi="宋体" w:eastAsia="宋体" w:cs="宋体"/>
                <w:color w:val="auto"/>
                <w:spacing w:val="8"/>
                <w:position w:val="17"/>
                <w:sz w:val="20"/>
                <w:szCs w:val="20"/>
                <w14:textOutline w14:w="3795" w14:cap="sq" w14:cmpd="sng">
                  <w14:solidFill>
                    <w14:srgbClr w14:val="000000"/>
                  </w14:solidFill>
                  <w14:prstDash w14:val="solid"/>
                  <w14:bevel/>
                </w14:textOutline>
              </w:rPr>
              <w:t>竣</w:t>
            </w:r>
            <w:r>
              <w:rPr>
                <w:rFonts w:ascii="宋体" w:hAnsi="宋体" w:eastAsia="宋体" w:cs="宋体"/>
                <w:color w:val="auto"/>
                <w:spacing w:val="7"/>
                <w:position w:val="17"/>
                <w:sz w:val="20"/>
                <w:szCs w:val="20"/>
                <w14:textOutline w14:w="3795" w14:cap="sq" w14:cmpd="sng">
                  <w14:solidFill>
                    <w14:srgbClr w14:val="000000"/>
                  </w14:solidFill>
                  <w14:prstDash w14:val="solid"/>
                  <w14:bevel/>
                </w14:textOutline>
              </w:rPr>
              <w:t>工日</w:t>
            </w:r>
          </w:p>
          <w:p w14:paraId="71E87D8C">
            <w:pPr>
              <w:spacing w:line="229" w:lineRule="auto"/>
              <w:ind w:left="368"/>
              <w:rPr>
                <w:rFonts w:ascii="宋体" w:hAnsi="宋体" w:eastAsia="宋体" w:cs="宋体"/>
                <w:color w:val="auto"/>
                <w:sz w:val="20"/>
                <w:szCs w:val="20"/>
              </w:rPr>
            </w:pPr>
            <w:r>
              <w:rPr>
                <w:rFonts w:ascii="宋体" w:hAnsi="宋体" w:eastAsia="宋体" w:cs="宋体"/>
                <w:color w:val="auto"/>
                <w:sz w:val="20"/>
                <w:szCs w:val="20"/>
                <w14:textOutline w14:w="3795" w14:cap="sq" w14:cmpd="sng">
                  <w14:solidFill>
                    <w14:srgbClr w14:val="000000"/>
                  </w14:solidFill>
                  <w14:prstDash w14:val="solid"/>
                  <w14:bevel/>
                </w14:textOutline>
              </w:rPr>
              <w:t>期</w:t>
            </w:r>
          </w:p>
        </w:tc>
      </w:tr>
      <w:tr w14:paraId="12AAF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678C6155">
            <w:pPr>
              <w:spacing w:before="204" w:line="193" w:lineRule="auto"/>
              <w:ind w:left="131"/>
              <w:rPr>
                <w:rFonts w:ascii="宋体" w:hAnsi="宋体" w:eastAsia="宋体" w:cs="宋体"/>
                <w:color w:val="auto"/>
                <w:sz w:val="20"/>
                <w:szCs w:val="20"/>
              </w:rPr>
            </w:pPr>
            <w:r>
              <w:rPr>
                <w:rFonts w:ascii="宋体" w:hAnsi="宋体" w:eastAsia="宋体" w:cs="宋体"/>
                <w:color w:val="auto"/>
                <w:sz w:val="20"/>
                <w:szCs w:val="20"/>
              </w:rPr>
              <w:t>1</w:t>
            </w:r>
          </w:p>
        </w:tc>
        <w:tc>
          <w:tcPr>
            <w:tcW w:w="2729" w:type="dxa"/>
            <w:vAlign w:val="top"/>
          </w:tcPr>
          <w:p w14:paraId="25D01D24">
            <w:pPr>
              <w:rPr>
                <w:rFonts w:ascii="Arial"/>
                <w:color w:val="auto"/>
                <w:sz w:val="21"/>
              </w:rPr>
            </w:pPr>
          </w:p>
        </w:tc>
        <w:tc>
          <w:tcPr>
            <w:tcW w:w="1564" w:type="dxa"/>
            <w:vAlign w:val="top"/>
          </w:tcPr>
          <w:p w14:paraId="0D9457E2">
            <w:pPr>
              <w:rPr>
                <w:rFonts w:ascii="Arial"/>
                <w:color w:val="auto"/>
                <w:sz w:val="21"/>
              </w:rPr>
            </w:pPr>
          </w:p>
        </w:tc>
        <w:tc>
          <w:tcPr>
            <w:tcW w:w="1680" w:type="dxa"/>
            <w:vAlign w:val="top"/>
          </w:tcPr>
          <w:p w14:paraId="67A3FD40">
            <w:pPr>
              <w:rPr>
                <w:rFonts w:ascii="Arial"/>
                <w:color w:val="auto"/>
                <w:sz w:val="21"/>
              </w:rPr>
            </w:pPr>
          </w:p>
        </w:tc>
        <w:tc>
          <w:tcPr>
            <w:tcW w:w="840" w:type="dxa"/>
            <w:vMerge w:val="restart"/>
            <w:tcBorders>
              <w:bottom w:val="nil"/>
            </w:tcBorders>
            <w:vAlign w:val="top"/>
          </w:tcPr>
          <w:p w14:paraId="1F563717">
            <w:pPr>
              <w:rPr>
                <w:rFonts w:ascii="Arial"/>
                <w:color w:val="auto"/>
                <w:sz w:val="21"/>
              </w:rPr>
            </w:pPr>
          </w:p>
        </w:tc>
        <w:tc>
          <w:tcPr>
            <w:tcW w:w="840" w:type="dxa"/>
            <w:vMerge w:val="restart"/>
            <w:tcBorders>
              <w:bottom w:val="nil"/>
            </w:tcBorders>
            <w:vAlign w:val="top"/>
          </w:tcPr>
          <w:p w14:paraId="38BFE585">
            <w:pPr>
              <w:rPr>
                <w:rFonts w:ascii="Arial"/>
                <w:color w:val="auto"/>
                <w:sz w:val="21"/>
              </w:rPr>
            </w:pPr>
          </w:p>
        </w:tc>
        <w:tc>
          <w:tcPr>
            <w:tcW w:w="932" w:type="dxa"/>
            <w:vMerge w:val="restart"/>
            <w:tcBorders>
              <w:bottom w:val="nil"/>
            </w:tcBorders>
            <w:vAlign w:val="top"/>
          </w:tcPr>
          <w:p w14:paraId="40A4B028">
            <w:pPr>
              <w:rPr>
                <w:rFonts w:ascii="Arial"/>
                <w:color w:val="auto"/>
                <w:sz w:val="21"/>
              </w:rPr>
            </w:pPr>
          </w:p>
        </w:tc>
      </w:tr>
      <w:tr w14:paraId="4C7D4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44602E9E">
            <w:pPr>
              <w:spacing w:before="207" w:line="192" w:lineRule="auto"/>
              <w:ind w:left="118"/>
              <w:rPr>
                <w:rFonts w:ascii="宋体" w:hAnsi="宋体" w:eastAsia="宋体" w:cs="宋体"/>
                <w:color w:val="auto"/>
                <w:sz w:val="20"/>
                <w:szCs w:val="20"/>
              </w:rPr>
            </w:pPr>
            <w:r>
              <w:rPr>
                <w:rFonts w:ascii="宋体" w:hAnsi="宋体" w:eastAsia="宋体" w:cs="宋体"/>
                <w:color w:val="auto"/>
                <w:sz w:val="20"/>
                <w:szCs w:val="20"/>
              </w:rPr>
              <w:t>2</w:t>
            </w:r>
          </w:p>
        </w:tc>
        <w:tc>
          <w:tcPr>
            <w:tcW w:w="2729" w:type="dxa"/>
            <w:vAlign w:val="top"/>
          </w:tcPr>
          <w:p w14:paraId="19A4006F">
            <w:pPr>
              <w:rPr>
                <w:rFonts w:ascii="Arial"/>
                <w:color w:val="auto"/>
                <w:sz w:val="21"/>
              </w:rPr>
            </w:pPr>
          </w:p>
        </w:tc>
        <w:tc>
          <w:tcPr>
            <w:tcW w:w="1564" w:type="dxa"/>
            <w:vAlign w:val="top"/>
          </w:tcPr>
          <w:p w14:paraId="4E6CC665">
            <w:pPr>
              <w:rPr>
                <w:rFonts w:ascii="Arial"/>
                <w:color w:val="auto"/>
                <w:sz w:val="21"/>
              </w:rPr>
            </w:pPr>
          </w:p>
        </w:tc>
        <w:tc>
          <w:tcPr>
            <w:tcW w:w="1680" w:type="dxa"/>
            <w:vAlign w:val="top"/>
          </w:tcPr>
          <w:p w14:paraId="379EF632">
            <w:pPr>
              <w:rPr>
                <w:rFonts w:ascii="Arial"/>
                <w:color w:val="auto"/>
                <w:sz w:val="21"/>
              </w:rPr>
            </w:pPr>
          </w:p>
        </w:tc>
        <w:tc>
          <w:tcPr>
            <w:tcW w:w="840" w:type="dxa"/>
            <w:vMerge w:val="continue"/>
            <w:tcBorders>
              <w:top w:val="nil"/>
              <w:bottom w:val="nil"/>
            </w:tcBorders>
            <w:vAlign w:val="top"/>
          </w:tcPr>
          <w:p w14:paraId="54D5CC0E">
            <w:pPr>
              <w:rPr>
                <w:rFonts w:ascii="Arial"/>
                <w:color w:val="auto"/>
                <w:sz w:val="21"/>
              </w:rPr>
            </w:pPr>
          </w:p>
        </w:tc>
        <w:tc>
          <w:tcPr>
            <w:tcW w:w="840" w:type="dxa"/>
            <w:vMerge w:val="continue"/>
            <w:tcBorders>
              <w:top w:val="nil"/>
              <w:bottom w:val="nil"/>
            </w:tcBorders>
            <w:vAlign w:val="top"/>
          </w:tcPr>
          <w:p w14:paraId="11A38A48">
            <w:pPr>
              <w:rPr>
                <w:rFonts w:ascii="Arial"/>
                <w:color w:val="auto"/>
                <w:sz w:val="21"/>
              </w:rPr>
            </w:pPr>
          </w:p>
        </w:tc>
        <w:tc>
          <w:tcPr>
            <w:tcW w:w="932" w:type="dxa"/>
            <w:vMerge w:val="continue"/>
            <w:tcBorders>
              <w:top w:val="nil"/>
              <w:bottom w:val="nil"/>
            </w:tcBorders>
            <w:vAlign w:val="top"/>
          </w:tcPr>
          <w:p w14:paraId="784BCC15">
            <w:pPr>
              <w:rPr>
                <w:rFonts w:ascii="Arial"/>
                <w:color w:val="auto"/>
                <w:sz w:val="21"/>
              </w:rPr>
            </w:pPr>
          </w:p>
        </w:tc>
      </w:tr>
      <w:tr w14:paraId="17892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41D9E017">
            <w:pPr>
              <w:spacing w:before="209" w:line="190" w:lineRule="auto"/>
              <w:ind w:left="120"/>
              <w:rPr>
                <w:rFonts w:ascii="宋体" w:hAnsi="宋体" w:eastAsia="宋体" w:cs="宋体"/>
                <w:color w:val="auto"/>
                <w:sz w:val="20"/>
                <w:szCs w:val="20"/>
              </w:rPr>
            </w:pPr>
            <w:r>
              <w:rPr>
                <w:rFonts w:ascii="宋体" w:hAnsi="宋体" w:eastAsia="宋体" w:cs="宋体"/>
                <w:color w:val="auto"/>
                <w:sz w:val="20"/>
                <w:szCs w:val="20"/>
              </w:rPr>
              <w:t>3</w:t>
            </w:r>
          </w:p>
        </w:tc>
        <w:tc>
          <w:tcPr>
            <w:tcW w:w="2729" w:type="dxa"/>
            <w:vAlign w:val="top"/>
          </w:tcPr>
          <w:p w14:paraId="284622E1">
            <w:pPr>
              <w:rPr>
                <w:rFonts w:ascii="Arial"/>
                <w:color w:val="auto"/>
                <w:sz w:val="21"/>
              </w:rPr>
            </w:pPr>
          </w:p>
        </w:tc>
        <w:tc>
          <w:tcPr>
            <w:tcW w:w="1564" w:type="dxa"/>
            <w:vAlign w:val="top"/>
          </w:tcPr>
          <w:p w14:paraId="55A55ED7">
            <w:pPr>
              <w:rPr>
                <w:rFonts w:ascii="Arial"/>
                <w:color w:val="auto"/>
                <w:sz w:val="21"/>
              </w:rPr>
            </w:pPr>
          </w:p>
        </w:tc>
        <w:tc>
          <w:tcPr>
            <w:tcW w:w="1680" w:type="dxa"/>
            <w:vAlign w:val="top"/>
          </w:tcPr>
          <w:p w14:paraId="50FC29B2">
            <w:pPr>
              <w:rPr>
                <w:rFonts w:ascii="Arial"/>
                <w:color w:val="auto"/>
                <w:sz w:val="21"/>
              </w:rPr>
            </w:pPr>
          </w:p>
        </w:tc>
        <w:tc>
          <w:tcPr>
            <w:tcW w:w="840" w:type="dxa"/>
            <w:vMerge w:val="continue"/>
            <w:tcBorders>
              <w:top w:val="nil"/>
              <w:bottom w:val="nil"/>
            </w:tcBorders>
            <w:vAlign w:val="top"/>
          </w:tcPr>
          <w:p w14:paraId="287284CF">
            <w:pPr>
              <w:rPr>
                <w:rFonts w:ascii="Arial"/>
                <w:color w:val="auto"/>
                <w:sz w:val="21"/>
              </w:rPr>
            </w:pPr>
          </w:p>
        </w:tc>
        <w:tc>
          <w:tcPr>
            <w:tcW w:w="840" w:type="dxa"/>
            <w:vMerge w:val="continue"/>
            <w:tcBorders>
              <w:top w:val="nil"/>
              <w:bottom w:val="nil"/>
            </w:tcBorders>
            <w:vAlign w:val="top"/>
          </w:tcPr>
          <w:p w14:paraId="0E2D5787">
            <w:pPr>
              <w:rPr>
                <w:rFonts w:ascii="Arial"/>
                <w:color w:val="auto"/>
                <w:sz w:val="21"/>
              </w:rPr>
            </w:pPr>
          </w:p>
        </w:tc>
        <w:tc>
          <w:tcPr>
            <w:tcW w:w="932" w:type="dxa"/>
            <w:vMerge w:val="continue"/>
            <w:tcBorders>
              <w:top w:val="nil"/>
              <w:bottom w:val="nil"/>
            </w:tcBorders>
            <w:vAlign w:val="top"/>
          </w:tcPr>
          <w:p w14:paraId="6E8F4530">
            <w:pPr>
              <w:rPr>
                <w:rFonts w:ascii="Arial"/>
                <w:color w:val="auto"/>
                <w:sz w:val="21"/>
              </w:rPr>
            </w:pPr>
          </w:p>
        </w:tc>
      </w:tr>
      <w:tr w14:paraId="4ACD2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0" w:type="dxa"/>
            <w:vAlign w:val="top"/>
          </w:tcPr>
          <w:p w14:paraId="4FF3810B">
            <w:pPr>
              <w:spacing w:before="210" w:line="192" w:lineRule="auto"/>
              <w:ind w:left="115"/>
              <w:rPr>
                <w:rFonts w:ascii="宋体" w:hAnsi="宋体" w:eastAsia="宋体" w:cs="宋体"/>
                <w:color w:val="auto"/>
                <w:sz w:val="20"/>
                <w:szCs w:val="20"/>
              </w:rPr>
            </w:pPr>
            <w:r>
              <w:rPr>
                <w:rFonts w:ascii="宋体" w:hAnsi="宋体" w:eastAsia="宋体" w:cs="宋体"/>
                <w:color w:val="auto"/>
                <w:sz w:val="20"/>
                <w:szCs w:val="20"/>
              </w:rPr>
              <w:t>4</w:t>
            </w:r>
          </w:p>
        </w:tc>
        <w:tc>
          <w:tcPr>
            <w:tcW w:w="2729" w:type="dxa"/>
            <w:vAlign w:val="top"/>
          </w:tcPr>
          <w:p w14:paraId="3086CA07">
            <w:pPr>
              <w:rPr>
                <w:rFonts w:ascii="Arial"/>
                <w:color w:val="auto"/>
                <w:sz w:val="21"/>
              </w:rPr>
            </w:pPr>
          </w:p>
        </w:tc>
        <w:tc>
          <w:tcPr>
            <w:tcW w:w="1564" w:type="dxa"/>
            <w:vAlign w:val="top"/>
          </w:tcPr>
          <w:p w14:paraId="51E7B789">
            <w:pPr>
              <w:rPr>
                <w:rFonts w:ascii="Arial"/>
                <w:color w:val="auto"/>
                <w:sz w:val="21"/>
              </w:rPr>
            </w:pPr>
          </w:p>
        </w:tc>
        <w:tc>
          <w:tcPr>
            <w:tcW w:w="1680" w:type="dxa"/>
            <w:vAlign w:val="top"/>
          </w:tcPr>
          <w:p w14:paraId="1B1D1D39">
            <w:pPr>
              <w:rPr>
                <w:rFonts w:ascii="Arial"/>
                <w:color w:val="auto"/>
                <w:sz w:val="21"/>
              </w:rPr>
            </w:pPr>
          </w:p>
        </w:tc>
        <w:tc>
          <w:tcPr>
            <w:tcW w:w="840" w:type="dxa"/>
            <w:vMerge w:val="continue"/>
            <w:tcBorders>
              <w:top w:val="nil"/>
              <w:bottom w:val="nil"/>
            </w:tcBorders>
            <w:vAlign w:val="top"/>
          </w:tcPr>
          <w:p w14:paraId="47AEDF33">
            <w:pPr>
              <w:rPr>
                <w:rFonts w:ascii="Arial"/>
                <w:color w:val="auto"/>
                <w:sz w:val="21"/>
              </w:rPr>
            </w:pPr>
          </w:p>
        </w:tc>
        <w:tc>
          <w:tcPr>
            <w:tcW w:w="840" w:type="dxa"/>
            <w:vMerge w:val="continue"/>
            <w:tcBorders>
              <w:top w:val="nil"/>
              <w:bottom w:val="nil"/>
            </w:tcBorders>
            <w:vAlign w:val="top"/>
          </w:tcPr>
          <w:p w14:paraId="7627D709">
            <w:pPr>
              <w:rPr>
                <w:rFonts w:ascii="Arial"/>
                <w:color w:val="auto"/>
                <w:sz w:val="21"/>
              </w:rPr>
            </w:pPr>
          </w:p>
        </w:tc>
        <w:tc>
          <w:tcPr>
            <w:tcW w:w="932" w:type="dxa"/>
            <w:vMerge w:val="continue"/>
            <w:tcBorders>
              <w:top w:val="nil"/>
              <w:bottom w:val="nil"/>
            </w:tcBorders>
            <w:vAlign w:val="top"/>
          </w:tcPr>
          <w:p w14:paraId="1B68ED02">
            <w:pPr>
              <w:rPr>
                <w:rFonts w:ascii="Arial"/>
                <w:color w:val="auto"/>
                <w:sz w:val="21"/>
              </w:rPr>
            </w:pPr>
          </w:p>
        </w:tc>
      </w:tr>
      <w:tr w14:paraId="6A77A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279" w:type="dxa"/>
            <w:gridSpan w:val="2"/>
            <w:vAlign w:val="top"/>
          </w:tcPr>
          <w:p w14:paraId="2E124616">
            <w:pPr>
              <w:spacing w:before="175" w:line="230" w:lineRule="auto"/>
              <w:ind w:left="116"/>
              <w:rPr>
                <w:rFonts w:ascii="宋体" w:hAnsi="宋体" w:eastAsia="宋体" w:cs="宋体"/>
                <w:color w:val="auto"/>
                <w:sz w:val="20"/>
                <w:szCs w:val="20"/>
              </w:rPr>
            </w:pPr>
            <w:r>
              <w:rPr>
                <w:rFonts w:ascii="宋体" w:hAnsi="宋体" w:eastAsia="宋体" w:cs="宋体"/>
                <w:color w:val="auto"/>
                <w:spacing w:val="4"/>
                <w:sz w:val="20"/>
                <w:szCs w:val="20"/>
              </w:rPr>
              <w:t>合计</w:t>
            </w:r>
          </w:p>
        </w:tc>
        <w:tc>
          <w:tcPr>
            <w:tcW w:w="1564" w:type="dxa"/>
            <w:vAlign w:val="top"/>
          </w:tcPr>
          <w:p w14:paraId="4779A769">
            <w:pPr>
              <w:rPr>
                <w:rFonts w:ascii="Arial"/>
                <w:color w:val="auto"/>
                <w:sz w:val="21"/>
              </w:rPr>
            </w:pPr>
          </w:p>
        </w:tc>
        <w:tc>
          <w:tcPr>
            <w:tcW w:w="1680" w:type="dxa"/>
            <w:vAlign w:val="top"/>
          </w:tcPr>
          <w:p w14:paraId="0A6EC981">
            <w:pPr>
              <w:rPr>
                <w:rFonts w:ascii="Arial"/>
                <w:color w:val="auto"/>
                <w:sz w:val="21"/>
              </w:rPr>
            </w:pPr>
          </w:p>
        </w:tc>
        <w:tc>
          <w:tcPr>
            <w:tcW w:w="840" w:type="dxa"/>
            <w:vMerge w:val="continue"/>
            <w:tcBorders>
              <w:top w:val="nil"/>
            </w:tcBorders>
            <w:vAlign w:val="top"/>
          </w:tcPr>
          <w:p w14:paraId="6D268360">
            <w:pPr>
              <w:rPr>
                <w:rFonts w:ascii="Arial"/>
                <w:color w:val="auto"/>
                <w:sz w:val="21"/>
              </w:rPr>
            </w:pPr>
          </w:p>
        </w:tc>
        <w:tc>
          <w:tcPr>
            <w:tcW w:w="840" w:type="dxa"/>
            <w:vMerge w:val="continue"/>
            <w:tcBorders>
              <w:top w:val="nil"/>
            </w:tcBorders>
            <w:vAlign w:val="top"/>
          </w:tcPr>
          <w:p w14:paraId="5D80E7C3">
            <w:pPr>
              <w:rPr>
                <w:rFonts w:ascii="Arial"/>
                <w:color w:val="auto"/>
                <w:sz w:val="21"/>
              </w:rPr>
            </w:pPr>
          </w:p>
        </w:tc>
        <w:tc>
          <w:tcPr>
            <w:tcW w:w="932" w:type="dxa"/>
            <w:vMerge w:val="continue"/>
            <w:tcBorders>
              <w:top w:val="nil"/>
            </w:tcBorders>
            <w:vAlign w:val="top"/>
          </w:tcPr>
          <w:p w14:paraId="59F41EA3">
            <w:pPr>
              <w:rPr>
                <w:rFonts w:ascii="Arial"/>
                <w:color w:val="auto"/>
                <w:sz w:val="21"/>
              </w:rPr>
            </w:pPr>
          </w:p>
        </w:tc>
      </w:tr>
      <w:tr w14:paraId="56E72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35" w:type="dxa"/>
            <w:gridSpan w:val="7"/>
            <w:vAlign w:val="top"/>
          </w:tcPr>
          <w:p w14:paraId="4E9A559B">
            <w:pPr>
              <w:spacing w:before="176" w:line="227" w:lineRule="auto"/>
              <w:ind w:left="118"/>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7"/>
                <w:sz w:val="20"/>
                <w:szCs w:val="20"/>
              </w:rPr>
              <w:t>标总价大写 (人民币) ：</w:t>
            </w:r>
          </w:p>
        </w:tc>
      </w:tr>
    </w:tbl>
    <w:p w14:paraId="5DC068EC">
      <w:pPr>
        <w:spacing w:before="173" w:line="231" w:lineRule="auto"/>
        <w:ind w:left="120"/>
        <w:rPr>
          <w:rFonts w:ascii="宋体" w:hAnsi="宋体" w:eastAsia="宋体" w:cs="宋体"/>
          <w:color w:val="auto"/>
          <w:sz w:val="20"/>
          <w:szCs w:val="20"/>
        </w:rPr>
      </w:pPr>
      <w:r>
        <w:rPr>
          <w:rFonts w:ascii="宋体" w:hAnsi="宋体" w:eastAsia="宋体" w:cs="宋体"/>
          <w:color w:val="auto"/>
          <w:spacing w:val="17"/>
          <w:sz w:val="20"/>
          <w:szCs w:val="20"/>
        </w:rPr>
        <w:t>注</w:t>
      </w:r>
      <w:r>
        <w:rPr>
          <w:rFonts w:ascii="宋体" w:hAnsi="宋体" w:eastAsia="宋体" w:cs="宋体"/>
          <w:color w:val="auto"/>
          <w:spacing w:val="9"/>
          <w:sz w:val="20"/>
          <w:szCs w:val="20"/>
        </w:rPr>
        <w:t>：投标总价应与已标价工程清单中“投标总报价”的金额一致。</w:t>
      </w:r>
    </w:p>
    <w:p w14:paraId="1926EF02">
      <w:pPr>
        <w:spacing w:line="244" w:lineRule="auto"/>
        <w:rPr>
          <w:rFonts w:ascii="Arial"/>
          <w:color w:val="auto"/>
          <w:sz w:val="21"/>
        </w:rPr>
      </w:pPr>
    </w:p>
    <w:p w14:paraId="2D7FB798">
      <w:pPr>
        <w:spacing w:line="244" w:lineRule="auto"/>
        <w:rPr>
          <w:rFonts w:ascii="Arial"/>
          <w:color w:val="auto"/>
          <w:sz w:val="21"/>
        </w:rPr>
      </w:pPr>
    </w:p>
    <w:p w14:paraId="5D616490">
      <w:pPr>
        <w:spacing w:line="245" w:lineRule="auto"/>
        <w:rPr>
          <w:rFonts w:ascii="Arial"/>
          <w:color w:val="auto"/>
          <w:sz w:val="21"/>
        </w:rPr>
      </w:pPr>
    </w:p>
    <w:p w14:paraId="20603D18">
      <w:pPr>
        <w:spacing w:line="245" w:lineRule="auto"/>
        <w:rPr>
          <w:rFonts w:ascii="Arial"/>
          <w:color w:val="auto"/>
          <w:sz w:val="21"/>
        </w:rPr>
      </w:pPr>
    </w:p>
    <w:p w14:paraId="03976972">
      <w:pPr>
        <w:spacing w:line="245" w:lineRule="auto"/>
        <w:rPr>
          <w:rFonts w:ascii="Arial"/>
          <w:color w:val="auto"/>
          <w:sz w:val="21"/>
        </w:rPr>
      </w:pPr>
    </w:p>
    <w:p w14:paraId="1EBF50B8">
      <w:pPr>
        <w:spacing w:line="245" w:lineRule="auto"/>
        <w:rPr>
          <w:rFonts w:ascii="Arial"/>
          <w:color w:val="auto"/>
          <w:sz w:val="21"/>
        </w:rPr>
      </w:pPr>
    </w:p>
    <w:p w14:paraId="06C259EA">
      <w:pPr>
        <w:spacing w:line="245" w:lineRule="auto"/>
        <w:rPr>
          <w:rFonts w:ascii="Arial"/>
          <w:color w:val="auto"/>
          <w:sz w:val="21"/>
        </w:rPr>
      </w:pPr>
    </w:p>
    <w:p w14:paraId="2232F439">
      <w:pPr>
        <w:spacing w:line="245" w:lineRule="auto"/>
        <w:rPr>
          <w:rFonts w:ascii="Arial"/>
          <w:color w:val="auto"/>
          <w:sz w:val="21"/>
        </w:rPr>
      </w:pPr>
    </w:p>
    <w:p w14:paraId="4EFFF306">
      <w:pPr>
        <w:spacing w:line="245" w:lineRule="auto"/>
        <w:rPr>
          <w:rFonts w:ascii="Arial"/>
          <w:color w:val="auto"/>
          <w:sz w:val="21"/>
        </w:rPr>
      </w:pPr>
    </w:p>
    <w:p w14:paraId="2DD38FDD">
      <w:pPr>
        <w:spacing w:line="245" w:lineRule="auto"/>
        <w:rPr>
          <w:rFonts w:ascii="Arial"/>
          <w:color w:val="auto"/>
          <w:sz w:val="21"/>
        </w:rPr>
      </w:pPr>
    </w:p>
    <w:p w14:paraId="2DB46018">
      <w:pPr>
        <w:spacing w:line="245" w:lineRule="auto"/>
        <w:rPr>
          <w:rFonts w:ascii="Arial"/>
          <w:color w:val="auto"/>
          <w:sz w:val="21"/>
        </w:rPr>
      </w:pPr>
    </w:p>
    <w:p w14:paraId="19682355">
      <w:pPr>
        <w:spacing w:line="245" w:lineRule="auto"/>
        <w:rPr>
          <w:rFonts w:ascii="Arial"/>
          <w:color w:val="auto"/>
          <w:sz w:val="21"/>
        </w:rPr>
      </w:pPr>
    </w:p>
    <w:p w14:paraId="72DB86D6">
      <w:pPr>
        <w:spacing w:line="245" w:lineRule="auto"/>
        <w:rPr>
          <w:rFonts w:ascii="Arial"/>
          <w:color w:val="auto"/>
          <w:sz w:val="21"/>
        </w:rPr>
      </w:pPr>
    </w:p>
    <w:p w14:paraId="454F2937">
      <w:pPr>
        <w:spacing w:before="65" w:line="228" w:lineRule="auto"/>
        <w:ind w:left="3169"/>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5AB591D7">
      <w:pPr>
        <w:spacing w:before="195" w:line="405" w:lineRule="auto"/>
        <w:ind w:left="3166" w:right="751"/>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50C5CF94">
      <w:pPr>
        <w:spacing w:before="3" w:line="409" w:lineRule="auto"/>
        <w:ind w:left="3164" w:right="14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2060E379">
      <w:pPr>
        <w:spacing w:line="359" w:lineRule="auto"/>
        <w:rPr>
          <w:rFonts w:ascii="Arial"/>
          <w:color w:val="auto"/>
          <w:sz w:val="21"/>
        </w:rPr>
      </w:pPr>
    </w:p>
    <w:p w14:paraId="0E92FA7D">
      <w:pPr>
        <w:tabs>
          <w:tab w:val="left" w:pos="5862"/>
        </w:tabs>
        <w:spacing w:before="65" w:line="228" w:lineRule="auto"/>
        <w:ind w:left="4909"/>
        <w:rPr>
          <w:color w:val="auto"/>
        </w:rPr>
        <w:sectPr>
          <w:footerReference r:id="rId13" w:type="default"/>
          <w:pgSz w:w="11906" w:h="16839"/>
          <w:pgMar w:top="400" w:right="1258" w:bottom="1156" w:left="1507" w:header="0" w:footer="996" w:gutter="0"/>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84BA2EC">
      <w:pPr>
        <w:spacing w:line="269" w:lineRule="auto"/>
        <w:rPr>
          <w:rFonts w:ascii="Arial"/>
          <w:color w:val="auto"/>
          <w:sz w:val="21"/>
        </w:rPr>
      </w:pPr>
    </w:p>
    <w:p w14:paraId="124CEFB6">
      <w:pPr>
        <w:spacing w:line="269" w:lineRule="auto"/>
        <w:rPr>
          <w:rFonts w:ascii="Arial"/>
          <w:color w:val="auto"/>
          <w:sz w:val="21"/>
        </w:rPr>
      </w:pPr>
    </w:p>
    <w:p w14:paraId="342AC9EC">
      <w:pPr>
        <w:spacing w:before="65" w:line="228" w:lineRule="auto"/>
        <w:ind w:left="398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14AB3A7D">
      <w:pPr>
        <w:spacing w:line="118" w:lineRule="exact"/>
        <w:rPr>
          <w:color w:val="auto"/>
        </w:rPr>
      </w:pPr>
    </w:p>
    <w:p w14:paraId="66AE71E5">
      <w:pPr>
        <w:spacing w:line="84" w:lineRule="exact"/>
      </w:pP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861"/>
        <w:gridCol w:w="1925"/>
        <w:gridCol w:w="1925"/>
        <w:gridCol w:w="1756"/>
      </w:tblGrid>
      <w:tr w14:paraId="4F8C2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5266A8D6">
            <w:pPr>
              <w:jc w:val="center"/>
              <w:rPr>
                <w:rFonts w:hint="eastAsia"/>
              </w:rPr>
            </w:pPr>
            <w:r>
              <w:rPr>
                <w:rFonts w:hint="eastAsia"/>
              </w:rPr>
              <w:t>序号</w:t>
            </w:r>
          </w:p>
        </w:tc>
        <w:tc>
          <w:tcPr>
            <w:tcW w:w="2861" w:type="dxa"/>
            <w:noWrap w:val="0"/>
            <w:vAlign w:val="center"/>
          </w:tcPr>
          <w:p w14:paraId="1C3CC7E9">
            <w:pPr>
              <w:jc w:val="center"/>
              <w:rPr>
                <w:rFonts w:hint="eastAsia"/>
              </w:rPr>
            </w:pPr>
            <w:r>
              <w:rPr>
                <w:rFonts w:hint="eastAsia"/>
              </w:rPr>
              <w:t>条款名称</w:t>
            </w:r>
          </w:p>
        </w:tc>
        <w:tc>
          <w:tcPr>
            <w:tcW w:w="1925" w:type="dxa"/>
            <w:noWrap w:val="0"/>
            <w:vAlign w:val="center"/>
          </w:tcPr>
          <w:p w14:paraId="41EF36D9">
            <w:pPr>
              <w:jc w:val="center"/>
              <w:rPr>
                <w:rFonts w:hint="eastAsia"/>
              </w:rPr>
            </w:pPr>
            <w:r>
              <w:rPr>
                <w:rFonts w:hint="eastAsia"/>
              </w:rPr>
              <w:t>合同条款号</w:t>
            </w:r>
          </w:p>
        </w:tc>
        <w:tc>
          <w:tcPr>
            <w:tcW w:w="1925" w:type="dxa"/>
            <w:noWrap w:val="0"/>
            <w:vAlign w:val="center"/>
          </w:tcPr>
          <w:p w14:paraId="4463EE71">
            <w:pPr>
              <w:jc w:val="center"/>
              <w:rPr>
                <w:rFonts w:hint="eastAsia"/>
              </w:rPr>
            </w:pPr>
            <w:r>
              <w:rPr>
                <w:rFonts w:hint="eastAsia"/>
              </w:rPr>
              <w:t>约定内容</w:t>
            </w:r>
          </w:p>
        </w:tc>
        <w:tc>
          <w:tcPr>
            <w:tcW w:w="1756" w:type="dxa"/>
            <w:noWrap w:val="0"/>
            <w:vAlign w:val="center"/>
          </w:tcPr>
          <w:p w14:paraId="0F763A7A">
            <w:pPr>
              <w:jc w:val="center"/>
            </w:pPr>
            <w:r>
              <w:rPr>
                <w:rFonts w:hint="eastAsia"/>
              </w:rPr>
              <w:t>备注</w:t>
            </w:r>
          </w:p>
        </w:tc>
      </w:tr>
      <w:tr w14:paraId="37FA8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0DA75CF6">
            <w:pPr>
              <w:jc w:val="center"/>
              <w:rPr>
                <w:rFonts w:hint="eastAsia"/>
              </w:rPr>
            </w:pPr>
            <w:r>
              <w:rPr>
                <w:rFonts w:hint="eastAsia"/>
              </w:rPr>
              <w:t>1</w:t>
            </w:r>
          </w:p>
        </w:tc>
        <w:tc>
          <w:tcPr>
            <w:tcW w:w="2861" w:type="dxa"/>
            <w:noWrap w:val="0"/>
            <w:vAlign w:val="top"/>
          </w:tcPr>
          <w:p w14:paraId="5F787290">
            <w:pPr>
              <w:rPr>
                <w:rFonts w:hint="eastAsia"/>
              </w:rPr>
            </w:pPr>
            <w:r>
              <w:rPr>
                <w:rFonts w:hint="eastAsia"/>
              </w:rPr>
              <w:t>项目经理</w:t>
            </w:r>
          </w:p>
        </w:tc>
        <w:tc>
          <w:tcPr>
            <w:tcW w:w="1925" w:type="dxa"/>
            <w:noWrap w:val="0"/>
            <w:vAlign w:val="top"/>
          </w:tcPr>
          <w:p w14:paraId="5CBFA967">
            <w:pPr>
              <w:rPr>
                <w:rFonts w:hint="eastAsia"/>
              </w:rPr>
            </w:pPr>
            <w:r>
              <w:rPr>
                <w:rFonts w:hint="eastAsia"/>
              </w:rPr>
              <w:t>1.1.2.4</w:t>
            </w:r>
          </w:p>
        </w:tc>
        <w:tc>
          <w:tcPr>
            <w:tcW w:w="1925" w:type="dxa"/>
            <w:noWrap w:val="0"/>
            <w:vAlign w:val="top"/>
          </w:tcPr>
          <w:p w14:paraId="5DE8B97A">
            <w:pPr>
              <w:rPr>
                <w:rFonts w:hint="eastAsia"/>
              </w:rPr>
            </w:pPr>
            <w:r>
              <w:rPr>
                <w:rFonts w:hint="eastAsia"/>
              </w:rPr>
              <w:t>姓名：　　　</w:t>
            </w:r>
          </w:p>
        </w:tc>
        <w:tc>
          <w:tcPr>
            <w:tcW w:w="1756" w:type="dxa"/>
            <w:noWrap w:val="0"/>
            <w:vAlign w:val="top"/>
          </w:tcPr>
          <w:p w14:paraId="60505AC7">
            <w:pPr>
              <w:rPr>
                <w:rFonts w:hint="eastAsia"/>
              </w:rPr>
            </w:pPr>
          </w:p>
        </w:tc>
      </w:tr>
      <w:tr w14:paraId="2AA91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15840B57">
            <w:pPr>
              <w:jc w:val="center"/>
              <w:rPr>
                <w:rFonts w:hint="eastAsia"/>
              </w:rPr>
            </w:pPr>
            <w:r>
              <w:rPr>
                <w:rFonts w:hint="eastAsia"/>
              </w:rPr>
              <w:t>2</w:t>
            </w:r>
          </w:p>
        </w:tc>
        <w:tc>
          <w:tcPr>
            <w:tcW w:w="2861" w:type="dxa"/>
            <w:noWrap w:val="0"/>
            <w:vAlign w:val="top"/>
          </w:tcPr>
          <w:p w14:paraId="24ED9491">
            <w:pPr>
              <w:rPr>
                <w:rFonts w:hint="eastAsia"/>
              </w:rPr>
            </w:pPr>
            <w:r>
              <w:rPr>
                <w:rFonts w:hint="eastAsia"/>
              </w:rPr>
              <w:t>工期</w:t>
            </w:r>
          </w:p>
        </w:tc>
        <w:tc>
          <w:tcPr>
            <w:tcW w:w="1925" w:type="dxa"/>
            <w:noWrap w:val="0"/>
            <w:vAlign w:val="top"/>
          </w:tcPr>
          <w:p w14:paraId="46F00588">
            <w:pPr>
              <w:rPr>
                <w:rFonts w:hint="eastAsia"/>
              </w:rPr>
            </w:pPr>
            <w:r>
              <w:rPr>
                <w:rFonts w:hint="eastAsia"/>
              </w:rPr>
              <w:t>1.1.4.3</w:t>
            </w:r>
          </w:p>
        </w:tc>
        <w:tc>
          <w:tcPr>
            <w:tcW w:w="1925" w:type="dxa"/>
            <w:noWrap w:val="0"/>
            <w:vAlign w:val="top"/>
          </w:tcPr>
          <w:p w14:paraId="31052E3C">
            <w:pPr>
              <w:rPr>
                <w:rFonts w:hint="eastAsia"/>
              </w:rPr>
            </w:pPr>
            <w:r>
              <w:rPr>
                <w:rFonts w:hint="eastAsia"/>
              </w:rPr>
              <w:t>天数：　　日历天</w:t>
            </w:r>
          </w:p>
        </w:tc>
        <w:tc>
          <w:tcPr>
            <w:tcW w:w="1756" w:type="dxa"/>
            <w:noWrap w:val="0"/>
            <w:vAlign w:val="top"/>
          </w:tcPr>
          <w:p w14:paraId="49C9B385">
            <w:pPr>
              <w:rPr>
                <w:rFonts w:hint="eastAsia"/>
              </w:rPr>
            </w:pPr>
          </w:p>
        </w:tc>
      </w:tr>
      <w:tr w14:paraId="690B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6F310776">
            <w:pPr>
              <w:jc w:val="center"/>
              <w:rPr>
                <w:rFonts w:hint="eastAsia"/>
              </w:rPr>
            </w:pPr>
            <w:r>
              <w:rPr>
                <w:rFonts w:hint="eastAsia"/>
              </w:rPr>
              <w:t>3</w:t>
            </w:r>
          </w:p>
        </w:tc>
        <w:tc>
          <w:tcPr>
            <w:tcW w:w="2861" w:type="dxa"/>
            <w:noWrap w:val="0"/>
            <w:vAlign w:val="top"/>
          </w:tcPr>
          <w:p w14:paraId="5501A0F0">
            <w:pPr>
              <w:rPr>
                <w:rFonts w:hint="eastAsia"/>
              </w:rPr>
            </w:pPr>
            <w:r>
              <w:rPr>
                <w:rFonts w:hint="eastAsia"/>
              </w:rPr>
              <w:t>缺陷责任期(工程质量保修期)</w:t>
            </w:r>
          </w:p>
        </w:tc>
        <w:tc>
          <w:tcPr>
            <w:tcW w:w="1925" w:type="dxa"/>
            <w:noWrap w:val="0"/>
            <w:vAlign w:val="top"/>
          </w:tcPr>
          <w:p w14:paraId="28B8EAE7">
            <w:pPr>
              <w:rPr>
                <w:rFonts w:hint="eastAsia"/>
              </w:rPr>
            </w:pPr>
            <w:r>
              <w:rPr>
                <w:rFonts w:hint="eastAsia"/>
              </w:rPr>
              <w:t>1.1.4.5</w:t>
            </w:r>
          </w:p>
        </w:tc>
        <w:tc>
          <w:tcPr>
            <w:tcW w:w="1925" w:type="dxa"/>
            <w:noWrap w:val="0"/>
            <w:vAlign w:val="top"/>
          </w:tcPr>
          <w:p w14:paraId="233C7E59">
            <w:pPr>
              <w:rPr>
                <w:rFonts w:hint="eastAsia"/>
              </w:rPr>
            </w:pPr>
          </w:p>
        </w:tc>
        <w:tc>
          <w:tcPr>
            <w:tcW w:w="1756" w:type="dxa"/>
            <w:noWrap w:val="0"/>
            <w:vAlign w:val="top"/>
          </w:tcPr>
          <w:p w14:paraId="598E70E6">
            <w:pPr>
              <w:rPr>
                <w:rFonts w:hint="eastAsia"/>
              </w:rPr>
            </w:pPr>
          </w:p>
        </w:tc>
      </w:tr>
      <w:tr w14:paraId="43073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070B2BB6">
            <w:pPr>
              <w:jc w:val="center"/>
              <w:rPr>
                <w:rFonts w:hint="eastAsia"/>
              </w:rPr>
            </w:pPr>
            <w:r>
              <w:rPr>
                <w:rFonts w:hint="eastAsia"/>
              </w:rPr>
              <w:t>4</w:t>
            </w:r>
          </w:p>
        </w:tc>
        <w:tc>
          <w:tcPr>
            <w:tcW w:w="2861" w:type="dxa"/>
            <w:noWrap w:val="0"/>
            <w:vAlign w:val="top"/>
          </w:tcPr>
          <w:p w14:paraId="067BDA07">
            <w:pPr>
              <w:rPr>
                <w:rFonts w:hint="eastAsia"/>
              </w:rPr>
            </w:pPr>
            <w:r>
              <w:rPr>
                <w:rFonts w:hint="eastAsia"/>
              </w:rPr>
              <w:t>分包</w:t>
            </w:r>
          </w:p>
        </w:tc>
        <w:tc>
          <w:tcPr>
            <w:tcW w:w="1925" w:type="dxa"/>
            <w:noWrap w:val="0"/>
            <w:vAlign w:val="top"/>
          </w:tcPr>
          <w:p w14:paraId="0572B959">
            <w:pPr>
              <w:rPr>
                <w:rFonts w:hint="eastAsia"/>
              </w:rPr>
            </w:pPr>
            <w:r>
              <w:rPr>
                <w:rFonts w:hint="eastAsia"/>
              </w:rPr>
              <w:t>4.3</w:t>
            </w:r>
          </w:p>
        </w:tc>
        <w:tc>
          <w:tcPr>
            <w:tcW w:w="1925" w:type="dxa"/>
            <w:noWrap w:val="0"/>
            <w:vAlign w:val="top"/>
          </w:tcPr>
          <w:p w14:paraId="564A3C03">
            <w:pPr>
              <w:rPr>
                <w:rFonts w:hint="eastAsia"/>
              </w:rPr>
            </w:pPr>
          </w:p>
        </w:tc>
        <w:tc>
          <w:tcPr>
            <w:tcW w:w="1756" w:type="dxa"/>
            <w:noWrap w:val="0"/>
            <w:vAlign w:val="top"/>
          </w:tcPr>
          <w:p w14:paraId="53BCA291">
            <w:pPr>
              <w:rPr>
                <w:rFonts w:hint="eastAsia"/>
              </w:rPr>
            </w:pPr>
          </w:p>
        </w:tc>
      </w:tr>
      <w:tr w14:paraId="515E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7207E72F">
            <w:pPr>
              <w:jc w:val="center"/>
              <w:rPr>
                <w:rFonts w:hint="eastAsia"/>
              </w:rPr>
            </w:pPr>
          </w:p>
        </w:tc>
        <w:tc>
          <w:tcPr>
            <w:tcW w:w="2861" w:type="dxa"/>
            <w:noWrap w:val="0"/>
            <w:vAlign w:val="top"/>
          </w:tcPr>
          <w:p w14:paraId="5161DDDE">
            <w:pPr>
              <w:rPr>
                <w:rFonts w:hint="eastAsia"/>
              </w:rPr>
            </w:pPr>
          </w:p>
        </w:tc>
        <w:tc>
          <w:tcPr>
            <w:tcW w:w="1925" w:type="dxa"/>
            <w:noWrap w:val="0"/>
            <w:vAlign w:val="top"/>
          </w:tcPr>
          <w:p w14:paraId="4483CB78">
            <w:pPr>
              <w:rPr>
                <w:rFonts w:hint="eastAsia"/>
              </w:rPr>
            </w:pPr>
          </w:p>
        </w:tc>
        <w:tc>
          <w:tcPr>
            <w:tcW w:w="1925" w:type="dxa"/>
            <w:noWrap w:val="0"/>
            <w:vAlign w:val="top"/>
          </w:tcPr>
          <w:p w14:paraId="6821B13B">
            <w:pPr>
              <w:rPr>
                <w:rFonts w:hint="eastAsia"/>
              </w:rPr>
            </w:pPr>
          </w:p>
        </w:tc>
        <w:tc>
          <w:tcPr>
            <w:tcW w:w="1756" w:type="dxa"/>
            <w:noWrap w:val="0"/>
            <w:vAlign w:val="top"/>
          </w:tcPr>
          <w:p w14:paraId="5A32868A">
            <w:pPr>
              <w:rPr>
                <w:rFonts w:hint="eastAsia"/>
              </w:rPr>
            </w:pPr>
          </w:p>
        </w:tc>
      </w:tr>
      <w:tr w14:paraId="31123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22819B31">
            <w:pPr>
              <w:jc w:val="center"/>
              <w:rPr>
                <w:rFonts w:hint="eastAsia"/>
              </w:rPr>
            </w:pPr>
            <w:r>
              <w:rPr>
                <w:rFonts w:hint="eastAsia"/>
              </w:rPr>
              <w:t>……</w:t>
            </w:r>
          </w:p>
        </w:tc>
        <w:tc>
          <w:tcPr>
            <w:tcW w:w="2861" w:type="dxa"/>
            <w:noWrap w:val="0"/>
            <w:vAlign w:val="top"/>
          </w:tcPr>
          <w:p w14:paraId="578F1E68">
            <w:pPr>
              <w:rPr>
                <w:rFonts w:hint="eastAsia"/>
              </w:rPr>
            </w:pPr>
            <w:r>
              <w:rPr>
                <w:rFonts w:hint="eastAsia"/>
              </w:rPr>
              <w:t>……</w:t>
            </w:r>
          </w:p>
        </w:tc>
        <w:tc>
          <w:tcPr>
            <w:tcW w:w="1925" w:type="dxa"/>
            <w:noWrap w:val="0"/>
            <w:vAlign w:val="top"/>
          </w:tcPr>
          <w:p w14:paraId="23999164">
            <w:pPr>
              <w:rPr>
                <w:rFonts w:hint="eastAsia"/>
              </w:rPr>
            </w:pPr>
            <w:r>
              <w:rPr>
                <w:rFonts w:hint="eastAsia"/>
              </w:rPr>
              <w:t>……</w:t>
            </w:r>
          </w:p>
        </w:tc>
        <w:tc>
          <w:tcPr>
            <w:tcW w:w="1925" w:type="dxa"/>
            <w:noWrap w:val="0"/>
            <w:vAlign w:val="top"/>
          </w:tcPr>
          <w:p w14:paraId="1B0EA233">
            <w:pPr>
              <w:rPr>
                <w:rFonts w:hint="eastAsia"/>
              </w:rPr>
            </w:pPr>
            <w:r>
              <w:rPr>
                <w:rFonts w:hint="eastAsia"/>
              </w:rPr>
              <w:t>……</w:t>
            </w:r>
          </w:p>
        </w:tc>
        <w:tc>
          <w:tcPr>
            <w:tcW w:w="1756" w:type="dxa"/>
            <w:noWrap w:val="0"/>
            <w:vAlign w:val="top"/>
          </w:tcPr>
          <w:p w14:paraId="04ABEA15">
            <w:pPr>
              <w:rPr>
                <w:rFonts w:hint="eastAsia"/>
              </w:rPr>
            </w:pPr>
          </w:p>
        </w:tc>
      </w:tr>
      <w:tr w14:paraId="1DCE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6" w:type="dxa"/>
            <w:noWrap w:val="0"/>
            <w:vAlign w:val="center"/>
          </w:tcPr>
          <w:p w14:paraId="2F962806">
            <w:pPr>
              <w:jc w:val="center"/>
              <w:rPr>
                <w:rFonts w:hint="eastAsia"/>
              </w:rPr>
            </w:pPr>
            <w:r>
              <w:rPr>
                <w:rFonts w:hint="eastAsia"/>
              </w:rPr>
              <w:t>……</w:t>
            </w:r>
          </w:p>
        </w:tc>
        <w:tc>
          <w:tcPr>
            <w:tcW w:w="2861" w:type="dxa"/>
            <w:noWrap w:val="0"/>
            <w:vAlign w:val="top"/>
          </w:tcPr>
          <w:p w14:paraId="208F474C">
            <w:pPr>
              <w:rPr>
                <w:rFonts w:hint="eastAsia"/>
              </w:rPr>
            </w:pPr>
            <w:r>
              <w:rPr>
                <w:rFonts w:hint="eastAsia"/>
              </w:rPr>
              <w:t>……</w:t>
            </w:r>
          </w:p>
        </w:tc>
        <w:tc>
          <w:tcPr>
            <w:tcW w:w="1925" w:type="dxa"/>
            <w:noWrap w:val="0"/>
            <w:vAlign w:val="top"/>
          </w:tcPr>
          <w:p w14:paraId="3597944B">
            <w:pPr>
              <w:rPr>
                <w:rFonts w:hint="eastAsia"/>
              </w:rPr>
            </w:pPr>
            <w:r>
              <w:rPr>
                <w:rFonts w:hint="eastAsia"/>
              </w:rPr>
              <w:t>……</w:t>
            </w:r>
          </w:p>
        </w:tc>
        <w:tc>
          <w:tcPr>
            <w:tcW w:w="1925" w:type="dxa"/>
            <w:noWrap w:val="0"/>
            <w:vAlign w:val="top"/>
          </w:tcPr>
          <w:p w14:paraId="12A86007">
            <w:pPr>
              <w:rPr>
                <w:rFonts w:hint="eastAsia"/>
              </w:rPr>
            </w:pPr>
            <w:r>
              <w:rPr>
                <w:rFonts w:hint="eastAsia"/>
              </w:rPr>
              <w:t>……</w:t>
            </w:r>
          </w:p>
        </w:tc>
        <w:tc>
          <w:tcPr>
            <w:tcW w:w="1756" w:type="dxa"/>
            <w:noWrap w:val="0"/>
            <w:vAlign w:val="top"/>
          </w:tcPr>
          <w:p w14:paraId="521BC5EB">
            <w:pPr>
              <w:rPr>
                <w:rFonts w:hint="eastAsia"/>
              </w:rPr>
            </w:pPr>
          </w:p>
        </w:tc>
      </w:tr>
    </w:tbl>
    <w:p w14:paraId="0038C2DC">
      <w:pPr>
        <w:spacing w:line="254" w:lineRule="auto"/>
        <w:rPr>
          <w:rFonts w:ascii="Arial"/>
          <w:color w:val="auto"/>
          <w:sz w:val="21"/>
        </w:rPr>
      </w:pPr>
    </w:p>
    <w:p w14:paraId="00AAA58A">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2"/>
          <w:sz w:val="23"/>
          <w:szCs w:val="23"/>
        </w:rPr>
        <w:t>投 标 人：</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(盖单位章)</w:t>
      </w:r>
      <w:r>
        <w:rPr>
          <w:rFonts w:ascii="宋体" w:hAnsi="宋体" w:eastAsia="宋体" w:cs="宋体"/>
          <w:color w:val="auto"/>
          <w:sz w:val="23"/>
          <w:szCs w:val="23"/>
        </w:rPr>
        <w:t xml:space="preserve">    </w:t>
      </w:r>
      <w:r>
        <w:rPr>
          <w:rFonts w:ascii="宋体" w:hAnsi="宋体" w:eastAsia="宋体" w:cs="宋体"/>
          <w:color w:val="auto"/>
          <w:spacing w:val="-1"/>
          <w:sz w:val="23"/>
          <w:szCs w:val="23"/>
        </w:rPr>
        <w:t>法定代表人或其委托代理人：</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w:t>
      </w:r>
      <w:r>
        <w:rPr>
          <w:rFonts w:ascii="宋体" w:hAnsi="宋体" w:eastAsia="宋体" w:cs="宋体"/>
          <w:color w:val="auto"/>
          <w:sz w:val="23"/>
          <w:szCs w:val="23"/>
        </w:rPr>
        <w:t xml:space="preserve">签字或盖章) </w:t>
      </w:r>
      <w:r>
        <w:rPr>
          <w:rFonts w:ascii="宋体" w:hAnsi="宋体" w:eastAsia="宋体" w:cs="宋体"/>
          <w:color w:val="auto"/>
          <w:spacing w:val="-6"/>
          <w:sz w:val="23"/>
          <w:szCs w:val="23"/>
        </w:rPr>
        <w:t>地址：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p>
    <w:p w14:paraId="0CC085A9">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6"/>
          <w:sz w:val="23"/>
          <w:szCs w:val="23"/>
        </w:rPr>
        <w:t>网址：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p>
    <w:p w14:paraId="06123ADE">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6"/>
          <w:sz w:val="23"/>
          <w:szCs w:val="23"/>
        </w:rPr>
        <w:t>电话：</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p>
    <w:p w14:paraId="7CC0EF09">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6"/>
          <w:sz w:val="23"/>
          <w:szCs w:val="23"/>
        </w:rPr>
        <w:t>传真：</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8"/>
          <w:sz w:val="23"/>
          <w:szCs w:val="23"/>
        </w:rPr>
        <w:t>邮</w:t>
      </w:r>
      <w:r>
        <w:rPr>
          <w:rFonts w:ascii="宋体" w:hAnsi="宋体" w:eastAsia="宋体" w:cs="宋体"/>
          <w:color w:val="auto"/>
          <w:spacing w:val="6"/>
          <w:sz w:val="23"/>
          <w:szCs w:val="23"/>
        </w:rPr>
        <w:t>政编码：</w:t>
      </w:r>
      <w:r>
        <w:rPr>
          <w:rFonts w:ascii="宋体" w:hAnsi="宋体" w:eastAsia="宋体" w:cs="宋体"/>
          <w:color w:val="auto"/>
          <w:sz w:val="23"/>
          <w:szCs w:val="23"/>
          <w:u w:val="single" w:color="auto"/>
        </w:rPr>
        <w:t xml:space="preserve">                                   </w:t>
      </w:r>
    </w:p>
    <w:p w14:paraId="71BA0D01">
      <w:pPr>
        <w:spacing w:line="257" w:lineRule="auto"/>
        <w:rPr>
          <w:rFonts w:ascii="Arial"/>
          <w:color w:val="auto"/>
          <w:sz w:val="21"/>
        </w:rPr>
      </w:pPr>
    </w:p>
    <w:p w14:paraId="48A76687">
      <w:pPr>
        <w:tabs>
          <w:tab w:val="left" w:pos="5484"/>
        </w:tabs>
        <w:spacing w:before="74" w:line="228" w:lineRule="auto"/>
        <w:ind w:left="4393"/>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4"/>
          <w:sz w:val="23"/>
          <w:szCs w:val="23"/>
        </w:rPr>
        <w:t>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日</w:t>
      </w:r>
    </w:p>
    <w:p w14:paraId="217F9310">
      <w:pPr>
        <w:rPr>
          <w:color w:val="auto"/>
        </w:rPr>
        <w:sectPr>
          <w:footerReference r:id="rId14" w:type="default"/>
          <w:pgSz w:w="11906" w:h="16839"/>
          <w:pgMar w:top="400" w:right="1096" w:bottom="1153" w:left="1186" w:header="0" w:footer="996" w:gutter="0"/>
          <w:cols w:space="720" w:num="1"/>
        </w:sectPr>
      </w:pPr>
    </w:p>
    <w:p w14:paraId="6BAC56C3">
      <w:pPr>
        <w:spacing w:line="285" w:lineRule="auto"/>
        <w:rPr>
          <w:rFonts w:ascii="Arial"/>
          <w:color w:val="auto"/>
          <w:sz w:val="21"/>
        </w:rPr>
      </w:pPr>
    </w:p>
    <w:p w14:paraId="6E620212">
      <w:pPr>
        <w:spacing w:line="285" w:lineRule="auto"/>
        <w:rPr>
          <w:rFonts w:ascii="Arial"/>
          <w:color w:val="auto"/>
          <w:sz w:val="21"/>
        </w:rPr>
      </w:pPr>
    </w:p>
    <w:p w14:paraId="3ABEBAEE">
      <w:pPr>
        <w:spacing w:line="286" w:lineRule="auto"/>
        <w:rPr>
          <w:rFonts w:ascii="Arial"/>
          <w:color w:val="auto"/>
          <w:sz w:val="21"/>
        </w:rPr>
      </w:pPr>
    </w:p>
    <w:p w14:paraId="53F6A66B">
      <w:pPr>
        <w:spacing w:line="286" w:lineRule="auto"/>
        <w:rPr>
          <w:rFonts w:ascii="Arial"/>
          <w:color w:val="auto"/>
          <w:sz w:val="21"/>
        </w:rPr>
      </w:pPr>
    </w:p>
    <w:p w14:paraId="3AE29558">
      <w:pPr>
        <w:spacing w:before="65" w:line="271" w:lineRule="exact"/>
        <w:ind w:left="3113"/>
        <w:outlineLvl w:val="1"/>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、法定代表人身份证明</w:t>
      </w:r>
    </w:p>
    <w:p w14:paraId="511E4AC4">
      <w:pPr>
        <w:spacing w:before="161" w:line="405" w:lineRule="auto"/>
        <w:ind w:left="264"/>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6"/>
          <w:sz w:val="20"/>
          <w:szCs w:val="20"/>
        </w:rPr>
        <w:t>标人名称：</w:t>
      </w:r>
      <w:r>
        <w:rPr>
          <w:rFonts w:ascii="宋体" w:hAnsi="宋体" w:eastAsia="宋体" w:cs="宋体"/>
          <w:color w:val="auto"/>
          <w:sz w:val="20"/>
          <w:szCs w:val="20"/>
          <w:u w:val="single" w:color="auto"/>
        </w:rPr>
        <w:t xml:space="preserve">                              </w:t>
      </w:r>
    </w:p>
    <w:p w14:paraId="10E0D647">
      <w:pPr>
        <w:spacing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5"/>
          <w:sz w:val="20"/>
          <w:szCs w:val="20"/>
        </w:rPr>
        <w:t>位性质：</w:t>
      </w:r>
      <w:r>
        <w:rPr>
          <w:rFonts w:ascii="宋体" w:hAnsi="宋体" w:eastAsia="宋体" w:cs="宋体"/>
          <w:color w:val="auto"/>
          <w:sz w:val="20"/>
          <w:szCs w:val="20"/>
          <w:u w:val="single" w:color="auto"/>
        </w:rPr>
        <w:t xml:space="preserve">                                  </w:t>
      </w:r>
    </w:p>
    <w:p w14:paraId="7AED899B">
      <w:pPr>
        <w:spacing w:before="193" w:line="238" w:lineRule="auto"/>
        <w:ind w:left="262"/>
        <w:rPr>
          <w:rFonts w:ascii="宋体" w:hAnsi="宋体" w:eastAsia="宋体" w:cs="宋体"/>
          <w:color w:val="auto"/>
          <w:sz w:val="20"/>
          <w:szCs w:val="20"/>
        </w:rPr>
      </w:pP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5120025F">
      <w:pPr>
        <w:spacing w:before="182" w:line="228" w:lineRule="auto"/>
        <w:ind w:left="263"/>
        <w:rPr>
          <w:rFonts w:ascii="宋体" w:hAnsi="宋体" w:eastAsia="宋体" w:cs="宋体"/>
          <w:color w:val="auto"/>
          <w:sz w:val="20"/>
          <w:szCs w:val="20"/>
        </w:rPr>
      </w:pPr>
      <w:r>
        <w:rPr>
          <w:rFonts w:ascii="宋体" w:hAnsi="宋体" w:eastAsia="宋体" w:cs="宋体"/>
          <w:color w:val="auto"/>
          <w:spacing w:val="1"/>
          <w:sz w:val="20"/>
          <w:szCs w:val="20"/>
        </w:rPr>
        <w:t>成立时间：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月</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0CC28C08">
      <w:pPr>
        <w:spacing w:before="191"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经</w:t>
      </w:r>
      <w:r>
        <w:rPr>
          <w:rFonts w:ascii="宋体" w:hAnsi="宋体" w:eastAsia="宋体" w:cs="宋体"/>
          <w:color w:val="auto"/>
          <w:spacing w:val="5"/>
          <w:sz w:val="20"/>
          <w:szCs w:val="20"/>
        </w:rPr>
        <w:t>营期限：</w:t>
      </w:r>
      <w:r>
        <w:rPr>
          <w:rFonts w:ascii="宋体" w:hAnsi="宋体" w:eastAsia="宋体" w:cs="宋体"/>
          <w:color w:val="auto"/>
          <w:sz w:val="20"/>
          <w:szCs w:val="20"/>
          <w:u w:val="single" w:color="auto"/>
        </w:rPr>
        <w:t xml:space="preserve">                                  </w:t>
      </w:r>
    </w:p>
    <w:p w14:paraId="3DFBCCF1">
      <w:pPr>
        <w:spacing w:before="193" w:line="228" w:lineRule="auto"/>
        <w:ind w:left="262"/>
        <w:rPr>
          <w:rFonts w:ascii="宋体" w:hAnsi="宋体" w:eastAsia="宋体" w:cs="宋体"/>
          <w:color w:val="auto"/>
          <w:sz w:val="20"/>
          <w:szCs w:val="20"/>
        </w:rPr>
      </w:pPr>
      <w:r>
        <w:rPr>
          <w:rFonts w:ascii="宋体" w:hAnsi="宋体" w:eastAsia="宋体" w:cs="宋体"/>
          <w:color w:val="auto"/>
          <w:spacing w:val="-13"/>
          <w:sz w:val="20"/>
          <w:szCs w:val="20"/>
        </w:rPr>
        <w:t>姓</w:t>
      </w:r>
      <w:r>
        <w:rPr>
          <w:rFonts w:ascii="宋体" w:hAnsi="宋体" w:eastAsia="宋体" w:cs="宋体"/>
          <w:color w:val="auto"/>
          <w:spacing w:val="-8"/>
          <w:sz w:val="20"/>
          <w:szCs w:val="20"/>
        </w:rPr>
        <w:t>名：</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性别：</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年龄：</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职务：</w:t>
      </w:r>
      <w:r>
        <w:rPr>
          <w:rFonts w:ascii="宋体" w:hAnsi="宋体" w:eastAsia="宋体" w:cs="宋体"/>
          <w:color w:val="auto"/>
          <w:sz w:val="20"/>
          <w:szCs w:val="20"/>
          <w:u w:val="single" w:color="auto"/>
        </w:rPr>
        <w:t xml:space="preserve">         </w:t>
      </w:r>
    </w:p>
    <w:p w14:paraId="650EEA20">
      <w:pPr>
        <w:spacing w:before="192" w:line="405" w:lineRule="auto"/>
        <w:ind w:left="266"/>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(投标人名称) 的法定代表人。</w:t>
      </w:r>
    </w:p>
    <w:p w14:paraId="2D2BF353">
      <w:pPr>
        <w:spacing w:before="1" w:line="228" w:lineRule="auto"/>
        <w:ind w:left="682"/>
        <w:rPr>
          <w:rFonts w:ascii="宋体" w:hAnsi="宋体" w:eastAsia="宋体" w:cs="宋体"/>
          <w:color w:val="auto"/>
          <w:sz w:val="20"/>
          <w:szCs w:val="20"/>
        </w:rPr>
      </w:pPr>
      <w:r>
        <w:rPr>
          <w:rFonts w:ascii="宋体" w:hAnsi="宋体" w:eastAsia="宋体" w:cs="宋体"/>
          <w:color w:val="auto"/>
          <w:spacing w:val="6"/>
          <w:sz w:val="20"/>
          <w:szCs w:val="20"/>
        </w:rPr>
        <w:t>特此证明</w:t>
      </w:r>
      <w:r>
        <w:rPr>
          <w:rFonts w:ascii="宋体" w:hAnsi="宋体" w:eastAsia="宋体" w:cs="宋体"/>
          <w:color w:val="auto"/>
          <w:spacing w:val="5"/>
          <w:sz w:val="20"/>
          <w:szCs w:val="20"/>
        </w:rPr>
        <w:t>。</w:t>
      </w:r>
    </w:p>
    <w:p w14:paraId="627FC1FF">
      <w:pPr>
        <w:spacing w:line="282" w:lineRule="auto"/>
        <w:rPr>
          <w:rFonts w:ascii="Arial"/>
          <w:color w:val="auto"/>
          <w:sz w:val="21"/>
        </w:rPr>
      </w:pPr>
    </w:p>
    <w:p w14:paraId="0872161A">
      <w:pPr>
        <w:pStyle w:val="4"/>
        <w:rPr>
          <w:rFonts w:ascii="Arial"/>
          <w:color w:val="auto"/>
          <w:sz w:val="21"/>
        </w:rPr>
      </w:pPr>
    </w:p>
    <w:p w14:paraId="0BFF6FCB">
      <w:pPr>
        <w:rPr>
          <w:rFonts w:hint="eastAsia" w:ascii="宋体" w:hAnsi="宋体" w:eastAsia="宋体" w:cs="宋体"/>
          <w:color w:val="auto"/>
          <w:sz w:val="21"/>
        </w:rPr>
      </w:pPr>
    </w:p>
    <w:p w14:paraId="23C79470">
      <w:pPr>
        <w:pStyle w:val="4"/>
        <w:jc w:val="center"/>
        <w:rPr>
          <w:rFonts w:hint="eastAsia" w:ascii="宋体" w:hAnsi="宋体" w:eastAsia="宋体" w:cs="宋体"/>
          <w:color w:val="auto"/>
        </w:rPr>
      </w:pPr>
      <w:r>
        <w:rPr>
          <w:rFonts w:hint="eastAsia" w:ascii="宋体" w:hAnsi="宋体" w:eastAsia="宋体" w:cs="宋体"/>
          <w:color w:val="auto"/>
        </w:rPr>
        <w:t>法定代表人身份证复印件</w:t>
      </w:r>
    </w:p>
    <w:p w14:paraId="37ECC4B7">
      <w:pPr>
        <w:pStyle w:val="4"/>
        <w:jc w:val="center"/>
        <w:rPr>
          <w:rFonts w:hint="eastAsia" w:ascii="宋体" w:hAnsi="宋体" w:eastAsia="宋体" w:cs="宋体"/>
          <w:color w:val="auto"/>
        </w:rPr>
      </w:pPr>
      <w:r>
        <w:rPr>
          <w:rFonts w:hint="eastAsia" w:ascii="宋体" w:hAnsi="宋体" w:eastAsia="宋体" w:cs="宋体"/>
          <w:color w:val="auto"/>
        </w:rPr>
        <w:t>（正反面）</w:t>
      </w:r>
    </w:p>
    <w:p w14:paraId="63657EBA">
      <w:pPr>
        <w:pStyle w:val="4"/>
        <w:rPr>
          <w:color w:val="auto"/>
        </w:rPr>
      </w:pPr>
    </w:p>
    <w:p w14:paraId="2036CD61">
      <w:pPr>
        <w:spacing w:line="283" w:lineRule="auto"/>
        <w:rPr>
          <w:rFonts w:ascii="Arial"/>
          <w:color w:val="auto"/>
          <w:sz w:val="21"/>
        </w:rPr>
      </w:pPr>
    </w:p>
    <w:p w14:paraId="340FC9A4">
      <w:pPr>
        <w:tabs>
          <w:tab w:val="left" w:pos="5197"/>
        </w:tabs>
        <w:spacing w:before="65" w:line="412" w:lineRule="auto"/>
        <w:ind w:left="4453" w:right="1214" w:hanging="934"/>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559BC045">
      <w:pPr>
        <w:rPr>
          <w:color w:val="auto"/>
        </w:rPr>
        <w:sectPr>
          <w:footerReference r:id="rId15" w:type="default"/>
          <w:pgSz w:w="11906" w:h="16839"/>
          <w:pgMar w:top="400" w:right="1532" w:bottom="1156" w:left="1785" w:header="0" w:footer="996" w:gutter="0"/>
          <w:cols w:space="720" w:num="1"/>
        </w:sectPr>
      </w:pPr>
    </w:p>
    <w:p w14:paraId="334E516A">
      <w:pPr>
        <w:spacing w:line="246" w:lineRule="auto"/>
        <w:rPr>
          <w:rFonts w:ascii="Arial"/>
          <w:color w:val="auto"/>
          <w:sz w:val="21"/>
        </w:rPr>
      </w:pPr>
    </w:p>
    <w:p w14:paraId="6B586482">
      <w:pPr>
        <w:spacing w:line="246" w:lineRule="auto"/>
        <w:rPr>
          <w:rFonts w:ascii="Arial"/>
          <w:color w:val="auto"/>
          <w:sz w:val="21"/>
        </w:rPr>
      </w:pPr>
    </w:p>
    <w:p w14:paraId="7CDBE0B0">
      <w:pPr>
        <w:spacing w:line="247" w:lineRule="auto"/>
        <w:rPr>
          <w:rFonts w:ascii="Arial"/>
          <w:color w:val="auto"/>
          <w:sz w:val="21"/>
        </w:rPr>
      </w:pPr>
    </w:p>
    <w:p w14:paraId="560D18E0">
      <w:pPr>
        <w:spacing w:line="247" w:lineRule="auto"/>
        <w:rPr>
          <w:rFonts w:ascii="Arial"/>
          <w:color w:val="auto"/>
          <w:sz w:val="21"/>
        </w:rPr>
      </w:pPr>
    </w:p>
    <w:p w14:paraId="4FEA2B5D">
      <w:pPr>
        <w:spacing w:line="247" w:lineRule="auto"/>
        <w:rPr>
          <w:rFonts w:ascii="Arial"/>
          <w:color w:val="auto"/>
          <w:sz w:val="21"/>
        </w:rPr>
      </w:pPr>
    </w:p>
    <w:p w14:paraId="4DE36EC5">
      <w:pPr>
        <w:spacing w:before="65" w:line="270" w:lineRule="exact"/>
        <w:ind w:left="3694"/>
        <w:outlineLvl w:val="1"/>
        <w:rPr>
          <w:rFonts w:ascii="宋体" w:hAnsi="宋体" w:eastAsia="宋体" w:cs="宋体"/>
          <w:color w:val="auto"/>
          <w:sz w:val="20"/>
          <w:szCs w:val="20"/>
        </w:rPr>
      </w:pP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3、授权委托</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书</w:t>
      </w:r>
    </w:p>
    <w:p w14:paraId="0FE017D0">
      <w:pPr>
        <w:spacing w:line="265" w:lineRule="auto"/>
        <w:rPr>
          <w:rFonts w:ascii="Arial"/>
          <w:color w:val="auto"/>
          <w:sz w:val="21"/>
        </w:rPr>
      </w:pPr>
    </w:p>
    <w:p w14:paraId="04FC986D">
      <w:pPr>
        <w:spacing w:line="266" w:lineRule="auto"/>
        <w:rPr>
          <w:rFonts w:ascii="Arial"/>
          <w:color w:val="auto"/>
          <w:sz w:val="21"/>
        </w:rPr>
      </w:pPr>
    </w:p>
    <w:p w14:paraId="04586AFC">
      <w:pPr>
        <w:tabs>
          <w:tab w:val="left" w:pos="108"/>
        </w:tabs>
        <w:spacing w:before="65" w:line="407" w:lineRule="auto"/>
        <w:ind w:right="1" w:firstLine="420"/>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13"/>
          <w:sz w:val="20"/>
          <w:szCs w:val="20"/>
        </w:rPr>
        <w:t>人</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 xml:space="preserve"> (姓名) 系</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(投标人名称) 的法定代表人，现委托</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(姓名)</w:t>
      </w:r>
      <w:r>
        <w:rPr>
          <w:rFonts w:ascii="宋体" w:hAnsi="宋体" w:eastAsia="宋体" w:cs="宋体"/>
          <w:color w:val="auto"/>
          <w:sz w:val="20"/>
          <w:szCs w:val="20"/>
        </w:rPr>
        <w:t xml:space="preserve"> </w:t>
      </w:r>
      <w:r>
        <w:rPr>
          <w:rFonts w:ascii="宋体" w:hAnsi="宋体" w:eastAsia="宋体" w:cs="宋体"/>
          <w:color w:val="auto"/>
          <w:spacing w:val="13"/>
          <w:sz w:val="20"/>
          <w:szCs w:val="20"/>
        </w:rPr>
        <w:t>为我方代理人。代理人根据授权， 以我方名义签署、澄清、说明、补正、递交、撤回、修</w:t>
      </w:r>
      <w:r>
        <w:rPr>
          <w:rFonts w:ascii="宋体" w:hAnsi="宋体" w:eastAsia="宋体" w:cs="宋体"/>
          <w:color w:val="auto"/>
          <w:spacing w:val="10"/>
          <w:sz w:val="20"/>
          <w:szCs w:val="20"/>
        </w:rPr>
        <w:t>改</w:t>
      </w:r>
      <w:r>
        <w:rPr>
          <w:rFonts w:ascii="宋体" w:hAnsi="宋体" w:eastAsia="宋体" w:cs="宋体"/>
          <w:color w:val="auto"/>
          <w:sz w:val="20"/>
          <w:szCs w:val="20"/>
        </w:rPr>
        <w:t xml:space="preserve"> </w:t>
      </w:r>
      <w:r>
        <w:rPr>
          <w:rFonts w:ascii="宋体" w:hAnsi="宋体" w:eastAsia="宋体" w:cs="宋体"/>
          <w:color w:val="auto"/>
          <w:spacing w:val="11"/>
          <w:sz w:val="20"/>
          <w:szCs w:val="20"/>
        </w:rPr>
        <w:t>(</w:t>
      </w:r>
      <w:r>
        <w:rPr>
          <w:rFonts w:ascii="宋体" w:hAnsi="宋体" w:eastAsia="宋体" w:cs="宋体"/>
          <w:color w:val="auto"/>
          <w:spacing w:val="9"/>
          <w:sz w:val="20"/>
          <w:szCs w:val="20"/>
        </w:rPr>
        <w:t>项目名称)</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施工磋商响应文件、签订合同和处理有关事宜，其法律后果由我</w:t>
      </w:r>
      <w:r>
        <w:rPr>
          <w:rFonts w:ascii="宋体" w:hAnsi="宋体" w:eastAsia="宋体" w:cs="宋体"/>
          <w:color w:val="auto"/>
          <w:spacing w:val="5"/>
          <w:sz w:val="20"/>
          <w:szCs w:val="20"/>
        </w:rPr>
        <w:t>方承担</w:t>
      </w:r>
      <w:r>
        <w:rPr>
          <w:rFonts w:ascii="宋体" w:hAnsi="宋体" w:eastAsia="宋体" w:cs="宋体"/>
          <w:color w:val="auto"/>
          <w:spacing w:val="4"/>
          <w:sz w:val="20"/>
          <w:szCs w:val="20"/>
        </w:rPr>
        <w:t>。</w:t>
      </w:r>
    </w:p>
    <w:p w14:paraId="250E41AF">
      <w:pPr>
        <w:spacing w:line="405" w:lineRule="auto"/>
        <w:ind w:left="418"/>
        <w:rPr>
          <w:rFonts w:ascii="宋体" w:hAnsi="宋体" w:eastAsia="宋体" w:cs="宋体"/>
          <w:color w:val="auto"/>
          <w:sz w:val="20"/>
          <w:szCs w:val="20"/>
        </w:rPr>
      </w:pPr>
      <w:r>
        <w:rPr>
          <w:rFonts w:ascii="宋体" w:hAnsi="宋体" w:eastAsia="宋体" w:cs="宋体"/>
          <w:color w:val="auto"/>
          <w:spacing w:val="-8"/>
          <w:sz w:val="20"/>
          <w:szCs w:val="20"/>
        </w:rPr>
        <w:t>委托</w:t>
      </w:r>
      <w:r>
        <w:rPr>
          <w:rFonts w:ascii="宋体" w:hAnsi="宋体" w:eastAsia="宋体" w:cs="宋体"/>
          <w:color w:val="auto"/>
          <w:spacing w:val="-4"/>
          <w:sz w:val="20"/>
          <w:szCs w:val="20"/>
        </w:rPr>
        <w:t>期限：</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w:t>
      </w:r>
    </w:p>
    <w:p w14:paraId="69B0170B">
      <w:pPr>
        <w:spacing w:line="224" w:lineRule="auto"/>
        <w:ind w:left="418"/>
        <w:rPr>
          <w:rFonts w:ascii="宋体" w:hAnsi="宋体" w:eastAsia="宋体" w:cs="宋体"/>
          <w:color w:val="auto"/>
          <w:sz w:val="20"/>
          <w:szCs w:val="20"/>
        </w:rPr>
      </w:pPr>
      <w:r>
        <w:rPr>
          <w:rFonts w:ascii="宋体" w:hAnsi="宋体" w:eastAsia="宋体" w:cs="宋体"/>
          <w:color w:val="auto"/>
          <w:spacing w:val="8"/>
          <w:sz w:val="20"/>
          <w:szCs w:val="20"/>
        </w:rPr>
        <w:t>代理人无转委托权</w:t>
      </w:r>
      <w:r>
        <w:rPr>
          <w:rFonts w:ascii="宋体" w:hAnsi="宋体" w:eastAsia="宋体" w:cs="宋体"/>
          <w:color w:val="auto"/>
          <w:spacing w:val="6"/>
          <w:sz w:val="20"/>
          <w:szCs w:val="20"/>
        </w:rPr>
        <w:t>。</w:t>
      </w:r>
    </w:p>
    <w:p w14:paraId="034E76FD">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59264" behindDoc="0" locked="0" layoutInCell="1" allowOverlap="1">
                <wp:simplePos x="0" y="0"/>
                <wp:positionH relativeFrom="margin">
                  <wp:posOffset>333375</wp:posOffset>
                </wp:positionH>
                <wp:positionV relativeFrom="paragraph">
                  <wp:posOffset>352425</wp:posOffset>
                </wp:positionV>
                <wp:extent cx="2733675" cy="16287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733675" cy="1628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BDD166">
                            <w:pPr>
                              <w:jc w:val="center"/>
                              <w:rPr>
                                <w:rFonts w:ascii="仿宋" w:hAnsi="仿宋" w:eastAsia="仿宋"/>
                                <w:sz w:val="36"/>
                                <w:szCs w:val="36"/>
                              </w:rPr>
                            </w:pPr>
                          </w:p>
                          <w:p w14:paraId="1B2A22F8">
                            <w:pPr>
                              <w:jc w:val="center"/>
                              <w:rPr>
                                <w:rFonts w:ascii="仿宋" w:hAnsi="仿宋" w:eastAsia="仿宋"/>
                                <w:sz w:val="36"/>
                                <w:szCs w:val="36"/>
                              </w:rPr>
                            </w:pPr>
                          </w:p>
                          <w:p w14:paraId="09111B3F">
                            <w:pPr>
                              <w:jc w:val="center"/>
                              <w:rPr>
                                <w:rFonts w:ascii="仿宋" w:hAnsi="仿宋" w:eastAsia="仿宋"/>
                                <w:sz w:val="36"/>
                                <w:szCs w:val="36"/>
                              </w:rPr>
                            </w:pPr>
                            <w:r>
                              <w:rPr>
                                <w:rFonts w:hint="eastAsia" w:ascii="仿宋" w:hAnsi="仿宋" w:eastAsia="仿宋"/>
                                <w:sz w:val="36"/>
                                <w:szCs w:val="36"/>
                              </w:rPr>
                              <w:t>法定代表人身份证复印件</w:t>
                            </w:r>
                          </w:p>
                          <w:p w14:paraId="70EBF545">
                            <w:pPr>
                              <w:jc w:val="center"/>
                              <w:rPr>
                                <w:sz w:val="32"/>
                                <w:szCs w:val="32"/>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6.25pt;margin-top:27.75pt;height:128.25pt;width:215.25pt;mso-position-horizontal-relative:margin;z-index:251659264;mso-width-relative:page;mso-height-relative:page;" fillcolor="#FFFFFF" filled="t" stroked="t" coordsize="21600,21600" o:gfxdata="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AKaAtgAAAAJAQAADwAAAAAAAAABACAAAAAiAAAAZHJzL2Rvd25yZXYueG1sUEsBAhQAFAAA&#10;AAgAh07iQIW+qisoAgAAbQQAAA4AAAAAAAAAAQAgAAAAJwEAAGRycy9lMm9Eb2MueG1sUEsFBgAA&#10;AAAGAAYAWQEAAMEFAAAAAA==&#10;">
                <v:fill on="t" focussize="0,0"/>
                <v:stroke color="#000000" joinstyle="miter"/>
                <v:imagedata o:title=""/>
                <o:lock v:ext="edit" aspectratio="f"/>
                <v:textbox>
                  <w:txbxContent>
                    <w:p w14:paraId="6ABDD166">
                      <w:pPr>
                        <w:jc w:val="center"/>
                        <w:rPr>
                          <w:rFonts w:ascii="仿宋" w:hAnsi="仿宋" w:eastAsia="仿宋"/>
                          <w:sz w:val="36"/>
                          <w:szCs w:val="36"/>
                        </w:rPr>
                      </w:pPr>
                    </w:p>
                    <w:p w14:paraId="1B2A22F8">
                      <w:pPr>
                        <w:jc w:val="center"/>
                        <w:rPr>
                          <w:rFonts w:ascii="仿宋" w:hAnsi="仿宋" w:eastAsia="仿宋"/>
                          <w:sz w:val="36"/>
                          <w:szCs w:val="36"/>
                        </w:rPr>
                      </w:pPr>
                    </w:p>
                    <w:p w14:paraId="09111B3F">
                      <w:pPr>
                        <w:jc w:val="center"/>
                        <w:rPr>
                          <w:rFonts w:ascii="仿宋" w:hAnsi="仿宋" w:eastAsia="仿宋"/>
                          <w:sz w:val="36"/>
                          <w:szCs w:val="36"/>
                        </w:rPr>
                      </w:pPr>
                      <w:r>
                        <w:rPr>
                          <w:rFonts w:hint="eastAsia" w:ascii="仿宋" w:hAnsi="仿宋" w:eastAsia="仿宋"/>
                          <w:sz w:val="36"/>
                          <w:szCs w:val="36"/>
                        </w:rPr>
                        <w:t>法定代表人身份证复印件</w:t>
                      </w:r>
                    </w:p>
                    <w:p w14:paraId="70EBF545">
                      <w:pPr>
                        <w:jc w:val="center"/>
                        <w:rPr>
                          <w:sz w:val="32"/>
                          <w:szCs w:val="32"/>
                        </w:rPr>
                      </w:pPr>
                      <w:r>
                        <w:rPr>
                          <w:rFonts w:hint="eastAsia" w:ascii="仿宋" w:hAnsi="仿宋" w:eastAsia="仿宋"/>
                          <w:sz w:val="36"/>
                          <w:szCs w:val="36"/>
                        </w:rPr>
                        <w:t>（正反面）</w:t>
                      </w:r>
                    </w:p>
                  </w:txbxContent>
                </v:textbox>
              </v:shape>
            </w:pict>
          </mc:Fallback>
        </mc:AlternateContent>
      </w:r>
    </w:p>
    <w:p w14:paraId="72EEC0B8">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60288" behindDoc="0" locked="0" layoutInCell="1" allowOverlap="1">
                <wp:simplePos x="0" y="0"/>
                <wp:positionH relativeFrom="margin">
                  <wp:posOffset>3065780</wp:posOffset>
                </wp:positionH>
                <wp:positionV relativeFrom="paragraph">
                  <wp:posOffset>52705</wp:posOffset>
                </wp:positionV>
                <wp:extent cx="2657475" cy="16192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2657475" cy="1619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FABA6F">
                            <w:pPr>
                              <w:jc w:val="center"/>
                              <w:rPr>
                                <w:rFonts w:ascii="仿宋" w:hAnsi="仿宋" w:eastAsia="仿宋"/>
                                <w:sz w:val="36"/>
                                <w:szCs w:val="36"/>
                              </w:rPr>
                            </w:pPr>
                          </w:p>
                          <w:p w14:paraId="15715A7F">
                            <w:pPr>
                              <w:jc w:val="center"/>
                              <w:rPr>
                                <w:rFonts w:ascii="仿宋" w:hAnsi="仿宋" w:eastAsia="仿宋"/>
                                <w:sz w:val="36"/>
                                <w:szCs w:val="36"/>
                              </w:rPr>
                            </w:pPr>
                          </w:p>
                          <w:p w14:paraId="22583612">
                            <w:pPr>
                              <w:jc w:val="center"/>
                              <w:rPr>
                                <w:rFonts w:ascii="仿宋" w:hAnsi="仿宋" w:eastAsia="仿宋"/>
                                <w:sz w:val="36"/>
                                <w:szCs w:val="36"/>
                              </w:rPr>
                            </w:pPr>
                            <w:r>
                              <w:rPr>
                                <w:rFonts w:hint="eastAsia" w:ascii="仿宋" w:hAnsi="仿宋" w:eastAsia="仿宋"/>
                                <w:sz w:val="36"/>
                                <w:szCs w:val="36"/>
                              </w:rPr>
                              <w:t>代理人身份证复印件</w:t>
                            </w:r>
                          </w:p>
                          <w:p w14:paraId="22E95BA8">
                            <w:pPr>
                              <w:jc w:val="center"/>
                              <w:rPr>
                                <w:rFonts w:ascii="仿宋" w:hAnsi="仿宋" w:eastAsia="仿宋"/>
                                <w:sz w:val="36"/>
                                <w:szCs w:val="36"/>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41.4pt;margin-top:4.15pt;height:127.5pt;width:209.25pt;mso-position-horizontal-relative:margin;z-index:251660288;mso-width-relative:page;mso-height-relative:page;" fillcolor="#FFFFFF" filled="t" stroked="t" coordsize="21600,21600" o:gfxdata="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0ed+tgAAAAJAQAADwAAAAAAAAABACAAAAAiAAAAZHJzL2Rvd25yZXYueG1sUEsBAhQAFAAA&#10;AAgAh07iQGYfyhsoAgAAbQQAAA4AAAAAAAAAAQAgAAAAJwEAAGRycy9lMm9Eb2MueG1sUEsFBgAA&#10;AAAGAAYAWQEAAMEFAAAAAA==&#10;">
                <v:fill on="t" focussize="0,0"/>
                <v:stroke color="#000000" joinstyle="miter"/>
                <v:imagedata o:title=""/>
                <o:lock v:ext="edit" aspectratio="f"/>
                <v:textbox>
                  <w:txbxContent>
                    <w:p w14:paraId="63FABA6F">
                      <w:pPr>
                        <w:jc w:val="center"/>
                        <w:rPr>
                          <w:rFonts w:ascii="仿宋" w:hAnsi="仿宋" w:eastAsia="仿宋"/>
                          <w:sz w:val="36"/>
                          <w:szCs w:val="36"/>
                        </w:rPr>
                      </w:pPr>
                    </w:p>
                    <w:p w14:paraId="15715A7F">
                      <w:pPr>
                        <w:jc w:val="center"/>
                        <w:rPr>
                          <w:rFonts w:ascii="仿宋" w:hAnsi="仿宋" w:eastAsia="仿宋"/>
                          <w:sz w:val="36"/>
                          <w:szCs w:val="36"/>
                        </w:rPr>
                      </w:pPr>
                    </w:p>
                    <w:p w14:paraId="22583612">
                      <w:pPr>
                        <w:jc w:val="center"/>
                        <w:rPr>
                          <w:rFonts w:ascii="仿宋" w:hAnsi="仿宋" w:eastAsia="仿宋"/>
                          <w:sz w:val="36"/>
                          <w:szCs w:val="36"/>
                        </w:rPr>
                      </w:pPr>
                      <w:r>
                        <w:rPr>
                          <w:rFonts w:hint="eastAsia" w:ascii="仿宋" w:hAnsi="仿宋" w:eastAsia="仿宋"/>
                          <w:sz w:val="36"/>
                          <w:szCs w:val="36"/>
                        </w:rPr>
                        <w:t>代理人身份证复印件</w:t>
                      </w:r>
                    </w:p>
                    <w:p w14:paraId="22E95BA8">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p>
    <w:p w14:paraId="72A06294">
      <w:pPr>
        <w:wordWrap w:val="0"/>
        <w:spacing w:line="360" w:lineRule="auto"/>
        <w:rPr>
          <w:rFonts w:ascii="宋体" w:hAnsi="宋体" w:eastAsia="宋体" w:cs="宋体"/>
          <w:bCs/>
          <w:color w:val="auto"/>
          <w:sz w:val="24"/>
          <w:highlight w:val="none"/>
        </w:rPr>
      </w:pPr>
    </w:p>
    <w:p w14:paraId="0CB56CA7">
      <w:pPr>
        <w:wordWrap w:val="0"/>
        <w:spacing w:line="360" w:lineRule="auto"/>
        <w:rPr>
          <w:rFonts w:ascii="宋体" w:hAnsi="宋体" w:eastAsia="宋体" w:cs="宋体"/>
          <w:bCs/>
          <w:color w:val="auto"/>
          <w:sz w:val="24"/>
          <w:highlight w:val="none"/>
        </w:rPr>
      </w:pPr>
    </w:p>
    <w:p w14:paraId="7A43499B">
      <w:pPr>
        <w:wordWrap w:val="0"/>
        <w:spacing w:line="360" w:lineRule="auto"/>
        <w:rPr>
          <w:rFonts w:ascii="宋体" w:hAnsi="宋体" w:eastAsia="宋体" w:cs="宋体"/>
          <w:bCs/>
          <w:color w:val="auto"/>
          <w:sz w:val="24"/>
          <w:highlight w:val="none"/>
        </w:rPr>
      </w:pPr>
    </w:p>
    <w:p w14:paraId="56737117">
      <w:pPr>
        <w:pStyle w:val="10"/>
        <w:adjustRightInd w:val="0"/>
        <w:snapToGrid w:val="0"/>
        <w:spacing w:line="300" w:lineRule="auto"/>
        <w:ind w:firstLine="560" w:firstLineChars="200"/>
        <w:rPr>
          <w:rFonts w:hint="eastAsia" w:hAnsi="宋体"/>
          <w:color w:val="auto"/>
          <w:sz w:val="28"/>
          <w:highlight w:val="none"/>
        </w:rPr>
      </w:pPr>
    </w:p>
    <w:p w14:paraId="0A3D0638">
      <w:pPr>
        <w:pStyle w:val="10"/>
        <w:adjustRightInd w:val="0"/>
        <w:snapToGrid w:val="0"/>
        <w:spacing w:line="300" w:lineRule="auto"/>
        <w:rPr>
          <w:rFonts w:hint="eastAsia" w:hAnsi="宋体"/>
          <w:color w:val="auto"/>
          <w:sz w:val="28"/>
          <w:highlight w:val="none"/>
        </w:rPr>
      </w:pPr>
    </w:p>
    <w:p w14:paraId="7E5EB105">
      <w:pPr>
        <w:spacing w:before="195" w:line="228" w:lineRule="auto"/>
        <w:ind w:left="421"/>
        <w:rPr>
          <w:rFonts w:hint="eastAsia" w:ascii="Arial"/>
          <w:color w:val="auto"/>
          <w:sz w:val="21"/>
        </w:rPr>
      </w:pPr>
      <w:r>
        <w:rPr>
          <w:rFonts w:hint="eastAsia" w:ascii="Arial"/>
          <w:color w:val="auto"/>
          <w:sz w:val="21"/>
        </w:rPr>
        <w:t>代理人无转委权。特此委托。</w:t>
      </w:r>
    </w:p>
    <w:p w14:paraId="6D681B49">
      <w:pPr>
        <w:spacing w:before="195" w:line="228" w:lineRule="auto"/>
        <w:ind w:left="421"/>
        <w:rPr>
          <w:rFonts w:hint="eastAsia" w:ascii="宋体" w:hAnsi="宋体" w:eastAsia="宋体" w:cs="宋体"/>
          <w:color w:val="auto"/>
          <w:spacing w:val="-2"/>
          <w:sz w:val="20"/>
          <w:szCs w:val="20"/>
          <w:lang w:eastAsia="zh-CN"/>
        </w:rPr>
      </w:pPr>
    </w:p>
    <w:p w14:paraId="554CFD39">
      <w:pPr>
        <w:spacing w:before="195" w:line="228" w:lineRule="auto"/>
        <w:ind w:left="421"/>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p>
    <w:p w14:paraId="624CCEB0">
      <w:pPr>
        <w:spacing w:line="281" w:lineRule="auto"/>
        <w:rPr>
          <w:rFonts w:ascii="Arial"/>
          <w:color w:val="auto"/>
          <w:sz w:val="21"/>
        </w:rPr>
      </w:pPr>
    </w:p>
    <w:p w14:paraId="151872AB">
      <w:pPr>
        <w:spacing w:line="282" w:lineRule="auto"/>
        <w:rPr>
          <w:rFonts w:ascii="Arial"/>
          <w:color w:val="auto"/>
          <w:sz w:val="21"/>
        </w:rPr>
      </w:pPr>
    </w:p>
    <w:p w14:paraId="6A380145">
      <w:pPr>
        <w:spacing w:before="65" w:line="227" w:lineRule="auto"/>
        <w:ind w:left="420"/>
        <w:rPr>
          <w:rFonts w:ascii="宋体" w:hAnsi="宋体" w:eastAsia="宋体" w:cs="宋体"/>
          <w:color w:val="auto"/>
          <w:sz w:val="20"/>
          <w:szCs w:val="20"/>
        </w:rPr>
      </w:pPr>
      <w:r>
        <w:rPr>
          <w:rFonts w:ascii="宋体" w:hAnsi="宋体" w:eastAsia="宋体" w:cs="宋体"/>
          <w:color w:val="auto"/>
          <w:spacing w:val="-1"/>
          <w:sz w:val="20"/>
          <w:szCs w:val="20"/>
        </w:rPr>
        <w:t>法定代表人：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w:t>
      </w:r>
    </w:p>
    <w:p w14:paraId="6CA6FD4A">
      <w:pPr>
        <w:spacing w:line="283" w:lineRule="auto"/>
        <w:rPr>
          <w:rFonts w:ascii="Arial"/>
          <w:color w:val="auto"/>
          <w:sz w:val="21"/>
        </w:rPr>
      </w:pPr>
    </w:p>
    <w:p w14:paraId="77C7C29D">
      <w:pPr>
        <w:spacing w:line="283" w:lineRule="auto"/>
        <w:rPr>
          <w:rFonts w:ascii="Arial"/>
          <w:color w:val="auto"/>
          <w:sz w:val="21"/>
        </w:rPr>
      </w:pPr>
    </w:p>
    <w:p w14:paraId="62BF3FD3">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1"/>
          <w:sz w:val="20"/>
          <w:szCs w:val="20"/>
          <w:u w:val="single" w:color="auto"/>
        </w:rPr>
        <w:t xml:space="preserve">：                                        </w:t>
      </w:r>
    </w:p>
    <w:p w14:paraId="5A5AB9C3">
      <w:pPr>
        <w:spacing w:line="282" w:lineRule="auto"/>
        <w:rPr>
          <w:rFonts w:ascii="Arial"/>
          <w:color w:val="auto"/>
          <w:sz w:val="21"/>
        </w:rPr>
      </w:pPr>
    </w:p>
    <w:p w14:paraId="7A407072">
      <w:pPr>
        <w:spacing w:line="282" w:lineRule="auto"/>
        <w:rPr>
          <w:rFonts w:ascii="Arial"/>
          <w:color w:val="auto"/>
          <w:sz w:val="21"/>
        </w:rPr>
      </w:pPr>
    </w:p>
    <w:p w14:paraId="4CEEBCA0">
      <w:pPr>
        <w:spacing w:before="65" w:line="225" w:lineRule="auto"/>
        <w:ind w:left="418"/>
        <w:rPr>
          <w:rFonts w:ascii="宋体" w:hAnsi="宋体" w:eastAsia="宋体" w:cs="宋体"/>
          <w:color w:val="auto"/>
          <w:sz w:val="20"/>
          <w:szCs w:val="20"/>
        </w:rPr>
      </w:pPr>
      <w:r>
        <w:rPr>
          <w:rFonts w:ascii="宋体" w:hAnsi="宋体" w:eastAsia="宋体" w:cs="宋体"/>
          <w:color w:val="auto"/>
          <w:spacing w:val="-1"/>
          <w:sz w:val="20"/>
          <w:szCs w:val="20"/>
        </w:rPr>
        <w:t>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w:t>
      </w:r>
    </w:p>
    <w:p w14:paraId="464A2EE0">
      <w:pPr>
        <w:spacing w:line="283" w:lineRule="auto"/>
        <w:rPr>
          <w:rFonts w:ascii="Arial"/>
          <w:color w:val="auto"/>
          <w:sz w:val="21"/>
        </w:rPr>
      </w:pPr>
    </w:p>
    <w:p w14:paraId="6A3D1F97">
      <w:pPr>
        <w:spacing w:line="283" w:lineRule="auto"/>
        <w:rPr>
          <w:rFonts w:ascii="Arial"/>
          <w:color w:val="auto"/>
          <w:sz w:val="21"/>
        </w:rPr>
      </w:pPr>
    </w:p>
    <w:p w14:paraId="7A2BE308">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3FC88654">
      <w:pPr>
        <w:tabs>
          <w:tab w:val="left" w:pos="5247"/>
        </w:tabs>
        <w:spacing w:before="195" w:line="228" w:lineRule="auto"/>
        <w:ind w:left="4505"/>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4"/>
          <w:sz w:val="20"/>
          <w:szCs w:val="20"/>
        </w:rPr>
        <w:t>年</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月</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日</w:t>
      </w:r>
    </w:p>
    <w:p w14:paraId="60FDA972">
      <w:pPr>
        <w:rPr>
          <w:color w:val="auto"/>
        </w:rPr>
        <w:sectPr>
          <w:footerReference r:id="rId16" w:type="default"/>
          <w:pgSz w:w="11906" w:h="16839"/>
          <w:pgMar w:top="400" w:right="1532" w:bottom="1153" w:left="1628" w:header="0" w:footer="996" w:gutter="0"/>
          <w:cols w:space="720" w:num="1"/>
        </w:sectPr>
      </w:pPr>
    </w:p>
    <w:p w14:paraId="752D1EF5">
      <w:pPr>
        <w:spacing w:line="258" w:lineRule="auto"/>
        <w:rPr>
          <w:rFonts w:ascii="Arial"/>
          <w:color w:val="auto"/>
          <w:sz w:val="21"/>
        </w:rPr>
      </w:pPr>
    </w:p>
    <w:p w14:paraId="1CB5A5A9">
      <w:pPr>
        <w:spacing w:line="258" w:lineRule="auto"/>
        <w:rPr>
          <w:rFonts w:ascii="Arial"/>
          <w:color w:val="auto"/>
          <w:sz w:val="21"/>
        </w:rPr>
      </w:pPr>
    </w:p>
    <w:p w14:paraId="78A09C38">
      <w:pPr>
        <w:spacing w:line="259" w:lineRule="auto"/>
        <w:rPr>
          <w:rFonts w:ascii="Arial"/>
          <w:color w:val="auto"/>
          <w:sz w:val="21"/>
        </w:rPr>
      </w:pPr>
    </w:p>
    <w:p w14:paraId="215756AF">
      <w:pPr>
        <w:spacing w:line="259" w:lineRule="auto"/>
        <w:rPr>
          <w:rFonts w:ascii="Arial"/>
          <w:color w:val="auto"/>
          <w:sz w:val="21"/>
        </w:rPr>
      </w:pPr>
    </w:p>
    <w:p w14:paraId="6F2B6D4A">
      <w:pPr>
        <w:spacing w:before="65" w:line="271" w:lineRule="exact"/>
        <w:ind w:left="3532"/>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4</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、投标保证金</w:t>
      </w:r>
    </w:p>
    <w:p w14:paraId="5AF70BDD">
      <w:pPr>
        <w:spacing w:line="476" w:lineRule="auto"/>
        <w:rPr>
          <w:rFonts w:ascii="Arial"/>
          <w:color w:val="auto"/>
          <w:sz w:val="21"/>
        </w:rPr>
      </w:pPr>
    </w:p>
    <w:p w14:paraId="22532BD2">
      <w:pPr>
        <w:spacing w:before="65" w:line="228" w:lineRule="auto"/>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附投标保证金</w:t>
      </w:r>
      <w:r>
        <w:rPr>
          <w:rFonts w:hint="eastAsia" w:ascii="宋体" w:hAnsi="宋体" w:eastAsia="宋体" w:cs="宋体"/>
          <w:color w:val="auto"/>
          <w:spacing w:val="16"/>
          <w:sz w:val="20"/>
          <w:szCs w:val="20"/>
          <w:lang w:eastAsia="zh-CN"/>
        </w:rPr>
        <w:t>付款回执单、</w:t>
      </w:r>
      <w:r>
        <w:rPr>
          <w:rFonts w:hint="eastAsia" w:ascii="宋体" w:hAnsi="宋体" w:eastAsia="宋体" w:cs="宋体"/>
          <w:color w:val="auto"/>
          <w:spacing w:val="16"/>
          <w:sz w:val="20"/>
          <w:szCs w:val="20"/>
          <w:lang w:val="en-US" w:eastAsia="zh-CN"/>
        </w:rPr>
        <w:t>保函附保费缴纳凭证，不提供视为不响应，投标无效</w:t>
      </w:r>
      <w:r>
        <w:rPr>
          <w:rFonts w:ascii="宋体" w:hAnsi="宋体" w:eastAsia="宋体" w:cs="宋体"/>
          <w:color w:val="auto"/>
          <w:spacing w:val="16"/>
          <w:sz w:val="20"/>
          <w:szCs w:val="20"/>
        </w:rPr>
        <w:t>)</w:t>
      </w:r>
    </w:p>
    <w:p w14:paraId="7BC89FB6">
      <w:pPr>
        <w:spacing w:line="255" w:lineRule="auto"/>
        <w:rPr>
          <w:rFonts w:ascii="Arial"/>
          <w:color w:val="auto"/>
          <w:sz w:val="21"/>
        </w:rPr>
      </w:pPr>
    </w:p>
    <w:p w14:paraId="7B5F6C2F">
      <w:pPr>
        <w:spacing w:line="255" w:lineRule="auto"/>
        <w:rPr>
          <w:rFonts w:ascii="Arial"/>
          <w:color w:val="auto"/>
          <w:sz w:val="21"/>
        </w:rPr>
      </w:pPr>
    </w:p>
    <w:p w14:paraId="6E1AB355">
      <w:pPr>
        <w:spacing w:line="255" w:lineRule="auto"/>
        <w:rPr>
          <w:rFonts w:ascii="Arial"/>
          <w:color w:val="auto"/>
          <w:sz w:val="21"/>
        </w:rPr>
      </w:pPr>
    </w:p>
    <w:p w14:paraId="152E9AE3">
      <w:pPr>
        <w:spacing w:line="255" w:lineRule="auto"/>
        <w:rPr>
          <w:rFonts w:ascii="Arial"/>
          <w:color w:val="auto"/>
          <w:sz w:val="21"/>
        </w:rPr>
      </w:pPr>
    </w:p>
    <w:p w14:paraId="69E5FD6F">
      <w:pPr>
        <w:spacing w:line="255" w:lineRule="auto"/>
        <w:rPr>
          <w:rFonts w:ascii="Arial"/>
          <w:color w:val="auto"/>
          <w:sz w:val="21"/>
        </w:rPr>
      </w:pPr>
    </w:p>
    <w:p w14:paraId="7FF6305A">
      <w:pPr>
        <w:spacing w:line="255" w:lineRule="auto"/>
        <w:rPr>
          <w:rFonts w:ascii="Arial"/>
          <w:color w:val="auto"/>
          <w:sz w:val="21"/>
        </w:rPr>
      </w:pPr>
    </w:p>
    <w:p w14:paraId="075045E1">
      <w:pPr>
        <w:spacing w:line="255" w:lineRule="auto"/>
        <w:rPr>
          <w:rFonts w:ascii="Arial"/>
          <w:color w:val="auto"/>
          <w:sz w:val="21"/>
        </w:rPr>
      </w:pPr>
    </w:p>
    <w:p w14:paraId="2799C312">
      <w:pPr>
        <w:spacing w:line="255" w:lineRule="auto"/>
        <w:rPr>
          <w:rFonts w:ascii="Arial"/>
          <w:color w:val="auto"/>
          <w:sz w:val="21"/>
        </w:rPr>
      </w:pPr>
    </w:p>
    <w:p w14:paraId="065BE32D">
      <w:pPr>
        <w:spacing w:line="255" w:lineRule="auto"/>
        <w:rPr>
          <w:rFonts w:ascii="Arial"/>
          <w:color w:val="auto"/>
          <w:sz w:val="21"/>
        </w:rPr>
      </w:pPr>
    </w:p>
    <w:p w14:paraId="630A9B52">
      <w:pPr>
        <w:spacing w:line="255" w:lineRule="auto"/>
        <w:rPr>
          <w:rFonts w:ascii="Arial"/>
          <w:color w:val="auto"/>
          <w:sz w:val="21"/>
        </w:rPr>
      </w:pPr>
    </w:p>
    <w:p w14:paraId="28345E38">
      <w:pPr>
        <w:spacing w:line="255" w:lineRule="auto"/>
        <w:rPr>
          <w:rFonts w:ascii="Arial"/>
          <w:color w:val="auto"/>
          <w:sz w:val="21"/>
        </w:rPr>
      </w:pPr>
    </w:p>
    <w:p w14:paraId="4D731520">
      <w:pPr>
        <w:spacing w:line="255" w:lineRule="auto"/>
        <w:rPr>
          <w:rFonts w:ascii="Arial"/>
          <w:color w:val="auto"/>
          <w:sz w:val="21"/>
        </w:rPr>
      </w:pPr>
    </w:p>
    <w:p w14:paraId="7E7063C3">
      <w:pPr>
        <w:spacing w:line="255" w:lineRule="auto"/>
        <w:rPr>
          <w:rFonts w:ascii="Arial"/>
          <w:color w:val="auto"/>
          <w:sz w:val="21"/>
        </w:rPr>
      </w:pPr>
    </w:p>
    <w:p w14:paraId="2C066A9D">
      <w:pPr>
        <w:spacing w:line="255" w:lineRule="auto"/>
        <w:rPr>
          <w:rFonts w:ascii="Arial"/>
          <w:color w:val="auto"/>
          <w:sz w:val="21"/>
        </w:rPr>
      </w:pPr>
    </w:p>
    <w:p w14:paraId="2DBA5D02">
      <w:pPr>
        <w:spacing w:before="65" w:line="241" w:lineRule="auto"/>
        <w:ind w:left="3398"/>
        <w:rPr>
          <w:rFonts w:ascii="宋体" w:hAnsi="宋体" w:eastAsia="宋体" w:cs="宋体"/>
          <w:color w:val="auto"/>
          <w:sz w:val="20"/>
          <w:szCs w:val="20"/>
        </w:rPr>
      </w:pPr>
      <w:r>
        <w:rPr>
          <w:rFonts w:ascii="Times New Roman" w:hAnsi="Times New Roman" w:eastAsia="Times New Roman" w:cs="Times New Roman"/>
          <w:b/>
          <w:bCs/>
          <w:color w:val="auto"/>
          <w:spacing w:val="4"/>
          <w:sz w:val="20"/>
          <w:szCs w:val="20"/>
        </w:rPr>
        <w:t>5</w:t>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14:textOutline w14:w="3795" w14:cap="sq" w14:cmpd="sng">
            <w14:solidFill>
              <w14:srgbClr w14:val="000000"/>
            </w14:solidFill>
            <w14:prstDash w14:val="solid"/>
            <w14:bevel/>
          </w14:textOutline>
        </w:rPr>
        <w:t>、已标价工程量清</w:t>
      </w:r>
      <w:r>
        <w:rPr>
          <w:rFonts w:ascii="宋体" w:hAnsi="宋体" w:eastAsia="宋体" w:cs="宋体"/>
          <w:color w:val="auto"/>
          <w:spacing w:val="2"/>
          <w:sz w:val="20"/>
          <w:szCs w:val="20"/>
          <w14:textOutline w14:w="3795" w14:cap="sq" w14:cmpd="sng">
            <w14:solidFill>
              <w14:srgbClr w14:val="000000"/>
            </w14:solidFill>
            <w14:prstDash w14:val="solid"/>
            <w14:bevel/>
          </w14:textOutline>
        </w:rPr>
        <w:t>单</w:t>
      </w:r>
    </w:p>
    <w:p w14:paraId="142847CD">
      <w:pPr>
        <w:rPr>
          <w:color w:val="auto"/>
        </w:rPr>
        <w:sectPr>
          <w:footerReference r:id="rId17" w:type="default"/>
          <w:pgSz w:w="11906" w:h="16839"/>
          <w:pgMar w:top="400" w:right="1532" w:bottom="1156" w:left="1785" w:header="0" w:footer="996" w:gutter="0"/>
          <w:cols w:space="720" w:num="1"/>
        </w:sectPr>
      </w:pPr>
    </w:p>
    <w:p w14:paraId="0BB3C7F6">
      <w:pPr>
        <w:spacing w:line="285" w:lineRule="auto"/>
        <w:rPr>
          <w:rFonts w:ascii="Arial"/>
          <w:color w:val="auto"/>
          <w:sz w:val="21"/>
        </w:rPr>
      </w:pPr>
    </w:p>
    <w:p w14:paraId="7C1C3A1C">
      <w:pPr>
        <w:spacing w:line="285" w:lineRule="auto"/>
        <w:rPr>
          <w:rFonts w:ascii="Arial"/>
          <w:color w:val="auto"/>
          <w:sz w:val="21"/>
        </w:rPr>
      </w:pPr>
    </w:p>
    <w:p w14:paraId="20931874">
      <w:pPr>
        <w:spacing w:line="286" w:lineRule="auto"/>
        <w:rPr>
          <w:rFonts w:ascii="Arial"/>
          <w:color w:val="auto"/>
          <w:sz w:val="21"/>
        </w:rPr>
      </w:pPr>
    </w:p>
    <w:p w14:paraId="63877B53">
      <w:pPr>
        <w:spacing w:line="286" w:lineRule="auto"/>
        <w:rPr>
          <w:rFonts w:ascii="Arial"/>
          <w:color w:val="auto"/>
          <w:sz w:val="21"/>
        </w:rPr>
      </w:pPr>
    </w:p>
    <w:p w14:paraId="39C773AA">
      <w:pPr>
        <w:spacing w:before="65" w:line="269" w:lineRule="exact"/>
        <w:ind w:left="3708"/>
        <w:outlineLvl w:val="1"/>
        <w:rPr>
          <w:rFonts w:ascii="宋体" w:hAnsi="宋体" w:eastAsia="宋体" w:cs="宋体"/>
          <w:color w:val="auto"/>
          <w:sz w:val="20"/>
          <w:szCs w:val="20"/>
        </w:rPr>
      </w:pPr>
      <w:r>
        <w:rPr>
          <w:rFonts w:ascii="宋体" w:hAnsi="宋体" w:eastAsia="宋体" w:cs="宋体"/>
          <w:color w:val="auto"/>
          <w:spacing w:val="13"/>
          <w:position w:val="1"/>
          <w:sz w:val="20"/>
          <w:szCs w:val="20"/>
          <w14:textOutline w14:w="3795" w14:cap="sq" w14:cmpd="sng">
            <w14:solidFill>
              <w14:srgbClr w14:val="000000"/>
            </w14:solidFill>
            <w14:prstDash w14:val="solid"/>
            <w14:bevel/>
          </w14:textOutline>
        </w:rPr>
        <w:t>6</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、项目管理机构</w:t>
      </w:r>
    </w:p>
    <w:p w14:paraId="6EC07DAB">
      <w:pPr>
        <w:spacing w:before="163" w:line="228" w:lineRule="auto"/>
        <w:ind w:left="3457"/>
        <w:rPr>
          <w:rFonts w:ascii="宋体" w:hAnsi="宋体" w:eastAsia="宋体" w:cs="宋体"/>
          <w:color w:val="auto"/>
          <w:sz w:val="20"/>
          <w:szCs w:val="20"/>
        </w:rPr>
      </w:pPr>
      <w:r>
        <w:rPr>
          <w:rFonts w:ascii="宋体" w:hAnsi="宋体" w:eastAsia="宋体" w:cs="宋体"/>
          <w:color w:val="auto"/>
          <w:spacing w:val="17"/>
          <w:sz w:val="20"/>
          <w:szCs w:val="20"/>
        </w:rPr>
        <w:t>(现场技术力量配备)</w:t>
      </w:r>
    </w:p>
    <w:p w14:paraId="22AF484F">
      <w:pPr>
        <w:spacing w:line="246" w:lineRule="auto"/>
        <w:rPr>
          <w:rFonts w:ascii="Arial"/>
          <w:color w:val="auto"/>
          <w:sz w:val="21"/>
        </w:rPr>
      </w:pPr>
    </w:p>
    <w:p w14:paraId="3DF54A83">
      <w:pPr>
        <w:spacing w:line="246" w:lineRule="auto"/>
        <w:rPr>
          <w:rFonts w:ascii="Arial"/>
          <w:color w:val="auto"/>
          <w:sz w:val="21"/>
        </w:rPr>
      </w:pPr>
    </w:p>
    <w:p w14:paraId="5C9C463F">
      <w:pPr>
        <w:spacing w:before="65" w:line="228" w:lineRule="auto"/>
        <w:ind w:left="157"/>
        <w:outlineLvl w:val="2"/>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一) 项目管理机构组成表</w:t>
      </w:r>
    </w:p>
    <w:p w14:paraId="4AF1AF81">
      <w:pPr>
        <w:spacing w:before="151" w:line="229" w:lineRule="auto"/>
        <w:ind w:left="123"/>
        <w:outlineLvl w:val="2"/>
        <w:rPr>
          <w:rFonts w:ascii="宋体" w:hAnsi="宋体" w:eastAsia="宋体" w:cs="宋体"/>
          <w:color w:val="auto"/>
          <w:sz w:val="20"/>
          <w:szCs w:val="20"/>
        </w:rPr>
      </w:pPr>
      <w:r>
        <w:rPr>
          <w:rFonts w:ascii="宋体" w:hAnsi="宋体" w:eastAsia="宋体" w:cs="宋体"/>
          <w:color w:val="auto"/>
          <w:spacing w:val="7"/>
          <w:sz w:val="20"/>
          <w:szCs w:val="20"/>
        </w:rPr>
        <w:t>工</w:t>
      </w:r>
      <w:r>
        <w:rPr>
          <w:rFonts w:ascii="宋体" w:hAnsi="宋体" w:eastAsia="宋体" w:cs="宋体"/>
          <w:color w:val="auto"/>
          <w:spacing w:val="5"/>
          <w:sz w:val="20"/>
          <w:szCs w:val="20"/>
        </w:rPr>
        <w:t>程名称：</w:t>
      </w:r>
    </w:p>
    <w:p w14:paraId="5E691BA7">
      <w:pPr>
        <w:spacing w:line="134" w:lineRule="auto"/>
        <w:rPr>
          <w:rFonts w:ascii="Arial"/>
          <w:color w:val="auto"/>
          <w:sz w:val="2"/>
        </w:rPr>
      </w:pPr>
    </w:p>
    <w:tbl>
      <w:tblPr>
        <w:tblStyle w:val="17"/>
        <w:tblW w:w="9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1072"/>
        <w:gridCol w:w="865"/>
        <w:gridCol w:w="1076"/>
        <w:gridCol w:w="748"/>
        <w:gridCol w:w="1226"/>
        <w:gridCol w:w="746"/>
        <w:gridCol w:w="1671"/>
        <w:gridCol w:w="695"/>
      </w:tblGrid>
      <w:tr w14:paraId="61D03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1" w:type="dxa"/>
            <w:vMerge w:val="restart"/>
            <w:tcBorders>
              <w:bottom w:val="nil"/>
            </w:tcBorders>
            <w:vAlign w:val="top"/>
          </w:tcPr>
          <w:p w14:paraId="090FA1D0">
            <w:pPr>
              <w:spacing w:line="335" w:lineRule="auto"/>
              <w:rPr>
                <w:rFonts w:ascii="Arial"/>
                <w:color w:val="auto"/>
                <w:sz w:val="21"/>
              </w:rPr>
            </w:pPr>
          </w:p>
          <w:p w14:paraId="7463266F">
            <w:pPr>
              <w:spacing w:before="65" w:line="228" w:lineRule="auto"/>
              <w:ind w:left="481"/>
              <w:rPr>
                <w:rFonts w:ascii="宋体" w:hAnsi="宋体" w:eastAsia="宋体" w:cs="宋体"/>
                <w:color w:val="auto"/>
                <w:sz w:val="20"/>
                <w:szCs w:val="20"/>
              </w:rPr>
            </w:pPr>
            <w:r>
              <w:rPr>
                <w:rFonts w:ascii="宋体" w:hAnsi="宋体" w:eastAsia="宋体" w:cs="宋体"/>
                <w:color w:val="auto"/>
                <w:spacing w:val="4"/>
                <w:sz w:val="20"/>
                <w:szCs w:val="20"/>
              </w:rPr>
              <w:t>职务</w:t>
            </w:r>
          </w:p>
        </w:tc>
        <w:tc>
          <w:tcPr>
            <w:tcW w:w="1072" w:type="dxa"/>
            <w:vMerge w:val="restart"/>
            <w:tcBorders>
              <w:bottom w:val="nil"/>
            </w:tcBorders>
            <w:vAlign w:val="top"/>
          </w:tcPr>
          <w:p w14:paraId="59860A27">
            <w:pPr>
              <w:spacing w:line="335" w:lineRule="auto"/>
              <w:rPr>
                <w:rFonts w:ascii="Arial"/>
                <w:color w:val="auto"/>
                <w:sz w:val="21"/>
              </w:rPr>
            </w:pPr>
          </w:p>
          <w:p w14:paraId="194B1ED8">
            <w:pPr>
              <w:spacing w:before="65" w:line="228" w:lineRule="auto"/>
              <w:ind w:left="328"/>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865" w:type="dxa"/>
            <w:vMerge w:val="restart"/>
            <w:tcBorders>
              <w:bottom w:val="nil"/>
            </w:tcBorders>
            <w:vAlign w:val="top"/>
          </w:tcPr>
          <w:p w14:paraId="4D4CEA92">
            <w:pPr>
              <w:spacing w:line="334" w:lineRule="auto"/>
              <w:rPr>
                <w:rFonts w:ascii="Arial"/>
                <w:color w:val="auto"/>
                <w:sz w:val="21"/>
              </w:rPr>
            </w:pPr>
          </w:p>
          <w:p w14:paraId="4F6004AE">
            <w:pPr>
              <w:spacing w:before="65" w:line="231" w:lineRule="auto"/>
              <w:ind w:left="227"/>
              <w:rPr>
                <w:rFonts w:ascii="宋体" w:hAnsi="宋体" w:eastAsia="宋体" w:cs="宋体"/>
                <w:color w:val="auto"/>
                <w:sz w:val="20"/>
                <w:szCs w:val="20"/>
              </w:rPr>
            </w:pPr>
            <w:r>
              <w:rPr>
                <w:rFonts w:ascii="宋体" w:hAnsi="宋体" w:eastAsia="宋体" w:cs="宋体"/>
                <w:color w:val="auto"/>
                <w:spacing w:val="4"/>
                <w:sz w:val="20"/>
                <w:szCs w:val="20"/>
              </w:rPr>
              <w:t>职称</w:t>
            </w:r>
          </w:p>
        </w:tc>
        <w:tc>
          <w:tcPr>
            <w:tcW w:w="5467" w:type="dxa"/>
            <w:gridSpan w:val="5"/>
            <w:vAlign w:val="top"/>
          </w:tcPr>
          <w:p w14:paraId="448CAFFD">
            <w:pPr>
              <w:spacing w:before="178" w:line="227" w:lineRule="auto"/>
              <w:ind w:left="1795"/>
              <w:rPr>
                <w:rFonts w:ascii="宋体" w:hAnsi="宋体" w:eastAsia="宋体" w:cs="宋体"/>
                <w:color w:val="auto"/>
                <w:sz w:val="20"/>
                <w:szCs w:val="20"/>
              </w:rPr>
            </w:pPr>
            <w:r>
              <w:rPr>
                <w:rFonts w:ascii="宋体" w:hAnsi="宋体" w:eastAsia="宋体" w:cs="宋体"/>
                <w:color w:val="auto"/>
                <w:spacing w:val="9"/>
                <w:sz w:val="20"/>
                <w:szCs w:val="20"/>
              </w:rPr>
              <w:t>执业或职业资格证</w:t>
            </w:r>
            <w:r>
              <w:rPr>
                <w:rFonts w:ascii="宋体" w:hAnsi="宋体" w:eastAsia="宋体" w:cs="宋体"/>
                <w:color w:val="auto"/>
                <w:spacing w:val="8"/>
                <w:sz w:val="20"/>
                <w:szCs w:val="20"/>
              </w:rPr>
              <w:t>明</w:t>
            </w:r>
          </w:p>
        </w:tc>
        <w:tc>
          <w:tcPr>
            <w:tcW w:w="695" w:type="dxa"/>
            <w:vAlign w:val="top"/>
          </w:tcPr>
          <w:p w14:paraId="77F1BA7D">
            <w:pPr>
              <w:spacing w:before="178" w:line="230" w:lineRule="auto"/>
              <w:ind w:left="14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r>
      <w:tr w14:paraId="4EB4E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Merge w:val="continue"/>
            <w:tcBorders>
              <w:top w:val="nil"/>
            </w:tcBorders>
            <w:vAlign w:val="top"/>
          </w:tcPr>
          <w:p w14:paraId="148A5969">
            <w:pPr>
              <w:rPr>
                <w:rFonts w:ascii="Arial"/>
                <w:color w:val="auto"/>
                <w:sz w:val="21"/>
              </w:rPr>
            </w:pPr>
          </w:p>
        </w:tc>
        <w:tc>
          <w:tcPr>
            <w:tcW w:w="1072" w:type="dxa"/>
            <w:vMerge w:val="continue"/>
            <w:tcBorders>
              <w:top w:val="nil"/>
            </w:tcBorders>
            <w:vAlign w:val="top"/>
          </w:tcPr>
          <w:p w14:paraId="305FC621">
            <w:pPr>
              <w:rPr>
                <w:rFonts w:ascii="Arial"/>
                <w:color w:val="auto"/>
                <w:sz w:val="21"/>
              </w:rPr>
            </w:pPr>
          </w:p>
        </w:tc>
        <w:tc>
          <w:tcPr>
            <w:tcW w:w="865" w:type="dxa"/>
            <w:vMerge w:val="continue"/>
            <w:tcBorders>
              <w:top w:val="nil"/>
            </w:tcBorders>
            <w:vAlign w:val="top"/>
          </w:tcPr>
          <w:p w14:paraId="766A483D">
            <w:pPr>
              <w:rPr>
                <w:rFonts w:ascii="Arial"/>
                <w:color w:val="auto"/>
                <w:sz w:val="21"/>
              </w:rPr>
            </w:pPr>
          </w:p>
        </w:tc>
        <w:tc>
          <w:tcPr>
            <w:tcW w:w="1076" w:type="dxa"/>
            <w:vAlign w:val="top"/>
          </w:tcPr>
          <w:p w14:paraId="426AF592">
            <w:pPr>
              <w:spacing w:before="172" w:line="228" w:lineRule="auto"/>
              <w:ind w:left="122"/>
              <w:rPr>
                <w:rFonts w:ascii="宋体" w:hAnsi="宋体" w:eastAsia="宋体" w:cs="宋体"/>
                <w:color w:val="auto"/>
                <w:sz w:val="20"/>
                <w:szCs w:val="20"/>
              </w:rPr>
            </w:pPr>
            <w:r>
              <w:rPr>
                <w:rFonts w:ascii="宋体" w:hAnsi="宋体" w:eastAsia="宋体" w:cs="宋体"/>
                <w:color w:val="auto"/>
                <w:spacing w:val="8"/>
                <w:sz w:val="20"/>
                <w:szCs w:val="20"/>
              </w:rPr>
              <w:t>证</w:t>
            </w:r>
            <w:r>
              <w:rPr>
                <w:rFonts w:ascii="宋体" w:hAnsi="宋体" w:eastAsia="宋体" w:cs="宋体"/>
                <w:color w:val="auto"/>
                <w:spacing w:val="7"/>
                <w:sz w:val="20"/>
                <w:szCs w:val="20"/>
              </w:rPr>
              <w:t>书名称</w:t>
            </w:r>
          </w:p>
        </w:tc>
        <w:tc>
          <w:tcPr>
            <w:tcW w:w="748" w:type="dxa"/>
            <w:vAlign w:val="top"/>
          </w:tcPr>
          <w:p w14:paraId="5DDEA943">
            <w:pPr>
              <w:spacing w:before="173" w:line="229" w:lineRule="auto"/>
              <w:ind w:left="172"/>
              <w:rPr>
                <w:rFonts w:ascii="宋体" w:hAnsi="宋体" w:eastAsia="宋体" w:cs="宋体"/>
                <w:color w:val="auto"/>
                <w:sz w:val="20"/>
                <w:szCs w:val="20"/>
              </w:rPr>
            </w:pPr>
            <w:r>
              <w:rPr>
                <w:rFonts w:ascii="宋体" w:hAnsi="宋体" w:eastAsia="宋体" w:cs="宋体"/>
                <w:color w:val="auto"/>
                <w:spacing w:val="3"/>
                <w:sz w:val="20"/>
                <w:szCs w:val="20"/>
              </w:rPr>
              <w:t>级别</w:t>
            </w:r>
          </w:p>
        </w:tc>
        <w:tc>
          <w:tcPr>
            <w:tcW w:w="1226" w:type="dxa"/>
            <w:vAlign w:val="top"/>
          </w:tcPr>
          <w:p w14:paraId="0D88E83B">
            <w:pPr>
              <w:spacing w:before="173" w:line="230" w:lineRule="auto"/>
              <w:ind w:left="407"/>
              <w:rPr>
                <w:rFonts w:ascii="宋体" w:hAnsi="宋体" w:eastAsia="宋体" w:cs="宋体"/>
                <w:color w:val="auto"/>
                <w:sz w:val="20"/>
                <w:szCs w:val="20"/>
              </w:rPr>
            </w:pPr>
            <w:r>
              <w:rPr>
                <w:rFonts w:ascii="宋体" w:hAnsi="宋体" w:eastAsia="宋体" w:cs="宋体"/>
                <w:color w:val="auto"/>
                <w:spacing w:val="5"/>
                <w:sz w:val="20"/>
                <w:szCs w:val="20"/>
              </w:rPr>
              <w:t>证</w:t>
            </w:r>
            <w:r>
              <w:rPr>
                <w:rFonts w:ascii="宋体" w:hAnsi="宋体" w:eastAsia="宋体" w:cs="宋体"/>
                <w:color w:val="auto"/>
                <w:spacing w:val="4"/>
                <w:sz w:val="20"/>
                <w:szCs w:val="20"/>
              </w:rPr>
              <w:t>号</w:t>
            </w:r>
          </w:p>
        </w:tc>
        <w:tc>
          <w:tcPr>
            <w:tcW w:w="746" w:type="dxa"/>
            <w:vAlign w:val="top"/>
          </w:tcPr>
          <w:p w14:paraId="51837842">
            <w:pPr>
              <w:spacing w:before="173" w:line="227" w:lineRule="auto"/>
              <w:ind w:left="171"/>
              <w:rPr>
                <w:rFonts w:ascii="宋体" w:hAnsi="宋体" w:eastAsia="宋体" w:cs="宋体"/>
                <w:color w:val="auto"/>
                <w:sz w:val="20"/>
                <w:szCs w:val="20"/>
              </w:rPr>
            </w:pPr>
            <w:r>
              <w:rPr>
                <w:rFonts w:ascii="宋体" w:hAnsi="宋体" w:eastAsia="宋体" w:cs="宋体"/>
                <w:color w:val="auto"/>
                <w:spacing w:val="4"/>
                <w:sz w:val="20"/>
                <w:szCs w:val="20"/>
              </w:rPr>
              <w:t>专业</w:t>
            </w:r>
          </w:p>
        </w:tc>
        <w:tc>
          <w:tcPr>
            <w:tcW w:w="1671" w:type="dxa"/>
            <w:vAlign w:val="top"/>
          </w:tcPr>
          <w:p w14:paraId="45672779">
            <w:pPr>
              <w:spacing w:before="173" w:line="228" w:lineRule="auto"/>
              <w:ind w:left="423"/>
              <w:rPr>
                <w:rFonts w:ascii="宋体" w:hAnsi="宋体" w:eastAsia="宋体" w:cs="宋体"/>
                <w:color w:val="auto"/>
                <w:sz w:val="20"/>
                <w:szCs w:val="20"/>
              </w:rPr>
            </w:pPr>
            <w:r>
              <w:rPr>
                <w:rFonts w:ascii="宋体" w:hAnsi="宋体" w:eastAsia="宋体" w:cs="宋体"/>
                <w:color w:val="auto"/>
                <w:spacing w:val="7"/>
                <w:sz w:val="20"/>
                <w:szCs w:val="20"/>
              </w:rPr>
              <w:t>养老保险</w:t>
            </w:r>
          </w:p>
        </w:tc>
        <w:tc>
          <w:tcPr>
            <w:tcW w:w="695" w:type="dxa"/>
            <w:vAlign w:val="top"/>
          </w:tcPr>
          <w:p w14:paraId="6FFBBA81">
            <w:pPr>
              <w:rPr>
                <w:rFonts w:ascii="Arial"/>
                <w:color w:val="auto"/>
                <w:sz w:val="21"/>
              </w:rPr>
            </w:pPr>
          </w:p>
        </w:tc>
      </w:tr>
      <w:tr w14:paraId="7C100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Align w:val="top"/>
          </w:tcPr>
          <w:p w14:paraId="6960874C">
            <w:pPr>
              <w:spacing w:before="175" w:line="228" w:lineRule="auto"/>
              <w:ind w:left="27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1072" w:type="dxa"/>
            <w:vAlign w:val="top"/>
          </w:tcPr>
          <w:p w14:paraId="5C2016BC">
            <w:pPr>
              <w:rPr>
                <w:rFonts w:ascii="Arial"/>
                <w:color w:val="auto"/>
                <w:sz w:val="21"/>
              </w:rPr>
            </w:pPr>
          </w:p>
        </w:tc>
        <w:tc>
          <w:tcPr>
            <w:tcW w:w="865" w:type="dxa"/>
            <w:vAlign w:val="top"/>
          </w:tcPr>
          <w:p w14:paraId="06A5D978">
            <w:pPr>
              <w:rPr>
                <w:rFonts w:ascii="Arial"/>
                <w:color w:val="auto"/>
                <w:sz w:val="21"/>
              </w:rPr>
            </w:pPr>
          </w:p>
        </w:tc>
        <w:tc>
          <w:tcPr>
            <w:tcW w:w="1076" w:type="dxa"/>
            <w:vAlign w:val="top"/>
          </w:tcPr>
          <w:p w14:paraId="432B0635">
            <w:pPr>
              <w:rPr>
                <w:rFonts w:ascii="Arial"/>
                <w:color w:val="auto"/>
                <w:sz w:val="21"/>
              </w:rPr>
            </w:pPr>
          </w:p>
        </w:tc>
        <w:tc>
          <w:tcPr>
            <w:tcW w:w="748" w:type="dxa"/>
            <w:vAlign w:val="top"/>
          </w:tcPr>
          <w:p w14:paraId="62EEA3CE">
            <w:pPr>
              <w:rPr>
                <w:rFonts w:ascii="Arial"/>
                <w:color w:val="auto"/>
                <w:sz w:val="21"/>
              </w:rPr>
            </w:pPr>
          </w:p>
        </w:tc>
        <w:tc>
          <w:tcPr>
            <w:tcW w:w="1226" w:type="dxa"/>
            <w:vAlign w:val="top"/>
          </w:tcPr>
          <w:p w14:paraId="0ACEBE7A">
            <w:pPr>
              <w:rPr>
                <w:rFonts w:ascii="Arial"/>
                <w:color w:val="auto"/>
                <w:sz w:val="21"/>
              </w:rPr>
            </w:pPr>
          </w:p>
        </w:tc>
        <w:tc>
          <w:tcPr>
            <w:tcW w:w="746" w:type="dxa"/>
            <w:vAlign w:val="top"/>
          </w:tcPr>
          <w:p w14:paraId="0579163F">
            <w:pPr>
              <w:rPr>
                <w:rFonts w:ascii="Arial"/>
                <w:color w:val="auto"/>
                <w:sz w:val="21"/>
              </w:rPr>
            </w:pPr>
          </w:p>
        </w:tc>
        <w:tc>
          <w:tcPr>
            <w:tcW w:w="1671" w:type="dxa"/>
            <w:vAlign w:val="top"/>
          </w:tcPr>
          <w:p w14:paraId="458E8E13">
            <w:pPr>
              <w:rPr>
                <w:rFonts w:ascii="Arial"/>
                <w:color w:val="auto"/>
                <w:sz w:val="21"/>
              </w:rPr>
            </w:pPr>
          </w:p>
        </w:tc>
        <w:tc>
          <w:tcPr>
            <w:tcW w:w="695" w:type="dxa"/>
            <w:vAlign w:val="top"/>
          </w:tcPr>
          <w:p w14:paraId="11EA26FB">
            <w:pPr>
              <w:rPr>
                <w:rFonts w:ascii="Arial"/>
                <w:color w:val="auto"/>
                <w:sz w:val="21"/>
              </w:rPr>
            </w:pPr>
          </w:p>
        </w:tc>
      </w:tr>
      <w:tr w14:paraId="70703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71" w:type="dxa"/>
            <w:vAlign w:val="top"/>
          </w:tcPr>
          <w:p w14:paraId="4D47A86B">
            <w:pPr>
              <w:spacing w:before="33" w:line="238" w:lineRule="auto"/>
              <w:ind w:left="487" w:right="158" w:hanging="318"/>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目技术负</w:t>
            </w:r>
            <w:r>
              <w:rPr>
                <w:rFonts w:ascii="宋体" w:hAnsi="宋体" w:eastAsia="宋体" w:cs="宋体"/>
                <w:color w:val="auto"/>
                <w:spacing w:val="1"/>
                <w:sz w:val="20"/>
                <w:szCs w:val="20"/>
              </w:rPr>
              <w:t>责人</w:t>
            </w:r>
          </w:p>
        </w:tc>
        <w:tc>
          <w:tcPr>
            <w:tcW w:w="1072" w:type="dxa"/>
            <w:vAlign w:val="top"/>
          </w:tcPr>
          <w:p w14:paraId="52160C01">
            <w:pPr>
              <w:rPr>
                <w:rFonts w:ascii="Arial"/>
                <w:color w:val="auto"/>
                <w:sz w:val="21"/>
              </w:rPr>
            </w:pPr>
          </w:p>
        </w:tc>
        <w:tc>
          <w:tcPr>
            <w:tcW w:w="865" w:type="dxa"/>
            <w:vAlign w:val="top"/>
          </w:tcPr>
          <w:p w14:paraId="47C5AAE9">
            <w:pPr>
              <w:rPr>
                <w:rFonts w:ascii="Arial"/>
                <w:color w:val="auto"/>
                <w:sz w:val="21"/>
              </w:rPr>
            </w:pPr>
          </w:p>
        </w:tc>
        <w:tc>
          <w:tcPr>
            <w:tcW w:w="1076" w:type="dxa"/>
            <w:vAlign w:val="top"/>
          </w:tcPr>
          <w:p w14:paraId="6FB48D65">
            <w:pPr>
              <w:rPr>
                <w:rFonts w:ascii="Arial"/>
                <w:color w:val="auto"/>
                <w:sz w:val="21"/>
              </w:rPr>
            </w:pPr>
          </w:p>
        </w:tc>
        <w:tc>
          <w:tcPr>
            <w:tcW w:w="748" w:type="dxa"/>
            <w:vAlign w:val="top"/>
          </w:tcPr>
          <w:p w14:paraId="469330CF">
            <w:pPr>
              <w:rPr>
                <w:rFonts w:ascii="Arial"/>
                <w:color w:val="auto"/>
                <w:sz w:val="21"/>
              </w:rPr>
            </w:pPr>
          </w:p>
        </w:tc>
        <w:tc>
          <w:tcPr>
            <w:tcW w:w="1226" w:type="dxa"/>
            <w:vAlign w:val="top"/>
          </w:tcPr>
          <w:p w14:paraId="35A1A4F0">
            <w:pPr>
              <w:rPr>
                <w:rFonts w:ascii="Arial"/>
                <w:color w:val="auto"/>
                <w:sz w:val="21"/>
              </w:rPr>
            </w:pPr>
          </w:p>
        </w:tc>
        <w:tc>
          <w:tcPr>
            <w:tcW w:w="746" w:type="dxa"/>
            <w:vAlign w:val="top"/>
          </w:tcPr>
          <w:p w14:paraId="10CEA926">
            <w:pPr>
              <w:rPr>
                <w:rFonts w:ascii="Arial"/>
                <w:color w:val="auto"/>
                <w:sz w:val="21"/>
              </w:rPr>
            </w:pPr>
          </w:p>
        </w:tc>
        <w:tc>
          <w:tcPr>
            <w:tcW w:w="1671" w:type="dxa"/>
            <w:vAlign w:val="top"/>
          </w:tcPr>
          <w:p w14:paraId="1680F1E8">
            <w:pPr>
              <w:rPr>
                <w:rFonts w:ascii="Arial"/>
                <w:color w:val="auto"/>
                <w:sz w:val="21"/>
              </w:rPr>
            </w:pPr>
          </w:p>
        </w:tc>
        <w:tc>
          <w:tcPr>
            <w:tcW w:w="695" w:type="dxa"/>
            <w:vAlign w:val="top"/>
          </w:tcPr>
          <w:p w14:paraId="1E4B1F6B">
            <w:pPr>
              <w:rPr>
                <w:rFonts w:ascii="Arial"/>
                <w:color w:val="auto"/>
                <w:sz w:val="21"/>
              </w:rPr>
            </w:pPr>
          </w:p>
        </w:tc>
      </w:tr>
      <w:tr w14:paraId="01E50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71" w:type="dxa"/>
            <w:vAlign w:val="top"/>
          </w:tcPr>
          <w:p w14:paraId="54D22CBD">
            <w:pPr>
              <w:spacing w:before="117" w:line="230" w:lineRule="auto"/>
              <w:ind w:left="374"/>
              <w:rPr>
                <w:rFonts w:ascii="宋体" w:hAnsi="宋体" w:eastAsia="宋体" w:cs="宋体"/>
                <w:color w:val="auto"/>
                <w:sz w:val="20"/>
                <w:szCs w:val="20"/>
              </w:rPr>
            </w:pPr>
            <w:r>
              <w:rPr>
                <w:rFonts w:ascii="宋体" w:hAnsi="宋体" w:eastAsia="宋体" w:cs="宋体"/>
                <w:color w:val="auto"/>
                <w:spacing w:val="7"/>
                <w:sz w:val="20"/>
                <w:szCs w:val="20"/>
              </w:rPr>
              <w:t>施工员</w:t>
            </w:r>
          </w:p>
        </w:tc>
        <w:tc>
          <w:tcPr>
            <w:tcW w:w="1072" w:type="dxa"/>
            <w:vAlign w:val="top"/>
          </w:tcPr>
          <w:p w14:paraId="61859C7C">
            <w:pPr>
              <w:rPr>
                <w:rFonts w:ascii="Arial"/>
                <w:color w:val="auto"/>
                <w:sz w:val="21"/>
              </w:rPr>
            </w:pPr>
          </w:p>
        </w:tc>
        <w:tc>
          <w:tcPr>
            <w:tcW w:w="865" w:type="dxa"/>
            <w:vAlign w:val="top"/>
          </w:tcPr>
          <w:p w14:paraId="03A9336F">
            <w:pPr>
              <w:rPr>
                <w:rFonts w:ascii="Arial"/>
                <w:color w:val="auto"/>
                <w:sz w:val="21"/>
              </w:rPr>
            </w:pPr>
          </w:p>
        </w:tc>
        <w:tc>
          <w:tcPr>
            <w:tcW w:w="1076" w:type="dxa"/>
            <w:vAlign w:val="top"/>
          </w:tcPr>
          <w:p w14:paraId="40FEF521">
            <w:pPr>
              <w:rPr>
                <w:rFonts w:ascii="Arial"/>
                <w:color w:val="auto"/>
                <w:sz w:val="21"/>
              </w:rPr>
            </w:pPr>
          </w:p>
        </w:tc>
        <w:tc>
          <w:tcPr>
            <w:tcW w:w="748" w:type="dxa"/>
            <w:vAlign w:val="top"/>
          </w:tcPr>
          <w:p w14:paraId="14E8A223">
            <w:pPr>
              <w:rPr>
                <w:rFonts w:ascii="Arial"/>
                <w:color w:val="auto"/>
                <w:sz w:val="21"/>
              </w:rPr>
            </w:pPr>
          </w:p>
        </w:tc>
        <w:tc>
          <w:tcPr>
            <w:tcW w:w="1226" w:type="dxa"/>
            <w:vAlign w:val="top"/>
          </w:tcPr>
          <w:p w14:paraId="2B34A26C">
            <w:pPr>
              <w:rPr>
                <w:rFonts w:ascii="Arial"/>
                <w:color w:val="auto"/>
                <w:sz w:val="21"/>
              </w:rPr>
            </w:pPr>
          </w:p>
        </w:tc>
        <w:tc>
          <w:tcPr>
            <w:tcW w:w="746" w:type="dxa"/>
            <w:vAlign w:val="top"/>
          </w:tcPr>
          <w:p w14:paraId="7283F679">
            <w:pPr>
              <w:rPr>
                <w:rFonts w:ascii="Arial"/>
                <w:color w:val="auto"/>
                <w:sz w:val="21"/>
              </w:rPr>
            </w:pPr>
          </w:p>
        </w:tc>
        <w:tc>
          <w:tcPr>
            <w:tcW w:w="1671" w:type="dxa"/>
            <w:vAlign w:val="top"/>
          </w:tcPr>
          <w:p w14:paraId="09B83A0A">
            <w:pPr>
              <w:rPr>
                <w:rFonts w:ascii="Arial"/>
                <w:color w:val="auto"/>
                <w:sz w:val="21"/>
              </w:rPr>
            </w:pPr>
          </w:p>
        </w:tc>
        <w:tc>
          <w:tcPr>
            <w:tcW w:w="695" w:type="dxa"/>
            <w:vAlign w:val="top"/>
          </w:tcPr>
          <w:p w14:paraId="1754F604">
            <w:pPr>
              <w:rPr>
                <w:rFonts w:ascii="Arial"/>
                <w:color w:val="auto"/>
                <w:sz w:val="21"/>
              </w:rPr>
            </w:pPr>
          </w:p>
        </w:tc>
      </w:tr>
      <w:tr w14:paraId="022BB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768D9864">
            <w:pPr>
              <w:spacing w:before="118" w:line="228" w:lineRule="auto"/>
              <w:ind w:left="375"/>
              <w:rPr>
                <w:rFonts w:ascii="宋体" w:hAnsi="宋体" w:eastAsia="宋体" w:cs="宋体"/>
                <w:color w:val="auto"/>
                <w:sz w:val="20"/>
                <w:szCs w:val="20"/>
              </w:rPr>
            </w:pPr>
            <w:r>
              <w:rPr>
                <w:rFonts w:ascii="宋体" w:hAnsi="宋体" w:eastAsia="宋体" w:cs="宋体"/>
                <w:color w:val="auto"/>
                <w:spacing w:val="7"/>
                <w:sz w:val="20"/>
                <w:szCs w:val="20"/>
              </w:rPr>
              <w:t>质</w:t>
            </w:r>
            <w:r>
              <w:rPr>
                <w:rFonts w:ascii="宋体" w:hAnsi="宋体" w:eastAsia="宋体" w:cs="宋体"/>
                <w:color w:val="auto"/>
                <w:spacing w:val="6"/>
                <w:sz w:val="20"/>
                <w:szCs w:val="20"/>
              </w:rPr>
              <w:t>检员</w:t>
            </w:r>
          </w:p>
        </w:tc>
        <w:tc>
          <w:tcPr>
            <w:tcW w:w="1072" w:type="dxa"/>
            <w:vAlign w:val="top"/>
          </w:tcPr>
          <w:p w14:paraId="592F6A00">
            <w:pPr>
              <w:rPr>
                <w:rFonts w:ascii="Arial"/>
                <w:color w:val="auto"/>
                <w:sz w:val="21"/>
              </w:rPr>
            </w:pPr>
          </w:p>
        </w:tc>
        <w:tc>
          <w:tcPr>
            <w:tcW w:w="865" w:type="dxa"/>
            <w:vAlign w:val="top"/>
          </w:tcPr>
          <w:p w14:paraId="08E1F9F8">
            <w:pPr>
              <w:rPr>
                <w:rFonts w:ascii="Arial"/>
                <w:color w:val="auto"/>
                <w:sz w:val="21"/>
              </w:rPr>
            </w:pPr>
          </w:p>
        </w:tc>
        <w:tc>
          <w:tcPr>
            <w:tcW w:w="1076" w:type="dxa"/>
            <w:vAlign w:val="top"/>
          </w:tcPr>
          <w:p w14:paraId="1255AE3D">
            <w:pPr>
              <w:rPr>
                <w:rFonts w:ascii="Arial"/>
                <w:color w:val="auto"/>
                <w:sz w:val="21"/>
              </w:rPr>
            </w:pPr>
          </w:p>
        </w:tc>
        <w:tc>
          <w:tcPr>
            <w:tcW w:w="748" w:type="dxa"/>
            <w:vAlign w:val="top"/>
          </w:tcPr>
          <w:p w14:paraId="04DE6CDC">
            <w:pPr>
              <w:rPr>
                <w:rFonts w:ascii="Arial"/>
                <w:color w:val="auto"/>
                <w:sz w:val="21"/>
              </w:rPr>
            </w:pPr>
          </w:p>
        </w:tc>
        <w:tc>
          <w:tcPr>
            <w:tcW w:w="1226" w:type="dxa"/>
            <w:vAlign w:val="top"/>
          </w:tcPr>
          <w:p w14:paraId="6C6B2D36">
            <w:pPr>
              <w:rPr>
                <w:rFonts w:ascii="Arial"/>
                <w:color w:val="auto"/>
                <w:sz w:val="21"/>
              </w:rPr>
            </w:pPr>
          </w:p>
        </w:tc>
        <w:tc>
          <w:tcPr>
            <w:tcW w:w="746" w:type="dxa"/>
            <w:vAlign w:val="top"/>
          </w:tcPr>
          <w:p w14:paraId="72FEAB6B">
            <w:pPr>
              <w:rPr>
                <w:rFonts w:ascii="Arial"/>
                <w:color w:val="auto"/>
                <w:sz w:val="21"/>
              </w:rPr>
            </w:pPr>
          </w:p>
        </w:tc>
        <w:tc>
          <w:tcPr>
            <w:tcW w:w="1671" w:type="dxa"/>
            <w:vAlign w:val="top"/>
          </w:tcPr>
          <w:p w14:paraId="6CFC664E">
            <w:pPr>
              <w:rPr>
                <w:rFonts w:ascii="Arial"/>
                <w:color w:val="auto"/>
                <w:sz w:val="21"/>
              </w:rPr>
            </w:pPr>
          </w:p>
        </w:tc>
        <w:tc>
          <w:tcPr>
            <w:tcW w:w="695" w:type="dxa"/>
            <w:vAlign w:val="top"/>
          </w:tcPr>
          <w:p w14:paraId="67CD55BA">
            <w:pPr>
              <w:rPr>
                <w:rFonts w:ascii="Arial"/>
                <w:color w:val="auto"/>
                <w:sz w:val="21"/>
              </w:rPr>
            </w:pPr>
          </w:p>
        </w:tc>
      </w:tr>
      <w:tr w14:paraId="0F359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249D2FE1">
            <w:pPr>
              <w:spacing w:before="119" w:line="228" w:lineRule="auto"/>
              <w:ind w:left="379"/>
              <w:rPr>
                <w:rFonts w:ascii="宋体" w:hAnsi="宋体" w:eastAsia="宋体" w:cs="宋体"/>
                <w:color w:val="auto"/>
                <w:sz w:val="20"/>
                <w:szCs w:val="20"/>
              </w:rPr>
            </w:pPr>
            <w:r>
              <w:rPr>
                <w:rFonts w:ascii="宋体" w:hAnsi="宋体" w:eastAsia="宋体" w:cs="宋体"/>
                <w:color w:val="auto"/>
                <w:spacing w:val="6"/>
                <w:sz w:val="20"/>
                <w:szCs w:val="20"/>
              </w:rPr>
              <w:t>安</w:t>
            </w:r>
            <w:r>
              <w:rPr>
                <w:rFonts w:ascii="宋体" w:hAnsi="宋体" w:eastAsia="宋体" w:cs="宋体"/>
                <w:color w:val="auto"/>
                <w:spacing w:val="5"/>
                <w:sz w:val="20"/>
                <w:szCs w:val="20"/>
              </w:rPr>
              <w:t>全员</w:t>
            </w:r>
          </w:p>
        </w:tc>
        <w:tc>
          <w:tcPr>
            <w:tcW w:w="1072" w:type="dxa"/>
            <w:vAlign w:val="top"/>
          </w:tcPr>
          <w:p w14:paraId="241F7E9A">
            <w:pPr>
              <w:rPr>
                <w:rFonts w:ascii="Arial"/>
                <w:color w:val="auto"/>
                <w:sz w:val="21"/>
              </w:rPr>
            </w:pPr>
          </w:p>
        </w:tc>
        <w:tc>
          <w:tcPr>
            <w:tcW w:w="865" w:type="dxa"/>
            <w:vAlign w:val="top"/>
          </w:tcPr>
          <w:p w14:paraId="4A14387B">
            <w:pPr>
              <w:rPr>
                <w:rFonts w:ascii="Arial"/>
                <w:color w:val="auto"/>
                <w:sz w:val="21"/>
              </w:rPr>
            </w:pPr>
          </w:p>
        </w:tc>
        <w:tc>
          <w:tcPr>
            <w:tcW w:w="1076" w:type="dxa"/>
            <w:vAlign w:val="top"/>
          </w:tcPr>
          <w:p w14:paraId="2966F59F">
            <w:pPr>
              <w:rPr>
                <w:rFonts w:ascii="Arial"/>
                <w:color w:val="auto"/>
                <w:sz w:val="21"/>
              </w:rPr>
            </w:pPr>
          </w:p>
        </w:tc>
        <w:tc>
          <w:tcPr>
            <w:tcW w:w="748" w:type="dxa"/>
            <w:vAlign w:val="top"/>
          </w:tcPr>
          <w:p w14:paraId="00479C7D">
            <w:pPr>
              <w:rPr>
                <w:rFonts w:ascii="Arial"/>
                <w:color w:val="auto"/>
                <w:sz w:val="21"/>
              </w:rPr>
            </w:pPr>
          </w:p>
        </w:tc>
        <w:tc>
          <w:tcPr>
            <w:tcW w:w="1226" w:type="dxa"/>
            <w:vAlign w:val="top"/>
          </w:tcPr>
          <w:p w14:paraId="455ACF7E">
            <w:pPr>
              <w:rPr>
                <w:rFonts w:ascii="Arial"/>
                <w:color w:val="auto"/>
                <w:sz w:val="21"/>
              </w:rPr>
            </w:pPr>
          </w:p>
        </w:tc>
        <w:tc>
          <w:tcPr>
            <w:tcW w:w="746" w:type="dxa"/>
            <w:vAlign w:val="top"/>
          </w:tcPr>
          <w:p w14:paraId="548067BA">
            <w:pPr>
              <w:rPr>
                <w:rFonts w:ascii="Arial"/>
                <w:color w:val="auto"/>
                <w:sz w:val="21"/>
              </w:rPr>
            </w:pPr>
          </w:p>
        </w:tc>
        <w:tc>
          <w:tcPr>
            <w:tcW w:w="1671" w:type="dxa"/>
            <w:vAlign w:val="top"/>
          </w:tcPr>
          <w:p w14:paraId="4EEBB7DE">
            <w:pPr>
              <w:rPr>
                <w:rFonts w:ascii="Arial"/>
                <w:color w:val="auto"/>
                <w:sz w:val="21"/>
              </w:rPr>
            </w:pPr>
          </w:p>
        </w:tc>
        <w:tc>
          <w:tcPr>
            <w:tcW w:w="695" w:type="dxa"/>
            <w:vAlign w:val="top"/>
          </w:tcPr>
          <w:p w14:paraId="30DCCEF0">
            <w:pPr>
              <w:rPr>
                <w:rFonts w:ascii="Arial"/>
                <w:color w:val="auto"/>
                <w:sz w:val="21"/>
              </w:rPr>
            </w:pPr>
          </w:p>
        </w:tc>
      </w:tr>
      <w:tr w14:paraId="44B04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10E3EF15">
            <w:pPr>
              <w:spacing w:before="175" w:line="227" w:lineRule="auto"/>
              <w:ind w:left="374"/>
              <w:rPr>
                <w:rFonts w:ascii="宋体" w:hAnsi="宋体" w:eastAsia="宋体" w:cs="宋体"/>
                <w:color w:val="auto"/>
                <w:sz w:val="20"/>
                <w:szCs w:val="20"/>
              </w:rPr>
            </w:pPr>
            <w:r>
              <w:rPr>
                <w:rFonts w:ascii="宋体" w:hAnsi="宋体" w:eastAsia="宋体" w:cs="宋体"/>
                <w:color w:val="auto"/>
                <w:spacing w:val="7"/>
                <w:sz w:val="20"/>
                <w:szCs w:val="20"/>
              </w:rPr>
              <w:t>造价员</w:t>
            </w:r>
          </w:p>
        </w:tc>
        <w:tc>
          <w:tcPr>
            <w:tcW w:w="1072" w:type="dxa"/>
            <w:vAlign w:val="top"/>
          </w:tcPr>
          <w:p w14:paraId="6F58EEF3">
            <w:pPr>
              <w:rPr>
                <w:rFonts w:ascii="Arial"/>
                <w:color w:val="auto"/>
                <w:sz w:val="21"/>
              </w:rPr>
            </w:pPr>
          </w:p>
        </w:tc>
        <w:tc>
          <w:tcPr>
            <w:tcW w:w="865" w:type="dxa"/>
            <w:vAlign w:val="top"/>
          </w:tcPr>
          <w:p w14:paraId="44A44728">
            <w:pPr>
              <w:rPr>
                <w:rFonts w:ascii="Arial"/>
                <w:color w:val="auto"/>
                <w:sz w:val="21"/>
              </w:rPr>
            </w:pPr>
          </w:p>
        </w:tc>
        <w:tc>
          <w:tcPr>
            <w:tcW w:w="1076" w:type="dxa"/>
            <w:vAlign w:val="top"/>
          </w:tcPr>
          <w:p w14:paraId="22215CB4">
            <w:pPr>
              <w:rPr>
                <w:rFonts w:ascii="Arial"/>
                <w:color w:val="auto"/>
                <w:sz w:val="21"/>
              </w:rPr>
            </w:pPr>
          </w:p>
        </w:tc>
        <w:tc>
          <w:tcPr>
            <w:tcW w:w="748" w:type="dxa"/>
            <w:vAlign w:val="top"/>
          </w:tcPr>
          <w:p w14:paraId="4C04A4B3">
            <w:pPr>
              <w:rPr>
                <w:rFonts w:ascii="Arial"/>
                <w:color w:val="auto"/>
                <w:sz w:val="21"/>
              </w:rPr>
            </w:pPr>
          </w:p>
        </w:tc>
        <w:tc>
          <w:tcPr>
            <w:tcW w:w="1226" w:type="dxa"/>
            <w:vAlign w:val="top"/>
          </w:tcPr>
          <w:p w14:paraId="6D7839E7">
            <w:pPr>
              <w:rPr>
                <w:rFonts w:ascii="Arial"/>
                <w:color w:val="auto"/>
                <w:sz w:val="21"/>
              </w:rPr>
            </w:pPr>
          </w:p>
        </w:tc>
        <w:tc>
          <w:tcPr>
            <w:tcW w:w="746" w:type="dxa"/>
            <w:vAlign w:val="top"/>
          </w:tcPr>
          <w:p w14:paraId="0F5099E0">
            <w:pPr>
              <w:rPr>
                <w:rFonts w:ascii="Arial"/>
                <w:color w:val="auto"/>
                <w:sz w:val="21"/>
              </w:rPr>
            </w:pPr>
          </w:p>
        </w:tc>
        <w:tc>
          <w:tcPr>
            <w:tcW w:w="1671" w:type="dxa"/>
            <w:vAlign w:val="top"/>
          </w:tcPr>
          <w:p w14:paraId="44B2A952">
            <w:pPr>
              <w:rPr>
                <w:rFonts w:ascii="Arial"/>
                <w:color w:val="auto"/>
                <w:sz w:val="21"/>
              </w:rPr>
            </w:pPr>
          </w:p>
        </w:tc>
        <w:tc>
          <w:tcPr>
            <w:tcW w:w="695" w:type="dxa"/>
            <w:vAlign w:val="top"/>
          </w:tcPr>
          <w:p w14:paraId="31022547">
            <w:pPr>
              <w:rPr>
                <w:rFonts w:ascii="Arial"/>
                <w:color w:val="auto"/>
                <w:sz w:val="21"/>
              </w:rPr>
            </w:pPr>
          </w:p>
        </w:tc>
      </w:tr>
      <w:tr w14:paraId="5CCF9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2A3EA2D1">
            <w:pPr>
              <w:spacing w:before="176" w:line="227" w:lineRule="auto"/>
              <w:ind w:left="384"/>
              <w:rPr>
                <w:rFonts w:ascii="宋体" w:hAnsi="宋体" w:eastAsia="宋体" w:cs="宋体"/>
                <w:color w:val="auto"/>
                <w:sz w:val="20"/>
                <w:szCs w:val="20"/>
              </w:rPr>
            </w:pPr>
            <w:r>
              <w:rPr>
                <w:rFonts w:ascii="宋体" w:hAnsi="宋体" w:eastAsia="宋体" w:cs="宋体"/>
                <w:color w:val="auto"/>
                <w:spacing w:val="4"/>
                <w:sz w:val="20"/>
                <w:szCs w:val="20"/>
              </w:rPr>
              <w:t>资料</w:t>
            </w:r>
            <w:r>
              <w:rPr>
                <w:rFonts w:ascii="宋体" w:hAnsi="宋体" w:eastAsia="宋体" w:cs="宋体"/>
                <w:color w:val="auto"/>
                <w:spacing w:val="3"/>
                <w:sz w:val="20"/>
                <w:szCs w:val="20"/>
              </w:rPr>
              <w:t>员</w:t>
            </w:r>
          </w:p>
        </w:tc>
        <w:tc>
          <w:tcPr>
            <w:tcW w:w="1072" w:type="dxa"/>
            <w:vAlign w:val="top"/>
          </w:tcPr>
          <w:p w14:paraId="2B8AD56E">
            <w:pPr>
              <w:rPr>
                <w:rFonts w:ascii="Arial"/>
                <w:color w:val="auto"/>
                <w:sz w:val="21"/>
              </w:rPr>
            </w:pPr>
          </w:p>
        </w:tc>
        <w:tc>
          <w:tcPr>
            <w:tcW w:w="865" w:type="dxa"/>
            <w:vAlign w:val="top"/>
          </w:tcPr>
          <w:p w14:paraId="5AF2D50C">
            <w:pPr>
              <w:rPr>
                <w:rFonts w:ascii="Arial"/>
                <w:color w:val="auto"/>
                <w:sz w:val="21"/>
              </w:rPr>
            </w:pPr>
          </w:p>
        </w:tc>
        <w:tc>
          <w:tcPr>
            <w:tcW w:w="1076" w:type="dxa"/>
            <w:vAlign w:val="top"/>
          </w:tcPr>
          <w:p w14:paraId="6F41FE3B">
            <w:pPr>
              <w:rPr>
                <w:rFonts w:ascii="Arial"/>
                <w:color w:val="auto"/>
                <w:sz w:val="21"/>
              </w:rPr>
            </w:pPr>
          </w:p>
        </w:tc>
        <w:tc>
          <w:tcPr>
            <w:tcW w:w="748" w:type="dxa"/>
            <w:vAlign w:val="top"/>
          </w:tcPr>
          <w:p w14:paraId="4BEADA3B">
            <w:pPr>
              <w:rPr>
                <w:rFonts w:ascii="Arial"/>
                <w:color w:val="auto"/>
                <w:sz w:val="21"/>
              </w:rPr>
            </w:pPr>
          </w:p>
        </w:tc>
        <w:tc>
          <w:tcPr>
            <w:tcW w:w="1226" w:type="dxa"/>
            <w:vAlign w:val="top"/>
          </w:tcPr>
          <w:p w14:paraId="4A0DC974">
            <w:pPr>
              <w:rPr>
                <w:rFonts w:ascii="Arial"/>
                <w:color w:val="auto"/>
                <w:sz w:val="21"/>
              </w:rPr>
            </w:pPr>
          </w:p>
        </w:tc>
        <w:tc>
          <w:tcPr>
            <w:tcW w:w="746" w:type="dxa"/>
            <w:vAlign w:val="top"/>
          </w:tcPr>
          <w:p w14:paraId="4E05BB86">
            <w:pPr>
              <w:rPr>
                <w:rFonts w:ascii="Arial"/>
                <w:color w:val="auto"/>
                <w:sz w:val="21"/>
              </w:rPr>
            </w:pPr>
          </w:p>
        </w:tc>
        <w:tc>
          <w:tcPr>
            <w:tcW w:w="1671" w:type="dxa"/>
            <w:vAlign w:val="top"/>
          </w:tcPr>
          <w:p w14:paraId="0FC45185">
            <w:pPr>
              <w:rPr>
                <w:rFonts w:ascii="Arial"/>
                <w:color w:val="auto"/>
                <w:sz w:val="21"/>
              </w:rPr>
            </w:pPr>
          </w:p>
        </w:tc>
        <w:tc>
          <w:tcPr>
            <w:tcW w:w="695" w:type="dxa"/>
            <w:vAlign w:val="top"/>
          </w:tcPr>
          <w:p w14:paraId="133693F8">
            <w:pPr>
              <w:rPr>
                <w:rFonts w:ascii="Arial"/>
                <w:color w:val="auto"/>
                <w:sz w:val="21"/>
              </w:rPr>
            </w:pPr>
          </w:p>
        </w:tc>
      </w:tr>
      <w:tr w14:paraId="482DC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616A41D2">
            <w:pPr>
              <w:spacing w:before="175" w:line="228" w:lineRule="auto"/>
              <w:ind w:left="375"/>
              <w:rPr>
                <w:rFonts w:ascii="宋体" w:hAnsi="宋体" w:eastAsia="宋体" w:cs="宋体"/>
                <w:color w:val="auto"/>
                <w:sz w:val="20"/>
                <w:szCs w:val="20"/>
              </w:rPr>
            </w:pPr>
            <w:r>
              <w:rPr>
                <w:rFonts w:ascii="宋体" w:hAnsi="宋体" w:eastAsia="宋体" w:cs="宋体"/>
                <w:color w:val="auto"/>
                <w:spacing w:val="7"/>
                <w:sz w:val="20"/>
                <w:szCs w:val="20"/>
              </w:rPr>
              <w:t>材料</w:t>
            </w:r>
            <w:r>
              <w:rPr>
                <w:rFonts w:ascii="宋体" w:hAnsi="宋体" w:eastAsia="宋体" w:cs="宋体"/>
                <w:color w:val="auto"/>
                <w:spacing w:val="6"/>
                <w:sz w:val="20"/>
                <w:szCs w:val="20"/>
              </w:rPr>
              <w:t>员</w:t>
            </w:r>
          </w:p>
        </w:tc>
        <w:tc>
          <w:tcPr>
            <w:tcW w:w="1072" w:type="dxa"/>
            <w:vAlign w:val="top"/>
          </w:tcPr>
          <w:p w14:paraId="2815CD88">
            <w:pPr>
              <w:rPr>
                <w:rFonts w:ascii="Arial"/>
                <w:color w:val="auto"/>
                <w:sz w:val="21"/>
              </w:rPr>
            </w:pPr>
          </w:p>
        </w:tc>
        <w:tc>
          <w:tcPr>
            <w:tcW w:w="865" w:type="dxa"/>
            <w:vAlign w:val="top"/>
          </w:tcPr>
          <w:p w14:paraId="5AF96F92">
            <w:pPr>
              <w:rPr>
                <w:rFonts w:ascii="Arial"/>
                <w:color w:val="auto"/>
                <w:sz w:val="21"/>
              </w:rPr>
            </w:pPr>
          </w:p>
        </w:tc>
        <w:tc>
          <w:tcPr>
            <w:tcW w:w="1076" w:type="dxa"/>
            <w:vAlign w:val="top"/>
          </w:tcPr>
          <w:p w14:paraId="569DA061">
            <w:pPr>
              <w:rPr>
                <w:rFonts w:ascii="Arial"/>
                <w:color w:val="auto"/>
                <w:sz w:val="21"/>
              </w:rPr>
            </w:pPr>
          </w:p>
        </w:tc>
        <w:tc>
          <w:tcPr>
            <w:tcW w:w="748" w:type="dxa"/>
            <w:vAlign w:val="top"/>
          </w:tcPr>
          <w:p w14:paraId="4F103FDA">
            <w:pPr>
              <w:rPr>
                <w:rFonts w:ascii="Arial"/>
                <w:color w:val="auto"/>
                <w:sz w:val="21"/>
              </w:rPr>
            </w:pPr>
          </w:p>
        </w:tc>
        <w:tc>
          <w:tcPr>
            <w:tcW w:w="1226" w:type="dxa"/>
            <w:vAlign w:val="top"/>
          </w:tcPr>
          <w:p w14:paraId="0FA3BDB7">
            <w:pPr>
              <w:rPr>
                <w:rFonts w:ascii="Arial"/>
                <w:color w:val="auto"/>
                <w:sz w:val="21"/>
              </w:rPr>
            </w:pPr>
          </w:p>
        </w:tc>
        <w:tc>
          <w:tcPr>
            <w:tcW w:w="746" w:type="dxa"/>
            <w:vAlign w:val="top"/>
          </w:tcPr>
          <w:p w14:paraId="343381B2">
            <w:pPr>
              <w:rPr>
                <w:rFonts w:ascii="Arial"/>
                <w:color w:val="auto"/>
                <w:sz w:val="21"/>
              </w:rPr>
            </w:pPr>
          </w:p>
        </w:tc>
        <w:tc>
          <w:tcPr>
            <w:tcW w:w="1671" w:type="dxa"/>
            <w:vAlign w:val="top"/>
          </w:tcPr>
          <w:p w14:paraId="09EA73BF">
            <w:pPr>
              <w:rPr>
                <w:rFonts w:ascii="Arial"/>
                <w:color w:val="auto"/>
                <w:sz w:val="21"/>
              </w:rPr>
            </w:pPr>
          </w:p>
        </w:tc>
        <w:tc>
          <w:tcPr>
            <w:tcW w:w="695" w:type="dxa"/>
            <w:vAlign w:val="top"/>
          </w:tcPr>
          <w:p w14:paraId="602B56D3">
            <w:pPr>
              <w:rPr>
                <w:rFonts w:ascii="Arial"/>
                <w:color w:val="auto"/>
                <w:sz w:val="21"/>
              </w:rPr>
            </w:pPr>
          </w:p>
        </w:tc>
      </w:tr>
      <w:tr w14:paraId="5576F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71" w:type="dxa"/>
            <w:vAlign w:val="top"/>
          </w:tcPr>
          <w:p w14:paraId="5FD548D6">
            <w:pPr>
              <w:rPr>
                <w:rFonts w:ascii="Arial"/>
                <w:color w:val="auto"/>
                <w:sz w:val="21"/>
              </w:rPr>
            </w:pPr>
          </w:p>
        </w:tc>
        <w:tc>
          <w:tcPr>
            <w:tcW w:w="1072" w:type="dxa"/>
            <w:vAlign w:val="top"/>
          </w:tcPr>
          <w:p w14:paraId="5A1C6DB1">
            <w:pPr>
              <w:rPr>
                <w:rFonts w:ascii="Arial"/>
                <w:color w:val="auto"/>
                <w:sz w:val="21"/>
              </w:rPr>
            </w:pPr>
          </w:p>
        </w:tc>
        <w:tc>
          <w:tcPr>
            <w:tcW w:w="865" w:type="dxa"/>
            <w:vAlign w:val="top"/>
          </w:tcPr>
          <w:p w14:paraId="5FB35675">
            <w:pPr>
              <w:rPr>
                <w:rFonts w:ascii="Arial"/>
                <w:color w:val="auto"/>
                <w:sz w:val="21"/>
              </w:rPr>
            </w:pPr>
          </w:p>
        </w:tc>
        <w:tc>
          <w:tcPr>
            <w:tcW w:w="1076" w:type="dxa"/>
            <w:vAlign w:val="top"/>
          </w:tcPr>
          <w:p w14:paraId="1ED46BB8">
            <w:pPr>
              <w:rPr>
                <w:rFonts w:ascii="Arial"/>
                <w:color w:val="auto"/>
                <w:sz w:val="21"/>
              </w:rPr>
            </w:pPr>
          </w:p>
        </w:tc>
        <w:tc>
          <w:tcPr>
            <w:tcW w:w="748" w:type="dxa"/>
            <w:vAlign w:val="top"/>
          </w:tcPr>
          <w:p w14:paraId="2FC32BBA">
            <w:pPr>
              <w:rPr>
                <w:rFonts w:ascii="Arial"/>
                <w:color w:val="auto"/>
                <w:sz w:val="21"/>
              </w:rPr>
            </w:pPr>
          </w:p>
        </w:tc>
        <w:tc>
          <w:tcPr>
            <w:tcW w:w="1226" w:type="dxa"/>
            <w:vAlign w:val="top"/>
          </w:tcPr>
          <w:p w14:paraId="2D03D1D1">
            <w:pPr>
              <w:rPr>
                <w:rFonts w:ascii="Arial"/>
                <w:color w:val="auto"/>
                <w:sz w:val="21"/>
              </w:rPr>
            </w:pPr>
          </w:p>
        </w:tc>
        <w:tc>
          <w:tcPr>
            <w:tcW w:w="746" w:type="dxa"/>
            <w:vAlign w:val="top"/>
          </w:tcPr>
          <w:p w14:paraId="42FF7B41">
            <w:pPr>
              <w:rPr>
                <w:rFonts w:ascii="Arial"/>
                <w:color w:val="auto"/>
                <w:sz w:val="21"/>
              </w:rPr>
            </w:pPr>
          </w:p>
        </w:tc>
        <w:tc>
          <w:tcPr>
            <w:tcW w:w="1671" w:type="dxa"/>
            <w:vAlign w:val="top"/>
          </w:tcPr>
          <w:p w14:paraId="1AECB10B">
            <w:pPr>
              <w:rPr>
                <w:rFonts w:ascii="Arial"/>
                <w:color w:val="auto"/>
                <w:sz w:val="21"/>
              </w:rPr>
            </w:pPr>
          </w:p>
        </w:tc>
        <w:tc>
          <w:tcPr>
            <w:tcW w:w="695" w:type="dxa"/>
            <w:vAlign w:val="top"/>
          </w:tcPr>
          <w:p w14:paraId="1E563630">
            <w:pPr>
              <w:rPr>
                <w:rFonts w:ascii="Arial"/>
                <w:color w:val="auto"/>
                <w:sz w:val="21"/>
              </w:rPr>
            </w:pPr>
          </w:p>
        </w:tc>
      </w:tr>
      <w:tr w14:paraId="3FF96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1" w:type="dxa"/>
            <w:vAlign w:val="top"/>
          </w:tcPr>
          <w:p w14:paraId="0249DD3F">
            <w:pPr>
              <w:rPr>
                <w:rFonts w:ascii="Arial"/>
                <w:color w:val="auto"/>
                <w:sz w:val="21"/>
              </w:rPr>
            </w:pPr>
          </w:p>
        </w:tc>
        <w:tc>
          <w:tcPr>
            <w:tcW w:w="1072" w:type="dxa"/>
            <w:vAlign w:val="top"/>
          </w:tcPr>
          <w:p w14:paraId="625128B2">
            <w:pPr>
              <w:rPr>
                <w:rFonts w:ascii="Arial"/>
                <w:color w:val="auto"/>
                <w:sz w:val="21"/>
              </w:rPr>
            </w:pPr>
          </w:p>
        </w:tc>
        <w:tc>
          <w:tcPr>
            <w:tcW w:w="865" w:type="dxa"/>
            <w:vAlign w:val="top"/>
          </w:tcPr>
          <w:p w14:paraId="5E86C454">
            <w:pPr>
              <w:rPr>
                <w:rFonts w:ascii="Arial"/>
                <w:color w:val="auto"/>
                <w:sz w:val="21"/>
              </w:rPr>
            </w:pPr>
          </w:p>
        </w:tc>
        <w:tc>
          <w:tcPr>
            <w:tcW w:w="1076" w:type="dxa"/>
            <w:vAlign w:val="top"/>
          </w:tcPr>
          <w:p w14:paraId="29DED6C3">
            <w:pPr>
              <w:rPr>
                <w:rFonts w:ascii="Arial"/>
                <w:color w:val="auto"/>
                <w:sz w:val="21"/>
              </w:rPr>
            </w:pPr>
          </w:p>
        </w:tc>
        <w:tc>
          <w:tcPr>
            <w:tcW w:w="748" w:type="dxa"/>
            <w:vAlign w:val="top"/>
          </w:tcPr>
          <w:p w14:paraId="195BDFD4">
            <w:pPr>
              <w:rPr>
                <w:rFonts w:ascii="Arial"/>
                <w:color w:val="auto"/>
                <w:sz w:val="21"/>
              </w:rPr>
            </w:pPr>
          </w:p>
        </w:tc>
        <w:tc>
          <w:tcPr>
            <w:tcW w:w="1226" w:type="dxa"/>
            <w:vAlign w:val="top"/>
          </w:tcPr>
          <w:p w14:paraId="3F89029C">
            <w:pPr>
              <w:rPr>
                <w:rFonts w:ascii="Arial"/>
                <w:color w:val="auto"/>
                <w:sz w:val="21"/>
              </w:rPr>
            </w:pPr>
          </w:p>
        </w:tc>
        <w:tc>
          <w:tcPr>
            <w:tcW w:w="746" w:type="dxa"/>
            <w:vAlign w:val="top"/>
          </w:tcPr>
          <w:p w14:paraId="4F39C485">
            <w:pPr>
              <w:rPr>
                <w:rFonts w:ascii="Arial"/>
                <w:color w:val="auto"/>
                <w:sz w:val="21"/>
              </w:rPr>
            </w:pPr>
          </w:p>
        </w:tc>
        <w:tc>
          <w:tcPr>
            <w:tcW w:w="1671" w:type="dxa"/>
            <w:vAlign w:val="top"/>
          </w:tcPr>
          <w:p w14:paraId="787911A6">
            <w:pPr>
              <w:rPr>
                <w:rFonts w:ascii="Arial"/>
                <w:color w:val="auto"/>
                <w:sz w:val="21"/>
              </w:rPr>
            </w:pPr>
          </w:p>
        </w:tc>
        <w:tc>
          <w:tcPr>
            <w:tcW w:w="695" w:type="dxa"/>
            <w:vAlign w:val="top"/>
          </w:tcPr>
          <w:p w14:paraId="010CD2F1">
            <w:pPr>
              <w:rPr>
                <w:rFonts w:ascii="Arial"/>
                <w:color w:val="auto"/>
                <w:sz w:val="21"/>
              </w:rPr>
            </w:pPr>
          </w:p>
        </w:tc>
      </w:tr>
    </w:tbl>
    <w:p w14:paraId="7CAF11BF">
      <w:pPr>
        <w:spacing w:before="250" w:line="229" w:lineRule="auto"/>
        <w:ind w:left="122"/>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9"/>
          <w:sz w:val="23"/>
          <w:szCs w:val="23"/>
        </w:rPr>
        <w:t>：本工程一旦我单位中标，将配备上述项目管理人员。上述填报内容真实，如</w:t>
      </w:r>
    </w:p>
    <w:p w14:paraId="5DB30626">
      <w:pPr>
        <w:spacing w:before="135" w:line="225" w:lineRule="auto"/>
        <w:ind w:left="126"/>
        <w:rPr>
          <w:rFonts w:ascii="宋体" w:hAnsi="宋体" w:eastAsia="宋体" w:cs="宋体"/>
          <w:color w:val="auto"/>
          <w:sz w:val="23"/>
          <w:szCs w:val="23"/>
        </w:rPr>
      </w:pPr>
      <w:r>
        <w:rPr>
          <w:rFonts w:ascii="宋体" w:hAnsi="宋体" w:eastAsia="宋体" w:cs="宋体"/>
          <w:color w:val="auto"/>
          <w:spacing w:val="17"/>
          <w:sz w:val="23"/>
          <w:szCs w:val="23"/>
        </w:rPr>
        <w:t>不</w:t>
      </w:r>
      <w:r>
        <w:rPr>
          <w:rFonts w:ascii="宋体" w:hAnsi="宋体" w:eastAsia="宋体" w:cs="宋体"/>
          <w:color w:val="auto"/>
          <w:spacing w:val="9"/>
          <w:sz w:val="23"/>
          <w:szCs w:val="23"/>
        </w:rPr>
        <w:t>真实，将按照有关规定接受处理.</w:t>
      </w:r>
    </w:p>
    <w:p w14:paraId="440B461F">
      <w:pPr>
        <w:rPr>
          <w:color w:val="auto"/>
        </w:rPr>
        <w:sectPr>
          <w:footerReference r:id="rId18" w:type="default"/>
          <w:pgSz w:w="11906" w:h="16839"/>
          <w:pgMar w:top="400" w:right="923" w:bottom="1156" w:left="1507" w:header="0" w:footer="996" w:gutter="0"/>
          <w:cols w:space="720" w:num="1"/>
        </w:sectPr>
      </w:pPr>
    </w:p>
    <w:p w14:paraId="30041F98">
      <w:pPr>
        <w:spacing w:before="65" w:line="228" w:lineRule="auto"/>
        <w:ind w:left="23"/>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主要人员简历表</w:t>
      </w:r>
    </w:p>
    <w:p w14:paraId="2BEF3937">
      <w:pPr>
        <w:spacing w:line="345" w:lineRule="auto"/>
        <w:rPr>
          <w:rFonts w:ascii="Arial"/>
          <w:color w:val="auto"/>
          <w:sz w:val="21"/>
        </w:rPr>
      </w:pPr>
    </w:p>
    <w:p w14:paraId="3811F161">
      <w:pPr>
        <w:spacing w:before="65" w:line="228" w:lineRule="auto"/>
        <w:ind w:left="29"/>
        <w:rPr>
          <w:rFonts w:ascii="宋体" w:hAnsi="宋体" w:eastAsia="宋体" w:cs="宋体"/>
          <w:color w:val="auto"/>
          <w:sz w:val="20"/>
          <w:szCs w:val="20"/>
        </w:rPr>
      </w:pPr>
      <w:r>
        <w:rPr>
          <w:rFonts w:ascii="宋体" w:hAnsi="宋体" w:eastAsia="宋体" w:cs="宋体"/>
          <w:color w:val="auto"/>
          <w:spacing w:val="2"/>
          <w:sz w:val="20"/>
          <w:szCs w:val="20"/>
        </w:rPr>
        <w:t>附 1：项目经理简历</w:t>
      </w:r>
      <w:r>
        <w:rPr>
          <w:rFonts w:ascii="宋体" w:hAnsi="宋体" w:eastAsia="宋体" w:cs="宋体"/>
          <w:color w:val="auto"/>
          <w:sz w:val="20"/>
          <w:szCs w:val="20"/>
        </w:rPr>
        <w:t>表</w:t>
      </w:r>
    </w:p>
    <w:p w14:paraId="1529D815">
      <w:pPr>
        <w:spacing w:before="172" w:line="388" w:lineRule="auto"/>
        <w:ind w:left="15" w:right="71"/>
        <w:rPr>
          <w:rFonts w:ascii="宋体" w:hAnsi="宋体" w:eastAsia="宋体" w:cs="宋体"/>
          <w:color w:val="auto"/>
          <w:sz w:val="20"/>
          <w:szCs w:val="20"/>
        </w:rPr>
      </w:pPr>
      <w:r>
        <w:rPr>
          <w:rFonts w:ascii="宋体" w:hAnsi="宋体" w:eastAsia="宋体" w:cs="宋体"/>
          <w:color w:val="auto"/>
          <w:spacing w:val="21"/>
          <w:sz w:val="20"/>
          <w:szCs w:val="20"/>
        </w:rPr>
        <w:t>项</w:t>
      </w:r>
      <w:r>
        <w:rPr>
          <w:rFonts w:ascii="宋体" w:hAnsi="宋体" w:eastAsia="宋体" w:cs="宋体"/>
          <w:color w:val="auto"/>
          <w:spacing w:val="13"/>
          <w:sz w:val="20"/>
          <w:szCs w:val="20"/>
        </w:rPr>
        <w:t>目负责人应附建造师注册证书、安全生产考核合格证书、身份证、职称证及</w:t>
      </w:r>
      <w:r>
        <w:rPr>
          <w:rFonts w:hint="eastAsia" w:ascii="宋体" w:hAnsi="宋体" w:eastAsia="宋体" w:cs="宋体"/>
          <w:color w:val="auto"/>
          <w:spacing w:val="13"/>
          <w:sz w:val="20"/>
          <w:szCs w:val="20"/>
          <w:lang w:val="en-US" w:eastAsia="zh-CN"/>
        </w:rPr>
        <w:t>驻工地时间承诺书并签字和</w:t>
      </w:r>
      <w:r>
        <w:rPr>
          <w:rFonts w:ascii="宋体" w:hAnsi="宋体" w:eastAsia="宋体" w:cs="宋体"/>
          <w:color w:val="auto"/>
          <w:spacing w:val="13"/>
          <w:sz w:val="20"/>
          <w:szCs w:val="20"/>
        </w:rPr>
        <w:t>未担任其他在施建设工程项目项目经理的承诺书、社会保险缴纳证明，管理过的项目业绩须附</w:t>
      </w:r>
      <w:r>
        <w:rPr>
          <w:rFonts w:hint="eastAsia" w:ascii="宋体" w:hAnsi="宋体" w:cs="宋体"/>
          <w:bCs w:val="0"/>
          <w:snapToGrid w:val="0"/>
          <w:color w:val="auto"/>
          <w:spacing w:val="13"/>
          <w:kern w:val="0"/>
          <w:sz w:val="20"/>
          <w:szCs w:val="20"/>
          <w:highlight w:val="none"/>
          <w:lang w:eastAsia="zh-CN"/>
        </w:rPr>
        <w:t>成交通知书或中标通知书、合同协议书及竣工验收报告或完工证明</w:t>
      </w:r>
      <w:r>
        <w:rPr>
          <w:rFonts w:ascii="宋体" w:hAnsi="宋体" w:eastAsia="宋体" w:cs="宋体"/>
          <w:color w:val="auto"/>
          <w:spacing w:val="7"/>
          <w:sz w:val="20"/>
          <w:szCs w:val="20"/>
        </w:rPr>
        <w:t>复印件。</w:t>
      </w:r>
    </w:p>
    <w:p w14:paraId="3A69F55B">
      <w:pPr>
        <w:spacing w:line="17" w:lineRule="exact"/>
        <w:rPr>
          <w:color w:val="auto"/>
        </w:rPr>
      </w:pPr>
    </w:p>
    <w:tbl>
      <w:tblPr>
        <w:tblStyle w:val="17"/>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727A6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1AB047AA">
            <w:pPr>
              <w:spacing w:before="126" w:line="228" w:lineRule="auto"/>
              <w:ind w:left="238"/>
              <w:rPr>
                <w:rFonts w:ascii="宋体" w:hAnsi="宋体" w:eastAsia="宋体" w:cs="宋体"/>
                <w:color w:val="auto"/>
                <w:sz w:val="20"/>
                <w:szCs w:val="20"/>
              </w:rPr>
            </w:pPr>
            <w:r>
              <w:rPr>
                <w:rFonts w:ascii="宋体" w:hAnsi="宋体" w:eastAsia="宋体" w:cs="宋体"/>
                <w:color w:val="auto"/>
                <w:spacing w:val="7"/>
                <w:sz w:val="20"/>
                <w:szCs w:val="20"/>
              </w:rPr>
              <w:t>姓</w:t>
            </w:r>
            <w:r>
              <w:rPr>
                <w:rFonts w:ascii="宋体" w:hAnsi="宋体" w:eastAsia="宋体" w:cs="宋体"/>
                <w:color w:val="auto"/>
                <w:spacing w:val="5"/>
                <w:sz w:val="20"/>
                <w:szCs w:val="20"/>
              </w:rPr>
              <w:t xml:space="preserve">  名</w:t>
            </w:r>
          </w:p>
        </w:tc>
        <w:tc>
          <w:tcPr>
            <w:tcW w:w="1034" w:type="dxa"/>
            <w:vAlign w:val="top"/>
          </w:tcPr>
          <w:p w14:paraId="66363E5F">
            <w:pPr>
              <w:rPr>
                <w:rFonts w:ascii="Arial"/>
                <w:color w:val="auto"/>
                <w:sz w:val="21"/>
              </w:rPr>
            </w:pPr>
          </w:p>
        </w:tc>
        <w:tc>
          <w:tcPr>
            <w:tcW w:w="1133" w:type="dxa"/>
            <w:vAlign w:val="top"/>
          </w:tcPr>
          <w:p w14:paraId="35FE6085">
            <w:pPr>
              <w:spacing w:before="125"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年  龄</w:t>
            </w:r>
          </w:p>
        </w:tc>
        <w:tc>
          <w:tcPr>
            <w:tcW w:w="1274" w:type="dxa"/>
            <w:vAlign w:val="top"/>
          </w:tcPr>
          <w:p w14:paraId="4A092E65">
            <w:pPr>
              <w:rPr>
                <w:rFonts w:ascii="Arial"/>
                <w:color w:val="auto"/>
                <w:sz w:val="21"/>
              </w:rPr>
            </w:pPr>
          </w:p>
        </w:tc>
        <w:tc>
          <w:tcPr>
            <w:tcW w:w="1842" w:type="dxa"/>
            <w:vAlign w:val="top"/>
          </w:tcPr>
          <w:p w14:paraId="292F6698">
            <w:pPr>
              <w:spacing w:before="125" w:line="230" w:lineRule="auto"/>
              <w:ind w:left="721"/>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历</w:t>
            </w:r>
          </w:p>
        </w:tc>
        <w:tc>
          <w:tcPr>
            <w:tcW w:w="2445" w:type="dxa"/>
            <w:vAlign w:val="top"/>
          </w:tcPr>
          <w:p w14:paraId="2AC4C47A">
            <w:pPr>
              <w:rPr>
                <w:rFonts w:ascii="Arial"/>
                <w:color w:val="auto"/>
                <w:sz w:val="21"/>
              </w:rPr>
            </w:pPr>
          </w:p>
        </w:tc>
      </w:tr>
      <w:tr w14:paraId="1D37E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286EF010">
            <w:pPr>
              <w:spacing w:before="122" w:line="231" w:lineRule="auto"/>
              <w:ind w:left="239"/>
              <w:rPr>
                <w:rFonts w:ascii="宋体" w:hAnsi="宋体" w:eastAsia="宋体" w:cs="宋体"/>
                <w:color w:val="auto"/>
                <w:sz w:val="20"/>
                <w:szCs w:val="20"/>
              </w:rPr>
            </w:pPr>
            <w:r>
              <w:rPr>
                <w:rFonts w:ascii="宋体" w:hAnsi="宋体" w:eastAsia="宋体" w:cs="宋体"/>
                <w:color w:val="auto"/>
                <w:spacing w:val="5"/>
                <w:sz w:val="20"/>
                <w:szCs w:val="20"/>
              </w:rPr>
              <w:t>职  称</w:t>
            </w:r>
          </w:p>
        </w:tc>
        <w:tc>
          <w:tcPr>
            <w:tcW w:w="1034" w:type="dxa"/>
            <w:vAlign w:val="top"/>
          </w:tcPr>
          <w:p w14:paraId="7EC83823">
            <w:pPr>
              <w:rPr>
                <w:rFonts w:ascii="Arial"/>
                <w:color w:val="auto"/>
                <w:sz w:val="21"/>
              </w:rPr>
            </w:pPr>
          </w:p>
        </w:tc>
        <w:tc>
          <w:tcPr>
            <w:tcW w:w="1133" w:type="dxa"/>
            <w:vAlign w:val="top"/>
          </w:tcPr>
          <w:p w14:paraId="698D21E2">
            <w:pPr>
              <w:spacing w:before="123"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职  务</w:t>
            </w:r>
          </w:p>
        </w:tc>
        <w:tc>
          <w:tcPr>
            <w:tcW w:w="1274" w:type="dxa"/>
            <w:vAlign w:val="top"/>
          </w:tcPr>
          <w:p w14:paraId="72AE307A">
            <w:pPr>
              <w:rPr>
                <w:rFonts w:ascii="Arial"/>
                <w:color w:val="auto"/>
                <w:sz w:val="21"/>
              </w:rPr>
            </w:pPr>
          </w:p>
        </w:tc>
        <w:tc>
          <w:tcPr>
            <w:tcW w:w="1842" w:type="dxa"/>
            <w:vAlign w:val="top"/>
          </w:tcPr>
          <w:p w14:paraId="1387EBB9">
            <w:pPr>
              <w:spacing w:before="122" w:line="228" w:lineRule="auto"/>
              <w:ind w:left="191"/>
              <w:rPr>
                <w:rFonts w:ascii="宋体" w:hAnsi="宋体" w:eastAsia="宋体" w:cs="宋体"/>
                <w:color w:val="auto"/>
                <w:sz w:val="20"/>
                <w:szCs w:val="20"/>
              </w:rPr>
            </w:pPr>
            <w:r>
              <w:rPr>
                <w:rFonts w:ascii="宋体" w:hAnsi="宋体" w:eastAsia="宋体" w:cs="宋体"/>
                <w:color w:val="auto"/>
                <w:spacing w:val="12"/>
                <w:sz w:val="20"/>
                <w:szCs w:val="20"/>
              </w:rPr>
              <w:t>拟</w:t>
            </w:r>
            <w:r>
              <w:rPr>
                <w:rFonts w:ascii="宋体" w:hAnsi="宋体" w:eastAsia="宋体" w:cs="宋体"/>
                <w:color w:val="auto"/>
                <w:spacing w:val="8"/>
                <w:sz w:val="20"/>
                <w:szCs w:val="20"/>
              </w:rPr>
              <w:t>在本工程任职</w:t>
            </w:r>
          </w:p>
        </w:tc>
        <w:tc>
          <w:tcPr>
            <w:tcW w:w="2445" w:type="dxa"/>
            <w:vAlign w:val="top"/>
          </w:tcPr>
          <w:p w14:paraId="3CC6448C">
            <w:pPr>
              <w:spacing w:before="123" w:line="228" w:lineRule="auto"/>
              <w:ind w:left="810"/>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r>
      <w:tr w14:paraId="40198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1FFFEE05">
            <w:pPr>
              <w:spacing w:before="122" w:line="227" w:lineRule="auto"/>
              <w:ind w:left="483"/>
              <w:rPr>
                <w:rFonts w:ascii="宋体" w:hAnsi="宋体" w:eastAsia="宋体" w:cs="宋体"/>
                <w:color w:val="auto"/>
                <w:sz w:val="20"/>
                <w:szCs w:val="20"/>
              </w:rPr>
            </w:pPr>
            <w:r>
              <w:rPr>
                <w:rFonts w:ascii="宋体" w:hAnsi="宋体" w:eastAsia="宋体" w:cs="宋体"/>
                <w:color w:val="auto"/>
                <w:spacing w:val="10"/>
                <w:sz w:val="20"/>
                <w:szCs w:val="20"/>
              </w:rPr>
              <w:t>注</w:t>
            </w:r>
            <w:r>
              <w:rPr>
                <w:rFonts w:ascii="宋体" w:hAnsi="宋体" w:eastAsia="宋体" w:cs="宋体"/>
                <w:color w:val="auto"/>
                <w:spacing w:val="9"/>
                <w:sz w:val="20"/>
                <w:szCs w:val="20"/>
              </w:rPr>
              <w:t>册建造师执业资格等级</w:t>
            </w:r>
          </w:p>
        </w:tc>
        <w:tc>
          <w:tcPr>
            <w:tcW w:w="1274" w:type="dxa"/>
            <w:vAlign w:val="top"/>
          </w:tcPr>
          <w:p w14:paraId="352727F4">
            <w:pPr>
              <w:spacing w:before="122" w:line="231" w:lineRule="auto"/>
              <w:ind w:left="857"/>
              <w:rPr>
                <w:rFonts w:ascii="宋体" w:hAnsi="宋体" w:eastAsia="宋体" w:cs="宋体"/>
                <w:color w:val="auto"/>
                <w:sz w:val="20"/>
                <w:szCs w:val="20"/>
              </w:rPr>
            </w:pPr>
            <w:r>
              <w:rPr>
                <w:rFonts w:ascii="宋体" w:hAnsi="宋体" w:eastAsia="宋体" w:cs="宋体"/>
                <w:color w:val="auto"/>
                <w:sz w:val="20"/>
                <w:szCs w:val="20"/>
              </w:rPr>
              <w:t>级</w:t>
            </w:r>
          </w:p>
        </w:tc>
        <w:tc>
          <w:tcPr>
            <w:tcW w:w="1842" w:type="dxa"/>
            <w:vAlign w:val="top"/>
          </w:tcPr>
          <w:p w14:paraId="6FF2CCA3">
            <w:pPr>
              <w:spacing w:before="122" w:line="227" w:lineRule="auto"/>
              <w:ind w:left="405"/>
              <w:rPr>
                <w:rFonts w:ascii="宋体" w:hAnsi="宋体" w:eastAsia="宋体" w:cs="宋体"/>
                <w:color w:val="auto"/>
                <w:sz w:val="20"/>
                <w:szCs w:val="20"/>
              </w:rPr>
            </w:pPr>
            <w:r>
              <w:rPr>
                <w:rFonts w:ascii="宋体" w:hAnsi="宋体" w:eastAsia="宋体" w:cs="宋体"/>
                <w:color w:val="auto"/>
                <w:spacing w:val="10"/>
                <w:sz w:val="20"/>
                <w:szCs w:val="20"/>
              </w:rPr>
              <w:t>建</w:t>
            </w:r>
            <w:r>
              <w:rPr>
                <w:rFonts w:ascii="宋体" w:hAnsi="宋体" w:eastAsia="宋体" w:cs="宋体"/>
                <w:color w:val="auto"/>
                <w:spacing w:val="7"/>
                <w:sz w:val="20"/>
                <w:szCs w:val="20"/>
              </w:rPr>
              <w:t>造师专业</w:t>
            </w:r>
          </w:p>
        </w:tc>
        <w:tc>
          <w:tcPr>
            <w:tcW w:w="2445" w:type="dxa"/>
            <w:vAlign w:val="top"/>
          </w:tcPr>
          <w:p w14:paraId="26D87D70">
            <w:pPr>
              <w:rPr>
                <w:rFonts w:ascii="Arial"/>
                <w:color w:val="auto"/>
                <w:sz w:val="21"/>
              </w:rPr>
            </w:pPr>
          </w:p>
        </w:tc>
      </w:tr>
      <w:tr w14:paraId="510B7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25C0039E">
            <w:pPr>
              <w:spacing w:before="121" w:line="228" w:lineRule="auto"/>
              <w:ind w:left="592"/>
              <w:rPr>
                <w:rFonts w:ascii="宋体" w:hAnsi="宋体" w:eastAsia="宋体" w:cs="宋体"/>
                <w:color w:val="auto"/>
                <w:sz w:val="20"/>
                <w:szCs w:val="20"/>
              </w:rPr>
            </w:pPr>
            <w:r>
              <w:rPr>
                <w:rFonts w:ascii="宋体" w:hAnsi="宋体" w:eastAsia="宋体" w:cs="宋体"/>
                <w:color w:val="auto"/>
                <w:spacing w:val="13"/>
                <w:sz w:val="20"/>
                <w:szCs w:val="20"/>
              </w:rPr>
              <w:t>安</w:t>
            </w:r>
            <w:r>
              <w:rPr>
                <w:rFonts w:ascii="宋体" w:hAnsi="宋体" w:eastAsia="宋体" w:cs="宋体"/>
                <w:color w:val="auto"/>
                <w:spacing w:val="8"/>
                <w:sz w:val="20"/>
                <w:szCs w:val="20"/>
              </w:rPr>
              <w:t>全生产考核合格证书</w:t>
            </w:r>
          </w:p>
        </w:tc>
        <w:tc>
          <w:tcPr>
            <w:tcW w:w="5561" w:type="dxa"/>
            <w:gridSpan w:val="3"/>
            <w:vAlign w:val="top"/>
          </w:tcPr>
          <w:p w14:paraId="44EAABF4">
            <w:pPr>
              <w:rPr>
                <w:rFonts w:ascii="Arial"/>
                <w:color w:val="auto"/>
                <w:sz w:val="21"/>
              </w:rPr>
            </w:pPr>
          </w:p>
        </w:tc>
      </w:tr>
      <w:tr w14:paraId="257AE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928C82E">
            <w:pPr>
              <w:spacing w:before="123" w:line="228" w:lineRule="auto"/>
              <w:ind w:left="136"/>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167" w:type="dxa"/>
            <w:gridSpan w:val="2"/>
            <w:tcBorders>
              <w:right w:val="nil"/>
            </w:tcBorders>
            <w:vAlign w:val="top"/>
          </w:tcPr>
          <w:p w14:paraId="28AE4EB7">
            <w:pPr>
              <w:spacing w:before="123" w:line="228" w:lineRule="auto"/>
              <w:ind w:left="952"/>
              <w:rPr>
                <w:rFonts w:ascii="宋体" w:hAnsi="宋体" w:eastAsia="宋体" w:cs="宋体"/>
                <w:color w:val="auto"/>
                <w:sz w:val="20"/>
                <w:szCs w:val="20"/>
              </w:rPr>
            </w:pPr>
            <w:r>
              <w:rPr>
                <w:rFonts w:ascii="宋体" w:hAnsi="宋体" w:eastAsia="宋体" w:cs="宋体"/>
                <w:color w:val="auto"/>
                <w:spacing w:val="7"/>
                <w:sz w:val="20"/>
                <w:szCs w:val="20"/>
              </w:rPr>
              <w:t>年毕业于</w:t>
            </w:r>
          </w:p>
        </w:tc>
        <w:tc>
          <w:tcPr>
            <w:tcW w:w="3116" w:type="dxa"/>
            <w:gridSpan w:val="2"/>
            <w:tcBorders>
              <w:left w:val="nil"/>
              <w:right w:val="nil"/>
            </w:tcBorders>
            <w:vAlign w:val="top"/>
          </w:tcPr>
          <w:p w14:paraId="4390FBBF">
            <w:pPr>
              <w:spacing w:before="123" w:line="229" w:lineRule="auto"/>
              <w:ind w:left="1520"/>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校</w:t>
            </w:r>
          </w:p>
        </w:tc>
        <w:tc>
          <w:tcPr>
            <w:tcW w:w="2445" w:type="dxa"/>
            <w:tcBorders>
              <w:left w:val="nil"/>
            </w:tcBorders>
            <w:vAlign w:val="top"/>
          </w:tcPr>
          <w:p w14:paraId="0543991E">
            <w:pPr>
              <w:spacing w:before="123" w:line="227" w:lineRule="auto"/>
              <w:ind w:left="81"/>
              <w:rPr>
                <w:rFonts w:ascii="宋体" w:hAnsi="宋体" w:eastAsia="宋体" w:cs="宋体"/>
                <w:color w:val="auto"/>
                <w:sz w:val="20"/>
                <w:szCs w:val="20"/>
              </w:rPr>
            </w:pPr>
            <w:r>
              <w:rPr>
                <w:rFonts w:ascii="宋体" w:hAnsi="宋体" w:eastAsia="宋体" w:cs="宋体"/>
                <w:color w:val="auto"/>
                <w:spacing w:val="4"/>
                <w:sz w:val="20"/>
                <w:szCs w:val="20"/>
              </w:rPr>
              <w:t>专业</w:t>
            </w:r>
          </w:p>
        </w:tc>
      </w:tr>
      <w:tr w14:paraId="3227A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7D554A00">
            <w:pPr>
              <w:spacing w:before="122" w:line="229" w:lineRule="auto"/>
              <w:ind w:left="3789"/>
              <w:rPr>
                <w:rFonts w:ascii="宋体" w:hAnsi="宋体" w:eastAsia="宋体" w:cs="宋体"/>
                <w:color w:val="auto"/>
                <w:sz w:val="20"/>
                <w:szCs w:val="20"/>
              </w:rPr>
            </w:pPr>
            <w:r>
              <w:rPr>
                <w:rFonts w:ascii="宋体" w:hAnsi="宋体" w:eastAsia="宋体" w:cs="宋体"/>
                <w:color w:val="auto"/>
                <w:spacing w:val="8"/>
                <w:sz w:val="20"/>
                <w:szCs w:val="20"/>
              </w:rPr>
              <w:t>主要工作经</w:t>
            </w:r>
            <w:r>
              <w:rPr>
                <w:rFonts w:ascii="宋体" w:hAnsi="宋体" w:eastAsia="宋体" w:cs="宋体"/>
                <w:color w:val="auto"/>
                <w:spacing w:val="7"/>
                <w:sz w:val="20"/>
                <w:szCs w:val="20"/>
              </w:rPr>
              <w:t>历</w:t>
            </w:r>
          </w:p>
        </w:tc>
      </w:tr>
      <w:tr w14:paraId="6AA31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5C73F58F">
            <w:pPr>
              <w:spacing w:before="121" w:line="231" w:lineRule="auto"/>
              <w:ind w:left="248"/>
              <w:rPr>
                <w:rFonts w:ascii="宋体" w:hAnsi="宋体" w:eastAsia="宋体" w:cs="宋体"/>
                <w:color w:val="auto"/>
                <w:sz w:val="20"/>
                <w:szCs w:val="20"/>
              </w:rPr>
            </w:pPr>
            <w:r>
              <w:rPr>
                <w:rFonts w:ascii="宋体" w:hAnsi="宋体" w:eastAsia="宋体" w:cs="宋体"/>
                <w:color w:val="auto"/>
                <w:spacing w:val="8"/>
                <w:sz w:val="20"/>
                <w:szCs w:val="20"/>
              </w:rPr>
              <w:t>时</w:t>
            </w:r>
            <w:r>
              <w:rPr>
                <w:rFonts w:ascii="宋体" w:hAnsi="宋体" w:eastAsia="宋体" w:cs="宋体"/>
                <w:color w:val="auto"/>
                <w:spacing w:val="6"/>
                <w:sz w:val="20"/>
                <w:szCs w:val="20"/>
              </w:rPr>
              <w:t xml:space="preserve">  间</w:t>
            </w:r>
          </w:p>
        </w:tc>
        <w:tc>
          <w:tcPr>
            <w:tcW w:w="3441" w:type="dxa"/>
            <w:gridSpan w:val="3"/>
            <w:vAlign w:val="top"/>
          </w:tcPr>
          <w:p w14:paraId="18824062">
            <w:pPr>
              <w:spacing w:before="122" w:line="228" w:lineRule="auto"/>
              <w:ind w:left="677"/>
              <w:rPr>
                <w:rFonts w:ascii="宋体" w:hAnsi="宋体" w:eastAsia="宋体" w:cs="宋体"/>
                <w:color w:val="auto"/>
                <w:sz w:val="20"/>
                <w:szCs w:val="20"/>
              </w:rPr>
            </w:pPr>
            <w:r>
              <w:rPr>
                <w:rFonts w:ascii="宋体" w:hAnsi="宋体" w:eastAsia="宋体" w:cs="宋体"/>
                <w:color w:val="auto"/>
                <w:spacing w:val="15"/>
                <w:sz w:val="20"/>
                <w:szCs w:val="20"/>
              </w:rPr>
              <w:t>参</w:t>
            </w:r>
            <w:r>
              <w:rPr>
                <w:rFonts w:ascii="宋体" w:hAnsi="宋体" w:eastAsia="宋体" w:cs="宋体"/>
                <w:color w:val="auto"/>
                <w:spacing w:val="8"/>
                <w:sz w:val="20"/>
                <w:szCs w:val="20"/>
              </w:rPr>
              <w:t>加过的类似项目名称</w:t>
            </w:r>
          </w:p>
        </w:tc>
        <w:tc>
          <w:tcPr>
            <w:tcW w:w="1842" w:type="dxa"/>
            <w:vAlign w:val="top"/>
          </w:tcPr>
          <w:p w14:paraId="5C2CD8B3">
            <w:pPr>
              <w:spacing w:before="122" w:line="228" w:lineRule="auto"/>
              <w:ind w:left="299"/>
              <w:rPr>
                <w:rFonts w:ascii="宋体" w:hAnsi="宋体" w:eastAsia="宋体" w:cs="宋体"/>
                <w:color w:val="auto"/>
                <w:sz w:val="20"/>
                <w:szCs w:val="20"/>
              </w:rPr>
            </w:pPr>
            <w:r>
              <w:rPr>
                <w:rFonts w:ascii="宋体" w:hAnsi="宋体" w:eastAsia="宋体" w:cs="宋体"/>
                <w:color w:val="auto"/>
                <w:spacing w:val="8"/>
                <w:sz w:val="20"/>
                <w:szCs w:val="20"/>
              </w:rPr>
              <w:t>工程概况说</w:t>
            </w:r>
            <w:r>
              <w:rPr>
                <w:rFonts w:ascii="宋体" w:hAnsi="宋体" w:eastAsia="宋体" w:cs="宋体"/>
                <w:color w:val="auto"/>
                <w:spacing w:val="7"/>
                <w:sz w:val="20"/>
                <w:szCs w:val="20"/>
              </w:rPr>
              <w:t>明</w:t>
            </w:r>
          </w:p>
        </w:tc>
        <w:tc>
          <w:tcPr>
            <w:tcW w:w="2445" w:type="dxa"/>
            <w:vAlign w:val="top"/>
          </w:tcPr>
          <w:p w14:paraId="54C30FAD">
            <w:pPr>
              <w:spacing w:before="121" w:line="229" w:lineRule="auto"/>
              <w:ind w:left="390"/>
              <w:rPr>
                <w:rFonts w:ascii="宋体" w:hAnsi="宋体" w:eastAsia="宋体" w:cs="宋体"/>
                <w:color w:val="auto"/>
                <w:sz w:val="20"/>
                <w:szCs w:val="20"/>
              </w:rPr>
            </w:pPr>
            <w:r>
              <w:rPr>
                <w:rFonts w:ascii="宋体" w:hAnsi="宋体" w:eastAsia="宋体" w:cs="宋体"/>
                <w:color w:val="auto"/>
                <w:spacing w:val="10"/>
                <w:sz w:val="20"/>
                <w:szCs w:val="20"/>
              </w:rPr>
              <w:t>发</w:t>
            </w:r>
            <w:r>
              <w:rPr>
                <w:rFonts w:ascii="宋体" w:hAnsi="宋体" w:eastAsia="宋体" w:cs="宋体"/>
                <w:color w:val="auto"/>
                <w:spacing w:val="8"/>
                <w:sz w:val="20"/>
                <w:szCs w:val="20"/>
              </w:rPr>
              <w:t>包人及联系电话</w:t>
            </w:r>
          </w:p>
        </w:tc>
      </w:tr>
      <w:tr w14:paraId="6ED43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1096" w:type="dxa"/>
            <w:vAlign w:val="top"/>
          </w:tcPr>
          <w:p w14:paraId="57B4A97F">
            <w:pPr>
              <w:rPr>
                <w:rFonts w:ascii="Arial"/>
                <w:color w:val="auto"/>
                <w:sz w:val="21"/>
              </w:rPr>
            </w:pPr>
          </w:p>
        </w:tc>
        <w:tc>
          <w:tcPr>
            <w:tcW w:w="1034" w:type="dxa"/>
            <w:vAlign w:val="top"/>
          </w:tcPr>
          <w:p w14:paraId="15CDB0D8">
            <w:pPr>
              <w:rPr>
                <w:rFonts w:ascii="Arial"/>
                <w:color w:val="auto"/>
                <w:sz w:val="21"/>
              </w:rPr>
            </w:pPr>
          </w:p>
        </w:tc>
        <w:tc>
          <w:tcPr>
            <w:tcW w:w="1133" w:type="dxa"/>
            <w:vAlign w:val="top"/>
          </w:tcPr>
          <w:p w14:paraId="5F519999">
            <w:pPr>
              <w:rPr>
                <w:rFonts w:ascii="Arial"/>
                <w:color w:val="auto"/>
                <w:sz w:val="21"/>
              </w:rPr>
            </w:pPr>
          </w:p>
        </w:tc>
        <w:tc>
          <w:tcPr>
            <w:tcW w:w="1274" w:type="dxa"/>
            <w:vAlign w:val="top"/>
          </w:tcPr>
          <w:p w14:paraId="6C0C7319">
            <w:pPr>
              <w:rPr>
                <w:rFonts w:ascii="Arial"/>
                <w:color w:val="auto"/>
                <w:sz w:val="21"/>
              </w:rPr>
            </w:pPr>
          </w:p>
        </w:tc>
        <w:tc>
          <w:tcPr>
            <w:tcW w:w="1842" w:type="dxa"/>
            <w:vAlign w:val="top"/>
          </w:tcPr>
          <w:p w14:paraId="5EE551E0">
            <w:pPr>
              <w:rPr>
                <w:rFonts w:ascii="Arial"/>
                <w:color w:val="auto"/>
                <w:sz w:val="21"/>
              </w:rPr>
            </w:pPr>
          </w:p>
        </w:tc>
        <w:tc>
          <w:tcPr>
            <w:tcW w:w="2445" w:type="dxa"/>
            <w:vAlign w:val="top"/>
          </w:tcPr>
          <w:p w14:paraId="7C94F9F7">
            <w:pPr>
              <w:rPr>
                <w:rFonts w:ascii="Arial"/>
                <w:color w:val="auto"/>
                <w:sz w:val="21"/>
              </w:rPr>
            </w:pPr>
          </w:p>
        </w:tc>
      </w:tr>
      <w:tr w14:paraId="66AD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A87C0B1">
            <w:pPr>
              <w:rPr>
                <w:rFonts w:ascii="Arial"/>
                <w:color w:val="auto"/>
                <w:sz w:val="21"/>
              </w:rPr>
            </w:pPr>
          </w:p>
        </w:tc>
        <w:tc>
          <w:tcPr>
            <w:tcW w:w="1034" w:type="dxa"/>
            <w:vAlign w:val="top"/>
          </w:tcPr>
          <w:p w14:paraId="3BA36361">
            <w:pPr>
              <w:rPr>
                <w:rFonts w:ascii="Arial"/>
                <w:color w:val="auto"/>
                <w:sz w:val="21"/>
              </w:rPr>
            </w:pPr>
          </w:p>
        </w:tc>
        <w:tc>
          <w:tcPr>
            <w:tcW w:w="1133" w:type="dxa"/>
            <w:vAlign w:val="top"/>
          </w:tcPr>
          <w:p w14:paraId="6795AE1E">
            <w:pPr>
              <w:rPr>
                <w:rFonts w:ascii="Arial"/>
                <w:color w:val="auto"/>
                <w:sz w:val="21"/>
              </w:rPr>
            </w:pPr>
          </w:p>
        </w:tc>
        <w:tc>
          <w:tcPr>
            <w:tcW w:w="1274" w:type="dxa"/>
            <w:vAlign w:val="top"/>
          </w:tcPr>
          <w:p w14:paraId="41187EDB">
            <w:pPr>
              <w:rPr>
                <w:rFonts w:ascii="Arial"/>
                <w:color w:val="auto"/>
                <w:sz w:val="21"/>
              </w:rPr>
            </w:pPr>
          </w:p>
        </w:tc>
        <w:tc>
          <w:tcPr>
            <w:tcW w:w="1842" w:type="dxa"/>
            <w:vAlign w:val="top"/>
          </w:tcPr>
          <w:p w14:paraId="4F24AE5D">
            <w:pPr>
              <w:rPr>
                <w:rFonts w:ascii="Arial"/>
                <w:color w:val="auto"/>
                <w:sz w:val="21"/>
              </w:rPr>
            </w:pPr>
          </w:p>
        </w:tc>
        <w:tc>
          <w:tcPr>
            <w:tcW w:w="2445" w:type="dxa"/>
            <w:vAlign w:val="top"/>
          </w:tcPr>
          <w:p w14:paraId="352E68C1">
            <w:pPr>
              <w:rPr>
                <w:rFonts w:ascii="Arial"/>
                <w:color w:val="auto"/>
                <w:sz w:val="21"/>
              </w:rPr>
            </w:pPr>
          </w:p>
        </w:tc>
      </w:tr>
      <w:tr w14:paraId="0A031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DD6AEDA">
            <w:pPr>
              <w:rPr>
                <w:rFonts w:ascii="Arial"/>
                <w:color w:val="auto"/>
                <w:sz w:val="21"/>
              </w:rPr>
            </w:pPr>
          </w:p>
        </w:tc>
        <w:tc>
          <w:tcPr>
            <w:tcW w:w="1034" w:type="dxa"/>
            <w:vAlign w:val="top"/>
          </w:tcPr>
          <w:p w14:paraId="61BE4E0E">
            <w:pPr>
              <w:rPr>
                <w:rFonts w:ascii="Arial"/>
                <w:color w:val="auto"/>
                <w:sz w:val="21"/>
              </w:rPr>
            </w:pPr>
          </w:p>
        </w:tc>
        <w:tc>
          <w:tcPr>
            <w:tcW w:w="1133" w:type="dxa"/>
            <w:vAlign w:val="top"/>
          </w:tcPr>
          <w:p w14:paraId="195EA3C1">
            <w:pPr>
              <w:rPr>
                <w:rFonts w:ascii="Arial"/>
                <w:color w:val="auto"/>
                <w:sz w:val="21"/>
              </w:rPr>
            </w:pPr>
          </w:p>
        </w:tc>
        <w:tc>
          <w:tcPr>
            <w:tcW w:w="1274" w:type="dxa"/>
            <w:vAlign w:val="top"/>
          </w:tcPr>
          <w:p w14:paraId="3D43D98B">
            <w:pPr>
              <w:rPr>
                <w:rFonts w:ascii="Arial"/>
                <w:color w:val="auto"/>
                <w:sz w:val="21"/>
              </w:rPr>
            </w:pPr>
          </w:p>
        </w:tc>
        <w:tc>
          <w:tcPr>
            <w:tcW w:w="1842" w:type="dxa"/>
            <w:vAlign w:val="top"/>
          </w:tcPr>
          <w:p w14:paraId="3DD5C819">
            <w:pPr>
              <w:rPr>
                <w:rFonts w:ascii="Arial"/>
                <w:color w:val="auto"/>
                <w:sz w:val="21"/>
              </w:rPr>
            </w:pPr>
          </w:p>
        </w:tc>
        <w:tc>
          <w:tcPr>
            <w:tcW w:w="2445" w:type="dxa"/>
            <w:vAlign w:val="top"/>
          </w:tcPr>
          <w:p w14:paraId="116B259A">
            <w:pPr>
              <w:rPr>
                <w:rFonts w:ascii="Arial"/>
                <w:color w:val="auto"/>
                <w:sz w:val="21"/>
              </w:rPr>
            </w:pPr>
          </w:p>
        </w:tc>
      </w:tr>
      <w:tr w14:paraId="31F4C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080C490">
            <w:pPr>
              <w:rPr>
                <w:rFonts w:ascii="Arial"/>
                <w:color w:val="auto"/>
                <w:sz w:val="21"/>
              </w:rPr>
            </w:pPr>
          </w:p>
        </w:tc>
        <w:tc>
          <w:tcPr>
            <w:tcW w:w="1034" w:type="dxa"/>
            <w:vAlign w:val="top"/>
          </w:tcPr>
          <w:p w14:paraId="7D1E3419">
            <w:pPr>
              <w:rPr>
                <w:rFonts w:ascii="Arial"/>
                <w:color w:val="auto"/>
                <w:sz w:val="21"/>
              </w:rPr>
            </w:pPr>
          </w:p>
        </w:tc>
        <w:tc>
          <w:tcPr>
            <w:tcW w:w="1133" w:type="dxa"/>
            <w:vAlign w:val="top"/>
          </w:tcPr>
          <w:p w14:paraId="6906ED91">
            <w:pPr>
              <w:rPr>
                <w:rFonts w:ascii="Arial"/>
                <w:color w:val="auto"/>
                <w:sz w:val="21"/>
              </w:rPr>
            </w:pPr>
          </w:p>
        </w:tc>
        <w:tc>
          <w:tcPr>
            <w:tcW w:w="1274" w:type="dxa"/>
            <w:vAlign w:val="top"/>
          </w:tcPr>
          <w:p w14:paraId="507745E7">
            <w:pPr>
              <w:rPr>
                <w:rFonts w:ascii="Arial"/>
                <w:color w:val="auto"/>
                <w:sz w:val="21"/>
              </w:rPr>
            </w:pPr>
          </w:p>
        </w:tc>
        <w:tc>
          <w:tcPr>
            <w:tcW w:w="1842" w:type="dxa"/>
            <w:vAlign w:val="top"/>
          </w:tcPr>
          <w:p w14:paraId="11286F3F">
            <w:pPr>
              <w:rPr>
                <w:rFonts w:ascii="Arial"/>
                <w:color w:val="auto"/>
                <w:sz w:val="21"/>
              </w:rPr>
            </w:pPr>
          </w:p>
        </w:tc>
        <w:tc>
          <w:tcPr>
            <w:tcW w:w="2445" w:type="dxa"/>
            <w:vAlign w:val="top"/>
          </w:tcPr>
          <w:p w14:paraId="2BCC70EC">
            <w:pPr>
              <w:rPr>
                <w:rFonts w:ascii="Arial"/>
                <w:color w:val="auto"/>
                <w:sz w:val="21"/>
              </w:rPr>
            </w:pPr>
          </w:p>
        </w:tc>
      </w:tr>
      <w:tr w14:paraId="0CCFA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1C87244E">
            <w:pPr>
              <w:rPr>
                <w:rFonts w:ascii="Arial"/>
                <w:color w:val="auto"/>
                <w:sz w:val="21"/>
              </w:rPr>
            </w:pPr>
          </w:p>
        </w:tc>
        <w:tc>
          <w:tcPr>
            <w:tcW w:w="1034" w:type="dxa"/>
            <w:vAlign w:val="top"/>
          </w:tcPr>
          <w:p w14:paraId="0FA8F85F">
            <w:pPr>
              <w:rPr>
                <w:rFonts w:ascii="Arial"/>
                <w:color w:val="auto"/>
                <w:sz w:val="21"/>
              </w:rPr>
            </w:pPr>
          </w:p>
        </w:tc>
        <w:tc>
          <w:tcPr>
            <w:tcW w:w="1133" w:type="dxa"/>
            <w:vAlign w:val="top"/>
          </w:tcPr>
          <w:p w14:paraId="64E7678F">
            <w:pPr>
              <w:rPr>
                <w:rFonts w:ascii="Arial"/>
                <w:color w:val="auto"/>
                <w:sz w:val="21"/>
              </w:rPr>
            </w:pPr>
          </w:p>
        </w:tc>
        <w:tc>
          <w:tcPr>
            <w:tcW w:w="1274" w:type="dxa"/>
            <w:vAlign w:val="top"/>
          </w:tcPr>
          <w:p w14:paraId="7FD83627">
            <w:pPr>
              <w:rPr>
                <w:rFonts w:ascii="Arial"/>
                <w:color w:val="auto"/>
                <w:sz w:val="21"/>
              </w:rPr>
            </w:pPr>
          </w:p>
        </w:tc>
        <w:tc>
          <w:tcPr>
            <w:tcW w:w="1842" w:type="dxa"/>
            <w:vAlign w:val="top"/>
          </w:tcPr>
          <w:p w14:paraId="4415C1E2">
            <w:pPr>
              <w:rPr>
                <w:rFonts w:ascii="Arial"/>
                <w:color w:val="auto"/>
                <w:sz w:val="21"/>
              </w:rPr>
            </w:pPr>
          </w:p>
        </w:tc>
        <w:tc>
          <w:tcPr>
            <w:tcW w:w="2445" w:type="dxa"/>
            <w:vAlign w:val="top"/>
          </w:tcPr>
          <w:p w14:paraId="769F8F36">
            <w:pPr>
              <w:rPr>
                <w:rFonts w:ascii="Arial"/>
                <w:color w:val="auto"/>
                <w:sz w:val="21"/>
              </w:rPr>
            </w:pPr>
          </w:p>
        </w:tc>
      </w:tr>
      <w:tr w14:paraId="03559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91E1145">
            <w:pPr>
              <w:rPr>
                <w:rFonts w:ascii="Arial"/>
                <w:color w:val="auto"/>
                <w:sz w:val="21"/>
              </w:rPr>
            </w:pPr>
          </w:p>
        </w:tc>
        <w:tc>
          <w:tcPr>
            <w:tcW w:w="1034" w:type="dxa"/>
            <w:vAlign w:val="top"/>
          </w:tcPr>
          <w:p w14:paraId="524A00D1">
            <w:pPr>
              <w:rPr>
                <w:rFonts w:ascii="Arial"/>
                <w:color w:val="auto"/>
                <w:sz w:val="21"/>
              </w:rPr>
            </w:pPr>
          </w:p>
        </w:tc>
        <w:tc>
          <w:tcPr>
            <w:tcW w:w="1133" w:type="dxa"/>
            <w:vAlign w:val="top"/>
          </w:tcPr>
          <w:p w14:paraId="22B2BC6E">
            <w:pPr>
              <w:rPr>
                <w:rFonts w:ascii="Arial"/>
                <w:color w:val="auto"/>
                <w:sz w:val="21"/>
              </w:rPr>
            </w:pPr>
          </w:p>
        </w:tc>
        <w:tc>
          <w:tcPr>
            <w:tcW w:w="1274" w:type="dxa"/>
            <w:vAlign w:val="top"/>
          </w:tcPr>
          <w:p w14:paraId="6794C24E">
            <w:pPr>
              <w:rPr>
                <w:rFonts w:ascii="Arial"/>
                <w:color w:val="auto"/>
                <w:sz w:val="21"/>
              </w:rPr>
            </w:pPr>
          </w:p>
        </w:tc>
        <w:tc>
          <w:tcPr>
            <w:tcW w:w="1842" w:type="dxa"/>
            <w:vAlign w:val="top"/>
          </w:tcPr>
          <w:p w14:paraId="18EC46EB">
            <w:pPr>
              <w:rPr>
                <w:rFonts w:ascii="Arial"/>
                <w:color w:val="auto"/>
                <w:sz w:val="21"/>
              </w:rPr>
            </w:pPr>
          </w:p>
        </w:tc>
        <w:tc>
          <w:tcPr>
            <w:tcW w:w="2445" w:type="dxa"/>
            <w:vAlign w:val="top"/>
          </w:tcPr>
          <w:p w14:paraId="6CD56EB8">
            <w:pPr>
              <w:rPr>
                <w:rFonts w:ascii="Arial"/>
                <w:color w:val="auto"/>
                <w:sz w:val="21"/>
              </w:rPr>
            </w:pPr>
          </w:p>
        </w:tc>
      </w:tr>
      <w:tr w14:paraId="1C926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1DD0F4C1">
            <w:pPr>
              <w:rPr>
                <w:rFonts w:ascii="Arial"/>
                <w:color w:val="auto"/>
                <w:sz w:val="21"/>
              </w:rPr>
            </w:pPr>
          </w:p>
        </w:tc>
        <w:tc>
          <w:tcPr>
            <w:tcW w:w="1034" w:type="dxa"/>
            <w:vAlign w:val="top"/>
          </w:tcPr>
          <w:p w14:paraId="37B711C4">
            <w:pPr>
              <w:rPr>
                <w:rFonts w:ascii="Arial"/>
                <w:color w:val="auto"/>
                <w:sz w:val="21"/>
              </w:rPr>
            </w:pPr>
          </w:p>
        </w:tc>
        <w:tc>
          <w:tcPr>
            <w:tcW w:w="1133" w:type="dxa"/>
            <w:vAlign w:val="top"/>
          </w:tcPr>
          <w:p w14:paraId="56FDBF63">
            <w:pPr>
              <w:rPr>
                <w:rFonts w:ascii="Arial"/>
                <w:color w:val="auto"/>
                <w:sz w:val="21"/>
              </w:rPr>
            </w:pPr>
          </w:p>
        </w:tc>
        <w:tc>
          <w:tcPr>
            <w:tcW w:w="1274" w:type="dxa"/>
            <w:vAlign w:val="top"/>
          </w:tcPr>
          <w:p w14:paraId="00C1C68B">
            <w:pPr>
              <w:rPr>
                <w:rFonts w:ascii="Arial"/>
                <w:color w:val="auto"/>
                <w:sz w:val="21"/>
              </w:rPr>
            </w:pPr>
          </w:p>
        </w:tc>
        <w:tc>
          <w:tcPr>
            <w:tcW w:w="1842" w:type="dxa"/>
            <w:vAlign w:val="top"/>
          </w:tcPr>
          <w:p w14:paraId="4B40200B">
            <w:pPr>
              <w:rPr>
                <w:rFonts w:ascii="Arial"/>
                <w:color w:val="auto"/>
                <w:sz w:val="21"/>
              </w:rPr>
            </w:pPr>
          </w:p>
        </w:tc>
        <w:tc>
          <w:tcPr>
            <w:tcW w:w="2445" w:type="dxa"/>
            <w:vAlign w:val="top"/>
          </w:tcPr>
          <w:p w14:paraId="47054C04">
            <w:pPr>
              <w:rPr>
                <w:rFonts w:ascii="Arial"/>
                <w:color w:val="auto"/>
                <w:sz w:val="21"/>
              </w:rPr>
            </w:pPr>
          </w:p>
        </w:tc>
      </w:tr>
    </w:tbl>
    <w:p w14:paraId="1FFB2A68">
      <w:pPr>
        <w:spacing w:before="157" w:line="395" w:lineRule="auto"/>
        <w:ind w:left="13" w:right="71" w:hanging="1"/>
        <w:rPr>
          <w:rFonts w:ascii="宋体" w:hAnsi="宋体" w:eastAsia="宋体" w:cs="宋体"/>
          <w:color w:val="auto"/>
          <w:sz w:val="20"/>
          <w:szCs w:val="20"/>
        </w:rPr>
      </w:pPr>
      <w:r>
        <w:rPr>
          <w:rFonts w:ascii="宋体" w:hAnsi="宋体" w:eastAsia="宋体" w:cs="宋体"/>
          <w:color w:val="auto"/>
          <w:spacing w:val="8"/>
          <w:sz w:val="20"/>
          <w:szCs w:val="20"/>
        </w:rPr>
        <w:t>注：  承包人若需要更换本工程磋商响应文件中原有建造师及人员时须经发包人同意。未经发包</w:t>
      </w:r>
      <w:r>
        <w:rPr>
          <w:rFonts w:ascii="宋体" w:hAnsi="宋体" w:eastAsia="宋体" w:cs="宋体"/>
          <w:color w:val="auto"/>
          <w:spacing w:val="24"/>
          <w:sz w:val="20"/>
          <w:szCs w:val="20"/>
        </w:rPr>
        <w:t>人同</w:t>
      </w:r>
      <w:r>
        <w:rPr>
          <w:rFonts w:ascii="宋体" w:hAnsi="宋体" w:eastAsia="宋体" w:cs="宋体"/>
          <w:color w:val="auto"/>
          <w:spacing w:val="15"/>
          <w:sz w:val="20"/>
          <w:szCs w:val="20"/>
        </w:rPr>
        <w:t>意</w:t>
      </w:r>
      <w:r>
        <w:rPr>
          <w:rFonts w:ascii="宋体" w:hAnsi="宋体" w:eastAsia="宋体" w:cs="宋体"/>
          <w:color w:val="auto"/>
          <w:spacing w:val="12"/>
          <w:sz w:val="20"/>
          <w:szCs w:val="20"/>
        </w:rPr>
        <w:t>，承包人更换人员，承包人应承担违约责任。并且按照中标价</w:t>
      </w:r>
      <w:r>
        <w:rPr>
          <w:rFonts w:ascii="宋体" w:hAnsi="宋体" w:eastAsia="宋体" w:cs="宋体"/>
          <w:color w:val="auto"/>
          <w:spacing w:val="12"/>
          <w:sz w:val="20"/>
          <w:szCs w:val="20"/>
          <w:u w:val="single" w:color="auto"/>
        </w:rPr>
        <w:t xml:space="preserve"> 5 </w:t>
      </w:r>
      <w:r>
        <w:rPr>
          <w:rFonts w:ascii="宋体" w:hAnsi="宋体" w:eastAsia="宋体" w:cs="宋体"/>
          <w:color w:val="auto"/>
          <w:spacing w:val="12"/>
          <w:sz w:val="20"/>
          <w:szCs w:val="20"/>
        </w:rPr>
        <w:t>％ 给发包人支付违约</w:t>
      </w:r>
      <w:r>
        <w:rPr>
          <w:rFonts w:ascii="宋体" w:hAnsi="宋体" w:eastAsia="宋体" w:cs="宋体"/>
          <w:color w:val="auto"/>
          <w:spacing w:val="-1"/>
          <w:sz w:val="20"/>
          <w:szCs w:val="20"/>
        </w:rPr>
        <w:t>金</w:t>
      </w:r>
      <w:r>
        <w:rPr>
          <w:rFonts w:ascii="宋体" w:hAnsi="宋体" w:eastAsia="宋体" w:cs="宋体"/>
          <w:color w:val="auto"/>
          <w:sz w:val="20"/>
          <w:szCs w:val="20"/>
        </w:rPr>
        <w:t>。</w:t>
      </w:r>
    </w:p>
    <w:p w14:paraId="0B1EF628">
      <w:pPr>
        <w:rPr>
          <w:color w:val="auto"/>
        </w:rPr>
        <w:sectPr>
          <w:footerReference r:id="rId19" w:type="default"/>
          <w:pgSz w:w="11906" w:h="16839"/>
          <w:pgMar w:top="400" w:right="1461" w:bottom="1156" w:left="1615" w:header="0" w:footer="996" w:gutter="0"/>
          <w:cols w:space="720" w:num="1"/>
        </w:sectPr>
      </w:pPr>
    </w:p>
    <w:p w14:paraId="0DA581F3">
      <w:pPr>
        <w:spacing w:before="65" w:line="228" w:lineRule="auto"/>
        <w:ind w:left="102"/>
        <w:rPr>
          <w:rFonts w:ascii="宋体" w:hAnsi="宋体" w:eastAsia="宋体" w:cs="宋体"/>
          <w:color w:val="auto"/>
          <w:sz w:val="20"/>
          <w:szCs w:val="20"/>
        </w:rPr>
      </w:pPr>
      <w:r>
        <w:rPr>
          <w:rFonts w:ascii="宋体" w:hAnsi="宋体" w:eastAsia="宋体" w:cs="宋体"/>
          <w:color w:val="auto"/>
          <w:spacing w:val="4"/>
          <w:sz w:val="20"/>
          <w:szCs w:val="20"/>
        </w:rPr>
        <w:t>附 2：主要项目管理人员简历表</w:t>
      </w:r>
    </w:p>
    <w:p w14:paraId="7B474D48">
      <w:pPr>
        <w:spacing w:before="172" w:line="393" w:lineRule="auto"/>
        <w:ind w:left="90" w:right="78" w:hanging="3"/>
        <w:rPr>
          <w:rFonts w:ascii="宋体" w:hAnsi="宋体" w:eastAsia="宋体" w:cs="宋体"/>
          <w:color w:val="auto"/>
          <w:sz w:val="20"/>
          <w:szCs w:val="20"/>
        </w:rPr>
      </w:pPr>
      <w:r>
        <w:rPr>
          <w:rFonts w:ascii="宋体" w:hAnsi="宋体" w:eastAsia="宋体" w:cs="宋体"/>
          <w:color w:val="auto"/>
          <w:spacing w:val="22"/>
          <w:sz w:val="20"/>
          <w:szCs w:val="20"/>
        </w:rPr>
        <w:t>主</w:t>
      </w:r>
      <w:r>
        <w:rPr>
          <w:rFonts w:ascii="宋体" w:hAnsi="宋体" w:eastAsia="宋体" w:cs="宋体"/>
          <w:color w:val="auto"/>
          <w:spacing w:val="13"/>
          <w:sz w:val="20"/>
          <w:szCs w:val="20"/>
        </w:rPr>
        <w:t>要项目管理人员指技术负责人、专职安全生产管理人员等岗位人员。应附岗位证书、身份证</w:t>
      </w:r>
      <w:r>
        <w:rPr>
          <w:rFonts w:ascii="宋体" w:hAnsi="宋体" w:eastAsia="宋体" w:cs="宋体"/>
          <w:color w:val="auto"/>
          <w:spacing w:val="19"/>
          <w:sz w:val="20"/>
          <w:szCs w:val="20"/>
        </w:rPr>
        <w:t>复</w:t>
      </w:r>
      <w:r>
        <w:rPr>
          <w:rFonts w:ascii="宋体" w:hAnsi="宋体" w:eastAsia="宋体" w:cs="宋体"/>
          <w:color w:val="auto"/>
          <w:spacing w:val="13"/>
          <w:sz w:val="20"/>
          <w:szCs w:val="20"/>
        </w:rPr>
        <w:t>印件，专职安全生产管理人员应附安全生产考核合格证书，项目管理各岗位人员应附社会保</w:t>
      </w:r>
      <w:r>
        <w:rPr>
          <w:rFonts w:ascii="宋体" w:hAnsi="宋体" w:eastAsia="宋体" w:cs="宋体"/>
          <w:color w:val="auto"/>
          <w:spacing w:val="16"/>
          <w:sz w:val="20"/>
          <w:szCs w:val="20"/>
        </w:rPr>
        <w:t>险</w:t>
      </w:r>
      <w:r>
        <w:rPr>
          <w:rFonts w:ascii="宋体" w:hAnsi="宋体" w:eastAsia="宋体" w:cs="宋体"/>
          <w:color w:val="auto"/>
          <w:spacing w:val="11"/>
          <w:sz w:val="20"/>
          <w:szCs w:val="20"/>
        </w:rPr>
        <w:t>缴</w:t>
      </w:r>
      <w:r>
        <w:rPr>
          <w:rFonts w:ascii="宋体" w:hAnsi="宋体" w:eastAsia="宋体" w:cs="宋体"/>
          <w:color w:val="auto"/>
          <w:spacing w:val="8"/>
          <w:sz w:val="20"/>
          <w:szCs w:val="20"/>
        </w:rPr>
        <w:t>纳证明，主要业绩须附</w:t>
      </w:r>
      <w:r>
        <w:rPr>
          <w:rFonts w:hint="eastAsia" w:ascii="宋体" w:hAnsi="宋体" w:eastAsia="宋体" w:cs="宋体"/>
          <w:bCs w:val="0"/>
          <w:snapToGrid w:val="0"/>
          <w:color w:val="auto"/>
          <w:spacing w:val="13"/>
          <w:kern w:val="0"/>
          <w:sz w:val="20"/>
          <w:szCs w:val="20"/>
          <w:highlight w:val="none"/>
        </w:rPr>
        <w:t>成交通知书或中标通知书</w:t>
      </w:r>
      <w:r>
        <w:rPr>
          <w:rFonts w:ascii="宋体" w:hAnsi="宋体" w:eastAsia="宋体" w:cs="宋体"/>
          <w:color w:val="auto"/>
          <w:spacing w:val="8"/>
          <w:sz w:val="20"/>
          <w:szCs w:val="20"/>
        </w:rPr>
        <w:t>。</w:t>
      </w:r>
    </w:p>
    <w:p w14:paraId="17F7E345">
      <w:pPr>
        <w:rPr>
          <w:color w:val="auto"/>
        </w:rPr>
      </w:pPr>
    </w:p>
    <w:p w14:paraId="2DEA01B7">
      <w:pPr>
        <w:spacing w:line="24" w:lineRule="exact"/>
        <w:rPr>
          <w:color w:val="auto"/>
        </w:rPr>
      </w:pPr>
    </w:p>
    <w:tbl>
      <w:tblPr>
        <w:tblStyle w:val="17"/>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69E3B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529169BF">
            <w:pPr>
              <w:spacing w:before="189" w:line="229" w:lineRule="auto"/>
              <w:ind w:left="139"/>
              <w:rPr>
                <w:rFonts w:ascii="宋体" w:hAnsi="宋体" w:eastAsia="宋体" w:cs="宋体"/>
                <w:color w:val="auto"/>
                <w:sz w:val="20"/>
                <w:szCs w:val="20"/>
              </w:rPr>
            </w:pPr>
            <w:r>
              <w:rPr>
                <w:rFonts w:ascii="宋体" w:hAnsi="宋体" w:eastAsia="宋体" w:cs="宋体"/>
                <w:color w:val="auto"/>
                <w:spacing w:val="2"/>
                <w:sz w:val="20"/>
                <w:szCs w:val="20"/>
              </w:rPr>
              <w:t>岗位</w:t>
            </w:r>
            <w:r>
              <w:rPr>
                <w:rFonts w:ascii="宋体" w:hAnsi="宋体" w:eastAsia="宋体" w:cs="宋体"/>
                <w:color w:val="auto"/>
                <w:spacing w:val="1"/>
                <w:sz w:val="20"/>
                <w:szCs w:val="20"/>
              </w:rPr>
              <w:t>名称</w:t>
            </w:r>
          </w:p>
        </w:tc>
      </w:tr>
      <w:tr w14:paraId="743E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36CAB69C">
            <w:pPr>
              <w:spacing w:before="186" w:line="228" w:lineRule="auto"/>
              <w:ind w:left="116"/>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3418" w:type="dxa"/>
            <w:vAlign w:val="top"/>
          </w:tcPr>
          <w:p w14:paraId="0E567C20">
            <w:pPr>
              <w:rPr>
                <w:rFonts w:ascii="Arial"/>
                <w:color w:val="auto"/>
                <w:sz w:val="21"/>
              </w:rPr>
            </w:pPr>
          </w:p>
        </w:tc>
        <w:tc>
          <w:tcPr>
            <w:tcW w:w="1260" w:type="dxa"/>
            <w:vAlign w:val="top"/>
          </w:tcPr>
          <w:p w14:paraId="7A4401D0">
            <w:pPr>
              <w:spacing w:before="185" w:line="228" w:lineRule="auto"/>
              <w:ind w:left="116"/>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2300" w:type="dxa"/>
            <w:vAlign w:val="top"/>
          </w:tcPr>
          <w:p w14:paraId="79BF42DB">
            <w:pPr>
              <w:rPr>
                <w:rFonts w:ascii="Arial"/>
                <w:color w:val="auto"/>
                <w:sz w:val="21"/>
              </w:rPr>
            </w:pPr>
          </w:p>
        </w:tc>
      </w:tr>
      <w:tr w14:paraId="4372E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6B5FD1CF">
            <w:pPr>
              <w:spacing w:before="175" w:line="229" w:lineRule="auto"/>
              <w:ind w:left="116"/>
              <w:rPr>
                <w:rFonts w:ascii="宋体" w:hAnsi="宋体" w:eastAsia="宋体" w:cs="宋体"/>
                <w:color w:val="auto"/>
                <w:sz w:val="20"/>
                <w:szCs w:val="20"/>
              </w:rPr>
            </w:pPr>
            <w:r>
              <w:rPr>
                <w:rFonts w:ascii="宋体" w:hAnsi="宋体" w:eastAsia="宋体" w:cs="宋体"/>
                <w:color w:val="auto"/>
                <w:spacing w:val="5"/>
                <w:sz w:val="20"/>
                <w:szCs w:val="20"/>
              </w:rPr>
              <w:t>性</w:t>
            </w:r>
            <w:r>
              <w:rPr>
                <w:rFonts w:ascii="宋体" w:hAnsi="宋体" w:eastAsia="宋体" w:cs="宋体"/>
                <w:color w:val="auto"/>
                <w:spacing w:val="4"/>
                <w:sz w:val="20"/>
                <w:szCs w:val="20"/>
              </w:rPr>
              <w:t>别</w:t>
            </w:r>
          </w:p>
        </w:tc>
        <w:tc>
          <w:tcPr>
            <w:tcW w:w="3418" w:type="dxa"/>
            <w:vAlign w:val="top"/>
          </w:tcPr>
          <w:p w14:paraId="33A2451A">
            <w:pPr>
              <w:rPr>
                <w:rFonts w:ascii="Arial"/>
                <w:color w:val="auto"/>
                <w:sz w:val="21"/>
              </w:rPr>
            </w:pPr>
          </w:p>
        </w:tc>
        <w:tc>
          <w:tcPr>
            <w:tcW w:w="1260" w:type="dxa"/>
            <w:vAlign w:val="top"/>
          </w:tcPr>
          <w:p w14:paraId="01423530">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300" w:type="dxa"/>
            <w:vAlign w:val="top"/>
          </w:tcPr>
          <w:p w14:paraId="24C9AFAE">
            <w:pPr>
              <w:rPr>
                <w:rFonts w:ascii="Arial"/>
                <w:color w:val="auto"/>
                <w:sz w:val="21"/>
              </w:rPr>
            </w:pPr>
          </w:p>
        </w:tc>
      </w:tr>
      <w:tr w14:paraId="5C905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0E80DCFF">
            <w:pPr>
              <w:spacing w:before="175" w:line="227" w:lineRule="auto"/>
              <w:ind w:left="121"/>
              <w:rPr>
                <w:rFonts w:ascii="宋体" w:hAnsi="宋体" w:eastAsia="宋体" w:cs="宋体"/>
                <w:color w:val="auto"/>
                <w:sz w:val="20"/>
                <w:szCs w:val="20"/>
              </w:rPr>
            </w:pPr>
            <w:r>
              <w:rPr>
                <w:rFonts w:ascii="宋体" w:hAnsi="宋体" w:eastAsia="宋体" w:cs="宋体"/>
                <w:color w:val="auto"/>
                <w:spacing w:val="8"/>
                <w:sz w:val="20"/>
                <w:szCs w:val="20"/>
              </w:rPr>
              <w:t>学</w:t>
            </w:r>
            <w:r>
              <w:rPr>
                <w:rFonts w:ascii="宋体" w:hAnsi="宋体" w:eastAsia="宋体" w:cs="宋体"/>
                <w:color w:val="auto"/>
                <w:spacing w:val="7"/>
                <w:sz w:val="20"/>
                <w:szCs w:val="20"/>
              </w:rPr>
              <w:t>历和专业</w:t>
            </w:r>
          </w:p>
        </w:tc>
        <w:tc>
          <w:tcPr>
            <w:tcW w:w="3418" w:type="dxa"/>
            <w:vAlign w:val="top"/>
          </w:tcPr>
          <w:p w14:paraId="39D0A4D6">
            <w:pPr>
              <w:rPr>
                <w:rFonts w:ascii="Arial"/>
                <w:color w:val="auto"/>
                <w:sz w:val="21"/>
              </w:rPr>
            </w:pPr>
          </w:p>
        </w:tc>
        <w:tc>
          <w:tcPr>
            <w:tcW w:w="1260" w:type="dxa"/>
            <w:vAlign w:val="top"/>
          </w:tcPr>
          <w:p w14:paraId="461D6723">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业时间</w:t>
            </w:r>
          </w:p>
        </w:tc>
        <w:tc>
          <w:tcPr>
            <w:tcW w:w="2300" w:type="dxa"/>
            <w:vAlign w:val="top"/>
          </w:tcPr>
          <w:p w14:paraId="5183ECBE">
            <w:pPr>
              <w:rPr>
                <w:rFonts w:ascii="Arial"/>
                <w:color w:val="auto"/>
                <w:sz w:val="21"/>
              </w:rPr>
            </w:pPr>
          </w:p>
        </w:tc>
      </w:tr>
      <w:tr w14:paraId="6A60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E3A8EF3">
            <w:pPr>
              <w:spacing w:before="175" w:line="227" w:lineRule="auto"/>
              <w:ind w:left="116"/>
              <w:rPr>
                <w:rFonts w:ascii="宋体" w:hAnsi="宋体" w:eastAsia="宋体" w:cs="宋体"/>
                <w:color w:val="auto"/>
                <w:sz w:val="20"/>
                <w:szCs w:val="20"/>
              </w:rPr>
            </w:pPr>
            <w:r>
              <w:rPr>
                <w:rFonts w:ascii="宋体" w:hAnsi="宋体" w:eastAsia="宋体" w:cs="宋体"/>
                <w:color w:val="auto"/>
                <w:spacing w:val="12"/>
                <w:sz w:val="20"/>
                <w:szCs w:val="20"/>
              </w:rPr>
              <w:t>拥</w:t>
            </w:r>
            <w:r>
              <w:rPr>
                <w:rFonts w:ascii="宋体" w:hAnsi="宋体" w:eastAsia="宋体" w:cs="宋体"/>
                <w:color w:val="auto"/>
                <w:spacing w:val="8"/>
                <w:sz w:val="20"/>
                <w:szCs w:val="20"/>
              </w:rPr>
              <w:t>有的执业资格</w:t>
            </w:r>
          </w:p>
        </w:tc>
        <w:tc>
          <w:tcPr>
            <w:tcW w:w="3418" w:type="dxa"/>
            <w:vAlign w:val="top"/>
          </w:tcPr>
          <w:p w14:paraId="61424248">
            <w:pPr>
              <w:rPr>
                <w:rFonts w:ascii="Arial"/>
                <w:color w:val="auto"/>
                <w:sz w:val="21"/>
              </w:rPr>
            </w:pPr>
          </w:p>
        </w:tc>
        <w:tc>
          <w:tcPr>
            <w:tcW w:w="1260" w:type="dxa"/>
            <w:vAlign w:val="top"/>
          </w:tcPr>
          <w:p w14:paraId="6AFA8DEE">
            <w:pPr>
              <w:spacing w:before="175" w:line="227" w:lineRule="auto"/>
              <w:ind w:left="116"/>
              <w:rPr>
                <w:rFonts w:ascii="宋体" w:hAnsi="宋体" w:eastAsia="宋体" w:cs="宋体"/>
                <w:color w:val="auto"/>
                <w:sz w:val="20"/>
                <w:szCs w:val="20"/>
              </w:rPr>
            </w:pPr>
            <w:r>
              <w:rPr>
                <w:rFonts w:ascii="宋体" w:hAnsi="宋体" w:eastAsia="宋体" w:cs="宋体"/>
                <w:color w:val="auto"/>
                <w:spacing w:val="7"/>
                <w:sz w:val="20"/>
                <w:szCs w:val="20"/>
              </w:rPr>
              <w:t>专业职称</w:t>
            </w:r>
          </w:p>
        </w:tc>
        <w:tc>
          <w:tcPr>
            <w:tcW w:w="2300" w:type="dxa"/>
            <w:vAlign w:val="top"/>
          </w:tcPr>
          <w:p w14:paraId="31314A21">
            <w:pPr>
              <w:rPr>
                <w:rFonts w:ascii="Arial"/>
                <w:color w:val="auto"/>
                <w:sz w:val="21"/>
              </w:rPr>
            </w:pPr>
          </w:p>
        </w:tc>
      </w:tr>
      <w:tr w14:paraId="19159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69320F9">
            <w:pPr>
              <w:spacing w:before="185" w:line="227" w:lineRule="auto"/>
              <w:ind w:left="116"/>
              <w:rPr>
                <w:rFonts w:ascii="宋体" w:hAnsi="宋体" w:eastAsia="宋体" w:cs="宋体"/>
                <w:color w:val="auto"/>
                <w:sz w:val="20"/>
                <w:szCs w:val="20"/>
              </w:rPr>
            </w:pPr>
            <w:r>
              <w:rPr>
                <w:rFonts w:ascii="宋体" w:hAnsi="宋体" w:eastAsia="宋体" w:cs="宋体"/>
                <w:color w:val="auto"/>
                <w:spacing w:val="13"/>
                <w:sz w:val="20"/>
                <w:szCs w:val="20"/>
              </w:rPr>
              <w:t>执</w:t>
            </w:r>
            <w:r>
              <w:rPr>
                <w:rFonts w:ascii="宋体" w:hAnsi="宋体" w:eastAsia="宋体" w:cs="宋体"/>
                <w:color w:val="auto"/>
                <w:spacing w:val="8"/>
                <w:sz w:val="20"/>
                <w:szCs w:val="20"/>
              </w:rPr>
              <w:t>业资格证书编号</w:t>
            </w:r>
          </w:p>
        </w:tc>
        <w:tc>
          <w:tcPr>
            <w:tcW w:w="3418" w:type="dxa"/>
            <w:vAlign w:val="top"/>
          </w:tcPr>
          <w:p w14:paraId="63A0F966">
            <w:pPr>
              <w:rPr>
                <w:rFonts w:ascii="Arial"/>
                <w:color w:val="auto"/>
                <w:sz w:val="21"/>
              </w:rPr>
            </w:pPr>
          </w:p>
        </w:tc>
        <w:tc>
          <w:tcPr>
            <w:tcW w:w="1260" w:type="dxa"/>
            <w:vAlign w:val="top"/>
          </w:tcPr>
          <w:p w14:paraId="18C43D1C">
            <w:pPr>
              <w:spacing w:before="185" w:line="228" w:lineRule="auto"/>
              <w:ind w:left="117"/>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2300" w:type="dxa"/>
            <w:vAlign w:val="top"/>
          </w:tcPr>
          <w:p w14:paraId="392CD5F5">
            <w:pPr>
              <w:rPr>
                <w:rFonts w:ascii="Arial"/>
                <w:color w:val="auto"/>
                <w:sz w:val="21"/>
              </w:rPr>
            </w:pPr>
          </w:p>
        </w:tc>
      </w:tr>
      <w:tr w14:paraId="44806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1126F192">
            <w:pPr>
              <w:spacing w:before="280" w:line="214" w:lineRule="auto"/>
              <w:ind w:left="615"/>
              <w:rPr>
                <w:rFonts w:ascii="宋体" w:hAnsi="宋体" w:eastAsia="宋体" w:cs="宋体"/>
                <w:color w:val="auto"/>
                <w:sz w:val="20"/>
                <w:szCs w:val="20"/>
              </w:rPr>
            </w:pPr>
            <w:r>
              <w:rPr>
                <w:rFonts w:ascii="宋体" w:hAnsi="宋体" w:eastAsia="宋体" w:cs="宋体"/>
                <w:color w:val="auto"/>
                <w:spacing w:val="21"/>
                <w:sz w:val="20"/>
                <w:szCs w:val="20"/>
              </w:rPr>
              <w:t>主</w:t>
            </w:r>
            <w:r>
              <w:rPr>
                <w:rFonts w:ascii="宋体" w:hAnsi="宋体" w:eastAsia="宋体" w:cs="宋体"/>
                <w:color w:val="auto"/>
                <w:spacing w:val="13"/>
                <w:sz w:val="20"/>
                <w:szCs w:val="20"/>
              </w:rPr>
              <w:t xml:space="preserve">  要  工  作  业  绩  及  担  任  的  主  要  工  作</w:t>
            </w:r>
          </w:p>
        </w:tc>
        <w:tc>
          <w:tcPr>
            <w:tcW w:w="8300" w:type="dxa"/>
            <w:gridSpan w:val="4"/>
            <w:vAlign w:val="top"/>
          </w:tcPr>
          <w:p w14:paraId="7B568D4D">
            <w:pPr>
              <w:rPr>
                <w:rFonts w:ascii="Arial"/>
                <w:color w:val="auto"/>
                <w:sz w:val="21"/>
              </w:rPr>
            </w:pPr>
          </w:p>
        </w:tc>
      </w:tr>
    </w:tbl>
    <w:p w14:paraId="7F1D9A68">
      <w:pPr>
        <w:rPr>
          <w:rFonts w:ascii="Arial"/>
          <w:color w:val="auto"/>
          <w:sz w:val="21"/>
        </w:rPr>
      </w:pPr>
    </w:p>
    <w:p w14:paraId="74C7EF96">
      <w:pPr>
        <w:rPr>
          <w:color w:val="auto"/>
        </w:rPr>
        <w:sectPr>
          <w:footerReference r:id="rId20" w:type="default"/>
          <w:pgSz w:w="11906" w:h="16839"/>
          <w:pgMar w:top="400" w:right="1454" w:bottom="1156" w:left="1542" w:header="0" w:footer="996" w:gutter="0"/>
          <w:cols w:space="720" w:num="1"/>
        </w:sectPr>
      </w:pPr>
    </w:p>
    <w:p w14:paraId="42E8E58A">
      <w:pPr>
        <w:spacing w:line="255" w:lineRule="auto"/>
        <w:rPr>
          <w:rFonts w:ascii="Arial"/>
          <w:color w:val="auto"/>
          <w:sz w:val="21"/>
        </w:rPr>
      </w:pPr>
    </w:p>
    <w:p w14:paraId="7C2FC4E8">
      <w:pPr>
        <w:spacing w:line="255" w:lineRule="auto"/>
        <w:rPr>
          <w:rFonts w:ascii="Arial"/>
          <w:color w:val="auto"/>
          <w:sz w:val="21"/>
        </w:rPr>
      </w:pPr>
    </w:p>
    <w:p w14:paraId="0073346A">
      <w:pPr>
        <w:spacing w:line="255" w:lineRule="auto"/>
        <w:rPr>
          <w:rFonts w:ascii="Arial"/>
          <w:color w:val="auto"/>
          <w:sz w:val="21"/>
        </w:rPr>
      </w:pPr>
    </w:p>
    <w:p w14:paraId="7061957F">
      <w:pPr>
        <w:spacing w:line="255" w:lineRule="auto"/>
        <w:rPr>
          <w:rFonts w:ascii="Arial"/>
          <w:color w:val="auto"/>
          <w:sz w:val="21"/>
        </w:rPr>
      </w:pPr>
    </w:p>
    <w:p w14:paraId="043B4E0E">
      <w:pPr>
        <w:spacing w:line="255" w:lineRule="auto"/>
        <w:rPr>
          <w:rFonts w:ascii="Arial"/>
          <w:color w:val="auto"/>
          <w:sz w:val="21"/>
        </w:rPr>
      </w:pPr>
    </w:p>
    <w:p w14:paraId="14890453">
      <w:pPr>
        <w:spacing w:line="255" w:lineRule="auto"/>
        <w:rPr>
          <w:rFonts w:ascii="Arial"/>
          <w:color w:val="auto"/>
          <w:sz w:val="21"/>
        </w:rPr>
      </w:pPr>
    </w:p>
    <w:p w14:paraId="1DEFE8D5">
      <w:pPr>
        <w:spacing w:before="65" w:line="228" w:lineRule="auto"/>
        <w:ind w:left="3538"/>
        <w:outlineLvl w:val="1"/>
        <w:rPr>
          <w:rFonts w:hint="eastAsia" w:ascii="宋体" w:hAnsi="宋体" w:eastAsia="宋体" w:cs="宋体"/>
          <w:color w:val="auto"/>
          <w:sz w:val="20"/>
          <w:szCs w:val="20"/>
          <w:lang w:eastAsia="zh-CN"/>
        </w:rPr>
      </w:pPr>
      <w:r>
        <w:rPr>
          <w:rFonts w:ascii="宋体" w:hAnsi="宋体" w:eastAsia="宋体" w:cs="宋体"/>
          <w:color w:val="auto"/>
          <w:spacing w:val="15"/>
          <w:sz w:val="19"/>
          <w:szCs w:val="19"/>
        </w:rPr>
        <w:t>7</w:t>
      </w:r>
      <w:r>
        <w:rPr>
          <w:rFonts w:ascii="黑体" w:hAnsi="黑体" w:eastAsia="黑体" w:cs="黑体"/>
          <w:color w:val="auto"/>
          <w:spacing w:val="8"/>
          <w:sz w:val="19"/>
          <w:szCs w:val="19"/>
        </w:rPr>
        <w:t>、</w:t>
      </w:r>
      <w:r>
        <w:rPr>
          <w:rFonts w:ascii="宋体" w:hAnsi="宋体" w:eastAsia="宋体" w:cs="宋体"/>
          <w:color w:val="auto"/>
          <w:spacing w:val="8"/>
          <w:sz w:val="20"/>
          <w:szCs w:val="20"/>
          <w14:textOutline w14:w="3795" w14:cap="sq" w14:cmpd="sng">
            <w14:solidFill>
              <w14:srgbClr w14:val="000000"/>
            </w14:solidFill>
            <w14:prstDash w14:val="solid"/>
            <w14:bevel/>
          </w14:textOutline>
        </w:rPr>
        <w:t>拟分包项目情况表</w:t>
      </w:r>
      <w:r>
        <w:rPr>
          <w:rFonts w:hint="eastAsia" w:ascii="宋体" w:hAnsi="宋体" w:eastAsia="宋体" w:cs="宋体"/>
          <w:color w:val="auto"/>
          <w:spacing w:val="8"/>
          <w:sz w:val="20"/>
          <w:szCs w:val="20"/>
          <w:lang w:eastAsia="zh-CN"/>
          <w14:textOutline w14:w="3795" w14:cap="sq" w14:cmpd="sng">
            <w14:solidFill>
              <w14:srgbClr w14:val="000000"/>
            </w14:solidFill>
            <w14:prstDash w14:val="solid"/>
            <w14:bevel/>
          </w14:textOutline>
        </w:rPr>
        <w:t>（如有）</w:t>
      </w:r>
    </w:p>
    <w:p w14:paraId="7F3027CA">
      <w:pPr>
        <w:rPr>
          <w:color w:val="auto"/>
        </w:rPr>
      </w:pPr>
    </w:p>
    <w:p w14:paraId="45BCF272">
      <w:pPr>
        <w:spacing w:line="26" w:lineRule="exact"/>
        <w:rPr>
          <w:color w:val="auto"/>
        </w:rPr>
      </w:pPr>
    </w:p>
    <w:tbl>
      <w:tblPr>
        <w:tblStyle w:val="17"/>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402"/>
        <w:gridCol w:w="2008"/>
        <w:gridCol w:w="2385"/>
      </w:tblGrid>
      <w:tr w14:paraId="1E88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6A51BC82">
            <w:pPr>
              <w:spacing w:before="258" w:line="229" w:lineRule="auto"/>
              <w:ind w:left="557"/>
              <w:rPr>
                <w:rFonts w:ascii="宋体" w:hAnsi="宋体" w:eastAsia="宋体" w:cs="宋体"/>
                <w:color w:val="auto"/>
                <w:sz w:val="20"/>
                <w:szCs w:val="20"/>
              </w:rPr>
            </w:pPr>
            <w:r>
              <w:rPr>
                <w:rFonts w:ascii="宋体" w:hAnsi="宋体" w:eastAsia="宋体" w:cs="宋体"/>
                <w:color w:val="auto"/>
                <w:spacing w:val="10"/>
                <w:sz w:val="20"/>
                <w:szCs w:val="20"/>
              </w:rPr>
              <w:t>分</w:t>
            </w:r>
            <w:r>
              <w:rPr>
                <w:rFonts w:ascii="宋体" w:hAnsi="宋体" w:eastAsia="宋体" w:cs="宋体"/>
                <w:color w:val="auto"/>
                <w:spacing w:val="7"/>
                <w:sz w:val="20"/>
                <w:szCs w:val="20"/>
              </w:rPr>
              <w:t>包人名称</w:t>
            </w:r>
          </w:p>
        </w:tc>
        <w:tc>
          <w:tcPr>
            <w:tcW w:w="2402" w:type="dxa"/>
            <w:vAlign w:val="top"/>
          </w:tcPr>
          <w:p w14:paraId="2089A8BE">
            <w:pPr>
              <w:rPr>
                <w:rFonts w:ascii="Arial"/>
                <w:color w:val="auto"/>
                <w:sz w:val="21"/>
              </w:rPr>
            </w:pPr>
          </w:p>
        </w:tc>
        <w:tc>
          <w:tcPr>
            <w:tcW w:w="2008" w:type="dxa"/>
            <w:vAlign w:val="top"/>
          </w:tcPr>
          <w:p w14:paraId="61102935">
            <w:pPr>
              <w:spacing w:before="257" w:line="238" w:lineRule="auto"/>
              <w:ind w:left="747"/>
              <w:rPr>
                <w:rFonts w:ascii="宋体" w:hAnsi="宋体" w:eastAsia="宋体" w:cs="宋体"/>
                <w:color w:val="auto"/>
                <w:sz w:val="20"/>
                <w:szCs w:val="20"/>
              </w:rPr>
            </w:pPr>
            <w:r>
              <w:rPr>
                <w:rFonts w:ascii="宋体" w:hAnsi="宋体" w:eastAsia="宋体" w:cs="宋体"/>
                <w:color w:val="auto"/>
                <w:spacing w:val="5"/>
                <w:sz w:val="20"/>
                <w:szCs w:val="20"/>
              </w:rPr>
              <w:t>地 址</w:t>
            </w:r>
          </w:p>
        </w:tc>
        <w:tc>
          <w:tcPr>
            <w:tcW w:w="2385" w:type="dxa"/>
            <w:vAlign w:val="top"/>
          </w:tcPr>
          <w:p w14:paraId="3FA618C3">
            <w:pPr>
              <w:rPr>
                <w:rFonts w:ascii="Arial"/>
                <w:color w:val="auto"/>
                <w:sz w:val="21"/>
              </w:rPr>
            </w:pPr>
          </w:p>
        </w:tc>
      </w:tr>
      <w:tr w14:paraId="0B0D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2A5CFDF0">
            <w:pPr>
              <w:spacing w:before="253" w:line="227" w:lineRule="auto"/>
              <w:ind w:left="556"/>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2402" w:type="dxa"/>
            <w:vAlign w:val="top"/>
          </w:tcPr>
          <w:p w14:paraId="4E133C27">
            <w:pPr>
              <w:rPr>
                <w:rFonts w:ascii="Arial"/>
                <w:color w:val="auto"/>
                <w:sz w:val="21"/>
              </w:rPr>
            </w:pPr>
          </w:p>
        </w:tc>
        <w:tc>
          <w:tcPr>
            <w:tcW w:w="2008" w:type="dxa"/>
            <w:vAlign w:val="top"/>
          </w:tcPr>
          <w:p w14:paraId="10770A2A">
            <w:pPr>
              <w:spacing w:before="253" w:line="231" w:lineRule="auto"/>
              <w:ind w:left="772"/>
              <w:rPr>
                <w:rFonts w:ascii="宋体" w:hAnsi="宋体" w:eastAsia="宋体" w:cs="宋体"/>
                <w:color w:val="auto"/>
                <w:sz w:val="20"/>
                <w:szCs w:val="20"/>
              </w:rPr>
            </w:pPr>
            <w:r>
              <w:rPr>
                <w:rFonts w:ascii="宋体" w:hAnsi="宋体" w:eastAsia="宋体" w:cs="宋体"/>
                <w:color w:val="auto"/>
                <w:spacing w:val="-4"/>
                <w:sz w:val="20"/>
                <w:szCs w:val="20"/>
              </w:rPr>
              <w:t>电</w:t>
            </w:r>
            <w:r>
              <w:rPr>
                <w:rFonts w:ascii="宋体" w:hAnsi="宋体" w:eastAsia="宋体" w:cs="宋体"/>
                <w:color w:val="auto"/>
                <w:spacing w:val="-3"/>
                <w:sz w:val="20"/>
                <w:szCs w:val="20"/>
              </w:rPr>
              <w:t xml:space="preserve"> 话</w:t>
            </w:r>
          </w:p>
        </w:tc>
        <w:tc>
          <w:tcPr>
            <w:tcW w:w="2385" w:type="dxa"/>
            <w:vAlign w:val="top"/>
          </w:tcPr>
          <w:p w14:paraId="276B3A4C">
            <w:pPr>
              <w:rPr>
                <w:rFonts w:ascii="Arial"/>
                <w:color w:val="auto"/>
                <w:sz w:val="21"/>
              </w:rPr>
            </w:pPr>
          </w:p>
        </w:tc>
      </w:tr>
      <w:tr w14:paraId="28F78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029ADA5A">
            <w:pPr>
              <w:spacing w:before="254" w:line="228" w:lineRule="auto"/>
              <w:ind w:left="456"/>
              <w:rPr>
                <w:rFonts w:ascii="宋体" w:hAnsi="宋体" w:eastAsia="宋体" w:cs="宋体"/>
                <w:color w:val="auto"/>
                <w:sz w:val="20"/>
                <w:szCs w:val="20"/>
              </w:rPr>
            </w:pPr>
            <w:r>
              <w:rPr>
                <w:rFonts w:ascii="宋体" w:hAnsi="宋体" w:eastAsia="宋体" w:cs="宋体"/>
                <w:color w:val="auto"/>
                <w:spacing w:val="8"/>
                <w:sz w:val="20"/>
                <w:szCs w:val="20"/>
              </w:rPr>
              <w:t>营</w:t>
            </w:r>
            <w:r>
              <w:rPr>
                <w:rFonts w:ascii="宋体" w:hAnsi="宋体" w:eastAsia="宋体" w:cs="宋体"/>
                <w:color w:val="auto"/>
                <w:spacing w:val="7"/>
                <w:sz w:val="20"/>
                <w:szCs w:val="20"/>
              </w:rPr>
              <w:t>业执照号码</w:t>
            </w:r>
          </w:p>
        </w:tc>
        <w:tc>
          <w:tcPr>
            <w:tcW w:w="2402" w:type="dxa"/>
            <w:vAlign w:val="top"/>
          </w:tcPr>
          <w:p w14:paraId="2645AAC9">
            <w:pPr>
              <w:rPr>
                <w:rFonts w:ascii="Arial"/>
                <w:color w:val="auto"/>
                <w:sz w:val="21"/>
              </w:rPr>
            </w:pPr>
          </w:p>
        </w:tc>
        <w:tc>
          <w:tcPr>
            <w:tcW w:w="2008" w:type="dxa"/>
            <w:vAlign w:val="top"/>
          </w:tcPr>
          <w:p w14:paraId="42E1346A">
            <w:pPr>
              <w:spacing w:before="254" w:line="227" w:lineRule="auto"/>
              <w:ind w:left="598"/>
              <w:rPr>
                <w:rFonts w:ascii="宋体" w:hAnsi="宋体" w:eastAsia="宋体" w:cs="宋体"/>
                <w:color w:val="auto"/>
                <w:sz w:val="20"/>
                <w:szCs w:val="20"/>
              </w:rPr>
            </w:pPr>
            <w:r>
              <w:rPr>
                <w:rFonts w:ascii="宋体" w:hAnsi="宋体" w:eastAsia="宋体" w:cs="宋体"/>
                <w:color w:val="auto"/>
                <w:spacing w:val="5"/>
                <w:sz w:val="20"/>
                <w:szCs w:val="20"/>
              </w:rPr>
              <w:t>资质等级</w:t>
            </w:r>
          </w:p>
        </w:tc>
        <w:tc>
          <w:tcPr>
            <w:tcW w:w="2385" w:type="dxa"/>
            <w:vAlign w:val="top"/>
          </w:tcPr>
          <w:p w14:paraId="5BCB83BB">
            <w:pPr>
              <w:rPr>
                <w:rFonts w:ascii="Arial"/>
                <w:color w:val="auto"/>
                <w:sz w:val="21"/>
              </w:rPr>
            </w:pPr>
          </w:p>
        </w:tc>
      </w:tr>
      <w:tr w14:paraId="17847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4F314CCA">
            <w:pPr>
              <w:spacing w:before="254" w:line="228" w:lineRule="auto"/>
              <w:ind w:left="240"/>
              <w:rPr>
                <w:rFonts w:ascii="宋体" w:hAnsi="宋体" w:eastAsia="宋体" w:cs="宋体"/>
                <w:color w:val="auto"/>
                <w:sz w:val="20"/>
                <w:szCs w:val="20"/>
              </w:rPr>
            </w:pPr>
            <w:r>
              <w:rPr>
                <w:rFonts w:ascii="宋体" w:hAnsi="宋体" w:eastAsia="宋体" w:cs="宋体"/>
                <w:color w:val="auto"/>
                <w:spacing w:val="13"/>
                <w:sz w:val="20"/>
                <w:szCs w:val="20"/>
              </w:rPr>
              <w:t>拟</w:t>
            </w:r>
            <w:r>
              <w:rPr>
                <w:rFonts w:ascii="宋体" w:hAnsi="宋体" w:eastAsia="宋体" w:cs="宋体"/>
                <w:color w:val="auto"/>
                <w:spacing w:val="8"/>
                <w:sz w:val="20"/>
                <w:szCs w:val="20"/>
              </w:rPr>
              <w:t>分包的工程项目</w:t>
            </w:r>
          </w:p>
        </w:tc>
        <w:tc>
          <w:tcPr>
            <w:tcW w:w="2402" w:type="dxa"/>
            <w:vAlign w:val="top"/>
          </w:tcPr>
          <w:p w14:paraId="591F133A">
            <w:pPr>
              <w:spacing w:before="255" w:line="228" w:lineRule="auto"/>
              <w:ind w:left="631"/>
              <w:rPr>
                <w:rFonts w:ascii="宋体" w:hAnsi="宋体" w:eastAsia="宋体" w:cs="宋体"/>
                <w:color w:val="auto"/>
                <w:sz w:val="20"/>
                <w:szCs w:val="20"/>
              </w:rPr>
            </w:pPr>
            <w:r>
              <w:rPr>
                <w:rFonts w:ascii="宋体" w:hAnsi="宋体" w:eastAsia="宋体" w:cs="宋体"/>
                <w:color w:val="auto"/>
                <w:spacing w:val="8"/>
                <w:sz w:val="20"/>
                <w:szCs w:val="20"/>
              </w:rPr>
              <w:t>主</w:t>
            </w:r>
            <w:r>
              <w:rPr>
                <w:rFonts w:ascii="宋体" w:hAnsi="宋体" w:eastAsia="宋体" w:cs="宋体"/>
                <w:color w:val="auto"/>
                <w:spacing w:val="6"/>
                <w:sz w:val="20"/>
                <w:szCs w:val="20"/>
              </w:rPr>
              <w:t xml:space="preserve"> 要 内 容</w:t>
            </w:r>
          </w:p>
        </w:tc>
        <w:tc>
          <w:tcPr>
            <w:tcW w:w="2008" w:type="dxa"/>
            <w:vAlign w:val="top"/>
          </w:tcPr>
          <w:p w14:paraId="6503F65E">
            <w:pPr>
              <w:spacing w:before="254" w:line="227" w:lineRule="auto"/>
              <w:ind w:left="171"/>
              <w:rPr>
                <w:rFonts w:ascii="宋体" w:hAnsi="宋体" w:eastAsia="宋体" w:cs="宋体"/>
                <w:color w:val="auto"/>
                <w:sz w:val="20"/>
                <w:szCs w:val="20"/>
              </w:rPr>
            </w:pPr>
            <w:r>
              <w:rPr>
                <w:rFonts w:ascii="宋体" w:hAnsi="宋体" w:eastAsia="宋体" w:cs="宋体"/>
                <w:color w:val="auto"/>
                <w:spacing w:val="11"/>
                <w:sz w:val="20"/>
                <w:szCs w:val="20"/>
              </w:rPr>
              <w:t>预</w:t>
            </w:r>
            <w:r>
              <w:rPr>
                <w:rFonts w:ascii="宋体" w:hAnsi="宋体" w:eastAsia="宋体" w:cs="宋体"/>
                <w:color w:val="auto"/>
                <w:spacing w:val="6"/>
                <w:sz w:val="20"/>
                <w:szCs w:val="20"/>
              </w:rPr>
              <w:t>计造价 (万元)</w:t>
            </w:r>
          </w:p>
        </w:tc>
        <w:tc>
          <w:tcPr>
            <w:tcW w:w="2385" w:type="dxa"/>
            <w:vAlign w:val="top"/>
          </w:tcPr>
          <w:p w14:paraId="5CA3E9E1">
            <w:pPr>
              <w:spacing w:before="255" w:line="228" w:lineRule="auto"/>
              <w:ind w:left="274"/>
              <w:rPr>
                <w:rFonts w:ascii="宋体" w:hAnsi="宋体" w:eastAsia="宋体" w:cs="宋体"/>
                <w:color w:val="auto"/>
                <w:sz w:val="20"/>
                <w:szCs w:val="20"/>
              </w:rPr>
            </w:pPr>
            <w:r>
              <w:rPr>
                <w:rFonts w:ascii="宋体" w:hAnsi="宋体" w:eastAsia="宋体" w:cs="宋体"/>
                <w:color w:val="auto"/>
                <w:spacing w:val="10"/>
                <w:sz w:val="20"/>
                <w:szCs w:val="20"/>
              </w:rPr>
              <w:t>已</w:t>
            </w:r>
            <w:r>
              <w:rPr>
                <w:rFonts w:ascii="宋体" w:hAnsi="宋体" w:eastAsia="宋体" w:cs="宋体"/>
                <w:color w:val="auto"/>
                <w:spacing w:val="6"/>
                <w:sz w:val="20"/>
                <w:szCs w:val="20"/>
              </w:rPr>
              <w:t>经做过的类似工程</w:t>
            </w:r>
          </w:p>
        </w:tc>
      </w:tr>
      <w:tr w14:paraId="5CE29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831CD79">
            <w:pPr>
              <w:rPr>
                <w:rFonts w:ascii="Arial"/>
                <w:color w:val="auto"/>
                <w:sz w:val="21"/>
              </w:rPr>
            </w:pPr>
          </w:p>
        </w:tc>
        <w:tc>
          <w:tcPr>
            <w:tcW w:w="2402" w:type="dxa"/>
            <w:vAlign w:val="top"/>
          </w:tcPr>
          <w:p w14:paraId="1B957610">
            <w:pPr>
              <w:rPr>
                <w:rFonts w:ascii="Arial"/>
                <w:color w:val="auto"/>
                <w:sz w:val="21"/>
              </w:rPr>
            </w:pPr>
          </w:p>
        </w:tc>
        <w:tc>
          <w:tcPr>
            <w:tcW w:w="2008" w:type="dxa"/>
            <w:vAlign w:val="top"/>
          </w:tcPr>
          <w:p w14:paraId="2916D38F">
            <w:pPr>
              <w:rPr>
                <w:rFonts w:ascii="Arial"/>
                <w:color w:val="auto"/>
                <w:sz w:val="21"/>
              </w:rPr>
            </w:pPr>
          </w:p>
        </w:tc>
        <w:tc>
          <w:tcPr>
            <w:tcW w:w="2385" w:type="dxa"/>
            <w:vMerge w:val="restart"/>
            <w:tcBorders>
              <w:bottom w:val="nil"/>
            </w:tcBorders>
            <w:vAlign w:val="top"/>
          </w:tcPr>
          <w:p w14:paraId="58E30CE6">
            <w:pPr>
              <w:rPr>
                <w:rFonts w:ascii="Arial"/>
                <w:color w:val="auto"/>
                <w:sz w:val="21"/>
              </w:rPr>
            </w:pPr>
          </w:p>
        </w:tc>
      </w:tr>
      <w:tr w14:paraId="2307C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D74D73A">
            <w:pPr>
              <w:rPr>
                <w:rFonts w:ascii="Arial"/>
                <w:color w:val="auto"/>
                <w:sz w:val="21"/>
              </w:rPr>
            </w:pPr>
          </w:p>
        </w:tc>
        <w:tc>
          <w:tcPr>
            <w:tcW w:w="2402" w:type="dxa"/>
            <w:vAlign w:val="top"/>
          </w:tcPr>
          <w:p w14:paraId="11C69431">
            <w:pPr>
              <w:rPr>
                <w:rFonts w:ascii="Arial"/>
                <w:color w:val="auto"/>
                <w:sz w:val="21"/>
              </w:rPr>
            </w:pPr>
          </w:p>
        </w:tc>
        <w:tc>
          <w:tcPr>
            <w:tcW w:w="2008" w:type="dxa"/>
            <w:vAlign w:val="top"/>
          </w:tcPr>
          <w:p w14:paraId="2536777E">
            <w:pPr>
              <w:rPr>
                <w:rFonts w:ascii="Arial"/>
                <w:color w:val="auto"/>
                <w:sz w:val="21"/>
              </w:rPr>
            </w:pPr>
          </w:p>
        </w:tc>
        <w:tc>
          <w:tcPr>
            <w:tcW w:w="2385" w:type="dxa"/>
            <w:vMerge w:val="continue"/>
            <w:tcBorders>
              <w:top w:val="nil"/>
              <w:bottom w:val="nil"/>
            </w:tcBorders>
            <w:vAlign w:val="top"/>
          </w:tcPr>
          <w:p w14:paraId="0941A5DC">
            <w:pPr>
              <w:rPr>
                <w:rFonts w:ascii="Arial"/>
                <w:color w:val="auto"/>
                <w:sz w:val="21"/>
              </w:rPr>
            </w:pPr>
          </w:p>
        </w:tc>
      </w:tr>
      <w:tr w14:paraId="48C10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DB5B214">
            <w:pPr>
              <w:rPr>
                <w:rFonts w:ascii="Arial"/>
                <w:color w:val="auto"/>
                <w:sz w:val="21"/>
              </w:rPr>
            </w:pPr>
          </w:p>
        </w:tc>
        <w:tc>
          <w:tcPr>
            <w:tcW w:w="2402" w:type="dxa"/>
            <w:vAlign w:val="top"/>
          </w:tcPr>
          <w:p w14:paraId="69C73D24">
            <w:pPr>
              <w:rPr>
                <w:rFonts w:ascii="Arial"/>
                <w:color w:val="auto"/>
                <w:sz w:val="21"/>
              </w:rPr>
            </w:pPr>
          </w:p>
        </w:tc>
        <w:tc>
          <w:tcPr>
            <w:tcW w:w="2008" w:type="dxa"/>
            <w:vAlign w:val="top"/>
          </w:tcPr>
          <w:p w14:paraId="2FF685CE">
            <w:pPr>
              <w:rPr>
                <w:rFonts w:ascii="Arial"/>
                <w:color w:val="auto"/>
                <w:sz w:val="21"/>
              </w:rPr>
            </w:pPr>
          </w:p>
        </w:tc>
        <w:tc>
          <w:tcPr>
            <w:tcW w:w="2385" w:type="dxa"/>
            <w:vMerge w:val="continue"/>
            <w:tcBorders>
              <w:top w:val="nil"/>
              <w:bottom w:val="nil"/>
            </w:tcBorders>
            <w:vAlign w:val="top"/>
          </w:tcPr>
          <w:p w14:paraId="6E93CC94">
            <w:pPr>
              <w:rPr>
                <w:rFonts w:ascii="Arial"/>
                <w:color w:val="auto"/>
                <w:sz w:val="21"/>
              </w:rPr>
            </w:pPr>
          </w:p>
        </w:tc>
      </w:tr>
      <w:tr w14:paraId="063ED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1138A02">
            <w:pPr>
              <w:rPr>
                <w:rFonts w:ascii="Arial"/>
                <w:color w:val="auto"/>
                <w:sz w:val="21"/>
              </w:rPr>
            </w:pPr>
          </w:p>
        </w:tc>
        <w:tc>
          <w:tcPr>
            <w:tcW w:w="2402" w:type="dxa"/>
            <w:vAlign w:val="top"/>
          </w:tcPr>
          <w:p w14:paraId="1C254A4F">
            <w:pPr>
              <w:rPr>
                <w:rFonts w:ascii="Arial"/>
                <w:color w:val="auto"/>
                <w:sz w:val="21"/>
              </w:rPr>
            </w:pPr>
          </w:p>
        </w:tc>
        <w:tc>
          <w:tcPr>
            <w:tcW w:w="2008" w:type="dxa"/>
            <w:vAlign w:val="top"/>
          </w:tcPr>
          <w:p w14:paraId="5BB09900">
            <w:pPr>
              <w:rPr>
                <w:rFonts w:ascii="Arial"/>
                <w:color w:val="auto"/>
                <w:sz w:val="21"/>
              </w:rPr>
            </w:pPr>
          </w:p>
        </w:tc>
        <w:tc>
          <w:tcPr>
            <w:tcW w:w="2385" w:type="dxa"/>
            <w:vMerge w:val="continue"/>
            <w:tcBorders>
              <w:top w:val="nil"/>
              <w:bottom w:val="nil"/>
            </w:tcBorders>
            <w:vAlign w:val="top"/>
          </w:tcPr>
          <w:p w14:paraId="215F82E0">
            <w:pPr>
              <w:rPr>
                <w:rFonts w:ascii="Arial"/>
                <w:color w:val="auto"/>
                <w:sz w:val="21"/>
              </w:rPr>
            </w:pPr>
          </w:p>
        </w:tc>
      </w:tr>
      <w:tr w14:paraId="0FB5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FC953D9">
            <w:pPr>
              <w:rPr>
                <w:rFonts w:ascii="Arial"/>
                <w:color w:val="auto"/>
                <w:sz w:val="21"/>
              </w:rPr>
            </w:pPr>
          </w:p>
        </w:tc>
        <w:tc>
          <w:tcPr>
            <w:tcW w:w="2402" w:type="dxa"/>
            <w:vAlign w:val="top"/>
          </w:tcPr>
          <w:p w14:paraId="6357B88F">
            <w:pPr>
              <w:rPr>
                <w:rFonts w:ascii="Arial"/>
                <w:color w:val="auto"/>
                <w:sz w:val="21"/>
              </w:rPr>
            </w:pPr>
          </w:p>
        </w:tc>
        <w:tc>
          <w:tcPr>
            <w:tcW w:w="2008" w:type="dxa"/>
            <w:vAlign w:val="top"/>
          </w:tcPr>
          <w:p w14:paraId="157F4D24">
            <w:pPr>
              <w:rPr>
                <w:rFonts w:ascii="Arial"/>
                <w:color w:val="auto"/>
                <w:sz w:val="21"/>
              </w:rPr>
            </w:pPr>
          </w:p>
        </w:tc>
        <w:tc>
          <w:tcPr>
            <w:tcW w:w="2385" w:type="dxa"/>
            <w:vMerge w:val="continue"/>
            <w:tcBorders>
              <w:top w:val="nil"/>
              <w:bottom w:val="nil"/>
            </w:tcBorders>
            <w:vAlign w:val="top"/>
          </w:tcPr>
          <w:p w14:paraId="0105EDB4">
            <w:pPr>
              <w:rPr>
                <w:rFonts w:ascii="Arial"/>
                <w:color w:val="auto"/>
                <w:sz w:val="21"/>
              </w:rPr>
            </w:pPr>
          </w:p>
        </w:tc>
      </w:tr>
      <w:tr w14:paraId="0749B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C2D8491">
            <w:pPr>
              <w:rPr>
                <w:rFonts w:ascii="Arial"/>
                <w:color w:val="auto"/>
                <w:sz w:val="21"/>
              </w:rPr>
            </w:pPr>
          </w:p>
        </w:tc>
        <w:tc>
          <w:tcPr>
            <w:tcW w:w="2402" w:type="dxa"/>
            <w:vAlign w:val="top"/>
          </w:tcPr>
          <w:p w14:paraId="1B9D9C8C">
            <w:pPr>
              <w:rPr>
                <w:rFonts w:ascii="Arial"/>
                <w:color w:val="auto"/>
                <w:sz w:val="21"/>
              </w:rPr>
            </w:pPr>
          </w:p>
        </w:tc>
        <w:tc>
          <w:tcPr>
            <w:tcW w:w="2008" w:type="dxa"/>
            <w:vAlign w:val="top"/>
          </w:tcPr>
          <w:p w14:paraId="5B1918F8">
            <w:pPr>
              <w:rPr>
                <w:rFonts w:ascii="Arial"/>
                <w:color w:val="auto"/>
                <w:sz w:val="21"/>
              </w:rPr>
            </w:pPr>
          </w:p>
        </w:tc>
        <w:tc>
          <w:tcPr>
            <w:tcW w:w="2385" w:type="dxa"/>
            <w:vMerge w:val="continue"/>
            <w:tcBorders>
              <w:top w:val="nil"/>
              <w:bottom w:val="nil"/>
            </w:tcBorders>
            <w:vAlign w:val="top"/>
          </w:tcPr>
          <w:p w14:paraId="12AE932B">
            <w:pPr>
              <w:rPr>
                <w:rFonts w:ascii="Arial"/>
                <w:color w:val="auto"/>
                <w:sz w:val="21"/>
              </w:rPr>
            </w:pPr>
          </w:p>
        </w:tc>
      </w:tr>
      <w:tr w14:paraId="5E468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D662902">
            <w:pPr>
              <w:rPr>
                <w:rFonts w:ascii="Arial"/>
                <w:color w:val="auto"/>
                <w:sz w:val="21"/>
              </w:rPr>
            </w:pPr>
          </w:p>
        </w:tc>
        <w:tc>
          <w:tcPr>
            <w:tcW w:w="2402" w:type="dxa"/>
            <w:vAlign w:val="top"/>
          </w:tcPr>
          <w:p w14:paraId="59DAF736">
            <w:pPr>
              <w:rPr>
                <w:rFonts w:ascii="Arial"/>
                <w:color w:val="auto"/>
                <w:sz w:val="21"/>
              </w:rPr>
            </w:pPr>
          </w:p>
        </w:tc>
        <w:tc>
          <w:tcPr>
            <w:tcW w:w="2008" w:type="dxa"/>
            <w:vAlign w:val="top"/>
          </w:tcPr>
          <w:p w14:paraId="29E94E11">
            <w:pPr>
              <w:rPr>
                <w:rFonts w:ascii="Arial"/>
                <w:color w:val="auto"/>
                <w:sz w:val="21"/>
              </w:rPr>
            </w:pPr>
          </w:p>
        </w:tc>
        <w:tc>
          <w:tcPr>
            <w:tcW w:w="2385" w:type="dxa"/>
            <w:vMerge w:val="continue"/>
            <w:tcBorders>
              <w:top w:val="nil"/>
              <w:bottom w:val="nil"/>
            </w:tcBorders>
            <w:vAlign w:val="top"/>
          </w:tcPr>
          <w:p w14:paraId="6BFB6E5F">
            <w:pPr>
              <w:rPr>
                <w:rFonts w:ascii="Arial"/>
                <w:color w:val="auto"/>
                <w:sz w:val="21"/>
              </w:rPr>
            </w:pPr>
          </w:p>
        </w:tc>
      </w:tr>
      <w:tr w14:paraId="59655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C4CEBC5">
            <w:pPr>
              <w:rPr>
                <w:rFonts w:ascii="Arial"/>
                <w:color w:val="auto"/>
                <w:sz w:val="21"/>
              </w:rPr>
            </w:pPr>
          </w:p>
        </w:tc>
        <w:tc>
          <w:tcPr>
            <w:tcW w:w="2402" w:type="dxa"/>
            <w:vAlign w:val="top"/>
          </w:tcPr>
          <w:p w14:paraId="2B5DF68F">
            <w:pPr>
              <w:rPr>
                <w:rFonts w:ascii="Arial"/>
                <w:color w:val="auto"/>
                <w:sz w:val="21"/>
              </w:rPr>
            </w:pPr>
          </w:p>
        </w:tc>
        <w:tc>
          <w:tcPr>
            <w:tcW w:w="2008" w:type="dxa"/>
            <w:vAlign w:val="top"/>
          </w:tcPr>
          <w:p w14:paraId="67CC8F15">
            <w:pPr>
              <w:rPr>
                <w:rFonts w:ascii="Arial"/>
                <w:color w:val="auto"/>
                <w:sz w:val="21"/>
              </w:rPr>
            </w:pPr>
          </w:p>
        </w:tc>
        <w:tc>
          <w:tcPr>
            <w:tcW w:w="2385" w:type="dxa"/>
            <w:vMerge w:val="continue"/>
            <w:tcBorders>
              <w:top w:val="nil"/>
              <w:bottom w:val="nil"/>
            </w:tcBorders>
            <w:vAlign w:val="top"/>
          </w:tcPr>
          <w:p w14:paraId="1EA891F4">
            <w:pPr>
              <w:rPr>
                <w:rFonts w:ascii="Arial"/>
                <w:color w:val="auto"/>
                <w:sz w:val="21"/>
              </w:rPr>
            </w:pPr>
          </w:p>
        </w:tc>
      </w:tr>
      <w:tr w14:paraId="2CAD8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794B302">
            <w:pPr>
              <w:rPr>
                <w:rFonts w:ascii="Arial"/>
                <w:color w:val="auto"/>
                <w:sz w:val="21"/>
              </w:rPr>
            </w:pPr>
          </w:p>
        </w:tc>
        <w:tc>
          <w:tcPr>
            <w:tcW w:w="2402" w:type="dxa"/>
            <w:vAlign w:val="top"/>
          </w:tcPr>
          <w:p w14:paraId="0CC8C3E0">
            <w:pPr>
              <w:rPr>
                <w:rFonts w:ascii="Arial"/>
                <w:color w:val="auto"/>
                <w:sz w:val="21"/>
              </w:rPr>
            </w:pPr>
          </w:p>
        </w:tc>
        <w:tc>
          <w:tcPr>
            <w:tcW w:w="2008" w:type="dxa"/>
            <w:vAlign w:val="top"/>
          </w:tcPr>
          <w:p w14:paraId="19473BAB">
            <w:pPr>
              <w:rPr>
                <w:rFonts w:ascii="Arial"/>
                <w:color w:val="auto"/>
                <w:sz w:val="21"/>
              </w:rPr>
            </w:pPr>
          </w:p>
        </w:tc>
        <w:tc>
          <w:tcPr>
            <w:tcW w:w="2385" w:type="dxa"/>
            <w:vMerge w:val="continue"/>
            <w:tcBorders>
              <w:top w:val="nil"/>
              <w:bottom w:val="nil"/>
            </w:tcBorders>
            <w:vAlign w:val="top"/>
          </w:tcPr>
          <w:p w14:paraId="014BEC1B">
            <w:pPr>
              <w:rPr>
                <w:rFonts w:ascii="Arial"/>
                <w:color w:val="auto"/>
                <w:sz w:val="21"/>
              </w:rPr>
            </w:pPr>
          </w:p>
        </w:tc>
      </w:tr>
      <w:tr w14:paraId="4CD1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12B75B4">
            <w:pPr>
              <w:rPr>
                <w:rFonts w:ascii="Arial"/>
                <w:color w:val="auto"/>
                <w:sz w:val="21"/>
              </w:rPr>
            </w:pPr>
          </w:p>
        </w:tc>
        <w:tc>
          <w:tcPr>
            <w:tcW w:w="2402" w:type="dxa"/>
            <w:vAlign w:val="top"/>
          </w:tcPr>
          <w:p w14:paraId="5D316DDA">
            <w:pPr>
              <w:rPr>
                <w:rFonts w:ascii="Arial"/>
                <w:color w:val="auto"/>
                <w:sz w:val="21"/>
              </w:rPr>
            </w:pPr>
          </w:p>
        </w:tc>
        <w:tc>
          <w:tcPr>
            <w:tcW w:w="2008" w:type="dxa"/>
            <w:vAlign w:val="top"/>
          </w:tcPr>
          <w:p w14:paraId="2E9300DF">
            <w:pPr>
              <w:rPr>
                <w:rFonts w:ascii="Arial"/>
                <w:color w:val="auto"/>
                <w:sz w:val="21"/>
              </w:rPr>
            </w:pPr>
          </w:p>
        </w:tc>
        <w:tc>
          <w:tcPr>
            <w:tcW w:w="2385" w:type="dxa"/>
            <w:vMerge w:val="continue"/>
            <w:tcBorders>
              <w:top w:val="nil"/>
              <w:bottom w:val="nil"/>
            </w:tcBorders>
            <w:vAlign w:val="top"/>
          </w:tcPr>
          <w:p w14:paraId="3790D80F">
            <w:pPr>
              <w:rPr>
                <w:rFonts w:ascii="Arial"/>
                <w:color w:val="auto"/>
                <w:sz w:val="21"/>
              </w:rPr>
            </w:pPr>
          </w:p>
        </w:tc>
      </w:tr>
      <w:tr w14:paraId="77CD2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4646213F">
            <w:pPr>
              <w:rPr>
                <w:rFonts w:ascii="Arial"/>
                <w:color w:val="auto"/>
                <w:sz w:val="21"/>
              </w:rPr>
            </w:pPr>
          </w:p>
        </w:tc>
        <w:tc>
          <w:tcPr>
            <w:tcW w:w="2402" w:type="dxa"/>
            <w:vAlign w:val="top"/>
          </w:tcPr>
          <w:p w14:paraId="543EAED7">
            <w:pPr>
              <w:rPr>
                <w:rFonts w:ascii="Arial"/>
                <w:color w:val="auto"/>
                <w:sz w:val="21"/>
              </w:rPr>
            </w:pPr>
          </w:p>
        </w:tc>
        <w:tc>
          <w:tcPr>
            <w:tcW w:w="2008" w:type="dxa"/>
            <w:vAlign w:val="top"/>
          </w:tcPr>
          <w:p w14:paraId="793828BA">
            <w:pPr>
              <w:rPr>
                <w:rFonts w:ascii="Arial"/>
                <w:color w:val="auto"/>
                <w:sz w:val="21"/>
              </w:rPr>
            </w:pPr>
          </w:p>
        </w:tc>
        <w:tc>
          <w:tcPr>
            <w:tcW w:w="2385" w:type="dxa"/>
            <w:vMerge w:val="continue"/>
            <w:tcBorders>
              <w:top w:val="nil"/>
              <w:bottom w:val="nil"/>
            </w:tcBorders>
            <w:vAlign w:val="top"/>
          </w:tcPr>
          <w:p w14:paraId="438CCC1A">
            <w:pPr>
              <w:rPr>
                <w:rFonts w:ascii="Arial"/>
                <w:color w:val="auto"/>
                <w:sz w:val="21"/>
              </w:rPr>
            </w:pPr>
          </w:p>
        </w:tc>
      </w:tr>
      <w:tr w14:paraId="738FF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6805E9BF">
            <w:pPr>
              <w:rPr>
                <w:rFonts w:ascii="Arial"/>
                <w:color w:val="auto"/>
                <w:sz w:val="21"/>
              </w:rPr>
            </w:pPr>
          </w:p>
        </w:tc>
        <w:tc>
          <w:tcPr>
            <w:tcW w:w="2402" w:type="dxa"/>
            <w:vAlign w:val="top"/>
          </w:tcPr>
          <w:p w14:paraId="1950BE79">
            <w:pPr>
              <w:rPr>
                <w:rFonts w:ascii="Arial"/>
                <w:color w:val="auto"/>
                <w:sz w:val="21"/>
              </w:rPr>
            </w:pPr>
          </w:p>
        </w:tc>
        <w:tc>
          <w:tcPr>
            <w:tcW w:w="2008" w:type="dxa"/>
            <w:vAlign w:val="top"/>
          </w:tcPr>
          <w:p w14:paraId="45FF983E">
            <w:pPr>
              <w:rPr>
                <w:rFonts w:ascii="Arial"/>
                <w:color w:val="auto"/>
                <w:sz w:val="21"/>
              </w:rPr>
            </w:pPr>
          </w:p>
        </w:tc>
        <w:tc>
          <w:tcPr>
            <w:tcW w:w="2385" w:type="dxa"/>
            <w:vMerge w:val="continue"/>
            <w:tcBorders>
              <w:top w:val="nil"/>
              <w:bottom w:val="nil"/>
            </w:tcBorders>
            <w:vAlign w:val="top"/>
          </w:tcPr>
          <w:p w14:paraId="043F02EB">
            <w:pPr>
              <w:rPr>
                <w:rFonts w:ascii="Arial"/>
                <w:color w:val="auto"/>
                <w:sz w:val="21"/>
              </w:rPr>
            </w:pPr>
          </w:p>
        </w:tc>
      </w:tr>
      <w:tr w14:paraId="277DE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40A0EDE">
            <w:pPr>
              <w:rPr>
                <w:rFonts w:ascii="Arial"/>
                <w:color w:val="auto"/>
                <w:sz w:val="21"/>
              </w:rPr>
            </w:pPr>
          </w:p>
        </w:tc>
        <w:tc>
          <w:tcPr>
            <w:tcW w:w="2402" w:type="dxa"/>
            <w:vAlign w:val="top"/>
          </w:tcPr>
          <w:p w14:paraId="15752934">
            <w:pPr>
              <w:rPr>
                <w:rFonts w:ascii="Arial"/>
                <w:color w:val="auto"/>
                <w:sz w:val="21"/>
              </w:rPr>
            </w:pPr>
          </w:p>
        </w:tc>
        <w:tc>
          <w:tcPr>
            <w:tcW w:w="2008" w:type="dxa"/>
            <w:vAlign w:val="top"/>
          </w:tcPr>
          <w:p w14:paraId="1F7F4CE4">
            <w:pPr>
              <w:rPr>
                <w:rFonts w:ascii="Arial"/>
                <w:color w:val="auto"/>
                <w:sz w:val="21"/>
              </w:rPr>
            </w:pPr>
          </w:p>
        </w:tc>
        <w:tc>
          <w:tcPr>
            <w:tcW w:w="2385" w:type="dxa"/>
            <w:vMerge w:val="continue"/>
            <w:tcBorders>
              <w:top w:val="nil"/>
              <w:bottom w:val="nil"/>
            </w:tcBorders>
            <w:vAlign w:val="top"/>
          </w:tcPr>
          <w:p w14:paraId="54894CA6">
            <w:pPr>
              <w:rPr>
                <w:rFonts w:ascii="Arial"/>
                <w:color w:val="auto"/>
                <w:sz w:val="21"/>
              </w:rPr>
            </w:pPr>
          </w:p>
        </w:tc>
      </w:tr>
      <w:tr w14:paraId="07370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32E303C">
            <w:pPr>
              <w:rPr>
                <w:rFonts w:ascii="Arial"/>
                <w:color w:val="auto"/>
                <w:sz w:val="21"/>
              </w:rPr>
            </w:pPr>
          </w:p>
        </w:tc>
        <w:tc>
          <w:tcPr>
            <w:tcW w:w="2402" w:type="dxa"/>
            <w:vAlign w:val="top"/>
          </w:tcPr>
          <w:p w14:paraId="710E248B">
            <w:pPr>
              <w:rPr>
                <w:rFonts w:ascii="Arial"/>
                <w:color w:val="auto"/>
                <w:sz w:val="21"/>
              </w:rPr>
            </w:pPr>
          </w:p>
        </w:tc>
        <w:tc>
          <w:tcPr>
            <w:tcW w:w="2008" w:type="dxa"/>
            <w:vAlign w:val="top"/>
          </w:tcPr>
          <w:p w14:paraId="37448215">
            <w:pPr>
              <w:rPr>
                <w:rFonts w:ascii="Arial"/>
                <w:color w:val="auto"/>
                <w:sz w:val="21"/>
              </w:rPr>
            </w:pPr>
          </w:p>
        </w:tc>
        <w:tc>
          <w:tcPr>
            <w:tcW w:w="2385" w:type="dxa"/>
            <w:vMerge w:val="continue"/>
            <w:tcBorders>
              <w:top w:val="nil"/>
              <w:bottom w:val="nil"/>
            </w:tcBorders>
            <w:vAlign w:val="top"/>
          </w:tcPr>
          <w:p w14:paraId="1BD88E65">
            <w:pPr>
              <w:rPr>
                <w:rFonts w:ascii="Arial"/>
                <w:color w:val="auto"/>
                <w:sz w:val="21"/>
              </w:rPr>
            </w:pPr>
          </w:p>
        </w:tc>
      </w:tr>
      <w:tr w14:paraId="7C49A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1E4BEC3">
            <w:pPr>
              <w:rPr>
                <w:rFonts w:ascii="Arial"/>
                <w:color w:val="auto"/>
                <w:sz w:val="21"/>
              </w:rPr>
            </w:pPr>
          </w:p>
        </w:tc>
        <w:tc>
          <w:tcPr>
            <w:tcW w:w="2402" w:type="dxa"/>
            <w:vAlign w:val="top"/>
          </w:tcPr>
          <w:p w14:paraId="2B1D5E3E">
            <w:pPr>
              <w:rPr>
                <w:rFonts w:ascii="Arial"/>
                <w:color w:val="auto"/>
                <w:sz w:val="21"/>
              </w:rPr>
            </w:pPr>
          </w:p>
        </w:tc>
        <w:tc>
          <w:tcPr>
            <w:tcW w:w="2008" w:type="dxa"/>
            <w:vAlign w:val="top"/>
          </w:tcPr>
          <w:p w14:paraId="04704D7F">
            <w:pPr>
              <w:rPr>
                <w:rFonts w:ascii="Arial"/>
                <w:color w:val="auto"/>
                <w:sz w:val="21"/>
              </w:rPr>
            </w:pPr>
          </w:p>
        </w:tc>
        <w:tc>
          <w:tcPr>
            <w:tcW w:w="2385" w:type="dxa"/>
            <w:vMerge w:val="continue"/>
            <w:tcBorders>
              <w:top w:val="nil"/>
              <w:bottom w:val="nil"/>
            </w:tcBorders>
            <w:vAlign w:val="top"/>
          </w:tcPr>
          <w:p w14:paraId="26A3F4AC">
            <w:pPr>
              <w:rPr>
                <w:rFonts w:ascii="Arial"/>
                <w:color w:val="auto"/>
                <w:sz w:val="21"/>
              </w:rPr>
            </w:pPr>
          </w:p>
        </w:tc>
      </w:tr>
      <w:tr w14:paraId="610AD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B21FA95">
            <w:pPr>
              <w:rPr>
                <w:rFonts w:ascii="Arial"/>
                <w:color w:val="auto"/>
                <w:sz w:val="21"/>
              </w:rPr>
            </w:pPr>
          </w:p>
        </w:tc>
        <w:tc>
          <w:tcPr>
            <w:tcW w:w="2402" w:type="dxa"/>
            <w:vAlign w:val="top"/>
          </w:tcPr>
          <w:p w14:paraId="1CFF3400">
            <w:pPr>
              <w:rPr>
                <w:rFonts w:ascii="Arial"/>
                <w:color w:val="auto"/>
                <w:sz w:val="21"/>
              </w:rPr>
            </w:pPr>
          </w:p>
        </w:tc>
        <w:tc>
          <w:tcPr>
            <w:tcW w:w="2008" w:type="dxa"/>
            <w:vAlign w:val="top"/>
          </w:tcPr>
          <w:p w14:paraId="26B148F1">
            <w:pPr>
              <w:rPr>
                <w:rFonts w:ascii="Arial"/>
                <w:color w:val="auto"/>
                <w:sz w:val="21"/>
              </w:rPr>
            </w:pPr>
          </w:p>
        </w:tc>
        <w:tc>
          <w:tcPr>
            <w:tcW w:w="2385" w:type="dxa"/>
            <w:vMerge w:val="continue"/>
            <w:tcBorders>
              <w:top w:val="nil"/>
              <w:bottom w:val="nil"/>
            </w:tcBorders>
            <w:vAlign w:val="top"/>
          </w:tcPr>
          <w:p w14:paraId="3C636F65">
            <w:pPr>
              <w:rPr>
                <w:rFonts w:ascii="Arial"/>
                <w:color w:val="auto"/>
                <w:sz w:val="21"/>
              </w:rPr>
            </w:pPr>
          </w:p>
        </w:tc>
      </w:tr>
      <w:tr w14:paraId="3A744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AD28D01">
            <w:pPr>
              <w:rPr>
                <w:rFonts w:ascii="Arial"/>
                <w:color w:val="auto"/>
                <w:sz w:val="21"/>
              </w:rPr>
            </w:pPr>
          </w:p>
        </w:tc>
        <w:tc>
          <w:tcPr>
            <w:tcW w:w="2402" w:type="dxa"/>
            <w:vAlign w:val="top"/>
          </w:tcPr>
          <w:p w14:paraId="2BCC72F6">
            <w:pPr>
              <w:rPr>
                <w:rFonts w:ascii="Arial"/>
                <w:color w:val="auto"/>
                <w:sz w:val="21"/>
              </w:rPr>
            </w:pPr>
          </w:p>
        </w:tc>
        <w:tc>
          <w:tcPr>
            <w:tcW w:w="2008" w:type="dxa"/>
            <w:vAlign w:val="top"/>
          </w:tcPr>
          <w:p w14:paraId="4163B811">
            <w:pPr>
              <w:rPr>
                <w:rFonts w:ascii="Arial"/>
                <w:color w:val="auto"/>
                <w:sz w:val="21"/>
              </w:rPr>
            </w:pPr>
          </w:p>
        </w:tc>
        <w:tc>
          <w:tcPr>
            <w:tcW w:w="2385" w:type="dxa"/>
            <w:vMerge w:val="continue"/>
            <w:tcBorders>
              <w:top w:val="nil"/>
              <w:bottom w:val="nil"/>
            </w:tcBorders>
            <w:vAlign w:val="top"/>
          </w:tcPr>
          <w:p w14:paraId="43617540">
            <w:pPr>
              <w:rPr>
                <w:rFonts w:ascii="Arial"/>
                <w:color w:val="auto"/>
                <w:sz w:val="21"/>
              </w:rPr>
            </w:pPr>
          </w:p>
        </w:tc>
      </w:tr>
      <w:tr w14:paraId="6BD5C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4139B9C4">
            <w:pPr>
              <w:rPr>
                <w:rFonts w:ascii="Arial"/>
                <w:color w:val="auto"/>
                <w:sz w:val="21"/>
              </w:rPr>
            </w:pPr>
          </w:p>
        </w:tc>
        <w:tc>
          <w:tcPr>
            <w:tcW w:w="2402" w:type="dxa"/>
            <w:vAlign w:val="top"/>
          </w:tcPr>
          <w:p w14:paraId="353A32B2">
            <w:pPr>
              <w:rPr>
                <w:rFonts w:ascii="Arial"/>
                <w:color w:val="auto"/>
                <w:sz w:val="21"/>
              </w:rPr>
            </w:pPr>
          </w:p>
        </w:tc>
        <w:tc>
          <w:tcPr>
            <w:tcW w:w="2008" w:type="dxa"/>
            <w:vAlign w:val="top"/>
          </w:tcPr>
          <w:p w14:paraId="0271CD9F">
            <w:pPr>
              <w:rPr>
                <w:rFonts w:ascii="Arial"/>
                <w:color w:val="auto"/>
                <w:sz w:val="21"/>
              </w:rPr>
            </w:pPr>
          </w:p>
        </w:tc>
        <w:tc>
          <w:tcPr>
            <w:tcW w:w="2385" w:type="dxa"/>
            <w:vMerge w:val="continue"/>
            <w:tcBorders>
              <w:top w:val="nil"/>
              <w:bottom w:val="nil"/>
            </w:tcBorders>
            <w:vAlign w:val="top"/>
          </w:tcPr>
          <w:p w14:paraId="02F3B841">
            <w:pPr>
              <w:rPr>
                <w:rFonts w:ascii="Arial"/>
                <w:color w:val="auto"/>
                <w:sz w:val="21"/>
              </w:rPr>
            </w:pPr>
          </w:p>
        </w:tc>
      </w:tr>
      <w:tr w14:paraId="295FE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69F77409">
            <w:pPr>
              <w:rPr>
                <w:rFonts w:ascii="Arial"/>
                <w:color w:val="auto"/>
                <w:sz w:val="21"/>
              </w:rPr>
            </w:pPr>
          </w:p>
        </w:tc>
        <w:tc>
          <w:tcPr>
            <w:tcW w:w="2402" w:type="dxa"/>
            <w:vAlign w:val="top"/>
          </w:tcPr>
          <w:p w14:paraId="4070DF3C">
            <w:pPr>
              <w:rPr>
                <w:rFonts w:ascii="Arial"/>
                <w:color w:val="auto"/>
                <w:sz w:val="21"/>
              </w:rPr>
            </w:pPr>
          </w:p>
        </w:tc>
        <w:tc>
          <w:tcPr>
            <w:tcW w:w="2008" w:type="dxa"/>
            <w:vAlign w:val="top"/>
          </w:tcPr>
          <w:p w14:paraId="0DA39F9D">
            <w:pPr>
              <w:rPr>
                <w:rFonts w:ascii="Arial"/>
                <w:color w:val="auto"/>
                <w:sz w:val="21"/>
              </w:rPr>
            </w:pPr>
          </w:p>
        </w:tc>
        <w:tc>
          <w:tcPr>
            <w:tcW w:w="2385" w:type="dxa"/>
            <w:vMerge w:val="continue"/>
            <w:tcBorders>
              <w:top w:val="nil"/>
            </w:tcBorders>
            <w:vAlign w:val="top"/>
          </w:tcPr>
          <w:p w14:paraId="15C05F9E">
            <w:pPr>
              <w:rPr>
                <w:rFonts w:ascii="Arial"/>
                <w:color w:val="auto"/>
                <w:sz w:val="21"/>
              </w:rPr>
            </w:pPr>
          </w:p>
        </w:tc>
      </w:tr>
    </w:tbl>
    <w:p w14:paraId="1B53EB03">
      <w:pPr>
        <w:rPr>
          <w:rFonts w:ascii="Arial"/>
          <w:color w:val="auto"/>
          <w:sz w:val="21"/>
        </w:rPr>
      </w:pPr>
    </w:p>
    <w:p w14:paraId="18BB0B33">
      <w:pPr>
        <w:rPr>
          <w:color w:val="auto"/>
        </w:rPr>
        <w:sectPr>
          <w:footerReference r:id="rId21" w:type="default"/>
          <w:pgSz w:w="11906" w:h="16839"/>
          <w:pgMar w:top="400" w:right="1479" w:bottom="1156" w:left="1478" w:header="0" w:footer="996" w:gutter="0"/>
          <w:cols w:space="720" w:num="1"/>
        </w:sectPr>
      </w:pPr>
    </w:p>
    <w:p w14:paraId="422C1DE5">
      <w:pPr>
        <w:spacing w:line="285" w:lineRule="auto"/>
        <w:rPr>
          <w:rFonts w:ascii="Arial"/>
          <w:color w:val="auto"/>
          <w:sz w:val="21"/>
        </w:rPr>
      </w:pPr>
    </w:p>
    <w:p w14:paraId="138B4F84">
      <w:pPr>
        <w:spacing w:line="285" w:lineRule="auto"/>
        <w:rPr>
          <w:rFonts w:ascii="Arial"/>
          <w:color w:val="auto"/>
          <w:sz w:val="21"/>
        </w:rPr>
      </w:pPr>
    </w:p>
    <w:p w14:paraId="1105C0F2">
      <w:pPr>
        <w:spacing w:line="286" w:lineRule="auto"/>
        <w:rPr>
          <w:rFonts w:ascii="Arial"/>
          <w:color w:val="auto"/>
          <w:sz w:val="21"/>
        </w:rPr>
      </w:pPr>
    </w:p>
    <w:p w14:paraId="3E7B604C">
      <w:pPr>
        <w:spacing w:line="286" w:lineRule="auto"/>
        <w:rPr>
          <w:rFonts w:ascii="Arial"/>
          <w:color w:val="auto"/>
          <w:sz w:val="21"/>
        </w:rPr>
      </w:pPr>
    </w:p>
    <w:p w14:paraId="3BE61855">
      <w:pPr>
        <w:spacing w:before="65" w:line="269" w:lineRule="exact"/>
        <w:ind w:left="3679"/>
        <w:outlineLvl w:val="1"/>
        <w:rPr>
          <w:rFonts w:ascii="宋体" w:hAnsi="宋体" w:eastAsia="宋体" w:cs="宋体"/>
          <w:color w:val="auto"/>
          <w:sz w:val="20"/>
          <w:szCs w:val="20"/>
        </w:rPr>
      </w:pPr>
      <w:r>
        <w:rPr>
          <w:rFonts w:ascii="宋体" w:hAnsi="宋体" w:eastAsia="宋体" w:cs="宋体"/>
          <w:color w:val="auto"/>
          <w:spacing w:val="14"/>
          <w:position w:val="1"/>
          <w:sz w:val="20"/>
          <w:szCs w:val="20"/>
          <w14:textOutline w14:w="3795" w14:cap="sq" w14:cmpd="sng">
            <w14:solidFill>
              <w14:srgbClr w14:val="000000"/>
            </w14:solidFill>
            <w14:prstDash w14:val="solid"/>
            <w14:bevel/>
          </w14:textOutline>
        </w:rPr>
        <w:t>8</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、资格审查资料</w:t>
      </w:r>
    </w:p>
    <w:p w14:paraId="75B43744">
      <w:pPr>
        <w:spacing w:before="282" w:line="228" w:lineRule="auto"/>
        <w:ind w:left="3230"/>
        <w:rPr>
          <w:rFonts w:ascii="宋体" w:hAnsi="宋体" w:eastAsia="宋体" w:cs="宋体"/>
          <w:color w:val="auto"/>
          <w:sz w:val="20"/>
          <w:szCs w:val="20"/>
        </w:rPr>
      </w:pPr>
      <w:r>
        <w:rPr>
          <w:rFonts w:ascii="宋体" w:hAnsi="宋体" w:eastAsia="宋体" w:cs="宋体"/>
          <w:color w:val="auto"/>
          <w:spacing w:val="7"/>
          <w:sz w:val="20"/>
          <w:szCs w:val="20"/>
        </w:rPr>
        <w:t>( 一) 投标人基本情况</w:t>
      </w:r>
      <w:r>
        <w:rPr>
          <w:rFonts w:ascii="宋体" w:hAnsi="宋体" w:eastAsia="宋体" w:cs="宋体"/>
          <w:color w:val="auto"/>
          <w:spacing w:val="6"/>
          <w:sz w:val="20"/>
          <w:szCs w:val="20"/>
        </w:rPr>
        <w:t>表</w:t>
      </w:r>
    </w:p>
    <w:p w14:paraId="03DADE63">
      <w:pPr>
        <w:rPr>
          <w:color w:val="auto"/>
        </w:rPr>
      </w:pPr>
    </w:p>
    <w:p w14:paraId="5FCFA8D7">
      <w:pPr>
        <w:spacing w:line="19" w:lineRule="exact"/>
        <w:rPr>
          <w:color w:val="auto"/>
        </w:rPr>
      </w:pPr>
    </w:p>
    <w:tbl>
      <w:tblPr>
        <w:tblStyle w:val="17"/>
        <w:tblW w:w="8650"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79766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1645F517">
            <w:pPr>
              <w:spacing w:before="183" w:line="229" w:lineRule="auto"/>
              <w:ind w:left="297"/>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标人名称</w:t>
            </w:r>
          </w:p>
        </w:tc>
        <w:tc>
          <w:tcPr>
            <w:tcW w:w="7020" w:type="dxa"/>
            <w:gridSpan w:val="9"/>
            <w:vAlign w:val="top"/>
          </w:tcPr>
          <w:p w14:paraId="218647B3">
            <w:pPr>
              <w:rPr>
                <w:rFonts w:ascii="Arial"/>
                <w:color w:val="auto"/>
                <w:sz w:val="21"/>
              </w:rPr>
            </w:pPr>
          </w:p>
        </w:tc>
      </w:tr>
      <w:tr w14:paraId="4E33B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69A7E32">
            <w:pPr>
              <w:spacing w:before="178" w:line="230"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册地址</w:t>
            </w:r>
          </w:p>
        </w:tc>
        <w:tc>
          <w:tcPr>
            <w:tcW w:w="3386" w:type="dxa"/>
            <w:gridSpan w:val="5"/>
            <w:vAlign w:val="top"/>
          </w:tcPr>
          <w:p w14:paraId="63C217A2">
            <w:pPr>
              <w:rPr>
                <w:rFonts w:ascii="Arial"/>
                <w:color w:val="auto"/>
                <w:sz w:val="21"/>
              </w:rPr>
            </w:pPr>
          </w:p>
        </w:tc>
        <w:tc>
          <w:tcPr>
            <w:tcW w:w="1245" w:type="dxa"/>
            <w:vAlign w:val="top"/>
          </w:tcPr>
          <w:p w14:paraId="65415EF3">
            <w:pPr>
              <w:spacing w:before="178" w:line="228" w:lineRule="auto"/>
              <w:ind w:left="226"/>
              <w:rPr>
                <w:rFonts w:ascii="宋体" w:hAnsi="宋体" w:eastAsia="宋体" w:cs="宋体"/>
                <w:color w:val="auto"/>
                <w:sz w:val="20"/>
                <w:szCs w:val="20"/>
              </w:rPr>
            </w:pPr>
            <w:r>
              <w:rPr>
                <w:rFonts w:ascii="宋体" w:hAnsi="宋体" w:eastAsia="宋体" w:cs="宋体"/>
                <w:color w:val="auto"/>
                <w:spacing w:val="5"/>
                <w:sz w:val="20"/>
                <w:szCs w:val="20"/>
              </w:rPr>
              <w:t>邮</w:t>
            </w:r>
            <w:r>
              <w:rPr>
                <w:rFonts w:ascii="宋体" w:hAnsi="宋体" w:eastAsia="宋体" w:cs="宋体"/>
                <w:color w:val="auto"/>
                <w:spacing w:val="3"/>
                <w:sz w:val="20"/>
                <w:szCs w:val="20"/>
              </w:rPr>
              <w:t>政编码</w:t>
            </w:r>
          </w:p>
        </w:tc>
        <w:tc>
          <w:tcPr>
            <w:tcW w:w="2389" w:type="dxa"/>
            <w:gridSpan w:val="3"/>
            <w:vAlign w:val="top"/>
          </w:tcPr>
          <w:p w14:paraId="1D9363F8">
            <w:pPr>
              <w:rPr>
                <w:rFonts w:ascii="Arial"/>
                <w:color w:val="auto"/>
                <w:sz w:val="21"/>
              </w:rPr>
            </w:pPr>
          </w:p>
        </w:tc>
      </w:tr>
      <w:tr w14:paraId="6ABBF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Merge w:val="restart"/>
            <w:tcBorders>
              <w:bottom w:val="nil"/>
            </w:tcBorders>
            <w:vAlign w:val="top"/>
          </w:tcPr>
          <w:p w14:paraId="22E6B4AE">
            <w:pPr>
              <w:spacing w:line="400" w:lineRule="auto"/>
              <w:rPr>
                <w:rFonts w:ascii="Arial"/>
                <w:color w:val="auto"/>
                <w:sz w:val="21"/>
              </w:rPr>
            </w:pPr>
          </w:p>
          <w:p w14:paraId="27D36505">
            <w:pPr>
              <w:spacing w:before="65" w:line="228" w:lineRule="auto"/>
              <w:ind w:left="401"/>
              <w:rPr>
                <w:rFonts w:ascii="宋体" w:hAnsi="宋体" w:eastAsia="宋体" w:cs="宋体"/>
                <w:color w:val="auto"/>
                <w:sz w:val="20"/>
                <w:szCs w:val="20"/>
              </w:rPr>
            </w:pPr>
            <w:r>
              <w:rPr>
                <w:rFonts w:ascii="宋体" w:hAnsi="宋体" w:eastAsia="宋体" w:cs="宋体"/>
                <w:color w:val="auto"/>
                <w:spacing w:val="7"/>
                <w:sz w:val="20"/>
                <w:szCs w:val="20"/>
              </w:rPr>
              <w:t>联系方式</w:t>
            </w:r>
          </w:p>
        </w:tc>
        <w:tc>
          <w:tcPr>
            <w:tcW w:w="896" w:type="dxa"/>
            <w:vAlign w:val="top"/>
          </w:tcPr>
          <w:p w14:paraId="3A26969B">
            <w:pPr>
              <w:spacing w:before="180" w:line="231" w:lineRule="auto"/>
              <w:ind w:left="136"/>
              <w:rPr>
                <w:rFonts w:ascii="宋体" w:hAnsi="宋体" w:eastAsia="宋体" w:cs="宋体"/>
                <w:color w:val="auto"/>
                <w:sz w:val="20"/>
                <w:szCs w:val="20"/>
              </w:rPr>
            </w:pPr>
            <w:r>
              <w:rPr>
                <w:rFonts w:ascii="宋体" w:hAnsi="宋体" w:eastAsia="宋体" w:cs="宋体"/>
                <w:color w:val="auto"/>
                <w:spacing w:val="7"/>
                <w:sz w:val="20"/>
                <w:szCs w:val="20"/>
              </w:rPr>
              <w:t>联</w:t>
            </w:r>
            <w:r>
              <w:rPr>
                <w:rFonts w:ascii="宋体" w:hAnsi="宋体" w:eastAsia="宋体" w:cs="宋体"/>
                <w:color w:val="auto"/>
                <w:spacing w:val="6"/>
                <w:sz w:val="20"/>
                <w:szCs w:val="20"/>
              </w:rPr>
              <w:t>系人</w:t>
            </w:r>
          </w:p>
        </w:tc>
        <w:tc>
          <w:tcPr>
            <w:tcW w:w="2490" w:type="dxa"/>
            <w:gridSpan w:val="4"/>
            <w:vAlign w:val="top"/>
          </w:tcPr>
          <w:p w14:paraId="524280B6">
            <w:pPr>
              <w:rPr>
                <w:rFonts w:ascii="Arial"/>
                <w:color w:val="auto"/>
                <w:sz w:val="21"/>
              </w:rPr>
            </w:pPr>
          </w:p>
        </w:tc>
        <w:tc>
          <w:tcPr>
            <w:tcW w:w="1245" w:type="dxa"/>
            <w:vAlign w:val="top"/>
          </w:tcPr>
          <w:p w14:paraId="6754EE42">
            <w:pPr>
              <w:spacing w:before="180" w:line="231" w:lineRule="auto"/>
              <w:ind w:left="338"/>
              <w:rPr>
                <w:rFonts w:ascii="宋体" w:hAnsi="宋体" w:eastAsia="宋体" w:cs="宋体"/>
                <w:color w:val="auto"/>
                <w:sz w:val="20"/>
                <w:szCs w:val="20"/>
              </w:rPr>
            </w:pPr>
            <w:r>
              <w:rPr>
                <w:rFonts w:ascii="宋体" w:hAnsi="宋体" w:eastAsia="宋体" w:cs="宋体"/>
                <w:color w:val="auto"/>
                <w:spacing w:val="-1"/>
                <w:sz w:val="20"/>
                <w:szCs w:val="20"/>
              </w:rPr>
              <w:t>电  话</w:t>
            </w:r>
          </w:p>
        </w:tc>
        <w:tc>
          <w:tcPr>
            <w:tcW w:w="2389" w:type="dxa"/>
            <w:gridSpan w:val="3"/>
            <w:vAlign w:val="top"/>
          </w:tcPr>
          <w:p w14:paraId="4CC1C65C">
            <w:pPr>
              <w:rPr>
                <w:rFonts w:ascii="Arial"/>
                <w:color w:val="auto"/>
                <w:sz w:val="21"/>
              </w:rPr>
            </w:pPr>
          </w:p>
        </w:tc>
      </w:tr>
      <w:tr w14:paraId="0572F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214F7681">
            <w:pPr>
              <w:rPr>
                <w:rFonts w:ascii="Arial"/>
                <w:color w:val="auto"/>
                <w:sz w:val="21"/>
              </w:rPr>
            </w:pPr>
          </w:p>
        </w:tc>
        <w:tc>
          <w:tcPr>
            <w:tcW w:w="896" w:type="dxa"/>
            <w:vAlign w:val="top"/>
          </w:tcPr>
          <w:p w14:paraId="6F7A32F3">
            <w:pPr>
              <w:spacing w:before="180" w:line="225" w:lineRule="auto"/>
              <w:ind w:left="134"/>
              <w:rPr>
                <w:rFonts w:ascii="宋体" w:hAnsi="宋体" w:eastAsia="宋体" w:cs="宋体"/>
                <w:color w:val="auto"/>
                <w:sz w:val="20"/>
                <w:szCs w:val="20"/>
              </w:rPr>
            </w:pPr>
            <w:r>
              <w:rPr>
                <w:rFonts w:ascii="宋体" w:hAnsi="宋体" w:eastAsia="宋体" w:cs="宋体"/>
                <w:color w:val="auto"/>
                <w:spacing w:val="6"/>
                <w:sz w:val="20"/>
                <w:szCs w:val="20"/>
              </w:rPr>
              <w:t>传  真</w:t>
            </w:r>
          </w:p>
        </w:tc>
        <w:tc>
          <w:tcPr>
            <w:tcW w:w="2490" w:type="dxa"/>
            <w:gridSpan w:val="4"/>
            <w:vAlign w:val="top"/>
          </w:tcPr>
          <w:p w14:paraId="5084B132">
            <w:pPr>
              <w:rPr>
                <w:rFonts w:ascii="Arial"/>
                <w:color w:val="auto"/>
                <w:sz w:val="21"/>
              </w:rPr>
            </w:pPr>
          </w:p>
        </w:tc>
        <w:tc>
          <w:tcPr>
            <w:tcW w:w="1245" w:type="dxa"/>
            <w:vAlign w:val="top"/>
          </w:tcPr>
          <w:p w14:paraId="304A6FDE">
            <w:pPr>
              <w:spacing w:before="181" w:line="233" w:lineRule="auto"/>
              <w:ind w:left="330"/>
              <w:rPr>
                <w:rFonts w:ascii="宋体" w:hAnsi="宋体" w:eastAsia="宋体" w:cs="宋体"/>
                <w:color w:val="auto"/>
                <w:sz w:val="20"/>
                <w:szCs w:val="20"/>
              </w:rPr>
            </w:pPr>
            <w:r>
              <w:rPr>
                <w:rFonts w:ascii="宋体" w:hAnsi="宋体" w:eastAsia="宋体" w:cs="宋体"/>
                <w:color w:val="auto"/>
                <w:spacing w:val="1"/>
                <w:sz w:val="20"/>
                <w:szCs w:val="20"/>
              </w:rPr>
              <w:t>网  址</w:t>
            </w:r>
          </w:p>
        </w:tc>
        <w:tc>
          <w:tcPr>
            <w:tcW w:w="2389" w:type="dxa"/>
            <w:gridSpan w:val="3"/>
            <w:vAlign w:val="top"/>
          </w:tcPr>
          <w:p w14:paraId="40E0B1A4">
            <w:pPr>
              <w:rPr>
                <w:rFonts w:ascii="Arial"/>
                <w:color w:val="auto"/>
                <w:sz w:val="21"/>
              </w:rPr>
            </w:pPr>
          </w:p>
        </w:tc>
      </w:tr>
      <w:tr w14:paraId="256FF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542FEBF">
            <w:pPr>
              <w:spacing w:before="182" w:line="229" w:lineRule="auto"/>
              <w:ind w:left="402"/>
              <w:rPr>
                <w:rFonts w:ascii="宋体" w:hAnsi="宋体" w:eastAsia="宋体" w:cs="宋体"/>
                <w:color w:val="auto"/>
                <w:sz w:val="20"/>
                <w:szCs w:val="20"/>
              </w:rPr>
            </w:pPr>
            <w:r>
              <w:rPr>
                <w:rFonts w:ascii="宋体" w:hAnsi="宋体" w:eastAsia="宋体" w:cs="宋体"/>
                <w:color w:val="auto"/>
                <w:spacing w:val="9"/>
                <w:sz w:val="20"/>
                <w:szCs w:val="20"/>
              </w:rPr>
              <w:t>组</w:t>
            </w:r>
            <w:r>
              <w:rPr>
                <w:rFonts w:ascii="宋体" w:hAnsi="宋体" w:eastAsia="宋体" w:cs="宋体"/>
                <w:color w:val="auto"/>
                <w:spacing w:val="6"/>
                <w:sz w:val="20"/>
                <w:szCs w:val="20"/>
              </w:rPr>
              <w:t>织结构</w:t>
            </w:r>
          </w:p>
        </w:tc>
        <w:tc>
          <w:tcPr>
            <w:tcW w:w="7020" w:type="dxa"/>
            <w:gridSpan w:val="9"/>
            <w:vAlign w:val="top"/>
          </w:tcPr>
          <w:p w14:paraId="696474DF">
            <w:pPr>
              <w:rPr>
                <w:rFonts w:ascii="Arial"/>
                <w:color w:val="auto"/>
                <w:sz w:val="21"/>
              </w:rPr>
            </w:pPr>
          </w:p>
        </w:tc>
      </w:tr>
      <w:tr w14:paraId="01FC0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6DFA86D">
            <w:pPr>
              <w:spacing w:before="181" w:line="227" w:lineRule="auto"/>
              <w:ind w:left="295"/>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896" w:type="dxa"/>
            <w:vAlign w:val="top"/>
          </w:tcPr>
          <w:p w14:paraId="7FDF9F28">
            <w:pPr>
              <w:spacing w:before="181"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0B0C273C">
            <w:pPr>
              <w:rPr>
                <w:rFonts w:ascii="Arial"/>
                <w:color w:val="auto"/>
                <w:sz w:val="21"/>
              </w:rPr>
            </w:pPr>
          </w:p>
        </w:tc>
        <w:tc>
          <w:tcPr>
            <w:tcW w:w="1275" w:type="dxa"/>
            <w:gridSpan w:val="2"/>
            <w:vAlign w:val="top"/>
          </w:tcPr>
          <w:p w14:paraId="5D9FCCAC">
            <w:pPr>
              <w:spacing w:before="181"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2BDFB221">
            <w:pPr>
              <w:rPr>
                <w:rFonts w:ascii="Arial"/>
                <w:color w:val="auto"/>
                <w:sz w:val="21"/>
              </w:rPr>
            </w:pPr>
          </w:p>
        </w:tc>
        <w:tc>
          <w:tcPr>
            <w:tcW w:w="709" w:type="dxa"/>
            <w:vAlign w:val="top"/>
          </w:tcPr>
          <w:p w14:paraId="6C4B2C9E">
            <w:pPr>
              <w:spacing w:before="180"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1B63C8B9">
            <w:pPr>
              <w:rPr>
                <w:rFonts w:ascii="Arial"/>
                <w:color w:val="auto"/>
                <w:sz w:val="21"/>
              </w:rPr>
            </w:pPr>
          </w:p>
        </w:tc>
      </w:tr>
      <w:tr w14:paraId="49EA4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40458AF1">
            <w:pPr>
              <w:spacing w:before="181" w:line="226" w:lineRule="auto"/>
              <w:ind w:left="295"/>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896" w:type="dxa"/>
            <w:vAlign w:val="top"/>
          </w:tcPr>
          <w:p w14:paraId="5825E0FC">
            <w:pPr>
              <w:spacing w:before="182"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4A3B42D0">
            <w:pPr>
              <w:rPr>
                <w:rFonts w:ascii="Arial"/>
                <w:color w:val="auto"/>
                <w:sz w:val="21"/>
              </w:rPr>
            </w:pPr>
          </w:p>
        </w:tc>
        <w:tc>
          <w:tcPr>
            <w:tcW w:w="1275" w:type="dxa"/>
            <w:gridSpan w:val="2"/>
            <w:vAlign w:val="top"/>
          </w:tcPr>
          <w:p w14:paraId="72B01EF8">
            <w:pPr>
              <w:spacing w:before="182"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55D2A3E3">
            <w:pPr>
              <w:rPr>
                <w:rFonts w:ascii="Arial"/>
                <w:color w:val="auto"/>
                <w:sz w:val="21"/>
              </w:rPr>
            </w:pPr>
          </w:p>
        </w:tc>
        <w:tc>
          <w:tcPr>
            <w:tcW w:w="709" w:type="dxa"/>
            <w:vAlign w:val="top"/>
          </w:tcPr>
          <w:p w14:paraId="24ADF474">
            <w:pPr>
              <w:spacing w:before="182"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16E701AF">
            <w:pPr>
              <w:rPr>
                <w:rFonts w:ascii="Arial"/>
                <w:color w:val="auto"/>
                <w:sz w:val="21"/>
              </w:rPr>
            </w:pPr>
          </w:p>
        </w:tc>
      </w:tr>
      <w:tr w14:paraId="0CF1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78EBD0E">
            <w:pPr>
              <w:spacing w:before="182" w:line="230" w:lineRule="auto"/>
              <w:ind w:left="402"/>
              <w:rPr>
                <w:rFonts w:ascii="宋体" w:hAnsi="宋体" w:eastAsia="宋体" w:cs="宋体"/>
                <w:color w:val="auto"/>
                <w:sz w:val="20"/>
                <w:szCs w:val="20"/>
              </w:rPr>
            </w:pPr>
            <w:r>
              <w:rPr>
                <w:rFonts w:ascii="宋体" w:hAnsi="宋体" w:eastAsia="宋体" w:cs="宋体"/>
                <w:color w:val="auto"/>
                <w:spacing w:val="7"/>
                <w:sz w:val="20"/>
                <w:szCs w:val="20"/>
              </w:rPr>
              <w:t>成立时</w:t>
            </w:r>
            <w:r>
              <w:rPr>
                <w:rFonts w:ascii="宋体" w:hAnsi="宋体" w:eastAsia="宋体" w:cs="宋体"/>
                <w:color w:val="auto"/>
                <w:spacing w:val="6"/>
                <w:sz w:val="20"/>
                <w:szCs w:val="20"/>
              </w:rPr>
              <w:t>间</w:t>
            </w:r>
          </w:p>
        </w:tc>
        <w:tc>
          <w:tcPr>
            <w:tcW w:w="1916" w:type="dxa"/>
            <w:gridSpan w:val="2"/>
            <w:vAlign w:val="top"/>
          </w:tcPr>
          <w:p w14:paraId="2B0CE4A8">
            <w:pPr>
              <w:rPr>
                <w:rFonts w:ascii="Arial"/>
                <w:color w:val="auto"/>
                <w:sz w:val="21"/>
              </w:rPr>
            </w:pPr>
          </w:p>
        </w:tc>
        <w:tc>
          <w:tcPr>
            <w:tcW w:w="5104" w:type="dxa"/>
            <w:gridSpan w:val="7"/>
            <w:vAlign w:val="top"/>
          </w:tcPr>
          <w:p w14:paraId="3CF1E782">
            <w:pPr>
              <w:spacing w:before="182" w:line="228" w:lineRule="auto"/>
              <w:ind w:left="1936"/>
              <w:rPr>
                <w:rFonts w:ascii="宋体" w:hAnsi="宋体" w:eastAsia="宋体" w:cs="宋体"/>
                <w:color w:val="auto"/>
                <w:sz w:val="20"/>
                <w:szCs w:val="20"/>
              </w:rPr>
            </w:pPr>
            <w:r>
              <w:rPr>
                <w:rFonts w:ascii="宋体" w:hAnsi="宋体" w:eastAsia="宋体" w:cs="宋体"/>
                <w:color w:val="auto"/>
                <w:spacing w:val="7"/>
                <w:sz w:val="20"/>
                <w:szCs w:val="20"/>
              </w:rPr>
              <w:t>员</w:t>
            </w:r>
            <w:r>
              <w:rPr>
                <w:rFonts w:ascii="宋体" w:hAnsi="宋体" w:eastAsia="宋体" w:cs="宋体"/>
                <w:color w:val="auto"/>
                <w:spacing w:val="5"/>
                <w:sz w:val="20"/>
                <w:szCs w:val="20"/>
              </w:rPr>
              <w:t>工总人数：</w:t>
            </w:r>
          </w:p>
        </w:tc>
      </w:tr>
      <w:tr w14:paraId="32C3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747F3339">
            <w:pPr>
              <w:spacing w:before="181" w:line="227" w:lineRule="auto"/>
              <w:ind w:left="194"/>
              <w:rPr>
                <w:rFonts w:ascii="宋体" w:hAnsi="宋体" w:eastAsia="宋体" w:cs="宋体"/>
                <w:color w:val="auto"/>
                <w:sz w:val="20"/>
                <w:szCs w:val="20"/>
              </w:rPr>
            </w:pPr>
            <w:r>
              <w:rPr>
                <w:rFonts w:ascii="宋体" w:hAnsi="宋体" w:eastAsia="宋体" w:cs="宋体"/>
                <w:color w:val="auto"/>
                <w:spacing w:val="11"/>
                <w:sz w:val="20"/>
                <w:szCs w:val="20"/>
              </w:rPr>
              <w:t>企</w:t>
            </w:r>
            <w:r>
              <w:rPr>
                <w:rFonts w:ascii="宋体" w:hAnsi="宋体" w:eastAsia="宋体" w:cs="宋体"/>
                <w:color w:val="auto"/>
                <w:spacing w:val="7"/>
                <w:sz w:val="20"/>
                <w:szCs w:val="20"/>
              </w:rPr>
              <w:t>业资质等级</w:t>
            </w:r>
          </w:p>
        </w:tc>
        <w:tc>
          <w:tcPr>
            <w:tcW w:w="896" w:type="dxa"/>
            <w:vAlign w:val="top"/>
          </w:tcPr>
          <w:p w14:paraId="0D2BFD8D">
            <w:pPr>
              <w:rPr>
                <w:rFonts w:ascii="Arial"/>
                <w:color w:val="auto"/>
                <w:sz w:val="21"/>
              </w:rPr>
            </w:pPr>
          </w:p>
        </w:tc>
        <w:tc>
          <w:tcPr>
            <w:tcW w:w="1020" w:type="dxa"/>
            <w:vAlign w:val="top"/>
          </w:tcPr>
          <w:p w14:paraId="77CE29F7">
            <w:pPr>
              <w:rPr>
                <w:rFonts w:ascii="Arial"/>
                <w:color w:val="auto"/>
                <w:sz w:val="21"/>
              </w:rPr>
            </w:pPr>
          </w:p>
        </w:tc>
        <w:tc>
          <w:tcPr>
            <w:tcW w:w="992" w:type="dxa"/>
            <w:vMerge w:val="restart"/>
            <w:tcBorders>
              <w:bottom w:val="nil"/>
            </w:tcBorders>
            <w:vAlign w:val="top"/>
          </w:tcPr>
          <w:p w14:paraId="72CE3048">
            <w:pPr>
              <w:spacing w:line="252" w:lineRule="auto"/>
              <w:rPr>
                <w:rFonts w:ascii="Arial"/>
                <w:color w:val="auto"/>
                <w:sz w:val="21"/>
              </w:rPr>
            </w:pPr>
          </w:p>
          <w:p w14:paraId="32DB6F14">
            <w:pPr>
              <w:spacing w:line="252" w:lineRule="auto"/>
              <w:rPr>
                <w:rFonts w:ascii="Arial"/>
                <w:color w:val="auto"/>
                <w:sz w:val="21"/>
              </w:rPr>
            </w:pPr>
          </w:p>
          <w:p w14:paraId="5E4D2E0F">
            <w:pPr>
              <w:spacing w:line="253" w:lineRule="auto"/>
              <w:rPr>
                <w:rFonts w:ascii="Arial"/>
                <w:color w:val="auto"/>
                <w:sz w:val="21"/>
              </w:rPr>
            </w:pPr>
          </w:p>
          <w:p w14:paraId="62333B57">
            <w:pPr>
              <w:spacing w:line="253" w:lineRule="auto"/>
              <w:rPr>
                <w:rFonts w:ascii="Arial"/>
                <w:color w:val="auto"/>
                <w:sz w:val="21"/>
              </w:rPr>
            </w:pPr>
          </w:p>
          <w:p w14:paraId="6102E8C2">
            <w:pPr>
              <w:spacing w:line="253" w:lineRule="auto"/>
              <w:rPr>
                <w:rFonts w:ascii="Arial"/>
                <w:color w:val="auto"/>
                <w:sz w:val="21"/>
              </w:rPr>
            </w:pPr>
          </w:p>
          <w:p w14:paraId="719FA447">
            <w:pPr>
              <w:spacing w:before="65" w:line="226" w:lineRule="auto"/>
              <w:ind w:left="291"/>
              <w:rPr>
                <w:rFonts w:ascii="宋体" w:hAnsi="宋体" w:eastAsia="宋体" w:cs="宋体"/>
                <w:color w:val="auto"/>
                <w:sz w:val="20"/>
                <w:szCs w:val="20"/>
              </w:rPr>
            </w:pPr>
            <w:r>
              <w:rPr>
                <w:rFonts w:ascii="宋体" w:hAnsi="宋体" w:eastAsia="宋体" w:cs="宋体"/>
                <w:color w:val="auto"/>
                <w:spacing w:val="4"/>
                <w:sz w:val="20"/>
                <w:szCs w:val="20"/>
              </w:rPr>
              <w:t>其中</w:t>
            </w:r>
          </w:p>
        </w:tc>
        <w:tc>
          <w:tcPr>
            <w:tcW w:w="1983" w:type="dxa"/>
            <w:gridSpan w:val="4"/>
            <w:vAlign w:val="top"/>
          </w:tcPr>
          <w:p w14:paraId="739057B6">
            <w:pPr>
              <w:spacing w:before="181" w:line="228" w:lineRule="auto"/>
              <w:ind w:left="581"/>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2129" w:type="dxa"/>
            <w:gridSpan w:val="2"/>
            <w:vAlign w:val="top"/>
          </w:tcPr>
          <w:p w14:paraId="73D66B10">
            <w:pPr>
              <w:rPr>
                <w:rFonts w:ascii="Arial"/>
                <w:color w:val="auto"/>
                <w:sz w:val="21"/>
              </w:rPr>
            </w:pPr>
          </w:p>
        </w:tc>
      </w:tr>
      <w:tr w14:paraId="7F8B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14A97E89">
            <w:pPr>
              <w:spacing w:before="183" w:line="228" w:lineRule="auto"/>
              <w:ind w:left="301"/>
              <w:rPr>
                <w:rFonts w:ascii="宋体" w:hAnsi="宋体" w:eastAsia="宋体" w:cs="宋体"/>
                <w:color w:val="auto"/>
                <w:sz w:val="20"/>
                <w:szCs w:val="20"/>
              </w:rPr>
            </w:pPr>
            <w:r>
              <w:rPr>
                <w:rFonts w:ascii="宋体" w:hAnsi="宋体" w:eastAsia="宋体" w:cs="宋体"/>
                <w:color w:val="auto"/>
                <w:spacing w:val="7"/>
                <w:sz w:val="20"/>
                <w:szCs w:val="20"/>
              </w:rPr>
              <w:t>营业执照</w:t>
            </w:r>
            <w:r>
              <w:rPr>
                <w:rFonts w:ascii="宋体" w:hAnsi="宋体" w:eastAsia="宋体" w:cs="宋体"/>
                <w:color w:val="auto"/>
                <w:spacing w:val="6"/>
                <w:sz w:val="20"/>
                <w:szCs w:val="20"/>
              </w:rPr>
              <w:t>号</w:t>
            </w:r>
          </w:p>
        </w:tc>
        <w:tc>
          <w:tcPr>
            <w:tcW w:w="896" w:type="dxa"/>
            <w:vAlign w:val="top"/>
          </w:tcPr>
          <w:p w14:paraId="76AEE383">
            <w:pPr>
              <w:rPr>
                <w:rFonts w:ascii="Arial"/>
                <w:color w:val="auto"/>
                <w:sz w:val="21"/>
              </w:rPr>
            </w:pPr>
          </w:p>
        </w:tc>
        <w:tc>
          <w:tcPr>
            <w:tcW w:w="1020" w:type="dxa"/>
            <w:vAlign w:val="top"/>
          </w:tcPr>
          <w:p w14:paraId="15426B3F">
            <w:pPr>
              <w:rPr>
                <w:rFonts w:ascii="Arial"/>
                <w:color w:val="auto"/>
                <w:sz w:val="21"/>
              </w:rPr>
            </w:pPr>
          </w:p>
        </w:tc>
        <w:tc>
          <w:tcPr>
            <w:tcW w:w="992" w:type="dxa"/>
            <w:vMerge w:val="continue"/>
            <w:tcBorders>
              <w:top w:val="nil"/>
              <w:bottom w:val="nil"/>
            </w:tcBorders>
            <w:vAlign w:val="top"/>
          </w:tcPr>
          <w:p w14:paraId="4D28C682">
            <w:pPr>
              <w:rPr>
                <w:rFonts w:ascii="Arial"/>
                <w:color w:val="auto"/>
                <w:sz w:val="21"/>
              </w:rPr>
            </w:pPr>
          </w:p>
        </w:tc>
        <w:tc>
          <w:tcPr>
            <w:tcW w:w="1983" w:type="dxa"/>
            <w:gridSpan w:val="4"/>
            <w:vAlign w:val="top"/>
          </w:tcPr>
          <w:p w14:paraId="29DF9DF8">
            <w:pPr>
              <w:spacing w:before="183" w:line="228" w:lineRule="auto"/>
              <w:ind w:left="375"/>
              <w:rPr>
                <w:rFonts w:ascii="宋体" w:hAnsi="宋体" w:eastAsia="宋体" w:cs="宋体"/>
                <w:color w:val="auto"/>
                <w:sz w:val="20"/>
                <w:szCs w:val="20"/>
              </w:rPr>
            </w:pPr>
            <w:r>
              <w:rPr>
                <w:rFonts w:ascii="宋体" w:hAnsi="宋体" w:eastAsia="宋体" w:cs="宋体"/>
                <w:color w:val="auto"/>
                <w:spacing w:val="8"/>
                <w:sz w:val="20"/>
                <w:szCs w:val="20"/>
              </w:rPr>
              <w:t>高</w:t>
            </w:r>
            <w:r>
              <w:rPr>
                <w:rFonts w:ascii="宋体" w:hAnsi="宋体" w:eastAsia="宋体" w:cs="宋体"/>
                <w:color w:val="auto"/>
                <w:spacing w:val="7"/>
                <w:sz w:val="20"/>
                <w:szCs w:val="20"/>
              </w:rPr>
              <w:t>级职称人员</w:t>
            </w:r>
          </w:p>
        </w:tc>
        <w:tc>
          <w:tcPr>
            <w:tcW w:w="2129" w:type="dxa"/>
            <w:gridSpan w:val="2"/>
            <w:vAlign w:val="top"/>
          </w:tcPr>
          <w:p w14:paraId="2BEC13C5">
            <w:pPr>
              <w:rPr>
                <w:rFonts w:ascii="Arial"/>
                <w:color w:val="auto"/>
                <w:sz w:val="21"/>
              </w:rPr>
            </w:pPr>
          </w:p>
        </w:tc>
      </w:tr>
      <w:tr w14:paraId="3EAC3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9052ABC">
            <w:pPr>
              <w:spacing w:before="181" w:line="227"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册资金</w:t>
            </w:r>
          </w:p>
        </w:tc>
        <w:tc>
          <w:tcPr>
            <w:tcW w:w="896" w:type="dxa"/>
            <w:vAlign w:val="top"/>
          </w:tcPr>
          <w:p w14:paraId="7787D132">
            <w:pPr>
              <w:rPr>
                <w:rFonts w:ascii="Arial"/>
                <w:color w:val="auto"/>
                <w:sz w:val="21"/>
              </w:rPr>
            </w:pPr>
          </w:p>
        </w:tc>
        <w:tc>
          <w:tcPr>
            <w:tcW w:w="1020" w:type="dxa"/>
            <w:vAlign w:val="top"/>
          </w:tcPr>
          <w:p w14:paraId="7BAEE430">
            <w:pPr>
              <w:rPr>
                <w:rFonts w:ascii="Arial"/>
                <w:color w:val="auto"/>
                <w:sz w:val="21"/>
              </w:rPr>
            </w:pPr>
          </w:p>
        </w:tc>
        <w:tc>
          <w:tcPr>
            <w:tcW w:w="992" w:type="dxa"/>
            <w:vMerge w:val="continue"/>
            <w:tcBorders>
              <w:top w:val="nil"/>
              <w:bottom w:val="nil"/>
            </w:tcBorders>
            <w:vAlign w:val="top"/>
          </w:tcPr>
          <w:p w14:paraId="7F4BE147">
            <w:pPr>
              <w:rPr>
                <w:rFonts w:ascii="Arial"/>
                <w:color w:val="auto"/>
                <w:sz w:val="21"/>
              </w:rPr>
            </w:pPr>
          </w:p>
        </w:tc>
        <w:tc>
          <w:tcPr>
            <w:tcW w:w="1983" w:type="dxa"/>
            <w:gridSpan w:val="4"/>
            <w:vAlign w:val="top"/>
          </w:tcPr>
          <w:p w14:paraId="55F20D16">
            <w:pPr>
              <w:spacing w:before="181" w:line="229" w:lineRule="auto"/>
              <w:ind w:left="389"/>
              <w:rPr>
                <w:rFonts w:ascii="宋体" w:hAnsi="宋体" w:eastAsia="宋体" w:cs="宋体"/>
                <w:color w:val="auto"/>
                <w:sz w:val="20"/>
                <w:szCs w:val="20"/>
              </w:rPr>
            </w:pPr>
            <w:r>
              <w:rPr>
                <w:rFonts w:ascii="宋体" w:hAnsi="宋体" w:eastAsia="宋体" w:cs="宋体"/>
                <w:color w:val="auto"/>
                <w:spacing w:val="5"/>
                <w:sz w:val="20"/>
                <w:szCs w:val="20"/>
              </w:rPr>
              <w:t>中级职称人</w:t>
            </w:r>
            <w:r>
              <w:rPr>
                <w:rFonts w:ascii="宋体" w:hAnsi="宋体" w:eastAsia="宋体" w:cs="宋体"/>
                <w:color w:val="auto"/>
                <w:spacing w:val="4"/>
                <w:sz w:val="20"/>
                <w:szCs w:val="20"/>
              </w:rPr>
              <w:t>员</w:t>
            </w:r>
          </w:p>
        </w:tc>
        <w:tc>
          <w:tcPr>
            <w:tcW w:w="2129" w:type="dxa"/>
            <w:gridSpan w:val="2"/>
            <w:vAlign w:val="top"/>
          </w:tcPr>
          <w:p w14:paraId="18F14EB3">
            <w:pPr>
              <w:rPr>
                <w:rFonts w:ascii="Arial"/>
                <w:color w:val="auto"/>
                <w:sz w:val="21"/>
              </w:rPr>
            </w:pPr>
          </w:p>
        </w:tc>
      </w:tr>
      <w:tr w14:paraId="4E91A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111E53D2">
            <w:pPr>
              <w:spacing w:before="183" w:line="229" w:lineRule="auto"/>
              <w:ind w:left="401"/>
              <w:rPr>
                <w:rFonts w:ascii="宋体" w:hAnsi="宋体" w:eastAsia="宋体" w:cs="宋体"/>
                <w:color w:val="auto"/>
                <w:sz w:val="20"/>
                <w:szCs w:val="20"/>
              </w:rPr>
            </w:pPr>
            <w:r>
              <w:rPr>
                <w:rFonts w:ascii="宋体" w:hAnsi="宋体" w:eastAsia="宋体" w:cs="宋体"/>
                <w:color w:val="auto"/>
                <w:spacing w:val="7"/>
                <w:sz w:val="20"/>
                <w:szCs w:val="20"/>
              </w:rPr>
              <w:t>开户银行</w:t>
            </w:r>
          </w:p>
        </w:tc>
        <w:tc>
          <w:tcPr>
            <w:tcW w:w="896" w:type="dxa"/>
            <w:vAlign w:val="top"/>
          </w:tcPr>
          <w:p w14:paraId="5BC0D9D3">
            <w:pPr>
              <w:rPr>
                <w:rFonts w:ascii="Arial"/>
                <w:color w:val="auto"/>
                <w:sz w:val="21"/>
              </w:rPr>
            </w:pPr>
          </w:p>
        </w:tc>
        <w:tc>
          <w:tcPr>
            <w:tcW w:w="1020" w:type="dxa"/>
            <w:vAlign w:val="top"/>
          </w:tcPr>
          <w:p w14:paraId="4FFE6450">
            <w:pPr>
              <w:rPr>
                <w:rFonts w:ascii="Arial"/>
                <w:color w:val="auto"/>
                <w:sz w:val="21"/>
              </w:rPr>
            </w:pPr>
          </w:p>
        </w:tc>
        <w:tc>
          <w:tcPr>
            <w:tcW w:w="992" w:type="dxa"/>
            <w:vMerge w:val="continue"/>
            <w:tcBorders>
              <w:top w:val="nil"/>
              <w:bottom w:val="nil"/>
            </w:tcBorders>
            <w:vAlign w:val="top"/>
          </w:tcPr>
          <w:p w14:paraId="3ECF26FD">
            <w:pPr>
              <w:rPr>
                <w:rFonts w:ascii="Arial"/>
                <w:color w:val="auto"/>
                <w:sz w:val="21"/>
              </w:rPr>
            </w:pPr>
          </w:p>
        </w:tc>
        <w:tc>
          <w:tcPr>
            <w:tcW w:w="1983" w:type="dxa"/>
            <w:gridSpan w:val="4"/>
            <w:vAlign w:val="top"/>
          </w:tcPr>
          <w:p w14:paraId="4D1B264C">
            <w:pPr>
              <w:spacing w:before="183" w:line="230" w:lineRule="auto"/>
              <w:ind w:left="368"/>
              <w:rPr>
                <w:rFonts w:ascii="宋体" w:hAnsi="宋体" w:eastAsia="宋体" w:cs="宋体"/>
                <w:color w:val="auto"/>
                <w:sz w:val="20"/>
                <w:szCs w:val="20"/>
              </w:rPr>
            </w:pPr>
            <w:r>
              <w:rPr>
                <w:rFonts w:ascii="宋体" w:hAnsi="宋体" w:eastAsia="宋体" w:cs="宋体"/>
                <w:color w:val="auto"/>
                <w:spacing w:val="10"/>
                <w:sz w:val="20"/>
                <w:szCs w:val="20"/>
              </w:rPr>
              <w:t>初</w:t>
            </w:r>
            <w:r>
              <w:rPr>
                <w:rFonts w:ascii="宋体" w:hAnsi="宋体" w:eastAsia="宋体" w:cs="宋体"/>
                <w:color w:val="auto"/>
                <w:spacing w:val="8"/>
                <w:sz w:val="20"/>
                <w:szCs w:val="20"/>
              </w:rPr>
              <w:t>级职称人员</w:t>
            </w:r>
          </w:p>
        </w:tc>
        <w:tc>
          <w:tcPr>
            <w:tcW w:w="2129" w:type="dxa"/>
            <w:gridSpan w:val="2"/>
            <w:vAlign w:val="top"/>
          </w:tcPr>
          <w:p w14:paraId="0425F868">
            <w:pPr>
              <w:rPr>
                <w:rFonts w:ascii="Arial"/>
                <w:color w:val="auto"/>
                <w:sz w:val="21"/>
              </w:rPr>
            </w:pPr>
          </w:p>
        </w:tc>
      </w:tr>
      <w:tr w14:paraId="4E83A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327CE36">
            <w:pPr>
              <w:spacing w:before="182" w:line="230" w:lineRule="auto"/>
              <w:ind w:left="614"/>
              <w:rPr>
                <w:rFonts w:ascii="宋体" w:hAnsi="宋体" w:eastAsia="宋体" w:cs="宋体"/>
                <w:color w:val="auto"/>
                <w:sz w:val="20"/>
                <w:szCs w:val="20"/>
              </w:rPr>
            </w:pPr>
            <w:r>
              <w:rPr>
                <w:rFonts w:ascii="宋体" w:hAnsi="宋体" w:eastAsia="宋体" w:cs="宋体"/>
                <w:color w:val="auto"/>
                <w:spacing w:val="3"/>
                <w:sz w:val="20"/>
                <w:szCs w:val="20"/>
              </w:rPr>
              <w:t>账号</w:t>
            </w:r>
          </w:p>
        </w:tc>
        <w:tc>
          <w:tcPr>
            <w:tcW w:w="896" w:type="dxa"/>
            <w:vAlign w:val="top"/>
          </w:tcPr>
          <w:p w14:paraId="78A4D274">
            <w:pPr>
              <w:rPr>
                <w:rFonts w:ascii="Arial"/>
                <w:color w:val="auto"/>
                <w:sz w:val="21"/>
              </w:rPr>
            </w:pPr>
          </w:p>
        </w:tc>
        <w:tc>
          <w:tcPr>
            <w:tcW w:w="1020" w:type="dxa"/>
            <w:vAlign w:val="top"/>
          </w:tcPr>
          <w:p w14:paraId="5C427157">
            <w:pPr>
              <w:rPr>
                <w:rFonts w:ascii="Arial"/>
                <w:color w:val="auto"/>
                <w:sz w:val="21"/>
              </w:rPr>
            </w:pPr>
          </w:p>
        </w:tc>
        <w:tc>
          <w:tcPr>
            <w:tcW w:w="992" w:type="dxa"/>
            <w:vMerge w:val="continue"/>
            <w:tcBorders>
              <w:top w:val="nil"/>
            </w:tcBorders>
            <w:vAlign w:val="top"/>
          </w:tcPr>
          <w:p w14:paraId="630B509A">
            <w:pPr>
              <w:rPr>
                <w:rFonts w:ascii="Arial"/>
                <w:color w:val="auto"/>
                <w:sz w:val="21"/>
              </w:rPr>
            </w:pPr>
          </w:p>
        </w:tc>
        <w:tc>
          <w:tcPr>
            <w:tcW w:w="1983" w:type="dxa"/>
            <w:gridSpan w:val="4"/>
            <w:vAlign w:val="top"/>
          </w:tcPr>
          <w:p w14:paraId="67F4675A">
            <w:pPr>
              <w:spacing w:before="182" w:line="230" w:lineRule="auto"/>
              <w:ind w:left="684"/>
              <w:rPr>
                <w:rFonts w:ascii="宋体" w:hAnsi="宋体" w:eastAsia="宋体" w:cs="宋体"/>
                <w:color w:val="auto"/>
                <w:sz w:val="20"/>
                <w:szCs w:val="20"/>
              </w:rPr>
            </w:pPr>
            <w:r>
              <w:rPr>
                <w:rFonts w:ascii="宋体" w:hAnsi="宋体" w:eastAsia="宋体" w:cs="宋体"/>
                <w:color w:val="auto"/>
                <w:spacing w:val="6"/>
                <w:sz w:val="20"/>
                <w:szCs w:val="20"/>
              </w:rPr>
              <w:t>技</w:t>
            </w:r>
            <w:r>
              <w:rPr>
                <w:rFonts w:ascii="宋体" w:hAnsi="宋体" w:eastAsia="宋体" w:cs="宋体"/>
                <w:color w:val="auto"/>
                <w:spacing w:val="5"/>
                <w:sz w:val="20"/>
                <w:szCs w:val="20"/>
              </w:rPr>
              <w:t xml:space="preserve">  工</w:t>
            </w:r>
          </w:p>
        </w:tc>
        <w:tc>
          <w:tcPr>
            <w:tcW w:w="2129" w:type="dxa"/>
            <w:gridSpan w:val="2"/>
            <w:vAlign w:val="top"/>
          </w:tcPr>
          <w:p w14:paraId="15B165D2">
            <w:pPr>
              <w:rPr>
                <w:rFonts w:ascii="Arial"/>
                <w:color w:val="auto"/>
                <w:sz w:val="21"/>
              </w:rPr>
            </w:pPr>
          </w:p>
        </w:tc>
      </w:tr>
      <w:tr w14:paraId="02895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1630" w:type="dxa"/>
            <w:vAlign w:val="top"/>
          </w:tcPr>
          <w:p w14:paraId="3CFF7BBE">
            <w:pPr>
              <w:spacing w:line="253" w:lineRule="auto"/>
              <w:rPr>
                <w:rFonts w:ascii="Arial"/>
                <w:color w:val="auto"/>
                <w:sz w:val="21"/>
              </w:rPr>
            </w:pPr>
          </w:p>
          <w:p w14:paraId="483480CB">
            <w:pPr>
              <w:spacing w:line="253" w:lineRule="auto"/>
              <w:rPr>
                <w:rFonts w:ascii="Arial"/>
                <w:color w:val="auto"/>
                <w:sz w:val="21"/>
              </w:rPr>
            </w:pPr>
          </w:p>
          <w:p w14:paraId="6513F32D">
            <w:pPr>
              <w:spacing w:before="65" w:line="229" w:lineRule="auto"/>
              <w:ind w:left="402"/>
              <w:rPr>
                <w:rFonts w:ascii="宋体" w:hAnsi="宋体" w:eastAsia="宋体" w:cs="宋体"/>
                <w:color w:val="auto"/>
                <w:sz w:val="20"/>
                <w:szCs w:val="20"/>
              </w:rPr>
            </w:pPr>
            <w:r>
              <w:rPr>
                <w:rFonts w:ascii="宋体" w:hAnsi="宋体" w:eastAsia="宋体" w:cs="宋体"/>
                <w:color w:val="auto"/>
                <w:spacing w:val="7"/>
                <w:sz w:val="20"/>
                <w:szCs w:val="20"/>
              </w:rPr>
              <w:t>经营范</w:t>
            </w:r>
            <w:r>
              <w:rPr>
                <w:rFonts w:ascii="宋体" w:hAnsi="宋体" w:eastAsia="宋体" w:cs="宋体"/>
                <w:color w:val="auto"/>
                <w:spacing w:val="6"/>
                <w:sz w:val="20"/>
                <w:szCs w:val="20"/>
              </w:rPr>
              <w:t>围</w:t>
            </w:r>
          </w:p>
        </w:tc>
        <w:tc>
          <w:tcPr>
            <w:tcW w:w="7020" w:type="dxa"/>
            <w:gridSpan w:val="9"/>
            <w:vAlign w:val="top"/>
          </w:tcPr>
          <w:p w14:paraId="1AEEC3CA">
            <w:pPr>
              <w:rPr>
                <w:rFonts w:ascii="Arial"/>
                <w:color w:val="auto"/>
                <w:sz w:val="21"/>
              </w:rPr>
            </w:pPr>
          </w:p>
        </w:tc>
      </w:tr>
      <w:tr w14:paraId="478C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0D942BD8">
            <w:pPr>
              <w:spacing w:before="182" w:line="230" w:lineRule="auto"/>
              <w:ind w:left="61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7020" w:type="dxa"/>
            <w:gridSpan w:val="9"/>
            <w:vAlign w:val="top"/>
          </w:tcPr>
          <w:p w14:paraId="16A057E7">
            <w:pPr>
              <w:rPr>
                <w:rFonts w:ascii="Arial"/>
                <w:color w:val="auto"/>
                <w:sz w:val="21"/>
              </w:rPr>
            </w:pPr>
          </w:p>
        </w:tc>
      </w:tr>
    </w:tbl>
    <w:p w14:paraId="1F24B0BA">
      <w:pPr>
        <w:spacing w:before="172" w:line="414" w:lineRule="auto"/>
        <w:ind w:right="1" w:firstLine="1"/>
        <w:rPr>
          <w:rFonts w:ascii="宋体" w:hAnsi="宋体" w:eastAsia="宋体" w:cs="宋体"/>
          <w:color w:val="auto"/>
          <w:sz w:val="20"/>
          <w:szCs w:val="20"/>
        </w:rPr>
      </w:pPr>
      <w:r>
        <w:rPr>
          <w:rFonts w:ascii="宋体" w:hAnsi="宋体" w:eastAsia="宋体" w:cs="宋体"/>
          <w:color w:val="auto"/>
          <w:spacing w:val="22"/>
          <w:sz w:val="20"/>
          <w:szCs w:val="20"/>
        </w:rPr>
        <w:t>备</w:t>
      </w:r>
      <w:r>
        <w:rPr>
          <w:rFonts w:ascii="宋体" w:hAnsi="宋体" w:eastAsia="宋体" w:cs="宋体"/>
          <w:color w:val="auto"/>
          <w:spacing w:val="13"/>
          <w:sz w:val="20"/>
          <w:szCs w:val="20"/>
        </w:rPr>
        <w:t>注：本表后应附企业法人营业执照、企业资质证书副本、安全生产</w:t>
      </w:r>
      <w:r>
        <w:rPr>
          <w:rFonts w:ascii="宋体" w:hAnsi="宋体" w:eastAsia="宋体" w:cs="宋体"/>
          <w:color w:val="auto"/>
          <w:spacing w:val="16"/>
          <w:sz w:val="20"/>
          <w:szCs w:val="20"/>
        </w:rPr>
        <w:t>许可证</w:t>
      </w:r>
      <w:r>
        <w:rPr>
          <w:rFonts w:ascii="宋体" w:hAnsi="宋体" w:eastAsia="宋体" w:cs="宋体"/>
          <w:color w:val="auto"/>
          <w:spacing w:val="8"/>
          <w:sz w:val="20"/>
          <w:szCs w:val="20"/>
        </w:rPr>
        <w:t>等材料的复印件。</w:t>
      </w:r>
    </w:p>
    <w:p w14:paraId="76D80E73">
      <w:pPr>
        <w:rPr>
          <w:color w:val="auto"/>
        </w:rPr>
        <w:sectPr>
          <w:footerReference r:id="rId22" w:type="default"/>
          <w:pgSz w:w="11906" w:h="16839"/>
          <w:pgMar w:top="400" w:right="1532" w:bottom="1156" w:left="1628" w:header="0" w:footer="996" w:gutter="0"/>
          <w:cols w:space="720" w:num="1"/>
        </w:sectPr>
      </w:pPr>
    </w:p>
    <w:p w14:paraId="574DB038">
      <w:pPr>
        <w:spacing w:line="285" w:lineRule="auto"/>
        <w:rPr>
          <w:rFonts w:ascii="Arial"/>
          <w:color w:val="auto"/>
          <w:sz w:val="21"/>
        </w:rPr>
      </w:pPr>
    </w:p>
    <w:p w14:paraId="0F57850E">
      <w:pPr>
        <w:spacing w:line="285" w:lineRule="auto"/>
        <w:rPr>
          <w:rFonts w:ascii="Arial"/>
          <w:color w:val="auto"/>
          <w:sz w:val="21"/>
        </w:rPr>
      </w:pPr>
    </w:p>
    <w:p w14:paraId="195B9B5F">
      <w:pPr>
        <w:spacing w:line="286" w:lineRule="auto"/>
        <w:rPr>
          <w:rFonts w:ascii="Arial"/>
          <w:color w:val="auto"/>
          <w:sz w:val="21"/>
        </w:rPr>
      </w:pPr>
    </w:p>
    <w:p w14:paraId="39333792">
      <w:pPr>
        <w:spacing w:line="286" w:lineRule="auto"/>
        <w:rPr>
          <w:rFonts w:ascii="Arial"/>
          <w:color w:val="auto"/>
          <w:sz w:val="21"/>
        </w:rPr>
      </w:pPr>
    </w:p>
    <w:p w14:paraId="133D5619">
      <w:pPr>
        <w:spacing w:before="65" w:line="228" w:lineRule="auto"/>
        <w:ind w:left="3334"/>
        <w:outlineLvl w:val="2"/>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近年财务状况表</w:t>
      </w:r>
    </w:p>
    <w:p w14:paraId="683BB1F0">
      <w:pPr>
        <w:spacing w:before="184" w:line="412" w:lineRule="auto"/>
        <w:ind w:right="1" w:firstLine="417"/>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此</w:t>
      </w:r>
      <w:r>
        <w:rPr>
          <w:rFonts w:ascii="宋体" w:hAnsi="宋体" w:eastAsia="宋体" w:cs="宋体"/>
          <w:color w:val="auto"/>
          <w:spacing w:val="13"/>
          <w:sz w:val="20"/>
          <w:szCs w:val="20"/>
        </w:rPr>
        <w:t>附财务会计报表，包括资产负债表、损益表的复印件，具体年份要求见第二章“投标</w:t>
      </w:r>
      <w:r>
        <w:rPr>
          <w:rFonts w:ascii="宋体" w:hAnsi="宋体" w:eastAsia="宋体" w:cs="宋体"/>
          <w:color w:val="auto"/>
          <w:spacing w:val="8"/>
          <w:sz w:val="20"/>
          <w:szCs w:val="20"/>
        </w:rPr>
        <w:t>人须知前附表”的规定</w:t>
      </w:r>
      <w:r>
        <w:rPr>
          <w:rFonts w:ascii="宋体" w:hAnsi="宋体" w:eastAsia="宋体" w:cs="宋体"/>
          <w:color w:val="auto"/>
          <w:spacing w:val="7"/>
          <w:sz w:val="20"/>
          <w:szCs w:val="20"/>
        </w:rPr>
        <w:t>。</w:t>
      </w:r>
    </w:p>
    <w:p w14:paraId="2A4B740B">
      <w:pPr>
        <w:spacing w:before="108" w:line="228" w:lineRule="auto"/>
        <w:ind w:left="2809"/>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三) 近年完成的类似项目情况表</w:t>
      </w:r>
    </w:p>
    <w:p w14:paraId="270595E9">
      <w:pPr>
        <w:spacing w:line="139" w:lineRule="exact"/>
        <w:rPr>
          <w:color w:val="auto"/>
        </w:rPr>
      </w:pPr>
    </w:p>
    <w:tbl>
      <w:tblPr>
        <w:tblStyle w:val="17"/>
        <w:tblW w:w="854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487E7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1FBE1C57">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117" w:type="dxa"/>
            <w:vAlign w:val="top"/>
          </w:tcPr>
          <w:p w14:paraId="3B1787F9">
            <w:pPr>
              <w:rPr>
                <w:rFonts w:ascii="Arial"/>
                <w:color w:val="auto"/>
                <w:sz w:val="21"/>
              </w:rPr>
            </w:pPr>
          </w:p>
        </w:tc>
      </w:tr>
      <w:tr w14:paraId="15637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785317CE">
            <w:pPr>
              <w:spacing w:before="167" w:line="228" w:lineRule="auto"/>
              <w:ind w:left="696"/>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117" w:type="dxa"/>
            <w:vAlign w:val="top"/>
          </w:tcPr>
          <w:p w14:paraId="74D7F592">
            <w:pPr>
              <w:rPr>
                <w:rFonts w:ascii="Arial"/>
                <w:color w:val="auto"/>
                <w:sz w:val="21"/>
              </w:rPr>
            </w:pPr>
          </w:p>
        </w:tc>
      </w:tr>
      <w:tr w14:paraId="2B3E1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7F466A8">
            <w:pPr>
              <w:spacing w:before="170"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117" w:type="dxa"/>
            <w:vAlign w:val="top"/>
          </w:tcPr>
          <w:p w14:paraId="48442DB1">
            <w:pPr>
              <w:rPr>
                <w:rFonts w:ascii="Arial"/>
                <w:color w:val="auto"/>
                <w:sz w:val="21"/>
              </w:rPr>
            </w:pPr>
          </w:p>
        </w:tc>
      </w:tr>
      <w:tr w14:paraId="1246B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5D91F54">
            <w:pPr>
              <w:spacing w:before="169"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117" w:type="dxa"/>
            <w:vAlign w:val="top"/>
          </w:tcPr>
          <w:p w14:paraId="1E03415C">
            <w:pPr>
              <w:rPr>
                <w:rFonts w:ascii="Arial"/>
                <w:color w:val="auto"/>
                <w:sz w:val="21"/>
              </w:rPr>
            </w:pPr>
          </w:p>
        </w:tc>
      </w:tr>
      <w:tr w14:paraId="6991C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E134C0A">
            <w:pPr>
              <w:spacing w:before="170" w:line="229" w:lineRule="auto"/>
              <w:ind w:left="276"/>
              <w:rPr>
                <w:rFonts w:ascii="宋体" w:hAnsi="宋体" w:eastAsia="宋体" w:cs="宋体"/>
                <w:color w:val="auto"/>
                <w:sz w:val="20"/>
                <w:szCs w:val="20"/>
              </w:rPr>
            </w:pPr>
            <w:r>
              <w:rPr>
                <w:rFonts w:ascii="宋体" w:hAnsi="宋体" w:eastAsia="宋体" w:cs="宋体"/>
                <w:color w:val="auto"/>
                <w:spacing w:val="13"/>
                <w:sz w:val="20"/>
                <w:szCs w:val="20"/>
              </w:rPr>
              <w:t>发</w:t>
            </w:r>
            <w:r>
              <w:rPr>
                <w:rFonts w:ascii="宋体" w:hAnsi="宋体" w:eastAsia="宋体" w:cs="宋体"/>
                <w:color w:val="auto"/>
                <w:spacing w:val="8"/>
                <w:sz w:val="20"/>
                <w:szCs w:val="20"/>
              </w:rPr>
              <w:t>包人联系人及电话</w:t>
            </w:r>
          </w:p>
        </w:tc>
        <w:tc>
          <w:tcPr>
            <w:tcW w:w="6117" w:type="dxa"/>
            <w:vAlign w:val="top"/>
          </w:tcPr>
          <w:p w14:paraId="42687192">
            <w:pPr>
              <w:rPr>
                <w:rFonts w:ascii="Arial"/>
                <w:color w:val="auto"/>
                <w:sz w:val="21"/>
              </w:rPr>
            </w:pPr>
          </w:p>
        </w:tc>
      </w:tr>
      <w:tr w14:paraId="1339D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513BF71">
            <w:pPr>
              <w:spacing w:before="170" w:line="227" w:lineRule="auto"/>
              <w:ind w:left="799"/>
              <w:rPr>
                <w:rFonts w:ascii="宋体" w:hAnsi="宋体" w:eastAsia="宋体" w:cs="宋体"/>
                <w:color w:val="auto"/>
                <w:sz w:val="20"/>
                <w:szCs w:val="20"/>
              </w:rPr>
            </w:pPr>
            <w:r>
              <w:rPr>
                <w:rFonts w:ascii="宋体" w:hAnsi="宋体" w:eastAsia="宋体" w:cs="宋体"/>
                <w:color w:val="auto"/>
                <w:spacing w:val="7"/>
                <w:sz w:val="20"/>
                <w:szCs w:val="20"/>
              </w:rPr>
              <w:t>合同价格</w:t>
            </w:r>
          </w:p>
        </w:tc>
        <w:tc>
          <w:tcPr>
            <w:tcW w:w="6117" w:type="dxa"/>
            <w:vAlign w:val="top"/>
          </w:tcPr>
          <w:p w14:paraId="541F191B">
            <w:pPr>
              <w:rPr>
                <w:rFonts w:ascii="Arial"/>
                <w:color w:val="auto"/>
                <w:sz w:val="21"/>
              </w:rPr>
            </w:pPr>
          </w:p>
        </w:tc>
      </w:tr>
      <w:tr w14:paraId="4C801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9DA9B52">
            <w:pPr>
              <w:spacing w:before="172" w:line="229" w:lineRule="auto"/>
              <w:ind w:left="799"/>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117" w:type="dxa"/>
            <w:vAlign w:val="top"/>
          </w:tcPr>
          <w:p w14:paraId="195E6AC7">
            <w:pPr>
              <w:rPr>
                <w:rFonts w:ascii="Arial"/>
                <w:color w:val="auto"/>
                <w:sz w:val="21"/>
              </w:rPr>
            </w:pPr>
          </w:p>
        </w:tc>
      </w:tr>
      <w:tr w14:paraId="691FB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98FB694">
            <w:pPr>
              <w:spacing w:before="172" w:line="228" w:lineRule="auto"/>
              <w:ind w:left="799"/>
              <w:rPr>
                <w:rFonts w:ascii="宋体" w:hAnsi="宋体" w:eastAsia="宋体" w:cs="宋体"/>
                <w:color w:val="auto"/>
                <w:sz w:val="20"/>
                <w:szCs w:val="20"/>
              </w:rPr>
            </w:pPr>
            <w:r>
              <w:rPr>
                <w:rFonts w:ascii="宋体" w:hAnsi="宋体" w:eastAsia="宋体" w:cs="宋体"/>
                <w:color w:val="auto"/>
                <w:spacing w:val="7"/>
                <w:sz w:val="20"/>
                <w:szCs w:val="20"/>
              </w:rPr>
              <w:t>竣工日期</w:t>
            </w:r>
          </w:p>
        </w:tc>
        <w:tc>
          <w:tcPr>
            <w:tcW w:w="6117" w:type="dxa"/>
            <w:vAlign w:val="top"/>
          </w:tcPr>
          <w:p w14:paraId="339C26AE">
            <w:pPr>
              <w:rPr>
                <w:rFonts w:ascii="Arial"/>
                <w:color w:val="auto"/>
                <w:sz w:val="21"/>
              </w:rPr>
            </w:pPr>
          </w:p>
        </w:tc>
      </w:tr>
      <w:tr w14:paraId="10172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768B8D9">
            <w:pPr>
              <w:spacing w:before="171" w:line="228" w:lineRule="auto"/>
              <w:ind w:left="693"/>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117" w:type="dxa"/>
            <w:vAlign w:val="top"/>
          </w:tcPr>
          <w:p w14:paraId="7F49675C">
            <w:pPr>
              <w:rPr>
                <w:rFonts w:ascii="Arial"/>
                <w:color w:val="auto"/>
                <w:sz w:val="21"/>
              </w:rPr>
            </w:pPr>
          </w:p>
        </w:tc>
      </w:tr>
      <w:tr w14:paraId="29E09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6307A00">
            <w:pPr>
              <w:spacing w:before="170" w:line="229" w:lineRule="auto"/>
              <w:ind w:left="801"/>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117" w:type="dxa"/>
            <w:vAlign w:val="top"/>
          </w:tcPr>
          <w:p w14:paraId="61CA4EB8">
            <w:pPr>
              <w:rPr>
                <w:rFonts w:ascii="Arial"/>
                <w:color w:val="auto"/>
                <w:sz w:val="21"/>
              </w:rPr>
            </w:pPr>
          </w:p>
        </w:tc>
      </w:tr>
      <w:tr w14:paraId="194A0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90C842A">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117" w:type="dxa"/>
            <w:vAlign w:val="top"/>
          </w:tcPr>
          <w:p w14:paraId="34A223A7">
            <w:pPr>
              <w:rPr>
                <w:rFonts w:ascii="Arial"/>
                <w:color w:val="auto"/>
                <w:sz w:val="21"/>
              </w:rPr>
            </w:pPr>
          </w:p>
        </w:tc>
      </w:tr>
      <w:tr w14:paraId="376C2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4B114BB">
            <w:pPr>
              <w:spacing w:before="171" w:line="226" w:lineRule="auto"/>
              <w:ind w:left="694"/>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117" w:type="dxa"/>
            <w:vAlign w:val="top"/>
          </w:tcPr>
          <w:p w14:paraId="6D482D83">
            <w:pPr>
              <w:rPr>
                <w:rFonts w:ascii="Arial"/>
                <w:color w:val="auto"/>
                <w:sz w:val="21"/>
              </w:rPr>
            </w:pPr>
          </w:p>
        </w:tc>
      </w:tr>
      <w:tr w14:paraId="5BFA6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08E7BE3">
            <w:pPr>
              <w:spacing w:before="171" w:line="228" w:lineRule="auto"/>
              <w:ind w:left="275"/>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117" w:type="dxa"/>
            <w:vAlign w:val="top"/>
          </w:tcPr>
          <w:p w14:paraId="6005E553">
            <w:pPr>
              <w:rPr>
                <w:rFonts w:ascii="Arial"/>
                <w:color w:val="auto"/>
                <w:sz w:val="21"/>
              </w:rPr>
            </w:pPr>
          </w:p>
        </w:tc>
      </w:tr>
      <w:tr w14:paraId="4AC97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3E529F77">
            <w:pPr>
              <w:spacing w:line="267" w:lineRule="auto"/>
              <w:rPr>
                <w:rFonts w:ascii="Arial"/>
                <w:color w:val="auto"/>
                <w:sz w:val="21"/>
              </w:rPr>
            </w:pPr>
          </w:p>
          <w:p w14:paraId="7D57F209">
            <w:pPr>
              <w:spacing w:line="267" w:lineRule="auto"/>
              <w:rPr>
                <w:rFonts w:ascii="Arial"/>
                <w:color w:val="auto"/>
                <w:sz w:val="21"/>
              </w:rPr>
            </w:pPr>
          </w:p>
          <w:p w14:paraId="34A0C0F5">
            <w:pPr>
              <w:spacing w:line="267" w:lineRule="auto"/>
              <w:rPr>
                <w:rFonts w:ascii="Arial"/>
                <w:color w:val="auto"/>
                <w:sz w:val="21"/>
              </w:rPr>
            </w:pPr>
          </w:p>
          <w:p w14:paraId="65CECEB0">
            <w:pPr>
              <w:spacing w:before="65"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117" w:type="dxa"/>
            <w:vAlign w:val="top"/>
          </w:tcPr>
          <w:p w14:paraId="09671A4D">
            <w:pPr>
              <w:rPr>
                <w:rFonts w:ascii="Arial"/>
                <w:color w:val="auto"/>
                <w:sz w:val="21"/>
              </w:rPr>
            </w:pPr>
          </w:p>
        </w:tc>
      </w:tr>
      <w:tr w14:paraId="1CAD3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21AD9D88">
            <w:pPr>
              <w:spacing w:before="173" w:line="230" w:lineRule="auto"/>
              <w:ind w:left="1010"/>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117" w:type="dxa"/>
            <w:vAlign w:val="top"/>
          </w:tcPr>
          <w:p w14:paraId="3088CD98">
            <w:pPr>
              <w:rPr>
                <w:rFonts w:ascii="Arial"/>
                <w:color w:val="auto"/>
                <w:sz w:val="21"/>
              </w:rPr>
            </w:pPr>
          </w:p>
        </w:tc>
      </w:tr>
    </w:tbl>
    <w:p w14:paraId="3A0B041E">
      <w:pPr>
        <w:spacing w:before="173" w:line="228" w:lineRule="auto"/>
        <w:rPr>
          <w:rFonts w:ascii="宋体" w:hAnsi="宋体" w:eastAsia="宋体" w:cs="宋体"/>
          <w:color w:val="auto"/>
          <w:sz w:val="20"/>
          <w:szCs w:val="20"/>
        </w:rPr>
      </w:pPr>
      <w:r>
        <w:rPr>
          <w:rFonts w:ascii="宋体" w:hAnsi="宋体" w:eastAsia="宋体" w:cs="宋体"/>
          <w:color w:val="auto"/>
          <w:spacing w:val="4"/>
          <w:sz w:val="20"/>
          <w:szCs w:val="20"/>
        </w:rPr>
        <w:t>备注：</w:t>
      </w:r>
      <w:r>
        <w:rPr>
          <w:rFonts w:ascii="Times New Roman" w:hAnsi="Times New Roman" w:eastAsia="Times New Roman" w:cs="Times New Roman"/>
          <w:color w:val="auto"/>
          <w:spacing w:val="4"/>
          <w:sz w:val="20"/>
          <w:szCs w:val="20"/>
        </w:rPr>
        <w:t xml:space="preserve">1 </w:t>
      </w:r>
      <w:r>
        <w:rPr>
          <w:rFonts w:ascii="宋体" w:hAnsi="宋体" w:eastAsia="宋体" w:cs="宋体"/>
          <w:color w:val="auto"/>
          <w:spacing w:val="4"/>
          <w:sz w:val="20"/>
          <w:szCs w:val="20"/>
        </w:rPr>
        <w:t>、类似项</w:t>
      </w:r>
      <w:r>
        <w:rPr>
          <w:rFonts w:ascii="宋体" w:hAnsi="宋体" w:eastAsia="宋体" w:cs="宋体"/>
          <w:color w:val="auto"/>
          <w:spacing w:val="2"/>
          <w:sz w:val="20"/>
          <w:szCs w:val="20"/>
        </w:rPr>
        <w:t>目指</w:t>
      </w:r>
      <w:r>
        <w:rPr>
          <w:rFonts w:ascii="宋体" w:hAnsi="宋体" w:eastAsia="宋体" w:cs="宋体"/>
          <w:color w:val="auto"/>
          <w:spacing w:val="2"/>
          <w:sz w:val="20"/>
          <w:szCs w:val="20"/>
          <w:u w:val="single" w:color="auto"/>
        </w:rPr>
        <w:t xml:space="preserve">   规模、使用功能相似     </w:t>
      </w:r>
      <w:r>
        <w:rPr>
          <w:rFonts w:ascii="宋体" w:hAnsi="宋体" w:eastAsia="宋体" w:cs="宋体"/>
          <w:color w:val="auto"/>
          <w:spacing w:val="2"/>
          <w:sz w:val="20"/>
          <w:szCs w:val="20"/>
        </w:rPr>
        <w:t xml:space="preserve"> 工程。</w:t>
      </w:r>
    </w:p>
    <w:p w14:paraId="479F4ACF">
      <w:pPr>
        <w:spacing w:before="160" w:line="241" w:lineRule="auto"/>
        <w:ind w:left="623"/>
        <w:outlineLvl w:val="2"/>
        <w:rPr>
          <w:rFonts w:ascii="宋体" w:hAnsi="宋体" w:eastAsia="宋体" w:cs="宋体"/>
          <w:color w:val="auto"/>
          <w:sz w:val="20"/>
          <w:szCs w:val="20"/>
        </w:rPr>
      </w:pPr>
      <w:r>
        <w:rPr>
          <w:rFonts w:ascii="Times New Roman" w:hAnsi="Times New Roman" w:eastAsia="Times New Roman" w:cs="Times New Roman"/>
          <w:color w:val="auto"/>
          <w:spacing w:val="18"/>
          <w:sz w:val="20"/>
          <w:szCs w:val="20"/>
        </w:rPr>
        <w:t>2</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9"/>
          <w:sz w:val="20"/>
          <w:szCs w:val="20"/>
        </w:rPr>
        <w:t>、本表后附中标通知书、合同协议书</w:t>
      </w:r>
      <w:r>
        <w:rPr>
          <w:rFonts w:hint="eastAsia" w:ascii="宋体" w:hAnsi="宋体" w:eastAsia="宋体" w:cs="宋体"/>
          <w:color w:val="auto"/>
          <w:spacing w:val="9"/>
          <w:sz w:val="20"/>
          <w:szCs w:val="20"/>
          <w:lang w:val="en-US" w:eastAsia="zh-CN"/>
        </w:rPr>
        <w:t>及</w:t>
      </w:r>
      <w:r>
        <w:rPr>
          <w:rFonts w:ascii="宋体" w:hAnsi="宋体" w:eastAsia="宋体" w:cs="宋体"/>
          <w:color w:val="auto"/>
          <w:spacing w:val="9"/>
          <w:sz w:val="20"/>
          <w:szCs w:val="20"/>
        </w:rPr>
        <w:t>竣工验收</w:t>
      </w:r>
      <w:r>
        <w:rPr>
          <w:rFonts w:hint="eastAsia" w:ascii="宋体" w:hAnsi="宋体" w:eastAsia="宋体" w:cs="宋体"/>
          <w:color w:val="auto"/>
          <w:spacing w:val="9"/>
          <w:sz w:val="20"/>
          <w:szCs w:val="20"/>
          <w:lang w:val="en-US" w:eastAsia="zh-CN"/>
        </w:rPr>
        <w:t>报告</w:t>
      </w:r>
      <w:r>
        <w:rPr>
          <w:rFonts w:ascii="宋体" w:hAnsi="宋体" w:eastAsia="宋体" w:cs="宋体"/>
          <w:color w:val="auto"/>
          <w:spacing w:val="9"/>
          <w:sz w:val="20"/>
          <w:szCs w:val="20"/>
        </w:rPr>
        <w:t>的复印件，具体年份要</w:t>
      </w:r>
      <w:r>
        <w:rPr>
          <w:rFonts w:ascii="宋体" w:hAnsi="宋体" w:eastAsia="宋体" w:cs="宋体"/>
          <w:color w:val="auto"/>
          <w:spacing w:val="15"/>
          <w:sz w:val="20"/>
          <w:szCs w:val="20"/>
        </w:rPr>
        <w:t>求</w:t>
      </w:r>
      <w:r>
        <w:rPr>
          <w:rFonts w:ascii="宋体" w:hAnsi="宋体" w:eastAsia="宋体" w:cs="宋体"/>
          <w:color w:val="auto"/>
          <w:spacing w:val="9"/>
          <w:sz w:val="20"/>
          <w:szCs w:val="20"/>
        </w:rPr>
        <w:t>见投标人须知前附表。每张表格只填写一个项目，并标明序号。</w:t>
      </w:r>
    </w:p>
    <w:p w14:paraId="3A2A98A1">
      <w:pPr>
        <w:rPr>
          <w:color w:val="auto"/>
        </w:rPr>
        <w:sectPr>
          <w:footerReference r:id="rId23" w:type="default"/>
          <w:pgSz w:w="11906" w:h="16839"/>
          <w:pgMar w:top="400" w:right="1531" w:bottom="1156" w:left="1629" w:header="0" w:footer="996" w:gutter="0"/>
          <w:cols w:space="720" w:num="1"/>
        </w:sectPr>
      </w:pPr>
    </w:p>
    <w:p w14:paraId="4B9EB9DC">
      <w:pPr>
        <w:spacing w:line="285" w:lineRule="auto"/>
        <w:rPr>
          <w:rFonts w:ascii="Arial"/>
          <w:color w:val="auto"/>
          <w:sz w:val="21"/>
        </w:rPr>
      </w:pPr>
    </w:p>
    <w:p w14:paraId="799F8655">
      <w:pPr>
        <w:spacing w:line="285" w:lineRule="auto"/>
        <w:rPr>
          <w:rFonts w:ascii="Arial"/>
          <w:color w:val="auto"/>
          <w:sz w:val="21"/>
        </w:rPr>
      </w:pPr>
    </w:p>
    <w:p w14:paraId="1F71F09F">
      <w:pPr>
        <w:spacing w:line="286" w:lineRule="auto"/>
        <w:rPr>
          <w:rFonts w:ascii="Arial"/>
          <w:color w:val="auto"/>
          <w:sz w:val="21"/>
        </w:rPr>
      </w:pPr>
    </w:p>
    <w:p w14:paraId="6291D955">
      <w:pPr>
        <w:spacing w:line="286" w:lineRule="auto"/>
        <w:rPr>
          <w:rFonts w:ascii="Arial"/>
          <w:color w:val="auto"/>
          <w:sz w:val="21"/>
        </w:rPr>
      </w:pPr>
    </w:p>
    <w:p w14:paraId="013B8EF7">
      <w:pPr>
        <w:spacing w:before="65" w:line="228" w:lineRule="auto"/>
        <w:ind w:left="7"/>
        <w:rPr>
          <w:rFonts w:ascii="宋体" w:hAnsi="宋体" w:eastAsia="宋体" w:cs="宋体"/>
          <w:color w:val="auto"/>
          <w:sz w:val="20"/>
          <w:szCs w:val="20"/>
        </w:rPr>
      </w:pPr>
      <w:r>
        <w:rPr>
          <w:rFonts w:ascii="宋体" w:hAnsi="宋体" w:eastAsia="宋体" w:cs="宋体"/>
          <w:color w:val="auto"/>
          <w:spacing w:val="25"/>
          <w:sz w:val="20"/>
          <w:szCs w:val="20"/>
        </w:rPr>
        <w:t>(</w:t>
      </w:r>
      <w:r>
        <w:rPr>
          <w:rFonts w:ascii="宋体" w:hAnsi="宋体" w:eastAsia="宋体" w:cs="宋体"/>
          <w:color w:val="auto"/>
          <w:spacing w:val="13"/>
          <w:sz w:val="20"/>
          <w:szCs w:val="20"/>
        </w:rPr>
        <w:t>四) 正在施工的和新承接的项目情况表</w:t>
      </w:r>
    </w:p>
    <w:p w14:paraId="181B18B5">
      <w:pPr>
        <w:spacing w:line="128" w:lineRule="auto"/>
        <w:rPr>
          <w:rFonts w:ascii="Arial"/>
          <w:color w:val="auto"/>
          <w:sz w:val="2"/>
        </w:rPr>
      </w:pPr>
    </w:p>
    <w:tbl>
      <w:tblPr>
        <w:tblStyle w:val="17"/>
        <w:tblW w:w="8509"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32A4D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413" w:type="dxa"/>
            <w:vAlign w:val="top"/>
          </w:tcPr>
          <w:p w14:paraId="3BA07C83">
            <w:pPr>
              <w:spacing w:before="146"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096" w:type="dxa"/>
            <w:vAlign w:val="top"/>
          </w:tcPr>
          <w:p w14:paraId="0E2BEA73">
            <w:pPr>
              <w:rPr>
                <w:rFonts w:ascii="Arial"/>
                <w:color w:val="auto"/>
                <w:sz w:val="21"/>
              </w:rPr>
            </w:pPr>
          </w:p>
        </w:tc>
      </w:tr>
      <w:tr w14:paraId="3343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53C11796">
            <w:pPr>
              <w:spacing w:before="151" w:line="228" w:lineRule="auto"/>
              <w:ind w:left="690"/>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096" w:type="dxa"/>
            <w:vAlign w:val="top"/>
          </w:tcPr>
          <w:p w14:paraId="395EA6AA">
            <w:pPr>
              <w:rPr>
                <w:rFonts w:ascii="Arial"/>
                <w:color w:val="auto"/>
                <w:sz w:val="21"/>
              </w:rPr>
            </w:pPr>
          </w:p>
        </w:tc>
      </w:tr>
      <w:tr w14:paraId="62999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211B2E4C">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096" w:type="dxa"/>
            <w:vAlign w:val="top"/>
          </w:tcPr>
          <w:p w14:paraId="25D6A71F">
            <w:pPr>
              <w:rPr>
                <w:rFonts w:ascii="Arial"/>
                <w:color w:val="auto"/>
                <w:sz w:val="21"/>
              </w:rPr>
            </w:pPr>
          </w:p>
        </w:tc>
      </w:tr>
      <w:tr w14:paraId="23DAA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0C3CD04">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096" w:type="dxa"/>
            <w:vAlign w:val="top"/>
          </w:tcPr>
          <w:p w14:paraId="4E36576B">
            <w:pPr>
              <w:rPr>
                <w:rFonts w:ascii="Arial"/>
                <w:color w:val="auto"/>
                <w:sz w:val="21"/>
              </w:rPr>
            </w:pPr>
          </w:p>
        </w:tc>
      </w:tr>
      <w:tr w14:paraId="4BE87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573AA24E">
            <w:pPr>
              <w:spacing w:before="120"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包人电话</w:t>
            </w:r>
          </w:p>
        </w:tc>
        <w:tc>
          <w:tcPr>
            <w:tcW w:w="6096" w:type="dxa"/>
            <w:vAlign w:val="top"/>
          </w:tcPr>
          <w:p w14:paraId="28BC661B">
            <w:pPr>
              <w:rPr>
                <w:rFonts w:ascii="Arial"/>
                <w:color w:val="auto"/>
                <w:sz w:val="21"/>
              </w:rPr>
            </w:pPr>
          </w:p>
        </w:tc>
      </w:tr>
      <w:tr w14:paraId="75BF1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24D26A04">
            <w:pPr>
              <w:spacing w:before="122" w:line="227" w:lineRule="auto"/>
              <w:ind w:left="686"/>
              <w:rPr>
                <w:rFonts w:ascii="宋体" w:hAnsi="宋体" w:eastAsia="宋体" w:cs="宋体"/>
                <w:color w:val="auto"/>
                <w:sz w:val="20"/>
                <w:szCs w:val="20"/>
              </w:rPr>
            </w:pPr>
            <w:r>
              <w:rPr>
                <w:rFonts w:ascii="宋体" w:hAnsi="宋体" w:eastAsia="宋体" w:cs="宋体"/>
                <w:color w:val="auto"/>
                <w:spacing w:val="8"/>
                <w:sz w:val="20"/>
                <w:szCs w:val="20"/>
              </w:rPr>
              <w:t>签约合同价</w:t>
            </w:r>
          </w:p>
        </w:tc>
        <w:tc>
          <w:tcPr>
            <w:tcW w:w="6096" w:type="dxa"/>
            <w:vAlign w:val="top"/>
          </w:tcPr>
          <w:p w14:paraId="020475C4">
            <w:pPr>
              <w:rPr>
                <w:rFonts w:ascii="Arial"/>
                <w:color w:val="auto"/>
                <w:sz w:val="21"/>
              </w:rPr>
            </w:pPr>
          </w:p>
        </w:tc>
      </w:tr>
      <w:tr w14:paraId="260F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501C9BAD">
            <w:pPr>
              <w:spacing w:before="150" w:line="229" w:lineRule="auto"/>
              <w:ind w:left="793"/>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096" w:type="dxa"/>
            <w:vAlign w:val="top"/>
          </w:tcPr>
          <w:p w14:paraId="550859E2">
            <w:pPr>
              <w:rPr>
                <w:rFonts w:ascii="Arial"/>
                <w:color w:val="auto"/>
                <w:sz w:val="21"/>
              </w:rPr>
            </w:pPr>
          </w:p>
        </w:tc>
      </w:tr>
      <w:tr w14:paraId="3CFC6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34A4F3AA">
            <w:pPr>
              <w:spacing w:before="153" w:line="228" w:lineRule="auto"/>
              <w:ind w:left="583"/>
              <w:rPr>
                <w:rFonts w:ascii="宋体" w:hAnsi="宋体" w:eastAsia="宋体" w:cs="宋体"/>
                <w:color w:val="auto"/>
                <w:sz w:val="20"/>
                <w:szCs w:val="20"/>
              </w:rPr>
            </w:pPr>
            <w:r>
              <w:rPr>
                <w:rFonts w:ascii="宋体" w:hAnsi="宋体" w:eastAsia="宋体" w:cs="宋体"/>
                <w:color w:val="auto"/>
                <w:spacing w:val="9"/>
                <w:sz w:val="20"/>
                <w:szCs w:val="20"/>
              </w:rPr>
              <w:t>计</w:t>
            </w:r>
            <w:r>
              <w:rPr>
                <w:rFonts w:ascii="宋体" w:hAnsi="宋体" w:eastAsia="宋体" w:cs="宋体"/>
                <w:color w:val="auto"/>
                <w:spacing w:val="8"/>
                <w:sz w:val="20"/>
                <w:szCs w:val="20"/>
              </w:rPr>
              <w:t>划竣工日期</w:t>
            </w:r>
          </w:p>
        </w:tc>
        <w:tc>
          <w:tcPr>
            <w:tcW w:w="6096" w:type="dxa"/>
            <w:vAlign w:val="top"/>
          </w:tcPr>
          <w:p w14:paraId="5C62EADC">
            <w:pPr>
              <w:rPr>
                <w:rFonts w:ascii="Arial"/>
                <w:color w:val="auto"/>
                <w:sz w:val="21"/>
              </w:rPr>
            </w:pPr>
          </w:p>
        </w:tc>
      </w:tr>
      <w:tr w14:paraId="3D62E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032FE4D2">
            <w:pPr>
              <w:spacing w:before="145" w:line="228" w:lineRule="auto"/>
              <w:ind w:left="686"/>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096" w:type="dxa"/>
            <w:vAlign w:val="top"/>
          </w:tcPr>
          <w:p w14:paraId="2C86EA66">
            <w:pPr>
              <w:rPr>
                <w:rFonts w:ascii="Arial"/>
                <w:color w:val="auto"/>
                <w:sz w:val="21"/>
              </w:rPr>
            </w:pPr>
          </w:p>
        </w:tc>
      </w:tr>
      <w:tr w14:paraId="6839C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0C41330B">
            <w:pPr>
              <w:spacing w:before="152" w:line="229" w:lineRule="auto"/>
              <w:ind w:left="795"/>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096" w:type="dxa"/>
            <w:vAlign w:val="top"/>
          </w:tcPr>
          <w:p w14:paraId="46C55DBB">
            <w:pPr>
              <w:rPr>
                <w:rFonts w:ascii="Arial"/>
                <w:color w:val="auto"/>
                <w:sz w:val="21"/>
              </w:rPr>
            </w:pPr>
          </w:p>
        </w:tc>
      </w:tr>
      <w:tr w14:paraId="2AB87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46170110">
            <w:pPr>
              <w:spacing w:before="152"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096" w:type="dxa"/>
            <w:vAlign w:val="top"/>
          </w:tcPr>
          <w:p w14:paraId="2FCFCF85">
            <w:pPr>
              <w:rPr>
                <w:rFonts w:ascii="Arial"/>
                <w:color w:val="auto"/>
                <w:sz w:val="21"/>
              </w:rPr>
            </w:pPr>
          </w:p>
        </w:tc>
      </w:tr>
      <w:tr w14:paraId="38615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1435414A">
            <w:pPr>
              <w:spacing w:before="208" w:line="226" w:lineRule="auto"/>
              <w:ind w:left="687"/>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096" w:type="dxa"/>
            <w:vAlign w:val="top"/>
          </w:tcPr>
          <w:p w14:paraId="0FE868E0">
            <w:pPr>
              <w:rPr>
                <w:rFonts w:ascii="Arial"/>
                <w:color w:val="auto"/>
                <w:sz w:val="21"/>
              </w:rPr>
            </w:pPr>
          </w:p>
        </w:tc>
      </w:tr>
      <w:tr w14:paraId="63573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38AAA0E2">
            <w:pPr>
              <w:spacing w:before="154" w:line="228" w:lineRule="auto"/>
              <w:ind w:left="269"/>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096" w:type="dxa"/>
            <w:vAlign w:val="top"/>
          </w:tcPr>
          <w:p w14:paraId="32B8F14E">
            <w:pPr>
              <w:rPr>
                <w:rFonts w:ascii="Arial"/>
                <w:color w:val="auto"/>
                <w:sz w:val="21"/>
              </w:rPr>
            </w:pPr>
          </w:p>
        </w:tc>
      </w:tr>
      <w:tr w14:paraId="23B02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413" w:type="dxa"/>
            <w:vAlign w:val="top"/>
          </w:tcPr>
          <w:p w14:paraId="231A31CC">
            <w:pPr>
              <w:spacing w:line="448" w:lineRule="auto"/>
              <w:rPr>
                <w:rFonts w:ascii="Arial"/>
                <w:color w:val="auto"/>
                <w:sz w:val="21"/>
              </w:rPr>
            </w:pPr>
          </w:p>
          <w:p w14:paraId="0603A5D1">
            <w:pPr>
              <w:spacing w:before="65"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096" w:type="dxa"/>
            <w:vAlign w:val="top"/>
          </w:tcPr>
          <w:p w14:paraId="32C432C2">
            <w:pPr>
              <w:rPr>
                <w:rFonts w:ascii="Arial"/>
                <w:color w:val="auto"/>
                <w:sz w:val="21"/>
              </w:rPr>
            </w:pPr>
          </w:p>
        </w:tc>
      </w:tr>
      <w:tr w14:paraId="6DD3C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3977B59E">
            <w:pPr>
              <w:spacing w:before="210" w:line="230" w:lineRule="auto"/>
              <w:ind w:left="1006"/>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096" w:type="dxa"/>
            <w:vAlign w:val="top"/>
          </w:tcPr>
          <w:p w14:paraId="3CBADAA1">
            <w:pPr>
              <w:rPr>
                <w:rFonts w:ascii="Arial"/>
                <w:color w:val="auto"/>
                <w:sz w:val="21"/>
              </w:rPr>
            </w:pPr>
          </w:p>
        </w:tc>
      </w:tr>
    </w:tbl>
    <w:p w14:paraId="125B6119">
      <w:pPr>
        <w:spacing w:before="172" w:line="415" w:lineRule="auto"/>
        <w:ind w:left="2" w:right="1" w:hanging="2"/>
        <w:rPr>
          <w:rFonts w:ascii="宋体" w:hAnsi="宋体" w:eastAsia="宋体" w:cs="宋体"/>
          <w:color w:val="auto"/>
          <w:sz w:val="20"/>
          <w:szCs w:val="20"/>
        </w:rPr>
      </w:pPr>
      <w:r>
        <w:rPr>
          <w:rFonts w:ascii="宋体" w:hAnsi="宋体" w:eastAsia="宋体" w:cs="宋体"/>
          <w:color w:val="auto"/>
          <w:spacing w:val="24"/>
          <w:sz w:val="20"/>
          <w:szCs w:val="20"/>
        </w:rPr>
        <w:t>备注</w:t>
      </w:r>
      <w:r>
        <w:rPr>
          <w:rFonts w:ascii="宋体" w:hAnsi="宋体" w:eastAsia="宋体" w:cs="宋体"/>
          <w:color w:val="auto"/>
          <w:spacing w:val="14"/>
          <w:sz w:val="20"/>
          <w:szCs w:val="20"/>
        </w:rPr>
        <w:t>：</w:t>
      </w:r>
      <w:r>
        <w:rPr>
          <w:rFonts w:ascii="宋体" w:hAnsi="宋体" w:eastAsia="宋体" w:cs="宋体"/>
          <w:color w:val="auto"/>
          <w:spacing w:val="12"/>
          <w:sz w:val="20"/>
          <w:szCs w:val="20"/>
        </w:rPr>
        <w:t>本表后附中标通知书和 (或) 合同协议书复印件。每张表格只填写一个项目，并标明序</w:t>
      </w:r>
      <w:r>
        <w:rPr>
          <w:rFonts w:ascii="宋体" w:hAnsi="宋体" w:eastAsia="宋体" w:cs="宋体"/>
          <w:color w:val="auto"/>
          <w:sz w:val="20"/>
          <w:szCs w:val="20"/>
        </w:rPr>
        <w:t xml:space="preserve"> </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55629170">
      <w:pPr>
        <w:spacing w:line="253" w:lineRule="auto"/>
        <w:rPr>
          <w:rFonts w:ascii="Arial"/>
          <w:color w:val="auto"/>
          <w:sz w:val="21"/>
        </w:rPr>
      </w:pPr>
    </w:p>
    <w:p w14:paraId="163DCA86">
      <w:pPr>
        <w:spacing w:line="253" w:lineRule="auto"/>
        <w:rPr>
          <w:rFonts w:ascii="Arial"/>
          <w:color w:val="auto"/>
          <w:sz w:val="21"/>
        </w:rPr>
      </w:pPr>
    </w:p>
    <w:p w14:paraId="0F57A2DD">
      <w:pPr>
        <w:spacing w:line="253" w:lineRule="auto"/>
        <w:rPr>
          <w:rFonts w:ascii="Arial"/>
          <w:color w:val="auto"/>
          <w:sz w:val="21"/>
        </w:rPr>
      </w:pPr>
    </w:p>
    <w:p w14:paraId="09F7BD2D">
      <w:pPr>
        <w:spacing w:before="65" w:line="228" w:lineRule="auto"/>
        <w:ind w:left="7"/>
        <w:outlineLvl w:val="2"/>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五) 近年发生的诉讼及仲裁情况</w:t>
      </w:r>
    </w:p>
    <w:p w14:paraId="3B9512F2">
      <w:pPr>
        <w:spacing w:before="184" w:line="228" w:lineRule="auto"/>
        <w:rPr>
          <w:rFonts w:ascii="宋体" w:hAnsi="宋体" w:eastAsia="宋体" w:cs="宋体"/>
          <w:color w:val="auto"/>
          <w:sz w:val="20"/>
          <w:szCs w:val="20"/>
        </w:rPr>
      </w:pPr>
      <w:r>
        <w:rPr>
          <w:rFonts w:ascii="宋体" w:hAnsi="宋体" w:eastAsia="宋体" w:cs="宋体"/>
          <w:color w:val="auto"/>
          <w:spacing w:val="13"/>
          <w:sz w:val="20"/>
          <w:szCs w:val="20"/>
        </w:rPr>
        <w:t>说明：近年发生的诉讼和仲裁情况仅限于投标人败诉的，且与履行施工承包合同有关的案件</w:t>
      </w:r>
      <w:r>
        <w:rPr>
          <w:rFonts w:ascii="宋体" w:hAnsi="宋体" w:eastAsia="宋体" w:cs="宋体"/>
          <w:color w:val="auto"/>
          <w:spacing w:val="8"/>
          <w:sz w:val="20"/>
          <w:szCs w:val="20"/>
        </w:rPr>
        <w:t>，</w:t>
      </w:r>
    </w:p>
    <w:p w14:paraId="18550CC5">
      <w:pPr>
        <w:spacing w:before="194" w:line="228" w:lineRule="auto"/>
        <w:ind w:left="629"/>
        <w:rPr>
          <w:rFonts w:ascii="宋体" w:hAnsi="宋体" w:eastAsia="宋体" w:cs="宋体"/>
          <w:color w:val="auto"/>
          <w:sz w:val="20"/>
          <w:szCs w:val="20"/>
        </w:rPr>
      </w:pPr>
      <w:r>
        <w:rPr>
          <w:rFonts w:ascii="宋体" w:hAnsi="宋体" w:eastAsia="宋体" w:cs="宋体"/>
          <w:color w:val="auto"/>
          <w:spacing w:val="10"/>
          <w:sz w:val="20"/>
          <w:szCs w:val="20"/>
        </w:rPr>
        <w:t>不</w:t>
      </w:r>
      <w:r>
        <w:rPr>
          <w:rFonts w:ascii="宋体" w:hAnsi="宋体" w:eastAsia="宋体" w:cs="宋体"/>
          <w:color w:val="auto"/>
          <w:spacing w:val="9"/>
          <w:sz w:val="20"/>
          <w:szCs w:val="20"/>
        </w:rPr>
        <w:t>包括调解结案以及未裁决的仲裁或未终审判决的诉讼。</w:t>
      </w:r>
    </w:p>
    <w:p w14:paraId="6A0CC3BD">
      <w:pPr>
        <w:rPr>
          <w:color w:val="auto"/>
        </w:rPr>
        <w:sectPr>
          <w:footerReference r:id="rId24" w:type="default"/>
          <w:pgSz w:w="11906" w:h="16839"/>
          <w:pgMar w:top="400" w:right="1532" w:bottom="1156" w:left="1630" w:header="0" w:footer="996" w:gutter="0"/>
          <w:cols w:space="720" w:num="1"/>
        </w:sectPr>
      </w:pPr>
    </w:p>
    <w:p w14:paraId="192329BA">
      <w:pPr>
        <w:spacing w:line="293" w:lineRule="auto"/>
        <w:rPr>
          <w:rFonts w:ascii="Arial"/>
          <w:color w:val="auto"/>
          <w:sz w:val="21"/>
        </w:rPr>
      </w:pPr>
    </w:p>
    <w:p w14:paraId="0857730D">
      <w:pPr>
        <w:spacing w:line="293" w:lineRule="auto"/>
        <w:rPr>
          <w:rFonts w:ascii="Arial"/>
          <w:color w:val="auto"/>
          <w:sz w:val="21"/>
        </w:rPr>
      </w:pPr>
    </w:p>
    <w:p w14:paraId="28708D8C">
      <w:pPr>
        <w:spacing w:line="293" w:lineRule="auto"/>
        <w:rPr>
          <w:rFonts w:ascii="Arial"/>
          <w:color w:val="auto"/>
          <w:sz w:val="21"/>
        </w:rPr>
      </w:pPr>
    </w:p>
    <w:p w14:paraId="2475B0D5">
      <w:pPr>
        <w:spacing w:line="294" w:lineRule="auto"/>
        <w:rPr>
          <w:rFonts w:ascii="Arial"/>
          <w:color w:val="auto"/>
          <w:sz w:val="21"/>
        </w:rPr>
      </w:pPr>
    </w:p>
    <w:p w14:paraId="030770F8">
      <w:pPr>
        <w:spacing w:before="65" w:line="226" w:lineRule="auto"/>
        <w:ind w:left="3127"/>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5"/>
          <w:sz w:val="20"/>
          <w:szCs w:val="20"/>
        </w:rPr>
        <w:t>六) 企业其他信誉情况表</w:t>
      </w:r>
    </w:p>
    <w:p w14:paraId="5F3977B2">
      <w:pPr>
        <w:spacing w:line="250" w:lineRule="auto"/>
        <w:rPr>
          <w:rFonts w:ascii="Arial"/>
          <w:color w:val="auto"/>
          <w:sz w:val="21"/>
        </w:rPr>
      </w:pPr>
    </w:p>
    <w:p w14:paraId="3A30F478">
      <w:pPr>
        <w:spacing w:before="65" w:line="228" w:lineRule="auto"/>
        <w:ind w:left="2738"/>
        <w:rPr>
          <w:rFonts w:ascii="宋体" w:hAnsi="宋体" w:eastAsia="宋体" w:cs="宋体"/>
          <w:color w:val="auto"/>
          <w:sz w:val="20"/>
          <w:szCs w:val="20"/>
        </w:rPr>
      </w:pPr>
      <w:r>
        <w:rPr>
          <w:rFonts w:ascii="宋体" w:hAnsi="宋体" w:eastAsia="宋体" w:cs="宋体"/>
          <w:color w:val="auto"/>
          <w:spacing w:val="24"/>
          <w:sz w:val="20"/>
          <w:szCs w:val="20"/>
          <w14:textOutline w14:w="3795" w14:cap="sq" w14:cmpd="sng">
            <w14:solidFill>
              <w14:srgbClr w14:val="000000"/>
            </w14:solidFill>
            <w14:prstDash w14:val="solid"/>
            <w14:bevel/>
          </w14:textOutline>
        </w:rPr>
        <w:t>(</w:t>
      </w:r>
      <w:r>
        <w:rPr>
          <w:rFonts w:ascii="宋体" w:hAnsi="宋体" w:eastAsia="宋体" w:cs="宋体"/>
          <w:color w:val="auto"/>
          <w:spacing w:val="14"/>
          <w:sz w:val="20"/>
          <w:szCs w:val="20"/>
          <w14:textOutline w14:w="3795" w14:cap="sq" w14:cmpd="sng">
            <w14:solidFill>
              <w14:srgbClr w14:val="000000"/>
            </w14:solidFill>
            <w14:prstDash w14:val="solid"/>
            <w14:bevel/>
          </w14:textOutline>
        </w:rPr>
        <w:t>年份要求同诉讼及仲裁情况年份要求)</w:t>
      </w:r>
    </w:p>
    <w:p w14:paraId="7DF377BE">
      <w:pPr>
        <w:spacing w:line="267" w:lineRule="auto"/>
        <w:rPr>
          <w:rFonts w:ascii="Arial"/>
          <w:color w:val="auto"/>
          <w:sz w:val="21"/>
        </w:rPr>
      </w:pPr>
    </w:p>
    <w:p w14:paraId="4EB172E0">
      <w:pPr>
        <w:spacing w:line="267" w:lineRule="auto"/>
        <w:rPr>
          <w:rFonts w:ascii="Arial"/>
          <w:color w:val="auto"/>
          <w:sz w:val="21"/>
        </w:rPr>
      </w:pPr>
    </w:p>
    <w:p w14:paraId="507F55A1">
      <w:pPr>
        <w:spacing w:line="267" w:lineRule="auto"/>
        <w:rPr>
          <w:rFonts w:ascii="Arial"/>
          <w:color w:val="auto"/>
          <w:sz w:val="21"/>
        </w:rPr>
      </w:pPr>
    </w:p>
    <w:p w14:paraId="693F41E8">
      <w:pPr>
        <w:spacing w:before="65" w:line="228" w:lineRule="auto"/>
        <w:ind w:left="15"/>
        <w:rPr>
          <w:rFonts w:ascii="宋体" w:hAnsi="宋体" w:eastAsia="宋体" w:cs="宋体"/>
          <w:color w:val="auto"/>
          <w:sz w:val="20"/>
          <w:szCs w:val="20"/>
        </w:rPr>
      </w:pPr>
      <w:r>
        <w:rPr>
          <w:rFonts w:ascii="宋体" w:hAnsi="宋体" w:eastAsia="宋体" w:cs="宋体"/>
          <w:color w:val="auto"/>
          <w:spacing w:val="7"/>
          <w:sz w:val="20"/>
          <w:szCs w:val="20"/>
        </w:rPr>
        <w:t>1)   近年企业不良行为记录情况</w:t>
      </w:r>
    </w:p>
    <w:p w14:paraId="11234815">
      <w:pPr>
        <w:spacing w:line="282" w:lineRule="auto"/>
        <w:rPr>
          <w:rFonts w:ascii="Arial"/>
          <w:color w:val="auto"/>
          <w:sz w:val="21"/>
        </w:rPr>
      </w:pPr>
    </w:p>
    <w:p w14:paraId="0DA3AE60">
      <w:pPr>
        <w:spacing w:line="283" w:lineRule="auto"/>
        <w:rPr>
          <w:rFonts w:ascii="Arial"/>
          <w:color w:val="auto"/>
          <w:sz w:val="21"/>
        </w:rPr>
      </w:pPr>
    </w:p>
    <w:p w14:paraId="230D8D31">
      <w:pPr>
        <w:spacing w:before="65" w:line="228" w:lineRule="auto"/>
        <w:ind w:left="2"/>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1"/>
          <w:sz w:val="20"/>
          <w:szCs w:val="20"/>
        </w:rPr>
        <w:t>)</w:t>
      </w:r>
      <w:r>
        <w:rPr>
          <w:rFonts w:ascii="宋体" w:hAnsi="宋体" w:eastAsia="宋体" w:cs="宋体"/>
          <w:color w:val="auto"/>
          <w:spacing w:val="8"/>
          <w:sz w:val="20"/>
          <w:szCs w:val="20"/>
        </w:rPr>
        <w:t xml:space="preserve">   在施工程以及近年已竣工工程合同履行情况</w:t>
      </w:r>
    </w:p>
    <w:p w14:paraId="5A4C633A">
      <w:pPr>
        <w:spacing w:line="282" w:lineRule="auto"/>
        <w:rPr>
          <w:rFonts w:ascii="Arial"/>
          <w:color w:val="auto"/>
          <w:sz w:val="21"/>
        </w:rPr>
      </w:pPr>
    </w:p>
    <w:p w14:paraId="0AE7D35A">
      <w:pPr>
        <w:spacing w:line="283" w:lineRule="auto"/>
        <w:rPr>
          <w:rFonts w:ascii="Arial"/>
          <w:color w:val="auto"/>
          <w:sz w:val="21"/>
        </w:rPr>
      </w:pPr>
    </w:p>
    <w:p w14:paraId="30E0422B">
      <w:pPr>
        <w:spacing w:before="65" w:line="226" w:lineRule="auto"/>
        <w:ind w:left="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w:t>
      </w:r>
      <w:r>
        <w:rPr>
          <w:rFonts w:ascii="宋体" w:hAnsi="宋体" w:eastAsia="宋体" w:cs="宋体"/>
          <w:color w:val="auto"/>
          <w:spacing w:val="4"/>
          <w:sz w:val="20"/>
          <w:szCs w:val="20"/>
        </w:rPr>
        <w:t xml:space="preserve">   其  他</w:t>
      </w:r>
    </w:p>
    <w:p w14:paraId="169D9761">
      <w:pPr>
        <w:spacing w:line="282" w:lineRule="auto"/>
        <w:rPr>
          <w:rFonts w:ascii="Arial"/>
          <w:color w:val="auto"/>
          <w:sz w:val="21"/>
        </w:rPr>
      </w:pPr>
    </w:p>
    <w:p w14:paraId="5805DF0A">
      <w:pPr>
        <w:spacing w:line="283" w:lineRule="auto"/>
        <w:rPr>
          <w:rFonts w:ascii="Arial"/>
          <w:color w:val="auto"/>
          <w:sz w:val="21"/>
        </w:rPr>
      </w:pPr>
    </w:p>
    <w:p w14:paraId="118124CF">
      <w:pPr>
        <w:spacing w:before="65" w:line="406" w:lineRule="auto"/>
        <w:ind w:firstLine="2"/>
        <w:rPr>
          <w:rFonts w:ascii="宋体" w:hAnsi="宋体" w:eastAsia="宋体" w:cs="宋体"/>
          <w:color w:val="auto"/>
          <w:sz w:val="20"/>
          <w:szCs w:val="20"/>
        </w:rPr>
      </w:pPr>
      <w:r>
        <w:rPr>
          <w:rFonts w:ascii="宋体" w:hAnsi="宋体" w:eastAsia="宋体" w:cs="宋体"/>
          <w:color w:val="auto"/>
          <w:spacing w:val="20"/>
          <w:sz w:val="20"/>
          <w:szCs w:val="20"/>
        </w:rPr>
        <w:t>备注</w:t>
      </w:r>
      <w:r>
        <w:rPr>
          <w:rFonts w:ascii="宋体" w:hAnsi="宋体" w:eastAsia="宋体" w:cs="宋体"/>
          <w:color w:val="auto"/>
          <w:spacing w:val="11"/>
          <w:sz w:val="20"/>
          <w:szCs w:val="20"/>
        </w:rPr>
        <w:t>：</w:t>
      </w:r>
      <w:r>
        <w:rPr>
          <w:rFonts w:ascii="宋体" w:hAnsi="宋体" w:eastAsia="宋体" w:cs="宋体"/>
          <w:color w:val="auto"/>
          <w:spacing w:val="10"/>
          <w:sz w:val="20"/>
          <w:szCs w:val="20"/>
        </w:rPr>
        <w:t>1、企业不良行为记录情况主要是近年投标人在工程建设过程中因违反有关工程建设的法</w:t>
      </w:r>
      <w:r>
        <w:rPr>
          <w:rFonts w:ascii="宋体" w:hAnsi="宋体" w:eastAsia="宋体" w:cs="宋体"/>
          <w:color w:val="auto"/>
          <w:sz w:val="20"/>
          <w:szCs w:val="20"/>
        </w:rPr>
        <w:t xml:space="preserve"> </w:t>
      </w:r>
      <w:r>
        <w:rPr>
          <w:rFonts w:ascii="宋体" w:hAnsi="宋体" w:eastAsia="宋体" w:cs="宋体"/>
          <w:color w:val="auto"/>
          <w:spacing w:val="24"/>
          <w:sz w:val="20"/>
          <w:szCs w:val="20"/>
        </w:rPr>
        <w:t>律</w:t>
      </w:r>
      <w:r>
        <w:rPr>
          <w:rFonts w:ascii="宋体" w:hAnsi="宋体" w:eastAsia="宋体" w:cs="宋体"/>
          <w:color w:val="auto"/>
          <w:spacing w:val="13"/>
          <w:sz w:val="20"/>
          <w:szCs w:val="20"/>
        </w:rPr>
        <w:t>、法规、规章或强制性标准和执业行为规范，经县级以上建设行政主管部门或其委托的执法</w:t>
      </w:r>
      <w:r>
        <w:rPr>
          <w:rFonts w:ascii="宋体" w:hAnsi="宋体" w:eastAsia="宋体" w:cs="宋体"/>
          <w:color w:val="auto"/>
          <w:spacing w:val="36"/>
          <w:sz w:val="20"/>
          <w:szCs w:val="20"/>
        </w:rPr>
        <w:t>监</w:t>
      </w:r>
      <w:r>
        <w:rPr>
          <w:rFonts w:ascii="宋体" w:hAnsi="宋体" w:eastAsia="宋体" w:cs="宋体"/>
          <w:color w:val="auto"/>
          <w:spacing w:val="24"/>
          <w:sz w:val="20"/>
          <w:szCs w:val="20"/>
        </w:rPr>
        <w:t>督</w:t>
      </w:r>
      <w:r>
        <w:rPr>
          <w:rFonts w:ascii="宋体" w:hAnsi="宋体" w:eastAsia="宋体" w:cs="宋体"/>
          <w:color w:val="auto"/>
          <w:spacing w:val="18"/>
          <w:sz w:val="20"/>
          <w:szCs w:val="20"/>
        </w:rPr>
        <w:t>机构查实和行政处罚，形成的不良行为记录。应当结合第二章“投标人须知”前附表第</w:t>
      </w:r>
    </w:p>
    <w:p w14:paraId="1BD4B9C2">
      <w:pPr>
        <w:spacing w:line="225" w:lineRule="auto"/>
        <w:ind w:left="15"/>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3"/>
          <w:sz w:val="20"/>
          <w:szCs w:val="20"/>
        </w:rPr>
        <w:t>0</w:t>
      </w:r>
      <w:r>
        <w:rPr>
          <w:rFonts w:ascii="宋体" w:hAnsi="宋体" w:eastAsia="宋体" w:cs="宋体"/>
          <w:color w:val="auto"/>
          <w:spacing w:val="2"/>
          <w:sz w:val="20"/>
          <w:szCs w:val="20"/>
        </w:rPr>
        <w:t>.1.2 项定义的范围填写。</w:t>
      </w:r>
    </w:p>
    <w:p w14:paraId="4EC41ABB">
      <w:pPr>
        <w:tabs>
          <w:tab w:val="left" w:pos="110"/>
        </w:tabs>
        <w:spacing w:before="57" w:line="260" w:lineRule="auto"/>
        <w:ind w:right="1" w:firstLine="736"/>
        <w:rPr>
          <w:rFonts w:ascii="宋体" w:hAnsi="宋体" w:eastAsia="宋体" w:cs="宋体"/>
          <w:color w:val="auto"/>
          <w:sz w:val="20"/>
          <w:szCs w:val="20"/>
        </w:rPr>
      </w:pPr>
      <w:r>
        <w:rPr>
          <w:rFonts w:ascii="宋体" w:hAnsi="宋体" w:eastAsia="宋体" w:cs="宋体"/>
          <w:color w:val="auto"/>
          <w:spacing w:val="26"/>
          <w:sz w:val="20"/>
          <w:szCs w:val="20"/>
        </w:rPr>
        <w:t>2</w:t>
      </w:r>
      <w:r>
        <w:rPr>
          <w:rFonts w:ascii="宋体" w:hAnsi="宋体" w:eastAsia="宋体" w:cs="宋体"/>
          <w:color w:val="auto"/>
          <w:spacing w:val="13"/>
          <w:sz w:val="20"/>
          <w:szCs w:val="20"/>
        </w:rPr>
        <w:t>、合同履行情况主要是投标人近年所承接工程和已竣工工程是否按合同约定的工期、</w:t>
      </w:r>
      <w:r>
        <w:rPr>
          <w:rFonts w:ascii="宋体" w:hAnsi="宋体" w:eastAsia="宋体" w:cs="宋体"/>
          <w:color w:val="auto"/>
          <w:sz w:val="20"/>
          <w:szCs w:val="20"/>
        </w:rPr>
        <w:t xml:space="preserve"> </w:t>
      </w:r>
      <w:r>
        <w:rPr>
          <w:rFonts w:ascii="宋体" w:hAnsi="宋体" w:eastAsia="宋体" w:cs="宋体"/>
          <w:color w:val="auto"/>
          <w:spacing w:val="36"/>
          <w:sz w:val="20"/>
          <w:szCs w:val="20"/>
        </w:rPr>
        <w:t>质</w:t>
      </w:r>
      <w:r>
        <w:rPr>
          <w:rFonts w:ascii="宋体" w:hAnsi="宋体" w:eastAsia="宋体" w:cs="宋体"/>
          <w:color w:val="auto"/>
          <w:spacing w:val="23"/>
          <w:sz w:val="20"/>
          <w:szCs w:val="20"/>
        </w:rPr>
        <w:t>量</w:t>
      </w:r>
      <w:r>
        <w:rPr>
          <w:rFonts w:ascii="宋体" w:hAnsi="宋体" w:eastAsia="宋体" w:cs="宋体"/>
          <w:color w:val="auto"/>
          <w:spacing w:val="18"/>
          <w:sz w:val="20"/>
          <w:szCs w:val="20"/>
        </w:rPr>
        <w:t>、安全等履行合同义务，对未竣工工程合同履行情况还应重点说明非不可抗力解除合同</w:t>
      </w:r>
      <w:r>
        <w:rPr>
          <w:rFonts w:ascii="宋体" w:hAnsi="宋体" w:eastAsia="宋体" w:cs="宋体"/>
          <w:color w:val="auto"/>
          <w:spacing w:val="8"/>
          <w:sz w:val="20"/>
          <w:szCs w:val="20"/>
        </w:rPr>
        <w:t>(如果有)的原因等具体情况，等等。</w:t>
      </w:r>
    </w:p>
    <w:p w14:paraId="2D842A88">
      <w:pPr>
        <w:rPr>
          <w:color w:val="auto"/>
        </w:rPr>
        <w:sectPr>
          <w:footerReference r:id="rId25" w:type="default"/>
          <w:pgSz w:w="11906" w:h="16839"/>
          <w:pgMar w:top="400" w:right="1532" w:bottom="1156" w:left="1628" w:header="0" w:footer="996" w:gutter="0"/>
          <w:cols w:space="720" w:num="1"/>
        </w:sectPr>
      </w:pPr>
    </w:p>
    <w:p w14:paraId="2DB186CF">
      <w:pPr>
        <w:spacing w:line="254" w:lineRule="auto"/>
        <w:rPr>
          <w:rFonts w:ascii="Arial"/>
          <w:color w:val="auto"/>
          <w:sz w:val="21"/>
        </w:rPr>
      </w:pPr>
    </w:p>
    <w:p w14:paraId="0EF144B0">
      <w:pPr>
        <w:spacing w:line="254" w:lineRule="auto"/>
        <w:rPr>
          <w:rFonts w:ascii="Arial"/>
          <w:color w:val="auto"/>
          <w:sz w:val="21"/>
        </w:rPr>
      </w:pPr>
    </w:p>
    <w:p w14:paraId="06D08763">
      <w:pPr>
        <w:spacing w:line="255" w:lineRule="auto"/>
        <w:rPr>
          <w:rFonts w:ascii="Arial"/>
          <w:color w:val="auto"/>
          <w:sz w:val="21"/>
        </w:rPr>
      </w:pPr>
    </w:p>
    <w:p w14:paraId="6A5537B8">
      <w:pPr>
        <w:spacing w:line="255" w:lineRule="auto"/>
        <w:rPr>
          <w:rFonts w:ascii="Arial"/>
          <w:color w:val="auto"/>
          <w:sz w:val="21"/>
        </w:rPr>
      </w:pPr>
    </w:p>
    <w:p w14:paraId="0B6F38EC">
      <w:pPr>
        <w:spacing w:before="95" w:line="387" w:lineRule="exact"/>
        <w:ind w:left="2854"/>
        <w:rPr>
          <w:rFonts w:ascii="宋体" w:hAnsi="宋体" w:eastAsia="宋体" w:cs="宋体"/>
          <w:color w:val="auto"/>
          <w:sz w:val="29"/>
          <w:szCs w:val="29"/>
        </w:rPr>
      </w:pPr>
      <w:r>
        <w:rPr>
          <w:rFonts w:ascii="宋体" w:hAnsi="宋体" w:eastAsia="宋体" w:cs="宋体"/>
          <w:color w:val="auto"/>
          <w:spacing w:val="12"/>
          <w:position w:val="1"/>
          <w:sz w:val="29"/>
          <w:szCs w:val="29"/>
          <w14:textOutline w14:w="5448" w14:cap="sq" w14:cmpd="sng">
            <w14:solidFill>
              <w14:srgbClr w14:val="000000"/>
            </w14:solidFill>
            <w14:prstDash w14:val="solid"/>
            <w14:bevel/>
          </w14:textOutline>
        </w:rPr>
        <w:t>9</w:t>
      </w:r>
      <w:r>
        <w:rPr>
          <w:rFonts w:ascii="宋体" w:hAnsi="宋体" w:eastAsia="宋体" w:cs="宋体"/>
          <w:color w:val="auto"/>
          <w:spacing w:val="9"/>
          <w:position w:val="1"/>
          <w:sz w:val="29"/>
          <w:szCs w:val="29"/>
          <w14:textOutline w14:w="5448" w14:cap="sq" w14:cmpd="sng">
            <w14:solidFill>
              <w14:srgbClr w14:val="000000"/>
            </w14:solidFill>
            <w14:prstDash w14:val="solid"/>
            <w14:bevel/>
          </w14:textOutline>
        </w:rPr>
        <w:t>、工程投标廉政承诺书</w:t>
      </w:r>
    </w:p>
    <w:p w14:paraId="49515314">
      <w:pPr>
        <w:spacing w:line="262" w:lineRule="auto"/>
        <w:rPr>
          <w:rFonts w:ascii="Arial"/>
          <w:color w:val="auto"/>
          <w:sz w:val="21"/>
        </w:rPr>
      </w:pPr>
    </w:p>
    <w:p w14:paraId="0CD1C3FC">
      <w:pPr>
        <w:spacing w:line="262" w:lineRule="auto"/>
        <w:rPr>
          <w:rFonts w:ascii="Arial"/>
          <w:color w:val="auto"/>
          <w:sz w:val="21"/>
        </w:rPr>
      </w:pPr>
    </w:p>
    <w:p w14:paraId="30129A9B">
      <w:pPr>
        <w:spacing w:before="75" w:line="250" w:lineRule="auto"/>
        <w:ind w:left="3" w:right="113" w:firstLine="480"/>
        <w:rPr>
          <w:rFonts w:ascii="宋体" w:hAnsi="宋体" w:eastAsia="宋体" w:cs="宋体"/>
          <w:color w:val="auto"/>
          <w:sz w:val="23"/>
          <w:szCs w:val="23"/>
        </w:rPr>
      </w:pPr>
      <w:r>
        <w:rPr>
          <w:rFonts w:ascii="宋体" w:hAnsi="宋体" w:eastAsia="宋体" w:cs="宋体"/>
          <w:color w:val="auto"/>
          <w:spacing w:val="18"/>
          <w:sz w:val="23"/>
          <w:szCs w:val="23"/>
        </w:rPr>
        <w:t>为充</w:t>
      </w:r>
      <w:r>
        <w:rPr>
          <w:rFonts w:ascii="宋体" w:hAnsi="宋体" w:eastAsia="宋体" w:cs="宋体"/>
          <w:color w:val="auto"/>
          <w:spacing w:val="12"/>
          <w:sz w:val="23"/>
          <w:szCs w:val="23"/>
        </w:rPr>
        <w:t>分</w:t>
      </w:r>
      <w:r>
        <w:rPr>
          <w:rFonts w:ascii="宋体" w:hAnsi="宋体" w:eastAsia="宋体" w:cs="宋体"/>
          <w:color w:val="auto"/>
          <w:spacing w:val="9"/>
          <w:sz w:val="23"/>
          <w:szCs w:val="23"/>
        </w:rPr>
        <w:t>体现公开、公平、公正诚实信用原则，共同维护招投标市场秩序，确保</w:t>
      </w:r>
      <w:r>
        <w:rPr>
          <w:rFonts w:ascii="宋体" w:hAnsi="宋体" w:eastAsia="宋体" w:cs="宋体"/>
          <w:color w:val="auto"/>
          <w:sz w:val="23"/>
          <w:szCs w:val="23"/>
        </w:rPr>
        <w:t xml:space="preserve"> </w:t>
      </w:r>
      <w:r>
        <w:rPr>
          <w:rFonts w:ascii="宋体" w:hAnsi="宋体" w:eastAsia="宋体" w:cs="宋体"/>
          <w:color w:val="auto"/>
          <w:spacing w:val="6"/>
          <w:sz w:val="23"/>
          <w:szCs w:val="23"/>
        </w:rPr>
        <w:t xml:space="preserve">企业在招投标活动中无任何违规、违纪行为，主动接受社会各界监督。  (企业) </w:t>
      </w:r>
      <w:r>
        <w:rPr>
          <w:rFonts w:ascii="宋体" w:hAnsi="宋体" w:eastAsia="宋体" w:cs="宋体"/>
          <w:color w:val="auto"/>
          <w:spacing w:val="5"/>
          <w:sz w:val="23"/>
          <w:szCs w:val="23"/>
        </w:rPr>
        <w:t>就</w:t>
      </w:r>
      <w:r>
        <w:rPr>
          <w:rFonts w:ascii="宋体" w:hAnsi="宋体" w:eastAsia="宋体" w:cs="宋体"/>
          <w:color w:val="auto"/>
          <w:sz w:val="23"/>
          <w:szCs w:val="23"/>
        </w:rPr>
        <w:t xml:space="preserve"> </w:t>
      </w:r>
      <w:r>
        <w:rPr>
          <w:rFonts w:ascii="宋体" w:hAnsi="宋体" w:eastAsia="宋体" w:cs="宋体"/>
          <w:color w:val="auto"/>
          <w:spacing w:val="12"/>
          <w:sz w:val="23"/>
          <w:szCs w:val="23"/>
        </w:rPr>
        <w:t>参</w:t>
      </w:r>
      <w:r>
        <w:rPr>
          <w:rFonts w:ascii="宋体" w:hAnsi="宋体" w:eastAsia="宋体" w:cs="宋体"/>
          <w:color w:val="auto"/>
          <w:spacing w:val="11"/>
          <w:sz w:val="23"/>
          <w:szCs w:val="23"/>
        </w:rPr>
        <w:t>与</w:t>
      </w:r>
      <w:r>
        <w:rPr>
          <w:rFonts w:ascii="宋体" w:hAnsi="宋体" w:eastAsia="宋体" w:cs="宋体"/>
          <w:color w:val="auto"/>
          <w:spacing w:val="6"/>
          <w:sz w:val="23"/>
          <w:szCs w:val="23"/>
        </w:rPr>
        <w:t>招投标过程中，作出以下廉政承诺，如若违反，甘受相应处罚， 自愿承担法律</w:t>
      </w:r>
      <w:r>
        <w:rPr>
          <w:rFonts w:ascii="宋体" w:hAnsi="宋体" w:eastAsia="宋体" w:cs="宋体"/>
          <w:color w:val="auto"/>
          <w:sz w:val="23"/>
          <w:szCs w:val="23"/>
        </w:rPr>
        <w:t xml:space="preserve"> </w:t>
      </w:r>
      <w:r>
        <w:rPr>
          <w:rFonts w:ascii="宋体" w:hAnsi="宋体" w:eastAsia="宋体" w:cs="宋体"/>
          <w:color w:val="auto"/>
          <w:spacing w:val="3"/>
          <w:sz w:val="23"/>
          <w:szCs w:val="23"/>
        </w:rPr>
        <w:t>责任</w:t>
      </w:r>
      <w:r>
        <w:rPr>
          <w:rFonts w:ascii="宋体" w:hAnsi="宋体" w:eastAsia="宋体" w:cs="宋体"/>
          <w:color w:val="auto"/>
          <w:spacing w:val="2"/>
          <w:sz w:val="23"/>
          <w:szCs w:val="23"/>
        </w:rPr>
        <w:t>。</w:t>
      </w:r>
    </w:p>
    <w:p w14:paraId="0C763193">
      <w:pPr>
        <w:spacing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不以不正当手段向招标人谋取资格预审及投标的不正当照顾。</w:t>
      </w:r>
    </w:p>
    <w:p w14:paraId="09E9C568">
      <w:pPr>
        <w:spacing w:before="2" w:line="237" w:lineRule="auto"/>
        <w:ind w:left="2" w:right="233" w:firstLine="1"/>
        <w:rPr>
          <w:rFonts w:ascii="宋体" w:hAnsi="宋体" w:eastAsia="宋体" w:cs="宋体"/>
          <w:color w:val="auto"/>
          <w:sz w:val="23"/>
          <w:szCs w:val="23"/>
        </w:rPr>
      </w:pPr>
      <w:r>
        <w:rPr>
          <w:rFonts w:ascii="宋体" w:hAnsi="宋体" w:eastAsia="宋体" w:cs="宋体"/>
          <w:color w:val="auto"/>
          <w:spacing w:val="18"/>
          <w:sz w:val="23"/>
          <w:szCs w:val="23"/>
        </w:rPr>
        <w:t>2、</w:t>
      </w:r>
      <w:r>
        <w:rPr>
          <w:rFonts w:ascii="宋体" w:hAnsi="宋体" w:eastAsia="宋体" w:cs="宋体"/>
          <w:color w:val="auto"/>
          <w:spacing w:val="9"/>
          <w:sz w:val="23"/>
          <w:szCs w:val="23"/>
        </w:rPr>
        <w:t>不以提供不正当利益等方式，向标底编制、审查人员打听标底编制情况，向招</w:t>
      </w:r>
      <w:r>
        <w:rPr>
          <w:rFonts w:ascii="宋体" w:hAnsi="宋体" w:eastAsia="宋体" w:cs="宋体"/>
          <w:color w:val="auto"/>
          <w:sz w:val="23"/>
          <w:szCs w:val="23"/>
        </w:rPr>
        <w:t xml:space="preserve"> </w:t>
      </w:r>
      <w:r>
        <w:rPr>
          <w:rFonts w:ascii="宋体" w:hAnsi="宋体" w:eastAsia="宋体" w:cs="宋体"/>
          <w:color w:val="auto"/>
          <w:spacing w:val="13"/>
          <w:sz w:val="23"/>
          <w:szCs w:val="23"/>
        </w:rPr>
        <w:t>标</w:t>
      </w:r>
      <w:r>
        <w:rPr>
          <w:rFonts w:ascii="宋体" w:hAnsi="宋体" w:eastAsia="宋体" w:cs="宋体"/>
          <w:color w:val="auto"/>
          <w:spacing w:val="8"/>
          <w:sz w:val="23"/>
          <w:szCs w:val="23"/>
        </w:rPr>
        <w:t>代理单位谋求不正当利益。</w:t>
      </w:r>
    </w:p>
    <w:p w14:paraId="622985AB">
      <w:pPr>
        <w:spacing w:before="30" w:line="237" w:lineRule="auto"/>
        <w:ind w:left="2" w:right="233" w:firstLine="3"/>
        <w:rPr>
          <w:rFonts w:ascii="宋体" w:hAnsi="宋体" w:eastAsia="宋体" w:cs="宋体"/>
          <w:color w:val="auto"/>
          <w:sz w:val="23"/>
          <w:szCs w:val="23"/>
        </w:rPr>
      </w:pPr>
      <w:r>
        <w:rPr>
          <w:rFonts w:ascii="宋体" w:hAnsi="宋体" w:eastAsia="宋体" w:cs="宋体"/>
          <w:color w:val="auto"/>
          <w:spacing w:val="18"/>
          <w:sz w:val="23"/>
          <w:szCs w:val="23"/>
        </w:rPr>
        <w:t>3</w:t>
      </w:r>
      <w:r>
        <w:rPr>
          <w:rFonts w:ascii="宋体" w:hAnsi="宋体" w:eastAsia="宋体" w:cs="宋体"/>
          <w:color w:val="auto"/>
          <w:spacing w:val="16"/>
          <w:sz w:val="23"/>
          <w:szCs w:val="23"/>
        </w:rPr>
        <w:t>、</w:t>
      </w:r>
      <w:r>
        <w:rPr>
          <w:rFonts w:ascii="宋体" w:hAnsi="宋体" w:eastAsia="宋体" w:cs="宋体"/>
          <w:color w:val="auto"/>
          <w:spacing w:val="9"/>
          <w:sz w:val="23"/>
          <w:szCs w:val="23"/>
        </w:rPr>
        <w:t>在确定中标人前，不向评标专家打招呼谋求照顾，不与招标人就投标价格、投</w:t>
      </w:r>
      <w:r>
        <w:rPr>
          <w:rFonts w:ascii="宋体" w:hAnsi="宋体" w:eastAsia="宋体" w:cs="宋体"/>
          <w:color w:val="auto"/>
          <w:sz w:val="23"/>
          <w:szCs w:val="23"/>
        </w:rPr>
        <w:t xml:space="preserve"> </w:t>
      </w:r>
      <w:r>
        <w:rPr>
          <w:rFonts w:ascii="宋体" w:hAnsi="宋体" w:eastAsia="宋体" w:cs="宋体"/>
          <w:color w:val="auto"/>
          <w:spacing w:val="15"/>
          <w:sz w:val="23"/>
          <w:szCs w:val="23"/>
        </w:rPr>
        <w:t>标</w:t>
      </w:r>
      <w:r>
        <w:rPr>
          <w:rFonts w:ascii="宋体" w:hAnsi="宋体" w:eastAsia="宋体" w:cs="宋体"/>
          <w:color w:val="auto"/>
          <w:spacing w:val="8"/>
          <w:sz w:val="23"/>
          <w:szCs w:val="23"/>
        </w:rPr>
        <w:t>方案等实质性内容进行磋商。</w:t>
      </w:r>
    </w:p>
    <w:p w14:paraId="6C0249C2">
      <w:pPr>
        <w:spacing w:before="28"/>
        <w:ind w:right="233"/>
        <w:rPr>
          <w:rFonts w:ascii="宋体" w:hAnsi="宋体" w:eastAsia="宋体" w:cs="宋体"/>
          <w:color w:val="auto"/>
          <w:sz w:val="23"/>
          <w:szCs w:val="23"/>
        </w:rPr>
      </w:pPr>
      <w:r>
        <w:rPr>
          <w:rFonts w:ascii="宋体" w:hAnsi="宋体" w:eastAsia="宋体" w:cs="宋体"/>
          <w:color w:val="auto"/>
          <w:spacing w:val="18"/>
          <w:sz w:val="23"/>
          <w:szCs w:val="23"/>
        </w:rPr>
        <w:t>4、</w:t>
      </w:r>
      <w:r>
        <w:rPr>
          <w:rFonts w:ascii="宋体" w:hAnsi="宋体" w:eastAsia="宋体" w:cs="宋体"/>
          <w:color w:val="auto"/>
          <w:spacing w:val="13"/>
          <w:sz w:val="23"/>
          <w:szCs w:val="23"/>
        </w:rPr>
        <w:t>不</w:t>
      </w:r>
      <w:r>
        <w:rPr>
          <w:rFonts w:ascii="宋体" w:hAnsi="宋体" w:eastAsia="宋体" w:cs="宋体"/>
          <w:color w:val="auto"/>
          <w:spacing w:val="9"/>
          <w:sz w:val="23"/>
          <w:szCs w:val="23"/>
        </w:rPr>
        <w:t>提供虚假材料谋取中标成交。在资格预审资料中，主动提供近二年信用档案</w:t>
      </w:r>
      <w:r>
        <w:rPr>
          <w:rFonts w:ascii="宋体" w:hAnsi="宋体" w:eastAsia="宋体" w:cs="宋体"/>
          <w:color w:val="auto"/>
          <w:spacing w:val="13"/>
          <w:sz w:val="23"/>
          <w:szCs w:val="23"/>
        </w:rPr>
        <w:t>情</w:t>
      </w:r>
      <w:r>
        <w:rPr>
          <w:rFonts w:ascii="宋体" w:hAnsi="宋体" w:eastAsia="宋体" w:cs="宋体"/>
          <w:color w:val="auto"/>
          <w:spacing w:val="9"/>
          <w:sz w:val="23"/>
          <w:szCs w:val="23"/>
        </w:rPr>
        <w:t>况，包括有无不良行为记录和公示期限的证明。</w:t>
      </w:r>
    </w:p>
    <w:p w14:paraId="2425A7DB">
      <w:pPr>
        <w:spacing w:before="26" w:line="239" w:lineRule="auto"/>
        <w:ind w:left="14" w:right="473" w:hanging="8"/>
        <w:rPr>
          <w:rFonts w:ascii="宋体" w:hAnsi="宋体" w:eastAsia="宋体" w:cs="宋体"/>
          <w:color w:val="auto"/>
          <w:sz w:val="23"/>
          <w:szCs w:val="23"/>
        </w:rPr>
      </w:pPr>
      <w:r>
        <w:rPr>
          <w:rFonts w:ascii="宋体" w:hAnsi="宋体" w:eastAsia="宋体" w:cs="宋体"/>
          <w:color w:val="auto"/>
          <w:spacing w:val="18"/>
          <w:sz w:val="23"/>
          <w:szCs w:val="23"/>
        </w:rPr>
        <w:t>5</w:t>
      </w:r>
      <w:r>
        <w:rPr>
          <w:rFonts w:ascii="宋体" w:hAnsi="宋体" w:eastAsia="宋体" w:cs="宋体"/>
          <w:color w:val="auto"/>
          <w:spacing w:val="15"/>
          <w:sz w:val="23"/>
          <w:szCs w:val="23"/>
        </w:rPr>
        <w:t>、</w:t>
      </w:r>
      <w:r>
        <w:rPr>
          <w:rFonts w:ascii="宋体" w:hAnsi="宋体" w:eastAsia="宋体" w:cs="宋体"/>
          <w:color w:val="auto"/>
          <w:spacing w:val="9"/>
          <w:sz w:val="23"/>
          <w:szCs w:val="23"/>
        </w:rPr>
        <w:t>不与投标人之间相互串标，如有其他人出现上述情况，主动向地区招标办反</w:t>
      </w:r>
      <w:r>
        <w:rPr>
          <w:rFonts w:ascii="宋体" w:hAnsi="宋体" w:eastAsia="宋体" w:cs="宋体"/>
          <w:color w:val="auto"/>
          <w:spacing w:val="-7"/>
          <w:sz w:val="23"/>
          <w:szCs w:val="23"/>
        </w:rPr>
        <w:t>映</w:t>
      </w:r>
      <w:r>
        <w:rPr>
          <w:rFonts w:ascii="宋体" w:hAnsi="宋体" w:eastAsia="宋体" w:cs="宋体"/>
          <w:color w:val="auto"/>
          <w:spacing w:val="-6"/>
          <w:sz w:val="23"/>
          <w:szCs w:val="23"/>
        </w:rPr>
        <w:t>。</w:t>
      </w:r>
    </w:p>
    <w:p w14:paraId="25BFE8AB">
      <w:pPr>
        <w:spacing w:before="27" w:line="310" w:lineRule="exact"/>
        <w:ind w:left="3"/>
        <w:rPr>
          <w:rFonts w:ascii="宋体" w:hAnsi="宋体" w:eastAsia="宋体" w:cs="宋体"/>
          <w:color w:val="auto"/>
          <w:sz w:val="23"/>
          <w:szCs w:val="23"/>
        </w:rPr>
      </w:pPr>
      <w:r>
        <w:rPr>
          <w:rFonts w:ascii="宋体" w:hAnsi="宋体" w:eastAsia="宋体" w:cs="宋体"/>
          <w:color w:val="auto"/>
          <w:spacing w:val="16"/>
          <w:position w:val="1"/>
          <w:sz w:val="23"/>
          <w:szCs w:val="23"/>
        </w:rPr>
        <w:t>6</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不采用不正当手段诋毁、排挤其他投标人。</w:t>
      </w:r>
    </w:p>
    <w:p w14:paraId="045B29BB">
      <w:pPr>
        <w:spacing w:before="2" w:line="310" w:lineRule="exact"/>
        <w:ind w:left="7"/>
        <w:rPr>
          <w:rFonts w:ascii="宋体" w:hAnsi="宋体" w:eastAsia="宋体" w:cs="宋体"/>
          <w:color w:val="auto"/>
          <w:sz w:val="23"/>
          <w:szCs w:val="23"/>
        </w:rPr>
      </w:pPr>
      <w:r>
        <w:rPr>
          <w:rFonts w:ascii="宋体" w:hAnsi="宋体" w:eastAsia="宋体" w:cs="宋体"/>
          <w:color w:val="auto"/>
          <w:spacing w:val="16"/>
          <w:position w:val="1"/>
          <w:sz w:val="23"/>
          <w:szCs w:val="23"/>
        </w:rPr>
        <w:t>7</w:t>
      </w:r>
      <w:r>
        <w:rPr>
          <w:rFonts w:ascii="宋体" w:hAnsi="宋体" w:eastAsia="宋体" w:cs="宋体"/>
          <w:color w:val="auto"/>
          <w:spacing w:val="13"/>
          <w:position w:val="1"/>
          <w:sz w:val="23"/>
          <w:szCs w:val="23"/>
        </w:rPr>
        <w:t>、</w:t>
      </w:r>
      <w:r>
        <w:rPr>
          <w:rFonts w:ascii="宋体" w:hAnsi="宋体" w:eastAsia="宋体" w:cs="宋体"/>
          <w:color w:val="auto"/>
          <w:spacing w:val="8"/>
          <w:position w:val="1"/>
          <w:sz w:val="23"/>
          <w:szCs w:val="23"/>
        </w:rPr>
        <w:t>不以他人名义投标或者以其它方式骗取中标。</w:t>
      </w:r>
    </w:p>
    <w:p w14:paraId="58A5B9CA">
      <w:pPr>
        <w:spacing w:before="2" w:line="310" w:lineRule="exact"/>
        <w:ind w:left="2"/>
        <w:rPr>
          <w:rFonts w:ascii="宋体" w:hAnsi="宋体" w:eastAsia="宋体" w:cs="宋体"/>
          <w:color w:val="auto"/>
          <w:sz w:val="23"/>
          <w:szCs w:val="23"/>
        </w:rPr>
      </w:pPr>
      <w:r>
        <w:rPr>
          <w:rFonts w:ascii="宋体" w:hAnsi="宋体" w:eastAsia="宋体" w:cs="宋体"/>
          <w:color w:val="auto"/>
          <w:spacing w:val="16"/>
          <w:position w:val="1"/>
          <w:sz w:val="23"/>
          <w:szCs w:val="23"/>
        </w:rPr>
        <w:t>8</w:t>
      </w:r>
      <w:r>
        <w:rPr>
          <w:rFonts w:ascii="宋体" w:hAnsi="宋体" w:eastAsia="宋体" w:cs="宋体"/>
          <w:color w:val="auto"/>
          <w:spacing w:val="9"/>
          <w:position w:val="1"/>
          <w:sz w:val="23"/>
          <w:szCs w:val="23"/>
        </w:rPr>
        <w:t>、中标后，不将中标项目转让他人，或将中标项目肢解后分别转让他人。</w:t>
      </w:r>
    </w:p>
    <w:p w14:paraId="5CD72DC9">
      <w:pPr>
        <w:spacing w:before="1" w:line="237" w:lineRule="auto"/>
        <w:ind w:left="3" w:right="233" w:hanging="1"/>
        <w:rPr>
          <w:rFonts w:ascii="宋体" w:hAnsi="宋体" w:eastAsia="宋体" w:cs="宋体"/>
          <w:color w:val="auto"/>
          <w:sz w:val="23"/>
          <w:szCs w:val="23"/>
        </w:rPr>
      </w:pPr>
      <w:r>
        <w:rPr>
          <w:rFonts w:ascii="宋体" w:hAnsi="宋体" w:eastAsia="宋体" w:cs="宋体"/>
          <w:color w:val="auto"/>
          <w:spacing w:val="18"/>
          <w:sz w:val="23"/>
          <w:szCs w:val="23"/>
        </w:rPr>
        <w:t>9、</w:t>
      </w:r>
      <w:r>
        <w:rPr>
          <w:rFonts w:ascii="宋体" w:hAnsi="宋体" w:eastAsia="宋体" w:cs="宋体"/>
          <w:color w:val="auto"/>
          <w:spacing w:val="11"/>
          <w:sz w:val="23"/>
          <w:szCs w:val="23"/>
        </w:rPr>
        <w:t>中</w:t>
      </w:r>
      <w:r>
        <w:rPr>
          <w:rFonts w:ascii="宋体" w:hAnsi="宋体" w:eastAsia="宋体" w:cs="宋体"/>
          <w:color w:val="auto"/>
          <w:spacing w:val="9"/>
          <w:sz w:val="23"/>
          <w:szCs w:val="23"/>
        </w:rPr>
        <w:t>标后，与招标人按照竞争性磋商文件和中标人的磋商响应文件订立合同，不</w:t>
      </w:r>
      <w:r>
        <w:rPr>
          <w:rFonts w:ascii="宋体" w:hAnsi="宋体" w:eastAsia="宋体" w:cs="宋体"/>
          <w:color w:val="auto"/>
          <w:sz w:val="23"/>
          <w:szCs w:val="23"/>
        </w:rPr>
        <w:t xml:space="preserve"> </w:t>
      </w:r>
      <w:r>
        <w:rPr>
          <w:rFonts w:ascii="宋体" w:hAnsi="宋体" w:eastAsia="宋体" w:cs="宋体"/>
          <w:color w:val="auto"/>
          <w:spacing w:val="15"/>
          <w:sz w:val="23"/>
          <w:szCs w:val="23"/>
        </w:rPr>
        <w:t>订</w:t>
      </w:r>
      <w:r>
        <w:rPr>
          <w:rFonts w:ascii="宋体" w:hAnsi="宋体" w:eastAsia="宋体" w:cs="宋体"/>
          <w:color w:val="auto"/>
          <w:spacing w:val="8"/>
          <w:sz w:val="23"/>
          <w:szCs w:val="23"/>
        </w:rPr>
        <w:t>立背离合同实质性内容的协议。</w:t>
      </w:r>
    </w:p>
    <w:p w14:paraId="3B274EF1">
      <w:pPr>
        <w:spacing w:before="30"/>
        <w:ind w:left="5" w:right="113" w:firstLine="13"/>
        <w:rPr>
          <w:rFonts w:ascii="宋体" w:hAnsi="宋体" w:eastAsia="宋体" w:cs="宋体"/>
          <w:color w:val="auto"/>
          <w:sz w:val="23"/>
          <w:szCs w:val="23"/>
        </w:rPr>
      </w:pPr>
      <w:r>
        <w:rPr>
          <w:rFonts w:ascii="宋体" w:hAnsi="宋体" w:eastAsia="宋体" w:cs="宋体"/>
          <w:color w:val="auto"/>
          <w:spacing w:val="9"/>
          <w:sz w:val="23"/>
          <w:szCs w:val="23"/>
        </w:rPr>
        <w:t>10、不以任何名义向参与招标、评标工作的有关人员、建设单位及其工作人员馈</w:t>
      </w:r>
      <w:r>
        <w:rPr>
          <w:rFonts w:ascii="宋体" w:hAnsi="宋体" w:eastAsia="宋体" w:cs="宋体"/>
          <w:color w:val="auto"/>
          <w:spacing w:val="8"/>
          <w:sz w:val="23"/>
          <w:szCs w:val="23"/>
        </w:rPr>
        <w:t>赠</w:t>
      </w:r>
      <w:r>
        <w:rPr>
          <w:rFonts w:ascii="宋体" w:hAnsi="宋体" w:eastAsia="宋体" w:cs="宋体"/>
          <w:color w:val="auto"/>
          <w:sz w:val="23"/>
          <w:szCs w:val="23"/>
        </w:rPr>
        <w:t xml:space="preserve"> </w:t>
      </w:r>
      <w:r>
        <w:rPr>
          <w:rFonts w:ascii="宋体" w:hAnsi="宋体" w:eastAsia="宋体" w:cs="宋体"/>
          <w:color w:val="auto"/>
          <w:spacing w:val="10"/>
          <w:sz w:val="23"/>
          <w:szCs w:val="23"/>
        </w:rPr>
        <w:t>礼</w:t>
      </w:r>
      <w:r>
        <w:rPr>
          <w:rFonts w:ascii="宋体" w:hAnsi="宋体" w:eastAsia="宋体" w:cs="宋体"/>
          <w:color w:val="auto"/>
          <w:spacing w:val="8"/>
          <w:sz w:val="23"/>
          <w:szCs w:val="23"/>
        </w:rPr>
        <w:t>金、有价证券、贵重物品。</w:t>
      </w:r>
    </w:p>
    <w:p w14:paraId="72269B5C">
      <w:pPr>
        <w:spacing w:before="26" w:line="242" w:lineRule="auto"/>
        <w:ind w:right="113" w:firstLine="18"/>
        <w:rPr>
          <w:rFonts w:ascii="宋体" w:hAnsi="宋体" w:eastAsia="宋体" w:cs="宋体"/>
          <w:color w:val="auto"/>
          <w:sz w:val="23"/>
          <w:szCs w:val="23"/>
        </w:rPr>
      </w:pPr>
      <w:r>
        <w:rPr>
          <w:rFonts w:ascii="宋体" w:hAnsi="宋体" w:eastAsia="宋体" w:cs="宋体"/>
          <w:color w:val="auto"/>
          <w:spacing w:val="9"/>
          <w:sz w:val="23"/>
          <w:szCs w:val="23"/>
        </w:rPr>
        <w:t>11、建立健全各项廉政制度，积极开展廉政教育，在建设工程施工场地设立廉政</w:t>
      </w:r>
      <w:r>
        <w:rPr>
          <w:rFonts w:ascii="宋体" w:hAnsi="宋体" w:eastAsia="宋体" w:cs="宋体"/>
          <w:color w:val="auto"/>
          <w:spacing w:val="8"/>
          <w:sz w:val="23"/>
          <w:szCs w:val="23"/>
        </w:rPr>
        <w:t>公</w:t>
      </w:r>
      <w:r>
        <w:rPr>
          <w:rFonts w:ascii="宋体" w:hAnsi="宋体" w:eastAsia="宋体" w:cs="宋体"/>
          <w:color w:val="auto"/>
          <w:spacing w:val="18"/>
          <w:sz w:val="23"/>
          <w:szCs w:val="23"/>
        </w:rPr>
        <w:t>示牌，</w:t>
      </w:r>
      <w:r>
        <w:rPr>
          <w:rFonts w:ascii="宋体" w:hAnsi="宋体" w:eastAsia="宋体" w:cs="宋体"/>
          <w:color w:val="auto"/>
          <w:spacing w:val="9"/>
          <w:sz w:val="23"/>
          <w:szCs w:val="23"/>
        </w:rPr>
        <w:t>公示内容包括廉政责任人、廉政保证有关条款及廉政标语、廉政监督单位、</w:t>
      </w:r>
      <w:r>
        <w:rPr>
          <w:rFonts w:ascii="宋体" w:hAnsi="宋体" w:eastAsia="宋体" w:cs="宋体"/>
          <w:color w:val="auto"/>
          <w:spacing w:val="12"/>
          <w:sz w:val="23"/>
          <w:szCs w:val="23"/>
        </w:rPr>
        <w:t>廉</w:t>
      </w:r>
      <w:r>
        <w:rPr>
          <w:rFonts w:ascii="宋体" w:hAnsi="宋体" w:eastAsia="宋体" w:cs="宋体"/>
          <w:color w:val="auto"/>
          <w:spacing w:val="7"/>
          <w:sz w:val="23"/>
          <w:szCs w:val="23"/>
        </w:rPr>
        <w:t>政举报电话等。</w:t>
      </w:r>
    </w:p>
    <w:p w14:paraId="6118D844">
      <w:pPr>
        <w:spacing w:before="29"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0"/>
          <w:position w:val="1"/>
          <w:sz w:val="23"/>
          <w:szCs w:val="23"/>
        </w:rPr>
        <w:t>2</w:t>
      </w:r>
      <w:r>
        <w:rPr>
          <w:rFonts w:ascii="宋体" w:hAnsi="宋体" w:eastAsia="宋体" w:cs="宋体"/>
          <w:color w:val="auto"/>
          <w:spacing w:val="8"/>
          <w:position w:val="1"/>
          <w:sz w:val="23"/>
          <w:szCs w:val="23"/>
        </w:rPr>
        <w:t>、主动接受、配合阿勒泰地区住房和城乡建设局的监督检查。</w:t>
      </w:r>
    </w:p>
    <w:p w14:paraId="0A4C4A6F">
      <w:pPr>
        <w:spacing w:line="278" w:lineRule="auto"/>
        <w:rPr>
          <w:rFonts w:ascii="Arial"/>
          <w:color w:val="auto"/>
          <w:sz w:val="21"/>
        </w:rPr>
      </w:pPr>
    </w:p>
    <w:p w14:paraId="6C111910">
      <w:pPr>
        <w:spacing w:line="278" w:lineRule="auto"/>
        <w:rPr>
          <w:rFonts w:ascii="Arial"/>
          <w:color w:val="auto"/>
          <w:sz w:val="21"/>
        </w:rPr>
      </w:pPr>
    </w:p>
    <w:p w14:paraId="327182CC">
      <w:pPr>
        <w:spacing w:line="278" w:lineRule="auto"/>
        <w:rPr>
          <w:rFonts w:ascii="Arial"/>
          <w:color w:val="auto"/>
          <w:sz w:val="21"/>
        </w:rPr>
      </w:pPr>
    </w:p>
    <w:p w14:paraId="6CFB7DF9">
      <w:pPr>
        <w:spacing w:line="279" w:lineRule="auto"/>
        <w:rPr>
          <w:rFonts w:ascii="Arial"/>
          <w:color w:val="auto"/>
          <w:sz w:val="21"/>
        </w:rPr>
      </w:pPr>
    </w:p>
    <w:p w14:paraId="42041B1A">
      <w:pPr>
        <w:spacing w:line="279" w:lineRule="auto"/>
        <w:rPr>
          <w:rFonts w:ascii="Arial"/>
          <w:color w:val="auto"/>
          <w:sz w:val="21"/>
        </w:rPr>
      </w:pPr>
    </w:p>
    <w:p w14:paraId="536A70BF">
      <w:pPr>
        <w:spacing w:before="75" w:line="500" w:lineRule="auto"/>
        <w:ind w:left="6001" w:right="614"/>
        <w:rPr>
          <w:color w:val="auto"/>
        </w:rPr>
        <w:sectPr>
          <w:footerReference r:id="rId26" w:type="default"/>
          <w:pgSz w:w="11906" w:h="16839"/>
          <w:pgMar w:top="400" w:right="1532" w:bottom="1156" w:left="1627" w:header="0" w:footer="996" w:gutter="0"/>
          <w:cols w:space="720" w:num="1"/>
        </w:sectPr>
      </w:pPr>
      <w:r>
        <w:rPr>
          <w:rFonts w:ascii="宋体" w:hAnsi="宋体" w:eastAsia="宋体" w:cs="宋体"/>
          <w:color w:val="auto"/>
          <w:spacing w:val="9"/>
          <w:sz w:val="23"/>
          <w:szCs w:val="23"/>
        </w:rPr>
        <w:t>承</w:t>
      </w:r>
      <w:r>
        <w:rPr>
          <w:rFonts w:ascii="宋体" w:hAnsi="宋体" w:eastAsia="宋体" w:cs="宋体"/>
          <w:color w:val="auto"/>
          <w:spacing w:val="5"/>
          <w:sz w:val="23"/>
          <w:szCs w:val="23"/>
        </w:rPr>
        <w:t>诺单位 (盖章)</w:t>
      </w:r>
      <w:r>
        <w:rPr>
          <w:rFonts w:ascii="宋体" w:hAnsi="宋体" w:eastAsia="宋体" w:cs="宋体"/>
          <w:color w:val="auto"/>
          <w:sz w:val="23"/>
          <w:szCs w:val="23"/>
        </w:rPr>
        <w:t xml:space="preserve">   </w:t>
      </w:r>
      <w:r>
        <w:rPr>
          <w:rFonts w:ascii="宋体" w:hAnsi="宋体" w:eastAsia="宋体" w:cs="宋体"/>
          <w:color w:val="auto"/>
          <w:spacing w:val="6"/>
          <w:sz w:val="23"/>
          <w:szCs w:val="23"/>
        </w:rPr>
        <w:t>法人代表人 (盖章</w:t>
      </w:r>
      <w:r>
        <w:rPr>
          <w:rFonts w:ascii="宋体" w:hAnsi="宋体" w:eastAsia="宋体" w:cs="宋体"/>
          <w:color w:val="auto"/>
          <w:spacing w:val="4"/>
          <w:sz w:val="23"/>
          <w:szCs w:val="23"/>
        </w:rPr>
        <w:t>)</w:t>
      </w:r>
    </w:p>
    <w:p w14:paraId="17354098">
      <w:pPr>
        <w:spacing w:line="283" w:lineRule="auto"/>
        <w:rPr>
          <w:rFonts w:ascii="Arial"/>
          <w:color w:val="auto"/>
          <w:sz w:val="21"/>
        </w:rPr>
      </w:pPr>
    </w:p>
    <w:p w14:paraId="14019A59">
      <w:pPr>
        <w:spacing w:line="283" w:lineRule="auto"/>
        <w:rPr>
          <w:rFonts w:ascii="Arial"/>
          <w:color w:val="auto"/>
          <w:sz w:val="21"/>
        </w:rPr>
      </w:pPr>
    </w:p>
    <w:p w14:paraId="65FF32D5">
      <w:pPr>
        <w:spacing w:line="283" w:lineRule="auto"/>
        <w:rPr>
          <w:rFonts w:ascii="Arial"/>
          <w:color w:val="auto"/>
          <w:sz w:val="21"/>
        </w:rPr>
      </w:pPr>
    </w:p>
    <w:p w14:paraId="0AE92EA6">
      <w:pPr>
        <w:spacing w:line="284" w:lineRule="auto"/>
        <w:rPr>
          <w:rFonts w:ascii="Arial"/>
          <w:color w:val="auto"/>
          <w:sz w:val="21"/>
        </w:rPr>
      </w:pPr>
    </w:p>
    <w:p w14:paraId="33E09C1C">
      <w:pPr>
        <w:spacing w:line="284" w:lineRule="auto"/>
        <w:rPr>
          <w:rFonts w:ascii="Arial"/>
          <w:color w:val="auto"/>
          <w:sz w:val="21"/>
        </w:rPr>
      </w:pPr>
    </w:p>
    <w:p w14:paraId="38F1211C">
      <w:pPr>
        <w:spacing w:before="94" w:line="227" w:lineRule="auto"/>
        <w:ind w:left="2444"/>
        <w:rPr>
          <w:rFonts w:ascii="宋体" w:hAnsi="宋体" w:eastAsia="宋体" w:cs="宋体"/>
          <w:color w:val="auto"/>
          <w:sz w:val="29"/>
          <w:szCs w:val="29"/>
        </w:rPr>
      </w:pPr>
      <w:r>
        <w:rPr>
          <w:rFonts w:ascii="宋体" w:hAnsi="宋体" w:eastAsia="宋体" w:cs="宋体"/>
          <w:color w:val="auto"/>
          <w:spacing w:val="12"/>
          <w:sz w:val="29"/>
          <w:szCs w:val="29"/>
          <w14:textOutline w14:w="5448" w14:cap="sq" w14:cmpd="sng">
            <w14:solidFill>
              <w14:srgbClr w14:val="000000"/>
            </w14:solidFill>
            <w14:prstDash w14:val="solid"/>
            <w14:bevel/>
          </w14:textOutline>
        </w:rPr>
        <w:t>1</w:t>
      </w:r>
      <w:r>
        <w:rPr>
          <w:rFonts w:ascii="宋体" w:hAnsi="宋体" w:eastAsia="宋体" w:cs="宋体"/>
          <w:color w:val="auto"/>
          <w:spacing w:val="8"/>
          <w:sz w:val="29"/>
          <w:szCs w:val="29"/>
          <w14:textOutline w14:w="5448" w14:cap="sq" w14:cmpd="sng">
            <w14:solidFill>
              <w14:srgbClr w14:val="000000"/>
            </w14:solidFill>
            <w14:prstDash w14:val="solid"/>
            <w14:bevel/>
          </w14:textOutline>
        </w:rPr>
        <w:t>0</w:t>
      </w:r>
      <w:r>
        <w:rPr>
          <w:rFonts w:ascii="宋体" w:hAnsi="宋体" w:eastAsia="宋体" w:cs="宋体"/>
          <w:color w:val="auto"/>
          <w:spacing w:val="6"/>
          <w:sz w:val="29"/>
          <w:szCs w:val="29"/>
          <w14:textOutline w14:w="5448" w14:cap="sq" w14:cmpd="sng">
            <w14:solidFill>
              <w14:srgbClr w14:val="000000"/>
            </w14:solidFill>
            <w14:prstDash w14:val="solid"/>
            <w14:bevel/>
          </w14:textOutline>
        </w:rPr>
        <w:t>、中小企业声明函</w:t>
      </w:r>
      <w:r>
        <w:rPr>
          <w:rFonts w:ascii="宋体" w:hAnsi="宋体" w:eastAsia="宋体" w:cs="宋体"/>
          <w:color w:val="auto"/>
          <w:spacing w:val="6"/>
          <w:sz w:val="29"/>
          <w:szCs w:val="29"/>
        </w:rPr>
        <w:t xml:space="preserve"> </w:t>
      </w:r>
      <w:r>
        <w:rPr>
          <w:rFonts w:ascii="宋体" w:hAnsi="宋体" w:eastAsia="宋体" w:cs="宋体"/>
          <w:color w:val="auto"/>
          <w:spacing w:val="6"/>
          <w:sz w:val="29"/>
          <w:szCs w:val="29"/>
          <w14:textOutline w14:w="5448" w14:cap="sq" w14:cmpd="sng">
            <w14:solidFill>
              <w14:srgbClr w14:val="000000"/>
            </w14:solidFill>
            <w14:prstDash w14:val="solid"/>
            <w14:bevel/>
          </w14:textOutline>
        </w:rPr>
        <w:t>(工程)</w:t>
      </w:r>
    </w:p>
    <w:p w14:paraId="22665415">
      <w:pPr>
        <w:spacing w:before="236" w:line="433" w:lineRule="auto"/>
        <w:ind w:left="1" w:firstLine="480"/>
        <w:jc w:val="right"/>
        <w:rPr>
          <w:rFonts w:ascii="宋体" w:hAnsi="宋体" w:eastAsia="宋体" w:cs="宋体"/>
          <w:color w:val="auto"/>
          <w:spacing w:val="20"/>
          <w:sz w:val="23"/>
          <w:szCs w:val="23"/>
        </w:rPr>
      </w:pPr>
      <w:r>
        <w:rPr>
          <w:rFonts w:ascii="宋体" w:hAnsi="宋体" w:eastAsia="宋体" w:cs="宋体"/>
          <w:color w:val="auto"/>
          <w:spacing w:val="22"/>
          <w:sz w:val="23"/>
          <w:szCs w:val="23"/>
        </w:rPr>
        <w:t>本公</w:t>
      </w:r>
      <w:r>
        <w:rPr>
          <w:rFonts w:ascii="宋体" w:hAnsi="宋体" w:eastAsia="宋体" w:cs="宋体"/>
          <w:color w:val="auto"/>
          <w:spacing w:val="15"/>
          <w:sz w:val="23"/>
          <w:szCs w:val="23"/>
        </w:rPr>
        <w:t>司</w:t>
      </w:r>
      <w:r>
        <w:rPr>
          <w:rFonts w:ascii="宋体" w:hAnsi="宋体" w:eastAsia="宋体" w:cs="宋体"/>
          <w:color w:val="auto"/>
          <w:spacing w:val="11"/>
          <w:sz w:val="23"/>
          <w:szCs w:val="23"/>
        </w:rPr>
        <w:t>郑重声明 ，根据《政府采购促进中小企业发展管理办法 》 (财库</w:t>
      </w:r>
      <w:r>
        <w:rPr>
          <w:rFonts w:ascii="宋体" w:hAnsi="宋体" w:eastAsia="宋体" w:cs="宋体"/>
          <w:color w:val="auto"/>
          <w:spacing w:val="18"/>
          <w:sz w:val="23"/>
          <w:szCs w:val="23"/>
        </w:rPr>
        <w:t>﹝2</w:t>
      </w:r>
      <w:r>
        <w:rPr>
          <w:rFonts w:ascii="宋体" w:hAnsi="宋体" w:eastAsia="宋体" w:cs="宋体"/>
          <w:color w:val="auto"/>
          <w:spacing w:val="12"/>
          <w:sz w:val="23"/>
          <w:szCs w:val="23"/>
        </w:rPr>
        <w:t>0</w:t>
      </w:r>
      <w:r>
        <w:rPr>
          <w:rFonts w:ascii="宋体" w:hAnsi="宋体" w:eastAsia="宋体" w:cs="宋体"/>
          <w:color w:val="auto"/>
          <w:spacing w:val="9"/>
          <w:sz w:val="23"/>
          <w:szCs w:val="23"/>
        </w:rPr>
        <w:t>20﹞46 号)的规定，本公司参加</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(单位名称)的(项目名称)采购活</w:t>
      </w:r>
      <w:r>
        <w:rPr>
          <w:rFonts w:ascii="宋体" w:hAnsi="宋体" w:eastAsia="宋体" w:cs="宋体"/>
          <w:color w:val="auto"/>
          <w:spacing w:val="24"/>
          <w:sz w:val="23"/>
          <w:szCs w:val="23"/>
        </w:rPr>
        <w:t>动</w:t>
      </w:r>
      <w:r>
        <w:rPr>
          <w:rFonts w:ascii="宋体" w:hAnsi="宋体" w:eastAsia="宋体" w:cs="宋体"/>
          <w:color w:val="auto"/>
          <w:spacing w:val="20"/>
          <w:sz w:val="23"/>
          <w:szCs w:val="23"/>
        </w:rPr>
        <w:t>，</w:t>
      </w:r>
    </w:p>
    <w:p w14:paraId="11730B2A">
      <w:pPr>
        <w:spacing w:before="236" w:line="433" w:lineRule="auto"/>
        <w:jc w:val="both"/>
        <w:rPr>
          <w:rFonts w:ascii="宋体" w:hAnsi="宋体" w:eastAsia="宋体" w:cs="宋体"/>
          <w:color w:val="auto"/>
          <w:sz w:val="23"/>
          <w:szCs w:val="23"/>
        </w:rPr>
      </w:pPr>
      <w:r>
        <w:rPr>
          <w:rFonts w:ascii="宋体" w:hAnsi="宋体" w:eastAsia="宋体" w:cs="宋体"/>
          <w:color w:val="auto"/>
          <w:spacing w:val="12"/>
          <w:sz w:val="23"/>
          <w:szCs w:val="23"/>
        </w:rPr>
        <w:t>工程的施工单位全部为符合政策要求的中小企业 (或者：服务全部由符合政策</w:t>
      </w:r>
      <w:r>
        <w:rPr>
          <w:rFonts w:ascii="宋体" w:hAnsi="宋体" w:eastAsia="宋体" w:cs="宋体"/>
          <w:color w:val="auto"/>
          <w:spacing w:val="20"/>
          <w:sz w:val="23"/>
          <w:szCs w:val="23"/>
        </w:rPr>
        <w:t>要</w:t>
      </w:r>
      <w:r>
        <w:rPr>
          <w:rFonts w:ascii="宋体" w:hAnsi="宋体" w:eastAsia="宋体" w:cs="宋体"/>
          <w:color w:val="auto"/>
          <w:spacing w:val="12"/>
          <w:sz w:val="23"/>
          <w:szCs w:val="23"/>
        </w:rPr>
        <w:t>求的中小企业承接) 。相关企业 (含联合体中的中小企业、签订分包意向协议的</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6"/>
          <w:sz w:val="23"/>
          <w:szCs w:val="23"/>
        </w:rPr>
        <w:t>小企业) 的具体情况如下：</w:t>
      </w:r>
    </w:p>
    <w:p w14:paraId="54839B53">
      <w:pPr>
        <w:numPr>
          <w:ilvl w:val="0"/>
          <w:numId w:val="3"/>
        </w:numPr>
        <w:spacing w:line="227" w:lineRule="auto"/>
        <w:ind w:left="498"/>
        <w:rPr>
          <w:rFonts w:ascii="宋体" w:hAnsi="宋体" w:eastAsia="宋体" w:cs="宋体"/>
          <w:color w:val="auto"/>
          <w:spacing w:val="12"/>
          <w:sz w:val="23"/>
          <w:szCs w:val="23"/>
        </w:rPr>
      </w:pPr>
      <w:r>
        <w:rPr>
          <w:rFonts w:ascii="宋体" w:hAnsi="宋体" w:eastAsia="宋体" w:cs="宋体"/>
          <w:color w:val="auto"/>
          <w:spacing w:val="12"/>
          <w:sz w:val="23"/>
          <w:szCs w:val="23"/>
        </w:rPr>
        <w:t xml:space="preserve"> (项目名称) ，属于     (采购文件中明确的所属行业)；承建(承</w:t>
      </w:r>
    </w:p>
    <w:p w14:paraId="68F22D56">
      <w:pPr>
        <w:numPr>
          <w:ilvl w:val="0"/>
          <w:numId w:val="0"/>
        </w:numPr>
        <w:spacing w:line="227" w:lineRule="auto"/>
        <w:rPr>
          <w:rFonts w:ascii="宋体" w:hAnsi="宋体" w:eastAsia="宋体" w:cs="宋体"/>
          <w:color w:val="auto"/>
          <w:sz w:val="23"/>
          <w:szCs w:val="23"/>
        </w:rPr>
      </w:pPr>
      <w:r>
        <w:rPr>
          <w:rFonts w:ascii="宋体" w:hAnsi="宋体" w:eastAsia="宋体" w:cs="宋体"/>
          <w:color w:val="auto"/>
          <w:spacing w:val="12"/>
          <w:sz w:val="23"/>
          <w:szCs w:val="23"/>
        </w:rPr>
        <w:t>接)</w:t>
      </w:r>
      <w:r>
        <w:rPr>
          <w:rFonts w:ascii="宋体" w:hAnsi="宋体" w:eastAsia="宋体" w:cs="宋体"/>
          <w:color w:val="auto"/>
          <w:spacing w:val="19"/>
          <w:sz w:val="23"/>
          <w:szCs w:val="23"/>
        </w:rPr>
        <w:t>企</w:t>
      </w:r>
      <w:r>
        <w:rPr>
          <w:rFonts w:ascii="宋体" w:hAnsi="宋体" w:eastAsia="宋体" w:cs="宋体"/>
          <w:color w:val="auto"/>
          <w:spacing w:val="16"/>
          <w:sz w:val="23"/>
          <w:szCs w:val="23"/>
        </w:rPr>
        <w:t>业为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(企业名称) ，从业人员</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人，营业收入为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1"/>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43582B40">
      <w:pPr>
        <w:spacing w:before="1" w:line="437" w:lineRule="auto"/>
        <w:ind w:left="5" w:firstLine="478"/>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10"/>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(标的名称) ，属于</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(采购文件中明确的所属行业) 行业；制造</w:t>
      </w:r>
      <w:r>
        <w:rPr>
          <w:rFonts w:ascii="宋体" w:hAnsi="宋体" w:eastAsia="宋体" w:cs="宋体"/>
          <w:color w:val="auto"/>
          <w:sz w:val="23"/>
          <w:szCs w:val="23"/>
        </w:rPr>
        <w:t xml:space="preserve"> </w:t>
      </w:r>
      <w:r>
        <w:rPr>
          <w:rFonts w:ascii="宋体" w:hAnsi="宋体" w:eastAsia="宋体" w:cs="宋体"/>
          <w:color w:val="auto"/>
          <w:spacing w:val="24"/>
          <w:sz w:val="23"/>
          <w:szCs w:val="23"/>
        </w:rPr>
        <w:t>商为</w:t>
      </w:r>
      <w:r>
        <w:rPr>
          <w:rFonts w:ascii="宋体" w:hAnsi="宋体" w:eastAsia="宋体" w:cs="宋体"/>
          <w:color w:val="auto"/>
          <w:spacing w:val="21"/>
          <w:sz w:val="23"/>
          <w:szCs w:val="23"/>
          <w:u w:val="single" w:color="auto"/>
        </w:rPr>
        <w:t xml:space="preserve"> </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(企业名称) ，从业人员</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人，营业收入为</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2"/>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077D7A1D">
      <w:pPr>
        <w:spacing w:line="260" w:lineRule="auto"/>
        <w:rPr>
          <w:rFonts w:ascii="Arial"/>
          <w:color w:val="auto"/>
          <w:sz w:val="21"/>
        </w:rPr>
      </w:pPr>
    </w:p>
    <w:p w14:paraId="6C70DFC0">
      <w:pPr>
        <w:spacing w:line="260" w:lineRule="auto"/>
        <w:rPr>
          <w:rFonts w:ascii="Arial"/>
          <w:color w:val="auto"/>
          <w:sz w:val="21"/>
        </w:rPr>
      </w:pPr>
    </w:p>
    <w:p w14:paraId="6A84A9BC">
      <w:pPr>
        <w:spacing w:before="76" w:line="433" w:lineRule="auto"/>
        <w:ind w:firstLine="508"/>
        <w:rPr>
          <w:rFonts w:ascii="宋体" w:hAnsi="宋体" w:eastAsia="宋体" w:cs="宋体"/>
          <w:color w:val="auto"/>
          <w:sz w:val="23"/>
          <w:szCs w:val="23"/>
        </w:rPr>
      </w:pPr>
      <w:r>
        <w:rPr>
          <w:rFonts w:ascii="宋体" w:hAnsi="宋体" w:eastAsia="宋体" w:cs="宋体"/>
          <w:color w:val="auto"/>
          <w:spacing w:val="22"/>
          <w:sz w:val="23"/>
          <w:szCs w:val="23"/>
        </w:rPr>
        <w:t>以</w:t>
      </w:r>
      <w:r>
        <w:rPr>
          <w:rFonts w:ascii="宋体" w:hAnsi="宋体" w:eastAsia="宋体" w:cs="宋体"/>
          <w:color w:val="auto"/>
          <w:spacing w:val="12"/>
          <w:sz w:val="23"/>
          <w:szCs w:val="23"/>
        </w:rPr>
        <w:t>上企业，不属于大企业的分支机构，不存在控股股东为大企业的情形，也不</w:t>
      </w:r>
      <w:r>
        <w:rPr>
          <w:rFonts w:ascii="宋体" w:hAnsi="宋体" w:eastAsia="宋体" w:cs="宋体"/>
          <w:color w:val="auto"/>
          <w:sz w:val="23"/>
          <w:szCs w:val="23"/>
        </w:rPr>
        <w:t xml:space="preserve"> </w:t>
      </w:r>
      <w:r>
        <w:rPr>
          <w:rFonts w:ascii="宋体" w:hAnsi="宋体" w:eastAsia="宋体" w:cs="宋体"/>
          <w:color w:val="auto"/>
          <w:spacing w:val="9"/>
          <w:sz w:val="23"/>
          <w:szCs w:val="23"/>
        </w:rPr>
        <w:t>存在与大企业的负责人为同一人的情形</w:t>
      </w:r>
      <w:r>
        <w:rPr>
          <w:rFonts w:ascii="宋体" w:hAnsi="宋体" w:eastAsia="宋体" w:cs="宋体"/>
          <w:color w:val="auto"/>
          <w:spacing w:val="8"/>
          <w:sz w:val="23"/>
          <w:szCs w:val="23"/>
        </w:rPr>
        <w:t>。</w:t>
      </w:r>
    </w:p>
    <w:p w14:paraId="4D1D83AF">
      <w:pPr>
        <w:spacing w:line="224" w:lineRule="auto"/>
        <w:ind w:left="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企</w:t>
      </w:r>
      <w:r>
        <w:rPr>
          <w:rFonts w:ascii="宋体" w:hAnsi="宋体" w:eastAsia="宋体" w:cs="宋体"/>
          <w:color w:val="auto"/>
          <w:spacing w:val="9"/>
          <w:sz w:val="23"/>
          <w:szCs w:val="23"/>
        </w:rPr>
        <w:t>业对上述声明内容的真实性负责。如有虚假，将依法承担相应责任。</w:t>
      </w:r>
    </w:p>
    <w:p w14:paraId="6DA54476">
      <w:pPr>
        <w:rPr>
          <w:rFonts w:ascii="Arial"/>
          <w:color w:val="auto"/>
          <w:sz w:val="21"/>
        </w:rPr>
      </w:pPr>
    </w:p>
    <w:p w14:paraId="1FEC8C5A">
      <w:pPr>
        <w:rPr>
          <w:rFonts w:ascii="Arial"/>
          <w:color w:val="auto"/>
          <w:sz w:val="21"/>
        </w:rPr>
      </w:pPr>
    </w:p>
    <w:p w14:paraId="737A2CCE">
      <w:pPr>
        <w:spacing w:line="241" w:lineRule="auto"/>
        <w:rPr>
          <w:rFonts w:ascii="Arial"/>
          <w:color w:val="auto"/>
          <w:sz w:val="21"/>
        </w:rPr>
      </w:pPr>
    </w:p>
    <w:p w14:paraId="3AF3C976">
      <w:pPr>
        <w:spacing w:before="76" w:line="227" w:lineRule="auto"/>
        <w:ind w:left="3547"/>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业名称 (盖章) ：</w:t>
      </w:r>
    </w:p>
    <w:p w14:paraId="70CC6200">
      <w:pPr>
        <w:spacing w:before="304" w:line="228" w:lineRule="auto"/>
        <w:ind w:left="4998"/>
        <w:rPr>
          <w:rFonts w:ascii="宋体" w:hAnsi="宋体" w:eastAsia="宋体" w:cs="宋体"/>
          <w:color w:val="auto"/>
          <w:sz w:val="23"/>
          <w:szCs w:val="23"/>
        </w:rPr>
      </w:pPr>
      <w:r>
        <w:rPr>
          <w:rFonts w:ascii="宋体" w:hAnsi="宋体" w:eastAsia="宋体" w:cs="宋体"/>
          <w:color w:val="auto"/>
          <w:spacing w:val="-8"/>
          <w:sz w:val="23"/>
          <w:szCs w:val="23"/>
        </w:rPr>
        <w:t>日</w:t>
      </w:r>
      <w:r>
        <w:rPr>
          <w:rFonts w:ascii="宋体" w:hAnsi="宋体" w:eastAsia="宋体" w:cs="宋体"/>
          <w:color w:val="auto"/>
          <w:spacing w:val="19"/>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8"/>
          <w:sz w:val="23"/>
          <w:szCs w:val="23"/>
        </w:rPr>
        <w:t>月</w:t>
      </w:r>
      <w:r>
        <w:rPr>
          <w:rFonts w:ascii="宋体" w:hAnsi="宋体" w:eastAsia="宋体" w:cs="宋体"/>
          <w:color w:val="auto"/>
          <w:spacing w:val="22"/>
          <w:sz w:val="23"/>
          <w:szCs w:val="23"/>
          <w:u w:val="single" w:color="auto"/>
        </w:rPr>
        <w:t xml:space="preserve">   </w:t>
      </w:r>
      <w:r>
        <w:rPr>
          <w:rFonts w:ascii="宋体" w:hAnsi="宋体" w:eastAsia="宋体" w:cs="宋体"/>
          <w:color w:val="auto"/>
          <w:spacing w:val="-8"/>
          <w:sz w:val="23"/>
          <w:szCs w:val="23"/>
        </w:rPr>
        <w:t>日</w:t>
      </w:r>
    </w:p>
    <w:p w14:paraId="31EEE5AD">
      <w:pPr>
        <w:spacing w:line="254" w:lineRule="auto"/>
        <w:rPr>
          <w:rFonts w:ascii="Arial"/>
          <w:color w:val="auto"/>
          <w:sz w:val="21"/>
        </w:rPr>
      </w:pPr>
    </w:p>
    <w:p w14:paraId="762ACC13">
      <w:pPr>
        <w:spacing w:line="255" w:lineRule="auto"/>
        <w:rPr>
          <w:rFonts w:ascii="Arial"/>
          <w:color w:val="auto"/>
          <w:sz w:val="21"/>
        </w:rPr>
      </w:pPr>
    </w:p>
    <w:p w14:paraId="2AB2EC43">
      <w:pPr>
        <w:spacing w:line="255" w:lineRule="auto"/>
        <w:rPr>
          <w:rFonts w:ascii="Arial"/>
          <w:color w:val="auto"/>
          <w:sz w:val="21"/>
        </w:rPr>
      </w:pPr>
    </w:p>
    <w:p w14:paraId="7994F942">
      <w:pPr>
        <w:spacing w:before="66" w:line="229" w:lineRule="auto"/>
        <w:ind w:left="2"/>
        <w:rPr>
          <w:rFonts w:ascii="宋体" w:hAnsi="宋体" w:eastAsia="宋体" w:cs="宋体"/>
          <w:color w:val="auto"/>
          <w:sz w:val="20"/>
          <w:szCs w:val="20"/>
        </w:rPr>
      </w:pPr>
      <w:r>
        <w:rPr>
          <w:rFonts w:ascii="宋体" w:hAnsi="宋体" w:eastAsia="宋体" w:cs="宋体"/>
          <w:color w:val="auto"/>
          <w:spacing w:val="18"/>
          <w:sz w:val="20"/>
          <w:szCs w:val="20"/>
        </w:rPr>
        <w:t>从</w:t>
      </w:r>
      <w:r>
        <w:rPr>
          <w:rFonts w:ascii="宋体" w:hAnsi="宋体" w:eastAsia="宋体" w:cs="宋体"/>
          <w:color w:val="auto"/>
          <w:spacing w:val="17"/>
          <w:sz w:val="20"/>
          <w:szCs w:val="20"/>
        </w:rPr>
        <w:t>业</w:t>
      </w:r>
      <w:r>
        <w:rPr>
          <w:rFonts w:ascii="宋体" w:hAnsi="宋体" w:eastAsia="宋体" w:cs="宋体"/>
          <w:color w:val="auto"/>
          <w:spacing w:val="9"/>
          <w:sz w:val="20"/>
          <w:szCs w:val="20"/>
        </w:rPr>
        <w:t>人员、营业收入、资产总额填报上一年度数据，无上一年度数据的新成立企业可不填报。</w:t>
      </w:r>
    </w:p>
    <w:p w14:paraId="7CFDA090">
      <w:pPr>
        <w:rPr>
          <w:color w:val="auto"/>
        </w:rPr>
        <w:sectPr>
          <w:footerReference r:id="rId27" w:type="default"/>
          <w:pgSz w:w="11906" w:h="16839"/>
          <w:pgMar w:top="400" w:right="1530" w:bottom="1156" w:left="1628" w:header="0" w:footer="996" w:gutter="0"/>
          <w:cols w:space="720" w:num="1"/>
        </w:sectPr>
      </w:pPr>
    </w:p>
    <w:p w14:paraId="67983C7D">
      <w:pPr>
        <w:spacing w:line="249" w:lineRule="auto"/>
        <w:rPr>
          <w:rFonts w:ascii="Arial"/>
          <w:color w:val="auto"/>
          <w:sz w:val="21"/>
        </w:rPr>
      </w:pPr>
    </w:p>
    <w:p w14:paraId="003E3C3E">
      <w:pPr>
        <w:spacing w:line="249" w:lineRule="auto"/>
        <w:rPr>
          <w:rFonts w:ascii="Arial"/>
          <w:color w:val="auto"/>
          <w:sz w:val="21"/>
        </w:rPr>
      </w:pPr>
    </w:p>
    <w:p w14:paraId="64446FE9">
      <w:pPr>
        <w:spacing w:line="249" w:lineRule="auto"/>
        <w:rPr>
          <w:rFonts w:ascii="Arial"/>
          <w:color w:val="auto"/>
          <w:sz w:val="21"/>
        </w:rPr>
      </w:pPr>
    </w:p>
    <w:p w14:paraId="225EFEDD">
      <w:pPr>
        <w:spacing w:line="249" w:lineRule="auto"/>
        <w:rPr>
          <w:rFonts w:ascii="Arial"/>
          <w:color w:val="auto"/>
          <w:sz w:val="21"/>
        </w:rPr>
      </w:pPr>
    </w:p>
    <w:p w14:paraId="66A9C86C">
      <w:pPr>
        <w:spacing w:line="249" w:lineRule="auto"/>
        <w:rPr>
          <w:rFonts w:ascii="Arial"/>
          <w:color w:val="auto"/>
          <w:sz w:val="21"/>
        </w:rPr>
      </w:pPr>
    </w:p>
    <w:p w14:paraId="1B80D1AB">
      <w:pPr>
        <w:spacing w:line="249" w:lineRule="auto"/>
        <w:rPr>
          <w:rFonts w:ascii="Arial"/>
          <w:color w:val="auto"/>
          <w:sz w:val="21"/>
        </w:rPr>
      </w:pPr>
    </w:p>
    <w:p w14:paraId="27468289">
      <w:pPr>
        <w:spacing w:line="250" w:lineRule="auto"/>
        <w:rPr>
          <w:rFonts w:ascii="Arial"/>
          <w:color w:val="auto"/>
          <w:sz w:val="21"/>
        </w:rPr>
      </w:pPr>
    </w:p>
    <w:p w14:paraId="4566ECF1">
      <w:pPr>
        <w:pStyle w:val="2"/>
        <w:bidi w:val="0"/>
        <w:jc w:val="center"/>
        <w:rPr>
          <w:rFonts w:hint="eastAsia" w:ascii="宋体" w:hAnsi="宋体" w:eastAsia="宋体" w:cs="宋体"/>
          <w:bCs w:val="0"/>
          <w:snapToGrid w:val="0"/>
          <w:color w:val="auto"/>
          <w:spacing w:val="13"/>
          <w:kern w:val="0"/>
          <w:sz w:val="20"/>
          <w:szCs w:val="20"/>
        </w:rPr>
      </w:pPr>
      <w:r>
        <w:rPr>
          <w:rFonts w:hint="eastAsia" w:ascii="宋体" w:hAnsi="宋体" w:eastAsia="宋体" w:cs="宋体"/>
          <w:color w:val="auto"/>
          <w:sz w:val="32"/>
          <w:szCs w:val="16"/>
        </w:rPr>
        <w:t>技术部分</w:t>
      </w:r>
    </w:p>
    <w:sectPr>
      <w:footerReference r:id="rId2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69CCE">
    <w:pPr>
      <w:spacing w:line="193" w:lineRule="auto"/>
      <w:ind w:right="357"/>
      <w:jc w:val="right"/>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CB79C">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67E6">
    <w:pPr>
      <w:spacing w:line="193"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699B6">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D4F3">
    <w:pPr>
      <w:spacing w:line="196" w:lineRule="auto"/>
      <w:ind w:left="869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71D7">
    <w:pPr>
      <w:spacing w:line="196" w:lineRule="auto"/>
      <w:ind w:right="70"/>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F7AE">
    <w:pPr>
      <w:spacing w:line="196" w:lineRule="auto"/>
      <w:ind w:right="77"/>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2F329">
    <w:pPr>
      <w:spacing w:line="196" w:lineRule="auto"/>
      <w:ind w:right="52"/>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BE12">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8C312">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E574D">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367F1">
    <w:pPr>
      <w:spacing w:line="196" w:lineRule="auto"/>
      <w:jc w:val="right"/>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1E68">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73D2">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7DA3">
    <w:pPr>
      <w:spacing w:line="196" w:lineRule="auto"/>
      <w:ind w:right="1"/>
      <w:jc w:val="right"/>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699E">
    <w:pPr>
      <w:spacing w:line="196" w:lineRule="auto"/>
      <w:ind w:left="9427"/>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44AE6">
    <w:pPr>
      <w:spacing w:line="196" w:lineRule="auto"/>
      <w:ind w:right="1"/>
      <w:jc w:val="right"/>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0F44">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5F3C">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F572">
    <w:pPr>
      <w:spacing w:line="196"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01C2">
    <w:pPr>
      <w:spacing w:line="196" w:lineRule="auto"/>
      <w:ind w:right="1"/>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2059">
    <w:pPr>
      <w:spacing w:line="196" w:lineRule="auto"/>
      <w:ind w:right="273"/>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0411">
    <w:pPr>
      <w:spacing w:line="193" w:lineRule="auto"/>
      <w:ind w:right="435"/>
      <w:jc w:val="right"/>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62F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7D8C7"/>
    <w:multiLevelType w:val="singleLevel"/>
    <w:tmpl w:val="9767D8C7"/>
    <w:lvl w:ilvl="0" w:tentative="0">
      <w:start w:val="5"/>
      <w:numFmt w:val="chineseCounting"/>
      <w:suff w:val="space"/>
      <w:lvlText w:val="第%1章"/>
      <w:lvlJc w:val="left"/>
      <w:rPr>
        <w:rFonts w:hint="eastAsia"/>
      </w:rPr>
    </w:lvl>
  </w:abstractNum>
  <w:abstractNum w:abstractNumId="1">
    <w:nsid w:val="C9A50F64"/>
    <w:multiLevelType w:val="singleLevel"/>
    <w:tmpl w:val="C9A50F64"/>
    <w:lvl w:ilvl="0" w:tentative="0">
      <w:start w:val="1"/>
      <w:numFmt w:val="decimal"/>
      <w:suff w:val="space"/>
      <w:lvlText w:val="%1."/>
      <w:lvlJc w:val="left"/>
    </w:lvl>
  </w:abstractNum>
  <w:abstractNum w:abstractNumId="2">
    <w:nsid w:val="5AC4DE09"/>
    <w:multiLevelType w:val="singleLevel"/>
    <w:tmpl w:val="5AC4DE0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Y2Y4NWE0ZjVjYWZkOWRhMGI5Nzk0MGY5NjljYmQifQ=="/>
  </w:docVars>
  <w:rsids>
    <w:rsidRoot w:val="00000000"/>
    <w:rsid w:val="01F17789"/>
    <w:rsid w:val="022C24DE"/>
    <w:rsid w:val="02661E94"/>
    <w:rsid w:val="02885928"/>
    <w:rsid w:val="03DE5A5A"/>
    <w:rsid w:val="04576AD2"/>
    <w:rsid w:val="082E2A6F"/>
    <w:rsid w:val="084B0D24"/>
    <w:rsid w:val="0853345B"/>
    <w:rsid w:val="09735DC1"/>
    <w:rsid w:val="097517FF"/>
    <w:rsid w:val="09F7549A"/>
    <w:rsid w:val="0A546A76"/>
    <w:rsid w:val="0AA91E9A"/>
    <w:rsid w:val="0B3F210D"/>
    <w:rsid w:val="0E7E1951"/>
    <w:rsid w:val="0ECD5339"/>
    <w:rsid w:val="0F455C24"/>
    <w:rsid w:val="0F59068B"/>
    <w:rsid w:val="10944070"/>
    <w:rsid w:val="10B71B0D"/>
    <w:rsid w:val="110C1E59"/>
    <w:rsid w:val="1298522C"/>
    <w:rsid w:val="139D4FEA"/>
    <w:rsid w:val="13BD10C8"/>
    <w:rsid w:val="14A81E98"/>
    <w:rsid w:val="14F450DE"/>
    <w:rsid w:val="15565D98"/>
    <w:rsid w:val="15C03212"/>
    <w:rsid w:val="1780534F"/>
    <w:rsid w:val="1816180F"/>
    <w:rsid w:val="1823357D"/>
    <w:rsid w:val="19B72B7E"/>
    <w:rsid w:val="1AF35E37"/>
    <w:rsid w:val="1BD81C73"/>
    <w:rsid w:val="1C8C20A0"/>
    <w:rsid w:val="1D1502E7"/>
    <w:rsid w:val="1D1D2659"/>
    <w:rsid w:val="1D936476"/>
    <w:rsid w:val="1DE2466D"/>
    <w:rsid w:val="1E3C1BC0"/>
    <w:rsid w:val="1E873A0D"/>
    <w:rsid w:val="1F080E63"/>
    <w:rsid w:val="1FD1390C"/>
    <w:rsid w:val="20ED2BC4"/>
    <w:rsid w:val="21134FB8"/>
    <w:rsid w:val="21983295"/>
    <w:rsid w:val="21B26104"/>
    <w:rsid w:val="233139A1"/>
    <w:rsid w:val="23362B12"/>
    <w:rsid w:val="249628CC"/>
    <w:rsid w:val="254338A7"/>
    <w:rsid w:val="27BB4AFD"/>
    <w:rsid w:val="29041AE9"/>
    <w:rsid w:val="29A939A6"/>
    <w:rsid w:val="29FC6AB7"/>
    <w:rsid w:val="2D276C34"/>
    <w:rsid w:val="2D7035D1"/>
    <w:rsid w:val="2EA17C2D"/>
    <w:rsid w:val="303B19BB"/>
    <w:rsid w:val="306C2E75"/>
    <w:rsid w:val="30A6152A"/>
    <w:rsid w:val="32DD31FD"/>
    <w:rsid w:val="333400BD"/>
    <w:rsid w:val="34FF0A6E"/>
    <w:rsid w:val="36767A55"/>
    <w:rsid w:val="36BE202C"/>
    <w:rsid w:val="36E83F1F"/>
    <w:rsid w:val="375C149E"/>
    <w:rsid w:val="37D22C05"/>
    <w:rsid w:val="384855BD"/>
    <w:rsid w:val="384A1EE6"/>
    <w:rsid w:val="38EF1284"/>
    <w:rsid w:val="39851172"/>
    <w:rsid w:val="3A4678DA"/>
    <w:rsid w:val="3AE80991"/>
    <w:rsid w:val="3D2739C8"/>
    <w:rsid w:val="3E5330B0"/>
    <w:rsid w:val="3E9C18AA"/>
    <w:rsid w:val="3F6E3B5B"/>
    <w:rsid w:val="3FB13A7C"/>
    <w:rsid w:val="3FE73EB2"/>
    <w:rsid w:val="3FE77469"/>
    <w:rsid w:val="40D83929"/>
    <w:rsid w:val="4236684E"/>
    <w:rsid w:val="427E128D"/>
    <w:rsid w:val="42DD5E1C"/>
    <w:rsid w:val="4476700E"/>
    <w:rsid w:val="44BF1EFA"/>
    <w:rsid w:val="44C4729E"/>
    <w:rsid w:val="451A3E3D"/>
    <w:rsid w:val="45D71D2E"/>
    <w:rsid w:val="45EE176A"/>
    <w:rsid w:val="45FE72BB"/>
    <w:rsid w:val="46DB2D69"/>
    <w:rsid w:val="47F60B91"/>
    <w:rsid w:val="48623B31"/>
    <w:rsid w:val="4AC30F79"/>
    <w:rsid w:val="4BE331DB"/>
    <w:rsid w:val="4C4719BC"/>
    <w:rsid w:val="4CC361BC"/>
    <w:rsid w:val="4DAE5A6A"/>
    <w:rsid w:val="4DED5DCD"/>
    <w:rsid w:val="4E557C94"/>
    <w:rsid w:val="4F703C04"/>
    <w:rsid w:val="51A21442"/>
    <w:rsid w:val="51A7093E"/>
    <w:rsid w:val="51F97557"/>
    <w:rsid w:val="520206C7"/>
    <w:rsid w:val="53992DC2"/>
    <w:rsid w:val="574D32C3"/>
    <w:rsid w:val="57B067F4"/>
    <w:rsid w:val="57CC7F03"/>
    <w:rsid w:val="58021FE0"/>
    <w:rsid w:val="5A99176B"/>
    <w:rsid w:val="5B622D9B"/>
    <w:rsid w:val="5BA364E3"/>
    <w:rsid w:val="5C411D87"/>
    <w:rsid w:val="5CA40764"/>
    <w:rsid w:val="5D07484F"/>
    <w:rsid w:val="5DDD1C2C"/>
    <w:rsid w:val="5E053485"/>
    <w:rsid w:val="5E0641E8"/>
    <w:rsid w:val="5E1650CC"/>
    <w:rsid w:val="5E346305"/>
    <w:rsid w:val="5E554801"/>
    <w:rsid w:val="5EE00B8B"/>
    <w:rsid w:val="61C15FBB"/>
    <w:rsid w:val="61C966D6"/>
    <w:rsid w:val="665E1984"/>
    <w:rsid w:val="668136DF"/>
    <w:rsid w:val="66C24679"/>
    <w:rsid w:val="67FD6F7B"/>
    <w:rsid w:val="69B16ACF"/>
    <w:rsid w:val="6B281E2E"/>
    <w:rsid w:val="6B2E2ECD"/>
    <w:rsid w:val="6BA62882"/>
    <w:rsid w:val="6BE8412E"/>
    <w:rsid w:val="6C101972"/>
    <w:rsid w:val="6C21573C"/>
    <w:rsid w:val="6C287A6D"/>
    <w:rsid w:val="6C755C79"/>
    <w:rsid w:val="6C7C7008"/>
    <w:rsid w:val="6D230D11"/>
    <w:rsid w:val="6E59565F"/>
    <w:rsid w:val="6E9A61CA"/>
    <w:rsid w:val="706B361B"/>
    <w:rsid w:val="71606E1F"/>
    <w:rsid w:val="717C7162"/>
    <w:rsid w:val="719B0F4B"/>
    <w:rsid w:val="724D0AFE"/>
    <w:rsid w:val="74AC6E5E"/>
    <w:rsid w:val="75B8161D"/>
    <w:rsid w:val="76F04278"/>
    <w:rsid w:val="78A07BDA"/>
    <w:rsid w:val="78C12832"/>
    <w:rsid w:val="78FE54EF"/>
    <w:rsid w:val="79174DAA"/>
    <w:rsid w:val="7937093A"/>
    <w:rsid w:val="79FE105C"/>
    <w:rsid w:val="7A534350"/>
    <w:rsid w:val="7AC754CB"/>
    <w:rsid w:val="7AFE2B10"/>
    <w:rsid w:val="7BB32396"/>
    <w:rsid w:val="7BDA0ACD"/>
    <w:rsid w:val="7D4F6073"/>
    <w:rsid w:val="7D943A85"/>
    <w:rsid w:val="7DA57A41"/>
    <w:rsid w:val="7E4506AA"/>
    <w:rsid w:val="7F89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1"/>
    <w:pPr>
      <w:ind w:left="237"/>
      <w:outlineLvl w:val="2"/>
    </w:pPr>
    <w:rPr>
      <w:rFonts w:ascii="Microsoft JhengHei" w:hAnsi="Microsoft JhengHei" w:eastAsia="Microsoft JhengHei"/>
      <w:sz w:val="28"/>
      <w:szCs w:val="28"/>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annotation text"/>
    <w:basedOn w:val="1"/>
    <w:qFormat/>
    <w:uiPriority w:val="0"/>
    <w:pPr>
      <w:jc w:val="left"/>
    </w:pPr>
  </w:style>
  <w:style w:type="paragraph" w:styleId="7">
    <w:name w:val="Body Text"/>
    <w:basedOn w:val="1"/>
    <w:next w:val="8"/>
    <w:qFormat/>
    <w:uiPriority w:val="0"/>
    <w:pPr>
      <w:widowControl/>
      <w:tabs>
        <w:tab w:val="left" w:pos="0"/>
        <w:tab w:val="left" w:pos="993"/>
        <w:tab w:val="left" w:pos="1134"/>
      </w:tabs>
      <w:spacing w:line="500" w:lineRule="exact"/>
    </w:pPr>
    <w:rPr>
      <w:rFonts w:ascii="宋体"/>
      <w:kern w:val="0"/>
      <w:sz w:val="28"/>
    </w:rPr>
  </w:style>
  <w:style w:type="paragraph" w:customStyle="1" w:styleId="8">
    <w:name w:val="style4"/>
    <w:basedOn w:val="1"/>
    <w:next w:val="9"/>
    <w:qFormat/>
    <w:uiPriority w:val="0"/>
    <w:pPr>
      <w:widowControl/>
      <w:spacing w:before="280" w:after="280"/>
    </w:pPr>
    <w:rPr>
      <w:rFonts w:ascii="宋体"/>
      <w:sz w:val="18"/>
    </w:rPr>
  </w:style>
  <w:style w:type="paragraph" w:customStyle="1" w:styleId="9">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0">
    <w:name w:val="Plain Text"/>
    <w:basedOn w:val="1"/>
    <w:autoRedefine/>
    <w:qFormat/>
    <w:uiPriority w:val="0"/>
    <w:rPr>
      <w:rFonts w:ascii="宋体" w:hAnsi="Courier New"/>
    </w:rPr>
  </w:style>
  <w:style w:type="paragraph" w:styleId="11">
    <w:name w:val="footer"/>
    <w:basedOn w:val="1"/>
    <w:qFormat/>
    <w:uiPriority w:val="99"/>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7"/>
    <w:qFormat/>
    <w:uiPriority w:val="0"/>
    <w:pPr>
      <w:tabs>
        <w:tab w:val="left" w:pos="567"/>
      </w:tabs>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表格文字2"/>
    <w:basedOn w:val="19"/>
    <w:qFormat/>
    <w:uiPriority w:val="99"/>
    <w:pPr>
      <w:spacing w:before="25" w:after="25"/>
      <w:jc w:val="left"/>
    </w:pPr>
    <w:rPr>
      <w:bCs/>
      <w:spacing w:val="10"/>
      <w:kern w:val="0"/>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正文_0"/>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标题 3_0"/>
    <w:basedOn w:val="20"/>
    <w:next w:val="20"/>
    <w:qFormat/>
    <w:uiPriority w:val="0"/>
    <w:pPr>
      <w:keepNext/>
      <w:keepLines/>
      <w:spacing w:before="260" w:after="260" w:line="416" w:lineRule="auto"/>
      <w:outlineLvl w:val="2"/>
    </w:pPr>
    <w:rPr>
      <w:rFonts w:ascii="Calibri" w:hAnsi="Calibri"/>
      <w:b/>
      <w:bCs/>
      <w:sz w:val="32"/>
      <w:szCs w:val="32"/>
    </w:rPr>
  </w:style>
  <w:style w:type="paragraph" w:customStyle="1" w:styleId="22">
    <w:name w:val="TOC 标题_0"/>
    <w:basedOn w:val="23"/>
    <w:next w:val="20"/>
    <w:unhideWhenUsed/>
    <w:qFormat/>
    <w:uiPriority w:val="0"/>
    <w:pPr>
      <w:outlineLvl w:val="9"/>
    </w:pPr>
    <w:rPr>
      <w:rFonts w:ascii="Calibri" w:hAnsi="Calibri"/>
    </w:rPr>
  </w:style>
  <w:style w:type="paragraph" w:customStyle="1" w:styleId="23">
    <w:name w:val="标题 1_0"/>
    <w:basedOn w:val="20"/>
    <w:next w:val="20"/>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4">
    <w:name w:val="正文_0_0"/>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5">
    <w:name w:val="标题 5_0_0"/>
    <w:basedOn w:val="24"/>
    <w:next w:val="24"/>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26">
    <w:name w:val="Table Paragraph"/>
    <w:basedOn w:val="1"/>
    <w:qFormat/>
    <w:uiPriority w:val="1"/>
    <w:pPr>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image" Target="media/image1.wmf"/><Relationship Id="rId30" Type="http://schemas.openxmlformats.org/officeDocument/2006/relationships/oleObject" Target="embeddings/oleObject1.bin"/><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65954</Words>
  <Characters>70919</Characters>
  <Lines>0</Lines>
  <Paragraphs>0</Paragraphs>
  <TotalTime>7</TotalTime>
  <ScaleCrop>false</ScaleCrop>
  <LinksUpToDate>false</LinksUpToDate>
  <CharactersWithSpaces>74992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2023-10-23T03:33:00Z</dcterms:created>
  <dc:creator>Administrator</dc:creator>
  <cp:lastModifiedBy>Administrator</cp:lastModifiedBy>
  <dcterms:modified xsi:type="dcterms:W3CDTF">2025-03-07T12:22:28Z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6AF16EFD0D5D48AEA46D5DDD5B914FC3_13</vt:lpwstr>
  </property>
  <property fmtid="{D5CDD505-2E9C-101B-9397-08002B2CF9AE}" pid="4" name="KSOTemplateDocerSaveRecord">
    <vt:lpwstr>eyJoZGlkIjoiNDZkY2Y4NWE0ZjVjYWZkOWRhMGI5Nzk0MGY5NjljYmQifQ==</vt:lpwstr>
  </property>
</Properties>
</file>