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5B827">
      <w:pPr>
        <w:spacing w:line="360" w:lineRule="auto"/>
        <w:jc w:val="center"/>
        <w:rPr>
          <w:rFonts w:hint="eastAsia" w:ascii="宋体" w:hAnsi="宋体"/>
          <w:b/>
          <w:sz w:val="36"/>
          <w:szCs w:val="36"/>
        </w:rPr>
      </w:pPr>
      <w:r>
        <w:rPr>
          <w:rFonts w:hint="eastAsia" w:ascii="宋体" w:hAnsi="宋体"/>
          <w:b/>
          <w:sz w:val="36"/>
          <w:szCs w:val="36"/>
        </w:rPr>
        <w:t>额敏县也木勒牧场托布塔勒村安全饮水巩固提升</w:t>
      </w:r>
    </w:p>
    <w:p w14:paraId="54876DF8">
      <w:pPr>
        <w:spacing w:line="360" w:lineRule="auto"/>
        <w:jc w:val="center"/>
        <w:rPr>
          <w:rFonts w:ascii="宋体"/>
          <w:sz w:val="28"/>
          <w:szCs w:val="28"/>
        </w:rPr>
      </w:pPr>
      <w:r>
        <w:rPr>
          <w:rFonts w:hint="eastAsia" w:ascii="宋体" w:hAnsi="宋体"/>
          <w:b/>
          <w:sz w:val="36"/>
          <w:szCs w:val="36"/>
        </w:rPr>
        <w:t>建设项目招标控制价编制说明</w:t>
      </w:r>
    </w:p>
    <w:p w14:paraId="6A17AC76">
      <w:pPr>
        <w:spacing w:line="360" w:lineRule="auto"/>
        <w:jc w:val="center"/>
        <w:rPr>
          <w:rFonts w:hint="eastAsia" w:ascii="宋体" w:hAnsi="宋体"/>
          <w:b/>
          <w:sz w:val="32"/>
          <w:szCs w:val="32"/>
        </w:rPr>
      </w:pPr>
    </w:p>
    <w:p w14:paraId="3119D904">
      <w:pPr>
        <w:widowControl/>
        <w:spacing w:line="480" w:lineRule="exact"/>
        <w:ind w:firstLine="480" w:firstLineChars="200"/>
        <w:jc w:val="lef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一、工程概况</w:t>
      </w:r>
      <w:r>
        <w:rPr>
          <w:rFonts w:hint="eastAsia" w:asciiTheme="minorEastAsia" w:hAnsiTheme="minorEastAsia" w:eastAsiaTheme="minorEastAsia" w:cstheme="minorEastAsia"/>
          <w:kern w:val="0"/>
          <w:sz w:val="24"/>
          <w:szCs w:val="24"/>
          <w:lang w:eastAsia="zh-CN"/>
        </w:rPr>
        <w:t>：</w:t>
      </w:r>
    </w:p>
    <w:p w14:paraId="49E102E0">
      <w:pPr>
        <w:pStyle w:val="3"/>
        <w:keepNext w:val="0"/>
        <w:keepLines w:val="0"/>
        <w:widowControl/>
        <w:suppressLineNumbers w:val="0"/>
        <w:spacing w:before="0" w:beforeAutospacing="0" w:after="0" w:afterAutospacing="0" w:line="360" w:lineRule="auto"/>
        <w:ind w:left="0" w:right="0" w:firstLine="0"/>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 xml:space="preserve">    本工程为额敏县也木勒牧场托布塔勒村安全饮水巩固提升建设项目，建设地点额敏县也木勒牧场托布塔勒村。建设规模及内容：安装DN160PE管道0.535km，DN110PE管道0.795km，DN90PE管道0.632km，DN75PE管道0.482km,DN63PE管道0.356km，DN50PE管道1.888km，检查井54座，排水井1座集中水表井1座。拆除恢复现有沥青及花砖路面及其他配套附属设施。</w:t>
      </w:r>
    </w:p>
    <w:p w14:paraId="70D91525">
      <w:pPr>
        <w:widowControl/>
        <w:spacing w:line="480" w:lineRule="exact"/>
        <w:ind w:firstLine="480" w:firstLineChars="200"/>
        <w:jc w:val="lef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等，具体详图纸设计</w:t>
      </w:r>
      <w:r>
        <w:rPr>
          <w:rFonts w:hint="eastAsia" w:asciiTheme="minorEastAsia" w:hAnsiTheme="minorEastAsia" w:eastAsiaTheme="minorEastAsia" w:cstheme="minorEastAsia"/>
          <w:kern w:val="0"/>
          <w:sz w:val="24"/>
          <w:szCs w:val="24"/>
        </w:rPr>
        <w:t>。</w:t>
      </w:r>
    </w:p>
    <w:p w14:paraId="1CDE1E01">
      <w:pPr>
        <w:widowControl/>
        <w:spacing w:line="480" w:lineRule="exact"/>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二、编制范围</w:t>
      </w:r>
    </w:p>
    <w:p w14:paraId="63702BE0">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本报告编制范围为新疆原创城市设计研究（院）有限公司设计的额敏县也木勒牧场托布塔勒村安全饮水巩固提升建设项目施工图中全部内容。</w:t>
      </w:r>
    </w:p>
    <w:p w14:paraId="48C7C3A4">
      <w:pPr>
        <w:widowControl/>
        <w:spacing w:line="480" w:lineRule="exact"/>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三、编制依据</w:t>
      </w:r>
    </w:p>
    <w:p w14:paraId="5FC9C9DB">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1、《建设工程工程量清单计价规范》（GB50500-2013）；《房屋建筑与装饰工程工程量计算规范》（GB50854-2013）；《通用安装工程工程量计算规范》（GB50856-2013）；《市政工程工程量计算规范》（GB50857-2013）；《园林绿化工程工程量计算规范》（GB50858-2013）；《构筑物工程工程量计算规范》GB50860-2013）及解释。</w:t>
      </w:r>
    </w:p>
    <w:p w14:paraId="1436659C">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2、国家或省级、行业建设主管部门颁发的计价定额和计价办法。</w:t>
      </w:r>
    </w:p>
    <w:p w14:paraId="69DB6530">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3、业主提供的“额敏县也木勒牧场托布塔勒村安全饮水巩固提升建设项目”施工图中全部内容及立项批复（额农领办字[2025]19号）。</w:t>
      </w:r>
    </w:p>
    <w:p w14:paraId="2040DE40">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4、拟定的招标文件、招标工程量清单及有关计价的要求及答疑。</w:t>
      </w:r>
    </w:p>
    <w:p w14:paraId="08EFD754">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5、与本工程有关的标准（包括标准图集）、规范、技术资料等。</w:t>
      </w:r>
    </w:p>
    <w:p w14:paraId="16E330AC">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6、施工现场情况、工程特点及常规施工方案。</w:t>
      </w:r>
    </w:p>
    <w:p w14:paraId="4CCCC132">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7、其他有关文件、资料。</w:t>
      </w:r>
    </w:p>
    <w:p w14:paraId="51783767">
      <w:pPr>
        <w:widowControl/>
        <w:spacing w:line="480" w:lineRule="exact"/>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四、计价依据</w:t>
      </w:r>
    </w:p>
    <w:p w14:paraId="08FDDF4F">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1、定额依据：依据现行《市政工程工程量计算规范》（GB50857-2013）；《构筑物工程工程量计算规范》GB50860-2013）及所附工程量计算规则和相关解释。</w:t>
      </w:r>
    </w:p>
    <w:p w14:paraId="1E463FDF">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2、费用定额依据：</w:t>
      </w:r>
      <w:bookmarkStart w:id="0" w:name="OLE_LINK4"/>
      <w:bookmarkStart w:id="1" w:name="OLE_LINK5"/>
      <w:r>
        <w:rPr>
          <w:rFonts w:hint="eastAsia" w:asciiTheme="minorEastAsia" w:hAnsiTheme="minorEastAsia" w:eastAsiaTheme="minorEastAsia" w:cstheme="minorEastAsia"/>
          <w:kern w:val="0"/>
          <w:sz w:val="24"/>
          <w:szCs w:val="24"/>
          <w:lang w:val="en-US" w:eastAsia="zh-CN" w:bidi="ar-SA"/>
        </w:rPr>
        <w:t>塔城地区住房和城乡建设局发布（塔地住建发[2016]57号）《关于建筑业营业税改增值税调整塔城地区建设工程计价依据的实施意见》附件1建设工程费用调整表。</w:t>
      </w:r>
    </w:p>
    <w:bookmarkEnd w:id="0"/>
    <w:bookmarkEnd w:id="1"/>
    <w:p w14:paraId="7E58FF1D">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3、单位估价表依据：2020版</w:t>
      </w:r>
      <w:r>
        <w:rPr>
          <w:rFonts w:hint="eastAsia" w:asciiTheme="minorEastAsia" w:hAnsiTheme="minorEastAsia" w:eastAsiaTheme="minorEastAsia" w:cstheme="minorEastAsia"/>
          <w:kern w:val="0"/>
          <w:sz w:val="24"/>
          <w:szCs w:val="24"/>
          <w:lang w:val="zh-CN" w:eastAsia="zh-CN" w:bidi="ar-SA"/>
        </w:rPr>
        <w:t>《新疆维吾尔自治区建筑、安装、市政工程费用定额》、20</w:t>
      </w:r>
      <w:r>
        <w:rPr>
          <w:rFonts w:hint="eastAsia" w:asciiTheme="minorEastAsia" w:hAnsiTheme="minorEastAsia" w:eastAsiaTheme="minorEastAsia" w:cstheme="minorEastAsia"/>
          <w:kern w:val="0"/>
          <w:sz w:val="24"/>
          <w:szCs w:val="24"/>
          <w:lang w:val="en-US" w:eastAsia="zh-CN" w:bidi="ar-SA"/>
        </w:rPr>
        <w:t>2</w:t>
      </w:r>
      <w:r>
        <w:rPr>
          <w:rFonts w:hint="eastAsia" w:asciiTheme="minorEastAsia" w:hAnsiTheme="minorEastAsia" w:eastAsiaTheme="minorEastAsia" w:cstheme="minorEastAsia"/>
          <w:kern w:val="0"/>
          <w:sz w:val="24"/>
          <w:szCs w:val="24"/>
          <w:lang w:val="zh-CN" w:eastAsia="zh-CN" w:bidi="ar-SA"/>
        </w:rPr>
        <w:t>2年《新疆维吾尔自治区市政工程消耗量定额》及所附工程量计算规则和相关解释。</w:t>
      </w:r>
    </w:p>
    <w:p w14:paraId="4B16A01A">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4、材料费调差：额敏住房和城乡建设局发布《关于额敏（县）2025年1月份建设工程价格信息的通知》及附件二调整(材料价格为综合信息价)未发布息价的材料价格按市场价计入。</w:t>
      </w:r>
    </w:p>
    <w:p w14:paraId="6119CE96">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5、税金调整执行塔地住建发【2019】71号，税率为9%。</w:t>
      </w:r>
    </w:p>
    <w:p w14:paraId="67A51046">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6、本工程记取3％的材料风险，文件依据《关于建筑材料价格风险费用计取的指导意见》（新建标[2008]4号）。</w:t>
      </w:r>
    </w:p>
    <w:p w14:paraId="337387E1">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7、本工程计入暂列金93000元。</w:t>
      </w:r>
    </w:p>
    <w:p w14:paraId="0E856ED1">
      <w:pPr>
        <w:widowControl/>
        <w:spacing w:line="480" w:lineRule="exact"/>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8、本工程未计入材料暂估价。</w:t>
      </w:r>
    </w:p>
    <w:p w14:paraId="0D152142">
      <w:pPr>
        <w:widowControl/>
        <w:spacing w:line="480" w:lineRule="exact"/>
        <w:ind w:firstLine="480" w:firstLineChars="200"/>
        <w:jc w:val="left"/>
        <w:rPr>
          <w:rFonts w:hint="default"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9、本工程计入专业暂估价50000元（接口费暂按50000元计入）。</w:t>
      </w:r>
    </w:p>
    <w:p w14:paraId="23BF99B8">
      <w:pPr>
        <w:widowControl/>
        <w:spacing w:line="480" w:lineRule="exact"/>
        <w:ind w:firstLine="360" w:firstLineChars="200"/>
        <w:jc w:val="left"/>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18"/>
          <w:szCs w:val="18"/>
          <w:lang w:val="en-US" w:eastAsia="zh-CN" w:bidi="ar-SA"/>
        </w:rPr>
        <w:t xml:space="preserve">   </w:t>
      </w:r>
      <w:r>
        <w:rPr>
          <w:rFonts w:hint="eastAsia" w:asciiTheme="minorEastAsia" w:hAnsiTheme="minorEastAsia" w:eastAsiaTheme="minorEastAsia" w:cstheme="minorEastAsia"/>
          <w:kern w:val="0"/>
          <w:sz w:val="21"/>
          <w:szCs w:val="21"/>
          <w:lang w:val="en-US" w:eastAsia="zh-CN" w:bidi="ar-SA"/>
        </w:rPr>
        <w:t xml:space="preserve"> （注:结算审核以竣工图及建设单位确认的实际工程量为准）</w:t>
      </w:r>
    </w:p>
    <w:p w14:paraId="018C0A5E">
      <w:pPr>
        <w:widowControl/>
        <w:spacing w:line="480" w:lineRule="exact"/>
        <w:ind w:firstLine="420" w:firstLineChars="200"/>
        <w:jc w:val="left"/>
        <w:rPr>
          <w:rFonts w:hint="eastAsia" w:asciiTheme="minorEastAsia" w:hAnsiTheme="minorEastAsia" w:eastAsiaTheme="minorEastAsia" w:cstheme="minorEastAsia"/>
          <w:kern w:val="0"/>
          <w:sz w:val="21"/>
          <w:szCs w:val="21"/>
          <w:lang w:val="en-US" w:eastAsia="zh-CN" w:bidi="ar-SA"/>
        </w:rPr>
      </w:pPr>
    </w:p>
    <w:p w14:paraId="7D626E3B">
      <w:pPr>
        <w:widowControl/>
        <w:spacing w:line="480" w:lineRule="exact"/>
        <w:ind w:firstLine="420" w:firstLineChars="200"/>
        <w:jc w:val="left"/>
        <w:rPr>
          <w:rFonts w:hint="eastAsia" w:asciiTheme="minorEastAsia" w:hAnsiTheme="minorEastAsia" w:eastAsiaTheme="minorEastAsia" w:cstheme="minorEastAsia"/>
          <w:kern w:val="0"/>
          <w:sz w:val="21"/>
          <w:szCs w:val="21"/>
          <w:lang w:val="en-US" w:eastAsia="zh-CN" w:bidi="ar-SA"/>
        </w:rPr>
      </w:pPr>
      <w:bookmarkStart w:id="2" w:name="_GoBack"/>
      <w:bookmarkEnd w:id="2"/>
    </w:p>
    <w:p w14:paraId="7EE5B332">
      <w:pPr>
        <w:widowControl/>
        <w:spacing w:line="480" w:lineRule="exact"/>
        <w:ind w:firstLine="480" w:firstLineChars="200"/>
        <w:jc w:val="left"/>
        <w:rPr>
          <w:rFonts w:hint="eastAsia" w:asciiTheme="minorEastAsia" w:hAnsiTheme="minorEastAsia" w:eastAsiaTheme="minorEastAsia" w:cstheme="minorEastAsia"/>
          <w:kern w:val="0"/>
          <w:sz w:val="24"/>
          <w:szCs w:val="24"/>
        </w:rPr>
      </w:pPr>
    </w:p>
    <w:p w14:paraId="15DFF2CF">
      <w:pPr>
        <w:widowControl/>
        <w:spacing w:line="480" w:lineRule="exact"/>
        <w:ind w:firstLine="3600" w:firstLineChars="1500"/>
        <w:jc w:val="lef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 xml:space="preserve">        宏泰项目管理有限公司塔城分公司</w:t>
      </w:r>
    </w:p>
    <w:p w14:paraId="208F9EAA">
      <w:pPr>
        <w:widowControl/>
        <w:spacing w:line="480" w:lineRule="exact"/>
        <w:ind w:firstLine="480" w:firstLineChars="200"/>
        <w:jc w:val="left"/>
        <w:rPr>
          <w:rFonts w:ascii="宋体" w:hAnsi="宋体"/>
          <w:sz w:val="30"/>
          <w:szCs w:val="30"/>
        </w:rPr>
      </w:pPr>
      <w:r>
        <w:rPr>
          <w:rFonts w:hint="eastAsia" w:asciiTheme="minorEastAsia" w:hAnsiTheme="minorEastAsia" w:eastAsiaTheme="minorEastAsia" w:cstheme="minorEastAsia"/>
          <w:kern w:val="0"/>
          <w:sz w:val="24"/>
          <w:szCs w:val="24"/>
          <w:lang w:val="en-US" w:eastAsia="zh-CN"/>
        </w:rPr>
        <w:t xml:space="preserve">                                                 2025年3月9日                </w:t>
      </w:r>
      <w:r>
        <w:rPr>
          <w:rFonts w:ascii="宋体" w:hAnsi="宋体"/>
          <w:sz w:val="30"/>
          <w:szCs w:val="30"/>
        </w:rPr>
        <w:t xml:space="preserve">                        </w:t>
      </w:r>
    </w:p>
    <w:p w14:paraId="319409CA">
      <w:pPr>
        <w:spacing w:line="360" w:lineRule="auto"/>
        <w:rPr>
          <w:rFonts w:ascii="宋体"/>
          <w:sz w:val="30"/>
          <w:szCs w:val="30"/>
        </w:rPr>
      </w:pPr>
      <w:r>
        <w:rPr>
          <w:rFonts w:ascii="宋体" w:hAnsi="宋体"/>
          <w:sz w:val="30"/>
          <w:szCs w:val="30"/>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jMzdiYjE2MjQ3NzJjZDZhNjY4ZmM3NDAyZGZjYTQifQ=="/>
  </w:docVars>
  <w:rsids>
    <w:rsidRoot w:val="003A0A7D"/>
    <w:rsid w:val="000064B0"/>
    <w:rsid w:val="0008063F"/>
    <w:rsid w:val="000A53FA"/>
    <w:rsid w:val="0013525A"/>
    <w:rsid w:val="00143134"/>
    <w:rsid w:val="00146615"/>
    <w:rsid w:val="0015023D"/>
    <w:rsid w:val="00192709"/>
    <w:rsid w:val="00215D81"/>
    <w:rsid w:val="002476C1"/>
    <w:rsid w:val="0026359C"/>
    <w:rsid w:val="002E08CF"/>
    <w:rsid w:val="00330775"/>
    <w:rsid w:val="00332CF3"/>
    <w:rsid w:val="003616A9"/>
    <w:rsid w:val="003725C9"/>
    <w:rsid w:val="003A0A7D"/>
    <w:rsid w:val="003E74B1"/>
    <w:rsid w:val="0046573D"/>
    <w:rsid w:val="004D760F"/>
    <w:rsid w:val="004E34A7"/>
    <w:rsid w:val="004E5D83"/>
    <w:rsid w:val="00547685"/>
    <w:rsid w:val="005622BF"/>
    <w:rsid w:val="005B048B"/>
    <w:rsid w:val="00611844"/>
    <w:rsid w:val="00654471"/>
    <w:rsid w:val="00657EE4"/>
    <w:rsid w:val="0067184E"/>
    <w:rsid w:val="0070604A"/>
    <w:rsid w:val="007260B0"/>
    <w:rsid w:val="00750A50"/>
    <w:rsid w:val="00753F58"/>
    <w:rsid w:val="0081382E"/>
    <w:rsid w:val="00931984"/>
    <w:rsid w:val="009724AB"/>
    <w:rsid w:val="009A5026"/>
    <w:rsid w:val="009D33AE"/>
    <w:rsid w:val="009F0F26"/>
    <w:rsid w:val="00A120C6"/>
    <w:rsid w:val="00B13725"/>
    <w:rsid w:val="00B5557C"/>
    <w:rsid w:val="00BC7F77"/>
    <w:rsid w:val="00D713C7"/>
    <w:rsid w:val="00DD3C92"/>
    <w:rsid w:val="00E20230"/>
    <w:rsid w:val="00E365F9"/>
    <w:rsid w:val="00E3748A"/>
    <w:rsid w:val="00E656C1"/>
    <w:rsid w:val="00EF079A"/>
    <w:rsid w:val="00F776AD"/>
    <w:rsid w:val="00FA4AA9"/>
    <w:rsid w:val="00FB77E5"/>
    <w:rsid w:val="00FC2A8C"/>
    <w:rsid w:val="05555C6F"/>
    <w:rsid w:val="05DC1DE7"/>
    <w:rsid w:val="0DE84961"/>
    <w:rsid w:val="0FEE72E8"/>
    <w:rsid w:val="10627142"/>
    <w:rsid w:val="10B34D26"/>
    <w:rsid w:val="140404B1"/>
    <w:rsid w:val="162A3D7C"/>
    <w:rsid w:val="18021E1D"/>
    <w:rsid w:val="1CE70B0E"/>
    <w:rsid w:val="1DA34680"/>
    <w:rsid w:val="204D15B8"/>
    <w:rsid w:val="23DA7694"/>
    <w:rsid w:val="249118A1"/>
    <w:rsid w:val="25983B8E"/>
    <w:rsid w:val="2614042C"/>
    <w:rsid w:val="266570B8"/>
    <w:rsid w:val="2AA70CC9"/>
    <w:rsid w:val="2B576FAC"/>
    <w:rsid w:val="313C161C"/>
    <w:rsid w:val="33E455E1"/>
    <w:rsid w:val="3752169C"/>
    <w:rsid w:val="37AD352D"/>
    <w:rsid w:val="3C0F5787"/>
    <w:rsid w:val="3E656F93"/>
    <w:rsid w:val="3F004F0F"/>
    <w:rsid w:val="41E82DC3"/>
    <w:rsid w:val="435B5001"/>
    <w:rsid w:val="44743302"/>
    <w:rsid w:val="44E01E66"/>
    <w:rsid w:val="46A73EF6"/>
    <w:rsid w:val="4A8C56EF"/>
    <w:rsid w:val="4A9D3770"/>
    <w:rsid w:val="4C352F68"/>
    <w:rsid w:val="4D302414"/>
    <w:rsid w:val="50FC219F"/>
    <w:rsid w:val="54765DBA"/>
    <w:rsid w:val="55683EBE"/>
    <w:rsid w:val="56E75432"/>
    <w:rsid w:val="5C1F3989"/>
    <w:rsid w:val="5D312C09"/>
    <w:rsid w:val="5E1B67B7"/>
    <w:rsid w:val="62A81C00"/>
    <w:rsid w:val="65D46616"/>
    <w:rsid w:val="66804449"/>
    <w:rsid w:val="673B571D"/>
    <w:rsid w:val="67AD36B0"/>
    <w:rsid w:val="6A2C6724"/>
    <w:rsid w:val="6B3F76D3"/>
    <w:rsid w:val="6BF442EC"/>
    <w:rsid w:val="6EEA2B77"/>
    <w:rsid w:val="6F8F3CF9"/>
    <w:rsid w:val="6FA34826"/>
    <w:rsid w:val="70685EDA"/>
    <w:rsid w:val="70E90AFC"/>
    <w:rsid w:val="71D56557"/>
    <w:rsid w:val="72713A18"/>
    <w:rsid w:val="78F360D7"/>
    <w:rsid w:val="79B44BB5"/>
    <w:rsid w:val="7B253974"/>
    <w:rsid w:val="7B5A1284"/>
    <w:rsid w:val="7B816572"/>
    <w:rsid w:val="7B972B66"/>
    <w:rsid w:val="7DC72C11"/>
    <w:rsid w:val="7E6B0373"/>
    <w:rsid w:val="7F3E3BB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spacing w:before="1"/>
      <w:ind w:left="120"/>
    </w:pPr>
    <w:rPr>
      <w:rFonts w:ascii="宋体" w:hAnsi="宋体" w:eastAsia="宋体" w:cs="宋体"/>
      <w:sz w:val="24"/>
      <w:szCs w:val="24"/>
      <w:lang w:val="zh-CN" w:eastAsia="zh-CN" w:bidi="zh-CN"/>
    </w:rPr>
  </w:style>
  <w:style w:type="paragraph" w:styleId="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0</Company>
  <Pages>2</Pages>
  <Words>1019</Words>
  <Characters>1227</Characters>
  <Lines>23</Lines>
  <Paragraphs>6</Paragraphs>
  <TotalTime>16</TotalTime>
  <ScaleCrop>false</ScaleCrop>
  <LinksUpToDate>false</LinksUpToDate>
  <CharactersWithSpaces>1352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2016-06-18T04:57:00Z</dcterms:created>
  <dc:creator>admin</dc:creator>
  <cp:lastModifiedBy>Administrator</cp:lastModifiedBy>
  <cp:lastPrinted>2021-11-26T04:16:00Z</cp:lastPrinted>
  <dcterms:modified xsi:type="dcterms:W3CDTF">2025-03-10T08:44:27Z</dcterms:modified>
  <dc:title>xxx工程招标控制价编制说明</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C691793BDC204C54B759FDC8DD322CAC_13</vt:lpwstr>
  </property>
  <property fmtid="{D5CDD505-2E9C-101B-9397-08002B2CF9AE}" pid="4" name="KSOTemplateDocerSaveRecord">
    <vt:lpwstr>eyJoZGlkIjoiN2NjMzdiYjE2MjQ3NzJjZDZhNjY4ZmM3NDAyZGZjYTQifQ==</vt:lpwstr>
  </property>
</Properties>
</file>