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440E5">
      <w:pPr>
        <w:pStyle w:val="2"/>
        <w:spacing w:line="413" w:lineRule="auto"/>
      </w:pPr>
    </w:p>
    <w:p w14:paraId="6142DF71">
      <w:pPr>
        <w:spacing w:before="62" w:line="210" w:lineRule="auto"/>
        <w:ind w:left="32"/>
        <w:rPr>
          <w:rFonts w:ascii="宋体" w:hAnsi="宋体" w:eastAsia="宋体" w:cs="宋体"/>
          <w:sz w:val="19"/>
          <w:szCs w:val="19"/>
        </w:rPr>
      </w:pP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p w14:paraId="1B2757B2">
      <w:pPr>
        <w:pStyle w:val="2"/>
        <w:spacing w:line="253" w:lineRule="auto"/>
      </w:pPr>
      <w:r>
        <w:pict>
          <v:shape id="_x0000_s1026" o:spid="_x0000_s1026" style="position:absolute;left:0pt;margin-left:0.25pt;margin-top:0.65pt;height:0.5pt;width:496.9pt;z-index:251661312;mso-width-relative:page;mso-height-relative:page;" filled="f" stroked="t" coordsize="9937,10" path="m0,5l9937,5e">
            <v:fill on="f" focussize="0,0"/>
            <v:stroke weight="0.5pt" color="#000000" miterlimit="10" joinstyle="miter"/>
            <v:imagedata o:title=""/>
            <o:lock v:ext="edit"/>
          </v:shape>
        </w:pict>
      </w:r>
    </w:p>
    <w:p w14:paraId="7F80960A">
      <w:pPr>
        <w:pStyle w:val="2"/>
        <w:spacing w:line="253" w:lineRule="auto"/>
      </w:pPr>
    </w:p>
    <w:p w14:paraId="5FEA9E34">
      <w:pPr>
        <w:pStyle w:val="2"/>
        <w:spacing w:line="253" w:lineRule="auto"/>
      </w:pPr>
    </w:p>
    <w:p w14:paraId="6E3AC7D8">
      <w:pPr>
        <w:pStyle w:val="2"/>
        <w:spacing w:line="253" w:lineRule="auto"/>
      </w:pPr>
    </w:p>
    <w:p w14:paraId="3400F483">
      <w:pPr>
        <w:pStyle w:val="2"/>
        <w:spacing w:line="253" w:lineRule="auto"/>
      </w:pPr>
    </w:p>
    <w:p w14:paraId="3440AD01">
      <w:pPr>
        <w:pStyle w:val="2"/>
        <w:spacing w:line="253" w:lineRule="auto"/>
      </w:pPr>
    </w:p>
    <w:p w14:paraId="04FC2178">
      <w:pPr>
        <w:pStyle w:val="2"/>
        <w:spacing w:line="253" w:lineRule="auto"/>
      </w:pPr>
    </w:p>
    <w:p w14:paraId="6AA1B1B9">
      <w:pPr>
        <w:pStyle w:val="2"/>
        <w:spacing w:line="253" w:lineRule="auto"/>
      </w:pPr>
    </w:p>
    <w:p w14:paraId="780306E1">
      <w:pPr>
        <w:pStyle w:val="2"/>
        <w:spacing w:line="253" w:lineRule="auto"/>
      </w:pPr>
    </w:p>
    <w:p w14:paraId="31D8B3BF">
      <w:pPr>
        <w:pStyle w:val="2"/>
        <w:spacing w:line="253" w:lineRule="auto"/>
      </w:pPr>
    </w:p>
    <w:p w14:paraId="46BB6A3C">
      <w:pPr>
        <w:pStyle w:val="2"/>
        <w:spacing w:line="253" w:lineRule="auto"/>
      </w:pPr>
    </w:p>
    <w:p w14:paraId="19B56463">
      <w:pPr>
        <w:pStyle w:val="2"/>
        <w:spacing w:line="253" w:lineRule="auto"/>
      </w:pPr>
    </w:p>
    <w:p w14:paraId="494C23F2">
      <w:pPr>
        <w:pStyle w:val="2"/>
        <w:spacing w:line="253" w:lineRule="auto"/>
      </w:pPr>
    </w:p>
    <w:p w14:paraId="3BB0AFFD">
      <w:pPr>
        <w:spacing w:before="234" w:line="219" w:lineRule="auto"/>
        <w:ind w:left="1021"/>
        <w:outlineLvl w:val="0"/>
        <w:rPr>
          <w:rFonts w:ascii="宋体" w:hAnsi="宋体" w:eastAsia="宋体" w:cs="宋体"/>
          <w:sz w:val="72"/>
          <w:szCs w:val="72"/>
        </w:rPr>
      </w:pPr>
      <w:r>
        <w:rPr>
          <w:rFonts w:ascii="宋体" w:hAnsi="宋体" w:eastAsia="宋体" w:cs="宋体"/>
          <w:b/>
          <w:bCs/>
          <w:spacing w:val="-8"/>
          <w:sz w:val="72"/>
          <w:szCs w:val="72"/>
        </w:rPr>
        <w:t>伊犁州公共资源交易中心</w:t>
      </w:r>
    </w:p>
    <w:p w14:paraId="51EACC7D">
      <w:pPr>
        <w:pStyle w:val="2"/>
        <w:spacing w:line="242" w:lineRule="auto"/>
      </w:pPr>
    </w:p>
    <w:p w14:paraId="48480842">
      <w:pPr>
        <w:pStyle w:val="2"/>
        <w:spacing w:line="243" w:lineRule="auto"/>
      </w:pPr>
    </w:p>
    <w:p w14:paraId="34DDCF0B">
      <w:pPr>
        <w:pStyle w:val="2"/>
        <w:spacing w:line="243" w:lineRule="auto"/>
      </w:pPr>
    </w:p>
    <w:p w14:paraId="14EBD29F">
      <w:pPr>
        <w:pStyle w:val="2"/>
        <w:spacing w:line="243" w:lineRule="auto"/>
      </w:pPr>
    </w:p>
    <w:p w14:paraId="7E1B9B4B">
      <w:pPr>
        <w:pStyle w:val="2"/>
        <w:spacing w:line="243" w:lineRule="auto"/>
      </w:pPr>
    </w:p>
    <w:p w14:paraId="369089FC">
      <w:pPr>
        <w:spacing w:before="309" w:line="187" w:lineRule="auto"/>
        <w:ind w:left="2842"/>
        <w:outlineLvl w:val="1"/>
        <w:rPr>
          <w:rFonts w:ascii="微软雅黑" w:hAnsi="微软雅黑" w:eastAsia="微软雅黑" w:cs="微软雅黑"/>
          <w:sz w:val="72"/>
          <w:szCs w:val="72"/>
        </w:rPr>
      </w:pPr>
      <w:r>
        <w:rPr>
          <w:rFonts w:ascii="微软雅黑" w:hAnsi="微软雅黑" w:eastAsia="微软雅黑" w:cs="微软雅黑"/>
          <w:b/>
          <w:bCs/>
          <w:spacing w:val="-5"/>
          <w:sz w:val="72"/>
          <w:szCs w:val="72"/>
        </w:rPr>
        <w:t>公开招标文件</w:t>
      </w:r>
    </w:p>
    <w:p w14:paraId="5AFAF38B">
      <w:pPr>
        <w:pStyle w:val="2"/>
        <w:spacing w:line="292" w:lineRule="auto"/>
      </w:pPr>
    </w:p>
    <w:p w14:paraId="12623C62">
      <w:pPr>
        <w:pStyle w:val="2"/>
        <w:spacing w:line="293" w:lineRule="auto"/>
      </w:pPr>
    </w:p>
    <w:p w14:paraId="34473249">
      <w:pPr>
        <w:spacing w:before="206" w:line="182" w:lineRule="auto"/>
        <w:ind w:left="3819"/>
        <w:rPr>
          <w:rFonts w:ascii="微软雅黑" w:hAnsi="微软雅黑" w:eastAsia="微软雅黑" w:cs="微软雅黑"/>
          <w:sz w:val="48"/>
          <w:szCs w:val="48"/>
        </w:rPr>
      </w:pPr>
      <w:r>
        <w:rPr>
          <w:rFonts w:ascii="微软雅黑" w:hAnsi="微软雅黑" w:eastAsia="微软雅黑" w:cs="微软雅黑"/>
          <w:spacing w:val="-16"/>
          <w:sz w:val="48"/>
          <w:szCs w:val="48"/>
        </w:rPr>
        <w:t>（服务类）</w:t>
      </w:r>
    </w:p>
    <w:p w14:paraId="1DCB3E91">
      <w:pPr>
        <w:spacing w:before="23"/>
      </w:pPr>
    </w:p>
    <w:p w14:paraId="2AAD6578">
      <w:pPr>
        <w:spacing w:before="22"/>
      </w:pPr>
    </w:p>
    <w:p w14:paraId="796B3C9D">
      <w:pPr>
        <w:spacing w:before="22"/>
      </w:pPr>
    </w:p>
    <w:p w14:paraId="04863B46">
      <w:pPr>
        <w:spacing w:before="22"/>
      </w:pPr>
    </w:p>
    <w:p w14:paraId="34D92850">
      <w:pPr>
        <w:spacing w:before="22"/>
      </w:pPr>
    </w:p>
    <w:p w14:paraId="0FB71B0F">
      <w:pPr>
        <w:spacing w:before="22"/>
      </w:pPr>
    </w:p>
    <w:p w14:paraId="66383147">
      <w:pPr>
        <w:spacing w:before="22"/>
      </w:pPr>
    </w:p>
    <w:tbl>
      <w:tblPr>
        <w:tblStyle w:val="5"/>
        <w:tblW w:w="8480" w:type="dxa"/>
        <w:tblInd w:w="5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0"/>
      </w:tblGrid>
      <w:tr w14:paraId="1CED6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8480" w:type="dxa"/>
            <w:vAlign w:val="top"/>
          </w:tcPr>
          <w:p w14:paraId="55D6F227">
            <w:pPr>
              <w:spacing w:before="139" w:line="225" w:lineRule="auto"/>
              <w:ind w:right="16"/>
              <w:jc w:val="right"/>
              <w:rPr>
                <w:rFonts w:ascii="楷体" w:hAnsi="楷体" w:eastAsia="楷体" w:cs="楷体"/>
                <w:sz w:val="32"/>
                <w:szCs w:val="32"/>
              </w:rPr>
            </w:pPr>
            <w:r>
              <w:rPr>
                <w:rFonts w:ascii="楷体" w:hAnsi="楷体" w:eastAsia="楷体" w:cs="楷体"/>
                <w:b/>
                <w:bCs/>
                <w:spacing w:val="-3"/>
                <w:sz w:val="32"/>
                <w:szCs w:val="32"/>
              </w:rPr>
              <w:t>项目名称：伊犁州中医医院信息类软件购置项目（第二批）</w:t>
            </w:r>
          </w:p>
        </w:tc>
      </w:tr>
      <w:tr w14:paraId="6300B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8480" w:type="dxa"/>
            <w:vAlign w:val="top"/>
          </w:tcPr>
          <w:p w14:paraId="72F87A8A">
            <w:pPr>
              <w:spacing w:before="140" w:line="225" w:lineRule="auto"/>
              <w:ind w:left="125"/>
              <w:rPr>
                <w:rFonts w:ascii="楷体" w:hAnsi="楷体" w:eastAsia="楷体" w:cs="楷体"/>
                <w:sz w:val="32"/>
                <w:szCs w:val="32"/>
              </w:rPr>
            </w:pPr>
            <w:r>
              <w:rPr>
                <w:rFonts w:ascii="楷体" w:hAnsi="楷体" w:eastAsia="楷体" w:cs="楷体"/>
                <w:b/>
                <w:bCs/>
                <w:spacing w:val="-4"/>
                <w:sz w:val="32"/>
                <w:szCs w:val="32"/>
              </w:rPr>
              <w:t>文件编号：YLCG-2024GK-019</w:t>
            </w:r>
            <w:r>
              <w:rPr>
                <w:rFonts w:ascii="楷体" w:hAnsi="楷体" w:eastAsia="楷体" w:cs="楷体"/>
                <w:spacing w:val="-46"/>
                <w:sz w:val="32"/>
                <w:szCs w:val="32"/>
              </w:rPr>
              <w:t xml:space="preserve"> </w:t>
            </w:r>
            <w:r>
              <w:rPr>
                <w:rFonts w:ascii="楷体" w:hAnsi="楷体" w:eastAsia="楷体" w:cs="楷体"/>
                <w:b/>
                <w:bCs/>
                <w:spacing w:val="-4"/>
                <w:sz w:val="32"/>
                <w:szCs w:val="32"/>
              </w:rPr>
              <w:t>号</w:t>
            </w:r>
          </w:p>
        </w:tc>
      </w:tr>
      <w:tr w14:paraId="6CC42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8480" w:type="dxa"/>
            <w:vAlign w:val="top"/>
          </w:tcPr>
          <w:p w14:paraId="491A799F">
            <w:pPr>
              <w:spacing w:before="143" w:line="225" w:lineRule="auto"/>
              <w:ind w:left="109"/>
              <w:rPr>
                <w:rFonts w:ascii="楷体" w:hAnsi="楷体" w:eastAsia="楷体" w:cs="楷体"/>
                <w:sz w:val="32"/>
                <w:szCs w:val="32"/>
              </w:rPr>
            </w:pPr>
            <w:r>
              <w:rPr>
                <w:rFonts w:ascii="楷体" w:hAnsi="楷体" w:eastAsia="楷体" w:cs="楷体"/>
                <w:b/>
                <w:bCs/>
                <w:spacing w:val="-3"/>
                <w:sz w:val="32"/>
                <w:szCs w:val="32"/>
              </w:rPr>
              <w:t>采</w:t>
            </w:r>
            <w:r>
              <w:rPr>
                <w:rFonts w:ascii="楷体" w:hAnsi="楷体" w:eastAsia="楷体" w:cs="楷体"/>
                <w:spacing w:val="-3"/>
                <w:sz w:val="32"/>
                <w:szCs w:val="32"/>
              </w:rPr>
              <w:t xml:space="preserve"> </w:t>
            </w:r>
            <w:r>
              <w:rPr>
                <w:rFonts w:ascii="楷体" w:hAnsi="楷体" w:eastAsia="楷体" w:cs="楷体"/>
                <w:b/>
                <w:bCs/>
                <w:spacing w:val="-3"/>
                <w:sz w:val="32"/>
                <w:szCs w:val="32"/>
              </w:rPr>
              <w:t>购</w:t>
            </w:r>
            <w:r>
              <w:rPr>
                <w:rFonts w:ascii="楷体" w:hAnsi="楷体" w:eastAsia="楷体" w:cs="楷体"/>
                <w:spacing w:val="-3"/>
                <w:sz w:val="32"/>
                <w:szCs w:val="32"/>
              </w:rPr>
              <w:t xml:space="preserve"> </w:t>
            </w:r>
            <w:r>
              <w:rPr>
                <w:rFonts w:ascii="楷体" w:hAnsi="楷体" w:eastAsia="楷体" w:cs="楷体"/>
                <w:b/>
                <w:bCs/>
                <w:spacing w:val="-3"/>
                <w:sz w:val="32"/>
                <w:szCs w:val="32"/>
              </w:rPr>
              <w:t>人：伊犁州中医医院</w:t>
            </w:r>
          </w:p>
        </w:tc>
      </w:tr>
    </w:tbl>
    <w:p w14:paraId="0BFB009B">
      <w:pPr>
        <w:pStyle w:val="2"/>
        <w:spacing w:line="244" w:lineRule="auto"/>
      </w:pPr>
    </w:p>
    <w:p w14:paraId="649246DC">
      <w:pPr>
        <w:pStyle w:val="2"/>
        <w:spacing w:line="244" w:lineRule="auto"/>
      </w:pPr>
    </w:p>
    <w:p w14:paraId="555F79AF">
      <w:pPr>
        <w:pStyle w:val="2"/>
        <w:spacing w:line="244" w:lineRule="auto"/>
      </w:pPr>
    </w:p>
    <w:p w14:paraId="526173F3">
      <w:pPr>
        <w:pStyle w:val="2"/>
        <w:spacing w:line="244" w:lineRule="auto"/>
      </w:pPr>
    </w:p>
    <w:p w14:paraId="37DA4E1B">
      <w:pPr>
        <w:pStyle w:val="2"/>
        <w:spacing w:line="244" w:lineRule="auto"/>
      </w:pPr>
    </w:p>
    <w:p w14:paraId="07887AAD">
      <w:pPr>
        <w:pStyle w:val="2"/>
        <w:spacing w:line="244" w:lineRule="auto"/>
      </w:pPr>
    </w:p>
    <w:p w14:paraId="685F72D3">
      <w:pPr>
        <w:pStyle w:val="2"/>
        <w:spacing w:line="244" w:lineRule="auto"/>
      </w:pPr>
    </w:p>
    <w:p w14:paraId="77EAC242">
      <w:pPr>
        <w:pStyle w:val="2"/>
        <w:spacing w:line="245" w:lineRule="auto"/>
      </w:pPr>
    </w:p>
    <w:p w14:paraId="318B2C17">
      <w:pPr>
        <w:spacing w:before="62" w:line="209" w:lineRule="auto"/>
        <w:ind w:left="138"/>
        <w:rPr>
          <w:rFonts w:ascii="宋体" w:hAnsi="宋体" w:eastAsia="宋体" w:cs="宋体"/>
          <w:sz w:val="19"/>
          <w:szCs w:val="19"/>
        </w:rPr>
      </w:pPr>
      <w:r>
        <w:pict>
          <v:shape id="_x0000_s1027" o:spid="_x0000_s1027" style="position:absolute;left:0pt;margin-left:1.45pt;margin-top:11.8pt;height:0.75pt;width:494pt;z-index:251662336;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1                                </w:t>
      </w:r>
      <w:r>
        <w:rPr>
          <w:rFonts w:ascii="宋体" w:hAnsi="宋体" w:eastAsia="宋体" w:cs="宋体"/>
          <w:b/>
          <w:bCs/>
          <w:i/>
          <w:iCs/>
          <w:spacing w:val="-3"/>
          <w:sz w:val="19"/>
          <w:szCs w:val="19"/>
        </w:rPr>
        <w:t>伊犁州公共资源交易中心</w:t>
      </w:r>
    </w:p>
    <w:p w14:paraId="00D9C6B5">
      <w:pPr>
        <w:spacing w:line="209" w:lineRule="auto"/>
        <w:rPr>
          <w:rFonts w:ascii="宋体" w:hAnsi="宋体" w:eastAsia="宋体" w:cs="宋体"/>
          <w:sz w:val="19"/>
          <w:szCs w:val="19"/>
        </w:rPr>
        <w:sectPr>
          <w:headerReference r:id="rId5" w:type="default"/>
          <w:pgSz w:w="11905" w:h="16839"/>
          <w:pgMar w:top="400" w:right="830" w:bottom="0" w:left="1136" w:header="0" w:footer="0" w:gutter="0"/>
          <w:cols w:space="720" w:num="1"/>
        </w:sectPr>
      </w:pPr>
    </w:p>
    <w:p w14:paraId="3B5BAE38">
      <w:pPr>
        <w:pStyle w:val="2"/>
        <w:spacing w:line="298" w:lineRule="auto"/>
      </w:pPr>
    </w:p>
    <w:sdt>
      <w:sdtPr>
        <w:rPr>
          <w:rFonts w:ascii="微软雅黑" w:hAnsi="微软雅黑" w:eastAsia="微软雅黑" w:cs="微软雅黑"/>
          <w:sz w:val="30"/>
          <w:szCs w:val="30"/>
        </w:rPr>
        <w:id w:val="147472392"/>
        <w:docPartObj>
          <w:docPartGallery w:val="Table of Contents"/>
          <w:docPartUnique/>
        </w:docPartObj>
      </w:sdtPr>
      <w:sdtEndPr>
        <w:rPr>
          <w:rFonts w:ascii="仿宋" w:hAnsi="仿宋" w:eastAsia="仿宋" w:cs="仿宋"/>
          <w:sz w:val="21"/>
          <w:szCs w:val="21"/>
        </w:rPr>
      </w:sdtEndPr>
      <w:sdtContent>
        <w:p w14:paraId="61031878">
          <w:pPr>
            <w:spacing w:before="129" w:line="190" w:lineRule="auto"/>
            <w:ind w:left="4478"/>
            <w:rPr>
              <w:rFonts w:ascii="微软雅黑" w:hAnsi="微软雅黑" w:eastAsia="微软雅黑" w:cs="微软雅黑"/>
              <w:sz w:val="30"/>
              <w:szCs w:val="30"/>
            </w:rPr>
          </w:pPr>
          <w:r>
            <w:rPr>
              <w:rFonts w:ascii="微软雅黑" w:hAnsi="微软雅黑" w:eastAsia="微软雅黑" w:cs="微软雅黑"/>
              <w:spacing w:val="-25"/>
              <w:sz w:val="30"/>
              <w:szCs w:val="30"/>
            </w:rPr>
            <w:t>目</w:t>
          </w:r>
          <w:r>
            <w:rPr>
              <w:rFonts w:ascii="微软雅黑" w:hAnsi="微软雅黑" w:eastAsia="微软雅黑" w:cs="微软雅黑"/>
              <w:spacing w:val="13"/>
              <w:sz w:val="30"/>
              <w:szCs w:val="30"/>
            </w:rPr>
            <w:t xml:space="preserve">      </w:t>
          </w:r>
          <w:r>
            <w:rPr>
              <w:rFonts w:ascii="微软雅黑" w:hAnsi="微软雅黑" w:eastAsia="微软雅黑" w:cs="微软雅黑"/>
              <w:spacing w:val="-25"/>
              <w:sz w:val="30"/>
              <w:szCs w:val="30"/>
            </w:rPr>
            <w:t>录</w:t>
          </w:r>
        </w:p>
        <w:p w14:paraId="705F52FF">
          <w:pPr>
            <w:tabs>
              <w:tab w:val="right" w:leader="dot" w:pos="9909"/>
            </w:tabs>
            <w:spacing w:before="81" w:line="312" w:lineRule="exact"/>
            <w:ind w:left="37"/>
            <w:rPr>
              <w:rFonts w:ascii="仿宋" w:hAnsi="仿宋" w:eastAsia="仿宋" w:cs="仿宋"/>
              <w:sz w:val="21"/>
              <w:szCs w:val="21"/>
            </w:rPr>
          </w:pPr>
          <w:bookmarkStart w:id="0" w:name="bookmark1"/>
          <w:bookmarkEnd w:id="0"/>
          <w:r>
            <w:fldChar w:fldCharType="begin"/>
          </w:r>
          <w:r>
            <w:instrText xml:space="preserve"> HYPERLINK \l "bookmark1" </w:instrText>
          </w:r>
          <w:r>
            <w:fldChar w:fldCharType="separate"/>
          </w:r>
          <w:r>
            <w:rPr>
              <w:rFonts w:ascii="宋体" w:hAnsi="宋体" w:eastAsia="宋体" w:cs="宋体"/>
              <w:spacing w:val="-1"/>
              <w:position w:val="2"/>
              <w:sz w:val="21"/>
              <w:szCs w:val="21"/>
            </w:rPr>
            <w:t>第一部分  投标邀请</w:t>
          </w:r>
          <w:r>
            <w:rPr>
              <w:rFonts w:ascii="宋体" w:hAnsi="宋体" w:eastAsia="宋体" w:cs="宋体"/>
              <w:position w:val="2"/>
              <w:sz w:val="21"/>
              <w:szCs w:val="21"/>
            </w:rPr>
            <w:tab/>
          </w:r>
          <w:r>
            <w:rPr>
              <w:rFonts w:ascii="宋体" w:hAnsi="宋体" w:eastAsia="宋体" w:cs="宋体"/>
              <w:spacing w:val="-81"/>
              <w:position w:val="2"/>
              <w:sz w:val="21"/>
              <w:szCs w:val="21"/>
            </w:rPr>
            <w:t xml:space="preserve"> </w:t>
          </w:r>
          <w:r>
            <w:rPr>
              <w:rFonts w:ascii="仿宋" w:hAnsi="仿宋" w:eastAsia="仿宋" w:cs="仿宋"/>
              <w:position w:val="2"/>
              <w:sz w:val="21"/>
              <w:szCs w:val="21"/>
            </w:rPr>
            <w:t>3</w:t>
          </w:r>
          <w:r>
            <w:rPr>
              <w:rFonts w:ascii="仿宋" w:hAnsi="仿宋" w:eastAsia="仿宋" w:cs="仿宋"/>
              <w:position w:val="2"/>
              <w:sz w:val="21"/>
              <w:szCs w:val="21"/>
            </w:rPr>
            <w:fldChar w:fldCharType="end"/>
          </w:r>
        </w:p>
        <w:p w14:paraId="03DDF207">
          <w:pPr>
            <w:tabs>
              <w:tab w:val="right" w:leader="dot" w:pos="9909"/>
            </w:tabs>
            <w:spacing w:before="77" w:line="220" w:lineRule="auto"/>
            <w:ind w:left="37"/>
            <w:rPr>
              <w:rFonts w:ascii="仿宋" w:hAnsi="仿宋" w:eastAsia="仿宋" w:cs="仿宋"/>
              <w:sz w:val="21"/>
              <w:szCs w:val="21"/>
            </w:rPr>
          </w:pPr>
          <w:bookmarkStart w:id="1" w:name="bookmark2"/>
          <w:bookmarkEnd w:id="1"/>
          <w:r>
            <w:fldChar w:fldCharType="begin"/>
          </w:r>
          <w:r>
            <w:instrText xml:space="preserve"> HYPERLINK \l "bookmark2" </w:instrText>
          </w:r>
          <w:r>
            <w:fldChar w:fldCharType="separate"/>
          </w:r>
          <w:r>
            <w:rPr>
              <w:rFonts w:ascii="宋体" w:hAnsi="宋体" w:eastAsia="宋体" w:cs="宋体"/>
              <w:spacing w:val="-1"/>
              <w:sz w:val="21"/>
              <w:szCs w:val="21"/>
            </w:rPr>
            <w:t>第二部分  投标人须知</w:t>
          </w:r>
          <w:r>
            <w:rPr>
              <w:rFonts w:ascii="宋体" w:hAnsi="宋体" w:eastAsia="宋体" w:cs="宋体"/>
              <w:sz w:val="21"/>
              <w:szCs w:val="21"/>
            </w:rPr>
            <w:tab/>
          </w:r>
          <w:r>
            <w:rPr>
              <w:rFonts w:ascii="仿宋" w:hAnsi="仿宋" w:eastAsia="仿宋" w:cs="仿宋"/>
              <w:sz w:val="21"/>
              <w:szCs w:val="21"/>
            </w:rPr>
            <w:t>4</w:t>
          </w:r>
          <w:r>
            <w:rPr>
              <w:rFonts w:ascii="仿宋" w:hAnsi="仿宋" w:eastAsia="仿宋" w:cs="仿宋"/>
              <w:sz w:val="21"/>
              <w:szCs w:val="21"/>
            </w:rPr>
            <w:fldChar w:fldCharType="end"/>
          </w:r>
        </w:p>
        <w:p w14:paraId="4D25B86E">
          <w:pPr>
            <w:tabs>
              <w:tab w:val="right" w:leader="dot" w:pos="9909"/>
            </w:tabs>
            <w:spacing w:before="109" w:line="217" w:lineRule="auto"/>
            <w:ind w:left="467"/>
            <w:rPr>
              <w:rFonts w:ascii="仿宋" w:hAnsi="仿宋" w:eastAsia="仿宋" w:cs="仿宋"/>
              <w:sz w:val="21"/>
              <w:szCs w:val="21"/>
            </w:rPr>
          </w:pPr>
          <w:bookmarkStart w:id="2" w:name="bookmark3"/>
          <w:bookmarkEnd w:id="2"/>
          <w:r>
            <w:fldChar w:fldCharType="begin"/>
          </w:r>
          <w:r>
            <w:instrText xml:space="preserve"> HYPERLINK \l "bookmark3" </w:instrText>
          </w:r>
          <w:r>
            <w:fldChar w:fldCharType="separate"/>
          </w:r>
          <w:r>
            <w:rPr>
              <w:rFonts w:ascii="仿宋" w:hAnsi="仿宋" w:eastAsia="仿宋" w:cs="仿宋"/>
              <w:spacing w:val="-3"/>
              <w:sz w:val="21"/>
              <w:szCs w:val="21"/>
            </w:rPr>
            <w:t>第一章 招标说明</w:t>
          </w:r>
          <w:r>
            <w:rPr>
              <w:rFonts w:ascii="仿宋" w:hAnsi="仿宋" w:eastAsia="仿宋" w:cs="仿宋"/>
              <w:sz w:val="21"/>
              <w:szCs w:val="21"/>
            </w:rPr>
            <w:tab/>
          </w:r>
          <w:r>
            <w:rPr>
              <w:rFonts w:ascii="仿宋" w:hAnsi="仿宋" w:eastAsia="仿宋" w:cs="仿宋"/>
              <w:sz w:val="21"/>
              <w:szCs w:val="21"/>
            </w:rPr>
            <w:t>4</w:t>
          </w:r>
          <w:r>
            <w:rPr>
              <w:rFonts w:ascii="仿宋" w:hAnsi="仿宋" w:eastAsia="仿宋" w:cs="仿宋"/>
              <w:sz w:val="21"/>
              <w:szCs w:val="21"/>
            </w:rPr>
            <w:fldChar w:fldCharType="end"/>
          </w:r>
        </w:p>
        <w:p w14:paraId="75339662">
          <w:pPr>
            <w:tabs>
              <w:tab w:val="right" w:leader="dot" w:pos="9909"/>
            </w:tabs>
            <w:spacing w:before="111" w:line="217" w:lineRule="auto"/>
            <w:ind w:left="467"/>
            <w:rPr>
              <w:rFonts w:ascii="仿宋" w:hAnsi="仿宋" w:eastAsia="仿宋" w:cs="仿宋"/>
              <w:sz w:val="21"/>
              <w:szCs w:val="21"/>
            </w:rPr>
          </w:pPr>
          <w:bookmarkStart w:id="3" w:name="bookmark4"/>
          <w:bookmarkEnd w:id="3"/>
          <w:r>
            <w:fldChar w:fldCharType="begin"/>
          </w:r>
          <w:r>
            <w:instrText xml:space="preserve"> HYPERLINK \l "bookmark4" </w:instrText>
          </w:r>
          <w:r>
            <w:fldChar w:fldCharType="separate"/>
          </w:r>
          <w:r>
            <w:rPr>
              <w:rFonts w:ascii="仿宋" w:hAnsi="仿宋" w:eastAsia="仿宋" w:cs="仿宋"/>
              <w:spacing w:val="-2"/>
              <w:sz w:val="21"/>
              <w:szCs w:val="21"/>
            </w:rPr>
            <w:t>第二章 投标人的资格要求</w:t>
          </w:r>
          <w:r>
            <w:rPr>
              <w:rFonts w:ascii="仿宋" w:hAnsi="仿宋" w:eastAsia="仿宋" w:cs="仿宋"/>
              <w:sz w:val="21"/>
              <w:szCs w:val="21"/>
            </w:rPr>
            <w:tab/>
          </w:r>
          <w:r>
            <w:rPr>
              <w:rFonts w:ascii="仿宋" w:hAnsi="仿宋" w:eastAsia="仿宋" w:cs="仿宋"/>
              <w:sz w:val="21"/>
              <w:szCs w:val="21"/>
            </w:rPr>
            <w:t>5</w:t>
          </w:r>
          <w:r>
            <w:rPr>
              <w:rFonts w:ascii="仿宋" w:hAnsi="仿宋" w:eastAsia="仿宋" w:cs="仿宋"/>
              <w:sz w:val="21"/>
              <w:szCs w:val="21"/>
            </w:rPr>
            <w:fldChar w:fldCharType="end"/>
          </w:r>
        </w:p>
        <w:p w14:paraId="01A4D0CE">
          <w:pPr>
            <w:tabs>
              <w:tab w:val="right" w:leader="dot" w:pos="9909"/>
            </w:tabs>
            <w:spacing w:before="109" w:line="217" w:lineRule="auto"/>
            <w:ind w:left="467"/>
            <w:rPr>
              <w:rFonts w:ascii="仿宋" w:hAnsi="仿宋" w:eastAsia="仿宋" w:cs="仿宋"/>
              <w:sz w:val="21"/>
              <w:szCs w:val="21"/>
            </w:rPr>
          </w:pPr>
          <w:bookmarkStart w:id="4" w:name="bookmark5"/>
          <w:bookmarkEnd w:id="4"/>
          <w:r>
            <w:fldChar w:fldCharType="begin"/>
          </w:r>
          <w:r>
            <w:instrText xml:space="preserve"> HYPERLINK \l "bookmark5" </w:instrText>
          </w:r>
          <w:r>
            <w:fldChar w:fldCharType="separate"/>
          </w:r>
          <w:r>
            <w:rPr>
              <w:rFonts w:ascii="仿宋" w:hAnsi="仿宋" w:eastAsia="仿宋" w:cs="仿宋"/>
              <w:spacing w:val="-2"/>
              <w:sz w:val="21"/>
              <w:szCs w:val="21"/>
            </w:rPr>
            <w:t>第三章 投标文件的编制和递交</w:t>
          </w:r>
          <w:r>
            <w:rPr>
              <w:rFonts w:ascii="仿宋" w:hAnsi="仿宋" w:eastAsia="仿宋" w:cs="仿宋"/>
              <w:sz w:val="21"/>
              <w:szCs w:val="21"/>
            </w:rPr>
            <w:tab/>
          </w:r>
          <w:r>
            <w:rPr>
              <w:rFonts w:ascii="仿宋" w:hAnsi="仿宋" w:eastAsia="仿宋" w:cs="仿宋"/>
              <w:sz w:val="21"/>
              <w:szCs w:val="21"/>
            </w:rPr>
            <w:t>6</w:t>
          </w:r>
          <w:r>
            <w:rPr>
              <w:rFonts w:ascii="仿宋" w:hAnsi="仿宋" w:eastAsia="仿宋" w:cs="仿宋"/>
              <w:sz w:val="21"/>
              <w:szCs w:val="21"/>
            </w:rPr>
            <w:fldChar w:fldCharType="end"/>
          </w:r>
        </w:p>
        <w:p w14:paraId="150BC3E8">
          <w:pPr>
            <w:tabs>
              <w:tab w:val="right" w:leader="dot" w:pos="9909"/>
            </w:tabs>
            <w:spacing w:before="112" w:line="216" w:lineRule="auto"/>
            <w:ind w:left="467"/>
            <w:rPr>
              <w:rFonts w:ascii="仿宋" w:hAnsi="仿宋" w:eastAsia="仿宋" w:cs="仿宋"/>
              <w:sz w:val="21"/>
              <w:szCs w:val="21"/>
            </w:rPr>
          </w:pPr>
          <w:bookmarkStart w:id="5" w:name="bookmark6"/>
          <w:bookmarkEnd w:id="5"/>
          <w:r>
            <w:fldChar w:fldCharType="begin"/>
          </w:r>
          <w:r>
            <w:instrText xml:space="preserve"> HYPERLINK \l "bookmark6" </w:instrText>
          </w:r>
          <w:r>
            <w:fldChar w:fldCharType="separate"/>
          </w:r>
          <w:r>
            <w:rPr>
              <w:rFonts w:ascii="仿宋" w:hAnsi="仿宋" w:eastAsia="仿宋" w:cs="仿宋"/>
              <w:spacing w:val="-2"/>
              <w:sz w:val="21"/>
              <w:szCs w:val="21"/>
            </w:rPr>
            <w:t>第四章 投标报价及保证金</w:t>
          </w:r>
          <w:r>
            <w:rPr>
              <w:rFonts w:ascii="仿宋" w:hAnsi="仿宋" w:eastAsia="仿宋" w:cs="仿宋"/>
              <w:sz w:val="21"/>
              <w:szCs w:val="21"/>
            </w:rPr>
            <w:tab/>
          </w:r>
          <w:r>
            <w:rPr>
              <w:rFonts w:ascii="仿宋" w:hAnsi="仿宋" w:eastAsia="仿宋" w:cs="仿宋"/>
              <w:sz w:val="21"/>
              <w:szCs w:val="21"/>
            </w:rPr>
            <w:t>7</w:t>
          </w:r>
          <w:r>
            <w:rPr>
              <w:rFonts w:ascii="仿宋" w:hAnsi="仿宋" w:eastAsia="仿宋" w:cs="仿宋"/>
              <w:sz w:val="21"/>
              <w:szCs w:val="21"/>
            </w:rPr>
            <w:fldChar w:fldCharType="end"/>
          </w:r>
        </w:p>
        <w:p w14:paraId="4066B475">
          <w:pPr>
            <w:tabs>
              <w:tab w:val="right" w:leader="dot" w:pos="9909"/>
            </w:tabs>
            <w:spacing w:before="110" w:line="219" w:lineRule="auto"/>
            <w:ind w:left="37"/>
            <w:rPr>
              <w:rFonts w:ascii="仿宋" w:hAnsi="仿宋" w:eastAsia="仿宋" w:cs="仿宋"/>
              <w:sz w:val="21"/>
              <w:szCs w:val="21"/>
            </w:rPr>
          </w:pPr>
          <w:bookmarkStart w:id="6" w:name="bookmark7"/>
          <w:bookmarkEnd w:id="6"/>
          <w:r>
            <w:fldChar w:fldCharType="begin"/>
          </w:r>
          <w:r>
            <w:instrText xml:space="preserve"> HYPERLINK \l "bookmark7" </w:instrText>
          </w:r>
          <w:r>
            <w:fldChar w:fldCharType="separate"/>
          </w:r>
          <w:r>
            <w:rPr>
              <w:rFonts w:ascii="宋体" w:hAnsi="宋体" w:eastAsia="宋体" w:cs="宋体"/>
              <w:spacing w:val="-1"/>
              <w:sz w:val="21"/>
              <w:szCs w:val="21"/>
            </w:rPr>
            <w:t>第三部分  采购需求及商务要求</w:t>
          </w:r>
          <w:r>
            <w:rPr>
              <w:rFonts w:ascii="宋体" w:hAnsi="宋体" w:eastAsia="宋体" w:cs="宋体"/>
              <w:sz w:val="21"/>
              <w:szCs w:val="21"/>
            </w:rPr>
            <w:tab/>
          </w:r>
          <w:r>
            <w:rPr>
              <w:rFonts w:ascii="仿宋" w:hAnsi="仿宋" w:eastAsia="仿宋" w:cs="仿宋"/>
              <w:sz w:val="21"/>
              <w:szCs w:val="21"/>
            </w:rPr>
            <w:t>8</w:t>
          </w:r>
          <w:r>
            <w:rPr>
              <w:rFonts w:ascii="仿宋" w:hAnsi="仿宋" w:eastAsia="仿宋" w:cs="仿宋"/>
              <w:sz w:val="21"/>
              <w:szCs w:val="21"/>
            </w:rPr>
            <w:fldChar w:fldCharType="end"/>
          </w:r>
        </w:p>
        <w:p w14:paraId="409D5C69">
          <w:pPr>
            <w:tabs>
              <w:tab w:val="right" w:leader="dot" w:pos="9909"/>
            </w:tabs>
            <w:spacing w:before="110" w:line="217" w:lineRule="auto"/>
            <w:ind w:left="467"/>
            <w:rPr>
              <w:rFonts w:ascii="仿宋" w:hAnsi="仿宋" w:eastAsia="仿宋" w:cs="仿宋"/>
              <w:sz w:val="21"/>
              <w:szCs w:val="21"/>
            </w:rPr>
          </w:pPr>
          <w:bookmarkStart w:id="7" w:name="bookmark8"/>
          <w:bookmarkEnd w:id="7"/>
          <w:r>
            <w:fldChar w:fldCharType="begin"/>
          </w:r>
          <w:r>
            <w:instrText xml:space="preserve"> HYPERLINK \l "bookmark8" </w:instrText>
          </w:r>
          <w:r>
            <w:fldChar w:fldCharType="separate"/>
          </w:r>
          <w:r>
            <w:rPr>
              <w:rFonts w:ascii="仿宋" w:hAnsi="仿宋" w:eastAsia="仿宋" w:cs="仿宋"/>
              <w:spacing w:val="-2"/>
              <w:sz w:val="21"/>
              <w:szCs w:val="21"/>
            </w:rPr>
            <w:t>第一章 采购需求及技术参数</w:t>
          </w:r>
          <w:r>
            <w:rPr>
              <w:rFonts w:ascii="仿宋" w:hAnsi="仿宋" w:eastAsia="仿宋" w:cs="仿宋"/>
              <w:sz w:val="21"/>
              <w:szCs w:val="21"/>
            </w:rPr>
            <w:tab/>
          </w:r>
          <w:r>
            <w:rPr>
              <w:rFonts w:ascii="仿宋" w:hAnsi="仿宋" w:eastAsia="仿宋" w:cs="仿宋"/>
              <w:sz w:val="21"/>
              <w:szCs w:val="21"/>
            </w:rPr>
            <w:t>8</w:t>
          </w:r>
          <w:r>
            <w:rPr>
              <w:rFonts w:ascii="仿宋" w:hAnsi="仿宋" w:eastAsia="仿宋" w:cs="仿宋"/>
              <w:sz w:val="21"/>
              <w:szCs w:val="21"/>
            </w:rPr>
            <w:fldChar w:fldCharType="end"/>
          </w:r>
        </w:p>
        <w:p w14:paraId="4B7D41B0">
          <w:pPr>
            <w:tabs>
              <w:tab w:val="right" w:leader="dot" w:pos="9909"/>
            </w:tabs>
            <w:spacing w:before="111" w:line="217" w:lineRule="auto"/>
            <w:ind w:left="467"/>
            <w:rPr>
              <w:rFonts w:ascii="仿宋" w:hAnsi="仿宋" w:eastAsia="仿宋" w:cs="仿宋"/>
              <w:sz w:val="21"/>
              <w:szCs w:val="21"/>
            </w:rPr>
          </w:pPr>
          <w:bookmarkStart w:id="8" w:name="bookmark9"/>
          <w:bookmarkEnd w:id="8"/>
          <w:r>
            <w:fldChar w:fldCharType="begin"/>
          </w:r>
          <w:r>
            <w:instrText xml:space="preserve"> HYPERLINK \l "bookmark9" </w:instrText>
          </w:r>
          <w:r>
            <w:fldChar w:fldCharType="separate"/>
          </w:r>
          <w:r>
            <w:rPr>
              <w:rFonts w:ascii="仿宋" w:hAnsi="仿宋" w:eastAsia="仿宋" w:cs="仿宋"/>
              <w:spacing w:val="-5"/>
              <w:sz w:val="21"/>
              <w:szCs w:val="21"/>
            </w:rPr>
            <w:t>第二章</w:t>
          </w:r>
          <w:r>
            <w:rPr>
              <w:rFonts w:ascii="仿宋" w:hAnsi="仿宋" w:eastAsia="仿宋" w:cs="仿宋"/>
              <w:spacing w:val="15"/>
              <w:sz w:val="21"/>
              <w:szCs w:val="21"/>
            </w:rPr>
            <w:t xml:space="preserve"> </w:t>
          </w:r>
          <w:r>
            <w:rPr>
              <w:rFonts w:ascii="仿宋" w:hAnsi="仿宋" w:eastAsia="仿宋" w:cs="仿宋"/>
              <w:spacing w:val="-5"/>
              <w:sz w:val="21"/>
              <w:szCs w:val="21"/>
            </w:rPr>
            <w:t>签订合同</w:t>
          </w:r>
          <w:r>
            <w:rPr>
              <w:rFonts w:ascii="仿宋" w:hAnsi="仿宋" w:eastAsia="仿宋" w:cs="仿宋"/>
              <w:sz w:val="21"/>
              <w:szCs w:val="21"/>
            </w:rPr>
            <w:tab/>
          </w:r>
          <w:r>
            <w:rPr>
              <w:rFonts w:ascii="仿宋" w:hAnsi="仿宋" w:eastAsia="仿宋" w:cs="仿宋"/>
              <w:sz w:val="21"/>
              <w:szCs w:val="21"/>
            </w:rPr>
            <w:t>74</w:t>
          </w:r>
          <w:r>
            <w:rPr>
              <w:rFonts w:ascii="仿宋" w:hAnsi="仿宋" w:eastAsia="仿宋" w:cs="仿宋"/>
              <w:sz w:val="21"/>
              <w:szCs w:val="21"/>
            </w:rPr>
            <w:fldChar w:fldCharType="end"/>
          </w:r>
        </w:p>
        <w:p w14:paraId="27637B41">
          <w:pPr>
            <w:tabs>
              <w:tab w:val="right" w:leader="dot" w:pos="9909"/>
            </w:tabs>
            <w:spacing w:before="111" w:line="217" w:lineRule="auto"/>
            <w:ind w:left="467"/>
            <w:rPr>
              <w:rFonts w:ascii="仿宋" w:hAnsi="仿宋" w:eastAsia="仿宋" w:cs="仿宋"/>
              <w:sz w:val="21"/>
              <w:szCs w:val="21"/>
            </w:rPr>
          </w:pPr>
          <w:bookmarkStart w:id="9" w:name="bookmark10"/>
          <w:bookmarkEnd w:id="9"/>
          <w:r>
            <w:fldChar w:fldCharType="begin"/>
          </w:r>
          <w:r>
            <w:instrText xml:space="preserve"> HYPERLINK \l "bookmark10" </w:instrText>
          </w:r>
          <w:r>
            <w:fldChar w:fldCharType="separate"/>
          </w:r>
          <w:r>
            <w:rPr>
              <w:rFonts w:ascii="仿宋" w:hAnsi="仿宋" w:eastAsia="仿宋" w:cs="仿宋"/>
              <w:spacing w:val="-4"/>
              <w:sz w:val="21"/>
              <w:szCs w:val="21"/>
            </w:rPr>
            <w:t>第三章</w:t>
          </w:r>
          <w:r>
            <w:rPr>
              <w:rFonts w:ascii="仿宋" w:hAnsi="仿宋" w:eastAsia="仿宋" w:cs="仿宋"/>
              <w:spacing w:val="20"/>
              <w:sz w:val="21"/>
              <w:szCs w:val="21"/>
            </w:rPr>
            <w:t xml:space="preserve"> </w:t>
          </w:r>
          <w:r>
            <w:rPr>
              <w:rFonts w:ascii="仿宋" w:hAnsi="仿宋" w:eastAsia="仿宋" w:cs="仿宋"/>
              <w:spacing w:val="-4"/>
              <w:sz w:val="21"/>
              <w:szCs w:val="21"/>
            </w:rPr>
            <w:t>付款方式及程序</w:t>
          </w:r>
          <w:r>
            <w:rPr>
              <w:rFonts w:ascii="仿宋" w:hAnsi="仿宋" w:eastAsia="仿宋" w:cs="仿宋"/>
              <w:sz w:val="21"/>
              <w:szCs w:val="21"/>
            </w:rPr>
            <w:tab/>
          </w:r>
          <w:r>
            <w:rPr>
              <w:rFonts w:ascii="仿宋" w:hAnsi="仿宋" w:eastAsia="仿宋" w:cs="仿宋"/>
              <w:sz w:val="21"/>
              <w:szCs w:val="21"/>
            </w:rPr>
            <w:t>78</w:t>
          </w:r>
          <w:r>
            <w:rPr>
              <w:rFonts w:ascii="仿宋" w:hAnsi="仿宋" w:eastAsia="仿宋" w:cs="仿宋"/>
              <w:sz w:val="21"/>
              <w:szCs w:val="21"/>
            </w:rPr>
            <w:fldChar w:fldCharType="end"/>
          </w:r>
        </w:p>
        <w:p w14:paraId="16535D37">
          <w:pPr>
            <w:tabs>
              <w:tab w:val="right" w:leader="dot" w:pos="9909"/>
            </w:tabs>
            <w:spacing w:before="110" w:line="216" w:lineRule="auto"/>
            <w:ind w:left="467"/>
            <w:rPr>
              <w:rFonts w:ascii="仿宋" w:hAnsi="仿宋" w:eastAsia="仿宋" w:cs="仿宋"/>
              <w:sz w:val="21"/>
              <w:szCs w:val="21"/>
            </w:rPr>
          </w:pPr>
          <w:bookmarkStart w:id="10" w:name="bookmark11"/>
          <w:bookmarkEnd w:id="10"/>
          <w:r>
            <w:fldChar w:fldCharType="begin"/>
          </w:r>
          <w:r>
            <w:instrText xml:space="preserve"> HYPERLINK \l "bookmark11" </w:instrText>
          </w:r>
          <w:r>
            <w:fldChar w:fldCharType="separate"/>
          </w:r>
          <w:r>
            <w:rPr>
              <w:rFonts w:ascii="仿宋" w:hAnsi="仿宋" w:eastAsia="仿宋" w:cs="仿宋"/>
              <w:spacing w:val="-2"/>
              <w:sz w:val="21"/>
              <w:szCs w:val="21"/>
            </w:rPr>
            <w:t>第四章 售后服务要求</w:t>
          </w:r>
          <w:r>
            <w:rPr>
              <w:rFonts w:ascii="仿宋" w:hAnsi="仿宋" w:eastAsia="仿宋" w:cs="仿宋"/>
              <w:sz w:val="21"/>
              <w:szCs w:val="21"/>
            </w:rPr>
            <w:tab/>
          </w:r>
          <w:r>
            <w:rPr>
              <w:rFonts w:ascii="仿宋" w:hAnsi="仿宋" w:eastAsia="仿宋" w:cs="仿宋"/>
              <w:sz w:val="21"/>
              <w:szCs w:val="21"/>
            </w:rPr>
            <w:t>78</w:t>
          </w:r>
          <w:r>
            <w:rPr>
              <w:rFonts w:ascii="仿宋" w:hAnsi="仿宋" w:eastAsia="仿宋" w:cs="仿宋"/>
              <w:sz w:val="21"/>
              <w:szCs w:val="21"/>
            </w:rPr>
            <w:fldChar w:fldCharType="end"/>
          </w:r>
        </w:p>
        <w:p w14:paraId="5C8273A3">
          <w:pPr>
            <w:tabs>
              <w:tab w:val="right" w:leader="dot" w:pos="9909"/>
            </w:tabs>
            <w:spacing w:before="111" w:line="220" w:lineRule="auto"/>
            <w:ind w:left="37"/>
            <w:rPr>
              <w:rFonts w:ascii="仿宋" w:hAnsi="仿宋" w:eastAsia="仿宋" w:cs="仿宋"/>
              <w:sz w:val="21"/>
              <w:szCs w:val="21"/>
            </w:rPr>
          </w:pPr>
          <w:bookmarkStart w:id="11" w:name="bookmark12"/>
          <w:bookmarkEnd w:id="11"/>
          <w:r>
            <w:fldChar w:fldCharType="begin"/>
          </w:r>
          <w:r>
            <w:instrText xml:space="preserve"> HYPERLINK \l "bookmark12" </w:instrText>
          </w:r>
          <w:r>
            <w:fldChar w:fldCharType="separate"/>
          </w:r>
          <w:r>
            <w:rPr>
              <w:rFonts w:ascii="宋体" w:hAnsi="宋体" w:eastAsia="宋体" w:cs="宋体"/>
              <w:spacing w:val="-1"/>
              <w:sz w:val="21"/>
              <w:szCs w:val="21"/>
            </w:rPr>
            <w:t>第四部分  招标组织程序</w:t>
          </w:r>
          <w:r>
            <w:rPr>
              <w:rFonts w:ascii="宋体" w:hAnsi="宋体" w:eastAsia="宋体" w:cs="宋体"/>
              <w:sz w:val="21"/>
              <w:szCs w:val="21"/>
            </w:rPr>
            <w:tab/>
          </w:r>
          <w:r>
            <w:rPr>
              <w:rFonts w:ascii="仿宋" w:hAnsi="仿宋" w:eastAsia="仿宋" w:cs="仿宋"/>
              <w:sz w:val="21"/>
              <w:szCs w:val="21"/>
            </w:rPr>
            <w:t>83</w:t>
          </w:r>
          <w:r>
            <w:rPr>
              <w:rFonts w:ascii="仿宋" w:hAnsi="仿宋" w:eastAsia="仿宋" w:cs="仿宋"/>
              <w:sz w:val="21"/>
              <w:szCs w:val="21"/>
            </w:rPr>
            <w:fldChar w:fldCharType="end"/>
          </w:r>
        </w:p>
        <w:p w14:paraId="1EA12359">
          <w:pPr>
            <w:tabs>
              <w:tab w:val="right" w:leader="dot" w:pos="9909"/>
            </w:tabs>
            <w:spacing w:before="109" w:line="217" w:lineRule="auto"/>
            <w:ind w:left="467"/>
            <w:rPr>
              <w:rFonts w:ascii="仿宋" w:hAnsi="仿宋" w:eastAsia="仿宋" w:cs="仿宋"/>
              <w:sz w:val="21"/>
              <w:szCs w:val="21"/>
            </w:rPr>
          </w:pPr>
          <w:bookmarkStart w:id="12" w:name="bookmark13"/>
          <w:bookmarkEnd w:id="12"/>
          <w:r>
            <w:fldChar w:fldCharType="begin"/>
          </w:r>
          <w:r>
            <w:instrText xml:space="preserve"> HYPERLINK \l "bookmark13" </w:instrText>
          </w:r>
          <w:r>
            <w:fldChar w:fldCharType="separate"/>
          </w:r>
          <w:r>
            <w:rPr>
              <w:rFonts w:ascii="仿宋" w:hAnsi="仿宋" w:eastAsia="仿宋" w:cs="仿宋"/>
              <w:spacing w:val="-3"/>
              <w:sz w:val="21"/>
              <w:szCs w:val="21"/>
            </w:rPr>
            <w:t>第一章 评标委员会</w:t>
          </w:r>
          <w:r>
            <w:rPr>
              <w:rFonts w:ascii="仿宋" w:hAnsi="仿宋" w:eastAsia="仿宋" w:cs="仿宋"/>
              <w:sz w:val="21"/>
              <w:szCs w:val="21"/>
            </w:rPr>
            <w:tab/>
          </w:r>
          <w:r>
            <w:rPr>
              <w:rFonts w:ascii="仿宋" w:hAnsi="仿宋" w:eastAsia="仿宋" w:cs="仿宋"/>
              <w:sz w:val="21"/>
              <w:szCs w:val="21"/>
            </w:rPr>
            <w:t>84</w:t>
          </w:r>
          <w:r>
            <w:rPr>
              <w:rFonts w:ascii="仿宋" w:hAnsi="仿宋" w:eastAsia="仿宋" w:cs="仿宋"/>
              <w:sz w:val="21"/>
              <w:szCs w:val="21"/>
            </w:rPr>
            <w:fldChar w:fldCharType="end"/>
          </w:r>
        </w:p>
        <w:p w14:paraId="67E327D1">
          <w:pPr>
            <w:tabs>
              <w:tab w:val="right" w:leader="dot" w:pos="9909"/>
            </w:tabs>
            <w:spacing w:before="111" w:line="217" w:lineRule="auto"/>
            <w:ind w:left="467"/>
            <w:rPr>
              <w:rFonts w:ascii="仿宋" w:hAnsi="仿宋" w:eastAsia="仿宋" w:cs="仿宋"/>
              <w:sz w:val="21"/>
              <w:szCs w:val="21"/>
            </w:rPr>
          </w:pPr>
          <w:bookmarkStart w:id="13" w:name="bookmark14"/>
          <w:bookmarkEnd w:id="13"/>
          <w:r>
            <w:fldChar w:fldCharType="begin"/>
          </w:r>
          <w:r>
            <w:instrText xml:space="preserve"> HYPERLINK \l "bookmark14" </w:instrText>
          </w:r>
          <w:r>
            <w:fldChar w:fldCharType="separate"/>
          </w:r>
          <w:r>
            <w:rPr>
              <w:rFonts w:ascii="仿宋" w:hAnsi="仿宋" w:eastAsia="仿宋" w:cs="仿宋"/>
              <w:spacing w:val="-2"/>
              <w:sz w:val="21"/>
              <w:szCs w:val="21"/>
            </w:rPr>
            <w:t>第二章 开评标和定标</w:t>
          </w:r>
          <w:r>
            <w:rPr>
              <w:rFonts w:ascii="仿宋" w:hAnsi="仿宋" w:eastAsia="仿宋" w:cs="仿宋"/>
              <w:sz w:val="21"/>
              <w:szCs w:val="21"/>
            </w:rPr>
            <w:tab/>
          </w:r>
          <w:r>
            <w:rPr>
              <w:rFonts w:ascii="仿宋" w:hAnsi="仿宋" w:eastAsia="仿宋" w:cs="仿宋"/>
              <w:sz w:val="21"/>
              <w:szCs w:val="21"/>
            </w:rPr>
            <w:t>84</w:t>
          </w:r>
          <w:r>
            <w:rPr>
              <w:rFonts w:ascii="仿宋" w:hAnsi="仿宋" w:eastAsia="仿宋" w:cs="仿宋"/>
              <w:sz w:val="21"/>
              <w:szCs w:val="21"/>
            </w:rPr>
            <w:fldChar w:fldCharType="end"/>
          </w:r>
        </w:p>
        <w:p w14:paraId="7461F2AD">
          <w:pPr>
            <w:tabs>
              <w:tab w:val="right" w:leader="dot" w:pos="9909"/>
            </w:tabs>
            <w:spacing w:before="110" w:line="217" w:lineRule="auto"/>
            <w:ind w:left="467"/>
            <w:rPr>
              <w:rFonts w:ascii="仿宋" w:hAnsi="仿宋" w:eastAsia="仿宋" w:cs="仿宋"/>
              <w:sz w:val="21"/>
              <w:szCs w:val="21"/>
            </w:rPr>
          </w:pPr>
          <w:bookmarkStart w:id="14" w:name="bookmark15"/>
          <w:bookmarkEnd w:id="14"/>
          <w:r>
            <w:fldChar w:fldCharType="begin"/>
          </w:r>
          <w:r>
            <w:instrText xml:space="preserve"> HYPERLINK \l "bookmark15" </w:instrText>
          </w:r>
          <w:r>
            <w:fldChar w:fldCharType="separate"/>
          </w:r>
          <w:r>
            <w:rPr>
              <w:rFonts w:ascii="仿宋" w:hAnsi="仿宋" w:eastAsia="仿宋" w:cs="仿宋"/>
              <w:spacing w:val="-2"/>
              <w:sz w:val="21"/>
              <w:szCs w:val="21"/>
            </w:rPr>
            <w:t>第三章 无效投标及废标</w:t>
          </w:r>
          <w:r>
            <w:rPr>
              <w:rFonts w:ascii="仿宋" w:hAnsi="仿宋" w:eastAsia="仿宋" w:cs="仿宋"/>
              <w:sz w:val="21"/>
              <w:szCs w:val="21"/>
            </w:rPr>
            <w:tab/>
          </w:r>
          <w:r>
            <w:rPr>
              <w:rFonts w:ascii="仿宋" w:hAnsi="仿宋" w:eastAsia="仿宋" w:cs="仿宋"/>
              <w:sz w:val="21"/>
              <w:szCs w:val="21"/>
            </w:rPr>
            <w:t>95</w:t>
          </w:r>
          <w:r>
            <w:rPr>
              <w:rFonts w:ascii="仿宋" w:hAnsi="仿宋" w:eastAsia="仿宋" w:cs="仿宋"/>
              <w:sz w:val="21"/>
              <w:szCs w:val="21"/>
            </w:rPr>
            <w:fldChar w:fldCharType="end"/>
          </w:r>
        </w:p>
        <w:p w14:paraId="1FF0B172">
          <w:pPr>
            <w:tabs>
              <w:tab w:val="right" w:leader="dot" w:pos="9909"/>
            </w:tabs>
            <w:spacing w:before="110" w:line="187" w:lineRule="auto"/>
            <w:ind w:left="51"/>
            <w:rPr>
              <w:rFonts w:ascii="仿宋" w:hAnsi="仿宋" w:eastAsia="仿宋" w:cs="仿宋"/>
              <w:sz w:val="21"/>
              <w:szCs w:val="21"/>
            </w:rPr>
          </w:pPr>
          <w:bookmarkStart w:id="15" w:name="bookmark16"/>
          <w:bookmarkEnd w:id="15"/>
          <w:r>
            <w:fldChar w:fldCharType="begin"/>
          </w:r>
          <w:r>
            <w:instrText xml:space="preserve"> HYPERLINK \l "bookmark16" </w:instrText>
          </w:r>
          <w:r>
            <w:fldChar w:fldCharType="separate"/>
          </w:r>
          <w:r>
            <w:rPr>
              <w:rFonts w:ascii="微软雅黑" w:hAnsi="微软雅黑" w:eastAsia="微软雅黑" w:cs="微软雅黑"/>
              <w:spacing w:val="-3"/>
              <w:sz w:val="21"/>
              <w:szCs w:val="21"/>
            </w:rPr>
            <w:t>第五部分</w:t>
          </w:r>
          <w:r>
            <w:rPr>
              <w:rFonts w:ascii="微软雅黑" w:hAnsi="微软雅黑" w:eastAsia="微软雅黑" w:cs="微软雅黑"/>
              <w:spacing w:val="12"/>
              <w:sz w:val="21"/>
              <w:szCs w:val="21"/>
            </w:rPr>
            <w:t xml:space="preserve">   </w:t>
          </w:r>
          <w:r>
            <w:rPr>
              <w:rFonts w:ascii="微软雅黑" w:hAnsi="微软雅黑" w:eastAsia="微软雅黑" w:cs="微软雅黑"/>
              <w:spacing w:val="-3"/>
              <w:sz w:val="21"/>
              <w:szCs w:val="21"/>
            </w:rPr>
            <w:t>招标结束后注意事项</w:t>
          </w:r>
          <w:r>
            <w:rPr>
              <w:rFonts w:ascii="微软雅黑" w:hAnsi="微软雅黑" w:eastAsia="微软雅黑" w:cs="微软雅黑"/>
              <w:sz w:val="21"/>
              <w:szCs w:val="21"/>
            </w:rPr>
            <w:tab/>
          </w:r>
          <w:r>
            <w:rPr>
              <w:rFonts w:ascii="仿宋" w:hAnsi="仿宋" w:eastAsia="仿宋" w:cs="仿宋"/>
              <w:sz w:val="21"/>
              <w:szCs w:val="21"/>
            </w:rPr>
            <w:t>96</w:t>
          </w:r>
          <w:r>
            <w:rPr>
              <w:rFonts w:ascii="仿宋" w:hAnsi="仿宋" w:eastAsia="仿宋" w:cs="仿宋"/>
              <w:sz w:val="21"/>
              <w:szCs w:val="21"/>
            </w:rPr>
            <w:fldChar w:fldCharType="end"/>
          </w:r>
        </w:p>
        <w:p w14:paraId="68147C6D">
          <w:pPr>
            <w:tabs>
              <w:tab w:val="right" w:leader="dot" w:pos="9909"/>
            </w:tabs>
            <w:spacing w:before="78" w:line="217" w:lineRule="auto"/>
            <w:ind w:left="467"/>
            <w:rPr>
              <w:rFonts w:ascii="仿宋" w:hAnsi="仿宋" w:eastAsia="仿宋" w:cs="仿宋"/>
              <w:sz w:val="21"/>
              <w:szCs w:val="21"/>
            </w:rPr>
          </w:pPr>
          <w:bookmarkStart w:id="16" w:name="bookmark17"/>
          <w:bookmarkEnd w:id="16"/>
          <w:r>
            <w:fldChar w:fldCharType="begin"/>
          </w:r>
          <w:r>
            <w:instrText xml:space="preserve"> HYPERLINK \l "bookmark17" </w:instrText>
          </w:r>
          <w:r>
            <w:fldChar w:fldCharType="separate"/>
          </w:r>
          <w:r>
            <w:rPr>
              <w:rFonts w:ascii="仿宋" w:hAnsi="仿宋" w:eastAsia="仿宋" w:cs="仿宋"/>
              <w:spacing w:val="-3"/>
              <w:sz w:val="21"/>
              <w:szCs w:val="21"/>
            </w:rPr>
            <w:t>第一章 质疑处理</w:t>
          </w:r>
          <w:r>
            <w:rPr>
              <w:rFonts w:ascii="仿宋" w:hAnsi="仿宋" w:eastAsia="仿宋" w:cs="仿宋"/>
              <w:sz w:val="21"/>
              <w:szCs w:val="21"/>
            </w:rPr>
            <w:tab/>
          </w:r>
          <w:r>
            <w:rPr>
              <w:rFonts w:ascii="仿宋" w:hAnsi="仿宋" w:eastAsia="仿宋" w:cs="仿宋"/>
              <w:sz w:val="21"/>
              <w:szCs w:val="21"/>
            </w:rPr>
            <w:t>96</w:t>
          </w:r>
          <w:r>
            <w:rPr>
              <w:rFonts w:ascii="仿宋" w:hAnsi="仿宋" w:eastAsia="仿宋" w:cs="仿宋"/>
              <w:sz w:val="21"/>
              <w:szCs w:val="21"/>
            </w:rPr>
            <w:fldChar w:fldCharType="end"/>
          </w:r>
        </w:p>
        <w:p w14:paraId="25984C80">
          <w:pPr>
            <w:tabs>
              <w:tab w:val="right" w:leader="dot" w:pos="9909"/>
            </w:tabs>
            <w:spacing w:before="111" w:line="217" w:lineRule="auto"/>
            <w:ind w:left="467"/>
            <w:rPr>
              <w:rFonts w:ascii="仿宋" w:hAnsi="仿宋" w:eastAsia="仿宋" w:cs="仿宋"/>
              <w:sz w:val="21"/>
              <w:szCs w:val="21"/>
            </w:rPr>
          </w:pPr>
          <w:bookmarkStart w:id="17" w:name="bookmark18"/>
          <w:bookmarkEnd w:id="17"/>
          <w:r>
            <w:fldChar w:fldCharType="begin"/>
          </w:r>
          <w:r>
            <w:instrText xml:space="preserve"> HYPERLINK \l "bookmark18" </w:instrText>
          </w:r>
          <w:r>
            <w:fldChar w:fldCharType="separate"/>
          </w:r>
          <w:r>
            <w:rPr>
              <w:rFonts w:ascii="仿宋" w:hAnsi="仿宋" w:eastAsia="仿宋" w:cs="仿宋"/>
              <w:spacing w:val="-5"/>
              <w:sz w:val="21"/>
              <w:szCs w:val="21"/>
            </w:rPr>
            <w:t>第二章</w:t>
          </w:r>
          <w:r>
            <w:rPr>
              <w:rFonts w:ascii="仿宋" w:hAnsi="仿宋" w:eastAsia="仿宋" w:cs="仿宋"/>
              <w:spacing w:val="15"/>
              <w:sz w:val="21"/>
              <w:szCs w:val="21"/>
            </w:rPr>
            <w:t xml:space="preserve"> </w:t>
          </w:r>
          <w:r>
            <w:rPr>
              <w:rFonts w:ascii="仿宋" w:hAnsi="仿宋" w:eastAsia="仿宋" w:cs="仿宋"/>
              <w:spacing w:val="-5"/>
              <w:sz w:val="21"/>
              <w:szCs w:val="21"/>
            </w:rPr>
            <w:t>签订合同</w:t>
          </w:r>
          <w:r>
            <w:rPr>
              <w:rFonts w:ascii="仿宋" w:hAnsi="仿宋" w:eastAsia="仿宋" w:cs="仿宋"/>
              <w:sz w:val="21"/>
              <w:szCs w:val="21"/>
            </w:rPr>
            <w:tab/>
          </w:r>
          <w:r>
            <w:rPr>
              <w:rFonts w:ascii="仿宋" w:hAnsi="仿宋" w:eastAsia="仿宋" w:cs="仿宋"/>
              <w:sz w:val="21"/>
              <w:szCs w:val="21"/>
            </w:rPr>
            <w:t>96</w:t>
          </w:r>
          <w:r>
            <w:rPr>
              <w:rFonts w:ascii="仿宋" w:hAnsi="仿宋" w:eastAsia="仿宋" w:cs="仿宋"/>
              <w:sz w:val="21"/>
              <w:szCs w:val="21"/>
            </w:rPr>
            <w:fldChar w:fldCharType="end"/>
          </w:r>
        </w:p>
        <w:p w14:paraId="6B91A657">
          <w:pPr>
            <w:tabs>
              <w:tab w:val="right" w:leader="dot" w:pos="9909"/>
            </w:tabs>
            <w:spacing w:before="110" w:line="217" w:lineRule="auto"/>
            <w:ind w:left="467"/>
            <w:rPr>
              <w:rFonts w:ascii="仿宋" w:hAnsi="仿宋" w:eastAsia="仿宋" w:cs="仿宋"/>
              <w:sz w:val="21"/>
              <w:szCs w:val="21"/>
            </w:rPr>
          </w:pPr>
          <w:bookmarkStart w:id="18" w:name="bookmark19"/>
          <w:bookmarkEnd w:id="18"/>
          <w:r>
            <w:fldChar w:fldCharType="begin"/>
          </w:r>
          <w:r>
            <w:instrText xml:space="preserve"> HYPERLINK \l "bookmark19" </w:instrText>
          </w:r>
          <w:r>
            <w:fldChar w:fldCharType="separate"/>
          </w:r>
          <w:r>
            <w:rPr>
              <w:rFonts w:ascii="仿宋" w:hAnsi="仿宋" w:eastAsia="仿宋" w:cs="仿宋"/>
              <w:spacing w:val="-3"/>
              <w:sz w:val="21"/>
              <w:szCs w:val="21"/>
            </w:rPr>
            <w:t>第三章 项目验收</w:t>
          </w:r>
          <w:r>
            <w:rPr>
              <w:rFonts w:ascii="仿宋" w:hAnsi="仿宋" w:eastAsia="仿宋" w:cs="仿宋"/>
              <w:sz w:val="21"/>
              <w:szCs w:val="21"/>
            </w:rPr>
            <w:tab/>
          </w:r>
          <w:r>
            <w:rPr>
              <w:rFonts w:ascii="仿宋" w:hAnsi="仿宋" w:eastAsia="仿宋" w:cs="仿宋"/>
              <w:sz w:val="21"/>
              <w:szCs w:val="21"/>
            </w:rPr>
            <w:t>97</w:t>
          </w:r>
          <w:r>
            <w:rPr>
              <w:rFonts w:ascii="仿宋" w:hAnsi="仿宋" w:eastAsia="仿宋" w:cs="仿宋"/>
              <w:sz w:val="21"/>
              <w:szCs w:val="21"/>
            </w:rPr>
            <w:fldChar w:fldCharType="end"/>
          </w:r>
        </w:p>
        <w:p w14:paraId="25E0B2EA">
          <w:pPr>
            <w:tabs>
              <w:tab w:val="right" w:leader="dot" w:pos="9909"/>
            </w:tabs>
            <w:spacing w:before="110" w:line="219" w:lineRule="auto"/>
            <w:ind w:left="37"/>
            <w:rPr>
              <w:rFonts w:ascii="仿宋" w:hAnsi="仿宋" w:eastAsia="仿宋" w:cs="仿宋"/>
              <w:sz w:val="21"/>
              <w:szCs w:val="21"/>
            </w:rPr>
          </w:pPr>
          <w:bookmarkStart w:id="19" w:name="bookmark20"/>
          <w:bookmarkEnd w:id="19"/>
          <w:r>
            <w:fldChar w:fldCharType="begin"/>
          </w:r>
          <w:r>
            <w:instrText xml:space="preserve"> HYPERLINK \l "bookmark20" </w:instrText>
          </w:r>
          <w:r>
            <w:fldChar w:fldCharType="separate"/>
          </w:r>
          <w:r>
            <w:rPr>
              <w:rFonts w:ascii="宋体" w:hAnsi="宋体" w:eastAsia="宋体" w:cs="宋体"/>
              <w:spacing w:val="-1"/>
              <w:sz w:val="21"/>
              <w:szCs w:val="21"/>
            </w:rPr>
            <w:t>第六部分 投标文件范本格式</w:t>
          </w:r>
          <w:r>
            <w:rPr>
              <w:rFonts w:ascii="宋体" w:hAnsi="宋体" w:eastAsia="宋体" w:cs="宋体"/>
              <w:sz w:val="21"/>
              <w:szCs w:val="21"/>
            </w:rPr>
            <w:tab/>
          </w:r>
          <w:r>
            <w:rPr>
              <w:rFonts w:ascii="仿宋" w:hAnsi="仿宋" w:eastAsia="仿宋" w:cs="仿宋"/>
              <w:sz w:val="21"/>
              <w:szCs w:val="21"/>
            </w:rPr>
            <w:t>98</w:t>
          </w:r>
          <w:r>
            <w:rPr>
              <w:rFonts w:ascii="仿宋" w:hAnsi="仿宋" w:eastAsia="仿宋" w:cs="仿宋"/>
              <w:sz w:val="21"/>
              <w:szCs w:val="21"/>
            </w:rPr>
            <w:fldChar w:fldCharType="end"/>
          </w:r>
        </w:p>
        <w:p w14:paraId="4436F16F">
          <w:pPr>
            <w:tabs>
              <w:tab w:val="right" w:leader="dot" w:pos="9909"/>
            </w:tabs>
            <w:spacing w:before="110" w:line="217" w:lineRule="auto"/>
            <w:ind w:left="449"/>
            <w:rPr>
              <w:rFonts w:ascii="仿宋" w:hAnsi="仿宋" w:eastAsia="仿宋" w:cs="仿宋"/>
              <w:sz w:val="21"/>
              <w:szCs w:val="21"/>
            </w:rPr>
          </w:pPr>
          <w:bookmarkStart w:id="20" w:name="bookmark21"/>
          <w:bookmarkEnd w:id="20"/>
          <w:r>
            <w:fldChar w:fldCharType="begin"/>
          </w:r>
          <w:r>
            <w:instrText xml:space="preserve"> HYPERLINK \l "bookmark21" </w:instrText>
          </w:r>
          <w:r>
            <w:fldChar w:fldCharType="separate"/>
          </w:r>
          <w:r>
            <w:rPr>
              <w:rFonts w:ascii="仿宋" w:hAnsi="仿宋" w:eastAsia="仿宋" w:cs="仿宋"/>
              <w:spacing w:val="-3"/>
              <w:sz w:val="21"/>
              <w:szCs w:val="21"/>
            </w:rPr>
            <w:t>（一）投标文件封面</w:t>
          </w:r>
          <w:r>
            <w:rPr>
              <w:rFonts w:ascii="仿宋" w:hAnsi="仿宋" w:eastAsia="仿宋" w:cs="仿宋"/>
              <w:sz w:val="21"/>
              <w:szCs w:val="21"/>
            </w:rPr>
            <w:tab/>
          </w:r>
          <w:r>
            <w:rPr>
              <w:rFonts w:ascii="仿宋" w:hAnsi="仿宋" w:eastAsia="仿宋" w:cs="仿宋"/>
              <w:sz w:val="21"/>
              <w:szCs w:val="21"/>
            </w:rPr>
            <w:t>98</w:t>
          </w:r>
          <w:r>
            <w:rPr>
              <w:rFonts w:ascii="仿宋" w:hAnsi="仿宋" w:eastAsia="仿宋" w:cs="仿宋"/>
              <w:sz w:val="21"/>
              <w:szCs w:val="21"/>
            </w:rPr>
            <w:fldChar w:fldCharType="end"/>
          </w:r>
        </w:p>
        <w:p w14:paraId="7FAC7CEA">
          <w:pPr>
            <w:tabs>
              <w:tab w:val="right" w:leader="dot" w:pos="9909"/>
            </w:tabs>
            <w:spacing w:before="110" w:line="217" w:lineRule="auto"/>
            <w:ind w:left="449"/>
            <w:rPr>
              <w:rFonts w:ascii="仿宋" w:hAnsi="仿宋" w:eastAsia="仿宋" w:cs="仿宋"/>
              <w:sz w:val="21"/>
              <w:szCs w:val="21"/>
            </w:rPr>
          </w:pPr>
          <w:bookmarkStart w:id="21" w:name="bookmark22"/>
          <w:bookmarkEnd w:id="21"/>
          <w:r>
            <w:fldChar w:fldCharType="begin"/>
          </w:r>
          <w:r>
            <w:instrText xml:space="preserve"> HYPERLINK \l "bookmark23" </w:instrText>
          </w:r>
          <w:r>
            <w:fldChar w:fldCharType="separate"/>
          </w:r>
          <w:r>
            <w:rPr>
              <w:rFonts w:ascii="仿宋" w:hAnsi="仿宋" w:eastAsia="仿宋" w:cs="仿宋"/>
              <w:spacing w:val="-2"/>
              <w:sz w:val="21"/>
              <w:szCs w:val="21"/>
            </w:rPr>
            <w:t>（二）评分索引表</w:t>
          </w:r>
          <w:r>
            <w:rPr>
              <w:rFonts w:ascii="仿宋" w:hAnsi="仿宋" w:eastAsia="仿宋" w:cs="仿宋"/>
              <w:sz w:val="21"/>
              <w:szCs w:val="21"/>
            </w:rPr>
            <w:tab/>
          </w:r>
          <w:r>
            <w:rPr>
              <w:rFonts w:ascii="仿宋" w:hAnsi="仿宋" w:eastAsia="仿宋" w:cs="仿宋"/>
              <w:sz w:val="21"/>
              <w:szCs w:val="21"/>
            </w:rPr>
            <w:fldChar w:fldCharType="end"/>
          </w:r>
          <w:r>
            <w:rPr>
              <w:rFonts w:ascii="仿宋" w:hAnsi="仿宋" w:eastAsia="仿宋" w:cs="仿宋"/>
              <w:sz w:val="21"/>
              <w:szCs w:val="21"/>
            </w:rPr>
            <w:t>99</w:t>
          </w:r>
        </w:p>
        <w:p w14:paraId="4AC2981F">
          <w:pPr>
            <w:tabs>
              <w:tab w:val="right" w:leader="dot" w:pos="9909"/>
            </w:tabs>
            <w:spacing w:before="108" w:line="218" w:lineRule="auto"/>
            <w:ind w:left="449"/>
            <w:rPr>
              <w:rFonts w:ascii="仿宋" w:hAnsi="仿宋" w:eastAsia="仿宋" w:cs="仿宋"/>
              <w:sz w:val="21"/>
              <w:szCs w:val="21"/>
            </w:rPr>
          </w:pPr>
          <w:bookmarkStart w:id="22" w:name="bookmark24"/>
          <w:bookmarkEnd w:id="22"/>
          <w:r>
            <w:fldChar w:fldCharType="begin"/>
          </w:r>
          <w:r>
            <w:instrText xml:space="preserve"> HYPERLINK \l "bookmark25" </w:instrText>
          </w:r>
          <w:r>
            <w:fldChar w:fldCharType="separate"/>
          </w:r>
          <w:r>
            <w:rPr>
              <w:rFonts w:ascii="仿宋" w:hAnsi="仿宋" w:eastAsia="仿宋" w:cs="仿宋"/>
              <w:spacing w:val="-2"/>
              <w:sz w:val="21"/>
              <w:szCs w:val="21"/>
            </w:rPr>
            <w:t>（三）资格审查响应对照表</w:t>
          </w:r>
          <w:r>
            <w:rPr>
              <w:rFonts w:ascii="仿宋" w:hAnsi="仿宋" w:eastAsia="仿宋" w:cs="仿宋"/>
              <w:sz w:val="21"/>
              <w:szCs w:val="21"/>
            </w:rPr>
            <w:tab/>
          </w:r>
          <w:r>
            <w:rPr>
              <w:rFonts w:ascii="仿宋" w:hAnsi="仿宋" w:eastAsia="仿宋" w:cs="仿宋"/>
              <w:sz w:val="21"/>
              <w:szCs w:val="21"/>
            </w:rPr>
            <w:fldChar w:fldCharType="end"/>
          </w:r>
          <w:r>
            <w:rPr>
              <w:rFonts w:ascii="仿宋" w:hAnsi="仿宋" w:eastAsia="仿宋" w:cs="仿宋"/>
              <w:sz w:val="21"/>
              <w:szCs w:val="21"/>
            </w:rPr>
            <w:t>100</w:t>
          </w:r>
        </w:p>
        <w:p w14:paraId="67B4906E">
          <w:pPr>
            <w:tabs>
              <w:tab w:val="right" w:leader="dot" w:pos="9909"/>
            </w:tabs>
            <w:spacing w:before="111" w:line="215" w:lineRule="auto"/>
            <w:ind w:left="449"/>
            <w:rPr>
              <w:rFonts w:ascii="仿宋" w:hAnsi="仿宋" w:eastAsia="仿宋" w:cs="仿宋"/>
              <w:sz w:val="21"/>
              <w:szCs w:val="21"/>
            </w:rPr>
          </w:pPr>
          <w:bookmarkStart w:id="23" w:name="bookmark26"/>
          <w:bookmarkEnd w:id="23"/>
          <w:r>
            <w:fldChar w:fldCharType="begin"/>
          </w:r>
          <w:r>
            <w:instrText xml:space="preserve"> HYPERLINK \l "bookmark27" </w:instrText>
          </w:r>
          <w:r>
            <w:fldChar w:fldCharType="separate"/>
          </w:r>
          <w:r>
            <w:rPr>
              <w:rFonts w:ascii="仿宋" w:hAnsi="仿宋" w:eastAsia="仿宋" w:cs="仿宋"/>
              <w:spacing w:val="-2"/>
              <w:sz w:val="21"/>
              <w:szCs w:val="21"/>
            </w:rPr>
            <w:t>（四）符合性审查响应对照表</w:t>
          </w:r>
          <w:r>
            <w:rPr>
              <w:rFonts w:ascii="仿宋" w:hAnsi="仿宋" w:eastAsia="仿宋" w:cs="仿宋"/>
              <w:sz w:val="21"/>
              <w:szCs w:val="21"/>
            </w:rPr>
            <w:tab/>
          </w:r>
          <w:r>
            <w:rPr>
              <w:rFonts w:ascii="仿宋" w:hAnsi="仿宋" w:eastAsia="仿宋" w:cs="仿宋"/>
              <w:sz w:val="21"/>
              <w:szCs w:val="21"/>
            </w:rPr>
            <w:fldChar w:fldCharType="end"/>
          </w:r>
          <w:r>
            <w:rPr>
              <w:rFonts w:ascii="仿宋" w:hAnsi="仿宋" w:eastAsia="仿宋" w:cs="仿宋"/>
              <w:sz w:val="21"/>
              <w:szCs w:val="21"/>
            </w:rPr>
            <w:t>101</w:t>
          </w:r>
        </w:p>
        <w:p w14:paraId="2860AD76">
          <w:pPr>
            <w:tabs>
              <w:tab w:val="right" w:leader="dot" w:pos="9909"/>
            </w:tabs>
            <w:spacing w:before="115" w:line="217" w:lineRule="auto"/>
            <w:ind w:left="449"/>
            <w:rPr>
              <w:rFonts w:ascii="仿宋" w:hAnsi="仿宋" w:eastAsia="仿宋" w:cs="仿宋"/>
              <w:sz w:val="21"/>
              <w:szCs w:val="21"/>
            </w:rPr>
          </w:pPr>
          <w:bookmarkStart w:id="24" w:name="bookmark28"/>
          <w:bookmarkEnd w:id="24"/>
          <w:r>
            <w:fldChar w:fldCharType="begin"/>
          </w:r>
          <w:r>
            <w:instrText xml:space="preserve"> HYPERLINK \l "bookmark29" </w:instrText>
          </w:r>
          <w:r>
            <w:fldChar w:fldCharType="separate"/>
          </w:r>
          <w:r>
            <w:rPr>
              <w:rFonts w:ascii="仿宋" w:hAnsi="仿宋" w:eastAsia="仿宋" w:cs="仿宋"/>
              <w:spacing w:val="-8"/>
              <w:sz w:val="21"/>
              <w:szCs w:val="21"/>
            </w:rPr>
            <w:t>（五）投</w:t>
          </w:r>
          <w:r>
            <w:rPr>
              <w:rFonts w:ascii="仿宋" w:hAnsi="仿宋" w:eastAsia="仿宋" w:cs="仿宋"/>
              <w:spacing w:val="19"/>
              <w:sz w:val="21"/>
              <w:szCs w:val="21"/>
            </w:rPr>
            <w:t xml:space="preserve"> </w:t>
          </w:r>
          <w:r>
            <w:rPr>
              <w:rFonts w:ascii="仿宋" w:hAnsi="仿宋" w:eastAsia="仿宋" w:cs="仿宋"/>
              <w:spacing w:val="-8"/>
              <w:sz w:val="21"/>
              <w:szCs w:val="21"/>
            </w:rPr>
            <w:t>标</w:t>
          </w:r>
          <w:r>
            <w:rPr>
              <w:rFonts w:ascii="仿宋" w:hAnsi="仿宋" w:eastAsia="仿宋" w:cs="仿宋"/>
              <w:spacing w:val="28"/>
              <w:sz w:val="21"/>
              <w:szCs w:val="21"/>
            </w:rPr>
            <w:t xml:space="preserve"> </w:t>
          </w:r>
          <w:r>
            <w:rPr>
              <w:rFonts w:ascii="仿宋" w:hAnsi="仿宋" w:eastAsia="仿宋" w:cs="仿宋"/>
              <w:spacing w:val="-8"/>
              <w:sz w:val="21"/>
              <w:szCs w:val="21"/>
            </w:rPr>
            <w:t>函</w:t>
          </w:r>
          <w:r>
            <w:rPr>
              <w:rFonts w:ascii="仿宋" w:hAnsi="仿宋" w:eastAsia="仿宋" w:cs="仿宋"/>
              <w:sz w:val="21"/>
              <w:szCs w:val="21"/>
            </w:rPr>
            <w:tab/>
          </w:r>
          <w:r>
            <w:rPr>
              <w:rFonts w:ascii="仿宋" w:hAnsi="仿宋" w:eastAsia="仿宋" w:cs="仿宋"/>
              <w:sz w:val="21"/>
              <w:szCs w:val="21"/>
            </w:rPr>
            <w:fldChar w:fldCharType="end"/>
          </w:r>
          <w:r>
            <w:rPr>
              <w:rFonts w:ascii="仿宋" w:hAnsi="仿宋" w:eastAsia="仿宋" w:cs="仿宋"/>
              <w:sz w:val="21"/>
              <w:szCs w:val="21"/>
            </w:rPr>
            <w:t>101</w:t>
          </w:r>
        </w:p>
        <w:p w14:paraId="32CB1551">
          <w:pPr>
            <w:tabs>
              <w:tab w:val="right" w:leader="dot" w:pos="9909"/>
            </w:tabs>
            <w:spacing w:before="110" w:line="217" w:lineRule="auto"/>
            <w:ind w:left="449"/>
            <w:rPr>
              <w:rFonts w:ascii="仿宋" w:hAnsi="仿宋" w:eastAsia="仿宋" w:cs="仿宋"/>
              <w:sz w:val="21"/>
              <w:szCs w:val="21"/>
            </w:rPr>
          </w:pPr>
          <w:bookmarkStart w:id="25" w:name="bookmark30"/>
          <w:bookmarkEnd w:id="25"/>
          <w:r>
            <w:fldChar w:fldCharType="begin"/>
          </w:r>
          <w:r>
            <w:instrText xml:space="preserve"> HYPERLINK \l "bookmark31" </w:instrText>
          </w:r>
          <w:r>
            <w:fldChar w:fldCharType="separate"/>
          </w:r>
          <w:r>
            <w:rPr>
              <w:rFonts w:ascii="仿宋" w:hAnsi="仿宋" w:eastAsia="仿宋" w:cs="仿宋"/>
              <w:spacing w:val="-4"/>
              <w:sz w:val="21"/>
              <w:szCs w:val="21"/>
            </w:rPr>
            <w:t>（六）法人代表授权书</w:t>
          </w:r>
          <w:r>
            <w:rPr>
              <w:rFonts w:ascii="仿宋" w:hAnsi="仿宋" w:eastAsia="仿宋" w:cs="仿宋"/>
              <w:sz w:val="21"/>
              <w:szCs w:val="21"/>
            </w:rPr>
            <w:tab/>
          </w:r>
          <w:r>
            <w:rPr>
              <w:rFonts w:ascii="仿宋" w:hAnsi="仿宋" w:eastAsia="仿宋" w:cs="仿宋"/>
              <w:sz w:val="21"/>
              <w:szCs w:val="21"/>
            </w:rPr>
            <w:fldChar w:fldCharType="end"/>
          </w:r>
          <w:r>
            <w:rPr>
              <w:rFonts w:ascii="仿宋" w:hAnsi="仿宋" w:eastAsia="仿宋" w:cs="仿宋"/>
              <w:sz w:val="21"/>
              <w:szCs w:val="21"/>
            </w:rPr>
            <w:t>102</w:t>
          </w:r>
        </w:p>
        <w:p w14:paraId="440EAF3C">
          <w:pPr>
            <w:tabs>
              <w:tab w:val="right" w:leader="dot" w:pos="9909"/>
            </w:tabs>
            <w:spacing w:before="111" w:line="217" w:lineRule="auto"/>
            <w:ind w:left="449"/>
            <w:rPr>
              <w:rFonts w:ascii="仿宋" w:hAnsi="仿宋" w:eastAsia="仿宋" w:cs="仿宋"/>
              <w:sz w:val="21"/>
              <w:szCs w:val="21"/>
            </w:rPr>
          </w:pPr>
          <w:bookmarkStart w:id="26" w:name="bookmark32"/>
          <w:bookmarkEnd w:id="26"/>
          <w:r>
            <w:fldChar w:fldCharType="begin"/>
          </w:r>
          <w:r>
            <w:instrText xml:space="preserve"> HYPERLINK \l "bookmark33" </w:instrText>
          </w:r>
          <w:r>
            <w:fldChar w:fldCharType="separate"/>
          </w:r>
          <w:r>
            <w:rPr>
              <w:rFonts w:ascii="仿宋" w:hAnsi="仿宋" w:eastAsia="仿宋" w:cs="仿宋"/>
              <w:sz w:val="21"/>
              <w:szCs w:val="21"/>
            </w:rPr>
            <w:t>（七）开标一览表</w:t>
          </w:r>
          <w:r>
            <w:rPr>
              <w:rFonts w:ascii="仿宋" w:hAnsi="仿宋" w:eastAsia="仿宋" w:cs="仿宋"/>
              <w:sz w:val="21"/>
              <w:szCs w:val="21"/>
            </w:rPr>
            <w:tab/>
          </w:r>
          <w:r>
            <w:rPr>
              <w:rFonts w:ascii="仿宋" w:hAnsi="仿宋" w:eastAsia="仿宋" w:cs="仿宋"/>
              <w:sz w:val="21"/>
              <w:szCs w:val="21"/>
            </w:rPr>
            <w:fldChar w:fldCharType="end"/>
          </w:r>
          <w:r>
            <w:rPr>
              <w:rFonts w:ascii="仿宋" w:hAnsi="仿宋" w:eastAsia="仿宋" w:cs="仿宋"/>
              <w:sz w:val="21"/>
              <w:szCs w:val="21"/>
            </w:rPr>
            <w:t>103</w:t>
          </w:r>
        </w:p>
        <w:p w14:paraId="1CFB3568">
          <w:pPr>
            <w:tabs>
              <w:tab w:val="right" w:leader="dot" w:pos="9909"/>
            </w:tabs>
            <w:spacing w:before="110" w:line="217" w:lineRule="auto"/>
            <w:ind w:left="449"/>
            <w:rPr>
              <w:rFonts w:ascii="仿宋" w:hAnsi="仿宋" w:eastAsia="仿宋" w:cs="仿宋"/>
              <w:sz w:val="21"/>
              <w:szCs w:val="21"/>
            </w:rPr>
          </w:pPr>
          <w:bookmarkStart w:id="27" w:name="bookmark34"/>
          <w:bookmarkEnd w:id="27"/>
          <w:r>
            <w:fldChar w:fldCharType="begin"/>
          </w:r>
          <w:r>
            <w:instrText xml:space="preserve"> HYPERLINK \l "bookmark35" </w:instrText>
          </w:r>
          <w:r>
            <w:fldChar w:fldCharType="separate"/>
          </w:r>
          <w:r>
            <w:rPr>
              <w:rFonts w:ascii="仿宋" w:hAnsi="仿宋" w:eastAsia="仿宋" w:cs="仿宋"/>
              <w:spacing w:val="-2"/>
              <w:sz w:val="21"/>
              <w:szCs w:val="21"/>
            </w:rPr>
            <w:t>（八）服务功能偏离表</w:t>
          </w:r>
          <w:r>
            <w:rPr>
              <w:rFonts w:ascii="仿宋" w:hAnsi="仿宋" w:eastAsia="仿宋" w:cs="仿宋"/>
              <w:sz w:val="21"/>
              <w:szCs w:val="21"/>
            </w:rPr>
            <w:tab/>
          </w:r>
          <w:r>
            <w:rPr>
              <w:rFonts w:ascii="仿宋" w:hAnsi="仿宋" w:eastAsia="仿宋" w:cs="仿宋"/>
              <w:sz w:val="21"/>
              <w:szCs w:val="21"/>
            </w:rPr>
            <w:fldChar w:fldCharType="end"/>
          </w:r>
          <w:r>
            <w:rPr>
              <w:rFonts w:ascii="仿宋" w:hAnsi="仿宋" w:eastAsia="仿宋" w:cs="仿宋"/>
              <w:sz w:val="21"/>
              <w:szCs w:val="21"/>
            </w:rPr>
            <w:t>103</w:t>
          </w:r>
        </w:p>
        <w:p w14:paraId="365B7223">
          <w:pPr>
            <w:tabs>
              <w:tab w:val="right" w:leader="dot" w:pos="9909"/>
            </w:tabs>
            <w:spacing w:before="109" w:line="218" w:lineRule="auto"/>
            <w:ind w:left="449"/>
            <w:rPr>
              <w:rFonts w:ascii="仿宋" w:hAnsi="仿宋" w:eastAsia="仿宋" w:cs="仿宋"/>
              <w:sz w:val="21"/>
              <w:szCs w:val="21"/>
            </w:rPr>
          </w:pPr>
          <w:bookmarkStart w:id="28" w:name="bookmark36"/>
          <w:bookmarkEnd w:id="28"/>
          <w:r>
            <w:fldChar w:fldCharType="begin"/>
          </w:r>
          <w:r>
            <w:instrText xml:space="preserve"> HYPERLINK \l "bookmark37" </w:instrText>
          </w:r>
          <w:r>
            <w:fldChar w:fldCharType="separate"/>
          </w:r>
          <w:r>
            <w:rPr>
              <w:rFonts w:ascii="仿宋" w:hAnsi="仿宋" w:eastAsia="仿宋" w:cs="仿宋"/>
              <w:spacing w:val="-2"/>
              <w:sz w:val="21"/>
              <w:szCs w:val="21"/>
            </w:rPr>
            <w:t>（九）近三年类似业绩表</w:t>
          </w:r>
          <w:r>
            <w:rPr>
              <w:rFonts w:ascii="仿宋" w:hAnsi="仿宋" w:eastAsia="仿宋" w:cs="仿宋"/>
              <w:sz w:val="21"/>
              <w:szCs w:val="21"/>
            </w:rPr>
            <w:tab/>
          </w:r>
          <w:r>
            <w:rPr>
              <w:rFonts w:ascii="仿宋" w:hAnsi="仿宋" w:eastAsia="仿宋" w:cs="仿宋"/>
              <w:sz w:val="21"/>
              <w:szCs w:val="21"/>
            </w:rPr>
            <w:fldChar w:fldCharType="end"/>
          </w:r>
          <w:r>
            <w:rPr>
              <w:rFonts w:ascii="仿宋" w:hAnsi="仿宋" w:eastAsia="仿宋" w:cs="仿宋"/>
              <w:sz w:val="21"/>
              <w:szCs w:val="21"/>
            </w:rPr>
            <w:t>103</w:t>
          </w:r>
        </w:p>
        <w:p w14:paraId="527AA7B9">
          <w:pPr>
            <w:tabs>
              <w:tab w:val="right" w:leader="dot" w:pos="9909"/>
            </w:tabs>
            <w:spacing w:before="112" w:line="216" w:lineRule="auto"/>
            <w:ind w:left="449"/>
            <w:rPr>
              <w:rFonts w:ascii="仿宋" w:hAnsi="仿宋" w:eastAsia="仿宋" w:cs="仿宋"/>
              <w:sz w:val="21"/>
              <w:szCs w:val="21"/>
            </w:rPr>
          </w:pPr>
          <w:bookmarkStart w:id="29" w:name="bookmark38"/>
          <w:bookmarkEnd w:id="29"/>
          <w:r>
            <w:fldChar w:fldCharType="begin"/>
          </w:r>
          <w:r>
            <w:instrText xml:space="preserve"> HYPERLINK \l "bookmark39" </w:instrText>
          </w:r>
          <w:r>
            <w:fldChar w:fldCharType="separate"/>
          </w:r>
          <w:r>
            <w:rPr>
              <w:rFonts w:ascii="仿宋" w:hAnsi="仿宋" w:eastAsia="仿宋" w:cs="仿宋"/>
              <w:spacing w:val="-1"/>
              <w:sz w:val="21"/>
              <w:szCs w:val="21"/>
            </w:rPr>
            <w:t>（十）具备履行合同所必需的设备和专业技术能力的</w:t>
          </w:r>
          <w:r>
            <w:rPr>
              <w:rFonts w:ascii="仿宋" w:hAnsi="仿宋" w:eastAsia="仿宋" w:cs="仿宋"/>
              <w:spacing w:val="-2"/>
              <w:sz w:val="21"/>
              <w:szCs w:val="21"/>
            </w:rPr>
            <w:t>书面声明函</w:t>
          </w:r>
          <w:r>
            <w:rPr>
              <w:rFonts w:ascii="仿宋" w:hAnsi="仿宋" w:eastAsia="仿宋" w:cs="仿宋"/>
              <w:sz w:val="21"/>
              <w:szCs w:val="21"/>
            </w:rPr>
            <w:tab/>
          </w:r>
          <w:r>
            <w:rPr>
              <w:rFonts w:ascii="仿宋" w:hAnsi="仿宋" w:eastAsia="仿宋" w:cs="仿宋"/>
              <w:sz w:val="21"/>
              <w:szCs w:val="21"/>
            </w:rPr>
            <w:fldChar w:fldCharType="end"/>
          </w:r>
          <w:r>
            <w:rPr>
              <w:rFonts w:ascii="仿宋" w:hAnsi="仿宋" w:eastAsia="仿宋" w:cs="仿宋"/>
              <w:sz w:val="21"/>
              <w:szCs w:val="21"/>
            </w:rPr>
            <w:t>103</w:t>
          </w:r>
        </w:p>
        <w:p w14:paraId="79983912">
          <w:pPr>
            <w:tabs>
              <w:tab w:val="right" w:leader="dot" w:pos="9909"/>
            </w:tabs>
            <w:spacing w:before="112" w:line="217" w:lineRule="auto"/>
            <w:ind w:left="449"/>
            <w:rPr>
              <w:rFonts w:ascii="仿宋" w:hAnsi="仿宋" w:eastAsia="仿宋" w:cs="仿宋"/>
              <w:sz w:val="21"/>
              <w:szCs w:val="21"/>
            </w:rPr>
          </w:pPr>
          <w:bookmarkStart w:id="30" w:name="bookmark40"/>
          <w:bookmarkEnd w:id="30"/>
          <w:r>
            <w:fldChar w:fldCharType="begin"/>
          </w:r>
          <w:r>
            <w:instrText xml:space="preserve"> HYPERLINK \l "bookmark41" </w:instrText>
          </w:r>
          <w:r>
            <w:fldChar w:fldCharType="separate"/>
          </w:r>
          <w:r>
            <w:rPr>
              <w:rFonts w:ascii="仿宋" w:hAnsi="仿宋" w:eastAsia="仿宋" w:cs="仿宋"/>
              <w:spacing w:val="-3"/>
              <w:sz w:val="21"/>
              <w:szCs w:val="21"/>
            </w:rPr>
            <w:t>（十一）无重大违法记录声明函</w:t>
          </w:r>
          <w:r>
            <w:rPr>
              <w:rFonts w:ascii="仿宋" w:hAnsi="仿宋" w:eastAsia="仿宋" w:cs="仿宋"/>
              <w:sz w:val="21"/>
              <w:szCs w:val="21"/>
            </w:rPr>
            <w:tab/>
          </w:r>
          <w:r>
            <w:rPr>
              <w:rFonts w:ascii="仿宋" w:hAnsi="仿宋" w:eastAsia="仿宋" w:cs="仿宋"/>
              <w:sz w:val="21"/>
              <w:szCs w:val="21"/>
            </w:rPr>
            <w:fldChar w:fldCharType="end"/>
          </w:r>
          <w:r>
            <w:rPr>
              <w:rFonts w:ascii="仿宋" w:hAnsi="仿宋" w:eastAsia="仿宋" w:cs="仿宋"/>
              <w:sz w:val="21"/>
              <w:szCs w:val="21"/>
            </w:rPr>
            <w:t>104</w:t>
          </w:r>
        </w:p>
        <w:p w14:paraId="1979725D">
          <w:pPr>
            <w:tabs>
              <w:tab w:val="right" w:leader="dot" w:pos="9909"/>
            </w:tabs>
            <w:spacing w:before="110" w:line="217" w:lineRule="auto"/>
            <w:ind w:left="449"/>
            <w:rPr>
              <w:rFonts w:ascii="仿宋" w:hAnsi="仿宋" w:eastAsia="仿宋" w:cs="仿宋"/>
              <w:sz w:val="21"/>
              <w:szCs w:val="21"/>
            </w:rPr>
          </w:pPr>
          <w:bookmarkStart w:id="31" w:name="bookmark42"/>
          <w:bookmarkEnd w:id="31"/>
          <w:r>
            <w:fldChar w:fldCharType="begin"/>
          </w:r>
          <w:r>
            <w:instrText xml:space="preserve"> HYPERLINK \l "bookmark43" </w:instrText>
          </w:r>
          <w:r>
            <w:fldChar w:fldCharType="separate"/>
          </w:r>
          <w:r>
            <w:rPr>
              <w:rFonts w:ascii="仿宋" w:hAnsi="仿宋" w:eastAsia="仿宋" w:cs="仿宋"/>
              <w:spacing w:val="-3"/>
              <w:sz w:val="21"/>
              <w:szCs w:val="21"/>
            </w:rPr>
            <w:t>（十二）政府采购诚信承诺书</w:t>
          </w:r>
          <w:r>
            <w:rPr>
              <w:rFonts w:ascii="仿宋" w:hAnsi="仿宋" w:eastAsia="仿宋" w:cs="仿宋"/>
              <w:sz w:val="21"/>
              <w:szCs w:val="21"/>
            </w:rPr>
            <w:tab/>
          </w:r>
          <w:r>
            <w:rPr>
              <w:rFonts w:ascii="仿宋" w:hAnsi="仿宋" w:eastAsia="仿宋" w:cs="仿宋"/>
              <w:sz w:val="21"/>
              <w:szCs w:val="21"/>
            </w:rPr>
            <w:fldChar w:fldCharType="end"/>
          </w:r>
          <w:r>
            <w:rPr>
              <w:rFonts w:ascii="仿宋" w:hAnsi="仿宋" w:eastAsia="仿宋" w:cs="仿宋"/>
              <w:sz w:val="21"/>
              <w:szCs w:val="21"/>
            </w:rPr>
            <w:t>104</w:t>
          </w:r>
        </w:p>
        <w:p w14:paraId="54208981">
          <w:pPr>
            <w:tabs>
              <w:tab w:val="right" w:leader="dot" w:pos="9909"/>
            </w:tabs>
            <w:spacing w:before="112" w:line="217" w:lineRule="auto"/>
            <w:ind w:left="449"/>
            <w:rPr>
              <w:rFonts w:ascii="仿宋" w:hAnsi="仿宋" w:eastAsia="仿宋" w:cs="仿宋"/>
              <w:sz w:val="21"/>
              <w:szCs w:val="21"/>
            </w:rPr>
          </w:pPr>
          <w:bookmarkStart w:id="32" w:name="bookmark44"/>
          <w:bookmarkEnd w:id="32"/>
          <w:r>
            <w:fldChar w:fldCharType="begin"/>
          </w:r>
          <w:r>
            <w:instrText xml:space="preserve"> HYPERLINK \l "bookmark45" </w:instrText>
          </w:r>
          <w:r>
            <w:fldChar w:fldCharType="separate"/>
          </w:r>
          <w:r>
            <w:rPr>
              <w:rFonts w:ascii="仿宋" w:hAnsi="仿宋" w:eastAsia="仿宋" w:cs="仿宋"/>
              <w:spacing w:val="-5"/>
              <w:sz w:val="21"/>
              <w:szCs w:val="21"/>
            </w:rPr>
            <w:t>（十三）中小企业声明函</w:t>
          </w:r>
          <w:r>
            <w:rPr>
              <w:rFonts w:ascii="仿宋" w:hAnsi="仿宋" w:eastAsia="仿宋" w:cs="仿宋"/>
              <w:spacing w:val="95"/>
              <w:sz w:val="21"/>
              <w:szCs w:val="21"/>
            </w:rPr>
            <w:t xml:space="preserve"> </w:t>
          </w:r>
          <w:r>
            <w:rPr>
              <w:rFonts w:ascii="仿宋" w:hAnsi="仿宋" w:eastAsia="仿宋" w:cs="仿宋"/>
              <w:spacing w:val="-5"/>
              <w:sz w:val="21"/>
              <w:szCs w:val="21"/>
            </w:rPr>
            <w:t>(服务）</w:t>
          </w:r>
          <w:r>
            <w:rPr>
              <w:rFonts w:ascii="仿宋" w:hAnsi="仿宋" w:eastAsia="仿宋" w:cs="仿宋"/>
              <w:sz w:val="21"/>
              <w:szCs w:val="21"/>
            </w:rPr>
            <w:tab/>
          </w:r>
          <w:r>
            <w:rPr>
              <w:rFonts w:ascii="仿宋" w:hAnsi="仿宋" w:eastAsia="仿宋" w:cs="仿宋"/>
              <w:sz w:val="21"/>
              <w:szCs w:val="21"/>
            </w:rPr>
            <w:fldChar w:fldCharType="end"/>
          </w:r>
          <w:r>
            <w:rPr>
              <w:rFonts w:ascii="仿宋" w:hAnsi="仿宋" w:eastAsia="仿宋" w:cs="仿宋"/>
              <w:sz w:val="21"/>
              <w:szCs w:val="21"/>
            </w:rPr>
            <w:t>105</w:t>
          </w:r>
        </w:p>
        <w:p w14:paraId="4AD0DEFC">
          <w:pPr>
            <w:tabs>
              <w:tab w:val="right" w:leader="dot" w:pos="9489"/>
            </w:tabs>
            <w:spacing w:before="110" w:line="215" w:lineRule="auto"/>
            <w:ind w:left="449"/>
            <w:rPr>
              <w:rFonts w:ascii="仿宋" w:hAnsi="仿宋" w:eastAsia="仿宋" w:cs="仿宋"/>
              <w:sz w:val="21"/>
              <w:szCs w:val="21"/>
            </w:rPr>
          </w:pPr>
          <w:bookmarkStart w:id="33" w:name="bookmark46"/>
          <w:bookmarkEnd w:id="33"/>
          <w:r>
            <w:fldChar w:fldCharType="begin"/>
          </w:r>
          <w:r>
            <w:instrText xml:space="preserve"> HYPERLINK \l "bookmark47" </w:instrText>
          </w:r>
          <w:r>
            <w:fldChar w:fldCharType="separate"/>
          </w:r>
          <w:r>
            <w:rPr>
              <w:rFonts w:ascii="仿宋" w:hAnsi="仿宋" w:eastAsia="仿宋" w:cs="仿宋"/>
              <w:sz w:val="21"/>
              <w:szCs w:val="21"/>
            </w:rPr>
            <w:t>（十四）残疾人福利性单位声明函（可选）</w:t>
          </w:r>
          <w:r>
            <w:rPr>
              <w:rFonts w:ascii="仿宋" w:hAnsi="仿宋" w:eastAsia="仿宋" w:cs="仿宋"/>
              <w:spacing w:val="-84"/>
              <w:sz w:val="21"/>
              <w:szCs w:val="21"/>
            </w:rPr>
            <w:t xml:space="preserve"> </w:t>
          </w:r>
          <w:r>
            <w:rPr>
              <w:rFonts w:ascii="仿宋" w:hAnsi="仿宋" w:eastAsia="仿宋" w:cs="仿宋"/>
              <w:sz w:val="21"/>
              <w:szCs w:val="21"/>
            </w:rPr>
            <w:tab/>
          </w:r>
          <w:r>
            <w:rPr>
              <w:rFonts w:ascii="仿宋" w:hAnsi="仿宋" w:eastAsia="仿宋" w:cs="仿宋"/>
              <w:sz w:val="21"/>
              <w:szCs w:val="21"/>
            </w:rPr>
            <w:t>105</w:t>
          </w:r>
          <w:r>
            <w:rPr>
              <w:rFonts w:ascii="仿宋" w:hAnsi="仿宋" w:eastAsia="仿宋" w:cs="仿宋"/>
              <w:sz w:val="21"/>
              <w:szCs w:val="21"/>
            </w:rPr>
            <w:fldChar w:fldCharType="end"/>
          </w:r>
        </w:p>
        <w:p w14:paraId="7B33CE49">
          <w:pPr>
            <w:tabs>
              <w:tab w:val="right" w:leader="dot" w:pos="9909"/>
            </w:tabs>
            <w:spacing w:before="113" w:line="217" w:lineRule="auto"/>
            <w:ind w:left="449"/>
            <w:rPr>
              <w:rFonts w:ascii="仿宋" w:hAnsi="仿宋" w:eastAsia="仿宋" w:cs="仿宋"/>
              <w:sz w:val="21"/>
              <w:szCs w:val="21"/>
            </w:rPr>
          </w:pPr>
          <w:bookmarkStart w:id="34" w:name="bookmark48"/>
          <w:bookmarkEnd w:id="34"/>
          <w:r>
            <w:fldChar w:fldCharType="begin"/>
          </w:r>
          <w:r>
            <w:instrText xml:space="preserve"> HYPERLINK \l "bookmark49" </w:instrText>
          </w:r>
          <w:r>
            <w:fldChar w:fldCharType="separate"/>
          </w:r>
          <w:r>
            <w:rPr>
              <w:rFonts w:ascii="仿宋" w:hAnsi="仿宋" w:eastAsia="仿宋" w:cs="仿宋"/>
              <w:sz w:val="21"/>
              <w:szCs w:val="21"/>
            </w:rPr>
            <w:t>（十五）监狱企业证明（可选）</w:t>
          </w:r>
          <w:r>
            <w:rPr>
              <w:rFonts w:ascii="仿宋" w:hAnsi="仿宋" w:eastAsia="仿宋" w:cs="仿宋"/>
              <w:spacing w:val="-84"/>
              <w:sz w:val="21"/>
              <w:szCs w:val="21"/>
            </w:rPr>
            <w:t xml:space="preserve"> </w:t>
          </w:r>
          <w:r>
            <w:rPr>
              <w:rFonts w:ascii="仿宋" w:hAnsi="仿宋" w:eastAsia="仿宋" w:cs="仿宋"/>
              <w:sz w:val="21"/>
              <w:szCs w:val="21"/>
            </w:rPr>
            <w:tab/>
          </w:r>
          <w:r>
            <w:rPr>
              <w:rFonts w:ascii="仿宋" w:hAnsi="仿宋" w:eastAsia="仿宋" w:cs="仿宋"/>
              <w:sz w:val="21"/>
              <w:szCs w:val="21"/>
            </w:rPr>
            <w:fldChar w:fldCharType="end"/>
          </w:r>
          <w:r>
            <w:rPr>
              <w:rFonts w:ascii="仿宋" w:hAnsi="仿宋" w:eastAsia="仿宋" w:cs="仿宋"/>
              <w:sz w:val="21"/>
              <w:szCs w:val="21"/>
            </w:rPr>
            <w:t>105</w:t>
          </w:r>
        </w:p>
      </w:sdtContent>
    </w:sdt>
    <w:p w14:paraId="72B04AAB">
      <w:pPr>
        <w:pStyle w:val="2"/>
        <w:spacing w:line="290" w:lineRule="auto"/>
      </w:pPr>
    </w:p>
    <w:p w14:paraId="4527D784">
      <w:pPr>
        <w:pStyle w:val="2"/>
        <w:spacing w:line="290" w:lineRule="auto"/>
      </w:pPr>
    </w:p>
    <w:p w14:paraId="6BF4DF65">
      <w:pPr>
        <w:pStyle w:val="2"/>
        <w:spacing w:line="291" w:lineRule="auto"/>
      </w:pPr>
    </w:p>
    <w:p w14:paraId="24EF7563">
      <w:pPr>
        <w:pStyle w:val="2"/>
        <w:spacing w:line="291" w:lineRule="auto"/>
      </w:pPr>
    </w:p>
    <w:p w14:paraId="0FB00864">
      <w:pPr>
        <w:spacing w:before="62" w:line="160" w:lineRule="auto"/>
        <w:ind w:left="138"/>
        <w:rPr>
          <w:rFonts w:ascii="宋体" w:hAnsi="宋体" w:eastAsia="宋体" w:cs="宋体"/>
          <w:sz w:val="19"/>
          <w:szCs w:val="19"/>
        </w:rPr>
      </w:pPr>
      <w:r>
        <w:rPr>
          <w:rFonts w:ascii="仿宋" w:hAnsi="仿宋" w:eastAsia="仿宋" w:cs="仿宋"/>
          <w:i/>
          <w:iCs/>
          <w:spacing w:val="-3"/>
          <w:sz w:val="19"/>
          <w:szCs w:val="19"/>
        </w:rPr>
        <w:t>电话:0999-8330667</w:t>
      </w:r>
      <w:r>
        <w:rPr>
          <w:rFonts w:ascii="仿宋" w:hAnsi="仿宋" w:eastAsia="仿宋" w:cs="仿宋"/>
          <w:spacing w:val="1"/>
          <w:sz w:val="19"/>
          <w:szCs w:val="19"/>
        </w:rPr>
        <w:t xml:space="preserve">                   </w:t>
      </w:r>
      <w:r>
        <w:rPr>
          <w:rFonts w:ascii="仿宋" w:hAnsi="仿宋" w:eastAsia="仿宋" w:cs="仿宋"/>
          <w:sz w:val="19"/>
          <w:szCs w:val="19"/>
        </w:rPr>
        <w:t xml:space="preserve">               </w:t>
      </w:r>
      <w:r>
        <w:rPr>
          <w:rFonts w:ascii="Times New Roman" w:hAnsi="Times New Roman" w:eastAsia="Times New Roman" w:cs="Times New Roman"/>
          <w:spacing w:val="-3"/>
          <w:position w:val="1"/>
          <w:sz w:val="18"/>
          <w:szCs w:val="18"/>
        </w:rPr>
        <w:t xml:space="preserve">2                                </w:t>
      </w:r>
      <w:r>
        <w:rPr>
          <w:rFonts w:ascii="宋体" w:hAnsi="宋体" w:eastAsia="宋体" w:cs="宋体"/>
          <w:b/>
          <w:bCs/>
          <w:i/>
          <w:iCs/>
          <w:spacing w:val="-3"/>
          <w:sz w:val="19"/>
          <w:szCs w:val="19"/>
        </w:rPr>
        <w:t>伊犁州公共资源交易中心</w:t>
      </w:r>
    </w:p>
    <w:p w14:paraId="05B7C82C">
      <w:pPr>
        <w:spacing w:line="160" w:lineRule="auto"/>
        <w:rPr>
          <w:rFonts w:ascii="宋体" w:hAnsi="宋体" w:eastAsia="宋体" w:cs="宋体"/>
          <w:sz w:val="19"/>
          <w:szCs w:val="19"/>
        </w:rPr>
        <w:sectPr>
          <w:headerReference r:id="rId6" w:type="default"/>
          <w:footerReference r:id="rId7" w:type="default"/>
          <w:pgSz w:w="11905" w:h="16839"/>
          <w:pgMar w:top="1136" w:right="830" w:bottom="937" w:left="1136" w:header="854" w:footer="923" w:gutter="0"/>
          <w:cols w:space="720" w:num="1"/>
        </w:sectPr>
      </w:pPr>
    </w:p>
    <w:p w14:paraId="03D85395">
      <w:pPr>
        <w:pStyle w:val="2"/>
        <w:spacing w:line="281" w:lineRule="auto"/>
      </w:pPr>
    </w:p>
    <w:p w14:paraId="0EA0D016">
      <w:pPr>
        <w:spacing w:before="117" w:line="220" w:lineRule="auto"/>
        <w:ind w:left="3007"/>
        <w:outlineLvl w:val="0"/>
        <w:rPr>
          <w:rFonts w:ascii="宋体" w:hAnsi="宋体" w:eastAsia="宋体" w:cs="宋体"/>
          <w:sz w:val="36"/>
          <w:szCs w:val="36"/>
        </w:rPr>
      </w:pPr>
      <w:bookmarkStart w:id="35" w:name="bookmark50"/>
      <w:bookmarkEnd w:id="35"/>
      <w:bookmarkStart w:id="36" w:name="bookmark1"/>
      <w:bookmarkEnd w:id="36"/>
      <w:r>
        <w:rPr>
          <w:rFonts w:ascii="宋体" w:hAnsi="宋体" w:eastAsia="宋体" w:cs="宋体"/>
          <w:b/>
          <w:bCs/>
          <w:spacing w:val="-4"/>
          <w:sz w:val="36"/>
          <w:szCs w:val="36"/>
        </w:rPr>
        <w:t>第一部分</w:t>
      </w:r>
      <w:r>
        <w:rPr>
          <w:rFonts w:ascii="宋体" w:hAnsi="宋体" w:eastAsia="宋体" w:cs="宋体"/>
          <w:spacing w:val="-4"/>
          <w:sz w:val="36"/>
          <w:szCs w:val="36"/>
        </w:rPr>
        <w:t xml:space="preserve">  </w:t>
      </w:r>
      <w:r>
        <w:rPr>
          <w:rFonts w:ascii="宋体" w:hAnsi="宋体" w:eastAsia="宋体" w:cs="宋体"/>
          <w:b/>
          <w:bCs/>
          <w:spacing w:val="-4"/>
          <w:sz w:val="36"/>
          <w:szCs w:val="36"/>
        </w:rPr>
        <w:t>投标邀请</w:t>
      </w:r>
    </w:p>
    <w:p w14:paraId="692EF98F">
      <w:pPr>
        <w:spacing w:before="160" w:line="167" w:lineRule="auto"/>
        <w:ind w:left="122"/>
        <w:rPr>
          <w:rFonts w:ascii="微软雅黑" w:hAnsi="微软雅黑" w:eastAsia="微软雅黑" w:cs="微软雅黑"/>
          <w:sz w:val="24"/>
          <w:szCs w:val="24"/>
        </w:rPr>
      </w:pPr>
      <w:r>
        <w:rPr>
          <w:rFonts w:ascii="宋体" w:hAnsi="宋体" w:eastAsia="宋体" w:cs="宋体"/>
          <w:b/>
          <w:bCs/>
          <w:spacing w:val="-2"/>
          <w:sz w:val="24"/>
          <w:szCs w:val="24"/>
        </w:rPr>
        <w:t>伊犁州公共资源交易中心拟对以下项目进行集中采购，欢迎符合条件的投标人参加</w:t>
      </w:r>
      <w:r>
        <w:rPr>
          <w:rFonts w:ascii="微软雅黑" w:hAnsi="微软雅黑" w:eastAsia="微软雅黑" w:cs="微软雅黑"/>
          <w:spacing w:val="-2"/>
          <w:sz w:val="24"/>
          <w:szCs w:val="24"/>
        </w:rPr>
        <w:t>。</w:t>
      </w:r>
    </w:p>
    <w:tbl>
      <w:tblPr>
        <w:tblStyle w:val="5"/>
        <w:tblW w:w="99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7"/>
        <w:gridCol w:w="1460"/>
        <w:gridCol w:w="988"/>
        <w:gridCol w:w="160"/>
        <w:gridCol w:w="2556"/>
        <w:gridCol w:w="1267"/>
        <w:gridCol w:w="152"/>
        <w:gridCol w:w="756"/>
        <w:gridCol w:w="2076"/>
      </w:tblGrid>
      <w:tr w14:paraId="43680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57" w:type="dxa"/>
            <w:vMerge w:val="restart"/>
            <w:tcBorders>
              <w:bottom w:val="nil"/>
            </w:tcBorders>
            <w:vAlign w:val="top"/>
          </w:tcPr>
          <w:p w14:paraId="7209D28B">
            <w:pPr>
              <w:spacing w:line="278" w:lineRule="auto"/>
              <w:rPr>
                <w:rFonts w:ascii="Arial"/>
                <w:sz w:val="21"/>
              </w:rPr>
            </w:pPr>
          </w:p>
          <w:p w14:paraId="0DFCA160">
            <w:pPr>
              <w:spacing w:before="78" w:line="182" w:lineRule="auto"/>
              <w:ind w:left="238"/>
              <w:rPr>
                <w:rFonts w:ascii="宋体" w:hAnsi="宋体" w:eastAsia="宋体" w:cs="宋体"/>
                <w:sz w:val="24"/>
                <w:szCs w:val="24"/>
              </w:rPr>
            </w:pPr>
            <w:r>
              <w:rPr>
                <w:rFonts w:ascii="宋体" w:hAnsi="宋体" w:eastAsia="宋体" w:cs="宋体"/>
                <w:sz w:val="24"/>
                <w:szCs w:val="24"/>
              </w:rPr>
              <w:t>1</w:t>
            </w:r>
          </w:p>
        </w:tc>
        <w:tc>
          <w:tcPr>
            <w:tcW w:w="1460" w:type="dxa"/>
            <w:vMerge w:val="restart"/>
            <w:tcBorders>
              <w:bottom w:val="nil"/>
            </w:tcBorders>
            <w:vAlign w:val="top"/>
          </w:tcPr>
          <w:p w14:paraId="721D48FC">
            <w:pPr>
              <w:pStyle w:val="6"/>
              <w:spacing w:before="318" w:line="188" w:lineRule="auto"/>
              <w:ind w:left="115"/>
            </w:pPr>
            <w:r>
              <w:rPr>
                <w:b/>
                <w:bCs/>
                <w:spacing w:val="-4"/>
              </w:rPr>
              <w:t>采购项目</w:t>
            </w:r>
          </w:p>
        </w:tc>
        <w:tc>
          <w:tcPr>
            <w:tcW w:w="988" w:type="dxa"/>
            <w:vAlign w:val="top"/>
          </w:tcPr>
          <w:p w14:paraId="6ED6D902">
            <w:pPr>
              <w:pStyle w:val="6"/>
              <w:spacing w:before="113" w:line="164" w:lineRule="auto"/>
              <w:ind w:left="114"/>
            </w:pPr>
            <w:r>
              <w:rPr>
                <w:b/>
                <w:bCs/>
                <w:spacing w:val="-5"/>
                <w:w w:val="98"/>
              </w:rPr>
              <w:t>名</w:t>
            </w:r>
            <w:r>
              <w:rPr>
                <w:b/>
                <w:bCs/>
                <w:spacing w:val="14"/>
              </w:rPr>
              <w:t xml:space="preserve">   </w:t>
            </w:r>
            <w:r>
              <w:rPr>
                <w:b/>
                <w:bCs/>
                <w:spacing w:val="-5"/>
                <w:w w:val="98"/>
              </w:rPr>
              <w:t>称</w:t>
            </w:r>
          </w:p>
        </w:tc>
        <w:tc>
          <w:tcPr>
            <w:tcW w:w="6967" w:type="dxa"/>
            <w:gridSpan w:val="6"/>
            <w:vAlign w:val="top"/>
          </w:tcPr>
          <w:p w14:paraId="4699D434">
            <w:pPr>
              <w:pStyle w:val="6"/>
              <w:spacing w:before="113" w:line="164" w:lineRule="auto"/>
              <w:ind w:left="118"/>
            </w:pPr>
            <w:r>
              <w:rPr>
                <w:spacing w:val="-2"/>
              </w:rPr>
              <w:t>伊犁州中医医院信息类软件购置项目（第二批）</w:t>
            </w:r>
          </w:p>
        </w:tc>
      </w:tr>
      <w:tr w14:paraId="64EB5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7" w:type="dxa"/>
            <w:vMerge w:val="continue"/>
            <w:tcBorders>
              <w:top w:val="nil"/>
            </w:tcBorders>
            <w:vAlign w:val="top"/>
          </w:tcPr>
          <w:p w14:paraId="6CF4ABFF">
            <w:pPr>
              <w:rPr>
                <w:rFonts w:ascii="Arial"/>
                <w:sz w:val="21"/>
              </w:rPr>
            </w:pPr>
          </w:p>
        </w:tc>
        <w:tc>
          <w:tcPr>
            <w:tcW w:w="1460" w:type="dxa"/>
            <w:vMerge w:val="continue"/>
            <w:tcBorders>
              <w:top w:val="nil"/>
            </w:tcBorders>
            <w:vAlign w:val="top"/>
          </w:tcPr>
          <w:p w14:paraId="7F5ED6AA">
            <w:pPr>
              <w:rPr>
                <w:rFonts w:ascii="Arial"/>
                <w:sz w:val="21"/>
              </w:rPr>
            </w:pPr>
          </w:p>
        </w:tc>
        <w:tc>
          <w:tcPr>
            <w:tcW w:w="988" w:type="dxa"/>
            <w:vAlign w:val="top"/>
          </w:tcPr>
          <w:p w14:paraId="2188E429">
            <w:pPr>
              <w:pStyle w:val="6"/>
              <w:spacing w:before="108" w:line="164" w:lineRule="auto"/>
              <w:ind w:left="115"/>
            </w:pPr>
            <w:r>
              <w:rPr>
                <w:b/>
                <w:bCs/>
                <w:spacing w:val="-5"/>
                <w:w w:val="98"/>
              </w:rPr>
              <w:t>编</w:t>
            </w:r>
            <w:r>
              <w:rPr>
                <w:b/>
                <w:bCs/>
                <w:spacing w:val="15"/>
              </w:rPr>
              <w:t xml:space="preserve">   </w:t>
            </w:r>
            <w:r>
              <w:rPr>
                <w:b/>
                <w:bCs/>
                <w:spacing w:val="-5"/>
                <w:w w:val="98"/>
              </w:rPr>
              <w:t>号</w:t>
            </w:r>
          </w:p>
        </w:tc>
        <w:tc>
          <w:tcPr>
            <w:tcW w:w="6967" w:type="dxa"/>
            <w:gridSpan w:val="6"/>
            <w:vAlign w:val="top"/>
          </w:tcPr>
          <w:p w14:paraId="19D4FDE7">
            <w:pPr>
              <w:pStyle w:val="6"/>
              <w:spacing w:before="108" w:line="164" w:lineRule="auto"/>
              <w:ind w:left="104"/>
            </w:pPr>
            <w:r>
              <w:rPr>
                <w:spacing w:val="-21"/>
              </w:rPr>
              <w:t>YLCG-2024GK-019</w:t>
            </w:r>
            <w:r>
              <w:rPr>
                <w:spacing w:val="10"/>
              </w:rPr>
              <w:t xml:space="preserve"> </w:t>
            </w:r>
            <w:r>
              <w:rPr>
                <w:spacing w:val="-21"/>
              </w:rPr>
              <w:t>号</w:t>
            </w:r>
          </w:p>
        </w:tc>
      </w:tr>
      <w:tr w14:paraId="1069F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7" w:type="dxa"/>
            <w:vMerge w:val="restart"/>
            <w:tcBorders>
              <w:bottom w:val="nil"/>
            </w:tcBorders>
            <w:vAlign w:val="top"/>
          </w:tcPr>
          <w:p w14:paraId="44C62A24">
            <w:pPr>
              <w:spacing w:line="274" w:lineRule="auto"/>
              <w:rPr>
                <w:rFonts w:ascii="Arial"/>
                <w:sz w:val="21"/>
              </w:rPr>
            </w:pPr>
          </w:p>
          <w:p w14:paraId="68AEE002">
            <w:pPr>
              <w:spacing w:before="78" w:line="181" w:lineRule="auto"/>
              <w:ind w:left="223"/>
              <w:rPr>
                <w:rFonts w:ascii="宋体" w:hAnsi="宋体" w:eastAsia="宋体" w:cs="宋体"/>
                <w:sz w:val="24"/>
                <w:szCs w:val="24"/>
              </w:rPr>
            </w:pPr>
            <w:r>
              <w:rPr>
                <w:rFonts w:ascii="宋体" w:hAnsi="宋体" w:eastAsia="宋体" w:cs="宋体"/>
                <w:sz w:val="24"/>
                <w:szCs w:val="24"/>
              </w:rPr>
              <w:t>2</w:t>
            </w:r>
          </w:p>
        </w:tc>
        <w:tc>
          <w:tcPr>
            <w:tcW w:w="1460" w:type="dxa"/>
            <w:vMerge w:val="restart"/>
            <w:tcBorders>
              <w:bottom w:val="nil"/>
            </w:tcBorders>
            <w:vAlign w:val="top"/>
          </w:tcPr>
          <w:p w14:paraId="74CDF520">
            <w:pPr>
              <w:pStyle w:val="6"/>
              <w:spacing w:before="314" w:line="189" w:lineRule="auto"/>
              <w:ind w:left="115"/>
            </w:pPr>
            <w:r>
              <w:rPr>
                <w:b/>
                <w:bCs/>
                <w:spacing w:val="-8"/>
              </w:rPr>
              <w:t>采</w:t>
            </w:r>
            <w:r>
              <w:rPr>
                <w:b/>
                <w:bCs/>
                <w:spacing w:val="66"/>
              </w:rPr>
              <w:t xml:space="preserve"> </w:t>
            </w:r>
            <w:r>
              <w:rPr>
                <w:b/>
                <w:bCs/>
                <w:spacing w:val="-8"/>
              </w:rPr>
              <w:t>购  人</w:t>
            </w:r>
          </w:p>
        </w:tc>
        <w:tc>
          <w:tcPr>
            <w:tcW w:w="988" w:type="dxa"/>
            <w:vAlign w:val="top"/>
          </w:tcPr>
          <w:p w14:paraId="43D9DB42">
            <w:pPr>
              <w:pStyle w:val="6"/>
              <w:spacing w:before="108" w:line="164" w:lineRule="auto"/>
              <w:ind w:left="114"/>
            </w:pPr>
            <w:r>
              <w:rPr>
                <w:b/>
                <w:bCs/>
                <w:spacing w:val="-5"/>
                <w:w w:val="98"/>
              </w:rPr>
              <w:t>名</w:t>
            </w:r>
            <w:r>
              <w:rPr>
                <w:b/>
                <w:bCs/>
                <w:spacing w:val="14"/>
              </w:rPr>
              <w:t xml:space="preserve">   </w:t>
            </w:r>
            <w:r>
              <w:rPr>
                <w:b/>
                <w:bCs/>
                <w:spacing w:val="-5"/>
                <w:w w:val="98"/>
              </w:rPr>
              <w:t>称</w:t>
            </w:r>
          </w:p>
        </w:tc>
        <w:tc>
          <w:tcPr>
            <w:tcW w:w="6967" w:type="dxa"/>
            <w:gridSpan w:val="6"/>
            <w:vAlign w:val="top"/>
          </w:tcPr>
          <w:p w14:paraId="0C5DA421">
            <w:pPr>
              <w:pStyle w:val="6"/>
              <w:spacing w:before="108" w:line="164" w:lineRule="auto"/>
              <w:ind w:left="118"/>
            </w:pPr>
            <w:r>
              <w:rPr>
                <w:spacing w:val="-2"/>
              </w:rPr>
              <w:t>伊犁哈萨克自治州中医医院</w:t>
            </w:r>
          </w:p>
        </w:tc>
      </w:tr>
      <w:tr w14:paraId="7CDE9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7" w:type="dxa"/>
            <w:vMerge w:val="continue"/>
            <w:tcBorders>
              <w:top w:val="nil"/>
            </w:tcBorders>
            <w:vAlign w:val="top"/>
          </w:tcPr>
          <w:p w14:paraId="5D106456">
            <w:pPr>
              <w:rPr>
                <w:rFonts w:ascii="Arial"/>
                <w:sz w:val="21"/>
              </w:rPr>
            </w:pPr>
          </w:p>
        </w:tc>
        <w:tc>
          <w:tcPr>
            <w:tcW w:w="1460" w:type="dxa"/>
            <w:vMerge w:val="continue"/>
            <w:tcBorders>
              <w:top w:val="nil"/>
            </w:tcBorders>
            <w:vAlign w:val="top"/>
          </w:tcPr>
          <w:p w14:paraId="76A9DA70">
            <w:pPr>
              <w:rPr>
                <w:rFonts w:ascii="Arial"/>
                <w:sz w:val="21"/>
              </w:rPr>
            </w:pPr>
          </w:p>
        </w:tc>
        <w:tc>
          <w:tcPr>
            <w:tcW w:w="988" w:type="dxa"/>
            <w:vAlign w:val="top"/>
          </w:tcPr>
          <w:p w14:paraId="690F4221">
            <w:pPr>
              <w:pStyle w:val="6"/>
              <w:spacing w:before="108" w:line="164" w:lineRule="auto"/>
              <w:ind w:left="111"/>
            </w:pPr>
            <w:r>
              <w:rPr>
                <w:b/>
                <w:bCs/>
                <w:spacing w:val="-3"/>
              </w:rPr>
              <w:t>联系人</w:t>
            </w:r>
          </w:p>
        </w:tc>
        <w:tc>
          <w:tcPr>
            <w:tcW w:w="2716" w:type="dxa"/>
            <w:gridSpan w:val="2"/>
            <w:vAlign w:val="top"/>
          </w:tcPr>
          <w:p w14:paraId="1DCAAED2">
            <w:pPr>
              <w:pStyle w:val="6"/>
              <w:spacing w:before="108" w:line="164" w:lineRule="auto"/>
              <w:ind w:left="237"/>
            </w:pPr>
            <w:r>
              <w:rPr>
                <w:spacing w:val="-4"/>
              </w:rPr>
              <w:t>孙晨晨</w:t>
            </w:r>
          </w:p>
        </w:tc>
        <w:tc>
          <w:tcPr>
            <w:tcW w:w="1267" w:type="dxa"/>
            <w:vAlign w:val="top"/>
          </w:tcPr>
          <w:p w14:paraId="5266ECDF">
            <w:pPr>
              <w:pStyle w:val="6"/>
              <w:spacing w:before="108" w:line="164" w:lineRule="auto"/>
              <w:ind w:left="116"/>
            </w:pPr>
            <w:r>
              <w:rPr>
                <w:spacing w:val="-3"/>
              </w:rPr>
              <w:t>联系电话</w:t>
            </w:r>
          </w:p>
        </w:tc>
        <w:tc>
          <w:tcPr>
            <w:tcW w:w="2984" w:type="dxa"/>
            <w:gridSpan w:val="3"/>
            <w:vAlign w:val="top"/>
          </w:tcPr>
          <w:p w14:paraId="21B55D9F">
            <w:pPr>
              <w:pStyle w:val="6"/>
              <w:spacing w:before="151" w:line="238" w:lineRule="exact"/>
              <w:ind w:left="250"/>
            </w:pPr>
            <w:r>
              <w:rPr>
                <w:spacing w:val="-22"/>
                <w:position w:val="-4"/>
              </w:rPr>
              <w:t>13999373399</w:t>
            </w:r>
          </w:p>
        </w:tc>
      </w:tr>
      <w:tr w14:paraId="146D0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57" w:type="dxa"/>
            <w:vMerge w:val="restart"/>
            <w:tcBorders>
              <w:bottom w:val="nil"/>
            </w:tcBorders>
            <w:vAlign w:val="top"/>
          </w:tcPr>
          <w:p w14:paraId="2CAF722F">
            <w:pPr>
              <w:spacing w:line="292" w:lineRule="auto"/>
              <w:rPr>
                <w:rFonts w:ascii="Arial"/>
                <w:sz w:val="21"/>
              </w:rPr>
            </w:pPr>
          </w:p>
          <w:p w14:paraId="417250A4">
            <w:pPr>
              <w:spacing w:before="78" w:line="181" w:lineRule="auto"/>
              <w:ind w:left="225"/>
              <w:rPr>
                <w:rFonts w:ascii="宋体" w:hAnsi="宋体" w:eastAsia="宋体" w:cs="宋体"/>
                <w:sz w:val="24"/>
                <w:szCs w:val="24"/>
              </w:rPr>
            </w:pPr>
            <w:r>
              <w:rPr>
                <w:rFonts w:ascii="宋体" w:hAnsi="宋体" w:eastAsia="宋体" w:cs="宋体"/>
                <w:sz w:val="24"/>
                <w:szCs w:val="24"/>
              </w:rPr>
              <w:t>3</w:t>
            </w:r>
          </w:p>
        </w:tc>
        <w:tc>
          <w:tcPr>
            <w:tcW w:w="1460" w:type="dxa"/>
            <w:vMerge w:val="restart"/>
            <w:tcBorders>
              <w:bottom w:val="nil"/>
            </w:tcBorders>
            <w:vAlign w:val="top"/>
          </w:tcPr>
          <w:p w14:paraId="4EF14445">
            <w:pPr>
              <w:pStyle w:val="6"/>
              <w:spacing w:before="332" w:line="189" w:lineRule="auto"/>
              <w:ind w:left="114"/>
            </w:pPr>
            <w:r>
              <w:rPr>
                <w:b/>
                <w:bCs/>
                <w:spacing w:val="-4"/>
              </w:rPr>
              <w:t>集采机构</w:t>
            </w:r>
          </w:p>
        </w:tc>
        <w:tc>
          <w:tcPr>
            <w:tcW w:w="988" w:type="dxa"/>
            <w:vAlign w:val="top"/>
          </w:tcPr>
          <w:p w14:paraId="168DD451">
            <w:pPr>
              <w:pStyle w:val="6"/>
              <w:spacing w:before="118" w:line="169" w:lineRule="auto"/>
              <w:ind w:left="114"/>
            </w:pPr>
            <w:r>
              <w:rPr>
                <w:b/>
                <w:bCs/>
                <w:spacing w:val="-5"/>
                <w:w w:val="98"/>
              </w:rPr>
              <w:t>名</w:t>
            </w:r>
            <w:r>
              <w:rPr>
                <w:b/>
                <w:bCs/>
                <w:spacing w:val="14"/>
              </w:rPr>
              <w:t xml:space="preserve">   </w:t>
            </w:r>
            <w:r>
              <w:rPr>
                <w:b/>
                <w:bCs/>
                <w:spacing w:val="-5"/>
                <w:w w:val="98"/>
              </w:rPr>
              <w:t>称</w:t>
            </w:r>
          </w:p>
        </w:tc>
        <w:tc>
          <w:tcPr>
            <w:tcW w:w="6967" w:type="dxa"/>
            <w:gridSpan w:val="6"/>
            <w:vAlign w:val="top"/>
          </w:tcPr>
          <w:p w14:paraId="41335496">
            <w:pPr>
              <w:pStyle w:val="6"/>
              <w:spacing w:before="118" w:line="169" w:lineRule="auto"/>
              <w:ind w:left="118"/>
            </w:pPr>
            <w:r>
              <w:rPr>
                <w:spacing w:val="-2"/>
              </w:rPr>
              <w:t>伊犁州公共资源交易中心</w:t>
            </w:r>
          </w:p>
        </w:tc>
      </w:tr>
      <w:tr w14:paraId="12B09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57" w:type="dxa"/>
            <w:vMerge w:val="continue"/>
            <w:tcBorders>
              <w:top w:val="nil"/>
            </w:tcBorders>
            <w:vAlign w:val="top"/>
          </w:tcPr>
          <w:p w14:paraId="5ACB700A">
            <w:pPr>
              <w:rPr>
                <w:rFonts w:ascii="Arial"/>
                <w:sz w:val="21"/>
              </w:rPr>
            </w:pPr>
          </w:p>
        </w:tc>
        <w:tc>
          <w:tcPr>
            <w:tcW w:w="1460" w:type="dxa"/>
            <w:vMerge w:val="continue"/>
            <w:tcBorders>
              <w:top w:val="nil"/>
            </w:tcBorders>
            <w:vAlign w:val="top"/>
          </w:tcPr>
          <w:p w14:paraId="41D77097">
            <w:pPr>
              <w:rPr>
                <w:rFonts w:ascii="Arial"/>
                <w:sz w:val="21"/>
              </w:rPr>
            </w:pPr>
          </w:p>
        </w:tc>
        <w:tc>
          <w:tcPr>
            <w:tcW w:w="988" w:type="dxa"/>
            <w:vAlign w:val="top"/>
          </w:tcPr>
          <w:p w14:paraId="4E90A90A">
            <w:pPr>
              <w:pStyle w:val="6"/>
              <w:spacing w:before="117" w:line="169" w:lineRule="auto"/>
              <w:ind w:left="114"/>
            </w:pPr>
            <w:r>
              <w:rPr>
                <w:b/>
                <w:bCs/>
                <w:spacing w:val="-5"/>
                <w:w w:val="98"/>
              </w:rPr>
              <w:t>地</w:t>
            </w:r>
            <w:r>
              <w:rPr>
                <w:b/>
                <w:bCs/>
                <w:spacing w:val="15"/>
              </w:rPr>
              <w:t xml:space="preserve">   </w:t>
            </w:r>
            <w:r>
              <w:rPr>
                <w:b/>
                <w:bCs/>
                <w:spacing w:val="-5"/>
                <w:w w:val="98"/>
              </w:rPr>
              <w:t>址</w:t>
            </w:r>
          </w:p>
        </w:tc>
        <w:tc>
          <w:tcPr>
            <w:tcW w:w="6967" w:type="dxa"/>
            <w:gridSpan w:val="6"/>
            <w:vAlign w:val="top"/>
          </w:tcPr>
          <w:p w14:paraId="09503158">
            <w:pPr>
              <w:pStyle w:val="6"/>
              <w:spacing w:before="117" w:line="169" w:lineRule="auto"/>
              <w:ind w:left="115"/>
            </w:pPr>
            <w:r>
              <w:rPr>
                <w:spacing w:val="-4"/>
              </w:rPr>
              <w:t>新疆伊宁市海棠路 3 号州财政局办公楼附楼 1 层</w:t>
            </w:r>
          </w:p>
        </w:tc>
      </w:tr>
      <w:tr w14:paraId="4C93B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7" w:type="dxa"/>
            <w:vMerge w:val="restart"/>
            <w:tcBorders>
              <w:bottom w:val="nil"/>
            </w:tcBorders>
            <w:vAlign w:val="top"/>
          </w:tcPr>
          <w:p w14:paraId="6F1DEC5F">
            <w:pPr>
              <w:spacing w:line="354" w:lineRule="auto"/>
              <w:rPr>
                <w:rFonts w:ascii="Arial"/>
                <w:sz w:val="21"/>
              </w:rPr>
            </w:pPr>
          </w:p>
          <w:p w14:paraId="6A63AF10">
            <w:pPr>
              <w:spacing w:line="355" w:lineRule="auto"/>
              <w:rPr>
                <w:rFonts w:ascii="Arial"/>
                <w:sz w:val="21"/>
              </w:rPr>
            </w:pPr>
          </w:p>
          <w:p w14:paraId="19A1E921">
            <w:pPr>
              <w:spacing w:before="78" w:line="181" w:lineRule="auto"/>
              <w:ind w:left="219"/>
              <w:rPr>
                <w:rFonts w:ascii="宋体" w:hAnsi="宋体" w:eastAsia="宋体" w:cs="宋体"/>
                <w:sz w:val="24"/>
                <w:szCs w:val="24"/>
              </w:rPr>
            </w:pPr>
            <w:r>
              <w:rPr>
                <w:rFonts w:ascii="宋体" w:hAnsi="宋体" w:eastAsia="宋体" w:cs="宋体"/>
                <w:sz w:val="24"/>
                <w:szCs w:val="24"/>
              </w:rPr>
              <w:t>4</w:t>
            </w:r>
          </w:p>
        </w:tc>
        <w:tc>
          <w:tcPr>
            <w:tcW w:w="1460" w:type="dxa"/>
            <w:vMerge w:val="restart"/>
            <w:tcBorders>
              <w:bottom w:val="nil"/>
            </w:tcBorders>
            <w:vAlign w:val="top"/>
          </w:tcPr>
          <w:p w14:paraId="681DAE84">
            <w:pPr>
              <w:spacing w:line="322" w:lineRule="auto"/>
              <w:rPr>
                <w:rFonts w:ascii="Arial"/>
                <w:sz w:val="21"/>
              </w:rPr>
            </w:pPr>
          </w:p>
          <w:p w14:paraId="36FA8AD7">
            <w:pPr>
              <w:spacing w:line="323" w:lineRule="auto"/>
              <w:rPr>
                <w:rFonts w:ascii="Arial"/>
                <w:sz w:val="21"/>
              </w:rPr>
            </w:pPr>
          </w:p>
          <w:p w14:paraId="1AFBDE5C">
            <w:pPr>
              <w:pStyle w:val="6"/>
              <w:spacing w:before="103" w:line="188" w:lineRule="auto"/>
              <w:ind w:left="113"/>
            </w:pPr>
            <w:r>
              <w:rPr>
                <w:b/>
                <w:bCs/>
                <w:spacing w:val="-3"/>
              </w:rPr>
              <w:t>招标内容</w:t>
            </w:r>
          </w:p>
        </w:tc>
        <w:tc>
          <w:tcPr>
            <w:tcW w:w="988" w:type="dxa"/>
            <w:vAlign w:val="top"/>
          </w:tcPr>
          <w:p w14:paraId="266E0162">
            <w:pPr>
              <w:pStyle w:val="6"/>
              <w:spacing w:before="110" w:line="163" w:lineRule="auto"/>
              <w:ind w:left="113"/>
            </w:pPr>
            <w:r>
              <w:rPr>
                <w:spacing w:val="-2"/>
                <w:w w:val="97"/>
              </w:rPr>
              <w:t>标</w:t>
            </w:r>
            <w:r>
              <w:rPr>
                <w:spacing w:val="68"/>
              </w:rPr>
              <w:t xml:space="preserve"> </w:t>
            </w:r>
            <w:r>
              <w:rPr>
                <w:spacing w:val="-2"/>
                <w:w w:val="97"/>
              </w:rPr>
              <w:t>项</w:t>
            </w:r>
          </w:p>
        </w:tc>
        <w:tc>
          <w:tcPr>
            <w:tcW w:w="4135" w:type="dxa"/>
            <w:gridSpan w:val="4"/>
            <w:vAlign w:val="top"/>
          </w:tcPr>
          <w:p w14:paraId="3411A316">
            <w:pPr>
              <w:pStyle w:val="6"/>
              <w:spacing w:before="110" w:line="163" w:lineRule="auto"/>
              <w:ind w:left="1077"/>
            </w:pPr>
            <w:r>
              <w:rPr>
                <w:spacing w:val="-3"/>
              </w:rPr>
              <w:t>采购项目名称</w:t>
            </w:r>
          </w:p>
        </w:tc>
        <w:tc>
          <w:tcPr>
            <w:tcW w:w="756" w:type="dxa"/>
            <w:vAlign w:val="top"/>
          </w:tcPr>
          <w:p w14:paraId="0CFF06D1">
            <w:pPr>
              <w:pStyle w:val="6"/>
              <w:spacing w:before="110" w:line="163" w:lineRule="auto"/>
              <w:ind w:left="119"/>
            </w:pPr>
            <w:r>
              <w:rPr>
                <w:spacing w:val="-4"/>
              </w:rPr>
              <w:t>数量</w:t>
            </w:r>
          </w:p>
        </w:tc>
        <w:tc>
          <w:tcPr>
            <w:tcW w:w="2076" w:type="dxa"/>
            <w:vAlign w:val="top"/>
          </w:tcPr>
          <w:p w14:paraId="10F46BF6">
            <w:pPr>
              <w:pStyle w:val="6"/>
              <w:spacing w:before="110" w:line="163" w:lineRule="auto"/>
              <w:ind w:left="122"/>
            </w:pPr>
            <w:r>
              <w:rPr>
                <w:spacing w:val="2"/>
              </w:rPr>
              <w:t>采购预算（万元)</w:t>
            </w:r>
          </w:p>
        </w:tc>
      </w:tr>
      <w:tr w14:paraId="3D533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57" w:type="dxa"/>
            <w:vMerge w:val="continue"/>
            <w:tcBorders>
              <w:top w:val="nil"/>
              <w:bottom w:val="nil"/>
            </w:tcBorders>
            <w:vAlign w:val="top"/>
          </w:tcPr>
          <w:p w14:paraId="1A4BAA06">
            <w:pPr>
              <w:rPr>
                <w:rFonts w:ascii="Arial"/>
                <w:sz w:val="21"/>
              </w:rPr>
            </w:pPr>
          </w:p>
        </w:tc>
        <w:tc>
          <w:tcPr>
            <w:tcW w:w="1460" w:type="dxa"/>
            <w:vMerge w:val="continue"/>
            <w:tcBorders>
              <w:top w:val="nil"/>
              <w:bottom w:val="nil"/>
            </w:tcBorders>
            <w:vAlign w:val="top"/>
          </w:tcPr>
          <w:p w14:paraId="3C7EE876">
            <w:pPr>
              <w:rPr>
                <w:rFonts w:ascii="Arial"/>
                <w:sz w:val="21"/>
              </w:rPr>
            </w:pPr>
          </w:p>
        </w:tc>
        <w:tc>
          <w:tcPr>
            <w:tcW w:w="988" w:type="dxa"/>
            <w:vAlign w:val="top"/>
          </w:tcPr>
          <w:p w14:paraId="19C19C68">
            <w:pPr>
              <w:pStyle w:val="6"/>
              <w:spacing w:before="118" w:line="169" w:lineRule="auto"/>
              <w:ind w:left="113"/>
            </w:pPr>
            <w:r>
              <w:rPr>
                <w:spacing w:val="1"/>
              </w:rPr>
              <w:t>标项一</w:t>
            </w:r>
          </w:p>
        </w:tc>
        <w:tc>
          <w:tcPr>
            <w:tcW w:w="4135" w:type="dxa"/>
            <w:gridSpan w:val="4"/>
            <w:vAlign w:val="top"/>
          </w:tcPr>
          <w:p w14:paraId="221D87CE">
            <w:pPr>
              <w:pStyle w:val="6"/>
              <w:spacing w:before="118" w:line="169" w:lineRule="auto"/>
              <w:ind w:left="130"/>
            </w:pPr>
            <w:r>
              <w:rPr>
                <w:spacing w:val="-3"/>
              </w:rPr>
              <w:t>临床危急值管理系统</w:t>
            </w:r>
          </w:p>
        </w:tc>
        <w:tc>
          <w:tcPr>
            <w:tcW w:w="756" w:type="dxa"/>
            <w:vAlign w:val="top"/>
          </w:tcPr>
          <w:p w14:paraId="270A6F9D">
            <w:pPr>
              <w:pStyle w:val="6"/>
              <w:spacing w:before="118" w:line="169" w:lineRule="auto"/>
              <w:ind w:left="130"/>
            </w:pPr>
            <w:r>
              <w:rPr>
                <w:spacing w:val="14"/>
              </w:rPr>
              <w:t>1项</w:t>
            </w:r>
          </w:p>
        </w:tc>
        <w:tc>
          <w:tcPr>
            <w:tcW w:w="2076" w:type="dxa"/>
            <w:vAlign w:val="top"/>
          </w:tcPr>
          <w:p w14:paraId="23662911">
            <w:pPr>
              <w:pStyle w:val="6"/>
              <w:spacing w:before="161" w:line="247" w:lineRule="exact"/>
              <w:ind w:left="131"/>
            </w:pPr>
            <w:r>
              <w:rPr>
                <w:spacing w:val="-8"/>
                <w:position w:val="-5"/>
              </w:rPr>
              <w:t>10.00</w:t>
            </w:r>
          </w:p>
        </w:tc>
      </w:tr>
      <w:tr w14:paraId="3E0BB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57" w:type="dxa"/>
            <w:vMerge w:val="continue"/>
            <w:tcBorders>
              <w:top w:val="nil"/>
              <w:bottom w:val="nil"/>
            </w:tcBorders>
            <w:vAlign w:val="top"/>
          </w:tcPr>
          <w:p w14:paraId="4A9970F7">
            <w:pPr>
              <w:rPr>
                <w:rFonts w:ascii="Arial"/>
                <w:sz w:val="21"/>
              </w:rPr>
            </w:pPr>
          </w:p>
        </w:tc>
        <w:tc>
          <w:tcPr>
            <w:tcW w:w="1460" w:type="dxa"/>
            <w:vMerge w:val="continue"/>
            <w:tcBorders>
              <w:top w:val="nil"/>
              <w:bottom w:val="nil"/>
            </w:tcBorders>
            <w:vAlign w:val="top"/>
          </w:tcPr>
          <w:p w14:paraId="63FECECD">
            <w:pPr>
              <w:rPr>
                <w:rFonts w:ascii="Arial"/>
                <w:sz w:val="21"/>
              </w:rPr>
            </w:pPr>
          </w:p>
        </w:tc>
        <w:tc>
          <w:tcPr>
            <w:tcW w:w="988" w:type="dxa"/>
            <w:vAlign w:val="top"/>
          </w:tcPr>
          <w:p w14:paraId="6CC6A766">
            <w:pPr>
              <w:pStyle w:val="6"/>
              <w:spacing w:before="118" w:line="168" w:lineRule="auto"/>
              <w:ind w:left="113"/>
            </w:pPr>
            <w:r>
              <w:rPr>
                <w:spacing w:val="-4"/>
              </w:rPr>
              <w:t>标项二</w:t>
            </w:r>
          </w:p>
        </w:tc>
        <w:tc>
          <w:tcPr>
            <w:tcW w:w="4135" w:type="dxa"/>
            <w:gridSpan w:val="4"/>
            <w:vAlign w:val="top"/>
          </w:tcPr>
          <w:p w14:paraId="2FE61D9B">
            <w:pPr>
              <w:pStyle w:val="6"/>
              <w:spacing w:before="118" w:line="168" w:lineRule="auto"/>
              <w:ind w:left="130"/>
            </w:pPr>
            <w:r>
              <w:rPr>
                <w:spacing w:val="-12"/>
              </w:rPr>
              <w:t>临床决策支持系统（CDSS）</w:t>
            </w:r>
          </w:p>
        </w:tc>
        <w:tc>
          <w:tcPr>
            <w:tcW w:w="756" w:type="dxa"/>
            <w:vAlign w:val="top"/>
          </w:tcPr>
          <w:p w14:paraId="27543638">
            <w:pPr>
              <w:pStyle w:val="6"/>
              <w:spacing w:before="118" w:line="168" w:lineRule="auto"/>
              <w:ind w:left="130"/>
            </w:pPr>
            <w:r>
              <w:rPr>
                <w:spacing w:val="14"/>
              </w:rPr>
              <w:t>1项</w:t>
            </w:r>
          </w:p>
        </w:tc>
        <w:tc>
          <w:tcPr>
            <w:tcW w:w="2076" w:type="dxa"/>
            <w:vAlign w:val="top"/>
          </w:tcPr>
          <w:p w14:paraId="3A900021">
            <w:pPr>
              <w:pStyle w:val="6"/>
              <w:spacing w:before="161" w:line="245" w:lineRule="exact"/>
              <w:ind w:left="131"/>
            </w:pPr>
            <w:r>
              <w:rPr>
                <w:spacing w:val="-10"/>
                <w:position w:val="-5"/>
              </w:rPr>
              <w:t>165.00</w:t>
            </w:r>
          </w:p>
        </w:tc>
      </w:tr>
      <w:tr w14:paraId="21FBA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57" w:type="dxa"/>
            <w:vMerge w:val="continue"/>
            <w:tcBorders>
              <w:top w:val="nil"/>
            </w:tcBorders>
            <w:vAlign w:val="top"/>
          </w:tcPr>
          <w:p w14:paraId="385510FC">
            <w:pPr>
              <w:rPr>
                <w:rFonts w:ascii="Arial"/>
                <w:sz w:val="21"/>
              </w:rPr>
            </w:pPr>
          </w:p>
        </w:tc>
        <w:tc>
          <w:tcPr>
            <w:tcW w:w="1460" w:type="dxa"/>
            <w:vMerge w:val="continue"/>
            <w:tcBorders>
              <w:top w:val="nil"/>
            </w:tcBorders>
            <w:vAlign w:val="top"/>
          </w:tcPr>
          <w:p w14:paraId="0E67B318">
            <w:pPr>
              <w:rPr>
                <w:rFonts w:ascii="Arial"/>
                <w:sz w:val="21"/>
              </w:rPr>
            </w:pPr>
          </w:p>
        </w:tc>
        <w:tc>
          <w:tcPr>
            <w:tcW w:w="988" w:type="dxa"/>
            <w:vAlign w:val="top"/>
          </w:tcPr>
          <w:p w14:paraId="4EFDC760">
            <w:pPr>
              <w:pStyle w:val="6"/>
              <w:spacing w:before="120" w:line="167" w:lineRule="auto"/>
              <w:ind w:left="113"/>
            </w:pPr>
            <w:r>
              <w:rPr>
                <w:spacing w:val="-4"/>
              </w:rPr>
              <w:t>标项三</w:t>
            </w:r>
          </w:p>
        </w:tc>
        <w:tc>
          <w:tcPr>
            <w:tcW w:w="4135" w:type="dxa"/>
            <w:gridSpan w:val="4"/>
            <w:vAlign w:val="top"/>
          </w:tcPr>
          <w:p w14:paraId="1631DDC3">
            <w:pPr>
              <w:pStyle w:val="6"/>
              <w:spacing w:before="120" w:line="167" w:lineRule="auto"/>
              <w:ind w:left="136"/>
            </w:pPr>
            <w:r>
              <w:rPr>
                <w:spacing w:val="-6"/>
              </w:rPr>
              <w:t>医务管理系统</w:t>
            </w:r>
          </w:p>
        </w:tc>
        <w:tc>
          <w:tcPr>
            <w:tcW w:w="756" w:type="dxa"/>
            <w:vAlign w:val="top"/>
          </w:tcPr>
          <w:p w14:paraId="2B9FDE47">
            <w:pPr>
              <w:pStyle w:val="6"/>
              <w:spacing w:before="120" w:line="167" w:lineRule="auto"/>
              <w:ind w:left="130"/>
            </w:pPr>
            <w:r>
              <w:rPr>
                <w:spacing w:val="14"/>
              </w:rPr>
              <w:t>1项</w:t>
            </w:r>
          </w:p>
        </w:tc>
        <w:tc>
          <w:tcPr>
            <w:tcW w:w="2076" w:type="dxa"/>
            <w:vAlign w:val="top"/>
          </w:tcPr>
          <w:p w14:paraId="3B2ABE6D">
            <w:pPr>
              <w:pStyle w:val="6"/>
              <w:spacing w:before="163" w:line="244" w:lineRule="exact"/>
              <w:ind w:left="114"/>
            </w:pPr>
            <w:r>
              <w:rPr>
                <w:spacing w:val="-5"/>
                <w:position w:val="-5"/>
              </w:rPr>
              <w:t>90.00</w:t>
            </w:r>
          </w:p>
        </w:tc>
      </w:tr>
      <w:tr w14:paraId="05EC2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7" w:type="dxa"/>
            <w:vAlign w:val="top"/>
          </w:tcPr>
          <w:p w14:paraId="5734805E">
            <w:pPr>
              <w:rPr>
                <w:rFonts w:ascii="Arial"/>
                <w:sz w:val="21"/>
              </w:rPr>
            </w:pPr>
          </w:p>
        </w:tc>
        <w:tc>
          <w:tcPr>
            <w:tcW w:w="1460" w:type="dxa"/>
            <w:vAlign w:val="top"/>
          </w:tcPr>
          <w:p w14:paraId="7CC020AF">
            <w:pPr>
              <w:rPr>
                <w:rFonts w:ascii="Arial"/>
                <w:sz w:val="21"/>
              </w:rPr>
            </w:pPr>
          </w:p>
        </w:tc>
        <w:tc>
          <w:tcPr>
            <w:tcW w:w="988" w:type="dxa"/>
            <w:vAlign w:val="top"/>
          </w:tcPr>
          <w:p w14:paraId="6AF77B4B">
            <w:pPr>
              <w:pStyle w:val="6"/>
              <w:spacing w:before="112" w:line="162" w:lineRule="auto"/>
              <w:ind w:left="113"/>
            </w:pPr>
            <w:r>
              <w:rPr>
                <w:spacing w:val="-4"/>
              </w:rPr>
              <w:t>标段四</w:t>
            </w:r>
          </w:p>
        </w:tc>
        <w:tc>
          <w:tcPr>
            <w:tcW w:w="4135" w:type="dxa"/>
            <w:gridSpan w:val="4"/>
            <w:vAlign w:val="top"/>
          </w:tcPr>
          <w:p w14:paraId="5D752257">
            <w:pPr>
              <w:pStyle w:val="6"/>
              <w:spacing w:before="112" w:line="162" w:lineRule="auto"/>
              <w:ind w:left="104"/>
            </w:pPr>
            <w:r>
              <w:rPr>
                <w:spacing w:val="-12"/>
                <w:w w:val="98"/>
              </w:rPr>
              <w:t>PACS</w:t>
            </w:r>
            <w:r>
              <w:rPr>
                <w:spacing w:val="14"/>
              </w:rPr>
              <w:t xml:space="preserve"> </w:t>
            </w:r>
            <w:r>
              <w:rPr>
                <w:spacing w:val="-12"/>
                <w:w w:val="98"/>
              </w:rPr>
              <w:t>系统升级改造</w:t>
            </w:r>
          </w:p>
        </w:tc>
        <w:tc>
          <w:tcPr>
            <w:tcW w:w="756" w:type="dxa"/>
            <w:vAlign w:val="top"/>
          </w:tcPr>
          <w:p w14:paraId="499EC2C1">
            <w:pPr>
              <w:pStyle w:val="6"/>
              <w:spacing w:before="112" w:line="162" w:lineRule="auto"/>
              <w:ind w:left="130"/>
            </w:pPr>
            <w:r>
              <w:rPr>
                <w:spacing w:val="14"/>
              </w:rPr>
              <w:t>1项</w:t>
            </w:r>
          </w:p>
        </w:tc>
        <w:tc>
          <w:tcPr>
            <w:tcW w:w="2076" w:type="dxa"/>
            <w:vAlign w:val="top"/>
          </w:tcPr>
          <w:p w14:paraId="221B3648">
            <w:pPr>
              <w:pStyle w:val="6"/>
              <w:spacing w:before="154" w:line="236" w:lineRule="exact"/>
              <w:ind w:left="131"/>
            </w:pPr>
            <w:r>
              <w:rPr>
                <w:spacing w:val="-10"/>
                <w:position w:val="-4"/>
              </w:rPr>
              <w:t>102.00</w:t>
            </w:r>
          </w:p>
        </w:tc>
      </w:tr>
      <w:tr w14:paraId="39C12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57" w:type="dxa"/>
            <w:vAlign w:val="top"/>
          </w:tcPr>
          <w:p w14:paraId="0C370AF2">
            <w:pPr>
              <w:spacing w:before="162" w:line="180" w:lineRule="auto"/>
              <w:ind w:left="225"/>
              <w:rPr>
                <w:rFonts w:ascii="宋体" w:hAnsi="宋体" w:eastAsia="宋体" w:cs="宋体"/>
                <w:sz w:val="24"/>
                <w:szCs w:val="24"/>
              </w:rPr>
            </w:pPr>
            <w:r>
              <w:rPr>
                <w:rFonts w:ascii="宋体" w:hAnsi="宋体" w:eastAsia="宋体" w:cs="宋体"/>
                <w:sz w:val="24"/>
                <w:szCs w:val="24"/>
              </w:rPr>
              <w:t>5</w:t>
            </w:r>
          </w:p>
        </w:tc>
        <w:tc>
          <w:tcPr>
            <w:tcW w:w="1460" w:type="dxa"/>
            <w:vAlign w:val="top"/>
          </w:tcPr>
          <w:p w14:paraId="0E7B0574">
            <w:pPr>
              <w:pStyle w:val="6"/>
              <w:spacing w:before="121" w:line="167" w:lineRule="auto"/>
              <w:ind w:left="113"/>
            </w:pPr>
            <w:r>
              <w:rPr>
                <w:b/>
                <w:bCs/>
                <w:spacing w:val="-3"/>
              </w:rPr>
              <w:t>招标方式</w:t>
            </w:r>
          </w:p>
        </w:tc>
        <w:tc>
          <w:tcPr>
            <w:tcW w:w="7955" w:type="dxa"/>
            <w:gridSpan w:val="7"/>
            <w:vAlign w:val="top"/>
          </w:tcPr>
          <w:p w14:paraId="223EA242">
            <w:pPr>
              <w:pStyle w:val="6"/>
              <w:spacing w:before="121" w:line="167" w:lineRule="auto"/>
              <w:ind w:left="129"/>
            </w:pPr>
            <w:r>
              <w:rPr>
                <w:spacing w:val="-4"/>
              </w:rPr>
              <w:t>公开招标</w:t>
            </w:r>
          </w:p>
        </w:tc>
      </w:tr>
      <w:tr w14:paraId="2D4F7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57" w:type="dxa"/>
            <w:vAlign w:val="top"/>
          </w:tcPr>
          <w:p w14:paraId="0DDA97B7">
            <w:pPr>
              <w:spacing w:before="161" w:line="181" w:lineRule="auto"/>
              <w:ind w:left="222"/>
              <w:rPr>
                <w:rFonts w:ascii="宋体" w:hAnsi="宋体" w:eastAsia="宋体" w:cs="宋体"/>
                <w:sz w:val="24"/>
                <w:szCs w:val="24"/>
              </w:rPr>
            </w:pPr>
            <w:r>
              <w:rPr>
                <w:rFonts w:ascii="宋体" w:hAnsi="宋体" w:eastAsia="宋体" w:cs="宋体"/>
                <w:sz w:val="24"/>
                <w:szCs w:val="24"/>
              </w:rPr>
              <w:t>6</w:t>
            </w:r>
          </w:p>
        </w:tc>
        <w:tc>
          <w:tcPr>
            <w:tcW w:w="1460" w:type="dxa"/>
            <w:vAlign w:val="top"/>
          </w:tcPr>
          <w:p w14:paraId="454ACEE6">
            <w:pPr>
              <w:pStyle w:val="6"/>
              <w:spacing w:before="120" w:line="167" w:lineRule="auto"/>
              <w:ind w:left="114"/>
            </w:pPr>
            <w:r>
              <w:rPr>
                <w:b/>
                <w:bCs/>
                <w:spacing w:val="-4"/>
              </w:rPr>
              <w:t>评标办法</w:t>
            </w:r>
          </w:p>
        </w:tc>
        <w:tc>
          <w:tcPr>
            <w:tcW w:w="7955" w:type="dxa"/>
            <w:gridSpan w:val="7"/>
            <w:vAlign w:val="top"/>
          </w:tcPr>
          <w:p w14:paraId="12D30287">
            <w:pPr>
              <w:pStyle w:val="6"/>
              <w:spacing w:before="120" w:line="167" w:lineRule="auto"/>
              <w:ind w:left="127"/>
            </w:pPr>
            <w:r>
              <w:rPr>
                <w:spacing w:val="-6"/>
              </w:rPr>
              <w:t>综合评分法（其中报价 20 分，技术和商务 80 分）</w:t>
            </w:r>
          </w:p>
        </w:tc>
      </w:tr>
      <w:tr w14:paraId="0846D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57" w:type="dxa"/>
            <w:vAlign w:val="top"/>
          </w:tcPr>
          <w:p w14:paraId="32F8286F">
            <w:pPr>
              <w:spacing w:before="163" w:line="180" w:lineRule="auto"/>
              <w:ind w:left="226"/>
              <w:rPr>
                <w:rFonts w:ascii="宋体" w:hAnsi="宋体" w:eastAsia="宋体" w:cs="宋体"/>
                <w:sz w:val="24"/>
                <w:szCs w:val="24"/>
              </w:rPr>
            </w:pPr>
            <w:r>
              <w:rPr>
                <w:rFonts w:ascii="宋体" w:hAnsi="宋体" w:eastAsia="宋体" w:cs="宋体"/>
                <w:sz w:val="24"/>
                <w:szCs w:val="24"/>
              </w:rPr>
              <w:t>7</w:t>
            </w:r>
          </w:p>
        </w:tc>
        <w:tc>
          <w:tcPr>
            <w:tcW w:w="2608" w:type="dxa"/>
            <w:gridSpan w:val="3"/>
            <w:vAlign w:val="top"/>
          </w:tcPr>
          <w:p w14:paraId="1884A981">
            <w:pPr>
              <w:pStyle w:val="6"/>
              <w:spacing w:before="122" w:line="166" w:lineRule="auto"/>
              <w:ind w:left="113"/>
            </w:pPr>
            <w:r>
              <w:rPr>
                <w:b/>
                <w:bCs/>
                <w:spacing w:val="-3"/>
              </w:rPr>
              <w:t>投标保证金</w:t>
            </w:r>
          </w:p>
        </w:tc>
        <w:tc>
          <w:tcPr>
            <w:tcW w:w="6807" w:type="dxa"/>
            <w:gridSpan w:val="5"/>
            <w:vAlign w:val="top"/>
          </w:tcPr>
          <w:p w14:paraId="41E547C5">
            <w:pPr>
              <w:pStyle w:val="6"/>
              <w:spacing w:before="122" w:line="166" w:lineRule="auto"/>
              <w:ind w:left="116"/>
            </w:pPr>
            <w:r>
              <w:rPr>
                <w:spacing w:val="-2"/>
              </w:rPr>
              <w:t>本项目免收投标保证金</w:t>
            </w:r>
          </w:p>
        </w:tc>
      </w:tr>
      <w:tr w14:paraId="56CBD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557" w:type="dxa"/>
            <w:vAlign w:val="top"/>
          </w:tcPr>
          <w:p w14:paraId="464EB7DA">
            <w:pPr>
              <w:spacing w:before="200" w:line="181" w:lineRule="auto"/>
              <w:ind w:left="221"/>
              <w:rPr>
                <w:rFonts w:ascii="宋体" w:hAnsi="宋体" w:eastAsia="宋体" w:cs="宋体"/>
                <w:sz w:val="24"/>
                <w:szCs w:val="24"/>
              </w:rPr>
            </w:pPr>
            <w:r>
              <w:rPr>
                <w:rFonts w:ascii="宋体" w:hAnsi="宋体" w:eastAsia="宋体" w:cs="宋体"/>
                <w:sz w:val="24"/>
                <w:szCs w:val="24"/>
              </w:rPr>
              <w:t>8</w:t>
            </w:r>
          </w:p>
        </w:tc>
        <w:tc>
          <w:tcPr>
            <w:tcW w:w="2608" w:type="dxa"/>
            <w:gridSpan w:val="3"/>
            <w:vAlign w:val="top"/>
          </w:tcPr>
          <w:p w14:paraId="4BBF0753">
            <w:pPr>
              <w:pStyle w:val="6"/>
              <w:spacing w:before="161" w:line="187" w:lineRule="auto"/>
              <w:ind w:left="113"/>
            </w:pPr>
            <w:r>
              <w:rPr>
                <w:b/>
                <w:bCs/>
                <w:spacing w:val="-2"/>
              </w:rPr>
              <w:t>投标文件的组成</w:t>
            </w:r>
          </w:p>
        </w:tc>
        <w:tc>
          <w:tcPr>
            <w:tcW w:w="6807" w:type="dxa"/>
            <w:gridSpan w:val="5"/>
            <w:vAlign w:val="top"/>
          </w:tcPr>
          <w:p w14:paraId="59253E19">
            <w:pPr>
              <w:pStyle w:val="6"/>
              <w:spacing w:before="161" w:line="187" w:lineRule="auto"/>
              <w:ind w:left="142"/>
            </w:pPr>
            <w:r>
              <w:rPr>
                <w:spacing w:val="-2"/>
              </w:rPr>
              <w:t>电子版《开标一览表》、资格审查材料、投标文件</w:t>
            </w:r>
          </w:p>
        </w:tc>
      </w:tr>
      <w:tr w14:paraId="2A23C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57" w:type="dxa"/>
            <w:vAlign w:val="top"/>
          </w:tcPr>
          <w:p w14:paraId="04C38D3B">
            <w:pPr>
              <w:spacing w:before="164" w:line="181" w:lineRule="auto"/>
              <w:ind w:left="221"/>
              <w:rPr>
                <w:rFonts w:ascii="宋体" w:hAnsi="宋体" w:eastAsia="宋体" w:cs="宋体"/>
                <w:sz w:val="24"/>
                <w:szCs w:val="24"/>
              </w:rPr>
            </w:pPr>
            <w:r>
              <w:rPr>
                <w:rFonts w:ascii="宋体" w:hAnsi="宋体" w:eastAsia="宋体" w:cs="宋体"/>
                <w:sz w:val="24"/>
                <w:szCs w:val="24"/>
              </w:rPr>
              <w:t>9</w:t>
            </w:r>
          </w:p>
        </w:tc>
        <w:tc>
          <w:tcPr>
            <w:tcW w:w="2608" w:type="dxa"/>
            <w:gridSpan w:val="3"/>
            <w:vAlign w:val="top"/>
          </w:tcPr>
          <w:p w14:paraId="24669C6E">
            <w:pPr>
              <w:pStyle w:val="6"/>
              <w:spacing w:before="123" w:line="165" w:lineRule="auto"/>
              <w:ind w:left="113"/>
            </w:pPr>
            <w:r>
              <w:rPr>
                <w:b/>
                <w:bCs/>
                <w:spacing w:val="-2"/>
              </w:rPr>
              <w:t>投标文件有效期</w:t>
            </w:r>
          </w:p>
        </w:tc>
        <w:tc>
          <w:tcPr>
            <w:tcW w:w="6807" w:type="dxa"/>
            <w:gridSpan w:val="5"/>
            <w:vAlign w:val="top"/>
          </w:tcPr>
          <w:p w14:paraId="4F6A46D0">
            <w:pPr>
              <w:pStyle w:val="6"/>
              <w:spacing w:before="123" w:line="165" w:lineRule="auto"/>
              <w:ind w:left="160"/>
            </w:pPr>
            <w:r>
              <w:rPr>
                <w:spacing w:val="-14"/>
              </w:rPr>
              <w:t>自开标时间起 90</w:t>
            </w:r>
            <w:r>
              <w:rPr>
                <w:spacing w:val="61"/>
                <w:w w:val="101"/>
              </w:rPr>
              <w:t xml:space="preserve"> </w:t>
            </w:r>
            <w:r>
              <w:rPr>
                <w:spacing w:val="-14"/>
              </w:rPr>
              <w:t>日内</w:t>
            </w:r>
          </w:p>
        </w:tc>
      </w:tr>
      <w:tr w14:paraId="0032D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57" w:type="dxa"/>
            <w:vAlign w:val="top"/>
          </w:tcPr>
          <w:p w14:paraId="104E159E">
            <w:pPr>
              <w:spacing w:before="164" w:line="182" w:lineRule="auto"/>
              <w:ind w:left="178"/>
              <w:rPr>
                <w:rFonts w:ascii="宋体" w:hAnsi="宋体" w:eastAsia="宋体" w:cs="宋体"/>
                <w:sz w:val="24"/>
                <w:szCs w:val="24"/>
              </w:rPr>
            </w:pPr>
            <w:r>
              <w:rPr>
                <w:rFonts w:ascii="宋体" w:hAnsi="宋体" w:eastAsia="宋体" w:cs="宋体"/>
                <w:spacing w:val="-7"/>
                <w:sz w:val="24"/>
                <w:szCs w:val="24"/>
              </w:rPr>
              <w:t>10</w:t>
            </w:r>
          </w:p>
        </w:tc>
        <w:tc>
          <w:tcPr>
            <w:tcW w:w="2608" w:type="dxa"/>
            <w:gridSpan w:val="3"/>
            <w:vAlign w:val="top"/>
          </w:tcPr>
          <w:p w14:paraId="3B59A13A">
            <w:pPr>
              <w:pStyle w:val="6"/>
              <w:spacing w:before="125" w:line="164" w:lineRule="auto"/>
              <w:ind w:left="113"/>
            </w:pPr>
            <w:r>
              <w:rPr>
                <w:b/>
                <w:bCs/>
                <w:spacing w:val="-2"/>
              </w:rPr>
              <w:t>招标文件取得时间</w:t>
            </w:r>
          </w:p>
        </w:tc>
        <w:tc>
          <w:tcPr>
            <w:tcW w:w="6807" w:type="dxa"/>
            <w:gridSpan w:val="5"/>
            <w:vAlign w:val="top"/>
          </w:tcPr>
          <w:p w14:paraId="712C1510">
            <w:pPr>
              <w:pStyle w:val="6"/>
              <w:spacing w:before="125" w:line="164" w:lineRule="auto"/>
              <w:ind w:left="111"/>
            </w:pPr>
            <w:r>
              <w:rPr>
                <w:spacing w:val="-22"/>
              </w:rPr>
              <w:t>2024</w:t>
            </w:r>
            <w:r>
              <w:rPr>
                <w:spacing w:val="9"/>
              </w:rPr>
              <w:t xml:space="preserve"> </w:t>
            </w:r>
            <w:r>
              <w:rPr>
                <w:spacing w:val="-22"/>
              </w:rPr>
              <w:t>年</w:t>
            </w:r>
            <w:r>
              <w:rPr>
                <w:spacing w:val="15"/>
              </w:rPr>
              <w:t xml:space="preserve"> </w:t>
            </w:r>
            <w:r>
              <w:rPr>
                <w:spacing w:val="-22"/>
              </w:rPr>
              <w:t>12</w:t>
            </w:r>
            <w:r>
              <w:rPr>
                <w:spacing w:val="17"/>
              </w:rPr>
              <w:t xml:space="preserve"> </w:t>
            </w:r>
            <w:r>
              <w:rPr>
                <w:spacing w:val="-22"/>
              </w:rPr>
              <w:t>月</w:t>
            </w:r>
            <w:r>
              <w:rPr>
                <w:spacing w:val="15"/>
              </w:rPr>
              <w:t xml:space="preserve"> </w:t>
            </w:r>
            <w:r>
              <w:rPr>
                <w:spacing w:val="-22"/>
              </w:rPr>
              <w:t>10  日至 202</w:t>
            </w:r>
            <w:r>
              <w:rPr>
                <w:rFonts w:hint="eastAsia"/>
                <w:spacing w:val="-22"/>
                <w:lang w:val="en-US" w:eastAsia="zh-CN"/>
              </w:rPr>
              <w:t>4</w:t>
            </w:r>
            <w:r>
              <w:rPr>
                <w:spacing w:val="-22"/>
              </w:rPr>
              <w:t>年</w:t>
            </w:r>
            <w:r>
              <w:rPr>
                <w:spacing w:val="16"/>
              </w:rPr>
              <w:t xml:space="preserve"> </w:t>
            </w:r>
            <w:r>
              <w:rPr>
                <w:rFonts w:hint="eastAsia"/>
                <w:spacing w:val="16"/>
                <w:lang w:val="en-US" w:eastAsia="zh-CN"/>
              </w:rPr>
              <w:t>12</w:t>
            </w:r>
            <w:r>
              <w:rPr>
                <w:spacing w:val="-22"/>
              </w:rPr>
              <w:t xml:space="preserve">月 </w:t>
            </w:r>
            <w:r>
              <w:rPr>
                <w:rFonts w:hint="eastAsia"/>
                <w:spacing w:val="-22"/>
                <w:lang w:val="en-US" w:eastAsia="zh-CN"/>
              </w:rPr>
              <w:t>20</w:t>
            </w:r>
            <w:bookmarkStart w:id="72" w:name="_GoBack"/>
            <w:bookmarkEnd w:id="72"/>
            <w:r>
              <w:rPr>
                <w:spacing w:val="-22"/>
              </w:rPr>
              <w:t>日</w:t>
            </w:r>
          </w:p>
        </w:tc>
      </w:tr>
      <w:tr w14:paraId="10FB0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557" w:type="dxa"/>
            <w:vAlign w:val="top"/>
          </w:tcPr>
          <w:p w14:paraId="4B4AE6E4">
            <w:pPr>
              <w:spacing w:line="340" w:lineRule="auto"/>
              <w:rPr>
                <w:rFonts w:ascii="Arial"/>
                <w:sz w:val="21"/>
              </w:rPr>
            </w:pPr>
          </w:p>
          <w:p w14:paraId="5A1C88E0">
            <w:pPr>
              <w:spacing w:before="78" w:line="182" w:lineRule="auto"/>
              <w:ind w:left="178"/>
              <w:rPr>
                <w:rFonts w:ascii="宋体" w:hAnsi="宋体" w:eastAsia="宋体" w:cs="宋体"/>
                <w:sz w:val="24"/>
                <w:szCs w:val="24"/>
              </w:rPr>
            </w:pPr>
            <w:r>
              <w:rPr>
                <w:rFonts w:ascii="宋体" w:hAnsi="宋体" w:eastAsia="宋体" w:cs="宋体"/>
                <w:spacing w:val="-7"/>
                <w:sz w:val="24"/>
                <w:szCs w:val="24"/>
              </w:rPr>
              <w:t>11</w:t>
            </w:r>
          </w:p>
        </w:tc>
        <w:tc>
          <w:tcPr>
            <w:tcW w:w="2608" w:type="dxa"/>
            <w:gridSpan w:val="3"/>
            <w:vAlign w:val="top"/>
          </w:tcPr>
          <w:p w14:paraId="3F85BD9F">
            <w:pPr>
              <w:spacing w:line="277" w:lineRule="auto"/>
              <w:rPr>
                <w:rFonts w:ascii="Arial"/>
                <w:sz w:val="21"/>
              </w:rPr>
            </w:pPr>
          </w:p>
          <w:p w14:paraId="5DAFBAE7">
            <w:pPr>
              <w:pStyle w:val="6"/>
              <w:spacing w:before="102" w:line="188" w:lineRule="auto"/>
              <w:ind w:left="113"/>
            </w:pPr>
            <w:r>
              <w:rPr>
                <w:b/>
                <w:bCs/>
                <w:spacing w:val="-2"/>
              </w:rPr>
              <w:t>招标文件取得方式</w:t>
            </w:r>
          </w:p>
        </w:tc>
        <w:tc>
          <w:tcPr>
            <w:tcW w:w="6807" w:type="dxa"/>
            <w:gridSpan w:val="5"/>
            <w:vAlign w:val="top"/>
          </w:tcPr>
          <w:p w14:paraId="6E984BEE">
            <w:pPr>
              <w:pStyle w:val="6"/>
              <w:spacing w:before="75" w:line="187" w:lineRule="auto"/>
              <w:ind w:left="113" w:right="102"/>
              <w:jc w:val="both"/>
              <w:rPr>
                <w:sz w:val="21"/>
                <w:szCs w:val="21"/>
              </w:rPr>
            </w:pPr>
            <w:r>
              <w:rPr>
                <w:spacing w:val="-1"/>
                <w:sz w:val="21"/>
                <w:szCs w:val="21"/>
              </w:rPr>
              <w:t>投标人登录政采云平台 https://www.zcygov.cn/在线</w:t>
            </w:r>
            <w:r>
              <w:rPr>
                <w:spacing w:val="-2"/>
                <w:sz w:val="21"/>
                <w:szCs w:val="21"/>
              </w:rPr>
              <w:t>申请获取采购文件</w:t>
            </w:r>
            <w:r>
              <w:rPr>
                <w:sz w:val="21"/>
                <w:szCs w:val="21"/>
              </w:rPr>
              <w:t xml:space="preserve"> </w:t>
            </w:r>
            <w:r>
              <w:rPr>
                <w:spacing w:val="-2"/>
                <w:sz w:val="21"/>
                <w:szCs w:val="21"/>
              </w:rPr>
              <w:t>（进入“</w:t>
            </w:r>
            <w:r>
              <w:rPr>
                <w:spacing w:val="-32"/>
                <w:sz w:val="21"/>
                <w:szCs w:val="21"/>
              </w:rPr>
              <w:t xml:space="preserve"> </w:t>
            </w:r>
            <w:r>
              <w:rPr>
                <w:spacing w:val="-2"/>
                <w:sz w:val="21"/>
                <w:szCs w:val="21"/>
              </w:rPr>
              <w:t>项目采购</w:t>
            </w:r>
            <w:r>
              <w:rPr>
                <w:spacing w:val="-31"/>
                <w:sz w:val="21"/>
                <w:szCs w:val="21"/>
              </w:rPr>
              <w:t xml:space="preserve"> </w:t>
            </w:r>
            <w:r>
              <w:rPr>
                <w:spacing w:val="-2"/>
                <w:sz w:val="21"/>
                <w:szCs w:val="21"/>
              </w:rPr>
              <w:t>”应用，</w:t>
            </w:r>
            <w:r>
              <w:rPr>
                <w:spacing w:val="-41"/>
                <w:sz w:val="21"/>
                <w:szCs w:val="21"/>
              </w:rPr>
              <w:t xml:space="preserve"> </w:t>
            </w:r>
            <w:r>
              <w:rPr>
                <w:spacing w:val="-2"/>
                <w:sz w:val="21"/>
                <w:szCs w:val="21"/>
              </w:rPr>
              <w:t>在获取招标文件菜单中选择项目，</w:t>
            </w:r>
            <w:r>
              <w:rPr>
                <w:spacing w:val="-13"/>
                <w:sz w:val="21"/>
                <w:szCs w:val="21"/>
              </w:rPr>
              <w:t xml:space="preserve"> </w:t>
            </w:r>
            <w:r>
              <w:rPr>
                <w:spacing w:val="-2"/>
                <w:sz w:val="21"/>
                <w:szCs w:val="21"/>
              </w:rPr>
              <w:t>申请获取</w:t>
            </w:r>
            <w:r>
              <w:rPr>
                <w:sz w:val="21"/>
                <w:szCs w:val="21"/>
              </w:rPr>
              <w:t xml:space="preserve"> </w:t>
            </w:r>
            <w:r>
              <w:rPr>
                <w:spacing w:val="-5"/>
                <w:sz w:val="21"/>
                <w:szCs w:val="21"/>
              </w:rPr>
              <w:t>招标文件）</w:t>
            </w:r>
          </w:p>
        </w:tc>
      </w:tr>
      <w:tr w14:paraId="5E2B8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7" w:type="dxa"/>
            <w:vAlign w:val="top"/>
          </w:tcPr>
          <w:p w14:paraId="7DFADAAA">
            <w:pPr>
              <w:spacing w:before="157" w:line="179" w:lineRule="auto"/>
              <w:ind w:left="178"/>
              <w:rPr>
                <w:rFonts w:ascii="宋体" w:hAnsi="宋体" w:eastAsia="宋体" w:cs="宋体"/>
                <w:sz w:val="24"/>
                <w:szCs w:val="24"/>
              </w:rPr>
            </w:pPr>
            <w:r>
              <w:rPr>
                <w:rFonts w:ascii="宋体" w:hAnsi="宋体" w:eastAsia="宋体" w:cs="宋体"/>
                <w:spacing w:val="-7"/>
                <w:sz w:val="24"/>
                <w:szCs w:val="24"/>
              </w:rPr>
              <w:t>12</w:t>
            </w:r>
          </w:p>
        </w:tc>
        <w:tc>
          <w:tcPr>
            <w:tcW w:w="2608" w:type="dxa"/>
            <w:gridSpan w:val="3"/>
            <w:vAlign w:val="top"/>
          </w:tcPr>
          <w:p w14:paraId="6F1F3524">
            <w:pPr>
              <w:pStyle w:val="6"/>
              <w:spacing w:before="117" w:line="159" w:lineRule="auto"/>
              <w:ind w:left="113"/>
            </w:pPr>
            <w:r>
              <w:rPr>
                <w:b/>
                <w:bCs/>
                <w:spacing w:val="-2"/>
              </w:rPr>
              <w:t>投标截止及开标时间</w:t>
            </w:r>
          </w:p>
        </w:tc>
        <w:tc>
          <w:tcPr>
            <w:tcW w:w="6807" w:type="dxa"/>
            <w:gridSpan w:val="5"/>
            <w:vAlign w:val="top"/>
          </w:tcPr>
          <w:p w14:paraId="22BD80B3">
            <w:pPr>
              <w:pStyle w:val="6"/>
              <w:spacing w:before="117" w:line="159" w:lineRule="auto"/>
              <w:ind w:left="111"/>
            </w:pPr>
            <w:r>
              <w:rPr>
                <w:spacing w:val="-19"/>
              </w:rPr>
              <w:t>202</w:t>
            </w:r>
            <w:r>
              <w:rPr>
                <w:rFonts w:hint="eastAsia"/>
                <w:spacing w:val="-19"/>
                <w:lang w:val="en-US" w:eastAsia="zh-CN"/>
              </w:rPr>
              <w:t>5</w:t>
            </w:r>
            <w:r>
              <w:rPr>
                <w:spacing w:val="27"/>
              </w:rPr>
              <w:t xml:space="preserve"> </w:t>
            </w:r>
            <w:r>
              <w:rPr>
                <w:spacing w:val="-19"/>
              </w:rPr>
              <w:t>年</w:t>
            </w:r>
            <w:r>
              <w:rPr>
                <w:spacing w:val="15"/>
              </w:rPr>
              <w:t xml:space="preserve"> </w:t>
            </w:r>
            <w:r>
              <w:rPr>
                <w:spacing w:val="-19"/>
              </w:rPr>
              <w:t>1</w:t>
            </w:r>
            <w:r>
              <w:rPr>
                <w:spacing w:val="16"/>
              </w:rPr>
              <w:t xml:space="preserve"> </w:t>
            </w:r>
            <w:r>
              <w:rPr>
                <w:spacing w:val="-19"/>
              </w:rPr>
              <w:t xml:space="preserve">月 </w:t>
            </w:r>
            <w:r>
              <w:rPr>
                <w:rFonts w:hint="eastAsia"/>
                <w:spacing w:val="-19"/>
                <w:lang w:val="en-US" w:eastAsia="zh-CN"/>
              </w:rPr>
              <w:t>13</w:t>
            </w:r>
            <w:r>
              <w:rPr>
                <w:spacing w:val="-19"/>
              </w:rPr>
              <w:t xml:space="preserve"> 日京时</w:t>
            </w:r>
            <w:r>
              <w:rPr>
                <w:spacing w:val="15"/>
              </w:rPr>
              <w:t xml:space="preserve"> </w:t>
            </w:r>
            <w:r>
              <w:rPr>
                <w:spacing w:val="-19"/>
              </w:rPr>
              <w:t>10:30</w:t>
            </w:r>
          </w:p>
        </w:tc>
      </w:tr>
      <w:tr w14:paraId="23CA7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7" w:type="dxa"/>
            <w:vAlign w:val="top"/>
          </w:tcPr>
          <w:p w14:paraId="67F55679">
            <w:pPr>
              <w:spacing w:before="157" w:line="179" w:lineRule="auto"/>
              <w:ind w:left="178"/>
              <w:rPr>
                <w:rFonts w:ascii="宋体" w:hAnsi="宋体" w:eastAsia="宋体" w:cs="宋体"/>
                <w:sz w:val="24"/>
                <w:szCs w:val="24"/>
              </w:rPr>
            </w:pPr>
            <w:r>
              <w:rPr>
                <w:rFonts w:ascii="宋体" w:hAnsi="宋体" w:eastAsia="宋体" w:cs="宋体"/>
                <w:spacing w:val="-7"/>
                <w:sz w:val="24"/>
                <w:szCs w:val="24"/>
              </w:rPr>
              <w:t>13</w:t>
            </w:r>
          </w:p>
        </w:tc>
        <w:tc>
          <w:tcPr>
            <w:tcW w:w="2608" w:type="dxa"/>
            <w:gridSpan w:val="3"/>
            <w:vAlign w:val="top"/>
          </w:tcPr>
          <w:p w14:paraId="14613960">
            <w:pPr>
              <w:pStyle w:val="6"/>
              <w:spacing w:before="117" w:line="159" w:lineRule="auto"/>
              <w:ind w:left="113"/>
            </w:pPr>
            <w:r>
              <w:rPr>
                <w:b/>
                <w:bCs/>
                <w:spacing w:val="-2"/>
              </w:rPr>
              <w:t>投标人资质审查时间</w:t>
            </w:r>
          </w:p>
        </w:tc>
        <w:tc>
          <w:tcPr>
            <w:tcW w:w="6807" w:type="dxa"/>
            <w:gridSpan w:val="5"/>
            <w:vAlign w:val="top"/>
          </w:tcPr>
          <w:p w14:paraId="55ADD33C">
            <w:pPr>
              <w:pStyle w:val="6"/>
              <w:spacing w:before="117" w:line="159" w:lineRule="auto"/>
              <w:ind w:left="115"/>
            </w:pPr>
            <w:r>
              <w:rPr>
                <w:spacing w:val="-2"/>
              </w:rPr>
              <w:t>开标之后评标之前</w:t>
            </w:r>
          </w:p>
        </w:tc>
      </w:tr>
      <w:tr w14:paraId="3C591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57" w:type="dxa"/>
            <w:vAlign w:val="top"/>
          </w:tcPr>
          <w:p w14:paraId="031B07AA">
            <w:pPr>
              <w:spacing w:before="166" w:line="182" w:lineRule="auto"/>
              <w:ind w:left="178"/>
              <w:rPr>
                <w:rFonts w:ascii="宋体" w:hAnsi="宋体" w:eastAsia="宋体" w:cs="宋体"/>
                <w:sz w:val="24"/>
                <w:szCs w:val="24"/>
              </w:rPr>
            </w:pPr>
            <w:r>
              <w:rPr>
                <w:rFonts w:ascii="宋体" w:hAnsi="宋体" w:eastAsia="宋体" w:cs="宋体"/>
                <w:spacing w:val="-7"/>
                <w:sz w:val="24"/>
                <w:szCs w:val="24"/>
              </w:rPr>
              <w:t>14</w:t>
            </w:r>
          </w:p>
        </w:tc>
        <w:tc>
          <w:tcPr>
            <w:tcW w:w="2608" w:type="dxa"/>
            <w:gridSpan w:val="3"/>
            <w:vAlign w:val="top"/>
          </w:tcPr>
          <w:p w14:paraId="64E98779">
            <w:pPr>
              <w:pStyle w:val="6"/>
              <w:spacing w:before="126" w:line="164" w:lineRule="auto"/>
              <w:ind w:left="113"/>
            </w:pPr>
            <w:r>
              <w:rPr>
                <w:b/>
                <w:bCs/>
                <w:spacing w:val="-3"/>
              </w:rPr>
              <w:t>开标方式</w:t>
            </w:r>
          </w:p>
        </w:tc>
        <w:tc>
          <w:tcPr>
            <w:tcW w:w="6807" w:type="dxa"/>
            <w:gridSpan w:val="5"/>
            <w:vAlign w:val="top"/>
          </w:tcPr>
          <w:p w14:paraId="1A2B4750">
            <w:pPr>
              <w:pStyle w:val="6"/>
              <w:spacing w:before="126" w:line="164" w:lineRule="auto"/>
              <w:ind w:left="121"/>
            </w:pPr>
            <w:r>
              <w:rPr>
                <w:spacing w:val="-2"/>
              </w:rPr>
              <w:t>不见面开标，投标人不需要到现场</w:t>
            </w:r>
          </w:p>
        </w:tc>
      </w:tr>
      <w:tr w14:paraId="7B633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557" w:type="dxa"/>
            <w:vAlign w:val="top"/>
          </w:tcPr>
          <w:p w14:paraId="4969B0CE">
            <w:pPr>
              <w:pStyle w:val="6"/>
              <w:spacing w:before="263" w:line="159" w:lineRule="auto"/>
              <w:ind w:left="177"/>
            </w:pPr>
            <w:r>
              <w:rPr>
                <w:spacing w:val="-17"/>
              </w:rPr>
              <w:t>15</w:t>
            </w:r>
          </w:p>
        </w:tc>
        <w:tc>
          <w:tcPr>
            <w:tcW w:w="2608" w:type="dxa"/>
            <w:gridSpan w:val="3"/>
            <w:vAlign w:val="top"/>
          </w:tcPr>
          <w:p w14:paraId="3B123A42">
            <w:pPr>
              <w:pStyle w:val="6"/>
              <w:spacing w:before="220" w:line="187" w:lineRule="auto"/>
              <w:ind w:left="113"/>
              <w:rPr>
                <w:sz w:val="21"/>
                <w:szCs w:val="21"/>
              </w:rPr>
            </w:pPr>
            <w:r>
              <w:rPr>
                <w:b/>
                <w:bCs/>
                <w:spacing w:val="-2"/>
              </w:rPr>
              <w:t>开评标地点</w:t>
            </w:r>
            <w:r>
              <w:rPr>
                <w:b/>
                <w:bCs/>
                <w:spacing w:val="35"/>
                <w:w w:val="101"/>
              </w:rPr>
              <w:t xml:space="preserve"> </w:t>
            </w:r>
            <w:r>
              <w:rPr>
                <w:b/>
                <w:bCs/>
                <w:spacing w:val="-2"/>
                <w:sz w:val="21"/>
                <w:szCs w:val="21"/>
              </w:rPr>
              <w:t>（网址）</w:t>
            </w:r>
          </w:p>
        </w:tc>
        <w:tc>
          <w:tcPr>
            <w:tcW w:w="6807" w:type="dxa"/>
            <w:gridSpan w:val="5"/>
            <w:vAlign w:val="top"/>
          </w:tcPr>
          <w:p w14:paraId="7943AD4B">
            <w:pPr>
              <w:pStyle w:val="6"/>
              <w:spacing w:before="67" w:line="176" w:lineRule="auto"/>
              <w:ind w:left="114" w:right="74"/>
              <w:rPr>
                <w:sz w:val="21"/>
                <w:szCs w:val="21"/>
              </w:rPr>
            </w:pPr>
            <w:r>
              <w:rPr>
                <w:spacing w:val="-3"/>
                <w:sz w:val="21"/>
                <w:szCs w:val="21"/>
              </w:rPr>
              <w:t>将投标文件上传至政采云平台 https  ://www.zcyg</w:t>
            </w:r>
            <w:r>
              <w:rPr>
                <w:spacing w:val="-4"/>
                <w:sz w:val="21"/>
                <w:szCs w:val="21"/>
              </w:rPr>
              <w:t>ov.cn/对应位置（逾期</w:t>
            </w:r>
            <w:r>
              <w:rPr>
                <w:sz w:val="21"/>
                <w:szCs w:val="21"/>
              </w:rPr>
              <w:t xml:space="preserve"> </w:t>
            </w:r>
            <w:r>
              <w:rPr>
                <w:spacing w:val="-2"/>
                <w:sz w:val="21"/>
                <w:szCs w:val="21"/>
              </w:rPr>
              <w:t>未上传的或不符合规定的投标文件将被拒绝接收）</w:t>
            </w:r>
          </w:p>
        </w:tc>
      </w:tr>
      <w:tr w14:paraId="7B958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7" w:type="dxa"/>
            <w:vAlign w:val="top"/>
          </w:tcPr>
          <w:p w14:paraId="5B738DB3">
            <w:pPr>
              <w:pStyle w:val="6"/>
              <w:spacing w:before="161" w:line="228" w:lineRule="exact"/>
              <w:ind w:left="177"/>
            </w:pPr>
            <w:r>
              <w:rPr>
                <w:spacing w:val="-17"/>
                <w:position w:val="-4"/>
              </w:rPr>
              <w:t>16</w:t>
            </w:r>
          </w:p>
        </w:tc>
        <w:tc>
          <w:tcPr>
            <w:tcW w:w="2608" w:type="dxa"/>
            <w:gridSpan w:val="3"/>
            <w:vAlign w:val="top"/>
          </w:tcPr>
          <w:p w14:paraId="49FB5A7B">
            <w:pPr>
              <w:pStyle w:val="6"/>
              <w:spacing w:before="101" w:line="168" w:lineRule="auto"/>
              <w:ind w:left="118"/>
            </w:pPr>
            <w:r>
              <w:rPr>
                <w:b/>
                <w:bCs/>
                <w:spacing w:val="-3"/>
              </w:rPr>
              <w:t>公告发布媒体</w:t>
            </w:r>
          </w:p>
        </w:tc>
        <w:tc>
          <w:tcPr>
            <w:tcW w:w="6807" w:type="dxa"/>
            <w:gridSpan w:val="5"/>
            <w:vAlign w:val="top"/>
          </w:tcPr>
          <w:p w14:paraId="4712566C">
            <w:pPr>
              <w:pStyle w:val="6"/>
              <w:spacing w:before="99" w:line="172" w:lineRule="auto"/>
              <w:ind w:left="109"/>
              <w:rPr>
                <w:sz w:val="21"/>
                <w:szCs w:val="21"/>
              </w:rPr>
            </w:pPr>
            <w:r>
              <w:rPr>
                <w:spacing w:val="2"/>
                <w:sz w:val="21"/>
                <w:szCs w:val="21"/>
              </w:rPr>
              <w:t>《新疆政府采购网》(</w:t>
            </w:r>
            <w:r>
              <w:fldChar w:fldCharType="begin"/>
            </w:r>
            <w:r>
              <w:instrText xml:space="preserve"> HYPERLINK "http://www.xjzfcg.gov.cn-" </w:instrText>
            </w:r>
            <w:r>
              <w:fldChar w:fldCharType="separate"/>
            </w:r>
            <w:r>
              <w:rPr>
                <w:sz w:val="21"/>
                <w:szCs w:val="21"/>
              </w:rPr>
              <w:t>http</w:t>
            </w:r>
            <w:r>
              <w:rPr>
                <w:spacing w:val="2"/>
                <w:sz w:val="21"/>
                <w:szCs w:val="21"/>
              </w:rPr>
              <w:t>://</w:t>
            </w:r>
            <w:r>
              <w:rPr>
                <w:sz w:val="21"/>
                <w:szCs w:val="21"/>
              </w:rPr>
              <w:t>www</w:t>
            </w:r>
            <w:r>
              <w:rPr>
                <w:spacing w:val="2"/>
                <w:sz w:val="21"/>
                <w:szCs w:val="21"/>
              </w:rPr>
              <w:t>.</w:t>
            </w:r>
            <w:r>
              <w:rPr>
                <w:sz w:val="21"/>
                <w:szCs w:val="21"/>
              </w:rPr>
              <w:t>ccgp</w:t>
            </w:r>
            <w:r>
              <w:rPr>
                <w:spacing w:val="2"/>
                <w:sz w:val="21"/>
                <w:szCs w:val="21"/>
              </w:rPr>
              <w:t>-</w:t>
            </w:r>
            <w:r>
              <w:rPr>
                <w:sz w:val="21"/>
                <w:szCs w:val="21"/>
              </w:rPr>
              <w:t>xinjiang</w:t>
            </w:r>
            <w:r>
              <w:rPr>
                <w:spacing w:val="2"/>
                <w:sz w:val="21"/>
                <w:szCs w:val="21"/>
              </w:rPr>
              <w:t>.</w:t>
            </w:r>
            <w:r>
              <w:rPr>
                <w:sz w:val="21"/>
                <w:szCs w:val="21"/>
              </w:rPr>
              <w:t>gov</w:t>
            </w:r>
            <w:r>
              <w:rPr>
                <w:spacing w:val="2"/>
                <w:sz w:val="21"/>
                <w:szCs w:val="21"/>
              </w:rPr>
              <w:t>.</w:t>
            </w:r>
            <w:r>
              <w:rPr>
                <w:sz w:val="21"/>
                <w:szCs w:val="21"/>
              </w:rPr>
              <w:t>cn</w:t>
            </w:r>
            <w:r>
              <w:rPr>
                <w:sz w:val="21"/>
                <w:szCs w:val="21"/>
              </w:rPr>
              <w:fldChar w:fldCharType="end"/>
            </w:r>
            <w:r>
              <w:rPr>
                <w:spacing w:val="2"/>
                <w:sz w:val="21"/>
                <w:szCs w:val="21"/>
              </w:rPr>
              <w:t>)</w:t>
            </w:r>
          </w:p>
        </w:tc>
      </w:tr>
      <w:tr w14:paraId="34ECF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7" w:type="dxa"/>
            <w:vAlign w:val="top"/>
          </w:tcPr>
          <w:p w14:paraId="7EDF85FA">
            <w:pPr>
              <w:pStyle w:val="6"/>
              <w:spacing w:before="161" w:line="228" w:lineRule="exact"/>
              <w:ind w:left="177"/>
            </w:pPr>
            <w:r>
              <w:rPr>
                <w:spacing w:val="-17"/>
                <w:position w:val="-5"/>
              </w:rPr>
              <w:t>17</w:t>
            </w:r>
          </w:p>
        </w:tc>
        <w:tc>
          <w:tcPr>
            <w:tcW w:w="2608" w:type="dxa"/>
            <w:gridSpan w:val="3"/>
            <w:vAlign w:val="top"/>
          </w:tcPr>
          <w:p w14:paraId="341A33DD">
            <w:pPr>
              <w:pStyle w:val="6"/>
              <w:spacing w:before="101" w:line="168" w:lineRule="auto"/>
              <w:ind w:left="144"/>
            </w:pPr>
            <w:r>
              <w:rPr>
                <w:b/>
                <w:bCs/>
                <w:spacing w:val="-8"/>
              </w:rPr>
              <w:t>中标通知书</w:t>
            </w:r>
          </w:p>
        </w:tc>
        <w:tc>
          <w:tcPr>
            <w:tcW w:w="6807" w:type="dxa"/>
            <w:gridSpan w:val="5"/>
            <w:vAlign w:val="top"/>
          </w:tcPr>
          <w:p w14:paraId="57481F2A">
            <w:pPr>
              <w:pStyle w:val="6"/>
              <w:spacing w:before="101" w:line="168" w:lineRule="auto"/>
              <w:ind w:left="146"/>
            </w:pPr>
            <w:r>
              <w:rPr>
                <w:spacing w:val="-8"/>
              </w:rPr>
              <w:t>中标公告发布后发放。</w:t>
            </w:r>
          </w:p>
        </w:tc>
      </w:tr>
      <w:tr w14:paraId="59200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7" w:type="dxa"/>
            <w:vAlign w:val="top"/>
          </w:tcPr>
          <w:p w14:paraId="3A8A2884">
            <w:pPr>
              <w:pStyle w:val="6"/>
              <w:spacing w:before="161" w:line="228" w:lineRule="exact"/>
              <w:ind w:left="177"/>
            </w:pPr>
            <w:r>
              <w:rPr>
                <w:spacing w:val="-17"/>
                <w:position w:val="-4"/>
              </w:rPr>
              <w:t>18</w:t>
            </w:r>
          </w:p>
        </w:tc>
        <w:tc>
          <w:tcPr>
            <w:tcW w:w="2608" w:type="dxa"/>
            <w:gridSpan w:val="3"/>
            <w:vAlign w:val="top"/>
          </w:tcPr>
          <w:p w14:paraId="24F0709F">
            <w:pPr>
              <w:pStyle w:val="6"/>
              <w:spacing w:before="101" w:line="168" w:lineRule="auto"/>
              <w:ind w:left="119"/>
            </w:pPr>
            <w:r>
              <w:rPr>
                <w:b/>
                <w:bCs/>
                <w:spacing w:val="-4"/>
              </w:rPr>
              <w:t>签订合同时间</w:t>
            </w:r>
          </w:p>
        </w:tc>
        <w:tc>
          <w:tcPr>
            <w:tcW w:w="6807" w:type="dxa"/>
            <w:gridSpan w:val="5"/>
            <w:vAlign w:val="top"/>
          </w:tcPr>
          <w:p w14:paraId="03584482">
            <w:pPr>
              <w:pStyle w:val="6"/>
              <w:spacing w:before="101" w:line="168" w:lineRule="auto"/>
              <w:ind w:left="146"/>
            </w:pPr>
            <w:r>
              <w:rPr>
                <w:spacing w:val="-8"/>
              </w:rPr>
              <w:t>中标通知书发出之日起30日内。</w:t>
            </w:r>
          </w:p>
        </w:tc>
      </w:tr>
      <w:tr w14:paraId="0B89D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7" w:type="dxa"/>
            <w:vAlign w:val="top"/>
          </w:tcPr>
          <w:p w14:paraId="584F0B46">
            <w:pPr>
              <w:pStyle w:val="6"/>
              <w:spacing w:before="144" w:line="246" w:lineRule="exact"/>
              <w:ind w:left="129"/>
            </w:pPr>
            <w:r>
              <w:rPr>
                <w:spacing w:val="-17"/>
                <w:position w:val="-5"/>
              </w:rPr>
              <w:t>19</w:t>
            </w:r>
          </w:p>
        </w:tc>
        <w:tc>
          <w:tcPr>
            <w:tcW w:w="2608" w:type="dxa"/>
            <w:gridSpan w:val="3"/>
            <w:vAlign w:val="top"/>
          </w:tcPr>
          <w:p w14:paraId="4B963075">
            <w:pPr>
              <w:pStyle w:val="6"/>
              <w:spacing w:before="101" w:line="168" w:lineRule="auto"/>
              <w:ind w:left="114"/>
            </w:pPr>
            <w:r>
              <w:rPr>
                <w:b/>
                <w:bCs/>
                <w:spacing w:val="-3"/>
              </w:rPr>
              <w:t>项目完成时间</w:t>
            </w:r>
          </w:p>
        </w:tc>
        <w:tc>
          <w:tcPr>
            <w:tcW w:w="6807" w:type="dxa"/>
            <w:gridSpan w:val="5"/>
            <w:vAlign w:val="top"/>
          </w:tcPr>
          <w:p w14:paraId="3AB67CDF">
            <w:pPr>
              <w:pStyle w:val="6"/>
              <w:spacing w:before="101" w:line="168" w:lineRule="auto"/>
              <w:ind w:left="121"/>
            </w:pPr>
            <w:r>
              <w:rPr>
                <w:spacing w:val="-5"/>
              </w:rPr>
              <w:t>签订合同后90个日历日内完工</w:t>
            </w:r>
          </w:p>
        </w:tc>
      </w:tr>
      <w:tr w14:paraId="42797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7" w:type="dxa"/>
            <w:vAlign w:val="top"/>
          </w:tcPr>
          <w:p w14:paraId="03ACBC96">
            <w:pPr>
              <w:pStyle w:val="6"/>
              <w:spacing w:before="145" w:line="245" w:lineRule="exact"/>
              <w:ind w:left="114"/>
            </w:pPr>
            <w:r>
              <w:rPr>
                <w:spacing w:val="-14"/>
                <w:position w:val="-5"/>
              </w:rPr>
              <w:t>20</w:t>
            </w:r>
          </w:p>
        </w:tc>
        <w:tc>
          <w:tcPr>
            <w:tcW w:w="2608" w:type="dxa"/>
            <w:gridSpan w:val="3"/>
            <w:vAlign w:val="top"/>
          </w:tcPr>
          <w:p w14:paraId="4E869BF3">
            <w:pPr>
              <w:pStyle w:val="6"/>
              <w:spacing w:before="101" w:line="168" w:lineRule="auto"/>
              <w:ind w:left="114"/>
            </w:pPr>
            <w:r>
              <w:rPr>
                <w:b/>
                <w:bCs/>
                <w:spacing w:val="-3"/>
              </w:rPr>
              <w:t>项目服务期限</w:t>
            </w:r>
          </w:p>
        </w:tc>
        <w:tc>
          <w:tcPr>
            <w:tcW w:w="6807" w:type="dxa"/>
            <w:gridSpan w:val="5"/>
            <w:vAlign w:val="top"/>
          </w:tcPr>
          <w:p w14:paraId="56FA8D92">
            <w:pPr>
              <w:pStyle w:val="6"/>
              <w:spacing w:before="101" w:line="168" w:lineRule="auto"/>
              <w:ind w:left="116"/>
            </w:pPr>
            <w:r>
              <w:rPr>
                <w:spacing w:val="-2"/>
              </w:rPr>
              <w:t>软件安装部署完成，经采购人验收合格开始使用起3年</w:t>
            </w:r>
          </w:p>
        </w:tc>
      </w:tr>
      <w:tr w14:paraId="6503C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557" w:type="dxa"/>
            <w:vAlign w:val="top"/>
          </w:tcPr>
          <w:p w14:paraId="057061D0">
            <w:pPr>
              <w:pStyle w:val="6"/>
              <w:spacing w:before="196" w:line="159" w:lineRule="auto"/>
              <w:ind w:left="114"/>
            </w:pPr>
            <w:r>
              <w:rPr>
                <w:spacing w:val="-14"/>
              </w:rPr>
              <w:t>21</w:t>
            </w:r>
          </w:p>
        </w:tc>
        <w:tc>
          <w:tcPr>
            <w:tcW w:w="2608" w:type="dxa"/>
            <w:gridSpan w:val="3"/>
            <w:vAlign w:val="top"/>
          </w:tcPr>
          <w:p w14:paraId="418B8D2F">
            <w:pPr>
              <w:pStyle w:val="6"/>
              <w:spacing w:before="153" w:line="187" w:lineRule="auto"/>
              <w:ind w:left="114"/>
            </w:pPr>
            <w:r>
              <w:rPr>
                <w:b/>
                <w:bCs/>
                <w:spacing w:val="-3"/>
              </w:rPr>
              <w:t>项目实施地点</w:t>
            </w:r>
          </w:p>
        </w:tc>
        <w:tc>
          <w:tcPr>
            <w:tcW w:w="6807" w:type="dxa"/>
            <w:gridSpan w:val="5"/>
            <w:vAlign w:val="top"/>
          </w:tcPr>
          <w:p w14:paraId="6B4D1621">
            <w:pPr>
              <w:pStyle w:val="6"/>
              <w:spacing w:before="153" w:line="188" w:lineRule="auto"/>
              <w:ind w:left="118"/>
            </w:pPr>
            <w:r>
              <w:rPr>
                <w:spacing w:val="-3"/>
              </w:rPr>
              <w:t>伊宁市边合区健康路2号伊犁州中医医院</w:t>
            </w:r>
          </w:p>
        </w:tc>
      </w:tr>
    </w:tbl>
    <w:p w14:paraId="1F91231D">
      <w:pPr>
        <w:pStyle w:val="2"/>
        <w:spacing w:line="314" w:lineRule="auto"/>
      </w:pPr>
    </w:p>
    <w:p w14:paraId="74480AF8">
      <w:pPr>
        <w:pStyle w:val="2"/>
        <w:spacing w:line="314" w:lineRule="auto"/>
      </w:pPr>
    </w:p>
    <w:p w14:paraId="728987AC">
      <w:pPr>
        <w:spacing w:before="61" w:line="209" w:lineRule="auto"/>
        <w:ind w:left="222"/>
        <w:rPr>
          <w:rFonts w:ascii="宋体" w:hAnsi="宋体" w:eastAsia="宋体" w:cs="宋体"/>
          <w:sz w:val="19"/>
          <w:szCs w:val="19"/>
        </w:rPr>
      </w:pPr>
      <w:r>
        <w:pict>
          <v:shape id="_x0000_s1028" o:spid="_x0000_s1028" style="position:absolute;left:0pt;margin-left:5.65pt;margin-top:11.8pt;height:0.75pt;width:494pt;z-index:251665408;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3                                </w:t>
      </w:r>
      <w:r>
        <w:rPr>
          <w:rFonts w:ascii="宋体" w:hAnsi="宋体" w:eastAsia="宋体" w:cs="宋体"/>
          <w:b/>
          <w:bCs/>
          <w:i/>
          <w:iCs/>
          <w:spacing w:val="-3"/>
          <w:sz w:val="19"/>
          <w:szCs w:val="19"/>
        </w:rPr>
        <w:t>伊犁州公共资源交易中心</w:t>
      </w:r>
    </w:p>
    <w:p w14:paraId="4390D15E">
      <w:pPr>
        <w:spacing w:line="209" w:lineRule="auto"/>
        <w:rPr>
          <w:rFonts w:ascii="宋体" w:hAnsi="宋体" w:eastAsia="宋体" w:cs="宋体"/>
          <w:sz w:val="19"/>
          <w:szCs w:val="19"/>
        </w:rPr>
        <w:sectPr>
          <w:headerReference r:id="rId8" w:type="default"/>
          <w:footerReference r:id="rId9" w:type="default"/>
          <w:pgSz w:w="11905" w:h="16839"/>
          <w:pgMar w:top="1136" w:right="830" w:bottom="400" w:left="1052" w:header="854" w:footer="0" w:gutter="0"/>
          <w:cols w:space="720" w:num="1"/>
        </w:sectPr>
      </w:pPr>
    </w:p>
    <w:p w14:paraId="23707C03">
      <w:pPr>
        <w:pStyle w:val="2"/>
        <w:spacing w:line="281" w:lineRule="auto"/>
      </w:pPr>
    </w:p>
    <w:p w14:paraId="340144CD">
      <w:pPr>
        <w:spacing w:before="117" w:line="220" w:lineRule="auto"/>
        <w:ind w:left="2923"/>
        <w:rPr>
          <w:rFonts w:ascii="宋体" w:hAnsi="宋体" w:eastAsia="宋体" w:cs="宋体"/>
          <w:sz w:val="36"/>
          <w:szCs w:val="36"/>
        </w:rPr>
      </w:pPr>
      <w:bookmarkStart w:id="37" w:name="bookmark51"/>
      <w:bookmarkEnd w:id="37"/>
      <w:r>
        <w:rPr>
          <w:rFonts w:ascii="宋体" w:hAnsi="宋体" w:eastAsia="宋体" w:cs="宋体"/>
          <w:b/>
          <w:bCs/>
          <w:spacing w:val="-4"/>
          <w:sz w:val="36"/>
          <w:szCs w:val="36"/>
        </w:rPr>
        <w:t>第二部分</w:t>
      </w:r>
      <w:r>
        <w:rPr>
          <w:rFonts w:ascii="宋体" w:hAnsi="宋体" w:eastAsia="宋体" w:cs="宋体"/>
          <w:spacing w:val="-4"/>
          <w:sz w:val="36"/>
          <w:szCs w:val="36"/>
        </w:rPr>
        <w:t xml:space="preserve">  </w:t>
      </w:r>
      <w:r>
        <w:rPr>
          <w:rFonts w:ascii="宋体" w:hAnsi="宋体" w:eastAsia="宋体" w:cs="宋体"/>
          <w:b/>
          <w:bCs/>
          <w:spacing w:val="-4"/>
          <w:sz w:val="36"/>
          <w:szCs w:val="36"/>
        </w:rPr>
        <w:t>投标人须知</w:t>
      </w:r>
    </w:p>
    <w:p w14:paraId="08043D73">
      <w:pPr>
        <w:spacing w:before="189" w:line="217" w:lineRule="auto"/>
        <w:ind w:left="3797"/>
        <w:rPr>
          <w:rFonts w:ascii="仿宋" w:hAnsi="仿宋" w:eastAsia="仿宋" w:cs="仿宋"/>
          <w:sz w:val="32"/>
          <w:szCs w:val="32"/>
        </w:rPr>
      </w:pPr>
      <w:r>
        <w:rPr>
          <w:rFonts w:ascii="仿宋" w:hAnsi="仿宋" w:eastAsia="仿宋" w:cs="仿宋"/>
          <w:b/>
          <w:bCs/>
          <w:spacing w:val="-6"/>
          <w:sz w:val="32"/>
          <w:szCs w:val="32"/>
        </w:rPr>
        <w:t>第一章</w:t>
      </w:r>
      <w:r>
        <w:rPr>
          <w:rFonts w:ascii="仿宋" w:hAnsi="仿宋" w:eastAsia="仿宋" w:cs="仿宋"/>
          <w:spacing w:val="-6"/>
          <w:sz w:val="32"/>
          <w:szCs w:val="32"/>
        </w:rPr>
        <w:t xml:space="preserve"> </w:t>
      </w:r>
      <w:r>
        <w:rPr>
          <w:rFonts w:ascii="仿宋" w:hAnsi="仿宋" w:eastAsia="仿宋" w:cs="仿宋"/>
          <w:b/>
          <w:bCs/>
          <w:spacing w:val="-6"/>
          <w:sz w:val="32"/>
          <w:szCs w:val="32"/>
        </w:rPr>
        <w:t>招标说明</w:t>
      </w:r>
    </w:p>
    <w:p w14:paraId="1F5263B2">
      <w:pPr>
        <w:spacing w:before="257" w:line="220" w:lineRule="auto"/>
        <w:ind w:left="536"/>
        <w:rPr>
          <w:rFonts w:ascii="宋体" w:hAnsi="宋体" w:eastAsia="宋体" w:cs="宋体"/>
          <w:sz w:val="24"/>
          <w:szCs w:val="24"/>
        </w:rPr>
      </w:pPr>
      <w:r>
        <w:rPr>
          <w:rFonts w:ascii="宋体" w:hAnsi="宋体" w:eastAsia="宋体" w:cs="宋体"/>
          <w:b/>
          <w:bCs/>
          <w:spacing w:val="-9"/>
          <w:sz w:val="24"/>
          <w:szCs w:val="24"/>
        </w:rPr>
        <w:t>1、</w:t>
      </w:r>
      <w:r>
        <w:rPr>
          <w:rFonts w:ascii="宋体" w:hAnsi="宋体" w:eastAsia="宋体" w:cs="宋体"/>
          <w:spacing w:val="16"/>
          <w:sz w:val="24"/>
          <w:szCs w:val="24"/>
        </w:rPr>
        <w:t xml:space="preserve"> </w:t>
      </w:r>
      <w:r>
        <w:rPr>
          <w:rFonts w:ascii="宋体" w:hAnsi="宋体" w:eastAsia="宋体" w:cs="宋体"/>
          <w:b/>
          <w:bCs/>
          <w:spacing w:val="-9"/>
          <w:sz w:val="24"/>
          <w:szCs w:val="24"/>
        </w:rPr>
        <w:t>适用范围</w:t>
      </w:r>
    </w:p>
    <w:p w14:paraId="63C9C3BF">
      <w:pPr>
        <w:spacing w:before="167" w:line="181" w:lineRule="auto"/>
        <w:ind w:left="525"/>
        <w:rPr>
          <w:rFonts w:ascii="微软雅黑" w:hAnsi="微软雅黑" w:eastAsia="微软雅黑" w:cs="微软雅黑"/>
          <w:sz w:val="24"/>
          <w:szCs w:val="24"/>
        </w:rPr>
      </w:pPr>
      <w:r>
        <w:rPr>
          <w:rFonts w:ascii="微软雅黑" w:hAnsi="微软雅黑" w:eastAsia="微软雅黑" w:cs="微软雅黑"/>
          <w:spacing w:val="-2"/>
          <w:sz w:val="24"/>
          <w:szCs w:val="24"/>
        </w:rPr>
        <w:t>本招标文件仅适用于参加</w:t>
      </w:r>
      <w:r>
        <w:rPr>
          <w:rFonts w:ascii="微软雅黑" w:hAnsi="微软雅黑" w:eastAsia="微软雅黑" w:cs="微软雅黑"/>
          <w:b/>
          <w:bCs/>
          <w:spacing w:val="-2"/>
          <w:sz w:val="24"/>
          <w:szCs w:val="24"/>
          <w:u w:val="single" w:color="auto"/>
        </w:rPr>
        <w:t>伊犁州中医医院信息类软件购置项目</w:t>
      </w:r>
      <w:r>
        <w:rPr>
          <w:rFonts w:ascii="微软雅黑" w:hAnsi="微软雅黑" w:eastAsia="微软雅黑" w:cs="微软雅黑"/>
          <w:b/>
          <w:bCs/>
          <w:spacing w:val="-42"/>
          <w:sz w:val="24"/>
          <w:szCs w:val="24"/>
        </w:rPr>
        <w:t xml:space="preserve"> </w:t>
      </w:r>
      <w:r>
        <w:rPr>
          <w:rFonts w:ascii="微软雅黑" w:hAnsi="微软雅黑" w:eastAsia="微软雅黑" w:cs="微软雅黑"/>
          <w:spacing w:val="-2"/>
          <w:sz w:val="24"/>
          <w:szCs w:val="24"/>
        </w:rPr>
        <w:t>的合格投</w:t>
      </w:r>
      <w:r>
        <w:rPr>
          <w:rFonts w:ascii="微软雅黑" w:hAnsi="微软雅黑" w:eastAsia="微软雅黑" w:cs="微软雅黑"/>
          <w:spacing w:val="-3"/>
          <w:sz w:val="24"/>
          <w:szCs w:val="24"/>
        </w:rPr>
        <w:t>标人。</w:t>
      </w:r>
    </w:p>
    <w:p w14:paraId="2C2B8489">
      <w:pPr>
        <w:spacing w:before="1" w:line="181" w:lineRule="auto"/>
        <w:ind w:left="520"/>
        <w:rPr>
          <w:rFonts w:ascii="微软雅黑" w:hAnsi="微软雅黑" w:eastAsia="微软雅黑" w:cs="微软雅黑"/>
          <w:sz w:val="24"/>
          <w:szCs w:val="24"/>
        </w:rPr>
      </w:pPr>
      <w:r>
        <w:rPr>
          <w:rFonts w:ascii="微软雅黑" w:hAnsi="微软雅黑" w:eastAsia="微软雅黑" w:cs="微软雅黑"/>
          <w:spacing w:val="-5"/>
          <w:sz w:val="24"/>
          <w:szCs w:val="24"/>
        </w:rPr>
        <w:t>2、名词定义</w:t>
      </w:r>
    </w:p>
    <w:p w14:paraId="50B0F8EF">
      <w:pPr>
        <w:spacing w:line="181" w:lineRule="auto"/>
        <w:ind w:left="529"/>
        <w:rPr>
          <w:rFonts w:ascii="微软雅黑" w:hAnsi="微软雅黑" w:eastAsia="微软雅黑" w:cs="微软雅黑"/>
          <w:sz w:val="24"/>
          <w:szCs w:val="24"/>
        </w:rPr>
      </w:pPr>
      <w:r>
        <w:rPr>
          <w:rFonts w:ascii="微软雅黑" w:hAnsi="微软雅黑" w:eastAsia="微软雅黑" w:cs="微软雅黑"/>
          <w:spacing w:val="-6"/>
          <w:sz w:val="24"/>
          <w:szCs w:val="24"/>
        </w:rPr>
        <w:t>下列术语和缩写的定义为：</w:t>
      </w:r>
    </w:p>
    <w:p w14:paraId="6951C1B4">
      <w:pPr>
        <w:spacing w:before="2" w:line="181" w:lineRule="auto"/>
        <w:ind w:left="75" w:right="141" w:firstLine="444"/>
        <w:rPr>
          <w:rFonts w:ascii="微软雅黑" w:hAnsi="微软雅黑" w:eastAsia="微软雅黑" w:cs="微软雅黑"/>
          <w:sz w:val="24"/>
          <w:szCs w:val="24"/>
        </w:rPr>
      </w:pPr>
      <w:r>
        <w:rPr>
          <w:rFonts w:ascii="微软雅黑" w:hAnsi="微软雅黑" w:eastAsia="微软雅黑" w:cs="微软雅黑"/>
          <w:sz w:val="24"/>
          <w:szCs w:val="24"/>
        </w:rPr>
        <w:t>2.1</w:t>
      </w:r>
      <w:r>
        <w:rPr>
          <w:rFonts w:ascii="微软雅黑" w:hAnsi="微软雅黑" w:eastAsia="微软雅黑" w:cs="微软雅黑"/>
          <w:spacing w:val="50"/>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52"/>
          <w:sz w:val="24"/>
          <w:szCs w:val="24"/>
        </w:rPr>
        <w:t xml:space="preserve"> </w:t>
      </w:r>
      <w:r>
        <w:rPr>
          <w:rFonts w:ascii="微软雅黑" w:hAnsi="微软雅黑" w:eastAsia="微软雅黑" w:cs="微软雅黑"/>
          <w:sz w:val="24"/>
          <w:szCs w:val="24"/>
        </w:rPr>
        <w:t>采购人</w:t>
      </w:r>
      <w:r>
        <w:rPr>
          <w:rFonts w:ascii="微软雅黑" w:hAnsi="微软雅黑" w:eastAsia="微软雅黑" w:cs="微软雅黑"/>
          <w:spacing w:val="-38"/>
          <w:sz w:val="24"/>
          <w:szCs w:val="24"/>
        </w:rPr>
        <w:t xml:space="preserve"> </w:t>
      </w:r>
      <w:r>
        <w:rPr>
          <w:rFonts w:ascii="微软雅黑" w:hAnsi="微软雅黑" w:eastAsia="微软雅黑" w:cs="微软雅黑"/>
          <w:sz w:val="24"/>
          <w:szCs w:val="24"/>
        </w:rPr>
        <w:t>”是指依法进行政府采购的国家机关、事业单位和社会团体组织</w:t>
      </w:r>
      <w:r>
        <w:rPr>
          <w:rFonts w:ascii="微软雅黑" w:hAnsi="微软雅黑" w:eastAsia="微软雅黑" w:cs="微软雅黑"/>
          <w:spacing w:val="-1"/>
          <w:sz w:val="24"/>
          <w:szCs w:val="24"/>
        </w:rPr>
        <w:t>。即</w:t>
      </w:r>
      <w:r>
        <w:rPr>
          <w:rFonts w:ascii="微软雅黑" w:hAnsi="微软雅黑" w:eastAsia="微软雅黑" w:cs="微软雅黑"/>
          <w:b/>
          <w:bCs/>
          <w:spacing w:val="-1"/>
          <w:sz w:val="24"/>
          <w:szCs w:val="24"/>
          <w:u w:val="single" w:color="auto"/>
        </w:rPr>
        <w:t>伊犁州</w:t>
      </w:r>
      <w:r>
        <w:rPr>
          <w:rFonts w:ascii="微软雅黑" w:hAnsi="微软雅黑" w:eastAsia="微软雅黑" w:cs="微软雅黑"/>
          <w:b/>
          <w:bCs/>
          <w:sz w:val="24"/>
          <w:szCs w:val="24"/>
        </w:rPr>
        <w:t xml:space="preserve"> </w:t>
      </w:r>
      <w:r>
        <w:rPr>
          <w:rFonts w:ascii="微软雅黑" w:hAnsi="微软雅黑" w:eastAsia="微软雅黑" w:cs="微软雅黑"/>
          <w:b/>
          <w:bCs/>
          <w:spacing w:val="-8"/>
          <w:sz w:val="24"/>
          <w:szCs w:val="24"/>
          <w:u w:val="single" w:color="auto"/>
        </w:rPr>
        <w:t>中医医院。</w:t>
      </w:r>
    </w:p>
    <w:p w14:paraId="4F7FA19B">
      <w:pPr>
        <w:spacing w:before="1" w:line="181" w:lineRule="auto"/>
        <w:ind w:left="58" w:right="173" w:firstLine="462"/>
        <w:rPr>
          <w:rFonts w:ascii="微软雅黑" w:hAnsi="微软雅黑" w:eastAsia="微软雅黑" w:cs="微软雅黑"/>
          <w:sz w:val="24"/>
          <w:szCs w:val="24"/>
        </w:rPr>
      </w:pPr>
      <w:r>
        <w:rPr>
          <w:rFonts w:ascii="微软雅黑" w:hAnsi="微软雅黑" w:eastAsia="微软雅黑" w:cs="微软雅黑"/>
          <w:spacing w:val="-1"/>
          <w:sz w:val="24"/>
          <w:szCs w:val="24"/>
        </w:rPr>
        <w:t>2.2</w:t>
      </w:r>
      <w:r>
        <w:rPr>
          <w:rFonts w:ascii="微软雅黑" w:hAnsi="微软雅黑" w:eastAsia="微软雅黑" w:cs="微软雅黑"/>
          <w:spacing w:val="50"/>
          <w:w w:val="101"/>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54"/>
          <w:sz w:val="24"/>
          <w:szCs w:val="24"/>
        </w:rPr>
        <w:t xml:space="preserve"> </w:t>
      </w:r>
      <w:r>
        <w:rPr>
          <w:rFonts w:ascii="微软雅黑" w:hAnsi="微软雅黑" w:eastAsia="微软雅黑" w:cs="微软雅黑"/>
          <w:spacing w:val="-1"/>
          <w:sz w:val="24"/>
          <w:szCs w:val="24"/>
        </w:rPr>
        <w:t>集采机构</w:t>
      </w:r>
      <w:r>
        <w:rPr>
          <w:rFonts w:ascii="微软雅黑" w:hAnsi="微软雅黑" w:eastAsia="微软雅黑" w:cs="微软雅黑"/>
          <w:spacing w:val="-38"/>
          <w:sz w:val="24"/>
          <w:szCs w:val="24"/>
        </w:rPr>
        <w:t xml:space="preserve"> </w:t>
      </w:r>
      <w:r>
        <w:rPr>
          <w:rFonts w:ascii="微软雅黑" w:hAnsi="微软雅黑" w:eastAsia="微软雅黑" w:cs="微软雅黑"/>
          <w:spacing w:val="-1"/>
          <w:sz w:val="24"/>
          <w:szCs w:val="24"/>
        </w:rPr>
        <w:t>”是指依法设立，</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对纳入集中采购</w:t>
      </w:r>
      <w:r>
        <w:rPr>
          <w:rFonts w:ascii="微软雅黑" w:hAnsi="微软雅黑" w:eastAsia="微软雅黑" w:cs="微软雅黑"/>
          <w:spacing w:val="-2"/>
          <w:sz w:val="24"/>
          <w:szCs w:val="24"/>
        </w:rPr>
        <w:t>目录范围内项目独立组织招标的机构。</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即</w:t>
      </w:r>
      <w:r>
        <w:rPr>
          <w:rFonts w:ascii="微软雅黑" w:hAnsi="微软雅黑" w:eastAsia="微软雅黑" w:cs="微软雅黑"/>
          <w:b/>
          <w:bCs/>
          <w:spacing w:val="-3"/>
          <w:sz w:val="24"/>
          <w:szCs w:val="24"/>
          <w:u w:val="single" w:color="auto"/>
        </w:rPr>
        <w:t>伊犁州公共资源交易中心。</w:t>
      </w:r>
    </w:p>
    <w:p w14:paraId="7ECA559B">
      <w:pPr>
        <w:spacing w:before="1" w:line="181" w:lineRule="auto"/>
        <w:ind w:left="520"/>
        <w:rPr>
          <w:rFonts w:ascii="微软雅黑" w:hAnsi="微软雅黑" w:eastAsia="微软雅黑" w:cs="微软雅黑"/>
          <w:sz w:val="24"/>
          <w:szCs w:val="24"/>
        </w:rPr>
      </w:pPr>
      <w:r>
        <w:rPr>
          <w:rFonts w:ascii="微软雅黑" w:hAnsi="微软雅黑" w:eastAsia="微软雅黑" w:cs="微软雅黑"/>
          <w:spacing w:val="1"/>
          <w:sz w:val="24"/>
          <w:szCs w:val="24"/>
        </w:rPr>
        <w:t>2.3 “投标人”系指有资格的投标人（制造商或代理</w:t>
      </w:r>
      <w:r>
        <w:rPr>
          <w:rFonts w:ascii="微软雅黑" w:hAnsi="微软雅黑" w:eastAsia="微软雅黑" w:cs="微软雅黑"/>
          <w:sz w:val="24"/>
          <w:szCs w:val="24"/>
        </w:rPr>
        <w:t>商）及投标表现人。</w:t>
      </w:r>
    </w:p>
    <w:p w14:paraId="5B3B98CF">
      <w:pPr>
        <w:spacing w:before="1" w:line="181" w:lineRule="auto"/>
        <w:ind w:left="50" w:firstLine="469"/>
        <w:rPr>
          <w:rFonts w:ascii="微软雅黑" w:hAnsi="微软雅黑" w:eastAsia="微软雅黑" w:cs="微软雅黑"/>
          <w:sz w:val="24"/>
          <w:szCs w:val="24"/>
        </w:rPr>
      </w:pPr>
      <w:r>
        <w:rPr>
          <w:rFonts w:ascii="微软雅黑" w:hAnsi="微软雅黑" w:eastAsia="微软雅黑" w:cs="微软雅黑"/>
          <w:spacing w:val="-1"/>
          <w:sz w:val="24"/>
          <w:szCs w:val="24"/>
        </w:rPr>
        <w:t>2.4</w:t>
      </w:r>
      <w:r>
        <w:rPr>
          <w:rFonts w:ascii="微软雅黑" w:hAnsi="微软雅黑" w:eastAsia="微软雅黑" w:cs="微软雅黑"/>
          <w:spacing w:val="49"/>
          <w:sz w:val="24"/>
          <w:szCs w:val="24"/>
        </w:rPr>
        <w:t xml:space="preserve"> </w:t>
      </w:r>
      <w:r>
        <w:rPr>
          <w:rFonts w:ascii="微软雅黑" w:hAnsi="微软雅黑" w:eastAsia="微软雅黑" w:cs="微软雅黑"/>
          <w:spacing w:val="-1"/>
          <w:sz w:val="24"/>
          <w:szCs w:val="24"/>
        </w:rPr>
        <w:t>“货物”系指招标文件规定的，投标人须向采购人提供的一切设备</w:t>
      </w:r>
      <w:r>
        <w:rPr>
          <w:rFonts w:ascii="微软雅黑" w:hAnsi="微软雅黑" w:eastAsia="微软雅黑" w:cs="微软雅黑"/>
          <w:spacing w:val="-2"/>
          <w:sz w:val="24"/>
          <w:szCs w:val="24"/>
        </w:rPr>
        <w:t>、附件、备品备件、</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工具、手册及其它有关资料和材料。</w:t>
      </w:r>
    </w:p>
    <w:p w14:paraId="63C49C5A">
      <w:pPr>
        <w:spacing w:before="1" w:line="185" w:lineRule="auto"/>
        <w:ind w:left="44" w:right="141" w:firstLine="475"/>
        <w:rPr>
          <w:rFonts w:ascii="微软雅黑" w:hAnsi="微软雅黑" w:eastAsia="微软雅黑" w:cs="微软雅黑"/>
          <w:sz w:val="24"/>
          <w:szCs w:val="24"/>
        </w:rPr>
      </w:pPr>
      <w:r>
        <w:rPr>
          <w:rFonts w:ascii="微软雅黑" w:hAnsi="微软雅黑" w:eastAsia="微软雅黑" w:cs="微软雅黑"/>
          <w:sz w:val="24"/>
          <w:szCs w:val="24"/>
        </w:rPr>
        <w:t>2.5</w:t>
      </w:r>
      <w:r>
        <w:rPr>
          <w:rFonts w:ascii="微软雅黑" w:hAnsi="微软雅黑" w:eastAsia="微软雅黑" w:cs="微软雅黑"/>
          <w:spacing w:val="64"/>
          <w:sz w:val="24"/>
          <w:szCs w:val="24"/>
        </w:rPr>
        <w:t xml:space="preserve"> </w:t>
      </w:r>
      <w:r>
        <w:rPr>
          <w:rFonts w:ascii="微软雅黑" w:hAnsi="微软雅黑" w:eastAsia="微软雅黑" w:cs="微软雅黑"/>
          <w:sz w:val="24"/>
          <w:szCs w:val="24"/>
        </w:rPr>
        <w:t>“服务</w:t>
      </w:r>
      <w:r>
        <w:rPr>
          <w:rFonts w:ascii="微软雅黑" w:hAnsi="微软雅黑" w:eastAsia="微软雅黑" w:cs="微软雅黑"/>
          <w:spacing w:val="-38"/>
          <w:sz w:val="24"/>
          <w:szCs w:val="24"/>
        </w:rPr>
        <w:t xml:space="preserve"> </w:t>
      </w:r>
      <w:r>
        <w:rPr>
          <w:rFonts w:ascii="微软雅黑" w:hAnsi="微软雅黑" w:eastAsia="微软雅黑" w:cs="微软雅黑"/>
          <w:sz w:val="24"/>
          <w:szCs w:val="24"/>
        </w:rPr>
        <w:t xml:space="preserve">”系指招标文件规定投标人必须承担的保修、技术协助、培训及其他类似的责 </w:t>
      </w:r>
      <w:r>
        <w:rPr>
          <w:rFonts w:ascii="微软雅黑" w:hAnsi="微软雅黑" w:eastAsia="微软雅黑" w:cs="微软雅黑"/>
          <w:spacing w:val="-12"/>
          <w:sz w:val="24"/>
          <w:szCs w:val="24"/>
        </w:rPr>
        <w:t>任。</w:t>
      </w:r>
    </w:p>
    <w:p w14:paraId="7BA67BB6">
      <w:pPr>
        <w:spacing w:before="129" w:line="220" w:lineRule="auto"/>
        <w:ind w:left="523"/>
        <w:rPr>
          <w:rFonts w:ascii="宋体" w:hAnsi="宋体" w:eastAsia="宋体" w:cs="宋体"/>
          <w:sz w:val="24"/>
          <w:szCs w:val="24"/>
        </w:rPr>
      </w:pPr>
      <w:r>
        <w:rPr>
          <w:rFonts w:ascii="宋体" w:hAnsi="宋体" w:eastAsia="宋体" w:cs="宋体"/>
          <w:b/>
          <w:bCs/>
          <w:spacing w:val="-7"/>
          <w:sz w:val="24"/>
          <w:szCs w:val="24"/>
        </w:rPr>
        <w:t>3.</w:t>
      </w:r>
      <w:r>
        <w:rPr>
          <w:rFonts w:ascii="宋体" w:hAnsi="宋体" w:eastAsia="宋体" w:cs="宋体"/>
          <w:spacing w:val="17"/>
          <w:sz w:val="24"/>
          <w:szCs w:val="24"/>
        </w:rPr>
        <w:t xml:space="preserve"> </w:t>
      </w:r>
      <w:r>
        <w:rPr>
          <w:rFonts w:ascii="宋体" w:hAnsi="宋体" w:eastAsia="宋体" w:cs="宋体"/>
          <w:b/>
          <w:bCs/>
          <w:spacing w:val="-7"/>
          <w:sz w:val="24"/>
          <w:szCs w:val="24"/>
        </w:rPr>
        <w:t>投标费用</w:t>
      </w:r>
    </w:p>
    <w:p w14:paraId="15D1C76E">
      <w:pPr>
        <w:spacing w:before="168" w:line="181" w:lineRule="auto"/>
        <w:ind w:left="522"/>
        <w:rPr>
          <w:rFonts w:ascii="微软雅黑" w:hAnsi="微软雅黑" w:eastAsia="微软雅黑" w:cs="微软雅黑"/>
          <w:sz w:val="24"/>
          <w:szCs w:val="24"/>
        </w:rPr>
      </w:pPr>
      <w:r>
        <w:rPr>
          <w:rFonts w:ascii="微软雅黑" w:hAnsi="微软雅黑" w:eastAsia="微软雅黑" w:cs="微软雅黑"/>
          <w:sz w:val="24"/>
          <w:szCs w:val="24"/>
        </w:rPr>
        <w:t>3.1   无论投标结果如何，凡参与招标、投标活动有关的所有费用将由投标人自行承担。</w:t>
      </w:r>
    </w:p>
    <w:p w14:paraId="583417F0">
      <w:pPr>
        <w:spacing w:before="1" w:line="187" w:lineRule="auto"/>
        <w:ind w:left="522"/>
        <w:rPr>
          <w:rFonts w:ascii="微软雅黑" w:hAnsi="微软雅黑" w:eastAsia="微软雅黑" w:cs="微软雅黑"/>
          <w:sz w:val="24"/>
          <w:szCs w:val="24"/>
        </w:rPr>
      </w:pPr>
      <w:r>
        <w:rPr>
          <w:rFonts w:ascii="微软雅黑" w:hAnsi="微软雅黑" w:eastAsia="微软雅黑" w:cs="微软雅黑"/>
          <w:sz w:val="24"/>
          <w:szCs w:val="24"/>
        </w:rPr>
        <w:t>3.2   投标人被视为熟悉本招标项目的各种情况以及与履行合同有关的一切情况。</w:t>
      </w:r>
    </w:p>
    <w:p w14:paraId="7D528BB7">
      <w:pPr>
        <w:spacing w:before="132" w:line="220" w:lineRule="auto"/>
        <w:ind w:left="517"/>
        <w:rPr>
          <w:rFonts w:ascii="宋体" w:hAnsi="宋体" w:eastAsia="宋体" w:cs="宋体"/>
          <w:sz w:val="24"/>
          <w:szCs w:val="24"/>
        </w:rPr>
      </w:pPr>
      <w:r>
        <w:rPr>
          <w:rFonts w:ascii="宋体" w:hAnsi="宋体" w:eastAsia="宋体" w:cs="宋体"/>
          <w:b/>
          <w:bCs/>
          <w:spacing w:val="-3"/>
          <w:sz w:val="24"/>
          <w:szCs w:val="24"/>
        </w:rPr>
        <w:t>4.</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招标文件的构成</w:t>
      </w:r>
    </w:p>
    <w:p w14:paraId="1100EB89">
      <w:pPr>
        <w:spacing w:before="168" w:line="181" w:lineRule="auto"/>
        <w:ind w:left="535"/>
        <w:outlineLvl w:val="0"/>
        <w:rPr>
          <w:rFonts w:ascii="微软雅黑" w:hAnsi="微软雅黑" w:eastAsia="微软雅黑" w:cs="微软雅黑"/>
          <w:sz w:val="24"/>
          <w:szCs w:val="24"/>
        </w:rPr>
      </w:pPr>
      <w:bookmarkStart w:id="38" w:name="bookmark1"/>
      <w:bookmarkEnd w:id="38"/>
      <w:r>
        <w:rPr>
          <w:rFonts w:ascii="微软雅黑" w:hAnsi="微软雅黑" w:eastAsia="微软雅黑" w:cs="微软雅黑"/>
          <w:spacing w:val="-5"/>
          <w:sz w:val="24"/>
          <w:szCs w:val="24"/>
        </w:rPr>
        <w:t>第一部分</w:t>
      </w:r>
      <w:r>
        <w:rPr>
          <w:rFonts w:ascii="微软雅黑" w:hAnsi="微软雅黑" w:eastAsia="微软雅黑" w:cs="微软雅黑"/>
          <w:spacing w:val="65"/>
          <w:sz w:val="24"/>
          <w:szCs w:val="24"/>
        </w:rPr>
        <w:t xml:space="preserve"> </w:t>
      </w:r>
      <w:r>
        <w:rPr>
          <w:rFonts w:ascii="微软雅黑" w:hAnsi="微软雅黑" w:eastAsia="微软雅黑" w:cs="微软雅黑"/>
          <w:spacing w:val="-5"/>
          <w:sz w:val="24"/>
          <w:szCs w:val="24"/>
        </w:rPr>
        <w:t>投标邀请</w:t>
      </w:r>
    </w:p>
    <w:p w14:paraId="1AA36FED">
      <w:pPr>
        <w:spacing w:before="1" w:line="181" w:lineRule="auto"/>
        <w:ind w:left="535"/>
        <w:rPr>
          <w:rFonts w:ascii="微软雅黑" w:hAnsi="微软雅黑" w:eastAsia="微软雅黑" w:cs="微软雅黑"/>
          <w:sz w:val="24"/>
          <w:szCs w:val="24"/>
        </w:rPr>
      </w:pPr>
      <w:r>
        <w:rPr>
          <w:rFonts w:ascii="微软雅黑" w:hAnsi="微软雅黑" w:eastAsia="微软雅黑" w:cs="微软雅黑"/>
          <w:spacing w:val="-5"/>
          <w:sz w:val="24"/>
          <w:szCs w:val="24"/>
        </w:rPr>
        <w:t>第二部分</w:t>
      </w:r>
      <w:r>
        <w:rPr>
          <w:rFonts w:ascii="微软雅黑" w:hAnsi="微软雅黑" w:eastAsia="微软雅黑" w:cs="微软雅黑"/>
          <w:spacing w:val="69"/>
          <w:w w:val="101"/>
          <w:sz w:val="24"/>
          <w:szCs w:val="24"/>
        </w:rPr>
        <w:t xml:space="preserve"> </w:t>
      </w:r>
      <w:r>
        <w:rPr>
          <w:rFonts w:ascii="微软雅黑" w:hAnsi="微软雅黑" w:eastAsia="微软雅黑" w:cs="微软雅黑"/>
          <w:spacing w:val="-5"/>
          <w:sz w:val="24"/>
          <w:szCs w:val="24"/>
        </w:rPr>
        <w:t>投标人须知</w:t>
      </w:r>
    </w:p>
    <w:p w14:paraId="4B3ACD1A">
      <w:pPr>
        <w:spacing w:before="2" w:line="181" w:lineRule="auto"/>
        <w:ind w:left="535" w:right="6301"/>
        <w:rPr>
          <w:rFonts w:ascii="微软雅黑" w:hAnsi="微软雅黑" w:eastAsia="微软雅黑" w:cs="微软雅黑"/>
          <w:sz w:val="24"/>
          <w:szCs w:val="24"/>
        </w:rPr>
      </w:pPr>
      <w:r>
        <w:rPr>
          <w:rFonts w:ascii="微软雅黑" w:hAnsi="微软雅黑" w:eastAsia="微软雅黑" w:cs="微软雅黑"/>
          <w:spacing w:val="-4"/>
          <w:sz w:val="24"/>
          <w:szCs w:val="24"/>
        </w:rPr>
        <w:t>第三部分</w:t>
      </w:r>
      <w:r>
        <w:rPr>
          <w:rFonts w:ascii="微软雅黑" w:hAnsi="微软雅黑" w:eastAsia="微软雅黑" w:cs="微软雅黑"/>
          <w:spacing w:val="73"/>
          <w:w w:val="101"/>
          <w:sz w:val="24"/>
          <w:szCs w:val="24"/>
        </w:rPr>
        <w:t xml:space="preserve"> </w:t>
      </w:r>
      <w:r>
        <w:rPr>
          <w:rFonts w:ascii="微软雅黑" w:hAnsi="微软雅黑" w:eastAsia="微软雅黑" w:cs="微软雅黑"/>
          <w:spacing w:val="-4"/>
          <w:sz w:val="24"/>
          <w:szCs w:val="24"/>
        </w:rPr>
        <w:t>技术需求及商务要求</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第四部分</w:t>
      </w:r>
      <w:r>
        <w:rPr>
          <w:rFonts w:ascii="微软雅黑" w:hAnsi="微软雅黑" w:eastAsia="微软雅黑" w:cs="微软雅黑"/>
          <w:spacing w:val="64"/>
          <w:sz w:val="24"/>
          <w:szCs w:val="24"/>
        </w:rPr>
        <w:t xml:space="preserve"> </w:t>
      </w:r>
      <w:r>
        <w:rPr>
          <w:rFonts w:ascii="微软雅黑" w:hAnsi="微软雅黑" w:eastAsia="微软雅黑" w:cs="微软雅黑"/>
          <w:spacing w:val="-4"/>
          <w:sz w:val="24"/>
          <w:szCs w:val="24"/>
        </w:rPr>
        <w:t>招标组织程序</w:t>
      </w:r>
    </w:p>
    <w:p w14:paraId="7379985D">
      <w:pPr>
        <w:spacing w:before="2" w:line="184" w:lineRule="auto"/>
        <w:ind w:left="535" w:right="6301"/>
        <w:rPr>
          <w:rFonts w:ascii="微软雅黑" w:hAnsi="微软雅黑" w:eastAsia="微软雅黑" w:cs="微软雅黑"/>
          <w:sz w:val="24"/>
          <w:szCs w:val="24"/>
        </w:rPr>
      </w:pPr>
      <w:r>
        <w:rPr>
          <w:rFonts w:ascii="微软雅黑" w:hAnsi="微软雅黑" w:eastAsia="微软雅黑" w:cs="微软雅黑"/>
          <w:spacing w:val="-4"/>
          <w:sz w:val="24"/>
          <w:szCs w:val="24"/>
        </w:rPr>
        <w:t>第五部分</w:t>
      </w:r>
      <w:r>
        <w:rPr>
          <w:rFonts w:ascii="微软雅黑" w:hAnsi="微软雅黑" w:eastAsia="微软雅黑" w:cs="微软雅黑"/>
          <w:spacing w:val="73"/>
          <w:w w:val="101"/>
          <w:sz w:val="24"/>
          <w:szCs w:val="24"/>
        </w:rPr>
        <w:t xml:space="preserve"> </w:t>
      </w:r>
      <w:r>
        <w:rPr>
          <w:rFonts w:ascii="微软雅黑" w:hAnsi="微软雅黑" w:eastAsia="微软雅黑" w:cs="微软雅黑"/>
          <w:spacing w:val="-4"/>
          <w:sz w:val="24"/>
          <w:szCs w:val="24"/>
        </w:rPr>
        <w:t>招标结束后注意事项</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第六部分</w:t>
      </w:r>
      <w:r>
        <w:rPr>
          <w:rFonts w:ascii="微软雅黑" w:hAnsi="微软雅黑" w:eastAsia="微软雅黑" w:cs="微软雅黑"/>
          <w:spacing w:val="71"/>
          <w:sz w:val="24"/>
          <w:szCs w:val="24"/>
        </w:rPr>
        <w:t xml:space="preserve"> </w:t>
      </w:r>
      <w:r>
        <w:rPr>
          <w:rFonts w:ascii="微软雅黑" w:hAnsi="微软雅黑" w:eastAsia="微软雅黑" w:cs="微软雅黑"/>
          <w:spacing w:val="-4"/>
          <w:sz w:val="24"/>
          <w:szCs w:val="24"/>
        </w:rPr>
        <w:t>有关附件范本格式</w:t>
      </w:r>
    </w:p>
    <w:p w14:paraId="6AC05B58">
      <w:pPr>
        <w:spacing w:before="130" w:line="220" w:lineRule="auto"/>
        <w:ind w:left="523"/>
        <w:rPr>
          <w:rFonts w:ascii="宋体" w:hAnsi="宋体" w:eastAsia="宋体" w:cs="宋体"/>
          <w:sz w:val="24"/>
          <w:szCs w:val="24"/>
        </w:rPr>
      </w:pPr>
      <w:r>
        <w:rPr>
          <w:rFonts w:ascii="宋体" w:hAnsi="宋体" w:eastAsia="宋体" w:cs="宋体"/>
          <w:b/>
          <w:bCs/>
          <w:spacing w:val="-3"/>
          <w:sz w:val="24"/>
          <w:szCs w:val="24"/>
        </w:rPr>
        <w:t>5.对招标文件质疑与答复</w:t>
      </w:r>
    </w:p>
    <w:p w14:paraId="3E6C4360">
      <w:pPr>
        <w:spacing w:before="215" w:line="202" w:lineRule="auto"/>
        <w:ind w:left="48" w:right="141" w:firstLine="481"/>
        <w:rPr>
          <w:rFonts w:ascii="微软雅黑" w:hAnsi="微软雅黑" w:eastAsia="微软雅黑" w:cs="微软雅黑"/>
          <w:sz w:val="24"/>
          <w:szCs w:val="24"/>
        </w:rPr>
      </w:pPr>
      <w:r>
        <w:rPr>
          <w:rFonts w:ascii="仿宋" w:hAnsi="仿宋" w:eastAsia="仿宋" w:cs="仿宋"/>
          <w:spacing w:val="1"/>
          <w:sz w:val="24"/>
          <w:szCs w:val="24"/>
        </w:rPr>
        <w:t>5.1</w:t>
      </w:r>
      <w:r>
        <w:rPr>
          <w:rFonts w:ascii="仿宋" w:hAnsi="仿宋" w:eastAsia="仿宋" w:cs="仿宋"/>
          <w:spacing w:val="-43"/>
          <w:sz w:val="24"/>
          <w:szCs w:val="24"/>
        </w:rPr>
        <w:t xml:space="preserve"> </w:t>
      </w:r>
      <w:r>
        <w:rPr>
          <w:rFonts w:ascii="微软雅黑" w:hAnsi="微软雅黑" w:eastAsia="微软雅黑" w:cs="微软雅黑"/>
          <w:b/>
          <w:bCs/>
          <w:spacing w:val="1"/>
          <w:sz w:val="24"/>
          <w:szCs w:val="24"/>
        </w:rPr>
        <w:t>投标人对招标文件中的采购需求（资质要</w:t>
      </w:r>
      <w:r>
        <w:rPr>
          <w:rFonts w:ascii="微软雅黑" w:hAnsi="微软雅黑" w:eastAsia="微软雅黑" w:cs="微软雅黑"/>
          <w:b/>
          <w:bCs/>
          <w:sz w:val="24"/>
          <w:szCs w:val="24"/>
        </w:rPr>
        <w:t xml:space="preserve">求、采购技术参数、付款方式、服务期限、 </w:t>
      </w:r>
      <w:r>
        <w:rPr>
          <w:rFonts w:ascii="微软雅黑" w:hAnsi="微软雅黑" w:eastAsia="微软雅黑" w:cs="微软雅黑"/>
          <w:b/>
          <w:bCs/>
          <w:spacing w:val="-2"/>
          <w:sz w:val="24"/>
          <w:szCs w:val="24"/>
        </w:rPr>
        <w:t>售后服务）有异议的，</w:t>
      </w:r>
      <w:r>
        <w:rPr>
          <w:rFonts w:ascii="微软雅黑" w:hAnsi="微软雅黑" w:eastAsia="微软雅黑" w:cs="微软雅黑"/>
          <w:b/>
          <w:bCs/>
          <w:spacing w:val="-47"/>
          <w:sz w:val="24"/>
          <w:szCs w:val="24"/>
        </w:rPr>
        <w:t xml:space="preserve"> </w:t>
      </w:r>
      <w:r>
        <w:rPr>
          <w:rFonts w:ascii="微软雅黑" w:hAnsi="微软雅黑" w:eastAsia="微软雅黑" w:cs="微软雅黑"/>
          <w:b/>
          <w:bCs/>
          <w:spacing w:val="-2"/>
          <w:sz w:val="24"/>
          <w:szCs w:val="24"/>
        </w:rPr>
        <w:t>应当自合法渠道获取招标文件之</w:t>
      </w:r>
      <w:r>
        <w:rPr>
          <w:rFonts w:ascii="微软雅黑" w:hAnsi="微软雅黑" w:eastAsia="微软雅黑" w:cs="微软雅黑"/>
          <w:b/>
          <w:bCs/>
          <w:spacing w:val="-3"/>
          <w:sz w:val="24"/>
          <w:szCs w:val="24"/>
        </w:rPr>
        <w:t>日起 7 个工作日内，</w:t>
      </w:r>
      <w:r>
        <w:rPr>
          <w:rFonts w:ascii="微软雅黑" w:hAnsi="微软雅黑" w:eastAsia="微软雅黑" w:cs="微软雅黑"/>
          <w:b/>
          <w:bCs/>
          <w:spacing w:val="-23"/>
          <w:sz w:val="24"/>
          <w:szCs w:val="24"/>
        </w:rPr>
        <w:t xml:space="preserve"> </w:t>
      </w:r>
      <w:r>
        <w:rPr>
          <w:rFonts w:ascii="微软雅黑" w:hAnsi="微软雅黑" w:eastAsia="微软雅黑" w:cs="微软雅黑"/>
          <w:b/>
          <w:bCs/>
          <w:spacing w:val="-3"/>
          <w:sz w:val="24"/>
          <w:szCs w:val="24"/>
        </w:rPr>
        <w:t>以书面方式向采购</w:t>
      </w:r>
      <w:r>
        <w:rPr>
          <w:rFonts w:ascii="微软雅黑" w:hAnsi="微软雅黑" w:eastAsia="微软雅黑" w:cs="微软雅黑"/>
          <w:b/>
          <w:bCs/>
          <w:sz w:val="24"/>
          <w:szCs w:val="24"/>
        </w:rPr>
        <w:t xml:space="preserve"> </w:t>
      </w:r>
      <w:r>
        <w:rPr>
          <w:rFonts w:ascii="微软雅黑" w:hAnsi="微软雅黑" w:eastAsia="微软雅黑" w:cs="微软雅黑"/>
          <w:b/>
          <w:bCs/>
          <w:spacing w:val="-5"/>
          <w:sz w:val="24"/>
          <w:szCs w:val="24"/>
        </w:rPr>
        <w:t>人提出</w:t>
      </w:r>
      <w:r>
        <w:rPr>
          <w:rFonts w:ascii="微软雅黑" w:hAnsi="微软雅黑" w:eastAsia="微软雅黑" w:cs="微软雅黑"/>
          <w:spacing w:val="-5"/>
          <w:sz w:val="24"/>
          <w:szCs w:val="24"/>
        </w:rPr>
        <w:t>。</w:t>
      </w:r>
    </w:p>
    <w:p w14:paraId="7D2FCA0D">
      <w:pPr>
        <w:spacing w:before="38" w:line="199" w:lineRule="auto"/>
        <w:ind w:left="48" w:right="141" w:firstLine="473"/>
        <w:rPr>
          <w:rFonts w:ascii="微软雅黑" w:hAnsi="微软雅黑" w:eastAsia="微软雅黑" w:cs="微软雅黑"/>
          <w:sz w:val="24"/>
          <w:szCs w:val="24"/>
        </w:rPr>
      </w:pPr>
      <w:r>
        <w:rPr>
          <w:rFonts w:ascii="微软雅黑" w:hAnsi="微软雅黑" w:eastAsia="微软雅黑" w:cs="微软雅黑"/>
          <w:spacing w:val="1"/>
          <w:sz w:val="24"/>
          <w:szCs w:val="24"/>
        </w:rPr>
        <w:t>5.2 采购人在收到投标人的质疑函后 7 个工作日内予以</w:t>
      </w:r>
      <w:r>
        <w:rPr>
          <w:rFonts w:ascii="微软雅黑" w:hAnsi="微软雅黑" w:eastAsia="微软雅黑" w:cs="微软雅黑"/>
          <w:sz w:val="24"/>
          <w:szCs w:val="24"/>
        </w:rPr>
        <w:t>答复，</w:t>
      </w:r>
      <w:r>
        <w:rPr>
          <w:rFonts w:ascii="微软雅黑" w:hAnsi="微软雅黑" w:eastAsia="微软雅黑" w:cs="微软雅黑"/>
          <w:spacing w:val="-47"/>
          <w:sz w:val="24"/>
          <w:szCs w:val="24"/>
        </w:rPr>
        <w:t xml:space="preserve"> </w:t>
      </w:r>
      <w:r>
        <w:rPr>
          <w:rFonts w:ascii="微软雅黑" w:hAnsi="微软雅黑" w:eastAsia="微软雅黑" w:cs="微软雅黑"/>
          <w:sz w:val="24"/>
          <w:szCs w:val="24"/>
        </w:rPr>
        <w:t xml:space="preserve">并以书面形式通知质疑投标 </w:t>
      </w:r>
      <w:r>
        <w:rPr>
          <w:rFonts w:ascii="微软雅黑" w:hAnsi="微软雅黑" w:eastAsia="微软雅黑" w:cs="微软雅黑"/>
          <w:spacing w:val="-4"/>
          <w:sz w:val="24"/>
          <w:szCs w:val="24"/>
        </w:rPr>
        <w:t>人，同时将质疑答复抄送集采机构。</w:t>
      </w:r>
    </w:p>
    <w:p w14:paraId="3212AF7E">
      <w:pPr>
        <w:spacing w:before="135" w:line="188" w:lineRule="auto"/>
        <w:ind w:left="522"/>
        <w:rPr>
          <w:rFonts w:ascii="微软雅黑" w:hAnsi="微软雅黑" w:eastAsia="微软雅黑" w:cs="微软雅黑"/>
          <w:sz w:val="24"/>
          <w:szCs w:val="24"/>
        </w:rPr>
      </w:pPr>
      <w:r>
        <w:rPr>
          <w:rFonts w:ascii="微软雅黑" w:hAnsi="微软雅黑" w:eastAsia="微软雅黑" w:cs="微软雅黑"/>
          <w:spacing w:val="-1"/>
          <w:sz w:val="24"/>
          <w:szCs w:val="24"/>
        </w:rPr>
        <w:t>5.3 投标人在法定质疑期内针对招标文件的质疑必须一次性提出，</w:t>
      </w:r>
      <w:r>
        <w:rPr>
          <w:rFonts w:ascii="微软雅黑" w:hAnsi="微软雅黑" w:eastAsia="微软雅黑" w:cs="微软雅黑"/>
          <w:spacing w:val="-2"/>
          <w:sz w:val="24"/>
          <w:szCs w:val="24"/>
        </w:rPr>
        <w:t>投标人在规定时间内，</w:t>
      </w:r>
    </w:p>
    <w:p w14:paraId="2A23F983">
      <w:pPr>
        <w:spacing w:before="273" w:line="188" w:lineRule="auto"/>
        <w:ind w:left="46"/>
        <w:rPr>
          <w:rFonts w:ascii="微软雅黑" w:hAnsi="微软雅黑" w:eastAsia="微软雅黑" w:cs="微软雅黑"/>
          <w:sz w:val="24"/>
          <w:szCs w:val="24"/>
        </w:rPr>
      </w:pPr>
      <w:r>
        <w:rPr>
          <w:rFonts w:ascii="微软雅黑" w:hAnsi="微软雅黑" w:eastAsia="微软雅黑" w:cs="微软雅黑"/>
          <w:spacing w:val="-2"/>
          <w:sz w:val="24"/>
          <w:szCs w:val="24"/>
        </w:rPr>
        <w:t>未对招标文件提出质疑的，则视为投标人完全同意招标文件的所有内容。</w:t>
      </w:r>
    </w:p>
    <w:p w14:paraId="135399D2">
      <w:pPr>
        <w:spacing w:before="274" w:line="220" w:lineRule="auto"/>
        <w:ind w:left="520"/>
        <w:rPr>
          <w:rFonts w:ascii="宋体" w:hAnsi="宋体" w:eastAsia="宋体" w:cs="宋体"/>
          <w:sz w:val="24"/>
          <w:szCs w:val="24"/>
        </w:rPr>
      </w:pPr>
      <w:r>
        <w:rPr>
          <w:rFonts w:ascii="宋体" w:hAnsi="宋体" w:eastAsia="宋体" w:cs="宋体"/>
          <w:b/>
          <w:bCs/>
          <w:spacing w:val="-3"/>
          <w:sz w:val="24"/>
          <w:szCs w:val="24"/>
        </w:rPr>
        <w:t>6.招标文件的澄清或修改</w:t>
      </w:r>
    </w:p>
    <w:p w14:paraId="46CEDD82">
      <w:pPr>
        <w:spacing w:before="310" w:line="188" w:lineRule="auto"/>
        <w:ind w:left="519"/>
        <w:rPr>
          <w:rFonts w:ascii="微软雅黑" w:hAnsi="微软雅黑" w:eastAsia="微软雅黑" w:cs="微软雅黑"/>
          <w:sz w:val="24"/>
          <w:szCs w:val="24"/>
        </w:rPr>
      </w:pPr>
      <w:r>
        <w:rPr>
          <w:rFonts w:ascii="微软雅黑" w:hAnsi="微软雅黑" w:eastAsia="微软雅黑" w:cs="微软雅黑"/>
          <w:sz w:val="24"/>
          <w:szCs w:val="24"/>
        </w:rPr>
        <w:t>6.1 采购人或者集采机构可以对已发出的招标文件进行必要的澄清或者修改。澄清或</w:t>
      </w:r>
      <w:r>
        <w:rPr>
          <w:rFonts w:ascii="微软雅黑" w:hAnsi="微软雅黑" w:eastAsia="微软雅黑" w:cs="微软雅黑"/>
          <w:spacing w:val="-1"/>
          <w:sz w:val="24"/>
          <w:szCs w:val="24"/>
        </w:rPr>
        <w:t>者修</w:t>
      </w:r>
    </w:p>
    <w:p w14:paraId="4E66BFCA">
      <w:pPr>
        <w:pStyle w:val="2"/>
        <w:spacing w:line="353" w:lineRule="auto"/>
      </w:pPr>
    </w:p>
    <w:p w14:paraId="00D86BC1">
      <w:pPr>
        <w:spacing w:before="62" w:line="160" w:lineRule="auto"/>
        <w:ind w:left="138"/>
        <w:rPr>
          <w:rFonts w:ascii="宋体" w:hAnsi="宋体" w:eastAsia="宋体" w:cs="宋体"/>
          <w:sz w:val="19"/>
          <w:szCs w:val="19"/>
        </w:rPr>
      </w:pPr>
      <w:r>
        <w:rPr>
          <w:rFonts w:ascii="仿宋" w:hAnsi="仿宋" w:eastAsia="仿宋" w:cs="仿宋"/>
          <w:i/>
          <w:iCs/>
          <w:spacing w:val="-3"/>
          <w:sz w:val="19"/>
          <w:szCs w:val="19"/>
        </w:rPr>
        <w:t>电话:0999-8330667</w:t>
      </w:r>
      <w:r>
        <w:rPr>
          <w:rFonts w:ascii="仿宋" w:hAnsi="仿宋" w:eastAsia="仿宋" w:cs="仿宋"/>
          <w:spacing w:val="1"/>
          <w:sz w:val="19"/>
          <w:szCs w:val="19"/>
        </w:rPr>
        <w:t xml:space="preserve">                   </w:t>
      </w:r>
      <w:r>
        <w:rPr>
          <w:rFonts w:ascii="仿宋" w:hAnsi="仿宋" w:eastAsia="仿宋" w:cs="仿宋"/>
          <w:sz w:val="19"/>
          <w:szCs w:val="19"/>
        </w:rPr>
        <w:t xml:space="preserve">               </w:t>
      </w:r>
      <w:r>
        <w:rPr>
          <w:rFonts w:ascii="Times New Roman" w:hAnsi="Times New Roman" w:eastAsia="Times New Roman" w:cs="Times New Roman"/>
          <w:spacing w:val="-3"/>
          <w:position w:val="1"/>
          <w:sz w:val="18"/>
          <w:szCs w:val="18"/>
        </w:rPr>
        <w:t xml:space="preserve">4                                </w:t>
      </w:r>
      <w:r>
        <w:rPr>
          <w:rFonts w:ascii="宋体" w:hAnsi="宋体" w:eastAsia="宋体" w:cs="宋体"/>
          <w:b/>
          <w:bCs/>
          <w:i/>
          <w:iCs/>
          <w:spacing w:val="-3"/>
          <w:sz w:val="19"/>
          <w:szCs w:val="19"/>
        </w:rPr>
        <w:t>伊犁州公共资源交易中心</w:t>
      </w:r>
    </w:p>
    <w:p w14:paraId="5E516430">
      <w:pPr>
        <w:spacing w:line="160" w:lineRule="auto"/>
        <w:rPr>
          <w:rFonts w:ascii="宋体" w:hAnsi="宋体" w:eastAsia="宋体" w:cs="宋体"/>
          <w:sz w:val="19"/>
          <w:szCs w:val="19"/>
        </w:rPr>
        <w:sectPr>
          <w:headerReference r:id="rId10" w:type="default"/>
          <w:footerReference r:id="rId11" w:type="default"/>
          <w:pgSz w:w="11905" w:h="16839"/>
          <w:pgMar w:top="1136" w:right="717" w:bottom="937" w:left="1136" w:header="854" w:footer="923" w:gutter="0"/>
          <w:cols w:space="720" w:num="1"/>
        </w:sectPr>
      </w:pPr>
    </w:p>
    <w:p w14:paraId="56BF0184">
      <w:pPr>
        <w:pStyle w:val="2"/>
        <w:spacing w:line="356" w:lineRule="auto"/>
      </w:pPr>
    </w:p>
    <w:p w14:paraId="6D77E2B3">
      <w:pPr>
        <w:spacing w:before="103" w:line="346" w:lineRule="auto"/>
        <w:ind w:left="49" w:right="88" w:firstLine="8"/>
        <w:jc w:val="both"/>
        <w:rPr>
          <w:rFonts w:ascii="微软雅黑" w:hAnsi="微软雅黑" w:eastAsia="微软雅黑" w:cs="微软雅黑"/>
          <w:sz w:val="24"/>
          <w:szCs w:val="24"/>
        </w:rPr>
      </w:pPr>
      <w:r>
        <w:rPr>
          <w:rFonts w:ascii="微软雅黑" w:hAnsi="微软雅黑" w:eastAsia="微软雅黑" w:cs="微软雅黑"/>
          <w:spacing w:val="-5"/>
          <w:sz w:val="24"/>
          <w:szCs w:val="24"/>
        </w:rPr>
        <w:t>改的内容可能影响投标文件编制的，采购人或者集采机构</w:t>
      </w:r>
      <w:r>
        <w:rPr>
          <w:rFonts w:ascii="微软雅黑" w:hAnsi="微软雅黑" w:eastAsia="微软雅黑" w:cs="微软雅黑"/>
          <w:spacing w:val="-6"/>
          <w:sz w:val="24"/>
          <w:szCs w:val="24"/>
        </w:rPr>
        <w:t>应当在投标截止时间至少 15  日前，以</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公告形式通知所有获取招标文件的潜在投标人；不足 15  日的，采购</w:t>
      </w:r>
      <w:r>
        <w:rPr>
          <w:rFonts w:ascii="微软雅黑" w:hAnsi="微软雅黑" w:eastAsia="微软雅黑" w:cs="微软雅黑"/>
          <w:spacing w:val="-6"/>
          <w:sz w:val="24"/>
          <w:szCs w:val="24"/>
        </w:rPr>
        <w:t>人或者集采机构应当顺延提</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交投标文件的截止时间。投标人在收到该通知后应立</w:t>
      </w:r>
      <w:r>
        <w:rPr>
          <w:rFonts w:ascii="微软雅黑" w:hAnsi="微软雅黑" w:eastAsia="微软雅黑" w:cs="微软雅黑"/>
          <w:spacing w:val="-2"/>
          <w:sz w:val="24"/>
          <w:szCs w:val="24"/>
        </w:rPr>
        <w:t>即以电报或传真的形式予以确认。</w:t>
      </w:r>
    </w:p>
    <w:p w14:paraId="25D165E3">
      <w:pPr>
        <w:spacing w:before="4" w:line="188" w:lineRule="auto"/>
        <w:jc w:val="right"/>
        <w:rPr>
          <w:rFonts w:ascii="微软雅黑" w:hAnsi="微软雅黑" w:eastAsia="微软雅黑" w:cs="微软雅黑"/>
          <w:sz w:val="24"/>
          <w:szCs w:val="24"/>
        </w:rPr>
      </w:pPr>
      <w:r>
        <w:rPr>
          <w:rFonts w:ascii="微软雅黑" w:hAnsi="微软雅黑" w:eastAsia="微软雅黑" w:cs="微软雅黑"/>
          <w:spacing w:val="-1"/>
          <w:sz w:val="24"/>
          <w:szCs w:val="24"/>
        </w:rPr>
        <w:t>6.2 招标文件的修改和补充文件将构成招标文件的一部分，并且</w:t>
      </w:r>
      <w:r>
        <w:rPr>
          <w:rFonts w:ascii="微软雅黑" w:hAnsi="微软雅黑" w:eastAsia="微软雅黑" w:cs="微软雅黑"/>
          <w:spacing w:val="-2"/>
          <w:sz w:val="24"/>
          <w:szCs w:val="24"/>
        </w:rPr>
        <w:t>对投标人具有优先约束力。</w:t>
      </w:r>
    </w:p>
    <w:p w14:paraId="121F92A3">
      <w:pPr>
        <w:spacing w:before="272" w:line="220" w:lineRule="auto"/>
        <w:ind w:left="524"/>
        <w:rPr>
          <w:rFonts w:ascii="宋体" w:hAnsi="宋体" w:eastAsia="宋体" w:cs="宋体"/>
          <w:sz w:val="24"/>
          <w:szCs w:val="24"/>
        </w:rPr>
      </w:pPr>
      <w:r>
        <w:rPr>
          <w:rFonts w:ascii="宋体" w:hAnsi="宋体" w:eastAsia="宋体" w:cs="宋体"/>
          <w:b/>
          <w:bCs/>
          <w:spacing w:val="-3"/>
          <w:sz w:val="24"/>
          <w:szCs w:val="24"/>
        </w:rPr>
        <w:t>7.</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招标文件的解释权</w:t>
      </w:r>
    </w:p>
    <w:p w14:paraId="21DB1824">
      <w:pPr>
        <w:spacing w:before="311" w:line="188" w:lineRule="auto"/>
        <w:ind w:left="523"/>
        <w:rPr>
          <w:rFonts w:ascii="微软雅黑" w:hAnsi="微软雅黑" w:eastAsia="微软雅黑" w:cs="微软雅黑"/>
          <w:sz w:val="24"/>
          <w:szCs w:val="24"/>
        </w:rPr>
      </w:pPr>
      <w:r>
        <w:rPr>
          <w:rFonts w:ascii="微软雅黑" w:hAnsi="微软雅黑" w:eastAsia="微软雅黑" w:cs="微软雅黑"/>
          <w:spacing w:val="-2"/>
          <w:sz w:val="24"/>
          <w:szCs w:val="24"/>
        </w:rPr>
        <w:t>7.1 本招标文件的解释权归伊犁州公共资源交易中心。</w:t>
      </w:r>
    </w:p>
    <w:p w14:paraId="67B7FDF6">
      <w:pPr>
        <w:spacing w:before="234" w:line="188" w:lineRule="auto"/>
        <w:ind w:left="3157"/>
        <w:rPr>
          <w:rFonts w:ascii="微软雅黑" w:hAnsi="微软雅黑" w:eastAsia="微软雅黑" w:cs="微软雅黑"/>
          <w:sz w:val="32"/>
          <w:szCs w:val="32"/>
        </w:rPr>
      </w:pPr>
      <w:bookmarkStart w:id="39" w:name="bookmark52"/>
      <w:bookmarkEnd w:id="39"/>
      <w:r>
        <w:rPr>
          <w:rFonts w:ascii="仿宋" w:hAnsi="仿宋" w:eastAsia="仿宋" w:cs="仿宋"/>
          <w:b/>
          <w:bCs/>
          <w:spacing w:val="-4"/>
          <w:sz w:val="32"/>
          <w:szCs w:val="32"/>
        </w:rPr>
        <w:t>第二章</w:t>
      </w:r>
      <w:r>
        <w:rPr>
          <w:rFonts w:ascii="仿宋" w:hAnsi="仿宋" w:eastAsia="仿宋" w:cs="仿宋"/>
          <w:spacing w:val="-4"/>
          <w:sz w:val="32"/>
          <w:szCs w:val="32"/>
        </w:rPr>
        <w:t xml:space="preserve"> </w:t>
      </w:r>
      <w:r>
        <w:rPr>
          <w:rFonts w:ascii="微软雅黑" w:hAnsi="微软雅黑" w:eastAsia="微软雅黑" w:cs="微软雅黑"/>
          <w:b/>
          <w:bCs/>
          <w:spacing w:val="-4"/>
          <w:sz w:val="32"/>
          <w:szCs w:val="32"/>
        </w:rPr>
        <w:t>投标人的资格要求</w:t>
      </w:r>
    </w:p>
    <w:p w14:paraId="28C5BEAF">
      <w:pPr>
        <w:spacing w:before="205" w:line="220" w:lineRule="auto"/>
        <w:ind w:left="519"/>
        <w:rPr>
          <w:rFonts w:ascii="宋体" w:hAnsi="宋体" w:eastAsia="宋体" w:cs="宋体"/>
          <w:sz w:val="24"/>
          <w:szCs w:val="24"/>
        </w:rPr>
      </w:pPr>
      <w:r>
        <w:rPr>
          <w:rFonts w:ascii="宋体" w:hAnsi="宋体" w:eastAsia="宋体" w:cs="宋体"/>
          <w:b/>
          <w:bCs/>
          <w:spacing w:val="-4"/>
          <w:sz w:val="24"/>
          <w:szCs w:val="24"/>
        </w:rPr>
        <w:t>8、投标资质</w:t>
      </w:r>
    </w:p>
    <w:p w14:paraId="02DC97E5">
      <w:pPr>
        <w:spacing w:before="311" w:line="187" w:lineRule="auto"/>
        <w:ind w:left="524"/>
        <w:rPr>
          <w:rFonts w:ascii="微软雅黑" w:hAnsi="微软雅黑" w:eastAsia="微软雅黑" w:cs="微软雅黑"/>
          <w:sz w:val="24"/>
          <w:szCs w:val="24"/>
        </w:rPr>
      </w:pPr>
      <w:r>
        <w:rPr>
          <w:rFonts w:ascii="微软雅黑" w:hAnsi="微软雅黑" w:eastAsia="微软雅黑" w:cs="微软雅黑"/>
          <w:sz w:val="24"/>
          <w:szCs w:val="24"/>
        </w:rPr>
        <w:t>投标人必须提交能够证明其具有履行本采购项目合同能力的资质证明文件，</w:t>
      </w:r>
      <w:r>
        <w:rPr>
          <w:rFonts w:ascii="微软雅黑" w:hAnsi="微软雅黑" w:eastAsia="微软雅黑" w:cs="微软雅黑"/>
          <w:spacing w:val="-48"/>
          <w:sz w:val="24"/>
          <w:szCs w:val="24"/>
        </w:rPr>
        <w:t xml:space="preserve"> </w:t>
      </w:r>
      <w:r>
        <w:rPr>
          <w:rFonts w:ascii="微软雅黑" w:hAnsi="微软雅黑" w:eastAsia="微软雅黑" w:cs="微软雅黑"/>
          <w:sz w:val="24"/>
          <w:szCs w:val="24"/>
        </w:rPr>
        <w:t>作为投标文件</w:t>
      </w:r>
    </w:p>
    <w:p w14:paraId="6AF2D012">
      <w:pPr>
        <w:spacing w:before="274" w:line="188" w:lineRule="auto"/>
        <w:ind w:left="59"/>
        <w:rPr>
          <w:rFonts w:ascii="微软雅黑" w:hAnsi="微软雅黑" w:eastAsia="微软雅黑" w:cs="微软雅黑"/>
          <w:sz w:val="24"/>
          <w:szCs w:val="24"/>
        </w:rPr>
      </w:pPr>
      <w:r>
        <w:rPr>
          <w:rFonts w:ascii="微软雅黑" w:hAnsi="微软雅黑" w:eastAsia="微软雅黑" w:cs="微软雅黑"/>
          <w:spacing w:val="-1"/>
          <w:sz w:val="24"/>
          <w:szCs w:val="24"/>
        </w:rPr>
        <w:t>的一部分，所有非中文资质证明文件必须提</w:t>
      </w:r>
      <w:r>
        <w:rPr>
          <w:rFonts w:ascii="微软雅黑" w:hAnsi="微软雅黑" w:eastAsia="微软雅黑" w:cs="微软雅黑"/>
          <w:spacing w:val="-2"/>
          <w:sz w:val="24"/>
          <w:szCs w:val="24"/>
        </w:rPr>
        <w:t>供译文证明文件。</w:t>
      </w:r>
      <w:r>
        <w:rPr>
          <w:rFonts w:ascii="微软雅黑" w:hAnsi="微软雅黑" w:eastAsia="微软雅黑" w:cs="微软雅黑"/>
          <w:b/>
          <w:bCs/>
          <w:spacing w:val="-2"/>
          <w:sz w:val="24"/>
          <w:szCs w:val="24"/>
        </w:rPr>
        <w:t>本项目不接收联合体投标。</w:t>
      </w:r>
    </w:p>
    <w:p w14:paraId="18A83F72">
      <w:pPr>
        <w:spacing w:before="132" w:line="181" w:lineRule="auto"/>
        <w:ind w:left="524"/>
        <w:rPr>
          <w:rFonts w:ascii="微软雅黑" w:hAnsi="微软雅黑" w:eastAsia="微软雅黑" w:cs="微软雅黑"/>
          <w:sz w:val="24"/>
          <w:szCs w:val="24"/>
        </w:rPr>
      </w:pPr>
      <w:r>
        <w:rPr>
          <w:rFonts w:ascii="微软雅黑" w:hAnsi="微软雅黑" w:eastAsia="微软雅黑" w:cs="微软雅黑"/>
          <w:b/>
          <w:bCs/>
          <w:spacing w:val="-6"/>
          <w:sz w:val="24"/>
          <w:szCs w:val="24"/>
        </w:rPr>
        <w:t>（1）法定代表人授权书扫描件；</w:t>
      </w:r>
    </w:p>
    <w:p w14:paraId="083B8EC3">
      <w:pPr>
        <w:spacing w:before="1" w:line="181" w:lineRule="auto"/>
        <w:ind w:left="524"/>
        <w:rPr>
          <w:rFonts w:ascii="微软雅黑" w:hAnsi="微软雅黑" w:eastAsia="微软雅黑" w:cs="微软雅黑"/>
          <w:sz w:val="24"/>
          <w:szCs w:val="24"/>
        </w:rPr>
      </w:pPr>
      <w:r>
        <w:rPr>
          <w:rFonts w:ascii="微软雅黑" w:hAnsi="微软雅黑" w:eastAsia="微软雅黑" w:cs="微软雅黑"/>
          <w:b/>
          <w:bCs/>
          <w:spacing w:val="-4"/>
          <w:sz w:val="24"/>
          <w:szCs w:val="24"/>
        </w:rPr>
        <w:t>（2）法定代表人及被授权人《居民身份证》扫描件；</w:t>
      </w:r>
    </w:p>
    <w:p w14:paraId="3D5D250D">
      <w:pPr>
        <w:spacing w:line="181" w:lineRule="auto"/>
        <w:ind w:left="524"/>
        <w:rPr>
          <w:rFonts w:ascii="微软雅黑" w:hAnsi="微软雅黑" w:eastAsia="微软雅黑" w:cs="微软雅黑"/>
          <w:sz w:val="24"/>
          <w:szCs w:val="24"/>
        </w:rPr>
      </w:pPr>
      <w:r>
        <w:rPr>
          <w:rFonts w:ascii="微软雅黑" w:hAnsi="微软雅黑" w:eastAsia="微软雅黑" w:cs="微软雅黑"/>
          <w:b/>
          <w:bCs/>
          <w:spacing w:val="-3"/>
          <w:sz w:val="24"/>
          <w:szCs w:val="24"/>
        </w:rPr>
        <w:t>（3）具有独立承担民事责任的能力【投标人提供有效期内营业执照副本】；</w:t>
      </w:r>
    </w:p>
    <w:p w14:paraId="518AA7B3">
      <w:pPr>
        <w:spacing w:before="2" w:line="181" w:lineRule="auto"/>
        <w:ind w:left="46" w:right="88" w:firstLine="478"/>
        <w:rPr>
          <w:rFonts w:ascii="微软雅黑" w:hAnsi="微软雅黑" w:eastAsia="微软雅黑" w:cs="微软雅黑"/>
          <w:sz w:val="24"/>
          <w:szCs w:val="24"/>
        </w:rPr>
      </w:pPr>
      <w:r>
        <w:rPr>
          <w:rFonts w:ascii="微软雅黑" w:hAnsi="微软雅黑" w:eastAsia="微软雅黑" w:cs="微软雅黑"/>
          <w:b/>
          <w:bCs/>
          <w:spacing w:val="-3"/>
          <w:sz w:val="24"/>
          <w:szCs w:val="24"/>
        </w:rPr>
        <w:t>（4）具有良好的商业信誉和健全的财务会计制度【投标人提供近半年内任意一</w:t>
      </w:r>
      <w:r>
        <w:rPr>
          <w:rFonts w:ascii="微软雅黑" w:hAnsi="微软雅黑" w:eastAsia="微软雅黑" w:cs="微软雅黑"/>
          <w:b/>
          <w:bCs/>
          <w:spacing w:val="-4"/>
          <w:sz w:val="24"/>
          <w:szCs w:val="24"/>
        </w:rPr>
        <w:t>个月财务报</w:t>
      </w:r>
      <w:r>
        <w:rPr>
          <w:rFonts w:ascii="微软雅黑" w:hAnsi="微软雅黑" w:eastAsia="微软雅黑" w:cs="微软雅黑"/>
          <w:b/>
          <w:bCs/>
          <w:sz w:val="24"/>
          <w:szCs w:val="24"/>
        </w:rPr>
        <w:t xml:space="preserve"> </w:t>
      </w:r>
      <w:r>
        <w:rPr>
          <w:rFonts w:ascii="微软雅黑" w:hAnsi="微软雅黑" w:eastAsia="微软雅黑" w:cs="微软雅黑"/>
          <w:b/>
          <w:bCs/>
          <w:spacing w:val="-16"/>
          <w:sz w:val="24"/>
          <w:szCs w:val="24"/>
        </w:rPr>
        <w:t>表】；</w:t>
      </w:r>
    </w:p>
    <w:p w14:paraId="3C5BB54C">
      <w:pPr>
        <w:spacing w:line="181" w:lineRule="auto"/>
        <w:ind w:left="524"/>
        <w:rPr>
          <w:rFonts w:ascii="微软雅黑" w:hAnsi="微软雅黑" w:eastAsia="微软雅黑" w:cs="微软雅黑"/>
          <w:sz w:val="24"/>
          <w:szCs w:val="24"/>
        </w:rPr>
      </w:pPr>
      <w:r>
        <w:rPr>
          <w:rFonts w:ascii="微软雅黑" w:hAnsi="微软雅黑" w:eastAsia="微软雅黑" w:cs="微软雅黑"/>
          <w:b/>
          <w:bCs/>
          <w:spacing w:val="-2"/>
          <w:sz w:val="24"/>
          <w:szCs w:val="24"/>
        </w:rPr>
        <w:t>（5）具备履行合同所必需的设备和专业技术能力声明函【格式附后】;</w:t>
      </w:r>
    </w:p>
    <w:p w14:paraId="5B601C4F">
      <w:pPr>
        <w:spacing w:before="1" w:line="181" w:lineRule="auto"/>
        <w:ind w:left="524"/>
        <w:rPr>
          <w:rFonts w:ascii="微软雅黑" w:hAnsi="微软雅黑" w:eastAsia="微软雅黑" w:cs="微软雅黑"/>
          <w:sz w:val="24"/>
          <w:szCs w:val="24"/>
        </w:rPr>
      </w:pPr>
      <w:r>
        <w:rPr>
          <w:rFonts w:ascii="微软雅黑" w:hAnsi="微软雅黑" w:eastAsia="微软雅黑" w:cs="微软雅黑"/>
          <w:b/>
          <w:bCs/>
          <w:spacing w:val="-3"/>
          <w:sz w:val="24"/>
          <w:szCs w:val="24"/>
        </w:rPr>
        <w:t>（6）有依法缴纳税收和社会保障资金的良好纪录【投</w:t>
      </w:r>
      <w:r>
        <w:rPr>
          <w:rFonts w:ascii="微软雅黑" w:hAnsi="微软雅黑" w:eastAsia="微软雅黑" w:cs="微软雅黑"/>
          <w:b/>
          <w:bCs/>
          <w:spacing w:val="-4"/>
          <w:sz w:val="24"/>
          <w:szCs w:val="24"/>
        </w:rPr>
        <w:t>标人提供缴纳税金和社保的凭证】；</w:t>
      </w:r>
    </w:p>
    <w:p w14:paraId="27DAF4C4">
      <w:pPr>
        <w:spacing w:before="1" w:line="181" w:lineRule="auto"/>
        <w:ind w:left="42" w:right="103" w:firstLine="482"/>
        <w:rPr>
          <w:rFonts w:ascii="微软雅黑" w:hAnsi="微软雅黑" w:eastAsia="微软雅黑" w:cs="微软雅黑"/>
          <w:sz w:val="24"/>
          <w:szCs w:val="24"/>
        </w:rPr>
      </w:pPr>
      <w:r>
        <w:rPr>
          <w:rFonts w:ascii="微软雅黑" w:hAnsi="微软雅黑" w:eastAsia="微软雅黑" w:cs="微软雅黑"/>
          <w:b/>
          <w:bCs/>
          <w:spacing w:val="-3"/>
          <w:sz w:val="24"/>
          <w:szCs w:val="24"/>
        </w:rPr>
        <w:t>（7）参加采购活动前三年内，在经营活动</w:t>
      </w:r>
      <w:r>
        <w:rPr>
          <w:rFonts w:ascii="微软雅黑" w:hAnsi="微软雅黑" w:eastAsia="微软雅黑" w:cs="微软雅黑"/>
          <w:b/>
          <w:bCs/>
          <w:spacing w:val="-4"/>
          <w:sz w:val="24"/>
          <w:szCs w:val="24"/>
        </w:rPr>
        <w:t>中没有重大违法记录【投标人提供《无重大违法</w:t>
      </w:r>
      <w:r>
        <w:rPr>
          <w:rFonts w:ascii="微软雅黑" w:hAnsi="微软雅黑" w:eastAsia="微软雅黑" w:cs="微软雅黑"/>
          <w:b/>
          <w:bCs/>
          <w:sz w:val="24"/>
          <w:szCs w:val="24"/>
        </w:rPr>
        <w:t xml:space="preserve"> </w:t>
      </w:r>
      <w:r>
        <w:rPr>
          <w:rFonts w:ascii="微软雅黑" w:hAnsi="微软雅黑" w:eastAsia="微软雅黑" w:cs="微软雅黑"/>
          <w:b/>
          <w:bCs/>
          <w:spacing w:val="-5"/>
          <w:sz w:val="24"/>
          <w:szCs w:val="24"/>
        </w:rPr>
        <w:t>记录声明函》原件（格式附后</w:t>
      </w:r>
      <w:r>
        <w:rPr>
          <w:rFonts w:ascii="微软雅黑" w:hAnsi="微软雅黑" w:eastAsia="微软雅黑" w:cs="微软雅黑"/>
          <w:b/>
          <w:bCs/>
          <w:spacing w:val="1"/>
          <w:sz w:val="24"/>
          <w:szCs w:val="24"/>
        </w:rPr>
        <w:t>）；</w:t>
      </w:r>
    </w:p>
    <w:p w14:paraId="383E095D">
      <w:pPr>
        <w:spacing w:before="3" w:line="176" w:lineRule="auto"/>
        <w:ind w:left="44" w:right="28" w:firstLine="480"/>
        <w:rPr>
          <w:rFonts w:ascii="微软雅黑" w:hAnsi="微软雅黑" w:eastAsia="微软雅黑" w:cs="微软雅黑"/>
          <w:sz w:val="24"/>
          <w:szCs w:val="24"/>
        </w:rPr>
      </w:pPr>
      <w:r>
        <w:rPr>
          <w:rFonts w:ascii="微软雅黑" w:hAnsi="微软雅黑" w:eastAsia="微软雅黑" w:cs="微软雅黑"/>
          <w:b/>
          <w:bCs/>
          <w:spacing w:val="-5"/>
          <w:sz w:val="24"/>
          <w:szCs w:val="24"/>
        </w:rPr>
        <w:t>（8）采购人在“信用中国”网站（  ht</w:t>
      </w:r>
      <w:r>
        <w:rPr>
          <w:rFonts w:ascii="微软雅黑" w:hAnsi="微软雅黑" w:eastAsia="微软雅黑" w:cs="微软雅黑"/>
          <w:b/>
          <w:bCs/>
          <w:spacing w:val="-6"/>
          <w:sz w:val="24"/>
          <w:szCs w:val="24"/>
        </w:rPr>
        <w:t>tp://www.creditchina.gov.cn/  ）和“中国政府采</w:t>
      </w:r>
      <w:r>
        <w:rPr>
          <w:rFonts w:ascii="微软雅黑" w:hAnsi="微软雅黑" w:eastAsia="微软雅黑" w:cs="微软雅黑"/>
          <w:b/>
          <w:bCs/>
          <w:sz w:val="24"/>
          <w:szCs w:val="24"/>
        </w:rPr>
        <w:t xml:space="preserve"> </w:t>
      </w:r>
      <w:r>
        <w:rPr>
          <w:rFonts w:ascii="微软雅黑" w:hAnsi="微软雅黑" w:eastAsia="微软雅黑" w:cs="微软雅黑"/>
          <w:b/>
          <w:bCs/>
          <w:spacing w:val="-7"/>
          <w:sz w:val="24"/>
          <w:szCs w:val="24"/>
        </w:rPr>
        <w:t>购网"(www.ccgp.gov.cn)查询</w:t>
      </w:r>
      <w:r>
        <w:rPr>
          <w:rFonts w:ascii="微软雅黑" w:hAnsi="微软雅黑" w:eastAsia="微软雅黑" w:cs="微软雅黑"/>
          <w:b/>
          <w:bCs/>
          <w:spacing w:val="-8"/>
          <w:sz w:val="24"/>
          <w:szCs w:val="24"/>
        </w:rPr>
        <w:t>投标人有无违法违规行为。（资格审查响应对照内容</w:t>
      </w:r>
      <w:r>
        <w:rPr>
          <w:rFonts w:ascii="微软雅黑" w:hAnsi="微软雅黑" w:eastAsia="微软雅黑" w:cs="微软雅黑"/>
          <w:b/>
          <w:bCs/>
          <w:spacing w:val="-2"/>
          <w:sz w:val="24"/>
          <w:szCs w:val="24"/>
        </w:rPr>
        <w:t>）；</w:t>
      </w:r>
    </w:p>
    <w:p w14:paraId="0C2DD638">
      <w:pPr>
        <w:spacing w:before="14" w:line="183" w:lineRule="auto"/>
        <w:ind w:left="44" w:right="113" w:firstLine="481"/>
        <w:rPr>
          <w:rFonts w:ascii="微软雅黑" w:hAnsi="微软雅黑" w:eastAsia="微软雅黑" w:cs="微软雅黑"/>
          <w:sz w:val="24"/>
          <w:szCs w:val="24"/>
        </w:rPr>
      </w:pPr>
      <w:r>
        <w:rPr>
          <w:rFonts w:ascii="微软雅黑" w:hAnsi="微软雅黑" w:eastAsia="微软雅黑" w:cs="微软雅黑"/>
          <w:b/>
          <w:bCs/>
          <w:spacing w:val="-4"/>
          <w:sz w:val="24"/>
          <w:szCs w:val="24"/>
        </w:rPr>
        <w:t>说明：其中（1）-（7）为投标资格审查时的必备条件，如果提供不全则视为对招标文件资</w:t>
      </w:r>
      <w:r>
        <w:rPr>
          <w:rFonts w:ascii="微软雅黑" w:hAnsi="微软雅黑" w:eastAsia="微软雅黑" w:cs="微软雅黑"/>
          <w:b/>
          <w:bCs/>
          <w:sz w:val="24"/>
          <w:szCs w:val="24"/>
        </w:rPr>
        <w:t xml:space="preserve"> </w:t>
      </w:r>
      <w:r>
        <w:rPr>
          <w:rFonts w:ascii="微软雅黑" w:hAnsi="微软雅黑" w:eastAsia="微软雅黑" w:cs="微软雅黑"/>
          <w:b/>
          <w:bCs/>
          <w:spacing w:val="-2"/>
          <w:sz w:val="24"/>
          <w:szCs w:val="24"/>
        </w:rPr>
        <w:t>格审查内容的不响应，投标将被拒绝（不接受二次提供）。</w:t>
      </w:r>
    </w:p>
    <w:p w14:paraId="5A9A53A9">
      <w:pPr>
        <w:spacing w:before="140" w:line="187" w:lineRule="auto"/>
        <w:ind w:left="518"/>
        <w:rPr>
          <w:rFonts w:ascii="微软雅黑" w:hAnsi="微软雅黑" w:eastAsia="微软雅黑" w:cs="微软雅黑"/>
          <w:sz w:val="24"/>
          <w:szCs w:val="24"/>
        </w:rPr>
      </w:pPr>
      <w:r>
        <w:rPr>
          <w:rFonts w:ascii="微软雅黑" w:hAnsi="微软雅黑" w:eastAsia="微软雅黑" w:cs="微软雅黑"/>
          <w:b/>
          <w:bCs/>
          <w:spacing w:val="-3"/>
          <w:sz w:val="24"/>
          <w:szCs w:val="24"/>
        </w:rPr>
        <w:t>8.1</w:t>
      </w:r>
      <w:r>
        <w:rPr>
          <w:rFonts w:ascii="微软雅黑" w:hAnsi="微软雅黑" w:eastAsia="微软雅黑" w:cs="微软雅黑"/>
          <w:b/>
          <w:bCs/>
          <w:spacing w:val="18"/>
          <w:w w:val="101"/>
          <w:sz w:val="24"/>
          <w:szCs w:val="24"/>
        </w:rPr>
        <w:t xml:space="preserve">   </w:t>
      </w:r>
      <w:r>
        <w:rPr>
          <w:rFonts w:ascii="微软雅黑" w:hAnsi="微软雅黑" w:eastAsia="微软雅黑" w:cs="微软雅黑"/>
          <w:b/>
          <w:bCs/>
          <w:spacing w:val="-3"/>
          <w:sz w:val="24"/>
          <w:szCs w:val="24"/>
        </w:rPr>
        <w:t>落实政府采购政策需满足的资格要求：详见公告。</w:t>
      </w:r>
    </w:p>
    <w:p w14:paraId="6F419255">
      <w:pPr>
        <w:spacing w:before="134" w:line="181" w:lineRule="auto"/>
        <w:ind w:left="44" w:right="8" w:firstLine="474"/>
        <w:jc w:val="both"/>
        <w:rPr>
          <w:rFonts w:ascii="微软雅黑" w:hAnsi="微软雅黑" w:eastAsia="微软雅黑" w:cs="微软雅黑"/>
          <w:sz w:val="24"/>
          <w:szCs w:val="24"/>
        </w:rPr>
      </w:pPr>
      <w:r>
        <w:rPr>
          <w:rFonts w:ascii="微软雅黑" w:hAnsi="微软雅黑" w:eastAsia="微软雅黑" w:cs="微软雅黑"/>
          <w:b/>
          <w:bCs/>
          <w:sz w:val="24"/>
          <w:szCs w:val="24"/>
        </w:rPr>
        <w:t>8.2   本项目的特定资格要求：投标商须提供制造商的《医疗器械生产许可证》、《医疗器</w:t>
      </w:r>
      <w:r>
        <w:rPr>
          <w:rFonts w:ascii="微软雅黑" w:hAnsi="微软雅黑" w:eastAsia="微软雅黑" w:cs="微软雅黑"/>
          <w:b/>
          <w:bCs/>
          <w:spacing w:val="10"/>
          <w:sz w:val="24"/>
          <w:szCs w:val="24"/>
        </w:rPr>
        <w:t xml:space="preserve"> </w:t>
      </w:r>
      <w:r>
        <w:rPr>
          <w:rFonts w:ascii="微软雅黑" w:hAnsi="微软雅黑" w:eastAsia="微软雅黑" w:cs="微软雅黑"/>
          <w:b/>
          <w:bCs/>
          <w:spacing w:val="2"/>
          <w:sz w:val="24"/>
          <w:szCs w:val="24"/>
        </w:rPr>
        <w:t>械注册证》；</w:t>
      </w:r>
      <w:r>
        <w:rPr>
          <w:rFonts w:ascii="微软雅黑" w:hAnsi="微软雅黑" w:eastAsia="微软雅黑" w:cs="微软雅黑"/>
          <w:b/>
          <w:bCs/>
          <w:spacing w:val="27"/>
          <w:sz w:val="24"/>
          <w:szCs w:val="24"/>
        </w:rPr>
        <w:t xml:space="preserve">  </w:t>
      </w:r>
      <w:r>
        <w:rPr>
          <w:rFonts w:ascii="微软雅黑" w:hAnsi="微软雅黑" w:eastAsia="微软雅黑" w:cs="微软雅黑"/>
          <w:b/>
          <w:bCs/>
          <w:spacing w:val="2"/>
          <w:sz w:val="24"/>
          <w:szCs w:val="24"/>
        </w:rPr>
        <w:t>供应商为经销商的须提供《医疗器械经营许可</w:t>
      </w:r>
      <w:r>
        <w:rPr>
          <w:rFonts w:ascii="微软雅黑" w:hAnsi="微软雅黑" w:eastAsia="微软雅黑" w:cs="微软雅黑"/>
          <w:b/>
          <w:bCs/>
          <w:spacing w:val="1"/>
          <w:sz w:val="24"/>
          <w:szCs w:val="24"/>
        </w:rPr>
        <w:t>证》或者《医疗器械经营备案凭</w:t>
      </w:r>
      <w:r>
        <w:rPr>
          <w:rFonts w:ascii="微软雅黑" w:hAnsi="微软雅黑" w:eastAsia="微软雅黑" w:cs="微软雅黑"/>
          <w:b/>
          <w:bCs/>
          <w:sz w:val="24"/>
          <w:szCs w:val="24"/>
        </w:rPr>
        <w:t xml:space="preserve">  </w:t>
      </w:r>
      <w:r>
        <w:rPr>
          <w:rFonts w:ascii="微软雅黑" w:hAnsi="微软雅黑" w:eastAsia="微软雅黑" w:cs="微软雅黑"/>
          <w:b/>
          <w:bCs/>
          <w:spacing w:val="-3"/>
          <w:sz w:val="24"/>
          <w:szCs w:val="24"/>
        </w:rPr>
        <w:t>证》，  所投设备须提供《产品生产许可证》、《医疗器械产品注册证》所有证件均应在有效期</w:t>
      </w:r>
      <w:r>
        <w:rPr>
          <w:rFonts w:ascii="微软雅黑" w:hAnsi="微软雅黑" w:eastAsia="微软雅黑" w:cs="微软雅黑"/>
          <w:b/>
          <w:bCs/>
          <w:spacing w:val="4"/>
          <w:sz w:val="24"/>
          <w:szCs w:val="24"/>
        </w:rPr>
        <w:t xml:space="preserve">  </w:t>
      </w:r>
      <w:r>
        <w:rPr>
          <w:rFonts w:ascii="微软雅黑" w:hAnsi="微软雅黑" w:eastAsia="微软雅黑" w:cs="微软雅黑"/>
          <w:b/>
          <w:bCs/>
          <w:spacing w:val="-2"/>
          <w:sz w:val="24"/>
          <w:szCs w:val="24"/>
        </w:rPr>
        <w:t>内的原件（投标段四项目提供)。</w:t>
      </w:r>
    </w:p>
    <w:p w14:paraId="22DD8E8E">
      <w:pPr>
        <w:spacing w:before="2" w:line="186" w:lineRule="auto"/>
        <w:ind w:left="518"/>
        <w:rPr>
          <w:rFonts w:ascii="微软雅黑" w:hAnsi="微软雅黑" w:eastAsia="微软雅黑" w:cs="微软雅黑"/>
          <w:sz w:val="24"/>
          <w:szCs w:val="24"/>
        </w:rPr>
      </w:pPr>
      <w:r>
        <w:rPr>
          <w:rFonts w:ascii="微软雅黑" w:hAnsi="微软雅黑" w:eastAsia="微软雅黑" w:cs="微软雅黑"/>
          <w:b/>
          <w:bCs/>
          <w:spacing w:val="-4"/>
          <w:sz w:val="24"/>
          <w:szCs w:val="24"/>
        </w:rPr>
        <w:t>8.3</w:t>
      </w:r>
      <w:r>
        <w:rPr>
          <w:rFonts w:ascii="微软雅黑" w:hAnsi="微软雅黑" w:eastAsia="微软雅黑" w:cs="微软雅黑"/>
          <w:b/>
          <w:bCs/>
          <w:spacing w:val="15"/>
          <w:sz w:val="24"/>
          <w:szCs w:val="24"/>
        </w:rPr>
        <w:t xml:space="preserve">   </w:t>
      </w:r>
      <w:r>
        <w:rPr>
          <w:rFonts w:ascii="微软雅黑" w:hAnsi="微软雅黑" w:eastAsia="微软雅黑" w:cs="微软雅黑"/>
          <w:b/>
          <w:bCs/>
          <w:spacing w:val="-4"/>
          <w:sz w:val="24"/>
          <w:szCs w:val="24"/>
        </w:rPr>
        <w:t>本项目不专门面向中小企业。</w:t>
      </w:r>
    </w:p>
    <w:p w14:paraId="7ABE76EC">
      <w:pPr>
        <w:spacing w:before="94" w:line="188" w:lineRule="auto"/>
        <w:ind w:left="2577"/>
        <w:rPr>
          <w:rFonts w:ascii="微软雅黑" w:hAnsi="微软雅黑" w:eastAsia="微软雅黑" w:cs="微软雅黑"/>
          <w:sz w:val="32"/>
          <w:szCs w:val="32"/>
        </w:rPr>
      </w:pPr>
      <w:r>
        <w:rPr>
          <w:rFonts w:ascii="仿宋" w:hAnsi="仿宋" w:eastAsia="仿宋" w:cs="仿宋"/>
          <w:b/>
          <w:bCs/>
          <w:spacing w:val="-5"/>
          <w:sz w:val="32"/>
          <w:szCs w:val="32"/>
        </w:rPr>
        <w:t>第三章</w:t>
      </w:r>
      <w:r>
        <w:rPr>
          <w:rFonts w:ascii="仿宋" w:hAnsi="仿宋" w:eastAsia="仿宋" w:cs="仿宋"/>
          <w:spacing w:val="23"/>
          <w:sz w:val="32"/>
          <w:szCs w:val="32"/>
        </w:rPr>
        <w:t xml:space="preserve">  </w:t>
      </w:r>
      <w:r>
        <w:rPr>
          <w:rFonts w:ascii="微软雅黑" w:hAnsi="微软雅黑" w:eastAsia="微软雅黑" w:cs="微软雅黑"/>
          <w:b/>
          <w:bCs/>
          <w:spacing w:val="-5"/>
          <w:sz w:val="32"/>
          <w:szCs w:val="32"/>
        </w:rPr>
        <w:t>投标文件的编制和递交</w:t>
      </w:r>
    </w:p>
    <w:p w14:paraId="1F42076B">
      <w:pPr>
        <w:spacing w:before="171" w:line="188" w:lineRule="auto"/>
        <w:ind w:left="518"/>
        <w:rPr>
          <w:rFonts w:ascii="微软雅黑" w:hAnsi="微软雅黑" w:eastAsia="微软雅黑" w:cs="微软雅黑"/>
          <w:sz w:val="24"/>
          <w:szCs w:val="24"/>
        </w:rPr>
      </w:pPr>
      <w:r>
        <w:rPr>
          <w:rFonts w:ascii="微软雅黑" w:hAnsi="微软雅黑" w:eastAsia="微软雅黑" w:cs="微软雅黑"/>
          <w:b/>
          <w:bCs/>
          <w:spacing w:val="-4"/>
          <w:sz w:val="24"/>
          <w:szCs w:val="24"/>
        </w:rPr>
        <w:t>9、电子投标文件的编制</w:t>
      </w:r>
    </w:p>
    <w:p w14:paraId="5E443684">
      <w:pPr>
        <w:spacing w:before="134" w:line="187" w:lineRule="auto"/>
        <w:ind w:left="518"/>
        <w:rPr>
          <w:rFonts w:ascii="微软雅黑" w:hAnsi="微软雅黑" w:eastAsia="微软雅黑" w:cs="微软雅黑"/>
          <w:sz w:val="24"/>
          <w:szCs w:val="24"/>
        </w:rPr>
      </w:pPr>
      <w:r>
        <w:rPr>
          <w:rFonts w:ascii="微软雅黑" w:hAnsi="微软雅黑" w:eastAsia="微软雅黑" w:cs="微软雅黑"/>
          <w:spacing w:val="-1"/>
          <w:sz w:val="24"/>
          <w:szCs w:val="24"/>
        </w:rPr>
        <w:t>9.1 本项目实行电子招投标，投标人须登录政采云平台申请获取招标文件</w:t>
      </w:r>
      <w:r>
        <w:rPr>
          <w:rFonts w:ascii="微软雅黑" w:hAnsi="微软雅黑" w:eastAsia="微软雅黑" w:cs="微软雅黑"/>
          <w:spacing w:val="-2"/>
          <w:sz w:val="24"/>
          <w:szCs w:val="24"/>
        </w:rPr>
        <w:t>，并需要使用 CA</w:t>
      </w:r>
    </w:p>
    <w:p w14:paraId="1DEA75D7">
      <w:pPr>
        <w:pStyle w:val="2"/>
        <w:spacing w:line="282" w:lineRule="auto"/>
      </w:pPr>
    </w:p>
    <w:p w14:paraId="61D1468E">
      <w:pPr>
        <w:pStyle w:val="2"/>
        <w:spacing w:line="283" w:lineRule="auto"/>
      </w:pPr>
    </w:p>
    <w:p w14:paraId="41517B42">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5                                </w:t>
      </w:r>
      <w:r>
        <w:rPr>
          <w:rFonts w:ascii="宋体" w:hAnsi="宋体" w:eastAsia="宋体" w:cs="宋体"/>
          <w:b/>
          <w:bCs/>
          <w:i/>
          <w:iCs/>
          <w:spacing w:val="-3"/>
          <w:sz w:val="19"/>
          <w:szCs w:val="19"/>
        </w:rPr>
        <w:t>伊犁州公共资源交易中心</w:t>
      </w:r>
    </w:p>
    <w:p w14:paraId="5681A634">
      <w:pPr>
        <w:spacing w:line="160" w:lineRule="auto"/>
        <w:rPr>
          <w:rFonts w:ascii="宋体" w:hAnsi="宋体" w:eastAsia="宋体" w:cs="宋体"/>
          <w:sz w:val="19"/>
          <w:szCs w:val="19"/>
        </w:rPr>
        <w:sectPr>
          <w:headerReference r:id="rId12" w:type="default"/>
          <w:footerReference r:id="rId13" w:type="default"/>
          <w:pgSz w:w="11905" w:h="16839"/>
          <w:pgMar w:top="1136" w:right="770" w:bottom="937" w:left="1136" w:header="854" w:footer="923" w:gutter="0"/>
          <w:cols w:space="720" w:num="1"/>
        </w:sectPr>
      </w:pPr>
    </w:p>
    <w:p w14:paraId="4A9D1A7A">
      <w:pPr>
        <w:pStyle w:val="2"/>
        <w:spacing w:line="335" w:lineRule="auto"/>
      </w:pPr>
    </w:p>
    <w:p w14:paraId="16023FAB">
      <w:pPr>
        <w:spacing w:before="103" w:line="267" w:lineRule="auto"/>
        <w:ind w:left="51" w:right="81" w:hanging="6"/>
        <w:rPr>
          <w:rFonts w:ascii="微软雅黑" w:hAnsi="微软雅黑" w:eastAsia="微软雅黑" w:cs="微软雅黑"/>
          <w:sz w:val="24"/>
          <w:szCs w:val="24"/>
        </w:rPr>
      </w:pPr>
      <w:r>
        <w:rPr>
          <w:rFonts w:ascii="微软雅黑" w:hAnsi="微软雅黑" w:eastAsia="微软雅黑" w:cs="微软雅黑"/>
          <w:spacing w:val="-1"/>
          <w:sz w:val="24"/>
          <w:szCs w:val="24"/>
        </w:rPr>
        <w:t>锁，登录政采云电子投标客户端制作招标文件，若投标人参与投标,自行承担与投标有关的一切</w:t>
      </w:r>
      <w:r>
        <w:rPr>
          <w:rFonts w:ascii="微软雅黑" w:hAnsi="微软雅黑" w:eastAsia="微软雅黑" w:cs="微软雅黑"/>
          <w:spacing w:val="6"/>
          <w:sz w:val="24"/>
          <w:szCs w:val="24"/>
        </w:rPr>
        <w:t xml:space="preserve"> </w:t>
      </w:r>
      <w:bookmarkStart w:id="40" w:name="bookmark53"/>
      <w:bookmarkEnd w:id="40"/>
      <w:r>
        <w:rPr>
          <w:rFonts w:ascii="微软雅黑" w:hAnsi="微软雅黑" w:eastAsia="微软雅黑" w:cs="微软雅黑"/>
          <w:spacing w:val="-13"/>
          <w:sz w:val="24"/>
          <w:szCs w:val="24"/>
        </w:rPr>
        <w:t>费用。</w:t>
      </w:r>
    </w:p>
    <w:p w14:paraId="5C2A530C">
      <w:pPr>
        <w:spacing w:before="3" w:line="242" w:lineRule="auto"/>
        <w:ind w:left="46" w:right="61" w:firstLine="591"/>
        <w:rPr>
          <w:rFonts w:ascii="微软雅黑" w:hAnsi="微软雅黑" w:eastAsia="微软雅黑" w:cs="微软雅黑"/>
          <w:sz w:val="24"/>
          <w:szCs w:val="24"/>
        </w:rPr>
      </w:pPr>
      <w:r>
        <w:rPr>
          <w:rFonts w:ascii="微软雅黑" w:hAnsi="微软雅黑" w:eastAsia="微软雅黑" w:cs="微软雅黑"/>
          <w:sz w:val="24"/>
          <w:szCs w:val="24"/>
        </w:rPr>
        <w:t xml:space="preserve">9.2 各投标人应在开标前确保是新疆维吾尔自治区政府采购网正式注册入库的投标人，并 </w:t>
      </w:r>
      <w:r>
        <w:rPr>
          <w:rFonts w:ascii="微软雅黑" w:hAnsi="微软雅黑" w:eastAsia="微软雅黑" w:cs="微软雅黑"/>
          <w:spacing w:val="-4"/>
          <w:sz w:val="24"/>
          <w:szCs w:val="24"/>
        </w:rPr>
        <w:t>完成 CA 数字证书申领。因未注册入库、未办理 CA 数</w:t>
      </w:r>
      <w:r>
        <w:rPr>
          <w:rFonts w:ascii="微软雅黑" w:hAnsi="微软雅黑" w:eastAsia="微软雅黑" w:cs="微软雅黑"/>
          <w:spacing w:val="-5"/>
          <w:sz w:val="24"/>
          <w:szCs w:val="24"/>
        </w:rPr>
        <w:t>字证书等原因造成无法投标或投标失败等</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后果的由投标人自行承担。</w:t>
      </w:r>
    </w:p>
    <w:p w14:paraId="1C2BB7BE">
      <w:pPr>
        <w:spacing w:before="136" w:line="248" w:lineRule="auto"/>
        <w:ind w:left="44" w:right="33" w:firstLine="474"/>
        <w:rPr>
          <w:rFonts w:ascii="微软雅黑" w:hAnsi="微软雅黑" w:eastAsia="微软雅黑" w:cs="微软雅黑"/>
          <w:sz w:val="24"/>
          <w:szCs w:val="24"/>
        </w:rPr>
      </w:pPr>
      <w:r>
        <w:rPr>
          <w:rFonts w:ascii="微软雅黑" w:hAnsi="微软雅黑" w:eastAsia="微软雅黑" w:cs="微软雅黑"/>
          <w:spacing w:val="1"/>
          <w:sz w:val="24"/>
          <w:szCs w:val="24"/>
        </w:rPr>
        <w:t>9.3 投标人可前往新疆政府采购网（</w:t>
      </w:r>
      <w:r>
        <w:fldChar w:fldCharType="begin"/>
      </w:r>
      <w:r>
        <w:instrText xml:space="preserve"> HYPERLINK "http://www.ccgp-xinjiang.gov.cn/" </w:instrText>
      </w:r>
      <w:r>
        <w:fldChar w:fldCharType="separate"/>
      </w:r>
      <w:r>
        <w:rPr>
          <w:rFonts w:ascii="微软雅黑" w:hAnsi="微软雅黑" w:eastAsia="微软雅黑" w:cs="微软雅黑"/>
          <w:sz w:val="24"/>
          <w:szCs w:val="24"/>
        </w:rPr>
        <w:t>http</w:t>
      </w:r>
      <w:r>
        <w:rPr>
          <w:rFonts w:ascii="微软雅黑" w:hAnsi="微软雅黑" w:eastAsia="微软雅黑" w:cs="微软雅黑"/>
          <w:spacing w:val="1"/>
          <w:sz w:val="24"/>
          <w:szCs w:val="24"/>
        </w:rPr>
        <w:t>://</w:t>
      </w:r>
      <w:r>
        <w:rPr>
          <w:rFonts w:ascii="微软雅黑" w:hAnsi="微软雅黑" w:eastAsia="微软雅黑" w:cs="微软雅黑"/>
          <w:sz w:val="24"/>
          <w:szCs w:val="24"/>
        </w:rPr>
        <w:t>www</w:t>
      </w:r>
      <w:r>
        <w:rPr>
          <w:rFonts w:ascii="微软雅黑" w:hAnsi="微软雅黑" w:eastAsia="微软雅黑" w:cs="微软雅黑"/>
          <w:spacing w:val="1"/>
          <w:sz w:val="24"/>
          <w:szCs w:val="24"/>
        </w:rPr>
        <w:t>.</w:t>
      </w:r>
      <w:r>
        <w:rPr>
          <w:rFonts w:ascii="微软雅黑" w:hAnsi="微软雅黑" w:eastAsia="微软雅黑" w:cs="微软雅黑"/>
          <w:sz w:val="24"/>
          <w:szCs w:val="24"/>
        </w:rPr>
        <w:t>ccgp</w:t>
      </w:r>
      <w:r>
        <w:rPr>
          <w:rFonts w:ascii="微软雅黑" w:hAnsi="微软雅黑" w:eastAsia="微软雅黑" w:cs="微软雅黑"/>
          <w:spacing w:val="1"/>
          <w:sz w:val="24"/>
          <w:szCs w:val="24"/>
        </w:rPr>
        <w:t>-</w:t>
      </w:r>
      <w:r>
        <w:rPr>
          <w:rFonts w:ascii="微软雅黑" w:hAnsi="微软雅黑" w:eastAsia="微软雅黑" w:cs="微软雅黑"/>
          <w:sz w:val="24"/>
          <w:szCs w:val="24"/>
        </w:rPr>
        <w:t>xinjiang</w:t>
      </w:r>
      <w:r>
        <w:rPr>
          <w:rFonts w:ascii="微软雅黑" w:hAnsi="微软雅黑" w:eastAsia="微软雅黑" w:cs="微软雅黑"/>
          <w:spacing w:val="1"/>
          <w:sz w:val="24"/>
          <w:szCs w:val="24"/>
        </w:rPr>
        <w:t>.</w:t>
      </w:r>
      <w:r>
        <w:rPr>
          <w:rFonts w:ascii="微软雅黑" w:hAnsi="微软雅黑" w:eastAsia="微软雅黑" w:cs="微软雅黑"/>
          <w:sz w:val="24"/>
          <w:szCs w:val="24"/>
        </w:rPr>
        <w:t>gov</w:t>
      </w:r>
      <w:r>
        <w:rPr>
          <w:rFonts w:ascii="微软雅黑" w:hAnsi="微软雅黑" w:eastAsia="微软雅黑" w:cs="微软雅黑"/>
          <w:spacing w:val="1"/>
          <w:sz w:val="24"/>
          <w:szCs w:val="24"/>
        </w:rPr>
        <w:t>.</w:t>
      </w:r>
      <w:r>
        <w:rPr>
          <w:rFonts w:ascii="微软雅黑" w:hAnsi="微软雅黑" w:eastAsia="微软雅黑" w:cs="微软雅黑"/>
          <w:sz w:val="24"/>
          <w:szCs w:val="24"/>
        </w:rPr>
        <w:t>cn</w:t>
      </w:r>
      <w:r>
        <w:rPr>
          <w:rFonts w:ascii="微软雅黑" w:hAnsi="微软雅黑" w:eastAsia="微软雅黑" w:cs="微软雅黑"/>
          <w:spacing w:val="1"/>
          <w:sz w:val="24"/>
          <w:szCs w:val="24"/>
        </w:rPr>
        <w:t>/</w:t>
      </w:r>
      <w:r>
        <w:rPr>
          <w:rFonts w:ascii="微软雅黑" w:hAnsi="微软雅黑" w:eastAsia="微软雅黑" w:cs="微软雅黑"/>
          <w:spacing w:val="1"/>
          <w:sz w:val="24"/>
          <w:szCs w:val="24"/>
        </w:rPr>
        <w:fldChar w:fldCharType="end"/>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）下载专区，</w:t>
      </w:r>
      <w:r>
        <w:rPr>
          <w:rFonts w:ascii="微软雅黑" w:hAnsi="微软雅黑" w:eastAsia="微软雅黑" w:cs="微软雅黑"/>
          <w:spacing w:val="-41"/>
          <w:sz w:val="24"/>
          <w:szCs w:val="24"/>
        </w:rPr>
        <w:t xml:space="preserve"> </w:t>
      </w:r>
      <w:r>
        <w:rPr>
          <w:rFonts w:ascii="微软雅黑" w:hAnsi="微软雅黑" w:eastAsia="微软雅黑" w:cs="微软雅黑"/>
          <w:spacing w:val="1"/>
          <w:sz w:val="24"/>
          <w:szCs w:val="24"/>
        </w:rPr>
        <w:t>下</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载政采云电子投标客户端，安装完成后，可通过账号密码或 CA 登录客户端进行响应文件制作。</w:t>
      </w:r>
      <w:r>
        <w:rPr>
          <w:rFonts w:ascii="微软雅黑" w:hAnsi="微软雅黑" w:eastAsia="微软雅黑" w:cs="微软雅黑"/>
          <w:spacing w:val="16"/>
          <w:sz w:val="24"/>
          <w:szCs w:val="24"/>
        </w:rPr>
        <w:t xml:space="preserve"> </w:t>
      </w:r>
      <w:r>
        <w:rPr>
          <w:rFonts w:ascii="微软雅黑" w:hAnsi="微软雅黑" w:eastAsia="微软雅黑" w:cs="微软雅黑"/>
          <w:spacing w:val="-6"/>
          <w:sz w:val="24"/>
          <w:szCs w:val="24"/>
        </w:rPr>
        <w:t>在使用政采云电子投标客户端时，建议使用 WIN7 及</w:t>
      </w:r>
      <w:r>
        <w:rPr>
          <w:rFonts w:ascii="微软雅黑" w:hAnsi="微软雅黑" w:eastAsia="微软雅黑" w:cs="微软雅黑"/>
          <w:spacing w:val="-7"/>
          <w:sz w:val="24"/>
          <w:szCs w:val="24"/>
        </w:rPr>
        <w:t>以上操作系统。如有问题可拨打政采云客户</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服务热线 400-881-7190 进行咨询。</w:t>
      </w:r>
    </w:p>
    <w:p w14:paraId="3E6D2706">
      <w:pPr>
        <w:spacing w:before="137" w:line="228" w:lineRule="auto"/>
        <w:ind w:left="46" w:right="81" w:firstLine="471"/>
        <w:rPr>
          <w:rFonts w:ascii="微软雅黑" w:hAnsi="微软雅黑" w:eastAsia="微软雅黑" w:cs="微软雅黑"/>
          <w:sz w:val="24"/>
          <w:szCs w:val="24"/>
        </w:rPr>
      </w:pPr>
      <w:r>
        <w:rPr>
          <w:rFonts w:ascii="微软雅黑" w:hAnsi="微软雅黑" w:eastAsia="微软雅黑" w:cs="微软雅黑"/>
          <w:spacing w:val="2"/>
          <w:sz w:val="24"/>
          <w:szCs w:val="24"/>
        </w:rPr>
        <w:t>9.4</w:t>
      </w:r>
      <w:r>
        <w:rPr>
          <w:rFonts w:ascii="微软雅黑" w:hAnsi="微软雅黑" w:eastAsia="微软雅黑" w:cs="微软雅黑"/>
          <w:spacing w:val="34"/>
          <w:sz w:val="24"/>
          <w:szCs w:val="24"/>
        </w:rPr>
        <w:t xml:space="preserve"> </w:t>
      </w:r>
      <w:r>
        <w:rPr>
          <w:rFonts w:ascii="微软雅黑" w:hAnsi="微软雅黑" w:eastAsia="微软雅黑" w:cs="微软雅黑"/>
          <w:spacing w:val="2"/>
          <w:sz w:val="24"/>
          <w:szCs w:val="24"/>
        </w:rPr>
        <w:t>电子投标文件须使用投标人公章的电子签章以及法</w:t>
      </w:r>
      <w:r>
        <w:rPr>
          <w:rFonts w:ascii="微软雅黑" w:hAnsi="微软雅黑" w:eastAsia="微软雅黑" w:cs="微软雅黑"/>
          <w:spacing w:val="1"/>
          <w:sz w:val="24"/>
          <w:szCs w:val="24"/>
        </w:rPr>
        <w:t>定代表人的电子签章。若无电子签</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章，则视为无效投标。</w:t>
      </w:r>
    </w:p>
    <w:p w14:paraId="1E9AE2CF">
      <w:pPr>
        <w:spacing w:before="138" w:line="248" w:lineRule="auto"/>
        <w:ind w:left="44" w:right="81" w:firstLine="474"/>
        <w:rPr>
          <w:rFonts w:ascii="微软雅黑" w:hAnsi="微软雅黑" w:eastAsia="微软雅黑" w:cs="微软雅黑"/>
          <w:sz w:val="24"/>
          <w:szCs w:val="24"/>
        </w:rPr>
      </w:pPr>
      <w:r>
        <w:rPr>
          <w:rFonts w:ascii="微软雅黑" w:hAnsi="微软雅黑" w:eastAsia="微软雅黑" w:cs="微软雅黑"/>
          <w:sz w:val="24"/>
          <w:szCs w:val="24"/>
        </w:rPr>
        <w:t>9.5</w:t>
      </w:r>
      <w:r>
        <w:rPr>
          <w:rFonts w:ascii="微软雅黑" w:hAnsi="微软雅黑" w:eastAsia="微软雅黑" w:cs="微软雅黑"/>
          <w:spacing w:val="47"/>
          <w:sz w:val="24"/>
          <w:szCs w:val="24"/>
        </w:rPr>
        <w:t xml:space="preserve"> </w:t>
      </w:r>
      <w:r>
        <w:rPr>
          <w:rFonts w:ascii="微软雅黑" w:hAnsi="微软雅黑" w:eastAsia="微软雅黑" w:cs="微软雅黑"/>
          <w:sz w:val="24"/>
          <w:szCs w:val="24"/>
        </w:rPr>
        <w:t>电子招投标文件具有法律效力，</w:t>
      </w:r>
      <w:r>
        <w:rPr>
          <w:rFonts w:ascii="微软雅黑" w:hAnsi="微软雅黑" w:eastAsia="微软雅黑" w:cs="微软雅黑"/>
          <w:spacing w:val="-40"/>
          <w:sz w:val="24"/>
          <w:szCs w:val="24"/>
        </w:rPr>
        <w:t xml:space="preserve"> </w:t>
      </w:r>
      <w:r>
        <w:rPr>
          <w:rFonts w:ascii="微软雅黑" w:hAnsi="微软雅黑" w:eastAsia="微软雅黑" w:cs="微软雅黑"/>
          <w:sz w:val="24"/>
          <w:szCs w:val="24"/>
        </w:rPr>
        <w:t>与其他形式的招投标文件在内容和格式上等同，</w:t>
      </w:r>
      <w:r>
        <w:rPr>
          <w:rFonts w:ascii="微软雅黑" w:hAnsi="微软雅黑" w:eastAsia="微软雅黑" w:cs="微软雅黑"/>
          <w:spacing w:val="-50"/>
          <w:sz w:val="24"/>
          <w:szCs w:val="24"/>
        </w:rPr>
        <w:t xml:space="preserve"> </w:t>
      </w:r>
      <w:r>
        <w:rPr>
          <w:rFonts w:ascii="微软雅黑" w:hAnsi="微软雅黑" w:eastAsia="微软雅黑" w:cs="微软雅黑"/>
          <w:sz w:val="24"/>
          <w:szCs w:val="24"/>
        </w:rPr>
        <w:t>若投 标文件与招标文件要求不一致，</w:t>
      </w:r>
      <w:r>
        <w:rPr>
          <w:rFonts w:ascii="微软雅黑" w:hAnsi="微软雅黑" w:eastAsia="微软雅黑" w:cs="微软雅黑"/>
          <w:spacing w:val="-50"/>
          <w:sz w:val="24"/>
          <w:szCs w:val="24"/>
        </w:rPr>
        <w:t xml:space="preserve"> </w:t>
      </w:r>
      <w:r>
        <w:rPr>
          <w:rFonts w:ascii="微软雅黑" w:hAnsi="微软雅黑" w:eastAsia="微软雅黑" w:cs="微软雅黑"/>
          <w:sz w:val="24"/>
          <w:szCs w:val="24"/>
        </w:rPr>
        <w:t>其内容影响中标结果</w:t>
      </w:r>
      <w:r>
        <w:rPr>
          <w:rFonts w:ascii="微软雅黑" w:hAnsi="微软雅黑" w:eastAsia="微软雅黑" w:cs="微软雅黑"/>
          <w:spacing w:val="-1"/>
          <w:sz w:val="24"/>
          <w:szCs w:val="24"/>
        </w:rPr>
        <w:t>时，</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责任由投标人自行承担。投标人递交</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的电子投标文件因投标人自身原因而导致无法导入电</w:t>
      </w:r>
      <w:r>
        <w:rPr>
          <w:rFonts w:ascii="微软雅黑" w:hAnsi="微软雅黑" w:eastAsia="微软雅黑" w:cs="微软雅黑"/>
          <w:sz w:val="24"/>
          <w:szCs w:val="24"/>
        </w:rPr>
        <w:t xml:space="preserve">子辅助评标系统，该投标文件视为无效投 </w:t>
      </w:r>
      <w:r>
        <w:rPr>
          <w:rFonts w:ascii="微软雅黑" w:hAnsi="微软雅黑" w:eastAsia="微软雅黑" w:cs="微软雅黑"/>
          <w:spacing w:val="-4"/>
          <w:sz w:val="24"/>
          <w:szCs w:val="24"/>
        </w:rPr>
        <w:t>标文件，将导致其投标被拒绝。</w:t>
      </w:r>
    </w:p>
    <w:p w14:paraId="09BC0419">
      <w:pPr>
        <w:spacing w:before="155" w:line="219" w:lineRule="auto"/>
        <w:ind w:left="526"/>
        <w:rPr>
          <w:rFonts w:ascii="宋体" w:hAnsi="宋体" w:eastAsia="宋体" w:cs="宋体"/>
          <w:sz w:val="24"/>
          <w:szCs w:val="24"/>
        </w:rPr>
      </w:pPr>
      <w:r>
        <w:rPr>
          <w:rFonts w:ascii="宋体" w:hAnsi="宋体" w:eastAsia="宋体" w:cs="宋体"/>
          <w:b/>
          <w:bCs/>
          <w:spacing w:val="-4"/>
          <w:sz w:val="24"/>
          <w:szCs w:val="24"/>
        </w:rPr>
        <w:t>10、电子投标文件的加密上传解密</w:t>
      </w:r>
    </w:p>
    <w:p w14:paraId="10931E2B">
      <w:pPr>
        <w:spacing w:before="277" w:line="188" w:lineRule="auto"/>
        <w:ind w:left="535"/>
        <w:rPr>
          <w:rFonts w:ascii="微软雅黑" w:hAnsi="微软雅黑" w:eastAsia="微软雅黑" w:cs="微软雅黑"/>
          <w:sz w:val="24"/>
          <w:szCs w:val="24"/>
        </w:rPr>
      </w:pPr>
      <w:r>
        <w:rPr>
          <w:rFonts w:ascii="微软雅黑" w:hAnsi="微软雅黑" w:eastAsia="微软雅黑" w:cs="微软雅黑"/>
          <w:spacing w:val="-5"/>
          <w:sz w:val="24"/>
          <w:szCs w:val="24"/>
        </w:rPr>
        <w:t>10.1 投标文件以电子文件提交；</w:t>
      </w:r>
    </w:p>
    <w:p w14:paraId="6465CF23">
      <w:pPr>
        <w:spacing w:before="118" w:line="222" w:lineRule="auto"/>
        <w:ind w:left="44" w:right="81" w:firstLine="490"/>
        <w:rPr>
          <w:rFonts w:ascii="微软雅黑" w:hAnsi="微软雅黑" w:eastAsia="微软雅黑" w:cs="微软雅黑"/>
          <w:sz w:val="24"/>
          <w:szCs w:val="24"/>
        </w:rPr>
      </w:pPr>
      <w:r>
        <w:rPr>
          <w:rFonts w:ascii="微软雅黑" w:hAnsi="微软雅黑" w:eastAsia="微软雅黑" w:cs="微软雅黑"/>
          <w:spacing w:val="-1"/>
          <w:sz w:val="24"/>
          <w:szCs w:val="24"/>
        </w:rPr>
        <w:t>10.2 投标人应当在投标截止时间前，将生成的“电</w:t>
      </w:r>
      <w:r>
        <w:rPr>
          <w:rFonts w:ascii="微软雅黑" w:hAnsi="微软雅黑" w:eastAsia="微软雅黑" w:cs="微软雅黑"/>
          <w:spacing w:val="-2"/>
          <w:sz w:val="24"/>
          <w:szCs w:val="24"/>
        </w:rPr>
        <w:t>子加密响应文件”上传递交至“政府采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购云平台”，投标截止时间以后上传递交的响应文件将被“</w:t>
      </w:r>
      <w:r>
        <w:rPr>
          <w:rFonts w:ascii="微软雅黑" w:hAnsi="微软雅黑" w:eastAsia="微软雅黑" w:cs="微软雅黑"/>
          <w:spacing w:val="-2"/>
          <w:sz w:val="24"/>
          <w:szCs w:val="24"/>
        </w:rPr>
        <w:t>政府采购云平台”拒收。</w:t>
      </w:r>
    </w:p>
    <w:p w14:paraId="630C21ED">
      <w:pPr>
        <w:spacing w:before="118" w:line="220" w:lineRule="auto"/>
        <w:ind w:left="51" w:right="82" w:firstLine="483"/>
        <w:rPr>
          <w:rFonts w:ascii="微软雅黑" w:hAnsi="微软雅黑" w:eastAsia="微软雅黑" w:cs="微软雅黑"/>
          <w:sz w:val="24"/>
          <w:szCs w:val="24"/>
        </w:rPr>
      </w:pPr>
      <w:r>
        <w:rPr>
          <w:rFonts w:ascii="微软雅黑" w:hAnsi="微软雅黑" w:eastAsia="微软雅黑" w:cs="微软雅黑"/>
          <w:spacing w:val="-2"/>
          <w:sz w:val="24"/>
          <w:szCs w:val="24"/>
        </w:rPr>
        <w:t xml:space="preserve">10.3 投标人在开标时须携带制作加密电子响应文件所使用的 CA </w:t>
      </w:r>
      <w:r>
        <w:rPr>
          <w:rFonts w:ascii="微软雅黑" w:hAnsi="微软雅黑" w:eastAsia="微软雅黑" w:cs="微软雅黑"/>
          <w:spacing w:val="-3"/>
          <w:sz w:val="24"/>
          <w:szCs w:val="24"/>
        </w:rPr>
        <w:t>锁，</w:t>
      </w:r>
      <w:r>
        <w:rPr>
          <w:rFonts w:ascii="微软雅黑" w:hAnsi="微软雅黑" w:eastAsia="微软雅黑" w:cs="微软雅黑"/>
          <w:spacing w:val="-23"/>
          <w:sz w:val="24"/>
          <w:szCs w:val="24"/>
        </w:rPr>
        <w:t xml:space="preserve"> </w:t>
      </w:r>
      <w:r>
        <w:rPr>
          <w:rFonts w:ascii="微软雅黑" w:hAnsi="微软雅黑" w:eastAsia="微软雅黑" w:cs="微软雅黑"/>
          <w:spacing w:val="-3"/>
          <w:sz w:val="24"/>
          <w:szCs w:val="24"/>
        </w:rPr>
        <w:t>电脑须提前配置好浏</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览器（建议使用 360 浏览器或谷歌浏览器</w:t>
      </w:r>
      <w:r>
        <w:rPr>
          <w:rFonts w:ascii="微软雅黑" w:hAnsi="微软雅黑" w:eastAsia="微软雅黑" w:cs="微软雅黑"/>
          <w:spacing w:val="-3"/>
          <w:sz w:val="24"/>
          <w:szCs w:val="24"/>
        </w:rPr>
        <w:t>），</w:t>
      </w:r>
      <w:r>
        <w:rPr>
          <w:rFonts w:ascii="微软雅黑" w:hAnsi="微软雅黑" w:eastAsia="微软雅黑" w:cs="微软雅黑"/>
          <w:spacing w:val="-4"/>
          <w:sz w:val="24"/>
          <w:szCs w:val="24"/>
        </w:rPr>
        <w:t>以</w:t>
      </w:r>
      <w:r>
        <w:rPr>
          <w:rFonts w:ascii="微软雅黑" w:hAnsi="微软雅黑" w:eastAsia="微软雅黑" w:cs="微软雅黑"/>
          <w:spacing w:val="-5"/>
          <w:sz w:val="24"/>
          <w:szCs w:val="24"/>
        </w:rPr>
        <w:t>便开标时在线解密。</w:t>
      </w:r>
    </w:p>
    <w:p w14:paraId="28EEDAFD">
      <w:pPr>
        <w:spacing w:before="125" w:line="223" w:lineRule="auto"/>
        <w:ind w:left="44" w:right="82" w:firstLine="491"/>
        <w:rPr>
          <w:rFonts w:ascii="微软雅黑" w:hAnsi="微软雅黑" w:eastAsia="微软雅黑" w:cs="微软雅黑"/>
          <w:sz w:val="24"/>
          <w:szCs w:val="24"/>
        </w:rPr>
      </w:pPr>
      <w:r>
        <w:rPr>
          <w:rFonts w:ascii="微软雅黑" w:hAnsi="微软雅黑" w:eastAsia="微软雅黑" w:cs="微软雅黑"/>
          <w:spacing w:val="-1"/>
          <w:sz w:val="24"/>
          <w:szCs w:val="24"/>
        </w:rPr>
        <w:t>10.4 本项目响应文件解密时间定为 30 分钟，</w:t>
      </w:r>
      <w:r>
        <w:rPr>
          <w:rFonts w:ascii="微软雅黑" w:hAnsi="微软雅黑" w:eastAsia="微软雅黑" w:cs="微软雅黑"/>
          <w:spacing w:val="-48"/>
          <w:sz w:val="24"/>
          <w:szCs w:val="24"/>
        </w:rPr>
        <w:t xml:space="preserve"> </w:t>
      </w:r>
      <w:r>
        <w:rPr>
          <w:rFonts w:ascii="微软雅黑" w:hAnsi="微软雅黑" w:eastAsia="微软雅黑" w:cs="微软雅黑"/>
          <w:spacing w:val="-1"/>
          <w:sz w:val="24"/>
          <w:szCs w:val="24"/>
        </w:rPr>
        <w:t>如因自身原因导致无法正常解密</w:t>
      </w:r>
      <w:r>
        <w:rPr>
          <w:rFonts w:ascii="微软雅黑" w:hAnsi="微软雅黑" w:eastAsia="微软雅黑" w:cs="微软雅黑"/>
          <w:spacing w:val="-2"/>
          <w:sz w:val="24"/>
          <w:szCs w:val="24"/>
        </w:rPr>
        <w:t>，</w:t>
      </w:r>
      <w:r>
        <w:rPr>
          <w:rFonts w:ascii="微软雅黑" w:hAnsi="微软雅黑" w:eastAsia="微软雅黑" w:cs="微软雅黑"/>
          <w:spacing w:val="-48"/>
          <w:sz w:val="24"/>
          <w:szCs w:val="24"/>
        </w:rPr>
        <w:t xml:space="preserve"> </w:t>
      </w:r>
      <w:r>
        <w:rPr>
          <w:rFonts w:ascii="微软雅黑" w:hAnsi="微软雅黑" w:eastAsia="微软雅黑" w:cs="微软雅黑"/>
          <w:spacing w:val="-2"/>
          <w:sz w:val="24"/>
          <w:szCs w:val="24"/>
        </w:rPr>
        <w:t>后果由投</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标人自行承担。</w:t>
      </w:r>
    </w:p>
    <w:p w14:paraId="67AF68E8">
      <w:pPr>
        <w:spacing w:before="114" w:line="220" w:lineRule="auto"/>
        <w:ind w:left="536"/>
        <w:rPr>
          <w:rFonts w:ascii="宋体" w:hAnsi="宋体" w:eastAsia="宋体" w:cs="宋体"/>
          <w:sz w:val="24"/>
          <w:szCs w:val="24"/>
        </w:rPr>
      </w:pPr>
      <w:r>
        <w:rPr>
          <w:rFonts w:ascii="宋体" w:hAnsi="宋体" w:eastAsia="宋体" w:cs="宋体"/>
          <w:b/>
          <w:bCs/>
          <w:spacing w:val="-4"/>
          <w:sz w:val="24"/>
          <w:szCs w:val="24"/>
        </w:rPr>
        <w:t>11、投标文件构成和编制顺序</w:t>
      </w:r>
    </w:p>
    <w:p w14:paraId="22DF5447">
      <w:pPr>
        <w:spacing w:before="171" w:line="228" w:lineRule="auto"/>
        <w:ind w:left="44" w:right="81" w:firstLine="491"/>
        <w:rPr>
          <w:rFonts w:ascii="微软雅黑" w:hAnsi="微软雅黑" w:eastAsia="微软雅黑" w:cs="微软雅黑"/>
          <w:sz w:val="24"/>
          <w:szCs w:val="24"/>
        </w:rPr>
      </w:pPr>
      <w:r>
        <w:rPr>
          <w:rFonts w:ascii="微软雅黑" w:hAnsi="微软雅黑" w:eastAsia="微软雅黑" w:cs="微软雅黑"/>
          <w:spacing w:val="-6"/>
          <w:sz w:val="24"/>
          <w:szCs w:val="24"/>
        </w:rPr>
        <w:t>11.1 本项目采用不见面开标，投标人需要递交电子投标文件。加密的电子投标文件，</w:t>
      </w:r>
      <w:r>
        <w:rPr>
          <w:rFonts w:ascii="微软雅黑" w:hAnsi="微软雅黑" w:eastAsia="微软雅黑" w:cs="微软雅黑"/>
          <w:spacing w:val="25"/>
          <w:w w:val="101"/>
          <w:sz w:val="24"/>
          <w:szCs w:val="24"/>
        </w:rPr>
        <w:t xml:space="preserve">  </w:t>
      </w:r>
      <w:r>
        <w:rPr>
          <w:rFonts w:ascii="微软雅黑" w:hAnsi="微软雅黑" w:eastAsia="微软雅黑" w:cs="微软雅黑"/>
          <w:spacing w:val="-6"/>
          <w:sz w:val="24"/>
          <w:szCs w:val="24"/>
        </w:rPr>
        <w:t>在投</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标截止时间前通过新疆政采云平台上传到指定位置，无需递交纸质文件。</w:t>
      </w:r>
    </w:p>
    <w:p w14:paraId="4E6D1339">
      <w:pPr>
        <w:spacing w:before="123" w:line="239" w:lineRule="auto"/>
        <w:ind w:left="44" w:firstLine="490"/>
        <w:rPr>
          <w:rFonts w:ascii="微软雅黑" w:hAnsi="微软雅黑" w:eastAsia="微软雅黑" w:cs="微软雅黑"/>
          <w:sz w:val="24"/>
          <w:szCs w:val="24"/>
        </w:rPr>
      </w:pPr>
      <w:r>
        <w:rPr>
          <w:rFonts w:ascii="微软雅黑" w:hAnsi="微软雅黑" w:eastAsia="微软雅黑" w:cs="微软雅黑"/>
          <w:spacing w:val="-5"/>
          <w:sz w:val="24"/>
          <w:szCs w:val="24"/>
        </w:rPr>
        <w:t>11.2 开标当日，投标人无需到达开标现场，仅需通过政采云系统完成远程解密、提疑澄</w:t>
      </w:r>
      <w:r>
        <w:rPr>
          <w:rFonts w:ascii="微软雅黑" w:hAnsi="微软雅黑" w:eastAsia="微软雅黑" w:cs="微软雅黑"/>
          <w:spacing w:val="-6"/>
          <w:sz w:val="24"/>
          <w:szCs w:val="24"/>
        </w:rPr>
        <w:t>清、</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开标唱标、结果公布等交互环节。投标人必须使用能正确解密响应文件的“C</w:t>
      </w:r>
      <w:r>
        <w:rPr>
          <w:rFonts w:ascii="微软雅黑" w:hAnsi="微软雅黑" w:eastAsia="微软雅黑" w:cs="微软雅黑"/>
          <w:spacing w:val="-4"/>
          <w:sz w:val="24"/>
          <w:szCs w:val="24"/>
        </w:rPr>
        <w:t>A 锁”在规定的时</w:t>
      </w:r>
      <w:r>
        <w:rPr>
          <w:rFonts w:ascii="微软雅黑" w:hAnsi="微软雅黑" w:eastAsia="微软雅黑" w:cs="微软雅黑"/>
          <w:sz w:val="24"/>
          <w:szCs w:val="24"/>
        </w:rPr>
        <w:t xml:space="preserve">  间内完成远程解密，</w:t>
      </w:r>
      <w:r>
        <w:rPr>
          <w:rFonts w:ascii="微软雅黑" w:hAnsi="微软雅黑" w:eastAsia="微软雅黑" w:cs="微软雅黑"/>
          <w:spacing w:val="-27"/>
          <w:sz w:val="24"/>
          <w:szCs w:val="24"/>
        </w:rPr>
        <w:t xml:space="preserve"> </w:t>
      </w:r>
      <w:r>
        <w:rPr>
          <w:rFonts w:ascii="微软雅黑" w:hAnsi="微软雅黑" w:eastAsia="微软雅黑" w:cs="微软雅黑"/>
          <w:sz w:val="24"/>
          <w:szCs w:val="24"/>
        </w:rPr>
        <w:t>因投标人原因未能解密、</w:t>
      </w:r>
      <w:r>
        <w:rPr>
          <w:rFonts w:ascii="微软雅黑" w:hAnsi="微软雅黑" w:eastAsia="微软雅黑" w:cs="微软雅黑"/>
          <w:spacing w:val="-1"/>
          <w:sz w:val="24"/>
          <w:szCs w:val="24"/>
        </w:rPr>
        <w:t>解密失败或解密超时，视为投标人撤销其响应文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件，</w:t>
      </w:r>
      <w:r>
        <w:rPr>
          <w:rFonts w:ascii="微软雅黑" w:hAnsi="微软雅黑" w:eastAsia="微软雅黑" w:cs="微软雅黑"/>
          <w:spacing w:val="-36"/>
          <w:sz w:val="24"/>
          <w:szCs w:val="24"/>
        </w:rPr>
        <w:t xml:space="preserve"> </w:t>
      </w:r>
      <w:r>
        <w:rPr>
          <w:rFonts w:ascii="微软雅黑" w:hAnsi="微软雅黑" w:eastAsia="微软雅黑" w:cs="微软雅黑"/>
          <w:spacing w:val="-2"/>
          <w:sz w:val="24"/>
          <w:szCs w:val="24"/>
        </w:rPr>
        <w:t>系统内响应文件将被退回；</w:t>
      </w:r>
      <w:r>
        <w:rPr>
          <w:rFonts w:ascii="微软雅黑" w:hAnsi="微软雅黑" w:eastAsia="微软雅黑" w:cs="微软雅黑"/>
          <w:spacing w:val="-22"/>
          <w:sz w:val="24"/>
          <w:szCs w:val="24"/>
        </w:rPr>
        <w:t xml:space="preserve"> </w:t>
      </w:r>
      <w:r>
        <w:rPr>
          <w:rFonts w:ascii="微软雅黑" w:hAnsi="微软雅黑" w:eastAsia="微软雅黑" w:cs="微软雅黑"/>
          <w:spacing w:val="-2"/>
          <w:sz w:val="24"/>
          <w:szCs w:val="24"/>
        </w:rPr>
        <w:t>因采购人原因或政采云平台发生故障，</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导致无法按时完成响应</w:t>
      </w:r>
    </w:p>
    <w:p w14:paraId="6A423B11">
      <w:pPr>
        <w:pStyle w:val="2"/>
        <w:spacing w:line="259" w:lineRule="auto"/>
      </w:pPr>
    </w:p>
    <w:p w14:paraId="5FC8AB80">
      <w:pPr>
        <w:pStyle w:val="2"/>
        <w:spacing w:line="260" w:lineRule="auto"/>
      </w:pPr>
    </w:p>
    <w:p w14:paraId="1D75AB28">
      <w:pPr>
        <w:spacing w:before="63"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6                                </w:t>
      </w:r>
      <w:r>
        <w:rPr>
          <w:rFonts w:ascii="宋体" w:hAnsi="宋体" w:eastAsia="宋体" w:cs="宋体"/>
          <w:b/>
          <w:bCs/>
          <w:i/>
          <w:iCs/>
          <w:spacing w:val="-3"/>
          <w:sz w:val="19"/>
          <w:szCs w:val="19"/>
        </w:rPr>
        <w:t>伊犁州公共资源交易中心</w:t>
      </w:r>
    </w:p>
    <w:p w14:paraId="57A29336">
      <w:pPr>
        <w:spacing w:line="160" w:lineRule="auto"/>
        <w:rPr>
          <w:rFonts w:ascii="宋体" w:hAnsi="宋体" w:eastAsia="宋体" w:cs="宋体"/>
          <w:sz w:val="19"/>
          <w:szCs w:val="19"/>
        </w:rPr>
        <w:sectPr>
          <w:headerReference r:id="rId14" w:type="default"/>
          <w:footerReference r:id="rId15" w:type="default"/>
          <w:pgSz w:w="11905" w:h="16839"/>
          <w:pgMar w:top="1136" w:right="777" w:bottom="937" w:left="1136" w:header="854" w:footer="923" w:gutter="0"/>
          <w:cols w:space="720" w:num="1"/>
        </w:sectPr>
      </w:pPr>
    </w:p>
    <w:p w14:paraId="6B611C0E">
      <w:pPr>
        <w:pStyle w:val="2"/>
        <w:spacing w:line="320" w:lineRule="auto"/>
      </w:pPr>
    </w:p>
    <w:p w14:paraId="513EE959">
      <w:pPr>
        <w:spacing w:before="103" w:line="188" w:lineRule="auto"/>
        <w:ind w:left="44"/>
        <w:rPr>
          <w:rFonts w:ascii="微软雅黑" w:hAnsi="微软雅黑" w:eastAsia="微软雅黑" w:cs="微软雅黑"/>
          <w:sz w:val="24"/>
          <w:szCs w:val="24"/>
        </w:rPr>
      </w:pPr>
      <w:r>
        <w:rPr>
          <w:rFonts w:ascii="微软雅黑" w:hAnsi="微软雅黑" w:eastAsia="微软雅黑" w:cs="微软雅黑"/>
          <w:spacing w:val="-1"/>
          <w:sz w:val="24"/>
          <w:szCs w:val="24"/>
        </w:rPr>
        <w:t>文件解密或开评标工作无法进行的，可根据实际情况相应延迟解密时间或</w:t>
      </w:r>
      <w:r>
        <w:rPr>
          <w:rFonts w:ascii="微软雅黑" w:hAnsi="微软雅黑" w:eastAsia="微软雅黑" w:cs="微软雅黑"/>
          <w:spacing w:val="-2"/>
          <w:sz w:val="24"/>
          <w:szCs w:val="24"/>
        </w:rPr>
        <w:t>调整开评标时间。</w:t>
      </w:r>
    </w:p>
    <w:p w14:paraId="57AE11C6">
      <w:pPr>
        <w:spacing w:before="117" w:line="255" w:lineRule="auto"/>
        <w:ind w:left="46" w:right="40" w:firstLine="488"/>
        <w:rPr>
          <w:rFonts w:ascii="微软雅黑" w:hAnsi="微软雅黑" w:eastAsia="微软雅黑" w:cs="微软雅黑"/>
          <w:sz w:val="24"/>
          <w:szCs w:val="24"/>
        </w:rPr>
      </w:pPr>
      <w:r>
        <w:rPr>
          <w:rFonts w:ascii="微软雅黑" w:hAnsi="微软雅黑" w:eastAsia="微软雅黑" w:cs="微软雅黑"/>
          <w:spacing w:val="-5"/>
          <w:sz w:val="24"/>
          <w:szCs w:val="24"/>
        </w:rPr>
        <w:t>11.3 严格按照本招标文件“第六部分投标文件范本格式”的顺</w:t>
      </w:r>
      <w:r>
        <w:rPr>
          <w:rFonts w:ascii="微软雅黑" w:hAnsi="微软雅黑" w:eastAsia="微软雅黑" w:cs="微软雅黑"/>
          <w:spacing w:val="-6"/>
          <w:sz w:val="24"/>
          <w:szCs w:val="24"/>
        </w:rPr>
        <w:t>序和格式要求编制投标文件，</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如未按要求编制及提交电子投标文件的，将影响中标结果。</w:t>
      </w:r>
    </w:p>
    <w:p w14:paraId="6A0E9EA2">
      <w:pPr>
        <w:spacing w:before="38" w:line="186" w:lineRule="auto"/>
        <w:ind w:left="535"/>
        <w:rPr>
          <w:rFonts w:ascii="宋体" w:hAnsi="宋体" w:eastAsia="宋体" w:cs="宋体"/>
          <w:sz w:val="24"/>
          <w:szCs w:val="24"/>
        </w:rPr>
      </w:pPr>
      <w:bookmarkStart w:id="41" w:name="bookmark54"/>
      <w:bookmarkEnd w:id="41"/>
      <w:r>
        <w:rPr>
          <w:rFonts w:ascii="微软雅黑" w:hAnsi="微软雅黑" w:eastAsia="微软雅黑" w:cs="微软雅黑"/>
          <w:b/>
          <w:bCs/>
          <w:spacing w:val="-11"/>
          <w:sz w:val="24"/>
          <w:szCs w:val="24"/>
        </w:rPr>
        <w:t>12、</w:t>
      </w:r>
      <w:r>
        <w:rPr>
          <w:rFonts w:ascii="宋体" w:hAnsi="宋体" w:eastAsia="宋体" w:cs="宋体"/>
          <w:b/>
          <w:bCs/>
          <w:spacing w:val="-11"/>
          <w:sz w:val="24"/>
          <w:szCs w:val="24"/>
        </w:rPr>
        <w:t>投标截止时间</w:t>
      </w:r>
    </w:p>
    <w:p w14:paraId="530041BC">
      <w:pPr>
        <w:spacing w:before="241" w:line="234" w:lineRule="auto"/>
        <w:ind w:left="44" w:right="150" w:firstLine="490"/>
        <w:rPr>
          <w:rFonts w:ascii="微软雅黑" w:hAnsi="微软雅黑" w:eastAsia="微软雅黑" w:cs="微软雅黑"/>
          <w:sz w:val="24"/>
          <w:szCs w:val="24"/>
        </w:rPr>
      </w:pPr>
      <w:r>
        <w:rPr>
          <w:rFonts w:ascii="微软雅黑" w:hAnsi="微软雅黑" w:eastAsia="微软雅黑" w:cs="微软雅黑"/>
          <w:spacing w:val="-11"/>
          <w:sz w:val="24"/>
          <w:szCs w:val="24"/>
        </w:rPr>
        <w:t xml:space="preserve">12.1  电子投标文件应在 </w:t>
      </w:r>
      <w:r>
        <w:rPr>
          <w:rFonts w:ascii="微软雅黑" w:hAnsi="微软雅黑" w:eastAsia="微软雅黑" w:cs="微软雅黑"/>
          <w:b/>
          <w:bCs/>
          <w:spacing w:val="-11"/>
          <w:sz w:val="24"/>
          <w:szCs w:val="24"/>
          <w:u w:val="single" w:color="auto"/>
        </w:rPr>
        <w:t>202</w:t>
      </w:r>
      <w:r>
        <w:rPr>
          <w:rFonts w:hint="eastAsia" w:ascii="微软雅黑" w:hAnsi="微软雅黑" w:eastAsia="微软雅黑" w:cs="微软雅黑"/>
          <w:b/>
          <w:bCs/>
          <w:spacing w:val="-11"/>
          <w:sz w:val="24"/>
          <w:szCs w:val="24"/>
          <w:u w:val="single" w:color="auto"/>
          <w:lang w:val="en-US" w:eastAsia="zh-CN"/>
        </w:rPr>
        <w:t>5</w:t>
      </w:r>
      <w:r>
        <w:rPr>
          <w:rFonts w:ascii="微软雅黑" w:hAnsi="微软雅黑" w:eastAsia="微软雅黑" w:cs="微软雅黑"/>
          <w:b/>
          <w:bCs/>
          <w:spacing w:val="-11"/>
          <w:sz w:val="24"/>
          <w:szCs w:val="24"/>
          <w:u w:val="single" w:color="auto"/>
        </w:rPr>
        <w:t>年</w:t>
      </w:r>
      <w:r>
        <w:rPr>
          <w:rFonts w:ascii="微软雅黑" w:hAnsi="微软雅黑" w:eastAsia="微软雅黑" w:cs="微软雅黑"/>
          <w:b/>
          <w:bCs/>
          <w:spacing w:val="16"/>
          <w:sz w:val="24"/>
          <w:szCs w:val="24"/>
          <w:u w:val="single" w:color="auto"/>
        </w:rPr>
        <w:t xml:space="preserve"> </w:t>
      </w:r>
      <w:r>
        <w:rPr>
          <w:rFonts w:ascii="微软雅黑" w:hAnsi="微软雅黑" w:eastAsia="微软雅黑" w:cs="微软雅黑"/>
          <w:b/>
          <w:bCs/>
          <w:spacing w:val="-11"/>
          <w:sz w:val="24"/>
          <w:szCs w:val="24"/>
          <w:u w:val="single" w:color="auto"/>
        </w:rPr>
        <w:t xml:space="preserve">1月 </w:t>
      </w:r>
      <w:r>
        <w:rPr>
          <w:rFonts w:hint="eastAsia" w:ascii="微软雅黑" w:hAnsi="微软雅黑" w:eastAsia="微软雅黑" w:cs="微软雅黑"/>
          <w:b/>
          <w:bCs/>
          <w:spacing w:val="-11"/>
          <w:sz w:val="24"/>
          <w:szCs w:val="24"/>
          <w:u w:val="single" w:color="auto"/>
          <w:lang w:val="en-US" w:eastAsia="zh-CN"/>
        </w:rPr>
        <w:t>13</w:t>
      </w:r>
      <w:r>
        <w:rPr>
          <w:rFonts w:ascii="微软雅黑" w:hAnsi="微软雅黑" w:eastAsia="微软雅黑" w:cs="微软雅黑"/>
          <w:b/>
          <w:bCs/>
          <w:spacing w:val="-11"/>
          <w:sz w:val="24"/>
          <w:szCs w:val="24"/>
          <w:u w:val="single" w:color="auto"/>
        </w:rPr>
        <w:t>日上午</w:t>
      </w:r>
      <w:r>
        <w:rPr>
          <w:rFonts w:ascii="微软雅黑" w:hAnsi="微软雅黑" w:eastAsia="微软雅黑" w:cs="微软雅黑"/>
          <w:b/>
          <w:bCs/>
          <w:spacing w:val="15"/>
          <w:sz w:val="24"/>
          <w:szCs w:val="24"/>
          <w:u w:val="single" w:color="auto"/>
        </w:rPr>
        <w:t xml:space="preserve"> </w:t>
      </w:r>
      <w:r>
        <w:rPr>
          <w:rFonts w:ascii="微软雅黑" w:hAnsi="微软雅黑" w:eastAsia="微软雅黑" w:cs="微软雅黑"/>
          <w:b/>
          <w:bCs/>
          <w:spacing w:val="-11"/>
          <w:sz w:val="24"/>
          <w:szCs w:val="24"/>
          <w:u w:val="single" w:color="auto"/>
        </w:rPr>
        <w:t>10:30</w:t>
      </w:r>
      <w:r>
        <w:rPr>
          <w:rFonts w:ascii="微软雅黑" w:hAnsi="微软雅黑" w:eastAsia="微软雅黑" w:cs="微软雅黑"/>
          <w:spacing w:val="-11"/>
          <w:sz w:val="24"/>
          <w:szCs w:val="24"/>
        </w:rPr>
        <w:t>（北京时间）之前上传。开标时间</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后 30 分钟内投标人可以登录“政采云”平台，</w:t>
      </w:r>
      <w:r>
        <w:rPr>
          <w:rFonts w:ascii="微软雅黑" w:hAnsi="微软雅黑" w:eastAsia="微软雅黑" w:cs="微软雅黑"/>
          <w:spacing w:val="-2"/>
          <w:sz w:val="24"/>
          <w:szCs w:val="24"/>
        </w:rPr>
        <w:t>用“项目采购-开标评标”功能进行解密响应文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件。若投标人在规定时间内未按时解密的，视为电子响应文件撤回。</w:t>
      </w:r>
    </w:p>
    <w:p w14:paraId="0E785DFF">
      <w:pPr>
        <w:spacing w:before="117" w:line="188" w:lineRule="auto"/>
        <w:ind w:left="535"/>
        <w:rPr>
          <w:rFonts w:ascii="微软雅黑" w:hAnsi="微软雅黑" w:eastAsia="微软雅黑" w:cs="微软雅黑"/>
          <w:sz w:val="24"/>
          <w:szCs w:val="24"/>
        </w:rPr>
      </w:pPr>
      <w:r>
        <w:rPr>
          <w:rFonts w:ascii="微软雅黑" w:hAnsi="微软雅黑" w:eastAsia="微软雅黑" w:cs="微软雅黑"/>
          <w:spacing w:val="-4"/>
          <w:sz w:val="24"/>
          <w:szCs w:val="24"/>
        </w:rPr>
        <w:t>12.2</w:t>
      </w:r>
      <w:r>
        <w:rPr>
          <w:rFonts w:ascii="微软雅黑" w:hAnsi="微软雅黑" w:eastAsia="微软雅黑" w:cs="微软雅黑"/>
          <w:spacing w:val="77"/>
          <w:sz w:val="24"/>
          <w:szCs w:val="24"/>
        </w:rPr>
        <w:t xml:space="preserve"> </w:t>
      </w:r>
      <w:r>
        <w:rPr>
          <w:rFonts w:ascii="微软雅黑" w:hAnsi="微软雅黑" w:eastAsia="微软雅黑" w:cs="微软雅黑"/>
          <w:spacing w:val="-4"/>
          <w:sz w:val="24"/>
          <w:szCs w:val="24"/>
        </w:rPr>
        <w:t xml:space="preserve">开标时报价签字确认时段不得超过 </w:t>
      </w:r>
      <w:r>
        <w:rPr>
          <w:rFonts w:ascii="Times New Roman" w:hAnsi="Times New Roman" w:eastAsia="Times New Roman" w:cs="Times New Roman"/>
          <w:spacing w:val="-4"/>
          <w:sz w:val="24"/>
          <w:szCs w:val="24"/>
        </w:rPr>
        <w:t>30</w:t>
      </w:r>
      <w:r>
        <w:rPr>
          <w:rFonts w:ascii="Times New Roman" w:hAnsi="Times New Roman" w:eastAsia="Times New Roman" w:cs="Times New Roman"/>
          <w:spacing w:val="18"/>
          <w:w w:val="101"/>
          <w:sz w:val="24"/>
          <w:szCs w:val="24"/>
        </w:rPr>
        <w:t xml:space="preserve"> </w:t>
      </w:r>
      <w:r>
        <w:rPr>
          <w:rFonts w:ascii="微软雅黑" w:hAnsi="微软雅黑" w:eastAsia="微软雅黑" w:cs="微软雅黑"/>
          <w:spacing w:val="-4"/>
          <w:sz w:val="24"/>
          <w:szCs w:val="24"/>
        </w:rPr>
        <w:t>分钟。</w:t>
      </w:r>
    </w:p>
    <w:p w14:paraId="1B0E0B3F">
      <w:pPr>
        <w:spacing w:before="151" w:line="188" w:lineRule="auto"/>
        <w:ind w:left="535"/>
        <w:rPr>
          <w:rFonts w:ascii="微软雅黑" w:hAnsi="微软雅黑" w:eastAsia="微软雅黑" w:cs="微软雅黑"/>
          <w:sz w:val="24"/>
          <w:szCs w:val="24"/>
        </w:rPr>
      </w:pPr>
      <w:r>
        <w:rPr>
          <w:rFonts w:ascii="微软雅黑" w:hAnsi="微软雅黑" w:eastAsia="微软雅黑" w:cs="微软雅黑"/>
          <w:spacing w:val="-2"/>
          <w:sz w:val="24"/>
          <w:szCs w:val="24"/>
        </w:rPr>
        <w:t>12.3  出现因招标文件的修改而推迟投标截止时间的情况时，投标人则须按集采机构的书面</w:t>
      </w:r>
    </w:p>
    <w:p w14:paraId="7CB91432">
      <w:pPr>
        <w:spacing w:before="274" w:line="188" w:lineRule="auto"/>
        <w:ind w:left="44"/>
        <w:rPr>
          <w:rFonts w:ascii="微软雅黑" w:hAnsi="微软雅黑" w:eastAsia="微软雅黑" w:cs="微软雅黑"/>
          <w:sz w:val="24"/>
          <w:szCs w:val="24"/>
        </w:rPr>
      </w:pPr>
      <w:r>
        <w:rPr>
          <w:rFonts w:ascii="微软雅黑" w:hAnsi="微软雅黑" w:eastAsia="微软雅黑" w:cs="微软雅黑"/>
          <w:spacing w:val="-3"/>
          <w:sz w:val="24"/>
          <w:szCs w:val="24"/>
        </w:rPr>
        <w:t>修改通知重新规定的投标截止时间之前上传。</w:t>
      </w:r>
    </w:p>
    <w:p w14:paraId="55AA97BE">
      <w:pPr>
        <w:spacing w:before="273" w:line="220" w:lineRule="auto"/>
        <w:ind w:left="536"/>
        <w:outlineLvl w:val="1"/>
        <w:rPr>
          <w:rFonts w:ascii="宋体" w:hAnsi="宋体" w:eastAsia="宋体" w:cs="宋体"/>
          <w:sz w:val="24"/>
          <w:szCs w:val="24"/>
        </w:rPr>
      </w:pPr>
      <w:bookmarkStart w:id="42" w:name="bookmark5"/>
      <w:bookmarkEnd w:id="42"/>
      <w:r>
        <w:rPr>
          <w:rFonts w:ascii="宋体" w:hAnsi="宋体" w:eastAsia="宋体" w:cs="宋体"/>
          <w:b/>
          <w:bCs/>
          <w:spacing w:val="-4"/>
          <w:sz w:val="24"/>
          <w:szCs w:val="24"/>
        </w:rPr>
        <w:t>13、投标文件的修改和撤销</w:t>
      </w:r>
    </w:p>
    <w:p w14:paraId="10F5D3AD">
      <w:pPr>
        <w:spacing w:before="310" w:line="188" w:lineRule="auto"/>
        <w:ind w:left="535"/>
        <w:rPr>
          <w:rFonts w:ascii="微软雅黑" w:hAnsi="微软雅黑" w:eastAsia="微软雅黑" w:cs="微软雅黑"/>
          <w:sz w:val="24"/>
          <w:szCs w:val="24"/>
        </w:rPr>
      </w:pPr>
      <w:r>
        <w:rPr>
          <w:rFonts w:ascii="微软雅黑" w:hAnsi="微软雅黑" w:eastAsia="微软雅黑" w:cs="微软雅黑"/>
          <w:spacing w:val="-2"/>
          <w:sz w:val="24"/>
          <w:szCs w:val="24"/>
        </w:rPr>
        <w:t>13.1 投标人在上传投标文件后，可在规定的投标截止时间之前，进行修改或撤消。</w:t>
      </w:r>
    </w:p>
    <w:p w14:paraId="69C1971C">
      <w:pPr>
        <w:spacing w:before="274" w:line="188" w:lineRule="auto"/>
        <w:ind w:left="535"/>
        <w:rPr>
          <w:rFonts w:ascii="微软雅黑" w:hAnsi="微软雅黑" w:eastAsia="微软雅黑" w:cs="微软雅黑"/>
          <w:sz w:val="24"/>
          <w:szCs w:val="24"/>
        </w:rPr>
      </w:pPr>
      <w:r>
        <w:rPr>
          <w:rFonts w:ascii="微软雅黑" w:hAnsi="微软雅黑" w:eastAsia="微软雅黑" w:cs="微软雅黑"/>
          <w:spacing w:val="-3"/>
          <w:sz w:val="24"/>
          <w:szCs w:val="24"/>
        </w:rPr>
        <w:t>13.3 投标截止时间以后不得修改投标文</w:t>
      </w:r>
      <w:r>
        <w:rPr>
          <w:rFonts w:ascii="微软雅黑" w:hAnsi="微软雅黑" w:eastAsia="微软雅黑" w:cs="微软雅黑"/>
          <w:spacing w:val="-4"/>
          <w:sz w:val="24"/>
          <w:szCs w:val="24"/>
        </w:rPr>
        <w:t>件。</w:t>
      </w:r>
    </w:p>
    <w:p w14:paraId="62196E20">
      <w:pPr>
        <w:spacing w:before="273" w:line="188" w:lineRule="auto"/>
        <w:ind w:left="535"/>
        <w:rPr>
          <w:rFonts w:ascii="微软雅黑" w:hAnsi="微软雅黑" w:eastAsia="微软雅黑" w:cs="微软雅黑"/>
          <w:sz w:val="24"/>
          <w:szCs w:val="24"/>
        </w:rPr>
      </w:pPr>
      <w:r>
        <w:rPr>
          <w:rFonts w:ascii="微软雅黑" w:hAnsi="微软雅黑" w:eastAsia="微软雅黑" w:cs="微软雅黑"/>
          <w:spacing w:val="-2"/>
          <w:sz w:val="24"/>
          <w:szCs w:val="24"/>
        </w:rPr>
        <w:t>13.4 投标人不得在开标后至投标有效期期</w:t>
      </w:r>
      <w:r>
        <w:rPr>
          <w:rFonts w:ascii="微软雅黑" w:hAnsi="微软雅黑" w:eastAsia="微软雅黑" w:cs="微软雅黑"/>
          <w:spacing w:val="-3"/>
          <w:sz w:val="24"/>
          <w:szCs w:val="24"/>
        </w:rPr>
        <w:t>满前撤销投标文件。</w:t>
      </w:r>
    </w:p>
    <w:p w14:paraId="78DD26EF">
      <w:pPr>
        <w:spacing w:before="239" w:line="220" w:lineRule="auto"/>
        <w:ind w:left="536"/>
        <w:rPr>
          <w:rFonts w:ascii="宋体" w:hAnsi="宋体" w:eastAsia="宋体" w:cs="宋体"/>
          <w:sz w:val="24"/>
          <w:szCs w:val="24"/>
        </w:rPr>
      </w:pPr>
      <w:r>
        <w:rPr>
          <w:rFonts w:ascii="宋体" w:hAnsi="宋体" w:eastAsia="宋体" w:cs="宋体"/>
          <w:b/>
          <w:bCs/>
          <w:spacing w:val="-4"/>
          <w:sz w:val="24"/>
          <w:szCs w:val="24"/>
        </w:rPr>
        <w:t>14、投标响应文件的密封和标记</w:t>
      </w:r>
    </w:p>
    <w:p w14:paraId="25BEDCA8">
      <w:pPr>
        <w:spacing w:before="152" w:line="256" w:lineRule="auto"/>
        <w:ind w:left="44" w:right="40" w:firstLine="491"/>
        <w:jc w:val="both"/>
        <w:rPr>
          <w:rFonts w:ascii="微软雅黑" w:hAnsi="微软雅黑" w:eastAsia="微软雅黑" w:cs="微软雅黑"/>
          <w:sz w:val="24"/>
          <w:szCs w:val="24"/>
        </w:rPr>
      </w:pPr>
      <w:r>
        <w:rPr>
          <w:rFonts w:ascii="微软雅黑" w:hAnsi="微软雅黑" w:eastAsia="微软雅黑" w:cs="微软雅黑"/>
          <w:spacing w:val="-6"/>
          <w:sz w:val="24"/>
          <w:szCs w:val="24"/>
        </w:rPr>
        <w:t>14.1</w:t>
      </w:r>
      <w:r>
        <w:rPr>
          <w:rFonts w:ascii="微软雅黑" w:hAnsi="微软雅黑" w:eastAsia="微软雅黑" w:cs="微软雅黑"/>
          <w:spacing w:val="31"/>
          <w:w w:val="101"/>
          <w:sz w:val="24"/>
          <w:szCs w:val="24"/>
        </w:rPr>
        <w:t xml:space="preserve"> </w:t>
      </w:r>
      <w:r>
        <w:rPr>
          <w:rFonts w:ascii="微软雅黑" w:hAnsi="微软雅黑" w:eastAsia="微软雅黑" w:cs="微软雅黑"/>
          <w:spacing w:val="-6"/>
          <w:sz w:val="24"/>
          <w:szCs w:val="24"/>
        </w:rPr>
        <w:t>电子响应文件的密封和标记。电子响应文</w:t>
      </w:r>
      <w:r>
        <w:rPr>
          <w:rFonts w:ascii="微软雅黑" w:hAnsi="微软雅黑" w:eastAsia="微软雅黑" w:cs="微软雅黑"/>
          <w:spacing w:val="-7"/>
          <w:sz w:val="24"/>
          <w:szCs w:val="24"/>
        </w:rPr>
        <w:t>件的内容通过数字证书进行加密并签章，</w:t>
      </w:r>
      <w:r>
        <w:rPr>
          <w:rFonts w:ascii="微软雅黑" w:hAnsi="微软雅黑" w:eastAsia="微软雅黑" w:cs="微软雅黑"/>
          <w:spacing w:val="16"/>
          <w:sz w:val="24"/>
          <w:szCs w:val="24"/>
        </w:rPr>
        <w:t xml:space="preserve">  </w:t>
      </w:r>
      <w:r>
        <w:rPr>
          <w:rFonts w:ascii="微软雅黑" w:hAnsi="微软雅黑" w:eastAsia="微软雅黑" w:cs="微软雅黑"/>
          <w:spacing w:val="-7"/>
          <w:sz w:val="24"/>
          <w:szCs w:val="24"/>
        </w:rPr>
        <w:t>投</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标截止时间前通过政采云平台上传到指定位置。未</w:t>
      </w:r>
      <w:r>
        <w:rPr>
          <w:rFonts w:ascii="微软雅黑" w:hAnsi="微软雅黑" w:eastAsia="微软雅黑" w:cs="微软雅黑"/>
          <w:spacing w:val="-4"/>
          <w:sz w:val="24"/>
          <w:szCs w:val="24"/>
        </w:rPr>
        <w:t>按要求加密和数字证书认证的电子响应文件，</w:t>
      </w:r>
      <w:r>
        <w:rPr>
          <w:rFonts w:ascii="微软雅黑" w:hAnsi="微软雅黑" w:eastAsia="微软雅黑" w:cs="微软雅黑"/>
          <w:sz w:val="24"/>
          <w:szCs w:val="24"/>
        </w:rPr>
        <w:t xml:space="preserve"> 电子评标系统将无法接受,代理机构及采购人不予受理。</w:t>
      </w:r>
    </w:p>
    <w:p w14:paraId="6D41B311">
      <w:pPr>
        <w:spacing w:before="6" w:line="188" w:lineRule="auto"/>
        <w:ind w:left="535"/>
        <w:rPr>
          <w:rFonts w:ascii="微软雅黑" w:hAnsi="微软雅黑" w:eastAsia="微软雅黑" w:cs="微软雅黑"/>
          <w:sz w:val="24"/>
          <w:szCs w:val="24"/>
        </w:rPr>
      </w:pPr>
      <w:r>
        <w:rPr>
          <w:rFonts w:ascii="微软雅黑" w:hAnsi="微软雅黑" w:eastAsia="微软雅黑" w:cs="微软雅黑"/>
          <w:b/>
          <w:bCs/>
          <w:spacing w:val="-5"/>
          <w:sz w:val="24"/>
          <w:szCs w:val="24"/>
        </w:rPr>
        <w:t>15、迟交的招标投标电子响应文件</w:t>
      </w:r>
    </w:p>
    <w:p w14:paraId="0247FCA1">
      <w:pPr>
        <w:spacing w:before="115" w:line="256" w:lineRule="auto"/>
        <w:ind w:left="44" w:right="110" w:firstLine="491"/>
        <w:jc w:val="both"/>
        <w:rPr>
          <w:rFonts w:ascii="微软雅黑" w:hAnsi="微软雅黑" w:eastAsia="微软雅黑" w:cs="微软雅黑"/>
          <w:sz w:val="24"/>
          <w:szCs w:val="24"/>
        </w:rPr>
      </w:pPr>
      <w:r>
        <w:rPr>
          <w:rFonts w:ascii="微软雅黑" w:hAnsi="微软雅黑" w:eastAsia="微软雅黑" w:cs="微软雅黑"/>
          <w:spacing w:val="-2"/>
          <w:sz w:val="24"/>
          <w:szCs w:val="24"/>
        </w:rPr>
        <w:t>15.1 各投标人应在开标前确保成为新疆政府采购网正式注册入库投标人，</w:t>
      </w:r>
      <w:r>
        <w:rPr>
          <w:rFonts w:ascii="微软雅黑" w:hAnsi="微软雅黑" w:eastAsia="微软雅黑" w:cs="微软雅黑"/>
          <w:spacing w:val="-34"/>
          <w:sz w:val="24"/>
          <w:szCs w:val="24"/>
        </w:rPr>
        <w:t xml:space="preserve"> </w:t>
      </w:r>
      <w:r>
        <w:rPr>
          <w:rFonts w:ascii="微软雅黑" w:hAnsi="微软雅黑" w:eastAsia="微软雅黑" w:cs="微软雅黑"/>
          <w:spacing w:val="-2"/>
          <w:sz w:val="24"/>
          <w:szCs w:val="24"/>
        </w:rPr>
        <w:t>并完成 CA 数字</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证书申领。因未注册入库、未办理 CA 数字证书等原因造成无法投标或投标失败等后果由投标人</w:t>
      </w:r>
      <w:r>
        <w:rPr>
          <w:rFonts w:ascii="微软雅黑" w:hAnsi="微软雅黑" w:eastAsia="微软雅黑" w:cs="微软雅黑"/>
          <w:spacing w:val="12"/>
          <w:sz w:val="24"/>
          <w:szCs w:val="24"/>
        </w:rPr>
        <w:t xml:space="preserve"> </w:t>
      </w:r>
      <w:r>
        <w:rPr>
          <w:rFonts w:ascii="微软雅黑" w:hAnsi="微软雅黑" w:eastAsia="微软雅黑" w:cs="微软雅黑"/>
          <w:sz w:val="24"/>
          <w:szCs w:val="24"/>
        </w:rPr>
        <w:t xml:space="preserve">自行承担。建议于投标电子响应文件递交截止时间前 </w:t>
      </w:r>
      <w:r>
        <w:rPr>
          <w:rFonts w:ascii="微软雅黑" w:hAnsi="微软雅黑" w:eastAsia="微软雅黑" w:cs="微软雅黑"/>
          <w:spacing w:val="-1"/>
          <w:sz w:val="24"/>
          <w:szCs w:val="24"/>
        </w:rPr>
        <w:t>1 个工作日完成投标电子响应文件的制作</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与上传。</w:t>
      </w:r>
    </w:p>
    <w:p w14:paraId="3E62B1C0">
      <w:pPr>
        <w:spacing w:before="207" w:line="216" w:lineRule="auto"/>
        <w:ind w:left="3157"/>
        <w:rPr>
          <w:rFonts w:ascii="仿宋" w:hAnsi="仿宋" w:eastAsia="仿宋" w:cs="仿宋"/>
          <w:sz w:val="32"/>
          <w:szCs w:val="32"/>
        </w:rPr>
      </w:pPr>
      <w:r>
        <w:rPr>
          <w:rFonts w:ascii="仿宋" w:hAnsi="仿宋" w:eastAsia="仿宋" w:cs="仿宋"/>
          <w:b/>
          <w:bCs/>
          <w:spacing w:val="-6"/>
          <w:sz w:val="32"/>
          <w:szCs w:val="32"/>
        </w:rPr>
        <w:t>第四章</w:t>
      </w:r>
      <w:r>
        <w:rPr>
          <w:rFonts w:ascii="仿宋" w:hAnsi="仿宋" w:eastAsia="仿宋" w:cs="仿宋"/>
          <w:spacing w:val="-6"/>
          <w:sz w:val="32"/>
          <w:szCs w:val="32"/>
        </w:rPr>
        <w:t xml:space="preserve"> </w:t>
      </w:r>
      <w:r>
        <w:rPr>
          <w:rFonts w:ascii="仿宋" w:hAnsi="仿宋" w:eastAsia="仿宋" w:cs="仿宋"/>
          <w:b/>
          <w:bCs/>
          <w:spacing w:val="-6"/>
          <w:sz w:val="32"/>
          <w:szCs w:val="32"/>
        </w:rPr>
        <w:t>投标报价及保证金</w:t>
      </w:r>
    </w:p>
    <w:p w14:paraId="25884427">
      <w:pPr>
        <w:spacing w:before="260" w:line="218" w:lineRule="auto"/>
        <w:ind w:left="536"/>
        <w:rPr>
          <w:rFonts w:ascii="宋体" w:hAnsi="宋体" w:eastAsia="宋体" w:cs="宋体"/>
          <w:sz w:val="24"/>
          <w:szCs w:val="24"/>
        </w:rPr>
      </w:pPr>
      <w:r>
        <w:rPr>
          <w:rFonts w:ascii="宋体" w:hAnsi="宋体" w:eastAsia="宋体" w:cs="宋体"/>
          <w:b/>
          <w:bCs/>
          <w:spacing w:val="-6"/>
          <w:sz w:val="24"/>
          <w:szCs w:val="24"/>
        </w:rPr>
        <w:t>16、投标报价</w:t>
      </w:r>
    </w:p>
    <w:p w14:paraId="739F580B">
      <w:pPr>
        <w:spacing w:before="279" w:line="222" w:lineRule="auto"/>
        <w:ind w:left="55" w:firstLine="480"/>
        <w:rPr>
          <w:rFonts w:ascii="微软雅黑" w:hAnsi="微软雅黑" w:eastAsia="微软雅黑" w:cs="微软雅黑"/>
          <w:sz w:val="24"/>
          <w:szCs w:val="24"/>
        </w:rPr>
      </w:pPr>
      <w:r>
        <w:rPr>
          <w:rFonts w:ascii="微软雅黑" w:hAnsi="微软雅黑" w:eastAsia="微软雅黑" w:cs="微软雅黑"/>
          <w:spacing w:val="-4"/>
          <w:sz w:val="24"/>
          <w:szCs w:val="24"/>
        </w:rPr>
        <w:t>16.1 投标报价应遵守《中华人民共和国价格法》。同时</w:t>
      </w:r>
      <w:r>
        <w:rPr>
          <w:rFonts w:ascii="微软雅黑" w:hAnsi="微软雅黑" w:eastAsia="微软雅黑" w:cs="微软雅黑"/>
          <w:spacing w:val="-5"/>
          <w:sz w:val="24"/>
          <w:szCs w:val="24"/>
        </w:rPr>
        <w:t>根据《中华人民共和国政府采购法》</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第二条的规定，为保证公平竞争，如有服务主体部分的赠予行为，其投标</w:t>
      </w:r>
      <w:r>
        <w:rPr>
          <w:rFonts w:ascii="微软雅黑" w:hAnsi="微软雅黑" w:eastAsia="微软雅黑" w:cs="微软雅黑"/>
          <w:spacing w:val="-4"/>
          <w:sz w:val="24"/>
          <w:szCs w:val="24"/>
        </w:rPr>
        <w:t>将被认定为投标无效。</w:t>
      </w:r>
    </w:p>
    <w:p w14:paraId="5BBC0148">
      <w:pPr>
        <w:spacing w:before="152" w:line="188" w:lineRule="auto"/>
        <w:ind w:left="535"/>
        <w:rPr>
          <w:rFonts w:ascii="微软雅黑" w:hAnsi="微软雅黑" w:eastAsia="微软雅黑" w:cs="微软雅黑"/>
          <w:sz w:val="24"/>
          <w:szCs w:val="24"/>
        </w:rPr>
      </w:pPr>
      <w:r>
        <w:rPr>
          <w:rFonts w:ascii="微软雅黑" w:hAnsi="微软雅黑" w:eastAsia="微软雅黑" w:cs="微软雅黑"/>
          <w:spacing w:val="-2"/>
          <w:sz w:val="24"/>
          <w:szCs w:val="24"/>
        </w:rPr>
        <w:t>16.2</w:t>
      </w:r>
      <w:r>
        <w:rPr>
          <w:rFonts w:ascii="微软雅黑" w:hAnsi="微软雅黑" w:eastAsia="微软雅黑" w:cs="微软雅黑"/>
          <w:spacing w:val="66"/>
          <w:sz w:val="24"/>
          <w:szCs w:val="24"/>
        </w:rPr>
        <w:t xml:space="preserve"> </w:t>
      </w:r>
      <w:r>
        <w:rPr>
          <w:rFonts w:ascii="微软雅黑" w:hAnsi="微软雅黑" w:eastAsia="微软雅黑" w:cs="微软雅黑"/>
          <w:spacing w:val="-2"/>
          <w:sz w:val="24"/>
          <w:szCs w:val="24"/>
        </w:rPr>
        <w:t>集采机构不接受任何有选择性的报价，</w:t>
      </w:r>
      <w:r>
        <w:rPr>
          <w:rFonts w:ascii="微软雅黑" w:hAnsi="微软雅黑" w:eastAsia="微软雅黑" w:cs="微软雅黑"/>
          <w:spacing w:val="-3"/>
          <w:sz w:val="24"/>
          <w:szCs w:val="24"/>
        </w:rPr>
        <w:t>只允许唯一报价。</w:t>
      </w:r>
    </w:p>
    <w:p w14:paraId="67E64137">
      <w:pPr>
        <w:pStyle w:val="2"/>
        <w:spacing w:line="251" w:lineRule="auto"/>
      </w:pPr>
    </w:p>
    <w:p w14:paraId="08C29EFD">
      <w:pPr>
        <w:spacing w:before="63"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7                                </w:t>
      </w:r>
      <w:r>
        <w:rPr>
          <w:rFonts w:ascii="宋体" w:hAnsi="宋体" w:eastAsia="宋体" w:cs="宋体"/>
          <w:b/>
          <w:bCs/>
          <w:i/>
          <w:iCs/>
          <w:spacing w:val="-3"/>
          <w:sz w:val="19"/>
          <w:szCs w:val="19"/>
        </w:rPr>
        <w:t>伊犁州公共资源交易中心</w:t>
      </w:r>
    </w:p>
    <w:p w14:paraId="0530A674">
      <w:pPr>
        <w:spacing w:line="160" w:lineRule="auto"/>
        <w:rPr>
          <w:rFonts w:ascii="宋体" w:hAnsi="宋体" w:eastAsia="宋体" w:cs="宋体"/>
          <w:sz w:val="19"/>
          <w:szCs w:val="19"/>
        </w:rPr>
        <w:sectPr>
          <w:headerReference r:id="rId16" w:type="default"/>
          <w:footerReference r:id="rId17" w:type="default"/>
          <w:pgSz w:w="11905" w:h="16839"/>
          <w:pgMar w:top="1136" w:right="748" w:bottom="937" w:left="1136" w:header="854" w:footer="923" w:gutter="0"/>
          <w:cols w:space="720" w:num="1"/>
        </w:sectPr>
      </w:pPr>
    </w:p>
    <w:p w14:paraId="45E4289A">
      <w:pPr>
        <w:pStyle w:val="2"/>
        <w:spacing w:line="354" w:lineRule="auto"/>
      </w:pPr>
    </w:p>
    <w:p w14:paraId="4EC2CFB2">
      <w:pPr>
        <w:spacing w:before="102" w:line="188" w:lineRule="auto"/>
        <w:ind w:right="46"/>
        <w:jc w:val="right"/>
        <w:rPr>
          <w:rFonts w:ascii="微软雅黑" w:hAnsi="微软雅黑" w:eastAsia="微软雅黑" w:cs="微软雅黑"/>
          <w:sz w:val="24"/>
          <w:szCs w:val="24"/>
        </w:rPr>
      </w:pPr>
      <w:bookmarkStart w:id="43" w:name="bookmark55"/>
      <w:bookmarkEnd w:id="43"/>
      <w:r>
        <w:rPr>
          <w:rFonts w:ascii="微软雅黑" w:hAnsi="微软雅黑" w:eastAsia="微软雅黑" w:cs="微软雅黑"/>
          <w:b/>
          <w:bCs/>
          <w:spacing w:val="-6"/>
          <w:sz w:val="24"/>
          <w:szCs w:val="24"/>
        </w:rPr>
        <w:t>16.3</w:t>
      </w:r>
      <w:r>
        <w:rPr>
          <w:rFonts w:ascii="微软雅黑" w:hAnsi="微软雅黑" w:eastAsia="微软雅黑" w:cs="微软雅黑"/>
          <w:b/>
          <w:bCs/>
          <w:spacing w:val="63"/>
          <w:sz w:val="24"/>
          <w:szCs w:val="24"/>
        </w:rPr>
        <w:t xml:space="preserve"> </w:t>
      </w:r>
      <w:r>
        <w:rPr>
          <w:rFonts w:ascii="微软雅黑" w:hAnsi="微软雅黑" w:eastAsia="微软雅黑" w:cs="微软雅黑"/>
          <w:b/>
          <w:bCs/>
          <w:spacing w:val="-6"/>
          <w:sz w:val="24"/>
          <w:szCs w:val="24"/>
        </w:rPr>
        <w:t>投标人必须提供《开标一览表》，</w:t>
      </w:r>
      <w:r>
        <w:rPr>
          <w:rFonts w:ascii="微软雅黑" w:hAnsi="微软雅黑" w:eastAsia="微软雅黑" w:cs="微软雅黑"/>
          <w:b/>
          <w:bCs/>
          <w:spacing w:val="18"/>
          <w:sz w:val="24"/>
          <w:szCs w:val="24"/>
        </w:rPr>
        <w:t xml:space="preserve"> </w:t>
      </w:r>
      <w:r>
        <w:rPr>
          <w:rFonts w:ascii="微软雅黑" w:hAnsi="微软雅黑" w:eastAsia="微软雅黑" w:cs="微软雅黑"/>
          <w:b/>
          <w:bCs/>
          <w:spacing w:val="-6"/>
          <w:sz w:val="24"/>
          <w:szCs w:val="24"/>
        </w:rPr>
        <w:t>当与投标文件报价出现不一致的，按</w:t>
      </w:r>
      <w:r>
        <w:rPr>
          <w:rFonts w:ascii="微软雅黑" w:hAnsi="微软雅黑" w:eastAsia="微软雅黑" w:cs="微软雅黑"/>
          <w:b/>
          <w:bCs/>
          <w:spacing w:val="-7"/>
          <w:sz w:val="24"/>
          <w:szCs w:val="24"/>
        </w:rPr>
        <w:t>下列规定修正：</w:t>
      </w:r>
    </w:p>
    <w:p w14:paraId="4137B673">
      <w:pPr>
        <w:spacing w:before="240" w:line="183" w:lineRule="auto"/>
        <w:ind w:left="643"/>
        <w:rPr>
          <w:rFonts w:ascii="微软雅黑" w:hAnsi="微软雅黑" w:eastAsia="微软雅黑" w:cs="微软雅黑"/>
          <w:sz w:val="24"/>
          <w:szCs w:val="24"/>
        </w:rPr>
      </w:pPr>
      <w:r>
        <w:rPr>
          <w:rFonts w:ascii="微软雅黑" w:hAnsi="微软雅黑" w:eastAsia="微软雅黑" w:cs="微软雅黑"/>
          <w:spacing w:val="-1"/>
          <w:sz w:val="24"/>
          <w:szCs w:val="24"/>
        </w:rPr>
        <w:t>(一)投标文件中《开标一览表》内容与投标文件中相应内容不一致的,以《开标</w:t>
      </w:r>
      <w:r>
        <w:rPr>
          <w:rFonts w:ascii="微软雅黑" w:hAnsi="微软雅黑" w:eastAsia="微软雅黑" w:cs="微软雅黑"/>
          <w:spacing w:val="-2"/>
          <w:sz w:val="24"/>
          <w:szCs w:val="24"/>
        </w:rPr>
        <w:t>一览表为准;</w:t>
      </w:r>
    </w:p>
    <w:p w14:paraId="54041457">
      <w:pPr>
        <w:spacing w:before="126" w:line="183" w:lineRule="auto"/>
        <w:ind w:left="643"/>
        <w:rPr>
          <w:rFonts w:ascii="微软雅黑" w:hAnsi="微软雅黑" w:eastAsia="微软雅黑" w:cs="微软雅黑"/>
          <w:sz w:val="24"/>
          <w:szCs w:val="24"/>
        </w:rPr>
      </w:pPr>
      <w:r>
        <w:rPr>
          <w:rFonts w:ascii="微软雅黑" w:hAnsi="微软雅黑" w:eastAsia="微软雅黑" w:cs="微软雅黑"/>
          <w:spacing w:val="6"/>
          <w:sz w:val="24"/>
          <w:szCs w:val="24"/>
        </w:rPr>
        <w:t>(二)大写金额和小写金额不一致的,以大写金额为准;</w:t>
      </w:r>
    </w:p>
    <w:p w14:paraId="44E66C74">
      <w:pPr>
        <w:spacing w:before="126" w:line="183" w:lineRule="auto"/>
        <w:ind w:left="643"/>
        <w:rPr>
          <w:rFonts w:ascii="微软雅黑" w:hAnsi="微软雅黑" w:eastAsia="微软雅黑" w:cs="微软雅黑"/>
          <w:sz w:val="24"/>
          <w:szCs w:val="24"/>
        </w:rPr>
      </w:pPr>
      <w:r>
        <w:rPr>
          <w:rFonts w:ascii="微软雅黑" w:hAnsi="微软雅黑" w:eastAsia="微软雅黑" w:cs="微软雅黑"/>
          <w:sz w:val="24"/>
          <w:szCs w:val="24"/>
        </w:rPr>
        <w:t>(三)单价金额小数点或者百分比有明显错位的,以《开标一览表》的总价为准并修改</w:t>
      </w:r>
      <w:r>
        <w:rPr>
          <w:rFonts w:ascii="微软雅黑" w:hAnsi="微软雅黑" w:eastAsia="微软雅黑" w:cs="微软雅黑"/>
          <w:spacing w:val="-1"/>
          <w:sz w:val="24"/>
          <w:szCs w:val="24"/>
        </w:rPr>
        <w:t>单价；</w:t>
      </w:r>
    </w:p>
    <w:p w14:paraId="7F2D1907">
      <w:pPr>
        <w:spacing w:before="126" w:line="183" w:lineRule="auto"/>
        <w:ind w:left="643"/>
        <w:rPr>
          <w:rFonts w:ascii="微软雅黑" w:hAnsi="微软雅黑" w:eastAsia="微软雅黑" w:cs="微软雅黑"/>
          <w:sz w:val="24"/>
          <w:szCs w:val="24"/>
        </w:rPr>
      </w:pPr>
      <w:r>
        <w:rPr>
          <w:rFonts w:ascii="微软雅黑" w:hAnsi="微软雅黑" w:eastAsia="微软雅黑" w:cs="微软雅黑"/>
          <w:spacing w:val="2"/>
          <w:sz w:val="24"/>
          <w:szCs w:val="24"/>
        </w:rPr>
        <w:t>(四)总价金额与按单价汇总金额不一致的,以单价金额计</w:t>
      </w:r>
      <w:r>
        <w:rPr>
          <w:rFonts w:ascii="微软雅黑" w:hAnsi="微软雅黑" w:eastAsia="微软雅黑" w:cs="微软雅黑"/>
          <w:spacing w:val="1"/>
          <w:sz w:val="24"/>
          <w:szCs w:val="24"/>
        </w:rPr>
        <w:t>算结果为准。</w:t>
      </w:r>
    </w:p>
    <w:p w14:paraId="2FADD0DB">
      <w:pPr>
        <w:spacing w:before="125" w:line="255" w:lineRule="auto"/>
        <w:ind w:left="130" w:right="270" w:firstLine="506"/>
        <w:rPr>
          <w:rFonts w:ascii="微软雅黑" w:hAnsi="微软雅黑" w:eastAsia="微软雅黑" w:cs="微软雅黑"/>
          <w:sz w:val="24"/>
          <w:szCs w:val="24"/>
        </w:rPr>
      </w:pPr>
      <w:r>
        <w:rPr>
          <w:rFonts w:ascii="微软雅黑" w:hAnsi="微软雅黑" w:eastAsia="微软雅黑" w:cs="微软雅黑"/>
          <w:spacing w:val="-2"/>
          <w:sz w:val="24"/>
          <w:szCs w:val="24"/>
        </w:rPr>
        <w:t>同时出现两种以上不一致的,按照前款规定的顺序修正。修正后的报价经投标人确认后产生</w:t>
      </w:r>
      <w:r>
        <w:rPr>
          <w:rFonts w:ascii="微软雅黑" w:hAnsi="微软雅黑" w:eastAsia="微软雅黑" w:cs="微软雅黑"/>
          <w:spacing w:val="17"/>
          <w:sz w:val="24"/>
          <w:szCs w:val="24"/>
        </w:rPr>
        <w:t xml:space="preserve"> </w:t>
      </w:r>
      <w:r>
        <w:rPr>
          <w:rFonts w:ascii="微软雅黑" w:hAnsi="微软雅黑" w:eastAsia="微软雅黑" w:cs="微软雅黑"/>
          <w:sz w:val="24"/>
          <w:szCs w:val="24"/>
        </w:rPr>
        <w:t>约束力,投标人不确认的，其投标无效。</w:t>
      </w:r>
    </w:p>
    <w:p w14:paraId="041D7D9F">
      <w:pPr>
        <w:spacing w:before="4" w:line="188" w:lineRule="auto"/>
        <w:ind w:left="619"/>
        <w:rPr>
          <w:rFonts w:ascii="微软雅黑" w:hAnsi="微软雅黑" w:eastAsia="微软雅黑" w:cs="微软雅黑"/>
          <w:sz w:val="24"/>
          <w:szCs w:val="24"/>
        </w:rPr>
      </w:pPr>
      <w:r>
        <w:rPr>
          <w:rFonts w:ascii="微软雅黑" w:hAnsi="微软雅黑" w:eastAsia="微软雅黑" w:cs="微软雅黑"/>
          <w:spacing w:val="-5"/>
          <w:sz w:val="24"/>
          <w:szCs w:val="24"/>
        </w:rPr>
        <w:t>16.4</w:t>
      </w:r>
      <w:r>
        <w:rPr>
          <w:rFonts w:ascii="微软雅黑" w:hAnsi="微软雅黑" w:eastAsia="微软雅黑" w:cs="微软雅黑"/>
          <w:spacing w:val="17"/>
          <w:sz w:val="24"/>
          <w:szCs w:val="24"/>
        </w:rPr>
        <w:t xml:space="preserve">   </w:t>
      </w:r>
      <w:r>
        <w:rPr>
          <w:rFonts w:ascii="微软雅黑" w:hAnsi="微软雅黑" w:eastAsia="微软雅黑" w:cs="微软雅黑"/>
          <w:spacing w:val="-5"/>
          <w:sz w:val="24"/>
          <w:szCs w:val="24"/>
        </w:rPr>
        <w:t>投标报价单位为人民币元。</w:t>
      </w:r>
    </w:p>
    <w:p w14:paraId="33661841">
      <w:pPr>
        <w:pStyle w:val="2"/>
        <w:spacing w:before="152" w:line="220" w:lineRule="auto"/>
        <w:ind w:left="611"/>
        <w:rPr>
          <w:rFonts w:ascii="宋体" w:hAnsi="宋体" w:eastAsia="宋体" w:cs="宋体"/>
          <w:sz w:val="24"/>
          <w:szCs w:val="24"/>
        </w:rPr>
      </w:pPr>
      <w:r>
        <w:rPr>
          <w:b/>
          <w:bCs/>
          <w:spacing w:val="-4"/>
          <w:sz w:val="24"/>
          <w:szCs w:val="24"/>
        </w:rPr>
        <w:t>17</w:t>
      </w:r>
      <w:r>
        <w:rPr>
          <w:rFonts w:ascii="宋体" w:hAnsi="宋体" w:eastAsia="宋体" w:cs="宋体"/>
          <w:b/>
          <w:bCs/>
          <w:spacing w:val="-4"/>
          <w:sz w:val="24"/>
          <w:szCs w:val="24"/>
        </w:rPr>
        <w:t>、投标保证金</w:t>
      </w:r>
    </w:p>
    <w:p w14:paraId="73C1D0E0">
      <w:pPr>
        <w:spacing w:before="311" w:line="187" w:lineRule="auto"/>
        <w:ind w:left="609"/>
        <w:rPr>
          <w:rFonts w:ascii="微软雅黑" w:hAnsi="微软雅黑" w:eastAsia="微软雅黑" w:cs="微软雅黑"/>
          <w:sz w:val="24"/>
          <w:szCs w:val="24"/>
        </w:rPr>
      </w:pPr>
      <w:r>
        <w:rPr>
          <w:rFonts w:ascii="微软雅黑" w:hAnsi="微软雅黑" w:eastAsia="微软雅黑" w:cs="微软雅黑"/>
          <w:spacing w:val="-5"/>
          <w:sz w:val="24"/>
          <w:szCs w:val="24"/>
        </w:rPr>
        <w:t>本项目免收投标保证金。</w:t>
      </w:r>
    </w:p>
    <w:p w14:paraId="70BF3B52">
      <w:pPr>
        <w:spacing w:before="275" w:line="220" w:lineRule="auto"/>
        <w:ind w:left="620"/>
        <w:rPr>
          <w:rFonts w:ascii="宋体" w:hAnsi="宋体" w:eastAsia="宋体" w:cs="宋体"/>
          <w:sz w:val="24"/>
          <w:szCs w:val="24"/>
        </w:rPr>
      </w:pPr>
      <w:r>
        <w:rPr>
          <w:rFonts w:ascii="宋体" w:hAnsi="宋体" w:eastAsia="宋体" w:cs="宋体"/>
          <w:b/>
          <w:bCs/>
          <w:spacing w:val="-6"/>
          <w:sz w:val="24"/>
          <w:szCs w:val="24"/>
        </w:rPr>
        <w:t>18、履约保证金</w:t>
      </w:r>
    </w:p>
    <w:p w14:paraId="07476E02">
      <w:pPr>
        <w:spacing w:before="310" w:line="216" w:lineRule="auto"/>
        <w:ind w:left="602"/>
        <w:rPr>
          <w:rFonts w:ascii="仿宋" w:hAnsi="仿宋" w:eastAsia="仿宋" w:cs="仿宋"/>
          <w:sz w:val="24"/>
          <w:szCs w:val="24"/>
        </w:rPr>
      </w:pPr>
      <w:r>
        <w:rPr>
          <w:rFonts w:ascii="仿宋" w:hAnsi="仿宋" w:eastAsia="仿宋" w:cs="仿宋"/>
          <w:spacing w:val="-5"/>
          <w:sz w:val="24"/>
          <w:szCs w:val="24"/>
        </w:rPr>
        <w:t>本项目免收履约保证金。</w:t>
      </w:r>
    </w:p>
    <w:p w14:paraId="53229B14">
      <w:pPr>
        <w:pStyle w:val="2"/>
        <w:spacing w:line="256" w:lineRule="auto"/>
      </w:pPr>
    </w:p>
    <w:p w14:paraId="1AD27EE2">
      <w:pPr>
        <w:spacing w:before="118" w:line="219" w:lineRule="auto"/>
        <w:ind w:left="2537"/>
        <w:rPr>
          <w:rFonts w:ascii="宋体" w:hAnsi="宋体" w:eastAsia="宋体" w:cs="宋体"/>
          <w:sz w:val="36"/>
          <w:szCs w:val="36"/>
        </w:rPr>
      </w:pPr>
      <w:r>
        <w:rPr>
          <w:rFonts w:ascii="宋体" w:hAnsi="宋体" w:eastAsia="宋体" w:cs="宋体"/>
          <w:b/>
          <w:bCs/>
          <w:spacing w:val="-4"/>
          <w:sz w:val="36"/>
          <w:szCs w:val="36"/>
        </w:rPr>
        <w:t>第三部分</w:t>
      </w:r>
      <w:r>
        <w:rPr>
          <w:rFonts w:ascii="宋体" w:hAnsi="宋体" w:eastAsia="宋体" w:cs="宋体"/>
          <w:spacing w:val="-4"/>
          <w:sz w:val="36"/>
          <w:szCs w:val="36"/>
        </w:rPr>
        <w:t xml:space="preserve">  </w:t>
      </w:r>
      <w:r>
        <w:rPr>
          <w:rFonts w:ascii="宋体" w:hAnsi="宋体" w:eastAsia="宋体" w:cs="宋体"/>
          <w:b/>
          <w:bCs/>
          <w:spacing w:val="-4"/>
          <w:sz w:val="36"/>
          <w:szCs w:val="36"/>
        </w:rPr>
        <w:t>采购需求及商务要求</w:t>
      </w:r>
    </w:p>
    <w:p w14:paraId="69EC7AC9">
      <w:pPr>
        <w:spacing w:before="189" w:line="187" w:lineRule="auto"/>
        <w:ind w:left="3244"/>
        <w:rPr>
          <w:rFonts w:ascii="微软雅黑" w:hAnsi="微软雅黑" w:eastAsia="微软雅黑" w:cs="微软雅黑"/>
          <w:sz w:val="32"/>
          <w:szCs w:val="32"/>
        </w:rPr>
      </w:pPr>
      <w:r>
        <w:rPr>
          <w:rFonts w:ascii="微软雅黑" w:hAnsi="微软雅黑" w:eastAsia="微软雅黑" w:cs="微软雅黑"/>
          <w:b/>
          <w:bCs/>
          <w:spacing w:val="-5"/>
          <w:sz w:val="32"/>
          <w:szCs w:val="32"/>
        </w:rPr>
        <w:t>第一章</w:t>
      </w:r>
      <w:r>
        <w:rPr>
          <w:rFonts w:ascii="微软雅黑" w:hAnsi="微软雅黑" w:eastAsia="微软雅黑" w:cs="微软雅黑"/>
          <w:b/>
          <w:bCs/>
          <w:spacing w:val="91"/>
          <w:sz w:val="32"/>
          <w:szCs w:val="32"/>
        </w:rPr>
        <w:t xml:space="preserve"> </w:t>
      </w:r>
      <w:r>
        <w:rPr>
          <w:rFonts w:ascii="微软雅黑" w:hAnsi="微软雅黑" w:eastAsia="微软雅黑" w:cs="微软雅黑"/>
          <w:b/>
          <w:bCs/>
          <w:spacing w:val="-5"/>
          <w:sz w:val="32"/>
          <w:szCs w:val="32"/>
        </w:rPr>
        <w:t>采购需求及技术参数</w:t>
      </w:r>
    </w:p>
    <w:p w14:paraId="2D6F20F8">
      <w:pPr>
        <w:spacing w:before="206" w:line="188" w:lineRule="auto"/>
        <w:ind w:left="823"/>
        <w:rPr>
          <w:rFonts w:ascii="微软雅黑" w:hAnsi="微软雅黑" w:eastAsia="微软雅黑" w:cs="微软雅黑"/>
          <w:sz w:val="24"/>
          <w:szCs w:val="24"/>
        </w:rPr>
      </w:pPr>
      <w:r>
        <w:rPr>
          <w:rFonts w:ascii="微软雅黑" w:hAnsi="微软雅黑" w:eastAsia="微软雅黑" w:cs="微软雅黑"/>
          <w:b/>
          <w:bCs/>
          <w:sz w:val="24"/>
          <w:szCs w:val="24"/>
        </w:rPr>
        <w:t>“★”</w:t>
      </w:r>
      <w:r>
        <w:rPr>
          <w:rFonts w:ascii="微软雅黑" w:hAnsi="微软雅黑" w:eastAsia="微软雅黑" w:cs="微软雅黑"/>
          <w:b/>
          <w:bCs/>
          <w:spacing w:val="72"/>
          <w:sz w:val="24"/>
          <w:szCs w:val="24"/>
        </w:rPr>
        <w:t xml:space="preserve"> </w:t>
      </w:r>
      <w:r>
        <w:rPr>
          <w:rFonts w:ascii="微软雅黑" w:hAnsi="微软雅黑" w:eastAsia="微软雅黑" w:cs="微软雅黑"/>
          <w:b/>
          <w:bCs/>
          <w:sz w:val="24"/>
          <w:szCs w:val="24"/>
        </w:rPr>
        <w:t>标内容的核心技术参数，投标人必须满足，若有一项不满足按无效标处理。</w:t>
      </w:r>
    </w:p>
    <w:p w14:paraId="7F60B454">
      <w:pPr>
        <w:spacing w:before="295" w:line="189" w:lineRule="auto"/>
        <w:ind w:left="4100"/>
        <w:rPr>
          <w:rFonts w:ascii="微软雅黑" w:hAnsi="微软雅黑" w:eastAsia="微软雅黑" w:cs="微软雅黑"/>
          <w:sz w:val="44"/>
          <w:szCs w:val="44"/>
        </w:rPr>
      </w:pPr>
      <w:r>
        <w:rPr>
          <w:rFonts w:ascii="微软雅黑" w:hAnsi="微软雅黑" w:eastAsia="微软雅黑" w:cs="微软雅黑"/>
          <w:b/>
          <w:bCs/>
          <w:spacing w:val="-11"/>
          <w:sz w:val="44"/>
          <w:szCs w:val="44"/>
        </w:rPr>
        <w:t>标  段  一</w:t>
      </w:r>
    </w:p>
    <w:p w14:paraId="1A096B31">
      <w:pPr>
        <w:spacing w:before="82" w:line="187" w:lineRule="auto"/>
        <w:ind w:left="132"/>
        <w:rPr>
          <w:rFonts w:ascii="微软雅黑" w:hAnsi="微软雅黑" w:eastAsia="微软雅黑" w:cs="微软雅黑"/>
          <w:sz w:val="28"/>
          <w:szCs w:val="28"/>
        </w:rPr>
      </w:pPr>
      <w:r>
        <w:rPr>
          <w:rFonts w:ascii="微软雅黑" w:hAnsi="微软雅黑" w:eastAsia="微软雅黑" w:cs="微软雅黑"/>
          <w:spacing w:val="-5"/>
          <w:sz w:val="28"/>
          <w:szCs w:val="28"/>
        </w:rPr>
        <w:t>项目名称：</w:t>
      </w:r>
      <w:r>
        <w:rPr>
          <w:rFonts w:ascii="微软雅黑" w:hAnsi="微软雅黑" w:eastAsia="微软雅黑" w:cs="微软雅黑"/>
          <w:spacing w:val="-30"/>
          <w:sz w:val="28"/>
          <w:szCs w:val="28"/>
        </w:rPr>
        <w:t xml:space="preserve"> </w:t>
      </w:r>
      <w:r>
        <w:rPr>
          <w:rFonts w:ascii="微软雅黑" w:hAnsi="微软雅黑" w:eastAsia="微软雅黑" w:cs="微软雅黑"/>
          <w:b/>
          <w:bCs/>
          <w:spacing w:val="-5"/>
          <w:sz w:val="28"/>
          <w:szCs w:val="28"/>
        </w:rPr>
        <w:t>临床危急值管理系统</w:t>
      </w:r>
    </w:p>
    <w:p w14:paraId="29BE35A0">
      <w:pPr>
        <w:spacing w:before="220" w:line="258" w:lineRule="auto"/>
        <w:ind w:left="131" w:right="8261" w:hanging="1"/>
        <w:rPr>
          <w:rFonts w:ascii="微软雅黑" w:hAnsi="微软雅黑" w:eastAsia="微软雅黑" w:cs="微软雅黑"/>
          <w:sz w:val="28"/>
          <w:szCs w:val="28"/>
        </w:rPr>
      </w:pPr>
      <w:r>
        <w:rPr>
          <w:rFonts w:ascii="微软雅黑" w:hAnsi="微软雅黑" w:eastAsia="微软雅黑" w:cs="微软雅黑"/>
          <w:spacing w:val="-13"/>
          <w:sz w:val="28"/>
          <w:szCs w:val="28"/>
        </w:rPr>
        <w:t>数</w:t>
      </w:r>
      <w:r>
        <w:rPr>
          <w:rFonts w:ascii="微软雅黑" w:hAnsi="微软雅黑" w:eastAsia="微软雅黑" w:cs="微软雅黑"/>
          <w:sz w:val="28"/>
          <w:szCs w:val="28"/>
        </w:rPr>
        <w:t xml:space="preserve">       </w:t>
      </w:r>
      <w:r>
        <w:rPr>
          <w:rFonts w:ascii="微软雅黑" w:hAnsi="微软雅黑" w:eastAsia="微软雅黑" w:cs="微软雅黑"/>
          <w:spacing w:val="-13"/>
          <w:sz w:val="28"/>
          <w:szCs w:val="28"/>
        </w:rPr>
        <w:t>量：1 项</w:t>
      </w:r>
      <w:r>
        <w:rPr>
          <w:rFonts w:ascii="微软雅黑" w:hAnsi="微软雅黑" w:eastAsia="微软雅黑" w:cs="微软雅黑"/>
          <w:spacing w:val="2"/>
          <w:sz w:val="28"/>
          <w:szCs w:val="28"/>
        </w:rPr>
        <w:t xml:space="preserve"> </w:t>
      </w:r>
      <w:r>
        <w:rPr>
          <w:rFonts w:ascii="微软雅黑" w:hAnsi="微软雅黑" w:eastAsia="微软雅黑" w:cs="微软雅黑"/>
          <w:spacing w:val="-14"/>
          <w:sz w:val="28"/>
          <w:szCs w:val="28"/>
        </w:rPr>
        <w:t>技术参数：</w:t>
      </w:r>
    </w:p>
    <w:tbl>
      <w:tblPr>
        <w:tblStyle w:val="5"/>
        <w:tblW w:w="102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2218"/>
        <w:gridCol w:w="6692"/>
      </w:tblGrid>
      <w:tr w14:paraId="4BB5C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344" w:type="dxa"/>
            <w:vAlign w:val="top"/>
          </w:tcPr>
          <w:p w14:paraId="14A549B1">
            <w:pPr>
              <w:pStyle w:val="6"/>
              <w:spacing w:before="286" w:line="188" w:lineRule="auto"/>
              <w:ind w:left="331"/>
            </w:pPr>
            <w:r>
              <w:rPr>
                <w:b/>
                <w:bCs/>
                <w:spacing w:val="-6"/>
              </w:rPr>
              <w:t>子系统</w:t>
            </w:r>
          </w:p>
        </w:tc>
        <w:tc>
          <w:tcPr>
            <w:tcW w:w="2218" w:type="dxa"/>
            <w:vAlign w:val="top"/>
          </w:tcPr>
          <w:p w14:paraId="1E329959">
            <w:pPr>
              <w:pStyle w:val="6"/>
              <w:spacing w:before="285" w:line="188" w:lineRule="auto"/>
              <w:ind w:left="881"/>
            </w:pPr>
            <w:r>
              <w:rPr>
                <w:b/>
                <w:bCs/>
                <w:spacing w:val="-6"/>
              </w:rPr>
              <w:t>功能</w:t>
            </w:r>
          </w:p>
        </w:tc>
        <w:tc>
          <w:tcPr>
            <w:tcW w:w="6692" w:type="dxa"/>
            <w:vAlign w:val="top"/>
          </w:tcPr>
          <w:p w14:paraId="6946B9E8">
            <w:pPr>
              <w:pStyle w:val="6"/>
              <w:spacing w:before="285" w:line="188" w:lineRule="auto"/>
              <w:ind w:left="2880"/>
            </w:pPr>
            <w:r>
              <w:rPr>
                <w:b/>
                <w:bCs/>
                <w:spacing w:val="-4"/>
              </w:rPr>
              <w:t>功能描述</w:t>
            </w:r>
          </w:p>
        </w:tc>
      </w:tr>
      <w:tr w14:paraId="1546E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344" w:type="dxa"/>
            <w:vMerge w:val="restart"/>
            <w:tcBorders>
              <w:bottom w:val="nil"/>
            </w:tcBorders>
            <w:vAlign w:val="top"/>
          </w:tcPr>
          <w:p w14:paraId="042D4AE3">
            <w:pPr>
              <w:spacing w:line="263" w:lineRule="auto"/>
              <w:rPr>
                <w:rFonts w:ascii="Arial"/>
                <w:sz w:val="21"/>
              </w:rPr>
            </w:pPr>
          </w:p>
          <w:p w14:paraId="27B62CE2">
            <w:pPr>
              <w:spacing w:line="264" w:lineRule="auto"/>
              <w:rPr>
                <w:rFonts w:ascii="Arial"/>
                <w:sz w:val="21"/>
              </w:rPr>
            </w:pPr>
          </w:p>
          <w:p w14:paraId="232278A2">
            <w:pPr>
              <w:spacing w:line="264" w:lineRule="auto"/>
              <w:rPr>
                <w:rFonts w:ascii="Arial"/>
                <w:sz w:val="21"/>
              </w:rPr>
            </w:pPr>
          </w:p>
          <w:p w14:paraId="345A5A54">
            <w:pPr>
              <w:spacing w:line="264" w:lineRule="auto"/>
              <w:rPr>
                <w:rFonts w:ascii="Arial"/>
                <w:sz w:val="21"/>
              </w:rPr>
            </w:pPr>
          </w:p>
          <w:p w14:paraId="6C614B58">
            <w:pPr>
              <w:pStyle w:val="6"/>
              <w:spacing w:before="90" w:line="197" w:lineRule="auto"/>
              <w:ind w:left="124" w:right="181" w:hanging="3"/>
              <w:rPr>
                <w:sz w:val="21"/>
                <w:szCs w:val="21"/>
              </w:rPr>
            </w:pPr>
            <w:r>
              <w:rPr>
                <w:spacing w:val="-4"/>
                <w:sz w:val="21"/>
                <w:szCs w:val="21"/>
              </w:rPr>
              <w:t>危急值上报</w:t>
            </w:r>
            <w:r>
              <w:rPr>
                <w:sz w:val="21"/>
                <w:szCs w:val="21"/>
              </w:rPr>
              <w:t xml:space="preserve"> </w:t>
            </w:r>
            <w:r>
              <w:rPr>
                <w:spacing w:val="-3"/>
                <w:w w:val="98"/>
                <w:sz w:val="21"/>
                <w:szCs w:val="21"/>
              </w:rPr>
              <w:t>系统</w:t>
            </w:r>
          </w:p>
        </w:tc>
        <w:tc>
          <w:tcPr>
            <w:tcW w:w="2218" w:type="dxa"/>
            <w:vAlign w:val="top"/>
          </w:tcPr>
          <w:p w14:paraId="58EDC417">
            <w:pPr>
              <w:spacing w:line="304" w:lineRule="auto"/>
              <w:rPr>
                <w:rFonts w:ascii="Arial"/>
                <w:sz w:val="21"/>
              </w:rPr>
            </w:pPr>
          </w:p>
          <w:p w14:paraId="3872B46A">
            <w:pPr>
              <w:pStyle w:val="6"/>
              <w:spacing w:before="90" w:line="188" w:lineRule="auto"/>
              <w:ind w:left="121"/>
              <w:rPr>
                <w:sz w:val="21"/>
                <w:szCs w:val="21"/>
              </w:rPr>
            </w:pPr>
            <w:r>
              <w:rPr>
                <w:spacing w:val="-5"/>
                <w:sz w:val="21"/>
                <w:szCs w:val="21"/>
              </w:rPr>
              <w:t>系统启动</w:t>
            </w:r>
          </w:p>
        </w:tc>
        <w:tc>
          <w:tcPr>
            <w:tcW w:w="6692" w:type="dxa"/>
            <w:vAlign w:val="top"/>
          </w:tcPr>
          <w:p w14:paraId="1853A8F1">
            <w:pPr>
              <w:pStyle w:val="6"/>
              <w:spacing w:before="246" w:line="188" w:lineRule="auto"/>
              <w:ind w:left="123"/>
              <w:rPr>
                <w:sz w:val="21"/>
                <w:szCs w:val="21"/>
              </w:rPr>
            </w:pPr>
            <w:r>
              <w:rPr>
                <w:spacing w:val="-2"/>
                <w:sz w:val="21"/>
                <w:szCs w:val="21"/>
              </w:rPr>
              <w:t>1.随着操作系统自动启动和自动登录；</w:t>
            </w:r>
          </w:p>
          <w:p w14:paraId="1E0EEB46">
            <w:pPr>
              <w:pStyle w:val="6"/>
              <w:spacing w:before="15" w:line="188" w:lineRule="auto"/>
              <w:ind w:left="110"/>
              <w:rPr>
                <w:sz w:val="21"/>
                <w:szCs w:val="21"/>
              </w:rPr>
            </w:pPr>
            <w:r>
              <w:rPr>
                <w:spacing w:val="-2"/>
                <w:sz w:val="21"/>
                <w:szCs w:val="21"/>
              </w:rPr>
              <w:t>2.切换 HIS 登录时自动切换危急值系统登录用户。</w:t>
            </w:r>
          </w:p>
        </w:tc>
      </w:tr>
      <w:tr w14:paraId="50C23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1344" w:type="dxa"/>
            <w:vMerge w:val="continue"/>
            <w:tcBorders>
              <w:top w:val="nil"/>
            </w:tcBorders>
            <w:vAlign w:val="top"/>
          </w:tcPr>
          <w:p w14:paraId="07DFB0FC">
            <w:pPr>
              <w:rPr>
                <w:rFonts w:ascii="Arial"/>
                <w:sz w:val="21"/>
              </w:rPr>
            </w:pPr>
          </w:p>
        </w:tc>
        <w:tc>
          <w:tcPr>
            <w:tcW w:w="2218" w:type="dxa"/>
            <w:vAlign w:val="top"/>
          </w:tcPr>
          <w:p w14:paraId="4A14D6D2">
            <w:pPr>
              <w:spacing w:line="277" w:lineRule="auto"/>
              <w:rPr>
                <w:rFonts w:ascii="Arial"/>
                <w:sz w:val="21"/>
              </w:rPr>
            </w:pPr>
          </w:p>
          <w:p w14:paraId="370FD3A6">
            <w:pPr>
              <w:spacing w:line="277" w:lineRule="auto"/>
              <w:rPr>
                <w:rFonts w:ascii="Arial"/>
                <w:sz w:val="21"/>
              </w:rPr>
            </w:pPr>
          </w:p>
          <w:p w14:paraId="51A81455">
            <w:pPr>
              <w:pStyle w:val="6"/>
              <w:spacing w:before="90" w:line="188" w:lineRule="auto"/>
              <w:ind w:left="121"/>
              <w:rPr>
                <w:sz w:val="21"/>
                <w:szCs w:val="21"/>
              </w:rPr>
            </w:pPr>
            <w:r>
              <w:rPr>
                <w:spacing w:val="-3"/>
                <w:sz w:val="21"/>
                <w:szCs w:val="21"/>
              </w:rPr>
              <w:t>系统登录和权限</w:t>
            </w:r>
          </w:p>
        </w:tc>
        <w:tc>
          <w:tcPr>
            <w:tcW w:w="6692" w:type="dxa"/>
            <w:vAlign w:val="top"/>
          </w:tcPr>
          <w:p w14:paraId="08F8B95E">
            <w:pPr>
              <w:pStyle w:val="6"/>
              <w:spacing w:before="199" w:line="198" w:lineRule="auto"/>
              <w:ind w:left="119" w:right="102" w:firstLine="3"/>
              <w:jc w:val="both"/>
              <w:rPr>
                <w:sz w:val="21"/>
                <w:szCs w:val="21"/>
              </w:rPr>
            </w:pPr>
            <w:r>
              <w:rPr>
                <w:spacing w:val="-1"/>
                <w:sz w:val="21"/>
                <w:szCs w:val="21"/>
              </w:rPr>
              <w:t>1.支持医生 HIS 账户登录，查看医生个人名下危急值信息；2.支持科室</w:t>
            </w:r>
            <w:r>
              <w:rPr>
                <w:spacing w:val="3"/>
                <w:sz w:val="21"/>
                <w:szCs w:val="21"/>
              </w:rPr>
              <w:t xml:space="preserve"> </w:t>
            </w:r>
            <w:r>
              <w:rPr>
                <w:spacing w:val="4"/>
                <w:sz w:val="21"/>
                <w:szCs w:val="21"/>
              </w:rPr>
              <w:t xml:space="preserve">(病区)登录,查看科室所有危急值信息；3.支持医技部门登录，查看本  </w:t>
            </w:r>
            <w:r>
              <w:rPr>
                <w:spacing w:val="-1"/>
                <w:sz w:val="21"/>
                <w:szCs w:val="21"/>
              </w:rPr>
              <w:t>医技科室发生的危急值；4.支持门诊和住院护士站登录，查看所属科室</w:t>
            </w:r>
            <w:r>
              <w:rPr>
                <w:spacing w:val="16"/>
                <w:sz w:val="21"/>
                <w:szCs w:val="21"/>
              </w:rPr>
              <w:t xml:space="preserve"> </w:t>
            </w:r>
            <w:r>
              <w:rPr>
                <w:spacing w:val="-7"/>
                <w:sz w:val="21"/>
                <w:szCs w:val="21"/>
              </w:rPr>
              <w:t>危急值信息。</w:t>
            </w:r>
          </w:p>
        </w:tc>
      </w:tr>
    </w:tbl>
    <w:p w14:paraId="4C15BEED">
      <w:pPr>
        <w:pStyle w:val="2"/>
        <w:spacing w:line="423" w:lineRule="auto"/>
      </w:pPr>
    </w:p>
    <w:p w14:paraId="21A7E05D">
      <w:pPr>
        <w:spacing w:before="62" w:line="209" w:lineRule="auto"/>
        <w:ind w:left="222"/>
        <w:rPr>
          <w:rFonts w:ascii="宋体" w:hAnsi="宋体" w:eastAsia="宋体" w:cs="宋体"/>
          <w:sz w:val="19"/>
          <w:szCs w:val="19"/>
        </w:rPr>
      </w:pPr>
      <w:r>
        <w:pict>
          <v:shape id="_x0000_s1029" o:spid="_x0000_s1029" style="position:absolute;left:0pt;margin-left:5.65pt;margin-top:11.8pt;height:0.75pt;width:494pt;z-index:251672576;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8                                </w:t>
      </w:r>
      <w:r>
        <w:rPr>
          <w:rFonts w:ascii="宋体" w:hAnsi="宋体" w:eastAsia="宋体" w:cs="宋体"/>
          <w:b/>
          <w:bCs/>
          <w:i/>
          <w:iCs/>
          <w:spacing w:val="-3"/>
          <w:sz w:val="19"/>
          <w:szCs w:val="19"/>
        </w:rPr>
        <w:t>伊犁州公共资源交易中心</w:t>
      </w:r>
    </w:p>
    <w:p w14:paraId="10EA2B3D">
      <w:pPr>
        <w:spacing w:line="209" w:lineRule="auto"/>
        <w:rPr>
          <w:rFonts w:ascii="宋体" w:hAnsi="宋体" w:eastAsia="宋体" w:cs="宋体"/>
          <w:sz w:val="19"/>
          <w:szCs w:val="19"/>
        </w:rPr>
        <w:sectPr>
          <w:headerReference r:id="rId18" w:type="default"/>
          <w:footerReference r:id="rId19" w:type="default"/>
          <w:pgSz w:w="11905" w:h="16839"/>
          <w:pgMar w:top="1136" w:right="587" w:bottom="400" w:left="1052" w:header="854" w:footer="0" w:gutter="0"/>
          <w:cols w:space="720" w:num="1"/>
        </w:sectPr>
      </w:pPr>
    </w:p>
    <w:p w14:paraId="15F58180">
      <w:pPr>
        <w:spacing w:before="38"/>
      </w:pPr>
    </w:p>
    <w:tbl>
      <w:tblPr>
        <w:tblStyle w:val="5"/>
        <w:tblW w:w="102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2218"/>
        <w:gridCol w:w="6692"/>
      </w:tblGrid>
      <w:tr w14:paraId="644A3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1344" w:type="dxa"/>
            <w:vMerge w:val="restart"/>
            <w:tcBorders>
              <w:bottom w:val="nil"/>
            </w:tcBorders>
            <w:vAlign w:val="top"/>
          </w:tcPr>
          <w:p w14:paraId="0B0D7D37">
            <w:pPr>
              <w:rPr>
                <w:rFonts w:ascii="Arial"/>
                <w:sz w:val="21"/>
              </w:rPr>
            </w:pPr>
          </w:p>
        </w:tc>
        <w:tc>
          <w:tcPr>
            <w:tcW w:w="2218" w:type="dxa"/>
            <w:vAlign w:val="top"/>
          </w:tcPr>
          <w:p w14:paraId="5B62BC3D">
            <w:pPr>
              <w:spacing w:line="367" w:lineRule="auto"/>
              <w:rPr>
                <w:rFonts w:ascii="Arial"/>
                <w:sz w:val="21"/>
              </w:rPr>
            </w:pPr>
          </w:p>
          <w:p w14:paraId="01DE3D41">
            <w:pPr>
              <w:pStyle w:val="6"/>
              <w:spacing w:before="90" w:line="188" w:lineRule="auto"/>
              <w:ind w:left="110"/>
              <w:rPr>
                <w:sz w:val="21"/>
                <w:szCs w:val="21"/>
              </w:rPr>
            </w:pPr>
            <w:r>
              <w:rPr>
                <w:spacing w:val="3"/>
                <w:sz w:val="21"/>
                <w:szCs w:val="21"/>
              </w:rPr>
              <w:t>★医生危急值列表</w:t>
            </w:r>
          </w:p>
        </w:tc>
        <w:tc>
          <w:tcPr>
            <w:tcW w:w="6692" w:type="dxa"/>
            <w:vAlign w:val="top"/>
          </w:tcPr>
          <w:p w14:paraId="392FDC5E">
            <w:pPr>
              <w:pStyle w:val="6"/>
              <w:spacing w:before="160" w:line="197" w:lineRule="auto"/>
              <w:ind w:left="119" w:right="102" w:firstLine="3"/>
              <w:rPr>
                <w:sz w:val="21"/>
                <w:szCs w:val="21"/>
              </w:rPr>
            </w:pPr>
            <w:r>
              <w:rPr>
                <w:sz w:val="21"/>
                <w:szCs w:val="21"/>
              </w:rPr>
              <w:t>1.查看本人或本病区所有未处理和已处理的危急值记录；2.每条未处理</w:t>
            </w:r>
            <w:r>
              <w:rPr>
                <w:spacing w:val="16"/>
                <w:w w:val="101"/>
                <w:sz w:val="21"/>
                <w:szCs w:val="21"/>
              </w:rPr>
              <w:t xml:space="preserve"> </w:t>
            </w:r>
            <w:r>
              <w:rPr>
                <w:spacing w:val="-5"/>
                <w:sz w:val="21"/>
                <w:szCs w:val="21"/>
              </w:rPr>
              <w:t>危急值醒目标识出未处理耗时；</w:t>
            </w:r>
          </w:p>
          <w:p w14:paraId="39144828">
            <w:pPr>
              <w:pStyle w:val="6"/>
              <w:spacing w:before="4" w:line="188" w:lineRule="auto"/>
              <w:ind w:left="112"/>
              <w:rPr>
                <w:sz w:val="21"/>
                <w:szCs w:val="21"/>
              </w:rPr>
            </w:pPr>
            <w:r>
              <w:rPr>
                <w:sz w:val="21"/>
                <w:szCs w:val="21"/>
              </w:rPr>
              <w:t>3.支持多种条件进行危急值查询，查询结果可导出为</w:t>
            </w:r>
            <w:r>
              <w:rPr>
                <w:spacing w:val="-1"/>
                <w:sz w:val="21"/>
                <w:szCs w:val="21"/>
              </w:rPr>
              <w:t>文件。</w:t>
            </w:r>
          </w:p>
        </w:tc>
      </w:tr>
      <w:tr w14:paraId="16AB8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1344" w:type="dxa"/>
            <w:vMerge w:val="continue"/>
            <w:tcBorders>
              <w:top w:val="nil"/>
              <w:bottom w:val="nil"/>
            </w:tcBorders>
            <w:vAlign w:val="top"/>
          </w:tcPr>
          <w:p w14:paraId="27C15CEC">
            <w:pPr>
              <w:rPr>
                <w:rFonts w:ascii="Arial"/>
                <w:sz w:val="21"/>
              </w:rPr>
            </w:pPr>
          </w:p>
        </w:tc>
        <w:tc>
          <w:tcPr>
            <w:tcW w:w="2218" w:type="dxa"/>
            <w:vAlign w:val="top"/>
          </w:tcPr>
          <w:p w14:paraId="0B3469CC">
            <w:pPr>
              <w:spacing w:line="274" w:lineRule="auto"/>
              <w:rPr>
                <w:rFonts w:ascii="Arial"/>
                <w:sz w:val="21"/>
              </w:rPr>
            </w:pPr>
          </w:p>
          <w:p w14:paraId="376E6594">
            <w:pPr>
              <w:spacing w:line="275" w:lineRule="auto"/>
              <w:rPr>
                <w:rFonts w:ascii="Arial"/>
                <w:sz w:val="21"/>
              </w:rPr>
            </w:pPr>
          </w:p>
          <w:p w14:paraId="219675A3">
            <w:pPr>
              <w:pStyle w:val="6"/>
              <w:spacing w:before="90" w:line="188" w:lineRule="auto"/>
              <w:ind w:left="110"/>
              <w:rPr>
                <w:sz w:val="21"/>
                <w:szCs w:val="21"/>
              </w:rPr>
            </w:pPr>
            <w:r>
              <w:rPr>
                <w:spacing w:val="3"/>
                <w:sz w:val="21"/>
                <w:szCs w:val="21"/>
              </w:rPr>
              <w:t>★护士危急值列表</w:t>
            </w:r>
          </w:p>
        </w:tc>
        <w:tc>
          <w:tcPr>
            <w:tcW w:w="6692" w:type="dxa"/>
            <w:vAlign w:val="top"/>
          </w:tcPr>
          <w:p w14:paraId="621700EF">
            <w:pPr>
              <w:pStyle w:val="6"/>
              <w:spacing w:before="195" w:line="197" w:lineRule="auto"/>
              <w:ind w:left="110" w:right="1796" w:firstLine="13"/>
              <w:rPr>
                <w:sz w:val="21"/>
                <w:szCs w:val="21"/>
              </w:rPr>
            </w:pPr>
            <w:r>
              <w:rPr>
                <w:spacing w:val="-3"/>
                <w:sz w:val="21"/>
                <w:szCs w:val="21"/>
              </w:rPr>
              <w:t>1.</w:t>
            </w:r>
            <w:r>
              <w:rPr>
                <w:spacing w:val="-24"/>
                <w:sz w:val="21"/>
                <w:szCs w:val="21"/>
              </w:rPr>
              <w:t xml:space="preserve"> </w:t>
            </w:r>
            <w:r>
              <w:rPr>
                <w:spacing w:val="-3"/>
                <w:sz w:val="21"/>
                <w:szCs w:val="21"/>
              </w:rPr>
              <w:t>门诊分诊台查看所服务的门诊科室的所有危急值；</w:t>
            </w:r>
            <w:r>
              <w:rPr>
                <w:sz w:val="21"/>
                <w:szCs w:val="21"/>
              </w:rPr>
              <w:t xml:space="preserve"> </w:t>
            </w:r>
            <w:r>
              <w:rPr>
                <w:spacing w:val="-1"/>
                <w:sz w:val="21"/>
                <w:szCs w:val="21"/>
              </w:rPr>
              <w:t>2.病区护士站查看所属病区的所有危急值；</w:t>
            </w:r>
          </w:p>
          <w:p w14:paraId="7073CA67">
            <w:pPr>
              <w:pStyle w:val="6"/>
              <w:spacing w:before="4" w:line="188" w:lineRule="auto"/>
              <w:ind w:left="112"/>
              <w:rPr>
                <w:sz w:val="21"/>
                <w:szCs w:val="21"/>
              </w:rPr>
            </w:pPr>
            <w:r>
              <w:rPr>
                <w:spacing w:val="-2"/>
                <w:sz w:val="21"/>
                <w:szCs w:val="21"/>
              </w:rPr>
              <w:t>3.支持护士接收危急值；</w:t>
            </w:r>
          </w:p>
          <w:p w14:paraId="7F2E325E">
            <w:pPr>
              <w:pStyle w:val="6"/>
              <w:spacing w:before="15" w:line="188" w:lineRule="auto"/>
              <w:ind w:left="107"/>
              <w:rPr>
                <w:sz w:val="21"/>
                <w:szCs w:val="21"/>
              </w:rPr>
            </w:pPr>
            <w:r>
              <w:rPr>
                <w:sz w:val="21"/>
                <w:szCs w:val="21"/>
              </w:rPr>
              <w:t>4.支持多种条件进行危急值查询，查询结果可导出为文件。</w:t>
            </w:r>
          </w:p>
        </w:tc>
      </w:tr>
      <w:tr w14:paraId="08017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1344" w:type="dxa"/>
            <w:vMerge w:val="continue"/>
            <w:tcBorders>
              <w:top w:val="nil"/>
              <w:bottom w:val="nil"/>
            </w:tcBorders>
            <w:vAlign w:val="top"/>
          </w:tcPr>
          <w:p w14:paraId="08A40937">
            <w:pPr>
              <w:rPr>
                <w:rFonts w:ascii="Arial"/>
                <w:sz w:val="21"/>
              </w:rPr>
            </w:pPr>
          </w:p>
        </w:tc>
        <w:tc>
          <w:tcPr>
            <w:tcW w:w="2218" w:type="dxa"/>
            <w:vAlign w:val="top"/>
          </w:tcPr>
          <w:p w14:paraId="51445347">
            <w:pPr>
              <w:spacing w:line="245" w:lineRule="auto"/>
              <w:rPr>
                <w:rFonts w:ascii="Arial"/>
                <w:sz w:val="21"/>
              </w:rPr>
            </w:pPr>
          </w:p>
          <w:p w14:paraId="0ACFA623">
            <w:pPr>
              <w:spacing w:line="245" w:lineRule="auto"/>
              <w:rPr>
                <w:rFonts w:ascii="Arial"/>
                <w:sz w:val="21"/>
              </w:rPr>
            </w:pPr>
          </w:p>
          <w:p w14:paraId="4EF844CA">
            <w:pPr>
              <w:spacing w:line="246" w:lineRule="auto"/>
              <w:rPr>
                <w:rFonts w:ascii="Arial"/>
                <w:sz w:val="21"/>
              </w:rPr>
            </w:pPr>
          </w:p>
          <w:p w14:paraId="2662E1AD">
            <w:pPr>
              <w:pStyle w:val="6"/>
              <w:spacing w:before="90" w:line="188" w:lineRule="auto"/>
              <w:ind w:left="110"/>
              <w:rPr>
                <w:sz w:val="21"/>
                <w:szCs w:val="21"/>
              </w:rPr>
            </w:pPr>
            <w:r>
              <w:rPr>
                <w:spacing w:val="3"/>
                <w:sz w:val="21"/>
                <w:szCs w:val="21"/>
              </w:rPr>
              <w:t>★危急值消息弹窗</w:t>
            </w:r>
          </w:p>
        </w:tc>
        <w:tc>
          <w:tcPr>
            <w:tcW w:w="6692" w:type="dxa"/>
            <w:vAlign w:val="top"/>
          </w:tcPr>
          <w:p w14:paraId="471C3B01">
            <w:pPr>
              <w:pStyle w:val="6"/>
              <w:spacing w:before="235" w:line="188" w:lineRule="auto"/>
              <w:ind w:left="123"/>
              <w:rPr>
                <w:sz w:val="21"/>
                <w:szCs w:val="21"/>
              </w:rPr>
            </w:pPr>
            <w:r>
              <w:rPr>
                <w:spacing w:val="-3"/>
                <w:sz w:val="21"/>
                <w:szCs w:val="21"/>
              </w:rPr>
              <w:t>1.</w:t>
            </w:r>
            <w:r>
              <w:rPr>
                <w:spacing w:val="-23"/>
                <w:sz w:val="21"/>
                <w:szCs w:val="21"/>
              </w:rPr>
              <w:t xml:space="preserve"> </w:t>
            </w:r>
            <w:r>
              <w:rPr>
                <w:spacing w:val="-3"/>
                <w:sz w:val="21"/>
                <w:szCs w:val="21"/>
              </w:rPr>
              <w:t>门诊危急值精准弹窗到门诊医生诊室和分诊台；</w:t>
            </w:r>
          </w:p>
          <w:p w14:paraId="25B8A231">
            <w:pPr>
              <w:pStyle w:val="6"/>
              <w:spacing w:before="15" w:line="197" w:lineRule="auto"/>
              <w:ind w:left="111" w:right="1376" w:hanging="1"/>
              <w:rPr>
                <w:sz w:val="21"/>
                <w:szCs w:val="21"/>
              </w:rPr>
            </w:pPr>
            <w:r>
              <w:rPr>
                <w:spacing w:val="-1"/>
                <w:sz w:val="21"/>
                <w:szCs w:val="21"/>
              </w:rPr>
              <w:t>2.住院危急值弹窗到住院病区所有医生站和护士站提醒；</w:t>
            </w:r>
            <w:r>
              <w:rPr>
                <w:spacing w:val="5"/>
                <w:sz w:val="21"/>
                <w:szCs w:val="21"/>
              </w:rPr>
              <w:t xml:space="preserve"> </w:t>
            </w:r>
            <w:r>
              <w:rPr>
                <w:spacing w:val="-3"/>
                <w:sz w:val="21"/>
                <w:szCs w:val="21"/>
              </w:rPr>
              <w:t>3.</w:t>
            </w:r>
            <w:r>
              <w:rPr>
                <w:spacing w:val="-24"/>
                <w:sz w:val="21"/>
                <w:szCs w:val="21"/>
              </w:rPr>
              <w:t xml:space="preserve"> </w:t>
            </w:r>
            <w:r>
              <w:rPr>
                <w:spacing w:val="-3"/>
                <w:sz w:val="21"/>
                <w:szCs w:val="21"/>
              </w:rPr>
              <w:t>同病区一人处理后其他电脑自动关闭；</w:t>
            </w:r>
          </w:p>
          <w:p w14:paraId="296260BA">
            <w:pPr>
              <w:pStyle w:val="6"/>
              <w:spacing w:before="5" w:line="197" w:lineRule="auto"/>
              <w:ind w:left="112" w:right="746" w:hanging="5"/>
              <w:rPr>
                <w:sz w:val="21"/>
                <w:szCs w:val="21"/>
              </w:rPr>
            </w:pPr>
            <w:r>
              <w:rPr>
                <w:spacing w:val="-1"/>
                <w:sz w:val="21"/>
                <w:szCs w:val="21"/>
              </w:rPr>
              <w:t>4.弹出窗口提醒同时进行语音播报（电脑接上音箱的情况下</w:t>
            </w:r>
            <w:r>
              <w:rPr>
                <w:spacing w:val="4"/>
                <w:sz w:val="21"/>
                <w:szCs w:val="21"/>
              </w:rPr>
              <w:t>）；</w:t>
            </w:r>
            <w:r>
              <w:rPr>
                <w:spacing w:val="1"/>
                <w:sz w:val="21"/>
                <w:szCs w:val="21"/>
              </w:rPr>
              <w:t xml:space="preserve"> </w:t>
            </w:r>
            <w:r>
              <w:rPr>
                <w:spacing w:val="-1"/>
                <w:sz w:val="21"/>
                <w:szCs w:val="21"/>
              </w:rPr>
              <w:t>5.支持定制弹窗消息模型和内容。</w:t>
            </w:r>
          </w:p>
        </w:tc>
      </w:tr>
      <w:tr w14:paraId="685EF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344" w:type="dxa"/>
            <w:vMerge w:val="continue"/>
            <w:tcBorders>
              <w:top w:val="nil"/>
              <w:bottom w:val="nil"/>
            </w:tcBorders>
            <w:vAlign w:val="top"/>
          </w:tcPr>
          <w:p w14:paraId="10EE12B3">
            <w:pPr>
              <w:rPr>
                <w:rFonts w:ascii="Arial"/>
                <w:sz w:val="21"/>
              </w:rPr>
            </w:pPr>
          </w:p>
        </w:tc>
        <w:tc>
          <w:tcPr>
            <w:tcW w:w="2218" w:type="dxa"/>
            <w:vAlign w:val="top"/>
          </w:tcPr>
          <w:p w14:paraId="3C2901F2">
            <w:pPr>
              <w:pStyle w:val="6"/>
              <w:spacing w:before="270" w:line="188" w:lineRule="auto"/>
              <w:ind w:left="117"/>
              <w:rPr>
                <w:sz w:val="21"/>
                <w:szCs w:val="21"/>
              </w:rPr>
            </w:pPr>
            <w:r>
              <w:rPr>
                <w:spacing w:val="-3"/>
                <w:sz w:val="21"/>
                <w:szCs w:val="21"/>
              </w:rPr>
              <w:t>危急值短信提醒</w:t>
            </w:r>
          </w:p>
        </w:tc>
        <w:tc>
          <w:tcPr>
            <w:tcW w:w="6692" w:type="dxa"/>
            <w:vAlign w:val="top"/>
          </w:tcPr>
          <w:p w14:paraId="1E4CCA1D">
            <w:pPr>
              <w:pStyle w:val="6"/>
              <w:spacing w:before="120" w:line="197" w:lineRule="auto"/>
              <w:ind w:left="132" w:right="102" w:hanging="9"/>
              <w:rPr>
                <w:sz w:val="21"/>
                <w:szCs w:val="21"/>
              </w:rPr>
            </w:pPr>
            <w:r>
              <w:rPr>
                <w:spacing w:val="-1"/>
                <w:sz w:val="21"/>
                <w:szCs w:val="21"/>
              </w:rPr>
              <w:t>1.支持定制短信通知流程和模板，如：发生危急值时立即短信通知主治</w:t>
            </w:r>
            <w:r>
              <w:rPr>
                <w:spacing w:val="12"/>
                <w:sz w:val="21"/>
                <w:szCs w:val="21"/>
              </w:rPr>
              <w:t xml:space="preserve"> </w:t>
            </w:r>
            <w:r>
              <w:rPr>
                <w:spacing w:val="-4"/>
                <w:sz w:val="21"/>
                <w:szCs w:val="21"/>
              </w:rPr>
              <w:t>医生，超过 10 分钟未处理，则再次发送短信或提醒到相关责任人。</w:t>
            </w:r>
          </w:p>
        </w:tc>
      </w:tr>
      <w:tr w14:paraId="45752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344" w:type="dxa"/>
            <w:vMerge w:val="continue"/>
            <w:tcBorders>
              <w:top w:val="nil"/>
              <w:bottom w:val="nil"/>
            </w:tcBorders>
            <w:vAlign w:val="top"/>
          </w:tcPr>
          <w:p w14:paraId="58DED979">
            <w:pPr>
              <w:rPr>
                <w:rFonts w:ascii="Arial"/>
                <w:sz w:val="21"/>
              </w:rPr>
            </w:pPr>
          </w:p>
        </w:tc>
        <w:tc>
          <w:tcPr>
            <w:tcW w:w="2218" w:type="dxa"/>
            <w:vAlign w:val="top"/>
          </w:tcPr>
          <w:p w14:paraId="0AD53178">
            <w:pPr>
              <w:pStyle w:val="6"/>
              <w:spacing w:before="270" w:line="188" w:lineRule="auto"/>
              <w:ind w:left="117"/>
              <w:rPr>
                <w:sz w:val="21"/>
                <w:szCs w:val="21"/>
              </w:rPr>
            </w:pPr>
            <w:r>
              <w:rPr>
                <w:spacing w:val="-4"/>
                <w:sz w:val="21"/>
                <w:szCs w:val="21"/>
              </w:rPr>
              <w:t>危急值转派</w:t>
            </w:r>
          </w:p>
        </w:tc>
        <w:tc>
          <w:tcPr>
            <w:tcW w:w="6692" w:type="dxa"/>
            <w:vAlign w:val="top"/>
          </w:tcPr>
          <w:p w14:paraId="2FC74748">
            <w:pPr>
              <w:pStyle w:val="6"/>
              <w:spacing w:before="122" w:line="197" w:lineRule="auto"/>
              <w:ind w:left="110" w:right="2408" w:firstLine="13"/>
              <w:rPr>
                <w:sz w:val="21"/>
                <w:szCs w:val="21"/>
              </w:rPr>
            </w:pPr>
            <w:r>
              <w:rPr>
                <w:spacing w:val="-1"/>
                <w:sz w:val="21"/>
                <w:szCs w:val="21"/>
              </w:rPr>
              <w:t>1.支持将危急值指派给本病区其他医生处置。</w:t>
            </w:r>
            <w:r>
              <w:rPr>
                <w:spacing w:val="5"/>
                <w:sz w:val="21"/>
                <w:szCs w:val="21"/>
              </w:rPr>
              <w:t xml:space="preserve"> </w:t>
            </w:r>
            <w:r>
              <w:rPr>
                <w:sz w:val="21"/>
                <w:szCs w:val="21"/>
              </w:rPr>
              <w:t>2.支持跨病区指派医生。</w:t>
            </w:r>
          </w:p>
        </w:tc>
      </w:tr>
      <w:tr w14:paraId="29D04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1344" w:type="dxa"/>
            <w:vMerge w:val="continue"/>
            <w:tcBorders>
              <w:top w:val="nil"/>
              <w:bottom w:val="nil"/>
            </w:tcBorders>
            <w:vAlign w:val="top"/>
          </w:tcPr>
          <w:p w14:paraId="0BFE4853">
            <w:pPr>
              <w:rPr>
                <w:rFonts w:ascii="Arial"/>
                <w:sz w:val="21"/>
              </w:rPr>
            </w:pPr>
          </w:p>
        </w:tc>
        <w:tc>
          <w:tcPr>
            <w:tcW w:w="2218" w:type="dxa"/>
            <w:vAlign w:val="top"/>
          </w:tcPr>
          <w:p w14:paraId="0E8E98B1">
            <w:pPr>
              <w:spacing w:line="366" w:lineRule="auto"/>
              <w:rPr>
                <w:rFonts w:ascii="Arial"/>
                <w:sz w:val="21"/>
              </w:rPr>
            </w:pPr>
          </w:p>
          <w:p w14:paraId="46F18CD4">
            <w:pPr>
              <w:pStyle w:val="6"/>
              <w:spacing w:before="90" w:line="188" w:lineRule="auto"/>
              <w:ind w:left="110"/>
              <w:rPr>
                <w:sz w:val="21"/>
                <w:szCs w:val="21"/>
              </w:rPr>
            </w:pPr>
            <w:r>
              <w:rPr>
                <w:spacing w:val="4"/>
                <w:sz w:val="21"/>
                <w:szCs w:val="21"/>
              </w:rPr>
              <w:t>★危急值处理</w:t>
            </w:r>
          </w:p>
        </w:tc>
        <w:tc>
          <w:tcPr>
            <w:tcW w:w="6692" w:type="dxa"/>
            <w:vAlign w:val="top"/>
          </w:tcPr>
          <w:p w14:paraId="64C87A46">
            <w:pPr>
              <w:pStyle w:val="6"/>
              <w:spacing w:before="160" w:line="188" w:lineRule="auto"/>
              <w:ind w:left="123"/>
              <w:rPr>
                <w:sz w:val="21"/>
                <w:szCs w:val="21"/>
              </w:rPr>
            </w:pPr>
            <w:r>
              <w:rPr>
                <w:spacing w:val="2"/>
                <w:sz w:val="21"/>
                <w:szCs w:val="21"/>
              </w:rPr>
              <w:t>1.</w:t>
            </w:r>
            <w:r>
              <w:rPr>
                <w:spacing w:val="-32"/>
                <w:sz w:val="21"/>
                <w:szCs w:val="21"/>
              </w:rPr>
              <w:t xml:space="preserve"> </w:t>
            </w:r>
            <w:r>
              <w:rPr>
                <w:spacing w:val="2"/>
                <w:sz w:val="21"/>
                <w:szCs w:val="21"/>
              </w:rPr>
              <w:t>点击消息弹窗弹出危急值处理窗口;</w:t>
            </w:r>
          </w:p>
          <w:p w14:paraId="674813F7">
            <w:pPr>
              <w:pStyle w:val="6"/>
              <w:spacing w:before="15" w:line="188" w:lineRule="auto"/>
              <w:ind w:left="110"/>
              <w:rPr>
                <w:sz w:val="21"/>
                <w:szCs w:val="21"/>
              </w:rPr>
            </w:pPr>
            <w:r>
              <w:rPr>
                <w:spacing w:val="-1"/>
                <w:sz w:val="21"/>
                <w:szCs w:val="21"/>
              </w:rPr>
              <w:t>2.系统默认提供三种常规处置术语，也可自由录入处置意见；</w:t>
            </w:r>
          </w:p>
          <w:p w14:paraId="5565AFEB">
            <w:pPr>
              <w:pStyle w:val="6"/>
              <w:spacing w:before="15" w:line="188" w:lineRule="auto"/>
              <w:ind w:left="112"/>
              <w:rPr>
                <w:sz w:val="21"/>
                <w:szCs w:val="21"/>
              </w:rPr>
            </w:pPr>
            <w:r>
              <w:rPr>
                <w:sz w:val="21"/>
                <w:szCs w:val="21"/>
              </w:rPr>
              <w:t>3.填写完处置意见后，提交时需验证处理医生工号和登录</w:t>
            </w:r>
            <w:r>
              <w:rPr>
                <w:spacing w:val="-1"/>
                <w:sz w:val="21"/>
                <w:szCs w:val="21"/>
              </w:rPr>
              <w:t>密码。</w:t>
            </w:r>
          </w:p>
        </w:tc>
      </w:tr>
      <w:tr w14:paraId="69710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344" w:type="dxa"/>
            <w:vMerge w:val="continue"/>
            <w:tcBorders>
              <w:top w:val="nil"/>
              <w:bottom w:val="nil"/>
            </w:tcBorders>
            <w:vAlign w:val="top"/>
          </w:tcPr>
          <w:p w14:paraId="307B0239">
            <w:pPr>
              <w:rPr>
                <w:rFonts w:ascii="Arial"/>
                <w:sz w:val="21"/>
              </w:rPr>
            </w:pPr>
          </w:p>
        </w:tc>
        <w:tc>
          <w:tcPr>
            <w:tcW w:w="2218" w:type="dxa"/>
            <w:vAlign w:val="top"/>
          </w:tcPr>
          <w:p w14:paraId="52A38676">
            <w:pPr>
              <w:pStyle w:val="6"/>
              <w:spacing w:before="273" w:line="188" w:lineRule="auto"/>
              <w:ind w:left="125"/>
              <w:rPr>
                <w:sz w:val="21"/>
                <w:szCs w:val="21"/>
              </w:rPr>
            </w:pPr>
            <w:r>
              <w:rPr>
                <w:spacing w:val="-3"/>
                <w:sz w:val="21"/>
                <w:szCs w:val="21"/>
              </w:rPr>
              <w:t>患者危急值时间线</w:t>
            </w:r>
          </w:p>
        </w:tc>
        <w:tc>
          <w:tcPr>
            <w:tcW w:w="6692" w:type="dxa"/>
            <w:vAlign w:val="top"/>
          </w:tcPr>
          <w:p w14:paraId="5CE47FB2">
            <w:pPr>
              <w:pStyle w:val="6"/>
              <w:spacing w:before="124" w:line="197" w:lineRule="auto"/>
              <w:ind w:left="112" w:right="102" w:firstLine="3"/>
              <w:rPr>
                <w:sz w:val="21"/>
                <w:szCs w:val="21"/>
              </w:rPr>
            </w:pPr>
            <w:r>
              <w:rPr>
                <w:spacing w:val="-7"/>
                <w:sz w:val="21"/>
                <w:szCs w:val="21"/>
              </w:rPr>
              <w:t>查看某患者所有危急事件，按患者危急时间、危急</w:t>
            </w:r>
            <w:r>
              <w:rPr>
                <w:spacing w:val="-8"/>
                <w:sz w:val="21"/>
                <w:szCs w:val="21"/>
              </w:rPr>
              <w:t>项目和处置时间，</w:t>
            </w:r>
            <w:r>
              <w:rPr>
                <w:spacing w:val="26"/>
                <w:w w:val="101"/>
                <w:sz w:val="21"/>
                <w:szCs w:val="21"/>
              </w:rPr>
              <w:t xml:space="preserve">  </w:t>
            </w:r>
            <w:r>
              <w:rPr>
                <w:spacing w:val="-8"/>
                <w:sz w:val="21"/>
                <w:szCs w:val="21"/>
              </w:rPr>
              <w:t>串</w:t>
            </w:r>
            <w:r>
              <w:rPr>
                <w:sz w:val="21"/>
                <w:szCs w:val="21"/>
              </w:rPr>
              <w:t xml:space="preserve"> </w:t>
            </w:r>
            <w:r>
              <w:rPr>
                <w:spacing w:val="-4"/>
                <w:sz w:val="21"/>
                <w:szCs w:val="21"/>
              </w:rPr>
              <w:t>联成时间线进行展现。</w:t>
            </w:r>
          </w:p>
        </w:tc>
      </w:tr>
      <w:tr w14:paraId="622E0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344" w:type="dxa"/>
            <w:vMerge w:val="continue"/>
            <w:tcBorders>
              <w:top w:val="nil"/>
              <w:bottom w:val="nil"/>
            </w:tcBorders>
            <w:vAlign w:val="top"/>
          </w:tcPr>
          <w:p w14:paraId="2DAAF179">
            <w:pPr>
              <w:rPr>
                <w:rFonts w:ascii="Arial"/>
                <w:sz w:val="21"/>
              </w:rPr>
            </w:pPr>
          </w:p>
        </w:tc>
        <w:tc>
          <w:tcPr>
            <w:tcW w:w="2218" w:type="dxa"/>
            <w:vAlign w:val="top"/>
          </w:tcPr>
          <w:p w14:paraId="22670145">
            <w:pPr>
              <w:pStyle w:val="6"/>
              <w:spacing w:before="85" w:line="186" w:lineRule="auto"/>
              <w:ind w:left="114"/>
              <w:rPr>
                <w:sz w:val="21"/>
                <w:szCs w:val="21"/>
              </w:rPr>
            </w:pPr>
            <w:r>
              <w:rPr>
                <w:spacing w:val="-1"/>
                <w:sz w:val="21"/>
                <w:szCs w:val="21"/>
              </w:rPr>
              <w:t>检验/检查报告查看</w:t>
            </w:r>
          </w:p>
        </w:tc>
        <w:tc>
          <w:tcPr>
            <w:tcW w:w="6692" w:type="dxa"/>
            <w:vAlign w:val="top"/>
          </w:tcPr>
          <w:p w14:paraId="7762338B">
            <w:pPr>
              <w:pStyle w:val="6"/>
              <w:spacing w:before="85" w:line="186" w:lineRule="auto"/>
              <w:ind w:left="116"/>
              <w:rPr>
                <w:sz w:val="21"/>
                <w:szCs w:val="21"/>
              </w:rPr>
            </w:pPr>
            <w:r>
              <w:rPr>
                <w:spacing w:val="-3"/>
                <w:sz w:val="21"/>
                <w:szCs w:val="21"/>
              </w:rPr>
              <w:t>查看危急值对应的检验检查报告。</w:t>
            </w:r>
          </w:p>
        </w:tc>
      </w:tr>
      <w:tr w14:paraId="1BC3A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344" w:type="dxa"/>
            <w:vMerge w:val="continue"/>
            <w:tcBorders>
              <w:top w:val="nil"/>
              <w:bottom w:val="nil"/>
            </w:tcBorders>
            <w:vAlign w:val="top"/>
          </w:tcPr>
          <w:p w14:paraId="1F05BC80">
            <w:pPr>
              <w:rPr>
                <w:rFonts w:ascii="Arial"/>
                <w:sz w:val="21"/>
              </w:rPr>
            </w:pPr>
          </w:p>
        </w:tc>
        <w:tc>
          <w:tcPr>
            <w:tcW w:w="2218" w:type="dxa"/>
            <w:vAlign w:val="top"/>
          </w:tcPr>
          <w:p w14:paraId="03A3BB4B">
            <w:pPr>
              <w:pStyle w:val="6"/>
              <w:spacing w:before="85" w:line="186" w:lineRule="auto"/>
              <w:ind w:left="112"/>
              <w:rPr>
                <w:sz w:val="21"/>
                <w:szCs w:val="21"/>
              </w:rPr>
            </w:pPr>
            <w:r>
              <w:rPr>
                <w:spacing w:val="-3"/>
                <w:sz w:val="21"/>
                <w:szCs w:val="21"/>
              </w:rPr>
              <w:t>职工维护</w:t>
            </w:r>
          </w:p>
        </w:tc>
        <w:tc>
          <w:tcPr>
            <w:tcW w:w="6692" w:type="dxa"/>
            <w:vAlign w:val="top"/>
          </w:tcPr>
          <w:p w14:paraId="499E5300">
            <w:pPr>
              <w:pStyle w:val="6"/>
              <w:spacing w:before="85" w:line="186" w:lineRule="auto"/>
              <w:ind w:left="154"/>
              <w:rPr>
                <w:sz w:val="21"/>
                <w:szCs w:val="21"/>
              </w:rPr>
            </w:pPr>
            <w:r>
              <w:rPr>
                <w:spacing w:val="-4"/>
                <w:sz w:val="21"/>
                <w:szCs w:val="21"/>
              </w:rPr>
              <w:t>自动同步 HIS 系统或集成平台的职工数据，支持手工增加和编</w:t>
            </w:r>
            <w:r>
              <w:rPr>
                <w:spacing w:val="-5"/>
                <w:sz w:val="21"/>
                <w:szCs w:val="21"/>
              </w:rPr>
              <w:t>辑。</w:t>
            </w:r>
          </w:p>
        </w:tc>
      </w:tr>
      <w:tr w14:paraId="0F27A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344" w:type="dxa"/>
            <w:vMerge w:val="continue"/>
            <w:tcBorders>
              <w:top w:val="nil"/>
              <w:bottom w:val="nil"/>
            </w:tcBorders>
            <w:vAlign w:val="top"/>
          </w:tcPr>
          <w:p w14:paraId="67028AC0">
            <w:pPr>
              <w:rPr>
                <w:rFonts w:ascii="Arial"/>
                <w:sz w:val="21"/>
              </w:rPr>
            </w:pPr>
          </w:p>
        </w:tc>
        <w:tc>
          <w:tcPr>
            <w:tcW w:w="2218" w:type="dxa"/>
            <w:vAlign w:val="top"/>
          </w:tcPr>
          <w:p w14:paraId="2A524F66">
            <w:pPr>
              <w:pStyle w:val="6"/>
              <w:spacing w:before="85" w:line="186" w:lineRule="auto"/>
              <w:ind w:left="133"/>
              <w:rPr>
                <w:sz w:val="21"/>
                <w:szCs w:val="21"/>
              </w:rPr>
            </w:pPr>
            <w:r>
              <w:rPr>
                <w:spacing w:val="-5"/>
                <w:sz w:val="21"/>
                <w:szCs w:val="21"/>
              </w:rPr>
              <w:t>门诊科室维护</w:t>
            </w:r>
          </w:p>
        </w:tc>
        <w:tc>
          <w:tcPr>
            <w:tcW w:w="6692" w:type="dxa"/>
            <w:vAlign w:val="top"/>
          </w:tcPr>
          <w:p w14:paraId="5CEB5FEB">
            <w:pPr>
              <w:pStyle w:val="6"/>
              <w:spacing w:before="85" w:line="186" w:lineRule="auto"/>
              <w:ind w:left="154"/>
              <w:rPr>
                <w:sz w:val="21"/>
                <w:szCs w:val="21"/>
              </w:rPr>
            </w:pPr>
            <w:r>
              <w:rPr>
                <w:spacing w:val="-4"/>
                <w:sz w:val="21"/>
                <w:szCs w:val="21"/>
              </w:rPr>
              <w:t>自动同步 HIS 系统或集成平台的门诊科室数据，支持手工增加和编辑。</w:t>
            </w:r>
          </w:p>
        </w:tc>
      </w:tr>
      <w:tr w14:paraId="5FF13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1344" w:type="dxa"/>
            <w:vMerge w:val="continue"/>
            <w:tcBorders>
              <w:top w:val="nil"/>
              <w:bottom w:val="nil"/>
            </w:tcBorders>
            <w:vAlign w:val="top"/>
          </w:tcPr>
          <w:p w14:paraId="350708E7">
            <w:pPr>
              <w:rPr>
                <w:rFonts w:ascii="Arial"/>
                <w:sz w:val="21"/>
              </w:rPr>
            </w:pPr>
          </w:p>
        </w:tc>
        <w:tc>
          <w:tcPr>
            <w:tcW w:w="2218" w:type="dxa"/>
            <w:vAlign w:val="top"/>
          </w:tcPr>
          <w:p w14:paraId="5C5CA29A">
            <w:pPr>
              <w:spacing w:line="307" w:lineRule="auto"/>
              <w:rPr>
                <w:rFonts w:ascii="Arial"/>
                <w:sz w:val="21"/>
              </w:rPr>
            </w:pPr>
          </w:p>
          <w:p w14:paraId="6C93D87D">
            <w:pPr>
              <w:pStyle w:val="6"/>
              <w:spacing w:before="90" w:line="189" w:lineRule="auto"/>
              <w:ind w:left="112"/>
              <w:rPr>
                <w:sz w:val="21"/>
                <w:szCs w:val="21"/>
              </w:rPr>
            </w:pPr>
            <w:r>
              <w:rPr>
                <w:spacing w:val="-3"/>
                <w:sz w:val="21"/>
                <w:szCs w:val="21"/>
              </w:rPr>
              <w:t>护士站维护</w:t>
            </w:r>
          </w:p>
        </w:tc>
        <w:tc>
          <w:tcPr>
            <w:tcW w:w="6692" w:type="dxa"/>
            <w:vAlign w:val="top"/>
          </w:tcPr>
          <w:p w14:paraId="36200172">
            <w:pPr>
              <w:spacing w:line="307" w:lineRule="auto"/>
              <w:rPr>
                <w:rFonts w:ascii="Arial"/>
                <w:sz w:val="21"/>
              </w:rPr>
            </w:pPr>
          </w:p>
          <w:p w14:paraId="5011BB24">
            <w:pPr>
              <w:pStyle w:val="6"/>
              <w:spacing w:before="90" w:line="187" w:lineRule="auto"/>
              <w:ind w:left="154"/>
              <w:rPr>
                <w:sz w:val="21"/>
                <w:szCs w:val="21"/>
              </w:rPr>
            </w:pPr>
            <w:r>
              <w:rPr>
                <w:spacing w:val="-4"/>
                <w:sz w:val="21"/>
                <w:szCs w:val="21"/>
              </w:rPr>
              <w:t>自动同步 HIS 系统或集成平台的护士站数据，支持手工增加和编辑。</w:t>
            </w:r>
          </w:p>
        </w:tc>
      </w:tr>
      <w:tr w14:paraId="46957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344" w:type="dxa"/>
            <w:vMerge w:val="continue"/>
            <w:tcBorders>
              <w:top w:val="nil"/>
              <w:bottom w:val="nil"/>
            </w:tcBorders>
            <w:vAlign w:val="top"/>
          </w:tcPr>
          <w:p w14:paraId="0DF4EC6D">
            <w:pPr>
              <w:rPr>
                <w:rFonts w:ascii="Arial"/>
                <w:sz w:val="21"/>
              </w:rPr>
            </w:pPr>
          </w:p>
        </w:tc>
        <w:tc>
          <w:tcPr>
            <w:tcW w:w="2218" w:type="dxa"/>
            <w:vAlign w:val="top"/>
          </w:tcPr>
          <w:p w14:paraId="67057F40">
            <w:pPr>
              <w:pStyle w:val="6"/>
              <w:spacing w:before="87" w:line="185" w:lineRule="auto"/>
              <w:ind w:left="112"/>
              <w:rPr>
                <w:sz w:val="21"/>
                <w:szCs w:val="21"/>
              </w:rPr>
            </w:pPr>
            <w:r>
              <w:rPr>
                <w:spacing w:val="-2"/>
                <w:sz w:val="21"/>
                <w:szCs w:val="21"/>
              </w:rPr>
              <w:t>住院病区维护</w:t>
            </w:r>
          </w:p>
        </w:tc>
        <w:tc>
          <w:tcPr>
            <w:tcW w:w="6692" w:type="dxa"/>
            <w:vAlign w:val="top"/>
          </w:tcPr>
          <w:p w14:paraId="42443AA6">
            <w:pPr>
              <w:pStyle w:val="6"/>
              <w:spacing w:before="87" w:line="185" w:lineRule="auto"/>
              <w:ind w:left="154"/>
              <w:rPr>
                <w:sz w:val="21"/>
                <w:szCs w:val="21"/>
              </w:rPr>
            </w:pPr>
            <w:r>
              <w:rPr>
                <w:spacing w:val="-4"/>
                <w:sz w:val="21"/>
                <w:szCs w:val="21"/>
              </w:rPr>
              <w:t>自动同步 HIS 系统或集成平台的住院病区数据，支持手工增加和编辑。</w:t>
            </w:r>
          </w:p>
        </w:tc>
      </w:tr>
      <w:tr w14:paraId="471CE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344" w:type="dxa"/>
            <w:vMerge w:val="continue"/>
            <w:tcBorders>
              <w:top w:val="nil"/>
            </w:tcBorders>
            <w:vAlign w:val="top"/>
          </w:tcPr>
          <w:p w14:paraId="1744B688">
            <w:pPr>
              <w:rPr>
                <w:rFonts w:ascii="Arial"/>
                <w:sz w:val="21"/>
              </w:rPr>
            </w:pPr>
          </w:p>
        </w:tc>
        <w:tc>
          <w:tcPr>
            <w:tcW w:w="2218" w:type="dxa"/>
            <w:vAlign w:val="top"/>
          </w:tcPr>
          <w:p w14:paraId="75A82135">
            <w:pPr>
              <w:pStyle w:val="6"/>
              <w:spacing w:before="87" w:line="185" w:lineRule="auto"/>
              <w:ind w:left="130"/>
              <w:rPr>
                <w:sz w:val="21"/>
                <w:szCs w:val="21"/>
              </w:rPr>
            </w:pPr>
            <w:r>
              <w:rPr>
                <w:spacing w:val="-5"/>
                <w:sz w:val="21"/>
                <w:szCs w:val="21"/>
              </w:rPr>
              <w:t>医技科室维护</w:t>
            </w:r>
          </w:p>
        </w:tc>
        <w:tc>
          <w:tcPr>
            <w:tcW w:w="6692" w:type="dxa"/>
            <w:vAlign w:val="top"/>
          </w:tcPr>
          <w:p w14:paraId="62F46711">
            <w:pPr>
              <w:pStyle w:val="6"/>
              <w:spacing w:before="87" w:line="185" w:lineRule="auto"/>
              <w:ind w:left="154"/>
              <w:rPr>
                <w:sz w:val="21"/>
                <w:szCs w:val="21"/>
              </w:rPr>
            </w:pPr>
            <w:r>
              <w:rPr>
                <w:spacing w:val="-4"/>
                <w:sz w:val="21"/>
                <w:szCs w:val="21"/>
              </w:rPr>
              <w:t>自动同步 HIS 系统或集成平台的医技科室数据，支持手工增加和编辑。</w:t>
            </w:r>
          </w:p>
        </w:tc>
      </w:tr>
      <w:tr w14:paraId="24DC7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344" w:type="dxa"/>
            <w:vMerge w:val="restart"/>
            <w:tcBorders>
              <w:bottom w:val="nil"/>
            </w:tcBorders>
            <w:vAlign w:val="top"/>
          </w:tcPr>
          <w:p w14:paraId="6159F82E">
            <w:pPr>
              <w:spacing w:line="351" w:lineRule="auto"/>
              <w:rPr>
                <w:rFonts w:ascii="Arial"/>
                <w:sz w:val="21"/>
              </w:rPr>
            </w:pPr>
          </w:p>
          <w:p w14:paraId="7235C0FA">
            <w:pPr>
              <w:spacing w:line="351" w:lineRule="auto"/>
              <w:rPr>
                <w:rFonts w:ascii="Arial"/>
                <w:sz w:val="21"/>
              </w:rPr>
            </w:pPr>
          </w:p>
          <w:p w14:paraId="7E1F9A94">
            <w:pPr>
              <w:pStyle w:val="6"/>
              <w:spacing w:before="102" w:line="188" w:lineRule="auto"/>
              <w:ind w:left="206"/>
            </w:pPr>
            <w:r>
              <w:rPr>
                <w:spacing w:val="-5"/>
              </w:rPr>
              <w:t>危急值统</w:t>
            </w:r>
          </w:p>
          <w:p w14:paraId="74CF1DC8">
            <w:pPr>
              <w:pStyle w:val="6"/>
              <w:spacing w:before="273" w:line="188" w:lineRule="auto"/>
              <w:ind w:left="200"/>
            </w:pPr>
            <w:r>
              <w:rPr>
                <w:spacing w:val="-3"/>
              </w:rPr>
              <w:t>计分析系</w:t>
            </w:r>
          </w:p>
          <w:p w14:paraId="0B430698">
            <w:pPr>
              <w:pStyle w:val="6"/>
              <w:spacing w:before="273" w:line="188" w:lineRule="auto"/>
              <w:ind w:left="565"/>
            </w:pPr>
            <w:r>
              <w:t>统</w:t>
            </w:r>
          </w:p>
        </w:tc>
        <w:tc>
          <w:tcPr>
            <w:tcW w:w="2218" w:type="dxa"/>
            <w:vAlign w:val="top"/>
          </w:tcPr>
          <w:p w14:paraId="25D17C0C">
            <w:pPr>
              <w:pStyle w:val="6"/>
              <w:spacing w:before="275" w:line="188" w:lineRule="auto"/>
              <w:ind w:left="110"/>
              <w:rPr>
                <w:sz w:val="21"/>
                <w:szCs w:val="21"/>
              </w:rPr>
            </w:pPr>
            <w:r>
              <w:rPr>
                <w:spacing w:val="3"/>
                <w:sz w:val="21"/>
                <w:szCs w:val="21"/>
              </w:rPr>
              <w:t>★科室统计和导出</w:t>
            </w:r>
          </w:p>
        </w:tc>
        <w:tc>
          <w:tcPr>
            <w:tcW w:w="6692" w:type="dxa"/>
            <w:vAlign w:val="top"/>
          </w:tcPr>
          <w:p w14:paraId="28A97C29">
            <w:pPr>
              <w:pStyle w:val="6"/>
              <w:spacing w:before="124" w:line="197" w:lineRule="auto"/>
              <w:ind w:left="118" w:right="102"/>
              <w:rPr>
                <w:sz w:val="21"/>
                <w:szCs w:val="21"/>
              </w:rPr>
            </w:pPr>
            <w:r>
              <w:rPr>
                <w:spacing w:val="-7"/>
                <w:sz w:val="21"/>
                <w:szCs w:val="21"/>
              </w:rPr>
              <w:t>统计全院各科室的危急值数量、处理率、合规处理率、超时处理率，</w:t>
            </w:r>
            <w:r>
              <w:rPr>
                <w:spacing w:val="20"/>
                <w:w w:val="101"/>
                <w:sz w:val="21"/>
                <w:szCs w:val="21"/>
              </w:rPr>
              <w:t xml:space="preserve">  </w:t>
            </w:r>
            <w:r>
              <w:rPr>
                <w:spacing w:val="-7"/>
                <w:sz w:val="21"/>
                <w:szCs w:val="21"/>
              </w:rPr>
              <w:t>并</w:t>
            </w:r>
            <w:r>
              <w:rPr>
                <w:sz w:val="21"/>
                <w:szCs w:val="21"/>
              </w:rPr>
              <w:t xml:space="preserve"> </w:t>
            </w:r>
            <w:r>
              <w:rPr>
                <w:spacing w:val="-2"/>
                <w:sz w:val="21"/>
                <w:szCs w:val="21"/>
              </w:rPr>
              <w:t>可以导出，同时可以查看统计量对应的明细数据并导出。</w:t>
            </w:r>
          </w:p>
        </w:tc>
      </w:tr>
      <w:tr w14:paraId="62E8D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344" w:type="dxa"/>
            <w:vMerge w:val="continue"/>
            <w:tcBorders>
              <w:top w:val="nil"/>
              <w:bottom w:val="nil"/>
            </w:tcBorders>
            <w:vAlign w:val="top"/>
          </w:tcPr>
          <w:p w14:paraId="5F12CA80">
            <w:pPr>
              <w:rPr>
                <w:rFonts w:ascii="Arial"/>
                <w:sz w:val="21"/>
              </w:rPr>
            </w:pPr>
          </w:p>
        </w:tc>
        <w:tc>
          <w:tcPr>
            <w:tcW w:w="2218" w:type="dxa"/>
            <w:vAlign w:val="top"/>
          </w:tcPr>
          <w:p w14:paraId="37708524">
            <w:pPr>
              <w:pStyle w:val="6"/>
              <w:spacing w:before="276" w:line="188" w:lineRule="auto"/>
              <w:ind w:left="125"/>
              <w:rPr>
                <w:sz w:val="21"/>
                <w:szCs w:val="21"/>
              </w:rPr>
            </w:pPr>
            <w:r>
              <w:rPr>
                <w:spacing w:val="-3"/>
                <w:sz w:val="21"/>
                <w:szCs w:val="21"/>
              </w:rPr>
              <w:t>患者危急指标分析</w:t>
            </w:r>
          </w:p>
        </w:tc>
        <w:tc>
          <w:tcPr>
            <w:tcW w:w="6692" w:type="dxa"/>
            <w:vAlign w:val="top"/>
          </w:tcPr>
          <w:p w14:paraId="49FF9C96">
            <w:pPr>
              <w:pStyle w:val="6"/>
              <w:spacing w:before="127" w:line="197" w:lineRule="auto"/>
              <w:ind w:left="126" w:right="102" w:hanging="9"/>
              <w:rPr>
                <w:sz w:val="21"/>
                <w:szCs w:val="21"/>
              </w:rPr>
            </w:pPr>
            <w:r>
              <w:rPr>
                <w:spacing w:val="-2"/>
                <w:sz w:val="21"/>
                <w:szCs w:val="21"/>
              </w:rPr>
              <w:t>分析危急项目多次的检验结果，对数据进行对比，生成曲线图，分析危</w:t>
            </w:r>
            <w:r>
              <w:rPr>
                <w:spacing w:val="12"/>
                <w:sz w:val="21"/>
                <w:szCs w:val="21"/>
              </w:rPr>
              <w:t xml:space="preserve"> </w:t>
            </w:r>
            <w:r>
              <w:rPr>
                <w:spacing w:val="-4"/>
                <w:sz w:val="21"/>
                <w:szCs w:val="21"/>
              </w:rPr>
              <w:t>急值变化趋势</w:t>
            </w:r>
          </w:p>
        </w:tc>
      </w:tr>
      <w:tr w14:paraId="50622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344" w:type="dxa"/>
            <w:vMerge w:val="continue"/>
            <w:tcBorders>
              <w:top w:val="nil"/>
              <w:bottom w:val="nil"/>
            </w:tcBorders>
            <w:vAlign w:val="top"/>
          </w:tcPr>
          <w:p w14:paraId="69844969">
            <w:pPr>
              <w:rPr>
                <w:rFonts w:ascii="Arial"/>
                <w:sz w:val="21"/>
              </w:rPr>
            </w:pPr>
          </w:p>
        </w:tc>
        <w:tc>
          <w:tcPr>
            <w:tcW w:w="2218" w:type="dxa"/>
            <w:vAlign w:val="top"/>
          </w:tcPr>
          <w:p w14:paraId="02C389CF">
            <w:pPr>
              <w:pStyle w:val="6"/>
              <w:spacing w:before="277" w:line="188" w:lineRule="auto"/>
              <w:ind w:left="115"/>
              <w:rPr>
                <w:sz w:val="21"/>
                <w:szCs w:val="21"/>
              </w:rPr>
            </w:pPr>
            <w:r>
              <w:rPr>
                <w:spacing w:val="-3"/>
                <w:sz w:val="21"/>
                <w:szCs w:val="21"/>
              </w:rPr>
              <w:t>分理时间分布</w:t>
            </w:r>
          </w:p>
        </w:tc>
        <w:tc>
          <w:tcPr>
            <w:tcW w:w="6692" w:type="dxa"/>
            <w:vAlign w:val="top"/>
          </w:tcPr>
          <w:p w14:paraId="304B50F6">
            <w:pPr>
              <w:pStyle w:val="6"/>
              <w:spacing w:before="128" w:line="197" w:lineRule="auto"/>
              <w:ind w:left="117" w:right="102" w:firstLine="1"/>
              <w:rPr>
                <w:sz w:val="21"/>
                <w:szCs w:val="21"/>
              </w:rPr>
            </w:pPr>
            <w:r>
              <w:rPr>
                <w:spacing w:val="-2"/>
                <w:sz w:val="21"/>
                <w:szCs w:val="21"/>
              </w:rPr>
              <w:t>统计处置时间：最大、最小、平均耗时。根据数据生成处理时间的正态</w:t>
            </w:r>
            <w:r>
              <w:rPr>
                <w:spacing w:val="11"/>
                <w:sz w:val="21"/>
                <w:szCs w:val="21"/>
              </w:rPr>
              <w:t xml:space="preserve"> </w:t>
            </w:r>
            <w:r>
              <w:rPr>
                <w:spacing w:val="-9"/>
                <w:sz w:val="21"/>
                <w:szCs w:val="21"/>
              </w:rPr>
              <w:t>分布图。</w:t>
            </w:r>
          </w:p>
        </w:tc>
      </w:tr>
      <w:tr w14:paraId="03B2C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344" w:type="dxa"/>
            <w:vMerge w:val="continue"/>
            <w:tcBorders>
              <w:top w:val="nil"/>
              <w:bottom w:val="nil"/>
            </w:tcBorders>
            <w:vAlign w:val="top"/>
          </w:tcPr>
          <w:p w14:paraId="46B6D3D0">
            <w:pPr>
              <w:rPr>
                <w:rFonts w:ascii="Arial"/>
                <w:sz w:val="21"/>
              </w:rPr>
            </w:pPr>
          </w:p>
        </w:tc>
        <w:tc>
          <w:tcPr>
            <w:tcW w:w="2218" w:type="dxa"/>
            <w:vAlign w:val="top"/>
          </w:tcPr>
          <w:p w14:paraId="12ACCE8B">
            <w:pPr>
              <w:pStyle w:val="6"/>
              <w:spacing w:before="90" w:line="183" w:lineRule="auto"/>
              <w:ind w:left="117"/>
              <w:rPr>
                <w:sz w:val="21"/>
                <w:szCs w:val="21"/>
              </w:rPr>
            </w:pPr>
            <w:r>
              <w:rPr>
                <w:spacing w:val="-3"/>
                <w:sz w:val="21"/>
                <w:szCs w:val="21"/>
              </w:rPr>
              <w:t>危急值频度统计</w:t>
            </w:r>
          </w:p>
        </w:tc>
        <w:tc>
          <w:tcPr>
            <w:tcW w:w="6692" w:type="dxa"/>
            <w:vAlign w:val="top"/>
          </w:tcPr>
          <w:p w14:paraId="51334A70">
            <w:pPr>
              <w:pStyle w:val="6"/>
              <w:spacing w:before="90" w:line="183" w:lineRule="auto"/>
              <w:ind w:left="114"/>
              <w:rPr>
                <w:sz w:val="21"/>
                <w:szCs w:val="21"/>
              </w:rPr>
            </w:pPr>
            <w:r>
              <w:rPr>
                <w:spacing w:val="-3"/>
                <w:sz w:val="21"/>
                <w:szCs w:val="21"/>
              </w:rPr>
              <w:t>按周、日、类别、科室进行频度统计。</w:t>
            </w:r>
          </w:p>
        </w:tc>
      </w:tr>
      <w:tr w14:paraId="237B0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44" w:type="dxa"/>
            <w:vMerge w:val="continue"/>
            <w:tcBorders>
              <w:top w:val="nil"/>
            </w:tcBorders>
            <w:vAlign w:val="top"/>
          </w:tcPr>
          <w:p w14:paraId="0071A940">
            <w:pPr>
              <w:rPr>
                <w:rFonts w:ascii="Arial"/>
                <w:sz w:val="21"/>
              </w:rPr>
            </w:pPr>
          </w:p>
        </w:tc>
        <w:tc>
          <w:tcPr>
            <w:tcW w:w="2218" w:type="dxa"/>
            <w:vAlign w:val="top"/>
          </w:tcPr>
          <w:p w14:paraId="30F8F333">
            <w:pPr>
              <w:pStyle w:val="6"/>
              <w:spacing w:before="90" w:line="186" w:lineRule="auto"/>
              <w:ind w:left="114"/>
              <w:rPr>
                <w:sz w:val="21"/>
                <w:szCs w:val="21"/>
              </w:rPr>
            </w:pPr>
            <w:r>
              <w:rPr>
                <w:spacing w:val="-2"/>
                <w:sz w:val="21"/>
                <w:szCs w:val="21"/>
              </w:rPr>
              <w:t>未处理危急值统计</w:t>
            </w:r>
          </w:p>
        </w:tc>
        <w:tc>
          <w:tcPr>
            <w:tcW w:w="6692" w:type="dxa"/>
            <w:vAlign w:val="top"/>
          </w:tcPr>
          <w:p w14:paraId="65D1D48F">
            <w:pPr>
              <w:pStyle w:val="6"/>
              <w:spacing w:before="90" w:line="186" w:lineRule="auto"/>
              <w:ind w:left="119"/>
              <w:rPr>
                <w:sz w:val="21"/>
                <w:szCs w:val="21"/>
              </w:rPr>
            </w:pPr>
            <w:r>
              <w:rPr>
                <w:spacing w:val="-3"/>
                <w:sz w:val="21"/>
                <w:szCs w:val="21"/>
              </w:rPr>
              <w:t>统计各科室某时间段内未处理的危急值，以排行榜方式展现；</w:t>
            </w:r>
          </w:p>
        </w:tc>
      </w:tr>
    </w:tbl>
    <w:p w14:paraId="7AA2F613">
      <w:pPr>
        <w:pStyle w:val="2"/>
        <w:spacing w:line="303" w:lineRule="auto"/>
      </w:pPr>
    </w:p>
    <w:p w14:paraId="4EA708FF">
      <w:pPr>
        <w:spacing w:before="61" w:line="209" w:lineRule="auto"/>
        <w:ind w:left="222"/>
        <w:rPr>
          <w:rFonts w:ascii="宋体" w:hAnsi="宋体" w:eastAsia="宋体" w:cs="宋体"/>
          <w:sz w:val="19"/>
          <w:szCs w:val="19"/>
        </w:rPr>
      </w:pPr>
      <w:r>
        <w:pict>
          <v:shape id="_x0000_s1030" o:spid="_x0000_s1030" style="position:absolute;left:0pt;margin-left:5.65pt;margin-top:11.8pt;height:0.75pt;width:494pt;z-index:251673600;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9                                </w:t>
      </w:r>
      <w:r>
        <w:rPr>
          <w:rFonts w:ascii="宋体" w:hAnsi="宋体" w:eastAsia="宋体" w:cs="宋体"/>
          <w:b/>
          <w:bCs/>
          <w:i/>
          <w:iCs/>
          <w:spacing w:val="-3"/>
          <w:sz w:val="19"/>
          <w:szCs w:val="19"/>
        </w:rPr>
        <w:t>伊犁州公共资源交易中心</w:t>
      </w:r>
    </w:p>
    <w:p w14:paraId="06134001">
      <w:pPr>
        <w:spacing w:line="209" w:lineRule="auto"/>
        <w:rPr>
          <w:rFonts w:ascii="宋体" w:hAnsi="宋体" w:eastAsia="宋体" w:cs="宋体"/>
          <w:sz w:val="19"/>
          <w:szCs w:val="19"/>
        </w:rPr>
        <w:sectPr>
          <w:pgSz w:w="11905" w:h="16839"/>
          <w:pgMar w:top="1136" w:right="587" w:bottom="400" w:left="1052" w:header="854" w:footer="0" w:gutter="0"/>
          <w:cols w:space="720" w:num="1"/>
        </w:sectPr>
      </w:pPr>
    </w:p>
    <w:p w14:paraId="73574291">
      <w:pPr>
        <w:spacing w:before="38"/>
      </w:pPr>
    </w:p>
    <w:tbl>
      <w:tblPr>
        <w:tblStyle w:val="5"/>
        <w:tblW w:w="102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2218"/>
        <w:gridCol w:w="6692"/>
      </w:tblGrid>
      <w:tr w14:paraId="3B68C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44" w:type="dxa"/>
            <w:vAlign w:val="top"/>
          </w:tcPr>
          <w:p w14:paraId="58508E24">
            <w:pPr>
              <w:rPr>
                <w:rFonts w:ascii="Arial"/>
                <w:sz w:val="21"/>
              </w:rPr>
            </w:pPr>
          </w:p>
        </w:tc>
        <w:tc>
          <w:tcPr>
            <w:tcW w:w="2218" w:type="dxa"/>
            <w:vAlign w:val="top"/>
          </w:tcPr>
          <w:p w14:paraId="5445E5EA">
            <w:pPr>
              <w:pStyle w:val="6"/>
              <w:spacing w:before="84" w:line="187" w:lineRule="auto"/>
              <w:ind w:left="117"/>
              <w:rPr>
                <w:sz w:val="21"/>
                <w:szCs w:val="21"/>
              </w:rPr>
            </w:pPr>
            <w:r>
              <w:rPr>
                <w:spacing w:val="-3"/>
                <w:sz w:val="21"/>
                <w:szCs w:val="21"/>
              </w:rPr>
              <w:t>危急值项目量统计</w:t>
            </w:r>
          </w:p>
        </w:tc>
        <w:tc>
          <w:tcPr>
            <w:tcW w:w="6692" w:type="dxa"/>
            <w:vAlign w:val="top"/>
          </w:tcPr>
          <w:p w14:paraId="575A9053">
            <w:pPr>
              <w:pStyle w:val="6"/>
              <w:spacing w:before="84" w:line="187" w:lineRule="auto"/>
              <w:ind w:left="119"/>
              <w:rPr>
                <w:sz w:val="21"/>
                <w:szCs w:val="21"/>
              </w:rPr>
            </w:pPr>
            <w:r>
              <w:rPr>
                <w:spacing w:val="-2"/>
                <w:sz w:val="21"/>
                <w:szCs w:val="21"/>
              </w:rPr>
              <w:t>统计某时间段内各科室发生危急值项目的数量，</w:t>
            </w:r>
            <w:r>
              <w:rPr>
                <w:spacing w:val="-3"/>
                <w:sz w:val="21"/>
                <w:szCs w:val="21"/>
              </w:rPr>
              <w:t>以备重点关注；</w:t>
            </w:r>
          </w:p>
        </w:tc>
      </w:tr>
      <w:tr w14:paraId="60A6F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344" w:type="dxa"/>
            <w:vMerge w:val="restart"/>
            <w:tcBorders>
              <w:bottom w:val="nil"/>
            </w:tcBorders>
            <w:vAlign w:val="top"/>
          </w:tcPr>
          <w:p w14:paraId="08241050">
            <w:pPr>
              <w:spacing w:line="306" w:lineRule="auto"/>
              <w:rPr>
                <w:rFonts w:ascii="Arial"/>
                <w:sz w:val="21"/>
              </w:rPr>
            </w:pPr>
          </w:p>
          <w:p w14:paraId="69322357">
            <w:pPr>
              <w:spacing w:line="306" w:lineRule="auto"/>
              <w:rPr>
                <w:rFonts w:ascii="Arial"/>
                <w:sz w:val="21"/>
              </w:rPr>
            </w:pPr>
          </w:p>
          <w:p w14:paraId="49BFBD82">
            <w:pPr>
              <w:pStyle w:val="6"/>
              <w:spacing w:before="102" w:line="346" w:lineRule="auto"/>
              <w:ind w:left="320" w:right="189" w:hanging="114"/>
            </w:pPr>
            <w:r>
              <w:rPr>
                <w:spacing w:val="-5"/>
                <w:w w:val="99"/>
              </w:rPr>
              <w:t>危急值追</w:t>
            </w:r>
            <w:r>
              <w:rPr>
                <w:spacing w:val="6"/>
              </w:rPr>
              <w:t xml:space="preserve"> </w:t>
            </w:r>
            <w:r>
              <w:rPr>
                <w:spacing w:val="-4"/>
              </w:rPr>
              <w:t>溯系统</w:t>
            </w:r>
          </w:p>
        </w:tc>
        <w:tc>
          <w:tcPr>
            <w:tcW w:w="2218" w:type="dxa"/>
            <w:vAlign w:val="top"/>
          </w:tcPr>
          <w:p w14:paraId="2534A916">
            <w:pPr>
              <w:pStyle w:val="6"/>
              <w:spacing w:before="266" w:line="188" w:lineRule="auto"/>
              <w:ind w:left="110"/>
              <w:rPr>
                <w:sz w:val="21"/>
                <w:szCs w:val="21"/>
              </w:rPr>
            </w:pPr>
            <w:r>
              <w:rPr>
                <w:spacing w:val="3"/>
                <w:sz w:val="21"/>
                <w:szCs w:val="21"/>
              </w:rPr>
              <w:t>★危急值全程追溯</w:t>
            </w:r>
          </w:p>
        </w:tc>
        <w:tc>
          <w:tcPr>
            <w:tcW w:w="6692" w:type="dxa"/>
            <w:vAlign w:val="top"/>
          </w:tcPr>
          <w:p w14:paraId="5053478F">
            <w:pPr>
              <w:pStyle w:val="6"/>
              <w:spacing w:before="119" w:line="197" w:lineRule="auto"/>
              <w:ind w:left="114" w:right="102"/>
              <w:rPr>
                <w:sz w:val="21"/>
                <w:szCs w:val="21"/>
              </w:rPr>
            </w:pPr>
            <w:r>
              <w:rPr>
                <w:spacing w:val="-2"/>
                <w:sz w:val="21"/>
                <w:szCs w:val="21"/>
              </w:rPr>
              <w:t>支持医务科、质控科、医技科室查看危急值发生、短信通知、接收和处</w:t>
            </w:r>
            <w:r>
              <w:rPr>
                <w:spacing w:val="15"/>
                <w:sz w:val="21"/>
                <w:szCs w:val="21"/>
              </w:rPr>
              <w:t xml:space="preserve"> </w:t>
            </w:r>
            <w:r>
              <w:rPr>
                <w:spacing w:val="-6"/>
                <w:sz w:val="21"/>
                <w:szCs w:val="21"/>
              </w:rPr>
              <w:t>置的全程信息。</w:t>
            </w:r>
          </w:p>
        </w:tc>
      </w:tr>
      <w:tr w14:paraId="73761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344" w:type="dxa"/>
            <w:vMerge w:val="continue"/>
            <w:tcBorders>
              <w:top w:val="nil"/>
              <w:bottom w:val="nil"/>
            </w:tcBorders>
            <w:vAlign w:val="top"/>
          </w:tcPr>
          <w:p w14:paraId="0CCCEC05">
            <w:pPr>
              <w:rPr>
                <w:rFonts w:ascii="Arial"/>
                <w:sz w:val="21"/>
              </w:rPr>
            </w:pPr>
          </w:p>
        </w:tc>
        <w:tc>
          <w:tcPr>
            <w:tcW w:w="2218" w:type="dxa"/>
            <w:vAlign w:val="top"/>
          </w:tcPr>
          <w:p w14:paraId="2DC4A2EB">
            <w:pPr>
              <w:pStyle w:val="6"/>
              <w:spacing w:before="80" w:line="188" w:lineRule="auto"/>
              <w:ind w:left="110"/>
              <w:rPr>
                <w:sz w:val="21"/>
                <w:szCs w:val="21"/>
              </w:rPr>
            </w:pPr>
            <w:r>
              <w:rPr>
                <w:spacing w:val="3"/>
                <w:sz w:val="21"/>
                <w:szCs w:val="21"/>
              </w:rPr>
              <w:t>★危急值超时标记</w:t>
            </w:r>
          </w:p>
        </w:tc>
        <w:tc>
          <w:tcPr>
            <w:tcW w:w="6692" w:type="dxa"/>
            <w:vAlign w:val="top"/>
          </w:tcPr>
          <w:p w14:paraId="198B4583">
            <w:pPr>
              <w:pStyle w:val="6"/>
              <w:spacing w:before="79" w:line="188" w:lineRule="auto"/>
              <w:ind w:left="114"/>
              <w:rPr>
                <w:sz w:val="21"/>
                <w:szCs w:val="21"/>
              </w:rPr>
            </w:pPr>
            <w:r>
              <w:rPr>
                <w:spacing w:val="-3"/>
                <w:sz w:val="21"/>
                <w:szCs w:val="21"/>
              </w:rPr>
              <w:t>支持查看危急值超时时间、处理耗费时间；</w:t>
            </w:r>
          </w:p>
        </w:tc>
      </w:tr>
      <w:tr w14:paraId="5EF96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344" w:type="dxa"/>
            <w:vMerge w:val="continue"/>
            <w:tcBorders>
              <w:top w:val="nil"/>
              <w:bottom w:val="nil"/>
            </w:tcBorders>
            <w:vAlign w:val="top"/>
          </w:tcPr>
          <w:p w14:paraId="25672400">
            <w:pPr>
              <w:rPr>
                <w:rFonts w:ascii="Arial"/>
                <w:sz w:val="21"/>
              </w:rPr>
            </w:pPr>
          </w:p>
        </w:tc>
        <w:tc>
          <w:tcPr>
            <w:tcW w:w="2218" w:type="dxa"/>
            <w:vAlign w:val="top"/>
          </w:tcPr>
          <w:p w14:paraId="365EE04C">
            <w:pPr>
              <w:pStyle w:val="6"/>
              <w:spacing w:before="80" w:line="188" w:lineRule="auto"/>
              <w:ind w:left="117"/>
              <w:rPr>
                <w:sz w:val="21"/>
                <w:szCs w:val="21"/>
              </w:rPr>
            </w:pPr>
            <w:r>
              <w:rPr>
                <w:spacing w:val="-3"/>
                <w:sz w:val="21"/>
                <w:szCs w:val="21"/>
              </w:rPr>
              <w:t>危急值报告查看</w:t>
            </w:r>
          </w:p>
        </w:tc>
        <w:tc>
          <w:tcPr>
            <w:tcW w:w="6692" w:type="dxa"/>
            <w:vAlign w:val="top"/>
          </w:tcPr>
          <w:p w14:paraId="3D2E79FA">
            <w:pPr>
              <w:pStyle w:val="6"/>
              <w:spacing w:before="79" w:line="188" w:lineRule="auto"/>
              <w:ind w:left="132"/>
              <w:rPr>
                <w:sz w:val="21"/>
                <w:szCs w:val="21"/>
              </w:rPr>
            </w:pPr>
            <w:r>
              <w:rPr>
                <w:spacing w:val="-3"/>
                <w:sz w:val="21"/>
                <w:szCs w:val="21"/>
              </w:rPr>
              <w:t>医技人员可以查看危急值对应的检查检验报告。</w:t>
            </w:r>
          </w:p>
        </w:tc>
      </w:tr>
      <w:tr w14:paraId="279AF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344" w:type="dxa"/>
            <w:vMerge w:val="continue"/>
            <w:tcBorders>
              <w:top w:val="nil"/>
            </w:tcBorders>
            <w:vAlign w:val="top"/>
          </w:tcPr>
          <w:p w14:paraId="00957D61">
            <w:pPr>
              <w:rPr>
                <w:rFonts w:ascii="Arial"/>
                <w:sz w:val="21"/>
              </w:rPr>
            </w:pPr>
          </w:p>
        </w:tc>
        <w:tc>
          <w:tcPr>
            <w:tcW w:w="2218" w:type="dxa"/>
            <w:vAlign w:val="top"/>
          </w:tcPr>
          <w:p w14:paraId="65A0BA70">
            <w:pPr>
              <w:pStyle w:val="6"/>
              <w:spacing w:before="268" w:line="188" w:lineRule="auto"/>
              <w:ind w:left="117"/>
              <w:rPr>
                <w:sz w:val="21"/>
                <w:szCs w:val="21"/>
              </w:rPr>
            </w:pPr>
            <w:r>
              <w:rPr>
                <w:spacing w:val="-4"/>
                <w:sz w:val="21"/>
                <w:szCs w:val="21"/>
              </w:rPr>
              <w:t>危急值统计</w:t>
            </w:r>
          </w:p>
        </w:tc>
        <w:tc>
          <w:tcPr>
            <w:tcW w:w="6692" w:type="dxa"/>
            <w:vAlign w:val="top"/>
          </w:tcPr>
          <w:p w14:paraId="0321C8B1">
            <w:pPr>
              <w:pStyle w:val="6"/>
              <w:spacing w:before="117" w:line="197" w:lineRule="auto"/>
              <w:ind w:left="115" w:right="102" w:firstLine="3"/>
              <w:rPr>
                <w:sz w:val="21"/>
                <w:szCs w:val="21"/>
              </w:rPr>
            </w:pPr>
            <w:r>
              <w:rPr>
                <w:spacing w:val="-2"/>
                <w:sz w:val="21"/>
                <w:szCs w:val="21"/>
              </w:rPr>
              <w:t>统计医技科室或全院的危急值数量、已处理、未处理、合规处理、超时</w:t>
            </w:r>
            <w:r>
              <w:rPr>
                <w:spacing w:val="11"/>
                <w:sz w:val="21"/>
                <w:szCs w:val="21"/>
              </w:rPr>
              <w:t xml:space="preserve"> </w:t>
            </w:r>
            <w:r>
              <w:rPr>
                <w:spacing w:val="-2"/>
                <w:sz w:val="21"/>
                <w:szCs w:val="21"/>
              </w:rPr>
              <w:t>处理、超时未处理、平均处理时间等指标，并支持导出数据。</w:t>
            </w:r>
          </w:p>
        </w:tc>
      </w:tr>
      <w:tr w14:paraId="79F92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1344" w:type="dxa"/>
            <w:vMerge w:val="restart"/>
            <w:tcBorders>
              <w:bottom w:val="nil"/>
            </w:tcBorders>
            <w:vAlign w:val="top"/>
          </w:tcPr>
          <w:p w14:paraId="02050736">
            <w:pPr>
              <w:spacing w:line="271" w:lineRule="auto"/>
              <w:rPr>
                <w:rFonts w:ascii="Arial"/>
                <w:sz w:val="21"/>
              </w:rPr>
            </w:pPr>
          </w:p>
          <w:p w14:paraId="617BC593">
            <w:pPr>
              <w:spacing w:line="271" w:lineRule="auto"/>
              <w:rPr>
                <w:rFonts w:ascii="Arial"/>
                <w:sz w:val="21"/>
              </w:rPr>
            </w:pPr>
          </w:p>
          <w:p w14:paraId="63CD608E">
            <w:pPr>
              <w:spacing w:line="272" w:lineRule="auto"/>
              <w:rPr>
                <w:rFonts w:ascii="Arial"/>
                <w:sz w:val="21"/>
              </w:rPr>
            </w:pPr>
          </w:p>
          <w:p w14:paraId="76C7F5BF">
            <w:pPr>
              <w:spacing w:line="272" w:lineRule="auto"/>
              <w:rPr>
                <w:rFonts w:ascii="Arial"/>
                <w:sz w:val="21"/>
              </w:rPr>
            </w:pPr>
          </w:p>
          <w:p w14:paraId="3E8426BF">
            <w:pPr>
              <w:spacing w:line="272" w:lineRule="auto"/>
              <w:rPr>
                <w:rFonts w:ascii="Arial"/>
                <w:sz w:val="21"/>
              </w:rPr>
            </w:pPr>
          </w:p>
          <w:p w14:paraId="7110328B">
            <w:pPr>
              <w:spacing w:line="272" w:lineRule="auto"/>
              <w:rPr>
                <w:rFonts w:ascii="Arial"/>
                <w:sz w:val="21"/>
              </w:rPr>
            </w:pPr>
          </w:p>
          <w:p w14:paraId="02BF6EF4">
            <w:pPr>
              <w:spacing w:line="272" w:lineRule="auto"/>
              <w:rPr>
                <w:rFonts w:ascii="Arial"/>
                <w:sz w:val="21"/>
              </w:rPr>
            </w:pPr>
          </w:p>
          <w:p w14:paraId="15428D08">
            <w:pPr>
              <w:pStyle w:val="6"/>
              <w:spacing w:before="103" w:line="188" w:lineRule="auto"/>
              <w:ind w:left="124"/>
            </w:pPr>
            <w:r>
              <w:rPr>
                <w:spacing w:val="-5"/>
              </w:rPr>
              <w:t>消息系统</w:t>
            </w:r>
          </w:p>
        </w:tc>
        <w:tc>
          <w:tcPr>
            <w:tcW w:w="2218" w:type="dxa"/>
            <w:vAlign w:val="top"/>
          </w:tcPr>
          <w:p w14:paraId="551CB185">
            <w:pPr>
              <w:spacing w:line="245" w:lineRule="auto"/>
              <w:rPr>
                <w:rFonts w:ascii="Arial"/>
                <w:sz w:val="21"/>
              </w:rPr>
            </w:pPr>
          </w:p>
          <w:p w14:paraId="5083409E">
            <w:pPr>
              <w:spacing w:line="245" w:lineRule="auto"/>
              <w:rPr>
                <w:rFonts w:ascii="Arial"/>
                <w:sz w:val="21"/>
              </w:rPr>
            </w:pPr>
          </w:p>
          <w:p w14:paraId="6DADDE7F">
            <w:pPr>
              <w:spacing w:line="246" w:lineRule="auto"/>
              <w:rPr>
                <w:rFonts w:ascii="Arial"/>
                <w:sz w:val="21"/>
              </w:rPr>
            </w:pPr>
          </w:p>
          <w:p w14:paraId="44D4BBDA">
            <w:pPr>
              <w:pStyle w:val="6"/>
              <w:spacing w:before="90" w:line="189" w:lineRule="auto"/>
              <w:ind w:left="110"/>
              <w:rPr>
                <w:sz w:val="21"/>
                <w:szCs w:val="21"/>
              </w:rPr>
            </w:pPr>
            <w:r>
              <w:rPr>
                <w:spacing w:val="5"/>
                <w:sz w:val="21"/>
                <w:szCs w:val="21"/>
              </w:rPr>
              <w:t>★通知策略</w:t>
            </w:r>
          </w:p>
        </w:tc>
        <w:tc>
          <w:tcPr>
            <w:tcW w:w="6692" w:type="dxa"/>
            <w:vAlign w:val="top"/>
          </w:tcPr>
          <w:p w14:paraId="298CB74E">
            <w:pPr>
              <w:pStyle w:val="6"/>
              <w:spacing w:before="235" w:line="188" w:lineRule="auto"/>
              <w:ind w:left="123"/>
              <w:rPr>
                <w:sz w:val="21"/>
                <w:szCs w:val="21"/>
              </w:rPr>
            </w:pPr>
            <w:r>
              <w:rPr>
                <w:spacing w:val="3"/>
                <w:sz w:val="21"/>
                <w:szCs w:val="21"/>
              </w:rPr>
              <w:t>1.支持定制通知策略，适应各种通报流程要求;</w:t>
            </w:r>
          </w:p>
          <w:p w14:paraId="7ABC5AAE">
            <w:pPr>
              <w:pStyle w:val="6"/>
              <w:spacing w:before="16" w:line="197" w:lineRule="auto"/>
              <w:ind w:left="122" w:right="102" w:hanging="12"/>
              <w:rPr>
                <w:sz w:val="21"/>
                <w:szCs w:val="21"/>
              </w:rPr>
            </w:pPr>
            <w:r>
              <w:rPr>
                <w:spacing w:val="1"/>
                <w:sz w:val="21"/>
                <w:szCs w:val="21"/>
              </w:rPr>
              <w:t>2.支持通知位置设置，包含申请医生、医生站、护士站位置；3</w:t>
            </w:r>
            <w:r>
              <w:rPr>
                <w:sz w:val="21"/>
                <w:szCs w:val="21"/>
              </w:rPr>
              <w:t xml:space="preserve">.支持策 </w:t>
            </w:r>
            <w:r>
              <w:rPr>
                <w:spacing w:val="-4"/>
                <w:sz w:val="21"/>
                <w:szCs w:val="21"/>
              </w:rPr>
              <w:t>略中设置短信模板，适应不同的通知节点；</w:t>
            </w:r>
          </w:p>
          <w:p w14:paraId="0983D1E6">
            <w:pPr>
              <w:pStyle w:val="6"/>
              <w:spacing w:before="4" w:line="197" w:lineRule="auto"/>
              <w:ind w:left="129" w:right="102" w:hanging="22"/>
              <w:rPr>
                <w:sz w:val="21"/>
                <w:szCs w:val="21"/>
              </w:rPr>
            </w:pPr>
            <w:r>
              <w:rPr>
                <w:spacing w:val="1"/>
                <w:sz w:val="21"/>
                <w:szCs w:val="21"/>
              </w:rPr>
              <w:t>4.支持通知时间间隔、次数的设置；5.支持工作时间范围设定，非工作</w:t>
            </w:r>
            <w:r>
              <w:rPr>
                <w:sz w:val="21"/>
                <w:szCs w:val="21"/>
              </w:rPr>
              <w:t xml:space="preserve"> </w:t>
            </w:r>
            <w:r>
              <w:rPr>
                <w:spacing w:val="-9"/>
                <w:sz w:val="21"/>
                <w:szCs w:val="21"/>
              </w:rPr>
              <w:t>时间不进行通知；</w:t>
            </w:r>
          </w:p>
        </w:tc>
      </w:tr>
      <w:tr w14:paraId="2DAFE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344" w:type="dxa"/>
            <w:vMerge w:val="continue"/>
            <w:tcBorders>
              <w:top w:val="nil"/>
              <w:bottom w:val="nil"/>
            </w:tcBorders>
            <w:vAlign w:val="top"/>
          </w:tcPr>
          <w:p w14:paraId="1F6FBD7E">
            <w:pPr>
              <w:rPr>
                <w:rFonts w:ascii="Arial"/>
                <w:sz w:val="21"/>
              </w:rPr>
            </w:pPr>
          </w:p>
        </w:tc>
        <w:tc>
          <w:tcPr>
            <w:tcW w:w="2218" w:type="dxa"/>
            <w:vAlign w:val="top"/>
          </w:tcPr>
          <w:p w14:paraId="7BA0123D">
            <w:pPr>
              <w:pStyle w:val="6"/>
              <w:spacing w:before="82" w:line="188" w:lineRule="auto"/>
              <w:ind w:left="115"/>
              <w:rPr>
                <w:sz w:val="21"/>
                <w:szCs w:val="21"/>
              </w:rPr>
            </w:pPr>
            <w:r>
              <w:rPr>
                <w:spacing w:val="-4"/>
                <w:sz w:val="21"/>
                <w:szCs w:val="21"/>
              </w:rPr>
              <w:t>策略管理</w:t>
            </w:r>
          </w:p>
        </w:tc>
        <w:tc>
          <w:tcPr>
            <w:tcW w:w="6692" w:type="dxa"/>
            <w:vAlign w:val="top"/>
          </w:tcPr>
          <w:p w14:paraId="26DCEB85">
            <w:pPr>
              <w:pStyle w:val="6"/>
              <w:spacing w:before="82" w:line="188" w:lineRule="auto"/>
              <w:ind w:left="114"/>
              <w:rPr>
                <w:sz w:val="21"/>
                <w:szCs w:val="21"/>
              </w:rPr>
            </w:pPr>
            <w:r>
              <w:rPr>
                <w:spacing w:val="-5"/>
                <w:sz w:val="21"/>
                <w:szCs w:val="21"/>
              </w:rPr>
              <w:t>支持增加、删除、修改操作；</w:t>
            </w:r>
          </w:p>
        </w:tc>
      </w:tr>
      <w:tr w14:paraId="166B9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344" w:type="dxa"/>
            <w:vMerge w:val="continue"/>
            <w:tcBorders>
              <w:top w:val="nil"/>
              <w:bottom w:val="nil"/>
            </w:tcBorders>
            <w:vAlign w:val="top"/>
          </w:tcPr>
          <w:p w14:paraId="66F35085">
            <w:pPr>
              <w:rPr>
                <w:rFonts w:ascii="Arial"/>
                <w:sz w:val="21"/>
              </w:rPr>
            </w:pPr>
          </w:p>
        </w:tc>
        <w:tc>
          <w:tcPr>
            <w:tcW w:w="2218" w:type="dxa"/>
            <w:vAlign w:val="top"/>
          </w:tcPr>
          <w:p w14:paraId="51CA6272">
            <w:pPr>
              <w:pStyle w:val="6"/>
              <w:spacing w:before="82" w:line="188" w:lineRule="auto"/>
              <w:ind w:left="112"/>
              <w:rPr>
                <w:sz w:val="21"/>
                <w:szCs w:val="21"/>
              </w:rPr>
            </w:pPr>
            <w:r>
              <w:rPr>
                <w:spacing w:val="-2"/>
                <w:sz w:val="21"/>
                <w:szCs w:val="21"/>
              </w:rPr>
              <w:t>流程节点管理</w:t>
            </w:r>
          </w:p>
        </w:tc>
        <w:tc>
          <w:tcPr>
            <w:tcW w:w="6692" w:type="dxa"/>
            <w:vAlign w:val="top"/>
          </w:tcPr>
          <w:p w14:paraId="03E15326">
            <w:pPr>
              <w:pStyle w:val="6"/>
              <w:spacing w:before="82" w:line="188" w:lineRule="auto"/>
              <w:ind w:left="114"/>
              <w:rPr>
                <w:sz w:val="21"/>
                <w:szCs w:val="21"/>
              </w:rPr>
            </w:pPr>
            <w:r>
              <w:rPr>
                <w:spacing w:val="-5"/>
                <w:sz w:val="21"/>
                <w:szCs w:val="21"/>
              </w:rPr>
              <w:t>支持增加、删除、修改操作；</w:t>
            </w:r>
          </w:p>
        </w:tc>
      </w:tr>
      <w:tr w14:paraId="3AD4C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344" w:type="dxa"/>
            <w:vMerge w:val="continue"/>
            <w:tcBorders>
              <w:top w:val="nil"/>
              <w:bottom w:val="nil"/>
            </w:tcBorders>
            <w:vAlign w:val="top"/>
          </w:tcPr>
          <w:p w14:paraId="5A7D8FCC">
            <w:pPr>
              <w:rPr>
                <w:rFonts w:ascii="Arial"/>
                <w:sz w:val="21"/>
              </w:rPr>
            </w:pPr>
          </w:p>
        </w:tc>
        <w:tc>
          <w:tcPr>
            <w:tcW w:w="2218" w:type="dxa"/>
            <w:vAlign w:val="top"/>
          </w:tcPr>
          <w:p w14:paraId="36E61855">
            <w:pPr>
              <w:pStyle w:val="6"/>
              <w:spacing w:before="270" w:line="189" w:lineRule="auto"/>
              <w:ind w:left="110"/>
              <w:rPr>
                <w:sz w:val="21"/>
                <w:szCs w:val="21"/>
              </w:rPr>
            </w:pPr>
            <w:r>
              <w:rPr>
                <w:spacing w:val="-4"/>
                <w:sz w:val="21"/>
                <w:szCs w:val="21"/>
              </w:rPr>
              <w:t>★PC 弹窗消息模型</w:t>
            </w:r>
          </w:p>
        </w:tc>
        <w:tc>
          <w:tcPr>
            <w:tcW w:w="6692" w:type="dxa"/>
            <w:vAlign w:val="top"/>
          </w:tcPr>
          <w:p w14:paraId="61DE7941">
            <w:pPr>
              <w:pStyle w:val="6"/>
              <w:spacing w:before="120" w:line="197" w:lineRule="auto"/>
              <w:ind w:left="118" w:right="102" w:hanging="4"/>
              <w:rPr>
                <w:sz w:val="21"/>
                <w:szCs w:val="21"/>
              </w:rPr>
            </w:pPr>
            <w:r>
              <w:rPr>
                <w:spacing w:val="-2"/>
                <w:sz w:val="21"/>
                <w:szCs w:val="21"/>
              </w:rPr>
              <w:t>支持定制弹窗消息模型：包含内容格式、字体颜色、事件动作、数据来</w:t>
            </w:r>
            <w:r>
              <w:rPr>
                <w:spacing w:val="15"/>
                <w:sz w:val="21"/>
                <w:szCs w:val="21"/>
              </w:rPr>
              <w:t xml:space="preserve"> </w:t>
            </w:r>
            <w:r>
              <w:rPr>
                <w:spacing w:val="-2"/>
                <w:sz w:val="21"/>
                <w:szCs w:val="21"/>
              </w:rPr>
              <w:t>源、是否允许关闭、消息语音播报内容、播报次数等。</w:t>
            </w:r>
          </w:p>
        </w:tc>
      </w:tr>
      <w:tr w14:paraId="73A12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344" w:type="dxa"/>
            <w:vMerge w:val="continue"/>
            <w:tcBorders>
              <w:top w:val="nil"/>
            </w:tcBorders>
            <w:vAlign w:val="top"/>
          </w:tcPr>
          <w:p w14:paraId="7DE18CD0">
            <w:pPr>
              <w:rPr>
                <w:rFonts w:ascii="Arial"/>
                <w:sz w:val="21"/>
              </w:rPr>
            </w:pPr>
          </w:p>
        </w:tc>
        <w:tc>
          <w:tcPr>
            <w:tcW w:w="2218" w:type="dxa"/>
            <w:vAlign w:val="top"/>
          </w:tcPr>
          <w:p w14:paraId="42244A30">
            <w:pPr>
              <w:pStyle w:val="6"/>
              <w:spacing w:before="326" w:line="188" w:lineRule="auto"/>
              <w:ind w:left="116"/>
              <w:rPr>
                <w:sz w:val="21"/>
                <w:szCs w:val="21"/>
              </w:rPr>
            </w:pPr>
            <w:r>
              <w:rPr>
                <w:spacing w:val="-3"/>
                <w:sz w:val="21"/>
                <w:szCs w:val="21"/>
              </w:rPr>
              <w:t>客户端消息插件</w:t>
            </w:r>
          </w:p>
        </w:tc>
        <w:tc>
          <w:tcPr>
            <w:tcW w:w="6692" w:type="dxa"/>
            <w:vAlign w:val="top"/>
          </w:tcPr>
          <w:p w14:paraId="5F2516A0">
            <w:pPr>
              <w:pStyle w:val="6"/>
              <w:spacing w:before="178" w:line="190" w:lineRule="auto"/>
              <w:ind w:left="114" w:right="1586" w:firstLine="9"/>
              <w:rPr>
                <w:sz w:val="21"/>
                <w:szCs w:val="21"/>
              </w:rPr>
            </w:pPr>
            <w:r>
              <w:rPr>
                <w:spacing w:val="-2"/>
                <w:position w:val="-2"/>
                <w:sz w:val="21"/>
                <w:szCs w:val="21"/>
              </w:rPr>
              <w:t>1.</w:t>
            </w:r>
            <w:r>
              <w:rPr>
                <w:spacing w:val="-2"/>
                <w:sz w:val="21"/>
                <w:szCs w:val="21"/>
              </w:rPr>
              <w:t>接收消息中心的数据并解析，渲染弹窗样式并弹出；</w:t>
            </w:r>
            <w:r>
              <w:rPr>
                <w:spacing w:val="16"/>
                <w:sz w:val="21"/>
                <w:szCs w:val="21"/>
              </w:rPr>
              <w:t xml:space="preserve"> </w:t>
            </w:r>
            <w:r>
              <w:rPr>
                <w:spacing w:val="-4"/>
                <w:sz w:val="21"/>
                <w:szCs w:val="21"/>
              </w:rPr>
              <w:t>执行弹窗中的按钮事件；3、自动切换用户；</w:t>
            </w:r>
          </w:p>
        </w:tc>
      </w:tr>
      <w:tr w14:paraId="3910E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344" w:type="dxa"/>
            <w:vMerge w:val="restart"/>
            <w:tcBorders>
              <w:bottom w:val="nil"/>
            </w:tcBorders>
            <w:vAlign w:val="top"/>
          </w:tcPr>
          <w:p w14:paraId="3E7A1CB0">
            <w:pPr>
              <w:spacing w:line="286" w:lineRule="auto"/>
              <w:rPr>
                <w:rFonts w:ascii="Arial"/>
                <w:sz w:val="21"/>
              </w:rPr>
            </w:pPr>
          </w:p>
          <w:p w14:paraId="0894CB9E">
            <w:pPr>
              <w:spacing w:line="287" w:lineRule="auto"/>
              <w:rPr>
                <w:rFonts w:ascii="Arial"/>
                <w:sz w:val="21"/>
              </w:rPr>
            </w:pPr>
          </w:p>
          <w:p w14:paraId="6A5AC8AB">
            <w:pPr>
              <w:spacing w:line="287" w:lineRule="auto"/>
              <w:rPr>
                <w:rFonts w:ascii="Arial"/>
                <w:sz w:val="21"/>
              </w:rPr>
            </w:pPr>
          </w:p>
          <w:p w14:paraId="4294A7F2">
            <w:pPr>
              <w:spacing w:line="287" w:lineRule="auto"/>
              <w:rPr>
                <w:rFonts w:ascii="Arial"/>
                <w:sz w:val="21"/>
              </w:rPr>
            </w:pPr>
          </w:p>
          <w:p w14:paraId="718BB9EE">
            <w:pPr>
              <w:spacing w:line="287" w:lineRule="auto"/>
              <w:rPr>
                <w:rFonts w:ascii="Arial"/>
                <w:sz w:val="21"/>
              </w:rPr>
            </w:pPr>
          </w:p>
          <w:p w14:paraId="73B4810D">
            <w:pPr>
              <w:pStyle w:val="6"/>
              <w:spacing w:before="103" w:line="189" w:lineRule="auto"/>
              <w:ind w:left="119"/>
            </w:pPr>
            <w:r>
              <w:rPr>
                <w:spacing w:val="-4"/>
              </w:rPr>
              <w:t>接口功能</w:t>
            </w:r>
          </w:p>
        </w:tc>
        <w:tc>
          <w:tcPr>
            <w:tcW w:w="2218" w:type="dxa"/>
            <w:vAlign w:val="top"/>
          </w:tcPr>
          <w:p w14:paraId="5D780793">
            <w:pPr>
              <w:pStyle w:val="6"/>
              <w:spacing w:before="85" w:line="186" w:lineRule="auto"/>
              <w:ind w:left="112"/>
              <w:rPr>
                <w:sz w:val="21"/>
                <w:szCs w:val="21"/>
              </w:rPr>
            </w:pPr>
            <w:r>
              <w:rPr>
                <w:spacing w:val="-2"/>
                <w:sz w:val="21"/>
                <w:szCs w:val="21"/>
              </w:rPr>
              <w:t>基础字典接口</w:t>
            </w:r>
          </w:p>
        </w:tc>
        <w:tc>
          <w:tcPr>
            <w:tcW w:w="6692" w:type="dxa"/>
            <w:vAlign w:val="top"/>
          </w:tcPr>
          <w:p w14:paraId="095AD2B9">
            <w:pPr>
              <w:pStyle w:val="6"/>
              <w:spacing w:before="85" w:line="186" w:lineRule="auto"/>
              <w:ind w:left="139"/>
              <w:rPr>
                <w:sz w:val="21"/>
                <w:szCs w:val="21"/>
              </w:rPr>
            </w:pPr>
            <w:r>
              <w:rPr>
                <w:spacing w:val="-5"/>
                <w:sz w:val="21"/>
                <w:szCs w:val="21"/>
              </w:rPr>
              <w:t>同步 HIS 科室、职工、病区、护理单元等基础</w:t>
            </w:r>
            <w:r>
              <w:rPr>
                <w:spacing w:val="-6"/>
                <w:sz w:val="21"/>
                <w:szCs w:val="21"/>
              </w:rPr>
              <w:t>字典；</w:t>
            </w:r>
          </w:p>
        </w:tc>
      </w:tr>
      <w:tr w14:paraId="0AE8A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344" w:type="dxa"/>
            <w:vMerge w:val="continue"/>
            <w:tcBorders>
              <w:top w:val="nil"/>
              <w:bottom w:val="nil"/>
            </w:tcBorders>
            <w:vAlign w:val="top"/>
          </w:tcPr>
          <w:p w14:paraId="39B935E9">
            <w:pPr>
              <w:rPr>
                <w:rFonts w:ascii="Arial"/>
                <w:sz w:val="21"/>
              </w:rPr>
            </w:pPr>
          </w:p>
        </w:tc>
        <w:tc>
          <w:tcPr>
            <w:tcW w:w="2218" w:type="dxa"/>
            <w:vAlign w:val="top"/>
          </w:tcPr>
          <w:p w14:paraId="034242DA">
            <w:pPr>
              <w:pStyle w:val="6"/>
              <w:spacing w:before="85" w:line="186" w:lineRule="auto"/>
              <w:ind w:left="114"/>
              <w:rPr>
                <w:sz w:val="21"/>
                <w:szCs w:val="21"/>
              </w:rPr>
            </w:pPr>
            <w:r>
              <w:rPr>
                <w:spacing w:val="-2"/>
                <w:sz w:val="21"/>
                <w:szCs w:val="21"/>
              </w:rPr>
              <w:t>检验危急值接口</w:t>
            </w:r>
          </w:p>
        </w:tc>
        <w:tc>
          <w:tcPr>
            <w:tcW w:w="6692" w:type="dxa"/>
            <w:vAlign w:val="top"/>
          </w:tcPr>
          <w:p w14:paraId="482AE23D">
            <w:pPr>
              <w:pStyle w:val="6"/>
              <w:spacing w:before="85" w:line="186" w:lineRule="auto"/>
              <w:ind w:left="116"/>
              <w:rPr>
                <w:sz w:val="21"/>
                <w:szCs w:val="21"/>
              </w:rPr>
            </w:pPr>
            <w:r>
              <w:rPr>
                <w:spacing w:val="-2"/>
                <w:sz w:val="21"/>
                <w:szCs w:val="21"/>
              </w:rPr>
              <w:t>检验系统推送一般检验危急值数据到危急值系</w:t>
            </w:r>
            <w:r>
              <w:rPr>
                <w:spacing w:val="-3"/>
                <w:sz w:val="21"/>
                <w:szCs w:val="21"/>
              </w:rPr>
              <w:t>统或集成平台；</w:t>
            </w:r>
          </w:p>
        </w:tc>
      </w:tr>
      <w:tr w14:paraId="3AAF3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344" w:type="dxa"/>
            <w:vMerge w:val="continue"/>
            <w:tcBorders>
              <w:top w:val="nil"/>
              <w:bottom w:val="nil"/>
            </w:tcBorders>
            <w:vAlign w:val="top"/>
          </w:tcPr>
          <w:p w14:paraId="2914826A">
            <w:pPr>
              <w:rPr>
                <w:rFonts w:ascii="Arial"/>
                <w:sz w:val="21"/>
              </w:rPr>
            </w:pPr>
          </w:p>
        </w:tc>
        <w:tc>
          <w:tcPr>
            <w:tcW w:w="2218" w:type="dxa"/>
            <w:vAlign w:val="top"/>
          </w:tcPr>
          <w:p w14:paraId="293A30B5">
            <w:pPr>
              <w:pStyle w:val="6"/>
              <w:spacing w:before="85" w:line="186" w:lineRule="auto"/>
              <w:ind w:left="114"/>
              <w:rPr>
                <w:sz w:val="21"/>
                <w:szCs w:val="21"/>
              </w:rPr>
            </w:pPr>
            <w:r>
              <w:rPr>
                <w:spacing w:val="-2"/>
                <w:sz w:val="21"/>
                <w:szCs w:val="21"/>
              </w:rPr>
              <w:t>检查危急值接口</w:t>
            </w:r>
          </w:p>
        </w:tc>
        <w:tc>
          <w:tcPr>
            <w:tcW w:w="6692" w:type="dxa"/>
            <w:vAlign w:val="top"/>
          </w:tcPr>
          <w:p w14:paraId="24EBDD4C">
            <w:pPr>
              <w:pStyle w:val="6"/>
              <w:spacing w:before="85" w:line="186" w:lineRule="auto"/>
              <w:ind w:left="116"/>
              <w:rPr>
                <w:sz w:val="21"/>
                <w:szCs w:val="21"/>
              </w:rPr>
            </w:pPr>
            <w:r>
              <w:rPr>
                <w:spacing w:val="-7"/>
                <w:sz w:val="21"/>
                <w:szCs w:val="21"/>
              </w:rPr>
              <w:t>检查系统推送 PACS 危急值数据到危急值系统或集成平台；</w:t>
            </w:r>
          </w:p>
        </w:tc>
      </w:tr>
      <w:tr w14:paraId="201DF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344" w:type="dxa"/>
            <w:vMerge w:val="continue"/>
            <w:tcBorders>
              <w:top w:val="nil"/>
              <w:bottom w:val="nil"/>
            </w:tcBorders>
            <w:vAlign w:val="top"/>
          </w:tcPr>
          <w:p w14:paraId="19145A22">
            <w:pPr>
              <w:rPr>
                <w:rFonts w:ascii="Arial"/>
                <w:sz w:val="21"/>
              </w:rPr>
            </w:pPr>
          </w:p>
        </w:tc>
        <w:tc>
          <w:tcPr>
            <w:tcW w:w="2218" w:type="dxa"/>
            <w:vAlign w:val="top"/>
          </w:tcPr>
          <w:p w14:paraId="10CF7A46">
            <w:pPr>
              <w:pStyle w:val="6"/>
              <w:spacing w:before="85" w:line="186" w:lineRule="auto"/>
              <w:ind w:left="125"/>
              <w:rPr>
                <w:sz w:val="21"/>
                <w:szCs w:val="21"/>
              </w:rPr>
            </w:pPr>
            <w:r>
              <w:rPr>
                <w:spacing w:val="-3"/>
                <w:sz w:val="21"/>
                <w:szCs w:val="21"/>
              </w:rPr>
              <w:t>患者检验报告接口</w:t>
            </w:r>
          </w:p>
        </w:tc>
        <w:tc>
          <w:tcPr>
            <w:tcW w:w="6692" w:type="dxa"/>
            <w:vAlign w:val="top"/>
          </w:tcPr>
          <w:p w14:paraId="0873D657">
            <w:pPr>
              <w:pStyle w:val="6"/>
              <w:spacing w:before="85" w:line="186" w:lineRule="auto"/>
              <w:ind w:left="116"/>
              <w:rPr>
                <w:sz w:val="21"/>
                <w:szCs w:val="21"/>
              </w:rPr>
            </w:pPr>
            <w:r>
              <w:rPr>
                <w:spacing w:val="-2"/>
                <w:sz w:val="21"/>
                <w:szCs w:val="21"/>
              </w:rPr>
              <w:t>检验系统将患者或危急值的检验报告推送到危急值系统或集成平台；</w:t>
            </w:r>
          </w:p>
        </w:tc>
      </w:tr>
      <w:tr w14:paraId="6B5D3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344" w:type="dxa"/>
            <w:vMerge w:val="continue"/>
            <w:tcBorders>
              <w:top w:val="nil"/>
              <w:bottom w:val="nil"/>
            </w:tcBorders>
            <w:vAlign w:val="top"/>
          </w:tcPr>
          <w:p w14:paraId="7D3FF274">
            <w:pPr>
              <w:rPr>
                <w:rFonts w:ascii="Arial"/>
                <w:sz w:val="21"/>
              </w:rPr>
            </w:pPr>
          </w:p>
        </w:tc>
        <w:tc>
          <w:tcPr>
            <w:tcW w:w="2218" w:type="dxa"/>
            <w:vAlign w:val="top"/>
          </w:tcPr>
          <w:p w14:paraId="7E1CCA72">
            <w:pPr>
              <w:pStyle w:val="6"/>
              <w:spacing w:before="272" w:line="189" w:lineRule="auto"/>
              <w:ind w:left="125"/>
              <w:rPr>
                <w:sz w:val="21"/>
                <w:szCs w:val="21"/>
              </w:rPr>
            </w:pPr>
            <w:r>
              <w:rPr>
                <w:spacing w:val="-3"/>
                <w:sz w:val="21"/>
                <w:szCs w:val="21"/>
              </w:rPr>
              <w:t>患者检查报告接口</w:t>
            </w:r>
          </w:p>
        </w:tc>
        <w:tc>
          <w:tcPr>
            <w:tcW w:w="6692" w:type="dxa"/>
            <w:vAlign w:val="top"/>
          </w:tcPr>
          <w:p w14:paraId="07D7E78E">
            <w:pPr>
              <w:pStyle w:val="6"/>
              <w:spacing w:before="123" w:line="197" w:lineRule="auto"/>
              <w:ind w:left="134" w:right="175" w:hanging="18"/>
              <w:rPr>
                <w:sz w:val="21"/>
                <w:szCs w:val="21"/>
              </w:rPr>
            </w:pPr>
            <w:r>
              <w:rPr>
                <w:spacing w:val="-5"/>
                <w:sz w:val="21"/>
                <w:szCs w:val="21"/>
              </w:rPr>
              <w:t>检查系统将患者或危急值的检查报告 PACS 推送到危急值系统或集成平</w:t>
            </w:r>
            <w:r>
              <w:rPr>
                <w:spacing w:val="16"/>
                <w:sz w:val="21"/>
                <w:szCs w:val="21"/>
              </w:rPr>
              <w:t xml:space="preserve"> </w:t>
            </w:r>
            <w:r>
              <w:rPr>
                <w:spacing w:val="-20"/>
                <w:sz w:val="21"/>
                <w:szCs w:val="21"/>
              </w:rPr>
              <w:t>台；</w:t>
            </w:r>
          </w:p>
        </w:tc>
      </w:tr>
      <w:tr w14:paraId="2384A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1344" w:type="dxa"/>
            <w:vMerge w:val="continue"/>
            <w:tcBorders>
              <w:top w:val="nil"/>
            </w:tcBorders>
            <w:vAlign w:val="top"/>
          </w:tcPr>
          <w:p w14:paraId="649C8704">
            <w:pPr>
              <w:rPr>
                <w:rFonts w:ascii="Arial"/>
                <w:sz w:val="21"/>
              </w:rPr>
            </w:pPr>
          </w:p>
        </w:tc>
        <w:tc>
          <w:tcPr>
            <w:tcW w:w="2218" w:type="dxa"/>
            <w:vAlign w:val="top"/>
          </w:tcPr>
          <w:p w14:paraId="4121F384">
            <w:pPr>
              <w:pStyle w:val="6"/>
              <w:spacing w:before="241" w:line="189" w:lineRule="auto"/>
              <w:ind w:left="110"/>
              <w:rPr>
                <w:sz w:val="21"/>
                <w:szCs w:val="21"/>
              </w:rPr>
            </w:pPr>
            <w:r>
              <w:rPr>
                <w:spacing w:val="5"/>
                <w:sz w:val="21"/>
                <w:szCs w:val="21"/>
              </w:rPr>
              <w:t>★接口配置</w:t>
            </w:r>
          </w:p>
        </w:tc>
        <w:tc>
          <w:tcPr>
            <w:tcW w:w="6692" w:type="dxa"/>
            <w:vAlign w:val="top"/>
          </w:tcPr>
          <w:p w14:paraId="5302E00D">
            <w:pPr>
              <w:pStyle w:val="6"/>
              <w:spacing w:before="71" w:line="210" w:lineRule="auto"/>
              <w:ind w:left="114" w:right="102" w:firstLine="8"/>
              <w:jc w:val="both"/>
              <w:rPr>
                <w:sz w:val="21"/>
                <w:szCs w:val="21"/>
              </w:rPr>
            </w:pPr>
            <w:r>
              <w:rPr>
                <w:spacing w:val="-7"/>
                <w:sz w:val="21"/>
                <w:szCs w:val="21"/>
              </w:rPr>
              <w:t>系统要具有灵活的接口实现，</w:t>
            </w:r>
            <w:r>
              <w:rPr>
                <w:spacing w:val="-14"/>
                <w:sz w:val="21"/>
                <w:szCs w:val="21"/>
              </w:rPr>
              <w:t xml:space="preserve"> </w:t>
            </w:r>
            <w:r>
              <w:rPr>
                <w:spacing w:val="-7"/>
                <w:sz w:val="21"/>
                <w:szCs w:val="21"/>
              </w:rPr>
              <w:t>能够与医院现有 HIS</w:t>
            </w:r>
            <w:r>
              <w:rPr>
                <w:spacing w:val="-30"/>
                <w:sz w:val="21"/>
                <w:szCs w:val="21"/>
              </w:rPr>
              <w:t xml:space="preserve"> </w:t>
            </w:r>
            <w:r>
              <w:rPr>
                <w:spacing w:val="-7"/>
                <w:sz w:val="21"/>
                <w:szCs w:val="21"/>
              </w:rPr>
              <w:t>、EMR</w:t>
            </w:r>
            <w:r>
              <w:rPr>
                <w:spacing w:val="15"/>
                <w:sz w:val="21"/>
                <w:szCs w:val="21"/>
              </w:rPr>
              <w:t xml:space="preserve"> </w:t>
            </w:r>
            <w:r>
              <w:rPr>
                <w:spacing w:val="-7"/>
                <w:sz w:val="21"/>
                <w:szCs w:val="21"/>
              </w:rPr>
              <w:t>等相关系统紧</w:t>
            </w:r>
            <w:r>
              <w:rPr>
                <w:sz w:val="21"/>
                <w:szCs w:val="21"/>
              </w:rPr>
              <w:t xml:space="preserve"> </w:t>
            </w:r>
            <w:r>
              <w:rPr>
                <w:spacing w:val="-3"/>
                <w:sz w:val="21"/>
                <w:szCs w:val="21"/>
              </w:rPr>
              <w:t>密结合对接。2、软件上线后维保期内免费更新升级。3、接口永久免费</w:t>
            </w:r>
            <w:r>
              <w:rPr>
                <w:spacing w:val="12"/>
                <w:sz w:val="21"/>
                <w:szCs w:val="21"/>
              </w:rPr>
              <w:t xml:space="preserve"> </w:t>
            </w:r>
            <w:r>
              <w:rPr>
                <w:spacing w:val="-6"/>
                <w:sz w:val="21"/>
                <w:szCs w:val="21"/>
              </w:rPr>
              <w:t>开放。4</w:t>
            </w:r>
            <w:r>
              <w:rPr>
                <w:spacing w:val="42"/>
                <w:sz w:val="21"/>
                <w:szCs w:val="21"/>
              </w:rPr>
              <w:t xml:space="preserve"> </w:t>
            </w:r>
            <w:r>
              <w:rPr>
                <w:spacing w:val="-6"/>
                <w:sz w:val="21"/>
                <w:szCs w:val="21"/>
              </w:rPr>
              <w:t>同时包含所有系统的接口费用。</w:t>
            </w:r>
          </w:p>
        </w:tc>
      </w:tr>
      <w:tr w14:paraId="69B3B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344" w:type="dxa"/>
            <w:vAlign w:val="top"/>
          </w:tcPr>
          <w:p w14:paraId="23039DAF">
            <w:pPr>
              <w:pStyle w:val="6"/>
              <w:spacing w:before="217" w:line="188" w:lineRule="auto"/>
              <w:ind w:left="119"/>
            </w:pPr>
            <w:r>
              <w:rPr>
                <w:spacing w:val="-4"/>
              </w:rPr>
              <w:t>技术要求</w:t>
            </w:r>
          </w:p>
        </w:tc>
        <w:tc>
          <w:tcPr>
            <w:tcW w:w="2218" w:type="dxa"/>
            <w:vAlign w:val="top"/>
          </w:tcPr>
          <w:p w14:paraId="3B985BD6">
            <w:pPr>
              <w:pStyle w:val="6"/>
              <w:spacing w:before="232" w:line="188" w:lineRule="auto"/>
              <w:ind w:left="110"/>
              <w:rPr>
                <w:sz w:val="21"/>
                <w:szCs w:val="21"/>
              </w:rPr>
            </w:pPr>
            <w:r>
              <w:rPr>
                <w:spacing w:val="5"/>
                <w:sz w:val="21"/>
                <w:szCs w:val="21"/>
              </w:rPr>
              <w:t>★技术要求</w:t>
            </w:r>
          </w:p>
        </w:tc>
        <w:tc>
          <w:tcPr>
            <w:tcW w:w="6692" w:type="dxa"/>
            <w:vAlign w:val="top"/>
          </w:tcPr>
          <w:p w14:paraId="2AB6E1A5">
            <w:pPr>
              <w:pStyle w:val="6"/>
              <w:spacing w:before="83" w:line="190" w:lineRule="auto"/>
              <w:ind w:left="114" w:right="102" w:firstLine="24"/>
              <w:rPr>
                <w:sz w:val="21"/>
                <w:szCs w:val="21"/>
              </w:rPr>
            </w:pPr>
            <w:r>
              <w:rPr>
                <w:spacing w:val="-2"/>
                <w:sz w:val="21"/>
                <w:szCs w:val="21"/>
              </w:rPr>
              <w:t>国产消息中间件为后台服务实现各系统间数据对接</w:t>
            </w:r>
            <w:r>
              <w:rPr>
                <w:spacing w:val="-3"/>
                <w:sz w:val="21"/>
                <w:szCs w:val="21"/>
              </w:rPr>
              <w:t>，快速构建各种消息</w:t>
            </w:r>
            <w:r>
              <w:rPr>
                <w:sz w:val="21"/>
                <w:szCs w:val="21"/>
              </w:rPr>
              <w:t xml:space="preserve"> </w:t>
            </w:r>
            <w:r>
              <w:rPr>
                <w:spacing w:val="-7"/>
                <w:sz w:val="21"/>
                <w:szCs w:val="21"/>
              </w:rPr>
              <w:t>服务和业务流程；</w:t>
            </w:r>
          </w:p>
        </w:tc>
      </w:tr>
      <w:tr w14:paraId="35458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3562" w:type="dxa"/>
            <w:gridSpan w:val="2"/>
            <w:vAlign w:val="top"/>
          </w:tcPr>
          <w:p w14:paraId="27AAA50D">
            <w:pPr>
              <w:pStyle w:val="6"/>
              <w:spacing w:before="251" w:line="188" w:lineRule="auto"/>
              <w:ind w:left="146"/>
            </w:pPr>
            <w:r>
              <w:rPr>
                <w:spacing w:val="-4"/>
              </w:rPr>
              <w:t>国产化及电子病历评级要求</w:t>
            </w:r>
          </w:p>
        </w:tc>
        <w:tc>
          <w:tcPr>
            <w:tcW w:w="6692" w:type="dxa"/>
            <w:vAlign w:val="top"/>
          </w:tcPr>
          <w:p w14:paraId="58E4993C">
            <w:pPr>
              <w:pStyle w:val="6"/>
              <w:spacing w:before="251" w:line="183" w:lineRule="auto"/>
              <w:ind w:left="114"/>
            </w:pPr>
            <w:r>
              <w:t>★满足国产化及电子病历评级要求（含国产化认证及评级）</w:t>
            </w:r>
          </w:p>
        </w:tc>
      </w:tr>
    </w:tbl>
    <w:p w14:paraId="448A0DC2">
      <w:pPr>
        <w:pStyle w:val="2"/>
        <w:spacing w:line="250" w:lineRule="auto"/>
      </w:pPr>
    </w:p>
    <w:p w14:paraId="34E99188">
      <w:pPr>
        <w:pStyle w:val="2"/>
        <w:spacing w:line="251" w:lineRule="auto"/>
      </w:pPr>
    </w:p>
    <w:p w14:paraId="28256479">
      <w:pPr>
        <w:pStyle w:val="2"/>
        <w:spacing w:line="251" w:lineRule="auto"/>
      </w:pPr>
    </w:p>
    <w:p w14:paraId="1822EAC0">
      <w:pPr>
        <w:pStyle w:val="2"/>
        <w:spacing w:line="251" w:lineRule="auto"/>
      </w:pPr>
    </w:p>
    <w:p w14:paraId="2892DF83">
      <w:pPr>
        <w:pStyle w:val="2"/>
        <w:spacing w:line="251" w:lineRule="auto"/>
      </w:pPr>
    </w:p>
    <w:p w14:paraId="43405AC9">
      <w:pPr>
        <w:pStyle w:val="2"/>
        <w:spacing w:line="251" w:lineRule="auto"/>
      </w:pPr>
    </w:p>
    <w:p w14:paraId="0DCEADC3">
      <w:pPr>
        <w:pStyle w:val="2"/>
        <w:spacing w:line="251" w:lineRule="auto"/>
      </w:pPr>
    </w:p>
    <w:p w14:paraId="3FD30DBC">
      <w:pPr>
        <w:pStyle w:val="2"/>
        <w:spacing w:line="251" w:lineRule="auto"/>
      </w:pPr>
    </w:p>
    <w:p w14:paraId="67ADF4EF">
      <w:pPr>
        <w:pStyle w:val="2"/>
        <w:spacing w:line="251" w:lineRule="auto"/>
      </w:pPr>
    </w:p>
    <w:p w14:paraId="57E53FC7">
      <w:pPr>
        <w:pStyle w:val="2"/>
        <w:spacing w:line="251" w:lineRule="auto"/>
      </w:pPr>
    </w:p>
    <w:p w14:paraId="7D2945E9">
      <w:pPr>
        <w:spacing w:before="62" w:line="209" w:lineRule="auto"/>
        <w:ind w:left="222"/>
        <w:rPr>
          <w:rFonts w:ascii="宋体" w:hAnsi="宋体" w:eastAsia="宋体" w:cs="宋体"/>
          <w:sz w:val="19"/>
          <w:szCs w:val="19"/>
        </w:rPr>
      </w:pPr>
      <w:r>
        <w:pict>
          <v:shape id="_x0000_s1031" o:spid="_x0000_s1031" style="position:absolute;left:0pt;margin-left:5.65pt;margin-top:11.8pt;height:0.75pt;width:494pt;z-index:251675648;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3"/>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3"/>
          <w:position w:val="1"/>
          <w:sz w:val="18"/>
          <w:szCs w:val="18"/>
        </w:rPr>
        <w:t xml:space="preserve">10                               </w:t>
      </w:r>
      <w:r>
        <w:rPr>
          <w:rFonts w:ascii="宋体" w:hAnsi="宋体" w:eastAsia="宋体" w:cs="宋体"/>
          <w:b/>
          <w:bCs/>
          <w:i/>
          <w:iCs/>
          <w:spacing w:val="-3"/>
          <w:sz w:val="19"/>
          <w:szCs w:val="19"/>
        </w:rPr>
        <w:t>伊犁州公共资源交易中心</w:t>
      </w:r>
    </w:p>
    <w:p w14:paraId="626793D4">
      <w:pPr>
        <w:spacing w:line="209" w:lineRule="auto"/>
        <w:rPr>
          <w:rFonts w:ascii="宋体" w:hAnsi="宋体" w:eastAsia="宋体" w:cs="宋体"/>
          <w:sz w:val="19"/>
          <w:szCs w:val="19"/>
        </w:rPr>
        <w:sectPr>
          <w:pgSz w:w="11905" w:h="16839"/>
          <w:pgMar w:top="1136" w:right="587" w:bottom="400" w:left="1052" w:header="854" w:footer="0" w:gutter="0"/>
          <w:cols w:space="720" w:num="1"/>
        </w:sectPr>
      </w:pPr>
    </w:p>
    <w:p w14:paraId="6A267E98">
      <w:pPr>
        <w:spacing w:before="360" w:line="189" w:lineRule="auto"/>
        <w:ind w:left="4116"/>
        <w:rPr>
          <w:rFonts w:ascii="微软雅黑" w:hAnsi="微软雅黑" w:eastAsia="微软雅黑" w:cs="微软雅黑"/>
          <w:sz w:val="44"/>
          <w:szCs w:val="44"/>
        </w:rPr>
      </w:pPr>
      <w:r>
        <w:rPr>
          <w:rFonts w:ascii="微软雅黑" w:hAnsi="微软雅黑" w:eastAsia="微软雅黑" w:cs="微软雅黑"/>
          <w:b/>
          <w:bCs/>
          <w:spacing w:val="-10"/>
          <w:sz w:val="44"/>
          <w:szCs w:val="44"/>
        </w:rPr>
        <w:t>标  段  二</w:t>
      </w:r>
    </w:p>
    <w:p w14:paraId="72CD561C">
      <w:pPr>
        <w:spacing w:before="61" w:line="207" w:lineRule="auto"/>
        <w:ind w:left="44"/>
        <w:rPr>
          <w:rFonts w:ascii="微软雅黑" w:hAnsi="微软雅黑" w:eastAsia="微软雅黑" w:cs="微软雅黑"/>
          <w:sz w:val="28"/>
          <w:szCs w:val="28"/>
        </w:rPr>
      </w:pPr>
      <w:r>
        <w:rPr>
          <w:rFonts w:ascii="楷体" w:hAnsi="楷体" w:eastAsia="楷体" w:cs="楷体"/>
          <w:spacing w:val="-1"/>
          <w:sz w:val="32"/>
          <w:szCs w:val="32"/>
        </w:rPr>
        <w:t xml:space="preserve">项目名称： </w:t>
      </w:r>
      <w:r>
        <w:rPr>
          <w:rFonts w:ascii="微软雅黑" w:hAnsi="微软雅黑" w:eastAsia="微软雅黑" w:cs="微软雅黑"/>
          <w:spacing w:val="-1"/>
          <w:sz w:val="28"/>
          <w:szCs w:val="28"/>
        </w:rPr>
        <w:t>临床决策支持系统（</w:t>
      </w:r>
      <w:r>
        <w:rPr>
          <w:rFonts w:ascii="Times New Roman" w:hAnsi="Times New Roman" w:eastAsia="Times New Roman" w:cs="Times New Roman"/>
          <w:spacing w:val="-1"/>
          <w:sz w:val="28"/>
          <w:szCs w:val="28"/>
        </w:rPr>
        <w:t>CDSS</w:t>
      </w:r>
      <w:r>
        <w:rPr>
          <w:rFonts w:ascii="微软雅黑" w:hAnsi="微软雅黑" w:eastAsia="微软雅黑" w:cs="微软雅黑"/>
          <w:spacing w:val="-1"/>
          <w:sz w:val="28"/>
          <w:szCs w:val="28"/>
        </w:rPr>
        <w:t>）</w:t>
      </w:r>
    </w:p>
    <w:p w14:paraId="3D2D4A8C">
      <w:pPr>
        <w:spacing w:before="181" w:line="329" w:lineRule="auto"/>
        <w:ind w:left="43" w:right="8424" w:hanging="6"/>
        <w:rPr>
          <w:rFonts w:ascii="楷体" w:hAnsi="楷体" w:eastAsia="楷体" w:cs="楷体"/>
          <w:sz w:val="32"/>
          <w:szCs w:val="32"/>
        </w:rPr>
      </w:pPr>
      <w:r>
        <w:rPr>
          <w:rFonts w:ascii="楷体" w:hAnsi="楷体" w:eastAsia="楷体" w:cs="楷体"/>
          <w:spacing w:val="-5"/>
          <w:sz w:val="32"/>
          <w:szCs w:val="32"/>
        </w:rPr>
        <w:t>数量：1</w:t>
      </w:r>
      <w:r>
        <w:rPr>
          <w:rFonts w:ascii="楷体" w:hAnsi="楷体" w:eastAsia="楷体" w:cs="楷体"/>
          <w:spacing w:val="-65"/>
          <w:sz w:val="32"/>
          <w:szCs w:val="32"/>
        </w:rPr>
        <w:t xml:space="preserve"> </w:t>
      </w:r>
      <w:r>
        <w:rPr>
          <w:rFonts w:ascii="楷体" w:hAnsi="楷体" w:eastAsia="楷体" w:cs="楷体"/>
          <w:spacing w:val="-5"/>
          <w:sz w:val="32"/>
          <w:szCs w:val="32"/>
        </w:rPr>
        <w:t>项</w:t>
      </w:r>
      <w:r>
        <w:rPr>
          <w:rFonts w:ascii="楷体" w:hAnsi="楷体" w:eastAsia="楷体" w:cs="楷体"/>
          <w:sz w:val="32"/>
          <w:szCs w:val="32"/>
        </w:rPr>
        <w:t xml:space="preserve"> </w:t>
      </w:r>
      <w:r>
        <w:rPr>
          <w:rFonts w:ascii="楷体" w:hAnsi="楷体" w:eastAsia="楷体" w:cs="楷体"/>
          <w:spacing w:val="-15"/>
          <w:sz w:val="32"/>
          <w:szCs w:val="32"/>
        </w:rPr>
        <w:t>技术参数：</w:t>
      </w:r>
    </w:p>
    <w:p w14:paraId="12F77E00">
      <w:pPr>
        <w:spacing w:before="90" w:line="220" w:lineRule="auto"/>
        <w:ind w:left="44"/>
        <w:rPr>
          <w:rFonts w:ascii="宋体" w:hAnsi="宋体" w:eastAsia="宋体" w:cs="宋体"/>
          <w:sz w:val="24"/>
          <w:szCs w:val="24"/>
        </w:rPr>
      </w:pPr>
      <w:r>
        <w:rPr>
          <w:rFonts w:ascii="宋体" w:hAnsi="宋体" w:eastAsia="宋体" w:cs="宋体"/>
          <w:b/>
          <w:bCs/>
          <w:spacing w:val="-4"/>
          <w:sz w:val="24"/>
          <w:szCs w:val="24"/>
        </w:rPr>
        <w:t>（一）系统技术规格及要求</w:t>
      </w:r>
    </w:p>
    <w:p w14:paraId="5B0DA070">
      <w:pPr>
        <w:spacing w:before="310" w:line="446" w:lineRule="auto"/>
        <w:ind w:left="34" w:right="5020" w:firstLine="23"/>
        <w:rPr>
          <w:rFonts w:ascii="宋体" w:hAnsi="宋体" w:eastAsia="宋体" w:cs="宋体"/>
          <w:sz w:val="24"/>
          <w:szCs w:val="24"/>
        </w:rPr>
      </w:pPr>
      <w:r>
        <w:rPr>
          <w:rFonts w:ascii="Times New Roman" w:hAnsi="Times New Roman" w:eastAsia="Times New Roman" w:cs="Times New Roman"/>
          <w:spacing w:val="-3"/>
          <w:sz w:val="24"/>
          <w:szCs w:val="24"/>
        </w:rPr>
        <w:t>1.</w:t>
      </w:r>
      <w:r>
        <w:rPr>
          <w:rFonts w:ascii="宋体" w:hAnsi="宋体" w:eastAsia="宋体" w:cs="宋体"/>
          <w:spacing w:val="-3"/>
          <w:sz w:val="24"/>
          <w:szCs w:val="24"/>
        </w:rPr>
        <w:t>安全要求：系统服务器必须在医院内网安装。</w:t>
      </w:r>
      <w:r>
        <w:rPr>
          <w:rFonts w:ascii="宋体" w:hAnsi="宋体" w:eastAsia="宋体" w:cs="宋体"/>
          <w:spacing w:val="2"/>
          <w:sz w:val="24"/>
          <w:szCs w:val="24"/>
        </w:rPr>
        <w:t xml:space="preserve"> </w:t>
      </w:r>
      <w:r>
        <w:rPr>
          <w:rFonts w:ascii="Times New Roman" w:hAnsi="Times New Roman" w:eastAsia="Times New Roman" w:cs="Times New Roman"/>
          <w:spacing w:val="-1"/>
          <w:sz w:val="24"/>
          <w:szCs w:val="24"/>
        </w:rPr>
        <w:t>2.</w:t>
      </w:r>
      <w:r>
        <w:rPr>
          <w:rFonts w:ascii="宋体" w:hAnsi="宋体" w:eastAsia="宋体" w:cs="宋体"/>
          <w:spacing w:val="-1"/>
          <w:sz w:val="24"/>
          <w:szCs w:val="24"/>
        </w:rPr>
        <w:t>接口要求</w:t>
      </w:r>
    </w:p>
    <w:p w14:paraId="19A03C9A">
      <w:pPr>
        <w:spacing w:before="32" w:line="219" w:lineRule="auto"/>
        <w:ind w:left="34"/>
        <w:rPr>
          <w:rFonts w:ascii="宋体" w:hAnsi="宋体" w:eastAsia="宋体" w:cs="宋体"/>
          <w:sz w:val="24"/>
          <w:szCs w:val="24"/>
        </w:rPr>
      </w:pPr>
      <w:r>
        <w:rPr>
          <w:rFonts w:ascii="Times New Roman" w:hAnsi="Times New Roman" w:eastAsia="Times New Roman" w:cs="Times New Roman"/>
          <w:spacing w:val="-2"/>
          <w:sz w:val="24"/>
          <w:szCs w:val="24"/>
        </w:rPr>
        <w:t xml:space="preserve">2.1. </w:t>
      </w:r>
      <w:r>
        <w:rPr>
          <w:rFonts w:ascii="宋体" w:hAnsi="宋体" w:eastAsia="宋体" w:cs="宋体"/>
          <w:spacing w:val="-2"/>
          <w:sz w:val="24"/>
          <w:szCs w:val="24"/>
        </w:rPr>
        <w:t>符合卫健委颁布的《医院信息系统功能基本</w:t>
      </w:r>
      <w:r>
        <w:rPr>
          <w:rFonts w:ascii="宋体" w:hAnsi="宋体" w:eastAsia="宋体" w:cs="宋体"/>
          <w:spacing w:val="-3"/>
          <w:sz w:val="24"/>
          <w:szCs w:val="24"/>
        </w:rPr>
        <w:t>规范》；</w:t>
      </w:r>
    </w:p>
    <w:p w14:paraId="122ACBF7">
      <w:pPr>
        <w:spacing w:before="312" w:line="219" w:lineRule="auto"/>
        <w:ind w:left="34"/>
        <w:rPr>
          <w:rFonts w:ascii="宋体" w:hAnsi="宋体" w:eastAsia="宋体" w:cs="宋体"/>
          <w:sz w:val="24"/>
          <w:szCs w:val="24"/>
        </w:rPr>
      </w:pPr>
      <w:r>
        <w:rPr>
          <w:rFonts w:ascii="Times New Roman" w:hAnsi="Times New Roman" w:eastAsia="Times New Roman" w:cs="Times New Roman"/>
          <w:spacing w:val="-2"/>
          <w:sz w:val="24"/>
          <w:szCs w:val="24"/>
        </w:rPr>
        <w:t xml:space="preserve">2.2. </w:t>
      </w:r>
      <w:r>
        <w:rPr>
          <w:rFonts w:ascii="宋体" w:hAnsi="宋体" w:eastAsia="宋体" w:cs="宋体"/>
          <w:spacing w:val="-2"/>
          <w:sz w:val="24"/>
          <w:szCs w:val="24"/>
        </w:rPr>
        <w:t>符合卫健委颁布的《电子病历系统功能规范（试行）》；</w:t>
      </w:r>
    </w:p>
    <w:p w14:paraId="7D61EE45">
      <w:pPr>
        <w:spacing w:before="311" w:line="218" w:lineRule="auto"/>
        <w:ind w:left="34"/>
        <w:rPr>
          <w:rFonts w:ascii="宋体" w:hAnsi="宋体" w:eastAsia="宋体" w:cs="宋体"/>
          <w:sz w:val="24"/>
          <w:szCs w:val="24"/>
        </w:rPr>
      </w:pPr>
      <w:r>
        <w:rPr>
          <w:rFonts w:ascii="Times New Roman" w:hAnsi="Times New Roman" w:eastAsia="Times New Roman" w:cs="Times New Roman"/>
          <w:spacing w:val="-1"/>
          <w:sz w:val="24"/>
          <w:szCs w:val="24"/>
        </w:rPr>
        <w:t xml:space="preserve">2.3. </w:t>
      </w:r>
      <w:r>
        <w:rPr>
          <w:rFonts w:ascii="宋体" w:hAnsi="宋体" w:eastAsia="宋体" w:cs="宋体"/>
          <w:spacing w:val="-1"/>
          <w:sz w:val="24"/>
          <w:szCs w:val="24"/>
        </w:rPr>
        <w:t>符合卫健委颁发的《电子病历系统功</w:t>
      </w:r>
      <w:r>
        <w:rPr>
          <w:rFonts w:ascii="宋体" w:hAnsi="宋体" w:eastAsia="宋体" w:cs="宋体"/>
          <w:spacing w:val="-2"/>
          <w:sz w:val="24"/>
          <w:szCs w:val="24"/>
        </w:rPr>
        <w:t>能应用水平分级评价方法及标准（试行）》；</w:t>
      </w:r>
    </w:p>
    <w:p w14:paraId="72419190">
      <w:pPr>
        <w:spacing w:before="313" w:line="449" w:lineRule="auto"/>
        <w:ind w:left="42" w:hanging="8"/>
        <w:jc w:val="both"/>
        <w:rPr>
          <w:rFonts w:ascii="宋体" w:hAnsi="宋体" w:eastAsia="宋体" w:cs="宋体"/>
          <w:sz w:val="24"/>
          <w:szCs w:val="24"/>
        </w:rPr>
      </w:pPr>
      <w:r>
        <w:rPr>
          <w:rFonts w:ascii="Times New Roman" w:hAnsi="Times New Roman" w:eastAsia="Times New Roman" w:cs="Times New Roman"/>
          <w:spacing w:val="-2"/>
          <w:sz w:val="24"/>
          <w:szCs w:val="24"/>
        </w:rPr>
        <w:t>2.4.</w:t>
      </w:r>
      <w:r>
        <w:rPr>
          <w:rFonts w:ascii="Times New Roman" w:hAnsi="Times New Roman" w:eastAsia="Times New Roman" w:cs="Times New Roman"/>
          <w:spacing w:val="27"/>
          <w:sz w:val="24"/>
          <w:szCs w:val="24"/>
        </w:rPr>
        <w:t xml:space="preserve"> </w:t>
      </w:r>
      <w:r>
        <w:rPr>
          <w:rFonts w:ascii="宋体" w:hAnsi="宋体" w:eastAsia="宋体" w:cs="宋体"/>
          <w:spacing w:val="-2"/>
          <w:sz w:val="24"/>
          <w:szCs w:val="24"/>
        </w:rPr>
        <w:t>能够与医院住院电子病历对接，获取电子病历中的数据内容，包括但不限于主诉、现病史、</w:t>
      </w:r>
      <w:r>
        <w:rPr>
          <w:rFonts w:ascii="宋体" w:hAnsi="宋体" w:eastAsia="宋体" w:cs="宋体"/>
          <w:sz w:val="24"/>
          <w:szCs w:val="24"/>
        </w:rPr>
        <w:t xml:space="preserve"> </w:t>
      </w:r>
      <w:r>
        <w:rPr>
          <w:rFonts w:ascii="宋体" w:hAnsi="宋体" w:eastAsia="宋体" w:cs="宋体"/>
          <w:spacing w:val="1"/>
          <w:sz w:val="24"/>
          <w:szCs w:val="24"/>
        </w:rPr>
        <w:t>既往史等信息。可以将辅助诊疗的信息，写回到电子病历</w:t>
      </w:r>
      <w:r>
        <w:rPr>
          <w:rFonts w:ascii="宋体" w:hAnsi="宋体" w:eastAsia="宋体" w:cs="宋体"/>
          <w:sz w:val="24"/>
          <w:szCs w:val="24"/>
        </w:rPr>
        <w:t xml:space="preserve">，包括但不限于鉴别诊断信息、检查 </w:t>
      </w:r>
      <w:r>
        <w:rPr>
          <w:rFonts w:ascii="宋体" w:hAnsi="宋体" w:eastAsia="宋体" w:cs="宋体"/>
          <w:spacing w:val="-4"/>
          <w:sz w:val="24"/>
          <w:szCs w:val="24"/>
        </w:rPr>
        <w:t>项目、用药和手术方案信息、评估表等；</w:t>
      </w:r>
    </w:p>
    <w:p w14:paraId="12CBE7E1">
      <w:pPr>
        <w:spacing w:before="38" w:line="444" w:lineRule="auto"/>
        <w:ind w:left="41" w:right="85" w:hanging="7"/>
        <w:rPr>
          <w:rFonts w:ascii="宋体" w:hAnsi="宋体" w:eastAsia="宋体" w:cs="宋体"/>
          <w:sz w:val="24"/>
          <w:szCs w:val="24"/>
        </w:rPr>
      </w:pPr>
      <w:r>
        <w:rPr>
          <w:rFonts w:ascii="Times New Roman" w:hAnsi="Times New Roman" w:eastAsia="Times New Roman" w:cs="Times New Roman"/>
          <w:spacing w:val="2"/>
          <w:sz w:val="24"/>
          <w:szCs w:val="24"/>
        </w:rPr>
        <w:t>2.5.</w:t>
      </w:r>
      <w:r>
        <w:rPr>
          <w:rFonts w:ascii="Times New Roman" w:hAnsi="Times New Roman" w:eastAsia="Times New Roman" w:cs="Times New Roman"/>
          <w:spacing w:val="19"/>
          <w:sz w:val="24"/>
          <w:szCs w:val="24"/>
        </w:rPr>
        <w:t xml:space="preserve"> </w:t>
      </w:r>
      <w:r>
        <w:rPr>
          <w:rFonts w:ascii="宋体" w:hAnsi="宋体" w:eastAsia="宋体" w:cs="宋体"/>
          <w:spacing w:val="2"/>
          <w:sz w:val="24"/>
          <w:szCs w:val="24"/>
        </w:rPr>
        <w:t>能够与医院集成平台对接，获取集成平台中的数据内容，包括</w:t>
      </w:r>
      <w:r>
        <w:rPr>
          <w:rFonts w:ascii="宋体" w:hAnsi="宋体" w:eastAsia="宋体" w:cs="宋体"/>
          <w:spacing w:val="1"/>
          <w:sz w:val="24"/>
          <w:szCs w:val="24"/>
        </w:rPr>
        <w:t>但不限于患者检验结果、检</w:t>
      </w:r>
      <w:r>
        <w:rPr>
          <w:rFonts w:ascii="宋体" w:hAnsi="宋体" w:eastAsia="宋体" w:cs="宋体"/>
          <w:sz w:val="24"/>
          <w:szCs w:val="24"/>
        </w:rPr>
        <w:t xml:space="preserve"> </w:t>
      </w:r>
      <w:r>
        <w:rPr>
          <w:rFonts w:ascii="宋体" w:hAnsi="宋体" w:eastAsia="宋体" w:cs="宋体"/>
          <w:spacing w:val="-7"/>
          <w:sz w:val="24"/>
          <w:szCs w:val="24"/>
        </w:rPr>
        <w:t>查报告、医嘱内容等；</w:t>
      </w:r>
    </w:p>
    <w:p w14:paraId="6C55850A">
      <w:pPr>
        <w:spacing w:before="37" w:line="445" w:lineRule="auto"/>
        <w:ind w:left="40" w:hanging="6"/>
        <w:rPr>
          <w:rFonts w:ascii="宋体" w:hAnsi="宋体" w:eastAsia="宋体" w:cs="宋体"/>
          <w:sz w:val="24"/>
          <w:szCs w:val="24"/>
        </w:rPr>
      </w:pPr>
      <w:r>
        <w:rPr>
          <w:rFonts w:ascii="Times New Roman" w:hAnsi="Times New Roman" w:eastAsia="Times New Roman" w:cs="Times New Roman"/>
          <w:spacing w:val="-2"/>
          <w:sz w:val="24"/>
          <w:szCs w:val="24"/>
        </w:rPr>
        <w:t>2.6.</w:t>
      </w:r>
      <w:r>
        <w:rPr>
          <w:rFonts w:ascii="Times New Roman" w:hAnsi="Times New Roman" w:eastAsia="Times New Roman" w:cs="Times New Roman"/>
          <w:spacing w:val="27"/>
          <w:sz w:val="24"/>
          <w:szCs w:val="24"/>
        </w:rPr>
        <w:t xml:space="preserve"> </w:t>
      </w:r>
      <w:r>
        <w:rPr>
          <w:rFonts w:ascii="宋体" w:hAnsi="宋体" w:eastAsia="宋体" w:cs="宋体"/>
          <w:spacing w:val="-2"/>
          <w:sz w:val="24"/>
          <w:szCs w:val="24"/>
        </w:rPr>
        <w:t>能够与医院医嘱对接，获取医嘱信息，包括但不限于药品、检验、检查、手术、护理医嘱。</w:t>
      </w:r>
      <w:r>
        <w:rPr>
          <w:rFonts w:ascii="宋体" w:hAnsi="宋体" w:eastAsia="宋体" w:cs="宋体"/>
          <w:sz w:val="24"/>
          <w:szCs w:val="24"/>
        </w:rPr>
        <w:t xml:space="preserve"> </w:t>
      </w:r>
      <w:r>
        <w:rPr>
          <w:rFonts w:ascii="宋体" w:hAnsi="宋体" w:eastAsia="宋体" w:cs="宋体"/>
          <w:spacing w:val="-3"/>
          <w:sz w:val="24"/>
          <w:szCs w:val="24"/>
        </w:rPr>
        <w:t>可以自动检验检查合理化校验并给处提醒以及手术禁忌提醒等；</w:t>
      </w:r>
    </w:p>
    <w:p w14:paraId="1459CA89">
      <w:pPr>
        <w:spacing w:before="34" w:line="219" w:lineRule="auto"/>
        <w:ind w:left="34"/>
        <w:rPr>
          <w:rFonts w:ascii="宋体" w:hAnsi="宋体" w:eastAsia="宋体" w:cs="宋体"/>
          <w:sz w:val="24"/>
          <w:szCs w:val="24"/>
        </w:rPr>
      </w:pPr>
      <w:r>
        <w:rPr>
          <w:rFonts w:ascii="Times New Roman" w:hAnsi="Times New Roman" w:eastAsia="Times New Roman" w:cs="Times New Roman"/>
          <w:spacing w:val="-1"/>
          <w:sz w:val="24"/>
          <w:szCs w:val="24"/>
        </w:rPr>
        <w:t>2.7.</w:t>
      </w:r>
      <w:r>
        <w:rPr>
          <w:rFonts w:ascii="Times New Roman" w:hAnsi="Times New Roman" w:eastAsia="Times New Roman" w:cs="Times New Roman"/>
          <w:spacing w:val="19"/>
          <w:sz w:val="24"/>
          <w:szCs w:val="24"/>
        </w:rPr>
        <w:t xml:space="preserve"> </w:t>
      </w:r>
      <w:r>
        <w:rPr>
          <w:rFonts w:ascii="宋体" w:hAnsi="宋体" w:eastAsia="宋体" w:cs="宋体"/>
          <w:spacing w:val="-1"/>
          <w:sz w:val="24"/>
          <w:szCs w:val="24"/>
        </w:rPr>
        <w:t>能够与医院门</w:t>
      </w:r>
      <w:r>
        <w:rPr>
          <w:rFonts w:ascii="Times New Roman" w:hAnsi="Times New Roman" w:eastAsia="Times New Roman" w:cs="Times New Roman"/>
          <w:spacing w:val="-1"/>
          <w:sz w:val="24"/>
          <w:szCs w:val="24"/>
        </w:rPr>
        <w:t>/</w:t>
      </w:r>
      <w:r>
        <w:rPr>
          <w:rFonts w:ascii="宋体" w:hAnsi="宋体" w:eastAsia="宋体" w:cs="宋体"/>
          <w:spacing w:val="-1"/>
          <w:sz w:val="24"/>
          <w:szCs w:val="24"/>
        </w:rPr>
        <w:t>急诊系统对接，通过主诉智能提示疑</w:t>
      </w:r>
      <w:r>
        <w:rPr>
          <w:rFonts w:ascii="宋体" w:hAnsi="宋体" w:eastAsia="宋体" w:cs="宋体"/>
          <w:spacing w:val="-2"/>
          <w:sz w:val="24"/>
          <w:szCs w:val="24"/>
        </w:rPr>
        <w:t>似诊断，明确诊断的推荐治疗方案。</w:t>
      </w:r>
    </w:p>
    <w:p w14:paraId="77FC3BD1">
      <w:pPr>
        <w:spacing w:before="311" w:line="445" w:lineRule="auto"/>
        <w:ind w:left="43" w:right="85" w:hanging="5"/>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性能要求：提供不同级别，不同故障情况下的应用系统的应急预案（指技术实现方案）。避</w:t>
      </w:r>
      <w:r>
        <w:rPr>
          <w:rFonts w:ascii="宋体" w:hAnsi="宋体" w:eastAsia="宋体" w:cs="宋体"/>
          <w:spacing w:val="4"/>
          <w:sz w:val="24"/>
          <w:szCs w:val="24"/>
        </w:rPr>
        <w:t xml:space="preserve"> </w:t>
      </w:r>
      <w:r>
        <w:rPr>
          <w:rFonts w:ascii="宋体" w:hAnsi="宋体" w:eastAsia="宋体" w:cs="宋体"/>
          <w:spacing w:val="-2"/>
          <w:sz w:val="24"/>
          <w:szCs w:val="24"/>
        </w:rPr>
        <w:t>免因计算机故障导致的医疗工作的延迟和医疗</w:t>
      </w:r>
      <w:r>
        <w:rPr>
          <w:rFonts w:ascii="宋体" w:hAnsi="宋体" w:eastAsia="宋体" w:cs="宋体"/>
          <w:spacing w:val="-3"/>
          <w:sz w:val="24"/>
          <w:szCs w:val="24"/>
        </w:rPr>
        <w:t>差错。</w:t>
      </w:r>
    </w:p>
    <w:p w14:paraId="718CBF62">
      <w:pPr>
        <w:spacing w:before="35" w:line="445" w:lineRule="auto"/>
        <w:ind w:left="36" w:right="85" w:hanging="4"/>
        <w:rPr>
          <w:rFonts w:ascii="宋体" w:hAnsi="宋体" w:eastAsia="宋体" w:cs="宋体"/>
          <w:sz w:val="24"/>
          <w:szCs w:val="24"/>
        </w:rPr>
      </w:pPr>
      <w:r>
        <w:rPr>
          <w:rFonts w:ascii="Times New Roman" w:hAnsi="Times New Roman" w:eastAsia="Times New Roman" w:cs="Times New Roman"/>
          <w:spacing w:val="2"/>
          <w:sz w:val="24"/>
          <w:szCs w:val="24"/>
        </w:rPr>
        <w:t>4.</w:t>
      </w:r>
      <w:r>
        <w:rPr>
          <w:rFonts w:ascii="宋体" w:hAnsi="宋体" w:eastAsia="宋体" w:cs="宋体"/>
          <w:spacing w:val="2"/>
          <w:sz w:val="24"/>
          <w:szCs w:val="24"/>
        </w:rPr>
        <w:t>数据格式化要求：不需要电子病历实现结构化录入，可以从非结构化电子病历内容中，通过</w:t>
      </w:r>
      <w:r>
        <w:rPr>
          <w:rFonts w:ascii="宋体" w:hAnsi="宋体" w:eastAsia="宋体" w:cs="宋体"/>
          <w:spacing w:val="10"/>
          <w:sz w:val="24"/>
          <w:szCs w:val="24"/>
        </w:rPr>
        <w:t xml:space="preserve"> </w:t>
      </w:r>
      <w:r>
        <w:rPr>
          <w:rFonts w:ascii="宋体" w:hAnsi="宋体" w:eastAsia="宋体" w:cs="宋体"/>
          <w:spacing w:val="-3"/>
          <w:sz w:val="24"/>
          <w:szCs w:val="24"/>
        </w:rPr>
        <w:t>机器学习，自动抽取结构化信息。</w:t>
      </w:r>
    </w:p>
    <w:p w14:paraId="17D375FC">
      <w:pPr>
        <w:pStyle w:val="2"/>
        <w:spacing w:line="246" w:lineRule="auto"/>
      </w:pPr>
    </w:p>
    <w:p w14:paraId="67E5F73A">
      <w:pPr>
        <w:pStyle w:val="2"/>
        <w:spacing w:line="246" w:lineRule="auto"/>
      </w:pPr>
    </w:p>
    <w:p w14:paraId="427E9831">
      <w:pPr>
        <w:pStyle w:val="2"/>
        <w:spacing w:line="246" w:lineRule="auto"/>
      </w:pPr>
    </w:p>
    <w:p w14:paraId="561BE238">
      <w:pPr>
        <w:pStyle w:val="2"/>
        <w:spacing w:line="246" w:lineRule="auto"/>
      </w:pPr>
    </w:p>
    <w:p w14:paraId="4A601558">
      <w:pPr>
        <w:spacing w:before="62" w:line="160" w:lineRule="auto"/>
        <w:ind w:left="138"/>
        <w:rPr>
          <w:rFonts w:ascii="宋体" w:hAnsi="宋体" w:eastAsia="宋体" w:cs="宋体"/>
          <w:sz w:val="19"/>
          <w:szCs w:val="19"/>
        </w:rPr>
      </w:pPr>
      <w:r>
        <w:rPr>
          <w:rFonts w:ascii="仿宋" w:hAnsi="仿宋" w:eastAsia="仿宋" w:cs="仿宋"/>
          <w:i/>
          <w:iCs/>
          <w:spacing w:val="-3"/>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3"/>
          <w:position w:val="1"/>
          <w:sz w:val="18"/>
          <w:szCs w:val="18"/>
        </w:rPr>
        <w:t xml:space="preserve">11                               </w:t>
      </w:r>
      <w:r>
        <w:rPr>
          <w:rFonts w:ascii="宋体" w:hAnsi="宋体" w:eastAsia="宋体" w:cs="宋体"/>
          <w:b/>
          <w:bCs/>
          <w:i/>
          <w:iCs/>
          <w:spacing w:val="-3"/>
          <w:sz w:val="19"/>
          <w:szCs w:val="19"/>
        </w:rPr>
        <w:t>伊犁州公共资源交易中心</w:t>
      </w:r>
    </w:p>
    <w:p w14:paraId="62CF3223">
      <w:pPr>
        <w:spacing w:line="160" w:lineRule="auto"/>
        <w:rPr>
          <w:rFonts w:ascii="宋体" w:hAnsi="宋体" w:eastAsia="宋体" w:cs="宋体"/>
          <w:sz w:val="19"/>
          <w:szCs w:val="19"/>
        </w:rPr>
        <w:sectPr>
          <w:headerReference r:id="rId20" w:type="default"/>
          <w:footerReference r:id="rId21" w:type="default"/>
          <w:pgSz w:w="11905" w:h="16839"/>
          <w:pgMar w:top="1136" w:right="773" w:bottom="937" w:left="1136" w:header="854" w:footer="923" w:gutter="0"/>
          <w:cols w:space="720" w:num="1"/>
        </w:sectPr>
      </w:pPr>
    </w:p>
    <w:p w14:paraId="7F7EE5B4">
      <w:pPr>
        <w:pStyle w:val="2"/>
        <w:spacing w:line="379" w:lineRule="auto"/>
      </w:pPr>
    </w:p>
    <w:p w14:paraId="68DDDFBC">
      <w:pPr>
        <w:spacing w:before="78" w:line="445" w:lineRule="auto"/>
        <w:ind w:left="124" w:right="508"/>
        <w:rPr>
          <w:rFonts w:ascii="宋体" w:hAnsi="宋体" w:eastAsia="宋体" w:cs="宋体"/>
          <w:sz w:val="24"/>
          <w:szCs w:val="24"/>
        </w:rPr>
      </w:pPr>
      <w:r>
        <w:rPr>
          <w:rFonts w:ascii="Times New Roman" w:hAnsi="Times New Roman" w:eastAsia="Times New Roman" w:cs="Times New Roman"/>
          <w:spacing w:val="-2"/>
          <w:sz w:val="24"/>
          <w:szCs w:val="24"/>
        </w:rPr>
        <w:t>5.</w:t>
      </w:r>
      <w:r>
        <w:rPr>
          <w:rFonts w:ascii="宋体" w:hAnsi="宋体" w:eastAsia="宋体" w:cs="宋体"/>
          <w:spacing w:val="-2"/>
          <w:sz w:val="24"/>
          <w:szCs w:val="24"/>
        </w:rPr>
        <w:t>终端用户操作性能指标：软件系统要体现易于理解掌握、操作简单、提示清晰、逻辑性强，</w:t>
      </w:r>
      <w:r>
        <w:rPr>
          <w:rFonts w:ascii="宋体" w:hAnsi="宋体" w:eastAsia="宋体" w:cs="宋体"/>
          <w:spacing w:val="17"/>
          <w:sz w:val="24"/>
          <w:szCs w:val="24"/>
        </w:rPr>
        <w:t xml:space="preserve"> </w:t>
      </w:r>
      <w:r>
        <w:rPr>
          <w:rFonts w:ascii="宋体" w:hAnsi="宋体" w:eastAsia="宋体" w:cs="宋体"/>
          <w:spacing w:val="-1"/>
          <w:sz w:val="24"/>
          <w:szCs w:val="24"/>
        </w:rPr>
        <w:t>直观简洁、帮助信息丰富等特点，保证操作人员以最快速度和最少的击键</w:t>
      </w:r>
      <w:r>
        <w:rPr>
          <w:rFonts w:ascii="宋体" w:hAnsi="宋体" w:eastAsia="宋体" w:cs="宋体"/>
          <w:spacing w:val="-2"/>
          <w:sz w:val="24"/>
          <w:szCs w:val="24"/>
        </w:rPr>
        <w:t>次数完成工作。</w:t>
      </w:r>
    </w:p>
    <w:p w14:paraId="1F22F23E">
      <w:pPr>
        <w:spacing w:before="35" w:line="445" w:lineRule="auto"/>
        <w:ind w:left="121" w:right="395" w:firstLine="1"/>
        <w:rPr>
          <w:rFonts w:ascii="宋体" w:hAnsi="宋体" w:eastAsia="宋体" w:cs="宋体"/>
          <w:sz w:val="24"/>
          <w:szCs w:val="24"/>
        </w:rPr>
      </w:pPr>
      <w:r>
        <w:rPr>
          <w:rFonts w:ascii="Times New Roman" w:hAnsi="Times New Roman" w:eastAsia="Times New Roman" w:cs="Times New Roman"/>
          <w:sz w:val="24"/>
          <w:szCs w:val="24"/>
        </w:rPr>
        <w:t xml:space="preserve">6.  </w:t>
      </w:r>
      <w:r>
        <w:rPr>
          <w:rFonts w:ascii="宋体" w:hAnsi="宋体" w:eastAsia="宋体" w:cs="宋体"/>
          <w:sz w:val="24"/>
          <w:szCs w:val="24"/>
        </w:rPr>
        <w:t>符合卫健委颁发的《电子病历系统功能应用水平分级评价方法及标</w:t>
      </w:r>
      <w:r>
        <w:rPr>
          <w:rFonts w:ascii="宋体" w:hAnsi="宋体" w:eastAsia="宋体" w:cs="宋体"/>
          <w:spacing w:val="-1"/>
          <w:sz w:val="24"/>
          <w:szCs w:val="24"/>
        </w:rPr>
        <w:t>准（试行）》</w:t>
      </w:r>
      <w:r>
        <w:rPr>
          <w:rFonts w:ascii="Times New Roman" w:hAnsi="Times New Roman" w:eastAsia="Times New Roman" w:cs="Times New Roman"/>
          <w:spacing w:val="-1"/>
          <w:sz w:val="24"/>
          <w:szCs w:val="24"/>
        </w:rPr>
        <w:t xml:space="preserve">5 </w:t>
      </w:r>
      <w:r>
        <w:rPr>
          <w:rFonts w:ascii="宋体" w:hAnsi="宋体" w:eastAsia="宋体" w:cs="宋体"/>
          <w:spacing w:val="-1"/>
          <w:sz w:val="24"/>
          <w:szCs w:val="24"/>
        </w:rPr>
        <w:t>级及以上</w:t>
      </w:r>
      <w:r>
        <w:rPr>
          <w:rFonts w:ascii="宋体" w:hAnsi="宋体" w:eastAsia="宋体" w:cs="宋体"/>
          <w:sz w:val="24"/>
          <w:szCs w:val="24"/>
        </w:rPr>
        <w:t xml:space="preserve"> </w:t>
      </w:r>
      <w:r>
        <w:rPr>
          <w:rFonts w:ascii="宋体" w:hAnsi="宋体" w:eastAsia="宋体" w:cs="宋体"/>
          <w:spacing w:val="-3"/>
          <w:sz w:val="24"/>
          <w:szCs w:val="24"/>
        </w:rPr>
        <w:t>对临床决策支持和知识库的相关要求。</w:t>
      </w:r>
    </w:p>
    <w:p w14:paraId="073A1D20">
      <w:pPr>
        <w:spacing w:before="33" w:line="220" w:lineRule="auto"/>
        <w:ind w:left="128"/>
        <w:rPr>
          <w:rFonts w:ascii="新宋体" w:hAnsi="新宋体" w:eastAsia="新宋体" w:cs="新宋体"/>
          <w:sz w:val="24"/>
          <w:szCs w:val="24"/>
        </w:rPr>
      </w:pPr>
      <w:r>
        <w:rPr>
          <w:rFonts w:ascii="新宋体" w:hAnsi="新宋体" w:eastAsia="新宋体" w:cs="新宋体"/>
          <w:b/>
          <w:bCs/>
          <w:spacing w:val="-4"/>
          <w:sz w:val="24"/>
          <w:szCs w:val="24"/>
        </w:rPr>
        <w:t>（二）系统功能参数要求</w:t>
      </w:r>
    </w:p>
    <w:p w14:paraId="2C827C7E">
      <w:pPr>
        <w:spacing w:line="130" w:lineRule="exact"/>
      </w:pPr>
    </w:p>
    <w:tbl>
      <w:tblPr>
        <w:tblStyle w:val="5"/>
        <w:tblW w:w="103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560"/>
        <w:gridCol w:w="7736"/>
      </w:tblGrid>
      <w:tr w14:paraId="33044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1042" w:type="dxa"/>
            <w:vAlign w:val="top"/>
          </w:tcPr>
          <w:p w14:paraId="49F7C979">
            <w:pPr>
              <w:spacing w:before="179" w:line="387" w:lineRule="auto"/>
              <w:ind w:left="402" w:right="158" w:hanging="234"/>
              <w:rPr>
                <w:rFonts w:ascii="宋体" w:hAnsi="宋体" w:eastAsia="宋体" w:cs="宋体"/>
                <w:sz w:val="24"/>
                <w:szCs w:val="24"/>
              </w:rPr>
            </w:pPr>
            <w:r>
              <w:rPr>
                <w:rFonts w:ascii="宋体" w:hAnsi="宋体" w:eastAsia="宋体" w:cs="宋体"/>
                <w:spacing w:val="-5"/>
                <w:sz w:val="24"/>
                <w:szCs w:val="24"/>
              </w:rPr>
              <w:t>系统名</w:t>
            </w:r>
            <w:r>
              <w:rPr>
                <w:rFonts w:ascii="宋体" w:hAnsi="宋体" w:eastAsia="宋体" w:cs="宋体"/>
                <w:sz w:val="24"/>
                <w:szCs w:val="24"/>
              </w:rPr>
              <w:t xml:space="preserve"> 称</w:t>
            </w:r>
          </w:p>
        </w:tc>
        <w:tc>
          <w:tcPr>
            <w:tcW w:w="9296" w:type="dxa"/>
            <w:gridSpan w:val="2"/>
            <w:vAlign w:val="top"/>
          </w:tcPr>
          <w:p w14:paraId="1684C518">
            <w:pPr>
              <w:spacing w:line="446" w:lineRule="auto"/>
              <w:rPr>
                <w:rFonts w:ascii="Arial"/>
                <w:sz w:val="21"/>
              </w:rPr>
            </w:pPr>
          </w:p>
          <w:p w14:paraId="73AC7614">
            <w:pPr>
              <w:spacing w:before="58" w:line="221" w:lineRule="auto"/>
              <w:ind w:left="4291"/>
              <w:rPr>
                <w:rFonts w:ascii="宋体" w:hAnsi="宋体" w:eastAsia="宋体" w:cs="宋体"/>
                <w:sz w:val="18"/>
                <w:szCs w:val="18"/>
              </w:rPr>
            </w:pPr>
            <w:r>
              <w:rPr>
                <w:rFonts w:ascii="宋体" w:hAnsi="宋体" w:eastAsia="宋体" w:cs="宋体"/>
                <w:spacing w:val="-2"/>
                <w:sz w:val="18"/>
                <w:szCs w:val="18"/>
              </w:rPr>
              <w:t>系统功能</w:t>
            </w:r>
          </w:p>
        </w:tc>
      </w:tr>
      <w:tr w14:paraId="28E88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restart"/>
            <w:tcBorders>
              <w:bottom w:val="nil"/>
            </w:tcBorders>
            <w:vAlign w:val="top"/>
          </w:tcPr>
          <w:p w14:paraId="581AE679">
            <w:pPr>
              <w:spacing w:line="244" w:lineRule="auto"/>
              <w:rPr>
                <w:rFonts w:ascii="Arial"/>
                <w:sz w:val="21"/>
              </w:rPr>
            </w:pPr>
          </w:p>
          <w:p w14:paraId="1C8C8BEE">
            <w:pPr>
              <w:spacing w:line="244" w:lineRule="auto"/>
              <w:rPr>
                <w:rFonts w:ascii="Arial"/>
                <w:sz w:val="21"/>
              </w:rPr>
            </w:pPr>
          </w:p>
          <w:p w14:paraId="3F84B249">
            <w:pPr>
              <w:spacing w:line="244" w:lineRule="auto"/>
              <w:rPr>
                <w:rFonts w:ascii="Arial"/>
                <w:sz w:val="21"/>
              </w:rPr>
            </w:pPr>
          </w:p>
          <w:p w14:paraId="32F539D4">
            <w:pPr>
              <w:spacing w:line="244" w:lineRule="auto"/>
              <w:rPr>
                <w:rFonts w:ascii="Arial"/>
                <w:sz w:val="21"/>
              </w:rPr>
            </w:pPr>
          </w:p>
          <w:p w14:paraId="334E869A">
            <w:pPr>
              <w:spacing w:line="244" w:lineRule="auto"/>
              <w:rPr>
                <w:rFonts w:ascii="Arial"/>
                <w:sz w:val="21"/>
              </w:rPr>
            </w:pPr>
          </w:p>
          <w:p w14:paraId="5F3C3878">
            <w:pPr>
              <w:spacing w:line="244" w:lineRule="auto"/>
              <w:rPr>
                <w:rFonts w:ascii="Arial"/>
                <w:sz w:val="21"/>
              </w:rPr>
            </w:pPr>
          </w:p>
          <w:p w14:paraId="4C136CC7">
            <w:pPr>
              <w:spacing w:line="244" w:lineRule="auto"/>
              <w:rPr>
                <w:rFonts w:ascii="Arial"/>
                <w:sz w:val="21"/>
              </w:rPr>
            </w:pPr>
          </w:p>
          <w:p w14:paraId="08DD8E76">
            <w:pPr>
              <w:spacing w:line="244" w:lineRule="auto"/>
              <w:rPr>
                <w:rFonts w:ascii="Arial"/>
                <w:sz w:val="21"/>
              </w:rPr>
            </w:pPr>
          </w:p>
          <w:p w14:paraId="575333F8">
            <w:pPr>
              <w:spacing w:line="244" w:lineRule="auto"/>
              <w:rPr>
                <w:rFonts w:ascii="Arial"/>
                <w:sz w:val="21"/>
              </w:rPr>
            </w:pPr>
          </w:p>
          <w:p w14:paraId="3AC44ADC">
            <w:pPr>
              <w:spacing w:line="244" w:lineRule="auto"/>
              <w:rPr>
                <w:rFonts w:ascii="Arial"/>
                <w:sz w:val="21"/>
              </w:rPr>
            </w:pPr>
          </w:p>
          <w:p w14:paraId="0E0596E3">
            <w:pPr>
              <w:spacing w:line="244" w:lineRule="auto"/>
              <w:rPr>
                <w:rFonts w:ascii="Arial"/>
                <w:sz w:val="21"/>
              </w:rPr>
            </w:pPr>
          </w:p>
          <w:p w14:paraId="7B3A77CB">
            <w:pPr>
              <w:spacing w:line="244" w:lineRule="auto"/>
              <w:rPr>
                <w:rFonts w:ascii="Arial"/>
                <w:sz w:val="21"/>
              </w:rPr>
            </w:pPr>
          </w:p>
          <w:p w14:paraId="37BDF78A">
            <w:pPr>
              <w:spacing w:line="244" w:lineRule="auto"/>
              <w:rPr>
                <w:rFonts w:ascii="Arial"/>
                <w:sz w:val="21"/>
              </w:rPr>
            </w:pPr>
          </w:p>
          <w:p w14:paraId="43D33E87">
            <w:pPr>
              <w:spacing w:line="244" w:lineRule="auto"/>
              <w:rPr>
                <w:rFonts w:ascii="Arial"/>
                <w:sz w:val="21"/>
              </w:rPr>
            </w:pPr>
          </w:p>
          <w:p w14:paraId="5201899A">
            <w:pPr>
              <w:spacing w:line="244" w:lineRule="auto"/>
              <w:rPr>
                <w:rFonts w:ascii="Arial"/>
                <w:sz w:val="21"/>
              </w:rPr>
            </w:pPr>
          </w:p>
          <w:p w14:paraId="23CB8ABE">
            <w:pPr>
              <w:spacing w:line="244" w:lineRule="auto"/>
              <w:rPr>
                <w:rFonts w:ascii="Arial"/>
                <w:sz w:val="21"/>
              </w:rPr>
            </w:pPr>
          </w:p>
          <w:p w14:paraId="51A1AFC4">
            <w:pPr>
              <w:spacing w:line="244" w:lineRule="auto"/>
              <w:rPr>
                <w:rFonts w:ascii="Arial"/>
                <w:sz w:val="21"/>
              </w:rPr>
            </w:pPr>
          </w:p>
          <w:p w14:paraId="72E163FA">
            <w:pPr>
              <w:spacing w:before="78" w:line="450" w:lineRule="auto"/>
              <w:ind w:left="405" w:right="158" w:hanging="240"/>
              <w:rPr>
                <w:rFonts w:ascii="宋体" w:hAnsi="宋体" w:eastAsia="宋体" w:cs="宋体"/>
                <w:sz w:val="24"/>
                <w:szCs w:val="24"/>
              </w:rPr>
            </w:pPr>
            <w:r>
              <w:rPr>
                <w:rFonts w:ascii="宋体" w:hAnsi="宋体" w:eastAsia="宋体" w:cs="宋体"/>
                <w:spacing w:val="-4"/>
                <w:sz w:val="24"/>
                <w:szCs w:val="24"/>
              </w:rPr>
              <w:t>数据管</w:t>
            </w:r>
            <w:r>
              <w:rPr>
                <w:rFonts w:ascii="宋体" w:hAnsi="宋体" w:eastAsia="宋体" w:cs="宋体"/>
                <w:sz w:val="24"/>
                <w:szCs w:val="24"/>
              </w:rPr>
              <w:t xml:space="preserve"> 理</w:t>
            </w:r>
          </w:p>
        </w:tc>
        <w:tc>
          <w:tcPr>
            <w:tcW w:w="1560" w:type="dxa"/>
            <w:vAlign w:val="top"/>
          </w:tcPr>
          <w:p w14:paraId="50C14EA9">
            <w:pPr>
              <w:spacing w:before="279" w:line="219" w:lineRule="auto"/>
              <w:ind w:left="253"/>
              <w:rPr>
                <w:rFonts w:ascii="宋体" w:hAnsi="宋体" w:eastAsia="宋体" w:cs="宋体"/>
                <w:sz w:val="18"/>
                <w:szCs w:val="18"/>
              </w:rPr>
            </w:pPr>
            <w:r>
              <w:rPr>
                <w:rFonts w:ascii="宋体" w:hAnsi="宋体" w:eastAsia="宋体" w:cs="宋体"/>
                <w:spacing w:val="-5"/>
                <w:sz w:val="18"/>
                <w:szCs w:val="18"/>
              </w:rPr>
              <w:t>前端数据采集</w:t>
            </w:r>
          </w:p>
        </w:tc>
        <w:tc>
          <w:tcPr>
            <w:tcW w:w="7736" w:type="dxa"/>
            <w:vAlign w:val="top"/>
          </w:tcPr>
          <w:p w14:paraId="1FDED969">
            <w:pPr>
              <w:spacing w:before="94" w:line="328" w:lineRule="auto"/>
              <w:ind w:left="122" w:right="99" w:hanging="11"/>
              <w:rPr>
                <w:rFonts w:ascii="宋体" w:hAnsi="宋体" w:eastAsia="宋体" w:cs="宋体"/>
                <w:sz w:val="18"/>
                <w:szCs w:val="18"/>
              </w:rPr>
            </w:pPr>
            <w:r>
              <w:rPr>
                <w:rFonts w:ascii="宋体" w:hAnsi="宋体" w:eastAsia="宋体" w:cs="宋体"/>
                <w:spacing w:val="-4"/>
                <w:sz w:val="18"/>
                <w:szCs w:val="18"/>
              </w:rPr>
              <w:t>与电子病历、HIS</w:t>
            </w:r>
            <w:r>
              <w:rPr>
                <w:rFonts w:ascii="宋体" w:hAnsi="宋体" w:eastAsia="宋体" w:cs="宋体"/>
                <w:spacing w:val="-37"/>
                <w:sz w:val="18"/>
                <w:szCs w:val="18"/>
              </w:rPr>
              <w:t xml:space="preserve"> </w:t>
            </w:r>
            <w:r>
              <w:rPr>
                <w:rFonts w:ascii="宋体" w:hAnsi="宋体" w:eastAsia="宋体" w:cs="宋体"/>
                <w:spacing w:val="-4"/>
                <w:sz w:val="18"/>
                <w:szCs w:val="18"/>
              </w:rPr>
              <w:t>系统进行前端功能接口对接，支持各类主流开发框</w:t>
            </w:r>
            <w:r>
              <w:rPr>
                <w:rFonts w:ascii="宋体" w:hAnsi="宋体" w:eastAsia="宋体" w:cs="宋体"/>
                <w:spacing w:val="-5"/>
                <w:sz w:val="18"/>
                <w:szCs w:val="18"/>
              </w:rPr>
              <w:t>架及开发语言，对接方式支持</w:t>
            </w:r>
            <w:r>
              <w:rPr>
                <w:rFonts w:ascii="宋体" w:hAnsi="宋体" w:eastAsia="宋体" w:cs="宋体"/>
                <w:sz w:val="18"/>
                <w:szCs w:val="18"/>
              </w:rPr>
              <w:t xml:space="preserve"> </w:t>
            </w:r>
            <w:r>
              <w:rPr>
                <w:rFonts w:ascii="宋体" w:hAnsi="宋体" w:eastAsia="宋体" w:cs="宋体"/>
                <w:spacing w:val="-4"/>
                <w:sz w:val="18"/>
                <w:szCs w:val="18"/>
              </w:rPr>
              <w:t>：客户端、dll、jssdk</w:t>
            </w:r>
            <w:r>
              <w:rPr>
                <w:rFonts w:ascii="宋体" w:hAnsi="宋体" w:eastAsia="宋体" w:cs="宋体"/>
                <w:spacing w:val="-39"/>
                <w:sz w:val="18"/>
                <w:szCs w:val="18"/>
              </w:rPr>
              <w:t xml:space="preserve"> </w:t>
            </w:r>
            <w:r>
              <w:rPr>
                <w:rFonts w:ascii="宋体" w:hAnsi="宋体" w:eastAsia="宋体" w:cs="宋体"/>
                <w:spacing w:val="-4"/>
                <w:sz w:val="18"/>
                <w:szCs w:val="18"/>
              </w:rPr>
              <w:t>等，实现功能实时触发，</w:t>
            </w:r>
            <w:r>
              <w:rPr>
                <w:rFonts w:ascii="宋体" w:hAnsi="宋体" w:eastAsia="宋体" w:cs="宋体"/>
                <w:spacing w:val="-5"/>
                <w:sz w:val="18"/>
                <w:szCs w:val="18"/>
              </w:rPr>
              <w:t>数据实时采集。</w:t>
            </w:r>
          </w:p>
        </w:tc>
      </w:tr>
      <w:tr w14:paraId="2CF94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7" w:hRule="atLeast"/>
        </w:trPr>
        <w:tc>
          <w:tcPr>
            <w:tcW w:w="1042" w:type="dxa"/>
            <w:vMerge w:val="continue"/>
            <w:tcBorders>
              <w:top w:val="nil"/>
              <w:bottom w:val="nil"/>
            </w:tcBorders>
            <w:vAlign w:val="top"/>
          </w:tcPr>
          <w:p w14:paraId="4942348B">
            <w:pPr>
              <w:rPr>
                <w:rFonts w:ascii="Arial"/>
                <w:sz w:val="21"/>
              </w:rPr>
            </w:pPr>
          </w:p>
        </w:tc>
        <w:tc>
          <w:tcPr>
            <w:tcW w:w="1560" w:type="dxa"/>
            <w:vAlign w:val="top"/>
          </w:tcPr>
          <w:p w14:paraId="71B0D369">
            <w:pPr>
              <w:spacing w:line="266" w:lineRule="auto"/>
              <w:rPr>
                <w:rFonts w:ascii="Arial"/>
                <w:sz w:val="21"/>
              </w:rPr>
            </w:pPr>
          </w:p>
          <w:p w14:paraId="5E1B130E">
            <w:pPr>
              <w:spacing w:line="266" w:lineRule="auto"/>
              <w:rPr>
                <w:rFonts w:ascii="Arial"/>
                <w:sz w:val="21"/>
              </w:rPr>
            </w:pPr>
          </w:p>
          <w:p w14:paraId="7AB6286C">
            <w:pPr>
              <w:spacing w:line="266" w:lineRule="auto"/>
              <w:rPr>
                <w:rFonts w:ascii="Arial"/>
                <w:sz w:val="21"/>
              </w:rPr>
            </w:pPr>
          </w:p>
          <w:p w14:paraId="2794F7A8">
            <w:pPr>
              <w:spacing w:line="266" w:lineRule="auto"/>
              <w:rPr>
                <w:rFonts w:ascii="Arial"/>
                <w:sz w:val="21"/>
              </w:rPr>
            </w:pPr>
          </w:p>
          <w:p w14:paraId="1C19ED8D">
            <w:pPr>
              <w:spacing w:line="267" w:lineRule="auto"/>
              <w:rPr>
                <w:rFonts w:ascii="Arial"/>
                <w:sz w:val="21"/>
              </w:rPr>
            </w:pPr>
          </w:p>
          <w:p w14:paraId="57B2140D">
            <w:pPr>
              <w:spacing w:before="59" w:line="219" w:lineRule="auto"/>
              <w:ind w:left="107"/>
              <w:rPr>
                <w:rFonts w:ascii="宋体" w:hAnsi="宋体" w:eastAsia="宋体" w:cs="宋体"/>
                <w:sz w:val="18"/>
                <w:szCs w:val="18"/>
              </w:rPr>
            </w:pPr>
            <w:r>
              <w:rPr>
                <w:rFonts w:ascii="宋体" w:hAnsi="宋体" w:eastAsia="宋体" w:cs="宋体"/>
                <w:spacing w:val="-5"/>
                <w:sz w:val="18"/>
                <w:szCs w:val="18"/>
              </w:rPr>
              <w:t>后端数据采集</w:t>
            </w:r>
          </w:p>
        </w:tc>
        <w:tc>
          <w:tcPr>
            <w:tcW w:w="7736" w:type="dxa"/>
            <w:vAlign w:val="top"/>
          </w:tcPr>
          <w:p w14:paraId="5BBC313E">
            <w:pPr>
              <w:spacing w:before="94" w:line="219" w:lineRule="auto"/>
              <w:ind w:left="121"/>
              <w:rPr>
                <w:rFonts w:ascii="宋体" w:hAnsi="宋体" w:eastAsia="宋体" w:cs="宋体"/>
                <w:sz w:val="18"/>
                <w:szCs w:val="18"/>
              </w:rPr>
            </w:pPr>
            <w:r>
              <w:rPr>
                <w:rFonts w:ascii="宋体" w:hAnsi="宋体" w:eastAsia="宋体" w:cs="宋体"/>
                <w:spacing w:val="-4"/>
                <w:sz w:val="18"/>
                <w:szCs w:val="18"/>
              </w:rPr>
              <w:t>1.提供各数据采集集成方式，原始数据视图接口，集成平台</w:t>
            </w:r>
            <w:r>
              <w:rPr>
                <w:rFonts w:ascii="宋体" w:hAnsi="宋体" w:eastAsia="宋体" w:cs="宋体"/>
                <w:spacing w:val="-5"/>
                <w:sz w:val="18"/>
                <w:szCs w:val="18"/>
              </w:rPr>
              <w:t>接口，数据中心接口。</w:t>
            </w:r>
          </w:p>
          <w:p w14:paraId="0F5C53B8">
            <w:pPr>
              <w:spacing w:before="159" w:line="368" w:lineRule="auto"/>
              <w:ind w:left="111" w:right="623" w:hanging="1"/>
              <w:rPr>
                <w:rFonts w:ascii="宋体" w:hAnsi="宋体" w:eastAsia="宋体" w:cs="宋体"/>
                <w:sz w:val="18"/>
                <w:szCs w:val="18"/>
              </w:rPr>
            </w:pPr>
            <w:r>
              <w:rPr>
                <w:rFonts w:ascii="宋体" w:hAnsi="宋体" w:eastAsia="宋体" w:cs="宋体"/>
                <w:spacing w:val="-4"/>
                <w:sz w:val="18"/>
                <w:szCs w:val="18"/>
              </w:rPr>
              <w:t>2.提供数据采集数据源配置，支持</w:t>
            </w:r>
            <w:r>
              <w:rPr>
                <w:rFonts w:ascii="宋体" w:hAnsi="宋体" w:eastAsia="宋体" w:cs="宋体"/>
                <w:spacing w:val="-48"/>
                <w:sz w:val="18"/>
                <w:szCs w:val="18"/>
              </w:rPr>
              <w:t xml:space="preserve"> </w:t>
            </w:r>
            <w:r>
              <w:rPr>
                <w:rFonts w:ascii="宋体" w:hAnsi="宋体" w:eastAsia="宋体" w:cs="宋体"/>
                <w:spacing w:val="-4"/>
                <w:sz w:val="18"/>
                <w:szCs w:val="18"/>
              </w:rPr>
              <w:t>mysql、SQLServer、Oracle、Cache</w:t>
            </w:r>
            <w:r>
              <w:rPr>
                <w:rFonts w:ascii="宋体" w:hAnsi="宋体" w:eastAsia="宋体" w:cs="宋体"/>
                <w:spacing w:val="-39"/>
                <w:sz w:val="18"/>
                <w:szCs w:val="18"/>
              </w:rPr>
              <w:t xml:space="preserve"> </w:t>
            </w:r>
            <w:r>
              <w:rPr>
                <w:rFonts w:ascii="宋体" w:hAnsi="宋体" w:eastAsia="宋体" w:cs="宋体"/>
                <w:spacing w:val="-4"/>
                <w:sz w:val="18"/>
                <w:szCs w:val="18"/>
              </w:rPr>
              <w:t>等多种数据库接入；</w:t>
            </w:r>
            <w:r>
              <w:rPr>
                <w:rFonts w:ascii="宋体" w:hAnsi="宋体" w:eastAsia="宋体" w:cs="宋体"/>
                <w:sz w:val="18"/>
                <w:szCs w:val="18"/>
              </w:rPr>
              <w:t xml:space="preserve"> </w:t>
            </w:r>
            <w:r>
              <w:rPr>
                <w:rFonts w:ascii="宋体" w:hAnsi="宋体" w:eastAsia="宋体" w:cs="宋体"/>
                <w:spacing w:val="-4"/>
                <w:sz w:val="18"/>
                <w:szCs w:val="18"/>
              </w:rPr>
              <w:t>3.支持</w:t>
            </w:r>
            <w:r>
              <w:rPr>
                <w:rFonts w:ascii="宋体" w:hAnsi="宋体" w:eastAsia="宋体" w:cs="宋体"/>
                <w:spacing w:val="-46"/>
                <w:sz w:val="18"/>
                <w:szCs w:val="18"/>
              </w:rPr>
              <w:t xml:space="preserve"> </w:t>
            </w:r>
            <w:r>
              <w:rPr>
                <w:rFonts w:ascii="宋体" w:hAnsi="宋体" w:eastAsia="宋体" w:cs="宋体"/>
                <w:spacing w:val="-4"/>
                <w:sz w:val="18"/>
                <w:szCs w:val="18"/>
              </w:rPr>
              <w:t>ETL</w:t>
            </w:r>
            <w:r>
              <w:rPr>
                <w:rFonts w:ascii="宋体" w:hAnsi="宋体" w:eastAsia="宋体" w:cs="宋体"/>
                <w:spacing w:val="-40"/>
                <w:sz w:val="18"/>
                <w:szCs w:val="18"/>
              </w:rPr>
              <w:t xml:space="preserve"> </w:t>
            </w:r>
            <w:r>
              <w:rPr>
                <w:rFonts w:ascii="宋体" w:hAnsi="宋体" w:eastAsia="宋体" w:cs="宋体"/>
                <w:spacing w:val="-4"/>
                <w:sz w:val="18"/>
                <w:szCs w:val="18"/>
              </w:rPr>
              <w:t>方式对采集数据进行转换和抽取；</w:t>
            </w:r>
          </w:p>
          <w:p w14:paraId="2D42EFBC">
            <w:pPr>
              <w:spacing w:before="26" w:line="369" w:lineRule="auto"/>
              <w:ind w:left="107" w:right="99"/>
              <w:rPr>
                <w:rFonts w:ascii="宋体" w:hAnsi="宋体" w:eastAsia="宋体" w:cs="宋体"/>
                <w:sz w:val="18"/>
                <w:szCs w:val="18"/>
              </w:rPr>
            </w:pPr>
            <w:r>
              <w:rPr>
                <w:rFonts w:ascii="宋体" w:hAnsi="宋体" w:eastAsia="宋体" w:cs="宋体"/>
                <w:spacing w:val="-5"/>
                <w:sz w:val="18"/>
                <w:szCs w:val="18"/>
              </w:rPr>
              <w:t>4.支持增量数据采集：支持采用定时任务的采集方式增量数据采集与汇集采集临床数据，且不</w:t>
            </w:r>
            <w:r>
              <w:rPr>
                <w:rFonts w:ascii="宋体" w:hAnsi="宋体" w:eastAsia="宋体" w:cs="宋体"/>
                <w:spacing w:val="-6"/>
                <w:sz w:val="18"/>
                <w:szCs w:val="18"/>
              </w:rPr>
              <w:t>影响</w:t>
            </w:r>
            <w:r>
              <w:rPr>
                <w:rFonts w:ascii="宋体" w:hAnsi="宋体" w:eastAsia="宋体" w:cs="宋体"/>
                <w:sz w:val="18"/>
                <w:szCs w:val="18"/>
              </w:rPr>
              <w:t xml:space="preserve"> </w:t>
            </w:r>
            <w:r>
              <w:rPr>
                <w:rFonts w:ascii="宋体" w:hAnsi="宋体" w:eastAsia="宋体" w:cs="宋体"/>
                <w:spacing w:val="-4"/>
                <w:sz w:val="18"/>
                <w:szCs w:val="18"/>
              </w:rPr>
              <w:t>业务系统；</w:t>
            </w:r>
          </w:p>
          <w:p w14:paraId="6798B629">
            <w:pPr>
              <w:spacing w:before="25" w:line="369" w:lineRule="auto"/>
              <w:ind w:left="110" w:right="99" w:firstLine="1"/>
              <w:rPr>
                <w:rFonts w:ascii="宋体" w:hAnsi="宋体" w:eastAsia="宋体" w:cs="宋体"/>
                <w:sz w:val="18"/>
                <w:szCs w:val="18"/>
              </w:rPr>
            </w:pPr>
            <w:r>
              <w:rPr>
                <w:rFonts w:ascii="宋体" w:hAnsi="宋体" w:eastAsia="宋体" w:cs="宋体"/>
                <w:spacing w:val="-5"/>
                <w:sz w:val="18"/>
                <w:szCs w:val="18"/>
              </w:rPr>
              <w:t>5.支持实时数据的采集：支持使用数据实时采集方式采集数据，对业务系统数据库性</w:t>
            </w:r>
            <w:r>
              <w:rPr>
                <w:rFonts w:ascii="宋体" w:hAnsi="宋体" w:eastAsia="宋体" w:cs="宋体"/>
                <w:spacing w:val="-6"/>
                <w:sz w:val="18"/>
                <w:szCs w:val="18"/>
              </w:rPr>
              <w:t>能无影响；支</w:t>
            </w:r>
            <w:r>
              <w:rPr>
                <w:rFonts w:ascii="宋体" w:hAnsi="宋体" w:eastAsia="宋体" w:cs="宋体"/>
                <w:sz w:val="18"/>
                <w:szCs w:val="18"/>
              </w:rPr>
              <w:t xml:space="preserve"> </w:t>
            </w:r>
            <w:r>
              <w:rPr>
                <w:rFonts w:ascii="宋体" w:hAnsi="宋体" w:eastAsia="宋体" w:cs="宋体"/>
                <w:spacing w:val="-5"/>
                <w:sz w:val="18"/>
                <w:szCs w:val="18"/>
              </w:rPr>
              <w:t>持数据集成过程监控与管理。</w:t>
            </w:r>
          </w:p>
          <w:p w14:paraId="4AA6A7C5">
            <w:pPr>
              <w:spacing w:before="25" w:line="219" w:lineRule="auto"/>
              <w:ind w:left="109"/>
              <w:rPr>
                <w:rFonts w:ascii="宋体" w:hAnsi="宋体" w:eastAsia="宋体" w:cs="宋体"/>
                <w:sz w:val="18"/>
                <w:szCs w:val="18"/>
              </w:rPr>
            </w:pPr>
            <w:r>
              <w:rPr>
                <w:rFonts w:ascii="宋体" w:hAnsi="宋体" w:eastAsia="宋体" w:cs="宋体"/>
                <w:spacing w:val="-4"/>
                <w:sz w:val="18"/>
                <w:szCs w:val="18"/>
              </w:rPr>
              <w:t>6.支持多种采集任务的时间配置，通过对任务时间的配置，实现定时任务自由配置的效果。</w:t>
            </w:r>
          </w:p>
        </w:tc>
      </w:tr>
      <w:tr w14:paraId="1C55A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1" w:hRule="atLeast"/>
        </w:trPr>
        <w:tc>
          <w:tcPr>
            <w:tcW w:w="1042" w:type="dxa"/>
            <w:vMerge w:val="continue"/>
            <w:tcBorders>
              <w:top w:val="nil"/>
              <w:bottom w:val="nil"/>
            </w:tcBorders>
            <w:vAlign w:val="top"/>
          </w:tcPr>
          <w:p w14:paraId="100ACDB0">
            <w:pPr>
              <w:rPr>
                <w:rFonts w:ascii="Arial"/>
                <w:sz w:val="21"/>
              </w:rPr>
            </w:pPr>
          </w:p>
        </w:tc>
        <w:tc>
          <w:tcPr>
            <w:tcW w:w="1560" w:type="dxa"/>
            <w:vAlign w:val="top"/>
          </w:tcPr>
          <w:p w14:paraId="3DA90CFF">
            <w:pPr>
              <w:rPr>
                <w:rFonts w:ascii="Arial"/>
                <w:sz w:val="21"/>
              </w:rPr>
            </w:pPr>
          </w:p>
          <w:p w14:paraId="0E8E29CD">
            <w:pPr>
              <w:rPr>
                <w:rFonts w:ascii="Arial"/>
                <w:sz w:val="21"/>
              </w:rPr>
            </w:pPr>
          </w:p>
          <w:p w14:paraId="273E9023">
            <w:pPr>
              <w:rPr>
                <w:rFonts w:ascii="Arial"/>
                <w:sz w:val="21"/>
              </w:rPr>
            </w:pPr>
          </w:p>
          <w:p w14:paraId="1817945D">
            <w:pPr>
              <w:rPr>
                <w:rFonts w:ascii="Arial"/>
                <w:sz w:val="21"/>
              </w:rPr>
            </w:pPr>
          </w:p>
          <w:p w14:paraId="7B693F95">
            <w:pPr>
              <w:rPr>
                <w:rFonts w:ascii="Arial"/>
                <w:sz w:val="21"/>
              </w:rPr>
            </w:pPr>
          </w:p>
          <w:p w14:paraId="5DEB1051">
            <w:pPr>
              <w:rPr>
                <w:rFonts w:ascii="Arial"/>
                <w:sz w:val="21"/>
              </w:rPr>
            </w:pPr>
          </w:p>
          <w:p w14:paraId="402DFB4B">
            <w:pPr>
              <w:rPr>
                <w:rFonts w:ascii="Arial"/>
                <w:sz w:val="21"/>
              </w:rPr>
            </w:pPr>
          </w:p>
          <w:p w14:paraId="2B97E84F">
            <w:pPr>
              <w:spacing w:before="68" w:line="220" w:lineRule="auto"/>
              <w:ind w:left="108"/>
              <w:rPr>
                <w:rFonts w:ascii="宋体" w:hAnsi="宋体" w:eastAsia="宋体" w:cs="宋体"/>
                <w:sz w:val="21"/>
                <w:szCs w:val="21"/>
              </w:rPr>
            </w:pPr>
            <w:r>
              <w:rPr>
                <w:rFonts w:ascii="宋体" w:hAnsi="宋体" w:eastAsia="宋体" w:cs="宋体"/>
                <w:spacing w:val="-5"/>
                <w:sz w:val="21"/>
                <w:szCs w:val="21"/>
              </w:rPr>
              <w:t>数据质量管理</w:t>
            </w:r>
          </w:p>
        </w:tc>
        <w:tc>
          <w:tcPr>
            <w:tcW w:w="7736" w:type="dxa"/>
            <w:vAlign w:val="top"/>
          </w:tcPr>
          <w:p w14:paraId="7CED8E59">
            <w:pPr>
              <w:spacing w:before="82" w:line="219" w:lineRule="auto"/>
              <w:ind w:left="109"/>
              <w:rPr>
                <w:rFonts w:ascii="宋体" w:hAnsi="宋体" w:eastAsia="宋体" w:cs="宋体"/>
                <w:sz w:val="21"/>
                <w:szCs w:val="21"/>
              </w:rPr>
            </w:pPr>
            <w:r>
              <w:rPr>
                <w:rFonts w:ascii="宋体" w:hAnsi="宋体" w:eastAsia="宋体" w:cs="宋体"/>
                <w:spacing w:val="-4"/>
                <w:sz w:val="21"/>
                <w:szCs w:val="21"/>
              </w:rPr>
              <w:t>产品效果依赖基础数据质量监控，至少包含以下业</w:t>
            </w:r>
            <w:r>
              <w:rPr>
                <w:rFonts w:ascii="宋体" w:hAnsi="宋体" w:eastAsia="宋体" w:cs="宋体"/>
                <w:spacing w:val="-5"/>
                <w:sz w:val="21"/>
                <w:szCs w:val="21"/>
              </w:rPr>
              <w:t>务：</w:t>
            </w:r>
          </w:p>
          <w:p w14:paraId="72C1806D">
            <w:pPr>
              <w:spacing w:before="122" w:line="315" w:lineRule="auto"/>
              <w:ind w:left="535" w:right="99" w:hanging="411"/>
              <w:rPr>
                <w:rFonts w:ascii="宋体" w:hAnsi="宋体" w:eastAsia="宋体" w:cs="宋体"/>
                <w:sz w:val="21"/>
                <w:szCs w:val="21"/>
              </w:rPr>
            </w:pPr>
            <w:r>
              <w:rPr>
                <w:rFonts w:ascii="宋体" w:hAnsi="宋体" w:eastAsia="宋体" w:cs="宋体"/>
                <w:spacing w:val="-7"/>
                <w:sz w:val="21"/>
                <w:szCs w:val="21"/>
              </w:rPr>
              <w:t>1.自动对病房医师、门诊医师、检查科室、检验处理等业务项目自动进行数据</w:t>
            </w:r>
            <w:r>
              <w:rPr>
                <w:rFonts w:ascii="宋体" w:hAnsi="宋体" w:eastAsia="宋体" w:cs="宋体"/>
                <w:spacing w:val="-8"/>
                <w:sz w:val="21"/>
                <w:szCs w:val="21"/>
              </w:rPr>
              <w:t>质量评</w:t>
            </w:r>
            <w:r>
              <w:rPr>
                <w:rFonts w:ascii="宋体" w:hAnsi="宋体" w:eastAsia="宋体" w:cs="宋体"/>
                <w:sz w:val="21"/>
                <w:szCs w:val="21"/>
              </w:rPr>
              <w:t xml:space="preserve"> 分</w:t>
            </w:r>
          </w:p>
          <w:p w14:paraId="0F637104">
            <w:pPr>
              <w:spacing w:before="29" w:line="318" w:lineRule="auto"/>
              <w:ind w:left="532" w:right="25" w:hanging="421"/>
              <w:rPr>
                <w:rFonts w:ascii="宋体" w:hAnsi="宋体" w:eastAsia="宋体" w:cs="宋体"/>
                <w:sz w:val="21"/>
                <w:szCs w:val="21"/>
              </w:rPr>
            </w:pPr>
            <w:r>
              <w:rPr>
                <w:rFonts w:ascii="宋体" w:hAnsi="宋体" w:eastAsia="宋体" w:cs="宋体"/>
                <w:spacing w:val="-5"/>
                <w:sz w:val="21"/>
                <w:szCs w:val="21"/>
              </w:rPr>
              <w:t>2.★针对病房医师，纳入数据质量监控的业务项目至少包含：医嘱处理、检验报告、</w:t>
            </w:r>
            <w:r>
              <w:rPr>
                <w:rFonts w:ascii="宋体" w:hAnsi="宋体" w:eastAsia="宋体" w:cs="宋体"/>
                <w:spacing w:val="7"/>
                <w:sz w:val="21"/>
                <w:szCs w:val="21"/>
              </w:rPr>
              <w:t xml:space="preserve"> </w:t>
            </w:r>
            <w:r>
              <w:rPr>
                <w:rFonts w:ascii="宋体" w:hAnsi="宋体" w:eastAsia="宋体" w:cs="宋体"/>
                <w:spacing w:val="-4"/>
                <w:sz w:val="21"/>
                <w:szCs w:val="21"/>
              </w:rPr>
              <w:t>检验申请、检查报告、检查申请、病历记录。针对检查科室，纳入</w:t>
            </w:r>
            <w:r>
              <w:rPr>
                <w:rFonts w:ascii="宋体" w:hAnsi="宋体" w:eastAsia="宋体" w:cs="宋体"/>
                <w:spacing w:val="-5"/>
                <w:sz w:val="21"/>
                <w:szCs w:val="21"/>
              </w:rPr>
              <w:t>数据质量监</w:t>
            </w:r>
            <w:r>
              <w:rPr>
                <w:rFonts w:ascii="宋体" w:hAnsi="宋体" w:eastAsia="宋体" w:cs="宋体"/>
                <w:sz w:val="21"/>
                <w:szCs w:val="21"/>
              </w:rPr>
              <w:t xml:space="preserve">  </w:t>
            </w:r>
            <w:r>
              <w:rPr>
                <w:rFonts w:ascii="宋体" w:hAnsi="宋体" w:eastAsia="宋体" w:cs="宋体"/>
                <w:spacing w:val="-4"/>
                <w:sz w:val="21"/>
                <w:szCs w:val="21"/>
              </w:rPr>
              <w:t>控的业务项目至少包含：申请与预约、检查记录、检查报告。</w:t>
            </w:r>
          </w:p>
          <w:p w14:paraId="763DA787">
            <w:pPr>
              <w:spacing w:before="31" w:line="314" w:lineRule="auto"/>
              <w:ind w:left="534" w:right="99" w:hanging="421"/>
              <w:rPr>
                <w:rFonts w:ascii="宋体" w:hAnsi="宋体" w:eastAsia="宋体" w:cs="宋体"/>
                <w:sz w:val="21"/>
                <w:szCs w:val="21"/>
              </w:rPr>
            </w:pPr>
            <w:r>
              <w:rPr>
                <w:rFonts w:ascii="宋体" w:hAnsi="宋体" w:eastAsia="宋体" w:cs="宋体"/>
                <w:spacing w:val="-7"/>
                <w:sz w:val="21"/>
                <w:szCs w:val="21"/>
              </w:rPr>
              <w:t>3.对各个业务数据的编码对照率、字段有值率、字段关联率、时间顺序正确率进行自</w:t>
            </w:r>
            <w:r>
              <w:rPr>
                <w:rFonts w:ascii="宋体" w:hAnsi="宋体" w:eastAsia="宋体" w:cs="宋体"/>
                <w:spacing w:val="8"/>
                <w:sz w:val="21"/>
                <w:szCs w:val="21"/>
              </w:rPr>
              <w:t xml:space="preserve"> </w:t>
            </w:r>
            <w:r>
              <w:rPr>
                <w:rFonts w:ascii="宋体" w:hAnsi="宋体" w:eastAsia="宋体" w:cs="宋体"/>
                <w:spacing w:val="-4"/>
                <w:sz w:val="21"/>
                <w:szCs w:val="21"/>
              </w:rPr>
              <w:t>动统计并支持对于缺陷数据下钻至记录明细，记录明细至少包含：角色</w:t>
            </w:r>
            <w:r>
              <w:rPr>
                <w:rFonts w:ascii="宋体" w:hAnsi="宋体" w:eastAsia="宋体" w:cs="宋体"/>
                <w:spacing w:val="-5"/>
                <w:sz w:val="21"/>
                <w:szCs w:val="21"/>
              </w:rPr>
              <w:t>、业务</w:t>
            </w:r>
          </w:p>
          <w:p w14:paraId="379930DE">
            <w:pPr>
              <w:spacing w:before="31" w:line="285" w:lineRule="auto"/>
              <w:ind w:left="110" w:right="2024" w:firstLine="426"/>
              <w:rPr>
                <w:rFonts w:ascii="宋体" w:hAnsi="宋体" w:eastAsia="宋体" w:cs="宋体"/>
                <w:sz w:val="21"/>
                <w:szCs w:val="21"/>
              </w:rPr>
            </w:pPr>
            <w:r>
              <w:rPr>
                <w:rFonts w:ascii="宋体" w:hAnsi="宋体" w:eastAsia="宋体" w:cs="宋体"/>
                <w:spacing w:val="-6"/>
                <w:sz w:val="21"/>
                <w:szCs w:val="21"/>
              </w:rPr>
              <w:t>项目、评价标准、评价项目、未通过记录</w:t>
            </w:r>
            <w:r>
              <w:rPr>
                <w:rFonts w:ascii="宋体" w:hAnsi="宋体" w:eastAsia="宋体" w:cs="宋体"/>
                <w:spacing w:val="-37"/>
                <w:sz w:val="21"/>
                <w:szCs w:val="21"/>
              </w:rPr>
              <w:t xml:space="preserve"> </w:t>
            </w:r>
            <w:r>
              <w:rPr>
                <w:rFonts w:ascii="宋体" w:hAnsi="宋体" w:eastAsia="宋体" w:cs="宋体"/>
                <w:spacing w:val="-6"/>
                <w:sz w:val="21"/>
                <w:szCs w:val="21"/>
              </w:rPr>
              <w:t>ID、患者标识。</w:t>
            </w:r>
            <w:r>
              <w:rPr>
                <w:rFonts w:ascii="宋体" w:hAnsi="宋体" w:eastAsia="宋体" w:cs="宋体"/>
                <w:sz w:val="21"/>
                <w:szCs w:val="21"/>
              </w:rPr>
              <w:t xml:space="preserve"> </w:t>
            </w:r>
            <w:r>
              <w:rPr>
                <w:rFonts w:ascii="宋体" w:hAnsi="宋体" w:eastAsia="宋体" w:cs="宋体"/>
                <w:spacing w:val="-5"/>
                <w:sz w:val="21"/>
                <w:szCs w:val="21"/>
              </w:rPr>
              <w:t>可直接查看任意评价项目的</w:t>
            </w:r>
            <w:r>
              <w:rPr>
                <w:rFonts w:ascii="宋体" w:hAnsi="宋体" w:eastAsia="宋体" w:cs="宋体"/>
                <w:spacing w:val="-38"/>
                <w:sz w:val="21"/>
                <w:szCs w:val="21"/>
              </w:rPr>
              <w:t xml:space="preserve"> </w:t>
            </w:r>
            <w:r>
              <w:rPr>
                <w:rFonts w:ascii="宋体" w:hAnsi="宋体" w:eastAsia="宋体" w:cs="宋体"/>
                <w:spacing w:val="-5"/>
                <w:sz w:val="21"/>
                <w:szCs w:val="21"/>
              </w:rPr>
              <w:t>sql</w:t>
            </w:r>
            <w:r>
              <w:rPr>
                <w:rFonts w:ascii="宋体" w:hAnsi="宋体" w:eastAsia="宋体" w:cs="宋体"/>
                <w:spacing w:val="-48"/>
                <w:sz w:val="21"/>
                <w:szCs w:val="21"/>
              </w:rPr>
              <w:t xml:space="preserve"> </w:t>
            </w:r>
            <w:r>
              <w:rPr>
                <w:rFonts w:ascii="宋体" w:hAnsi="宋体" w:eastAsia="宋体" w:cs="宋体"/>
                <w:spacing w:val="-5"/>
                <w:sz w:val="21"/>
                <w:szCs w:val="21"/>
              </w:rPr>
              <w:t>配置。</w:t>
            </w:r>
          </w:p>
        </w:tc>
      </w:tr>
      <w:tr w14:paraId="1CDF9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1042" w:type="dxa"/>
            <w:vMerge w:val="continue"/>
            <w:tcBorders>
              <w:top w:val="nil"/>
            </w:tcBorders>
            <w:vAlign w:val="top"/>
          </w:tcPr>
          <w:p w14:paraId="16C91883">
            <w:pPr>
              <w:rPr>
                <w:rFonts w:ascii="Arial"/>
                <w:sz w:val="21"/>
              </w:rPr>
            </w:pPr>
          </w:p>
        </w:tc>
        <w:tc>
          <w:tcPr>
            <w:tcW w:w="1560" w:type="dxa"/>
            <w:vAlign w:val="top"/>
          </w:tcPr>
          <w:p w14:paraId="3958D64B">
            <w:pPr>
              <w:spacing w:line="287" w:lineRule="auto"/>
              <w:rPr>
                <w:rFonts w:ascii="Arial"/>
                <w:sz w:val="21"/>
              </w:rPr>
            </w:pPr>
          </w:p>
          <w:p w14:paraId="144E7E21">
            <w:pPr>
              <w:spacing w:line="287" w:lineRule="auto"/>
              <w:rPr>
                <w:rFonts w:ascii="Arial"/>
                <w:sz w:val="21"/>
              </w:rPr>
            </w:pPr>
          </w:p>
          <w:p w14:paraId="31A2F6BF">
            <w:pPr>
              <w:spacing w:before="68" w:line="319" w:lineRule="auto"/>
              <w:ind w:left="677" w:right="147" w:hanging="524"/>
              <w:rPr>
                <w:rFonts w:ascii="宋体" w:hAnsi="宋体" w:eastAsia="宋体" w:cs="宋体"/>
                <w:sz w:val="21"/>
                <w:szCs w:val="21"/>
              </w:rPr>
            </w:pPr>
            <w:r>
              <w:rPr>
                <w:rFonts w:ascii="宋体" w:hAnsi="宋体" w:eastAsia="宋体" w:cs="宋体"/>
                <w:spacing w:val="-2"/>
                <w:sz w:val="21"/>
                <w:szCs w:val="21"/>
              </w:rPr>
              <w:t>★自然语言处</w:t>
            </w:r>
            <w:r>
              <w:rPr>
                <w:rFonts w:ascii="宋体" w:hAnsi="宋体" w:eastAsia="宋体" w:cs="宋体"/>
                <w:sz w:val="21"/>
                <w:szCs w:val="21"/>
              </w:rPr>
              <w:t xml:space="preserve"> 理</w:t>
            </w:r>
          </w:p>
        </w:tc>
        <w:tc>
          <w:tcPr>
            <w:tcW w:w="7736" w:type="dxa"/>
            <w:vAlign w:val="top"/>
          </w:tcPr>
          <w:p w14:paraId="3EFC9FE8">
            <w:pPr>
              <w:spacing w:before="85" w:line="315" w:lineRule="auto"/>
              <w:ind w:left="110" w:right="103"/>
              <w:rPr>
                <w:rFonts w:ascii="宋体" w:hAnsi="宋体" w:eastAsia="宋体" w:cs="宋体"/>
                <w:sz w:val="21"/>
                <w:szCs w:val="21"/>
              </w:rPr>
            </w:pPr>
            <w:r>
              <w:rPr>
                <w:rFonts w:ascii="宋体" w:hAnsi="宋体" w:eastAsia="宋体" w:cs="宋体"/>
                <w:spacing w:val="-1"/>
                <w:sz w:val="21"/>
                <w:szCs w:val="21"/>
              </w:rPr>
              <w:t>可对各类非结构化医疗文书进行实时后结构化处理，</w:t>
            </w:r>
            <w:r>
              <w:rPr>
                <w:rFonts w:ascii="宋体" w:hAnsi="宋体" w:eastAsia="宋体" w:cs="宋体"/>
                <w:spacing w:val="-2"/>
                <w:sz w:val="21"/>
                <w:szCs w:val="21"/>
              </w:rPr>
              <w:t>如对于整段文本形式的出院记</w:t>
            </w:r>
            <w:r>
              <w:rPr>
                <w:rFonts w:ascii="宋体" w:hAnsi="宋体" w:eastAsia="宋体" w:cs="宋体"/>
                <w:sz w:val="21"/>
                <w:szCs w:val="21"/>
              </w:rPr>
              <w:t xml:space="preserve"> </w:t>
            </w:r>
            <w:r>
              <w:rPr>
                <w:rFonts w:ascii="宋体" w:hAnsi="宋体" w:eastAsia="宋体" w:cs="宋体"/>
                <w:spacing w:val="-4"/>
                <w:sz w:val="21"/>
                <w:szCs w:val="21"/>
              </w:rPr>
              <w:t>录可进行实时智能分析，至少包括：</w:t>
            </w:r>
          </w:p>
          <w:p w14:paraId="5E1AB0BB">
            <w:pPr>
              <w:spacing w:before="28" w:line="220" w:lineRule="auto"/>
              <w:ind w:left="334"/>
              <w:rPr>
                <w:rFonts w:ascii="宋体" w:hAnsi="宋体" w:eastAsia="宋体" w:cs="宋体"/>
                <w:sz w:val="21"/>
                <w:szCs w:val="21"/>
              </w:rPr>
            </w:pPr>
            <w:r>
              <w:rPr>
                <w:rFonts w:ascii="宋体" w:hAnsi="宋体" w:eastAsia="宋体" w:cs="宋体"/>
                <w:spacing w:val="-3"/>
                <w:sz w:val="21"/>
                <w:szCs w:val="21"/>
              </w:rPr>
              <w:t>1.</w:t>
            </w:r>
            <w:r>
              <w:rPr>
                <w:rFonts w:ascii="宋体" w:hAnsi="宋体" w:eastAsia="宋体" w:cs="宋体"/>
                <w:spacing w:val="-59"/>
                <w:sz w:val="21"/>
                <w:szCs w:val="21"/>
              </w:rPr>
              <w:t xml:space="preserve"> </w:t>
            </w:r>
            <w:r>
              <w:rPr>
                <w:rFonts w:ascii="宋体" w:hAnsi="宋体" w:eastAsia="宋体" w:cs="宋体"/>
                <w:spacing w:val="-3"/>
                <w:sz w:val="21"/>
                <w:szCs w:val="21"/>
              </w:rPr>
              <w:t>自动分段、分句：自动解析出入院日期、出院日期、入院情况、入院诊断、诊</w:t>
            </w:r>
          </w:p>
          <w:p w14:paraId="27361FF4">
            <w:pPr>
              <w:spacing w:before="123" w:line="286" w:lineRule="auto"/>
              <w:ind w:left="143" w:right="28" w:firstLine="174"/>
              <w:rPr>
                <w:rFonts w:ascii="宋体" w:hAnsi="宋体" w:eastAsia="宋体" w:cs="宋体"/>
                <w:sz w:val="21"/>
                <w:szCs w:val="21"/>
              </w:rPr>
            </w:pPr>
            <w:r>
              <w:rPr>
                <w:rFonts w:ascii="宋体" w:hAnsi="宋体" w:eastAsia="宋体" w:cs="宋体"/>
                <w:spacing w:val="-5"/>
                <w:sz w:val="21"/>
                <w:szCs w:val="21"/>
              </w:rPr>
              <w:t>疗经过、出院情况、出院诊断、出院医嘱。并将每段文本中的句子进行自动分</w:t>
            </w:r>
            <w:r>
              <w:rPr>
                <w:rFonts w:ascii="宋体" w:hAnsi="宋体" w:eastAsia="宋体" w:cs="宋体"/>
                <w:spacing w:val="-6"/>
                <w:sz w:val="21"/>
                <w:szCs w:val="21"/>
              </w:rPr>
              <w:t>段。</w:t>
            </w:r>
            <w:r>
              <w:rPr>
                <w:rFonts w:ascii="宋体" w:hAnsi="宋体" w:eastAsia="宋体" w:cs="宋体"/>
                <w:sz w:val="21"/>
                <w:szCs w:val="21"/>
              </w:rPr>
              <w:t xml:space="preserve"> </w:t>
            </w:r>
            <w:r>
              <w:rPr>
                <w:rFonts w:ascii="宋体" w:hAnsi="宋体" w:eastAsia="宋体" w:cs="宋体"/>
                <w:spacing w:val="-3"/>
                <w:sz w:val="21"/>
                <w:szCs w:val="21"/>
              </w:rPr>
              <w:t>自动分词：自动对每句文本中的医学实体进行正确识别。</w:t>
            </w:r>
          </w:p>
        </w:tc>
      </w:tr>
    </w:tbl>
    <w:p w14:paraId="5A07B70D">
      <w:pPr>
        <w:pStyle w:val="2"/>
        <w:spacing w:line="349" w:lineRule="auto"/>
      </w:pPr>
    </w:p>
    <w:p w14:paraId="516B1992">
      <w:pPr>
        <w:pStyle w:val="2"/>
        <w:spacing w:line="349" w:lineRule="auto"/>
      </w:pPr>
    </w:p>
    <w:p w14:paraId="0BF8C503">
      <w:pPr>
        <w:spacing w:before="62" w:line="209" w:lineRule="auto"/>
        <w:ind w:left="222"/>
        <w:rPr>
          <w:rFonts w:ascii="宋体" w:hAnsi="宋体" w:eastAsia="宋体" w:cs="宋体"/>
          <w:sz w:val="19"/>
          <w:szCs w:val="19"/>
        </w:rPr>
      </w:pPr>
      <w:r>
        <w:pict>
          <v:shape id="_x0000_s1032" o:spid="_x0000_s1032" style="position:absolute;left:0pt;margin-left:5.65pt;margin-top:11.8pt;height:0.75pt;width:494pt;z-index:251676672;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3"/>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3"/>
          <w:position w:val="1"/>
          <w:sz w:val="18"/>
          <w:szCs w:val="18"/>
        </w:rPr>
        <w:t xml:space="preserve">12                               </w:t>
      </w:r>
      <w:r>
        <w:rPr>
          <w:rFonts w:ascii="宋体" w:hAnsi="宋体" w:eastAsia="宋体" w:cs="宋体"/>
          <w:b/>
          <w:bCs/>
          <w:i/>
          <w:iCs/>
          <w:spacing w:val="-3"/>
          <w:sz w:val="19"/>
          <w:szCs w:val="19"/>
        </w:rPr>
        <w:t>伊犁州公共资源交易中心</w:t>
      </w:r>
    </w:p>
    <w:p w14:paraId="2F20B34D">
      <w:pPr>
        <w:spacing w:line="209" w:lineRule="auto"/>
        <w:rPr>
          <w:rFonts w:ascii="宋体" w:hAnsi="宋体" w:eastAsia="宋体" w:cs="宋体"/>
          <w:sz w:val="19"/>
          <w:szCs w:val="19"/>
        </w:rPr>
        <w:sectPr>
          <w:headerReference r:id="rId22" w:type="default"/>
          <w:footerReference r:id="rId23" w:type="default"/>
          <w:pgSz w:w="11905" w:h="16839"/>
          <w:pgMar w:top="1136" w:right="503" w:bottom="400" w:left="1052" w:header="854" w:footer="0" w:gutter="0"/>
          <w:cols w:space="720" w:num="1"/>
        </w:sectPr>
      </w:pPr>
    </w:p>
    <w:p w14:paraId="5C86DB7B">
      <w:pPr>
        <w:spacing w:before="38"/>
      </w:pPr>
    </w:p>
    <w:tbl>
      <w:tblPr>
        <w:tblStyle w:val="5"/>
        <w:tblW w:w="103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560"/>
        <w:gridCol w:w="7736"/>
      </w:tblGrid>
      <w:tr w14:paraId="130AD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1042" w:type="dxa"/>
            <w:vAlign w:val="top"/>
          </w:tcPr>
          <w:p w14:paraId="043BB548">
            <w:pPr>
              <w:rPr>
                <w:rFonts w:ascii="Arial"/>
                <w:sz w:val="21"/>
              </w:rPr>
            </w:pPr>
          </w:p>
        </w:tc>
        <w:tc>
          <w:tcPr>
            <w:tcW w:w="1560" w:type="dxa"/>
            <w:vAlign w:val="top"/>
          </w:tcPr>
          <w:p w14:paraId="1954640A">
            <w:pPr>
              <w:spacing w:line="245" w:lineRule="auto"/>
              <w:rPr>
                <w:rFonts w:ascii="Arial"/>
                <w:sz w:val="21"/>
              </w:rPr>
            </w:pPr>
          </w:p>
          <w:p w14:paraId="6B913FB6">
            <w:pPr>
              <w:spacing w:line="245" w:lineRule="auto"/>
              <w:rPr>
                <w:rFonts w:ascii="Arial"/>
                <w:sz w:val="21"/>
              </w:rPr>
            </w:pPr>
          </w:p>
          <w:p w14:paraId="39A19423">
            <w:pPr>
              <w:spacing w:line="245" w:lineRule="auto"/>
              <w:rPr>
                <w:rFonts w:ascii="Arial"/>
                <w:sz w:val="21"/>
              </w:rPr>
            </w:pPr>
          </w:p>
          <w:p w14:paraId="72FE6C1F">
            <w:pPr>
              <w:spacing w:before="68" w:line="391" w:lineRule="auto"/>
              <w:ind w:left="569" w:right="147" w:hanging="418"/>
              <w:rPr>
                <w:rFonts w:ascii="宋体" w:hAnsi="宋体" w:eastAsia="宋体" w:cs="宋体"/>
                <w:sz w:val="21"/>
                <w:szCs w:val="21"/>
              </w:rPr>
            </w:pPr>
            <w:r>
              <w:rPr>
                <w:rFonts w:ascii="宋体" w:hAnsi="宋体" w:eastAsia="宋体" w:cs="宋体"/>
                <w:spacing w:val="-2"/>
                <w:sz w:val="21"/>
                <w:szCs w:val="21"/>
              </w:rPr>
              <w:t>后结构化数据</w:t>
            </w:r>
            <w:r>
              <w:rPr>
                <w:rFonts w:ascii="宋体" w:hAnsi="宋体" w:eastAsia="宋体" w:cs="宋体"/>
                <w:spacing w:val="1"/>
                <w:sz w:val="21"/>
                <w:szCs w:val="21"/>
              </w:rPr>
              <w:t xml:space="preserve"> </w:t>
            </w:r>
            <w:r>
              <w:rPr>
                <w:rFonts w:ascii="宋体" w:hAnsi="宋体" w:eastAsia="宋体" w:cs="宋体"/>
                <w:spacing w:val="-3"/>
                <w:sz w:val="21"/>
                <w:szCs w:val="21"/>
              </w:rPr>
              <w:t>服务</w:t>
            </w:r>
          </w:p>
        </w:tc>
        <w:tc>
          <w:tcPr>
            <w:tcW w:w="7736" w:type="dxa"/>
            <w:vAlign w:val="top"/>
          </w:tcPr>
          <w:p w14:paraId="6B4B6BCC">
            <w:pPr>
              <w:spacing w:before="107" w:line="268" w:lineRule="auto"/>
              <w:ind w:left="110" w:right="170" w:firstLine="13"/>
              <w:rPr>
                <w:rFonts w:ascii="宋体" w:hAnsi="宋体" w:eastAsia="宋体" w:cs="宋体"/>
                <w:sz w:val="21"/>
                <w:szCs w:val="21"/>
              </w:rPr>
            </w:pPr>
            <w:r>
              <w:rPr>
                <w:rFonts w:ascii="宋体" w:hAnsi="宋体" w:eastAsia="宋体" w:cs="宋体"/>
                <w:spacing w:val="-1"/>
                <w:sz w:val="21"/>
                <w:szCs w:val="21"/>
              </w:rPr>
              <w:t>1、实体关联：对于不同实体之间的关系进行正确关联，如：对于肿瘤</w:t>
            </w:r>
            <w:r>
              <w:rPr>
                <w:rFonts w:ascii="宋体" w:hAnsi="宋体" w:eastAsia="宋体" w:cs="宋体"/>
                <w:spacing w:val="-46"/>
                <w:sz w:val="21"/>
                <w:szCs w:val="21"/>
              </w:rPr>
              <w:t xml:space="preserve"> </w:t>
            </w:r>
            <w:r>
              <w:rPr>
                <w:rFonts w:ascii="宋体" w:hAnsi="宋体" w:eastAsia="宋体" w:cs="宋体"/>
                <w:spacing w:val="-1"/>
                <w:sz w:val="21"/>
                <w:szCs w:val="21"/>
              </w:rPr>
              <w:t>T</w:t>
            </w:r>
            <w:r>
              <w:rPr>
                <w:rFonts w:ascii="宋体" w:hAnsi="宋体" w:eastAsia="宋体" w:cs="宋体"/>
                <w:spacing w:val="-2"/>
                <w:sz w:val="21"/>
                <w:szCs w:val="21"/>
              </w:rPr>
              <w:t>NM</w:t>
            </w:r>
            <w:r>
              <w:rPr>
                <w:rFonts w:ascii="宋体" w:hAnsi="宋体" w:eastAsia="宋体" w:cs="宋体"/>
                <w:spacing w:val="-42"/>
                <w:sz w:val="21"/>
                <w:szCs w:val="21"/>
              </w:rPr>
              <w:t xml:space="preserve"> </w:t>
            </w:r>
            <w:r>
              <w:rPr>
                <w:rFonts w:ascii="宋体" w:hAnsi="宋体" w:eastAsia="宋体" w:cs="宋体"/>
                <w:spacing w:val="-2"/>
                <w:sz w:val="21"/>
                <w:szCs w:val="21"/>
              </w:rPr>
              <w:t>分期可</w:t>
            </w:r>
            <w:r>
              <w:rPr>
                <w:rFonts w:ascii="宋体" w:hAnsi="宋体" w:eastAsia="宋体" w:cs="宋体"/>
                <w:sz w:val="21"/>
                <w:szCs w:val="21"/>
              </w:rPr>
              <w:t xml:space="preserve"> </w:t>
            </w:r>
            <w:r>
              <w:rPr>
                <w:rFonts w:ascii="宋体" w:hAnsi="宋体" w:eastAsia="宋体" w:cs="宋体"/>
                <w:spacing w:val="-3"/>
                <w:sz w:val="21"/>
                <w:szCs w:val="21"/>
              </w:rPr>
              <w:t>识别并与临床诊断进行关联。</w:t>
            </w:r>
          </w:p>
          <w:p w14:paraId="3D173121">
            <w:pPr>
              <w:spacing w:before="109" w:line="220" w:lineRule="auto"/>
              <w:ind w:left="111"/>
              <w:rPr>
                <w:rFonts w:ascii="宋体" w:hAnsi="宋体" w:eastAsia="宋体" w:cs="宋体"/>
                <w:sz w:val="21"/>
                <w:szCs w:val="21"/>
              </w:rPr>
            </w:pPr>
            <w:r>
              <w:rPr>
                <w:rFonts w:ascii="宋体" w:hAnsi="宋体" w:eastAsia="宋体" w:cs="宋体"/>
                <w:spacing w:val="-2"/>
                <w:sz w:val="21"/>
                <w:szCs w:val="21"/>
              </w:rPr>
              <w:t>2、实体抽取：以数据库视图形式展示抽取的实体类型及值。</w:t>
            </w:r>
          </w:p>
          <w:p w14:paraId="128E9BB1">
            <w:pPr>
              <w:spacing w:before="111" w:line="268" w:lineRule="auto"/>
              <w:ind w:left="113" w:right="50"/>
              <w:rPr>
                <w:rFonts w:ascii="宋体" w:hAnsi="宋体" w:eastAsia="宋体" w:cs="宋体"/>
                <w:sz w:val="21"/>
                <w:szCs w:val="21"/>
              </w:rPr>
            </w:pPr>
            <w:r>
              <w:rPr>
                <w:rFonts w:ascii="宋体" w:hAnsi="宋体" w:eastAsia="宋体" w:cs="宋体"/>
                <w:spacing w:val="-2"/>
                <w:sz w:val="21"/>
                <w:szCs w:val="21"/>
              </w:rPr>
              <w:t>3、API</w:t>
            </w:r>
            <w:r>
              <w:rPr>
                <w:rFonts w:ascii="宋体" w:hAnsi="宋体" w:eastAsia="宋体" w:cs="宋体"/>
                <w:spacing w:val="-32"/>
                <w:sz w:val="21"/>
                <w:szCs w:val="21"/>
              </w:rPr>
              <w:t xml:space="preserve"> </w:t>
            </w:r>
            <w:r>
              <w:rPr>
                <w:rFonts w:ascii="宋体" w:hAnsi="宋体" w:eastAsia="宋体" w:cs="宋体"/>
                <w:spacing w:val="-2"/>
                <w:sz w:val="21"/>
                <w:szCs w:val="21"/>
              </w:rPr>
              <w:t>视图：支持以</w:t>
            </w:r>
            <w:r>
              <w:rPr>
                <w:rFonts w:ascii="宋体" w:hAnsi="宋体" w:eastAsia="宋体" w:cs="宋体"/>
                <w:spacing w:val="-46"/>
                <w:sz w:val="21"/>
                <w:szCs w:val="21"/>
              </w:rPr>
              <w:t xml:space="preserve"> </w:t>
            </w:r>
            <w:r>
              <w:rPr>
                <w:rFonts w:ascii="宋体" w:hAnsi="宋体" w:eastAsia="宋体" w:cs="宋体"/>
                <w:spacing w:val="-2"/>
                <w:sz w:val="21"/>
                <w:szCs w:val="21"/>
              </w:rPr>
              <w:t>RESTful API</w:t>
            </w:r>
            <w:r>
              <w:rPr>
                <w:rFonts w:ascii="宋体" w:hAnsi="宋体" w:eastAsia="宋体" w:cs="宋体"/>
                <w:spacing w:val="-45"/>
                <w:sz w:val="21"/>
                <w:szCs w:val="21"/>
              </w:rPr>
              <w:t xml:space="preserve"> </w:t>
            </w:r>
            <w:r>
              <w:rPr>
                <w:rFonts w:ascii="宋体" w:hAnsi="宋体" w:eastAsia="宋体" w:cs="宋体"/>
                <w:spacing w:val="-2"/>
                <w:sz w:val="21"/>
                <w:szCs w:val="21"/>
              </w:rPr>
              <w:t>接口方式调用自然语言处理引擎并返回相应识别</w:t>
            </w:r>
            <w:r>
              <w:rPr>
                <w:rFonts w:ascii="宋体" w:hAnsi="宋体" w:eastAsia="宋体" w:cs="宋体"/>
                <w:sz w:val="21"/>
                <w:szCs w:val="21"/>
              </w:rPr>
              <w:t xml:space="preserve"> </w:t>
            </w:r>
            <w:r>
              <w:rPr>
                <w:rFonts w:ascii="宋体" w:hAnsi="宋体" w:eastAsia="宋体" w:cs="宋体"/>
                <w:spacing w:val="-10"/>
                <w:sz w:val="21"/>
                <w:szCs w:val="21"/>
              </w:rPr>
              <w:t>结果。</w:t>
            </w:r>
          </w:p>
          <w:p w14:paraId="415F6A77">
            <w:pPr>
              <w:spacing w:before="109" w:line="216" w:lineRule="auto"/>
              <w:ind w:left="108"/>
              <w:rPr>
                <w:rFonts w:ascii="宋体" w:hAnsi="宋体" w:eastAsia="宋体" w:cs="宋体"/>
                <w:sz w:val="21"/>
                <w:szCs w:val="21"/>
              </w:rPr>
            </w:pPr>
            <w:r>
              <w:rPr>
                <w:rFonts w:ascii="宋体" w:hAnsi="宋体" w:eastAsia="宋体" w:cs="宋体"/>
                <w:spacing w:val="-1"/>
                <w:sz w:val="21"/>
                <w:szCs w:val="21"/>
              </w:rPr>
              <w:t>4、★保障数据对接及互联互通能力</w:t>
            </w:r>
          </w:p>
        </w:tc>
      </w:tr>
      <w:tr w14:paraId="175B3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restart"/>
            <w:tcBorders>
              <w:bottom w:val="nil"/>
            </w:tcBorders>
            <w:vAlign w:val="top"/>
          </w:tcPr>
          <w:p w14:paraId="1BAD1D80">
            <w:pPr>
              <w:spacing w:line="243" w:lineRule="auto"/>
              <w:rPr>
                <w:rFonts w:ascii="Arial"/>
                <w:sz w:val="21"/>
              </w:rPr>
            </w:pPr>
          </w:p>
          <w:p w14:paraId="7B5B30EF">
            <w:pPr>
              <w:spacing w:line="243" w:lineRule="auto"/>
              <w:rPr>
                <w:rFonts w:ascii="Arial"/>
                <w:sz w:val="21"/>
              </w:rPr>
            </w:pPr>
          </w:p>
          <w:p w14:paraId="116F4995">
            <w:pPr>
              <w:spacing w:line="243" w:lineRule="auto"/>
              <w:rPr>
                <w:rFonts w:ascii="Arial"/>
                <w:sz w:val="21"/>
              </w:rPr>
            </w:pPr>
          </w:p>
          <w:p w14:paraId="57EFC178">
            <w:pPr>
              <w:spacing w:line="243" w:lineRule="auto"/>
              <w:rPr>
                <w:rFonts w:ascii="Arial"/>
                <w:sz w:val="21"/>
              </w:rPr>
            </w:pPr>
          </w:p>
          <w:p w14:paraId="0047B84E">
            <w:pPr>
              <w:spacing w:line="243" w:lineRule="auto"/>
              <w:rPr>
                <w:rFonts w:ascii="Arial"/>
                <w:sz w:val="21"/>
              </w:rPr>
            </w:pPr>
          </w:p>
          <w:p w14:paraId="49709B6E">
            <w:pPr>
              <w:spacing w:line="243" w:lineRule="auto"/>
              <w:rPr>
                <w:rFonts w:ascii="Arial"/>
                <w:sz w:val="21"/>
              </w:rPr>
            </w:pPr>
          </w:p>
          <w:p w14:paraId="510CDE05">
            <w:pPr>
              <w:spacing w:line="243" w:lineRule="auto"/>
              <w:rPr>
                <w:rFonts w:ascii="Arial"/>
                <w:sz w:val="21"/>
              </w:rPr>
            </w:pPr>
          </w:p>
          <w:p w14:paraId="251449FA">
            <w:pPr>
              <w:spacing w:line="243" w:lineRule="auto"/>
              <w:rPr>
                <w:rFonts w:ascii="Arial"/>
                <w:sz w:val="21"/>
              </w:rPr>
            </w:pPr>
          </w:p>
          <w:p w14:paraId="64C758BB">
            <w:pPr>
              <w:spacing w:line="244" w:lineRule="auto"/>
              <w:rPr>
                <w:rFonts w:ascii="Arial"/>
                <w:sz w:val="21"/>
              </w:rPr>
            </w:pPr>
          </w:p>
          <w:p w14:paraId="22699E32">
            <w:pPr>
              <w:spacing w:line="244" w:lineRule="auto"/>
              <w:rPr>
                <w:rFonts w:ascii="Arial"/>
                <w:sz w:val="21"/>
              </w:rPr>
            </w:pPr>
          </w:p>
          <w:p w14:paraId="68B6D3D4">
            <w:pPr>
              <w:spacing w:line="244" w:lineRule="auto"/>
              <w:rPr>
                <w:rFonts w:ascii="Arial"/>
                <w:sz w:val="21"/>
              </w:rPr>
            </w:pPr>
          </w:p>
          <w:p w14:paraId="49000F9D">
            <w:pPr>
              <w:spacing w:line="244" w:lineRule="auto"/>
              <w:rPr>
                <w:rFonts w:ascii="Arial"/>
                <w:sz w:val="21"/>
              </w:rPr>
            </w:pPr>
          </w:p>
          <w:p w14:paraId="47636F7D">
            <w:pPr>
              <w:spacing w:line="244" w:lineRule="auto"/>
              <w:rPr>
                <w:rFonts w:ascii="Arial"/>
                <w:sz w:val="21"/>
              </w:rPr>
            </w:pPr>
          </w:p>
          <w:p w14:paraId="5DAEE721">
            <w:pPr>
              <w:spacing w:line="244" w:lineRule="auto"/>
              <w:rPr>
                <w:rFonts w:ascii="Arial"/>
                <w:sz w:val="21"/>
              </w:rPr>
            </w:pPr>
          </w:p>
          <w:p w14:paraId="22F1E9A8">
            <w:pPr>
              <w:spacing w:line="244" w:lineRule="auto"/>
              <w:rPr>
                <w:rFonts w:ascii="Arial"/>
                <w:sz w:val="21"/>
              </w:rPr>
            </w:pPr>
          </w:p>
          <w:p w14:paraId="5346576C">
            <w:pPr>
              <w:spacing w:line="244" w:lineRule="auto"/>
              <w:rPr>
                <w:rFonts w:ascii="Arial"/>
                <w:sz w:val="21"/>
              </w:rPr>
            </w:pPr>
          </w:p>
          <w:p w14:paraId="4EE7BC15">
            <w:pPr>
              <w:spacing w:line="244" w:lineRule="auto"/>
              <w:rPr>
                <w:rFonts w:ascii="Arial"/>
                <w:sz w:val="21"/>
              </w:rPr>
            </w:pPr>
          </w:p>
          <w:p w14:paraId="517350B3">
            <w:pPr>
              <w:spacing w:line="244" w:lineRule="auto"/>
              <w:rPr>
                <w:rFonts w:ascii="Arial"/>
                <w:sz w:val="21"/>
              </w:rPr>
            </w:pPr>
          </w:p>
          <w:p w14:paraId="4BB4E7D1">
            <w:pPr>
              <w:spacing w:line="244" w:lineRule="auto"/>
              <w:rPr>
                <w:rFonts w:ascii="Arial"/>
                <w:sz w:val="21"/>
              </w:rPr>
            </w:pPr>
          </w:p>
          <w:p w14:paraId="0AB06275">
            <w:pPr>
              <w:spacing w:line="244" w:lineRule="auto"/>
              <w:rPr>
                <w:rFonts w:ascii="Arial"/>
                <w:sz w:val="21"/>
              </w:rPr>
            </w:pPr>
          </w:p>
          <w:p w14:paraId="48B438FA">
            <w:pPr>
              <w:spacing w:line="244" w:lineRule="auto"/>
              <w:rPr>
                <w:rFonts w:ascii="Arial"/>
                <w:sz w:val="21"/>
              </w:rPr>
            </w:pPr>
          </w:p>
          <w:p w14:paraId="08CC655B">
            <w:pPr>
              <w:spacing w:line="244" w:lineRule="auto"/>
              <w:rPr>
                <w:rFonts w:ascii="Arial"/>
                <w:sz w:val="21"/>
              </w:rPr>
            </w:pPr>
          </w:p>
          <w:p w14:paraId="3AA0D1E8">
            <w:pPr>
              <w:spacing w:line="244" w:lineRule="auto"/>
              <w:rPr>
                <w:rFonts w:ascii="Arial"/>
                <w:sz w:val="21"/>
              </w:rPr>
            </w:pPr>
          </w:p>
          <w:p w14:paraId="614F7C59">
            <w:pPr>
              <w:spacing w:before="78" w:line="220" w:lineRule="auto"/>
              <w:ind w:left="168"/>
              <w:rPr>
                <w:rFonts w:ascii="宋体" w:hAnsi="宋体" w:eastAsia="宋体" w:cs="宋体"/>
                <w:sz w:val="24"/>
                <w:szCs w:val="24"/>
              </w:rPr>
            </w:pPr>
            <w:r>
              <w:rPr>
                <w:rFonts w:ascii="宋体" w:hAnsi="宋体" w:eastAsia="宋体" w:cs="宋体"/>
                <w:spacing w:val="-4"/>
                <w:sz w:val="24"/>
                <w:szCs w:val="24"/>
              </w:rPr>
              <w:t>知识库</w:t>
            </w:r>
          </w:p>
        </w:tc>
        <w:tc>
          <w:tcPr>
            <w:tcW w:w="1560" w:type="dxa"/>
            <w:vAlign w:val="top"/>
          </w:tcPr>
          <w:p w14:paraId="51D01612">
            <w:pPr>
              <w:spacing w:before="265" w:line="220" w:lineRule="auto"/>
              <w:ind w:left="153"/>
              <w:rPr>
                <w:rFonts w:ascii="宋体" w:hAnsi="宋体" w:eastAsia="宋体" w:cs="宋体"/>
                <w:sz w:val="21"/>
                <w:szCs w:val="21"/>
              </w:rPr>
            </w:pPr>
            <w:r>
              <w:rPr>
                <w:rFonts w:ascii="宋体" w:hAnsi="宋体" w:eastAsia="宋体" w:cs="宋体"/>
                <w:spacing w:val="-2"/>
                <w:sz w:val="21"/>
                <w:szCs w:val="21"/>
              </w:rPr>
              <w:t>★知识库检索</w:t>
            </w:r>
          </w:p>
        </w:tc>
        <w:tc>
          <w:tcPr>
            <w:tcW w:w="7736" w:type="dxa"/>
            <w:vAlign w:val="top"/>
          </w:tcPr>
          <w:p w14:paraId="2A3516E5">
            <w:pPr>
              <w:spacing w:before="81" w:line="287" w:lineRule="auto"/>
              <w:ind w:left="111" w:right="99" w:hanging="1"/>
              <w:rPr>
                <w:rFonts w:ascii="宋体" w:hAnsi="宋体" w:eastAsia="宋体" w:cs="宋体"/>
                <w:sz w:val="21"/>
                <w:szCs w:val="21"/>
              </w:rPr>
            </w:pPr>
            <w:r>
              <w:rPr>
                <w:rFonts w:ascii="宋体" w:hAnsi="宋体" w:eastAsia="宋体" w:cs="宋体"/>
                <w:spacing w:val="-7"/>
                <w:sz w:val="21"/>
                <w:szCs w:val="21"/>
              </w:rPr>
              <w:t>支持通过多种方式（关键字、标题首字母）检索知识库内容，涉及疾病知识、检验检</w:t>
            </w:r>
            <w:r>
              <w:rPr>
                <w:rFonts w:ascii="宋体" w:hAnsi="宋体" w:eastAsia="宋体" w:cs="宋体"/>
                <w:spacing w:val="4"/>
                <w:sz w:val="21"/>
                <w:szCs w:val="21"/>
              </w:rPr>
              <w:t xml:space="preserve"> </w:t>
            </w:r>
            <w:r>
              <w:rPr>
                <w:rFonts w:ascii="宋体" w:hAnsi="宋体" w:eastAsia="宋体" w:cs="宋体"/>
                <w:spacing w:val="-4"/>
                <w:sz w:val="21"/>
                <w:szCs w:val="21"/>
              </w:rPr>
              <w:t>查知识、评估表、药品说明书、中药方剂、中医诊断等知识内容。</w:t>
            </w:r>
          </w:p>
        </w:tc>
      </w:tr>
      <w:tr w14:paraId="0D6F6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1042" w:type="dxa"/>
            <w:vMerge w:val="continue"/>
            <w:tcBorders>
              <w:top w:val="nil"/>
              <w:bottom w:val="nil"/>
            </w:tcBorders>
            <w:vAlign w:val="top"/>
          </w:tcPr>
          <w:p w14:paraId="38D3558A">
            <w:pPr>
              <w:rPr>
                <w:rFonts w:ascii="Arial"/>
                <w:sz w:val="21"/>
              </w:rPr>
            </w:pPr>
          </w:p>
        </w:tc>
        <w:tc>
          <w:tcPr>
            <w:tcW w:w="1560" w:type="dxa"/>
            <w:vMerge w:val="restart"/>
            <w:tcBorders>
              <w:bottom w:val="nil"/>
            </w:tcBorders>
            <w:vAlign w:val="top"/>
          </w:tcPr>
          <w:p w14:paraId="5C8120D9">
            <w:pPr>
              <w:spacing w:line="286" w:lineRule="auto"/>
              <w:rPr>
                <w:rFonts w:ascii="Arial"/>
                <w:sz w:val="21"/>
              </w:rPr>
            </w:pPr>
          </w:p>
          <w:p w14:paraId="60BA8654">
            <w:pPr>
              <w:spacing w:line="287" w:lineRule="auto"/>
              <w:rPr>
                <w:rFonts w:ascii="Arial"/>
                <w:sz w:val="21"/>
              </w:rPr>
            </w:pPr>
          </w:p>
          <w:p w14:paraId="12179B91">
            <w:pPr>
              <w:spacing w:before="68" w:line="220" w:lineRule="auto"/>
              <w:ind w:left="110"/>
              <w:rPr>
                <w:rFonts w:ascii="宋体" w:hAnsi="宋体" w:eastAsia="宋体" w:cs="宋体"/>
                <w:sz w:val="21"/>
                <w:szCs w:val="21"/>
              </w:rPr>
            </w:pPr>
            <w:r>
              <w:rPr>
                <w:rFonts w:ascii="宋体" w:hAnsi="宋体" w:eastAsia="宋体" w:cs="宋体"/>
                <w:spacing w:val="-4"/>
                <w:sz w:val="21"/>
                <w:szCs w:val="21"/>
              </w:rPr>
              <w:t>★疾病详情</w:t>
            </w:r>
          </w:p>
        </w:tc>
        <w:tc>
          <w:tcPr>
            <w:tcW w:w="7736" w:type="dxa"/>
            <w:vAlign w:val="top"/>
          </w:tcPr>
          <w:p w14:paraId="38C1709A">
            <w:pPr>
              <w:spacing w:before="79" w:line="301" w:lineRule="auto"/>
              <w:ind w:left="120" w:right="29" w:hanging="12"/>
              <w:jc w:val="both"/>
              <w:rPr>
                <w:rFonts w:ascii="宋体" w:hAnsi="宋体" w:eastAsia="宋体" w:cs="宋体"/>
                <w:sz w:val="21"/>
                <w:szCs w:val="21"/>
              </w:rPr>
            </w:pPr>
            <w:r>
              <w:rPr>
                <w:rFonts w:ascii="宋体" w:hAnsi="宋体" w:eastAsia="宋体" w:cs="宋体"/>
                <w:spacing w:val="-5"/>
                <w:sz w:val="21"/>
                <w:szCs w:val="21"/>
              </w:rPr>
              <w:t>疾病知识库能够提供</w:t>
            </w:r>
            <w:r>
              <w:rPr>
                <w:rFonts w:ascii="宋体" w:hAnsi="宋体" w:eastAsia="宋体" w:cs="宋体"/>
                <w:spacing w:val="-33"/>
                <w:sz w:val="21"/>
                <w:szCs w:val="21"/>
              </w:rPr>
              <w:t xml:space="preserve"> </w:t>
            </w:r>
            <w:r>
              <w:rPr>
                <w:rFonts w:ascii="宋体" w:hAnsi="宋体" w:eastAsia="宋体" w:cs="宋体"/>
                <w:spacing w:val="-5"/>
                <w:sz w:val="21"/>
                <w:szCs w:val="21"/>
              </w:rPr>
              <w:t>13000</w:t>
            </w:r>
            <w:r>
              <w:rPr>
                <w:rFonts w:ascii="宋体" w:hAnsi="宋体" w:eastAsia="宋体" w:cs="宋体"/>
                <w:spacing w:val="-49"/>
                <w:sz w:val="21"/>
                <w:szCs w:val="21"/>
              </w:rPr>
              <w:t xml:space="preserve"> </w:t>
            </w:r>
            <w:r>
              <w:rPr>
                <w:rFonts w:ascii="宋体" w:hAnsi="宋体" w:eastAsia="宋体" w:cs="宋体"/>
                <w:spacing w:val="-5"/>
                <w:sz w:val="21"/>
                <w:szCs w:val="21"/>
              </w:rPr>
              <w:t>种疾病的详细知识内容，应包含</w:t>
            </w:r>
            <w:r>
              <w:rPr>
                <w:rFonts w:ascii="宋体" w:hAnsi="宋体" w:eastAsia="宋体" w:cs="宋体"/>
                <w:spacing w:val="-6"/>
                <w:sz w:val="21"/>
                <w:szCs w:val="21"/>
              </w:rPr>
              <w:t>疾病定义、病因、病理、</w:t>
            </w:r>
            <w:r>
              <w:rPr>
                <w:rFonts w:ascii="宋体" w:hAnsi="宋体" w:eastAsia="宋体" w:cs="宋体"/>
                <w:sz w:val="21"/>
                <w:szCs w:val="21"/>
              </w:rPr>
              <w:t xml:space="preserve"> </w:t>
            </w:r>
            <w:r>
              <w:rPr>
                <w:rFonts w:ascii="宋体" w:hAnsi="宋体" w:eastAsia="宋体" w:cs="宋体"/>
                <w:spacing w:val="-7"/>
                <w:sz w:val="21"/>
                <w:szCs w:val="21"/>
              </w:rPr>
              <w:t>临床表现、检查、并发症、诊断、鉴别诊断、治疗、预防的详细知识库</w:t>
            </w:r>
            <w:r>
              <w:rPr>
                <w:rFonts w:ascii="宋体" w:hAnsi="宋体" w:eastAsia="宋体" w:cs="宋体"/>
                <w:spacing w:val="-8"/>
                <w:sz w:val="21"/>
                <w:szCs w:val="21"/>
              </w:rPr>
              <w:t>内容，为医生</w:t>
            </w:r>
            <w:r>
              <w:rPr>
                <w:rFonts w:ascii="宋体" w:hAnsi="宋体" w:eastAsia="宋体" w:cs="宋体"/>
                <w:sz w:val="21"/>
                <w:szCs w:val="21"/>
              </w:rPr>
              <w:t xml:space="preserve"> </w:t>
            </w:r>
            <w:r>
              <w:rPr>
                <w:rFonts w:ascii="宋体" w:hAnsi="宋体" w:eastAsia="宋体" w:cs="宋体"/>
                <w:spacing w:val="-6"/>
                <w:sz w:val="21"/>
                <w:szCs w:val="21"/>
              </w:rPr>
              <w:t>的继续学习提供素材。</w:t>
            </w:r>
          </w:p>
        </w:tc>
      </w:tr>
      <w:tr w14:paraId="4173E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64D67197">
            <w:pPr>
              <w:rPr>
                <w:rFonts w:ascii="Arial"/>
                <w:sz w:val="21"/>
              </w:rPr>
            </w:pPr>
          </w:p>
        </w:tc>
        <w:tc>
          <w:tcPr>
            <w:tcW w:w="1560" w:type="dxa"/>
            <w:vMerge w:val="continue"/>
            <w:tcBorders>
              <w:top w:val="nil"/>
            </w:tcBorders>
            <w:vAlign w:val="top"/>
          </w:tcPr>
          <w:p w14:paraId="7CC07EA8">
            <w:pPr>
              <w:rPr>
                <w:rFonts w:ascii="Arial"/>
                <w:sz w:val="21"/>
              </w:rPr>
            </w:pPr>
          </w:p>
        </w:tc>
        <w:tc>
          <w:tcPr>
            <w:tcW w:w="7736" w:type="dxa"/>
            <w:vAlign w:val="top"/>
          </w:tcPr>
          <w:p w14:paraId="125192BE">
            <w:pPr>
              <w:spacing w:before="80" w:line="220" w:lineRule="auto"/>
              <w:ind w:left="108"/>
              <w:rPr>
                <w:rFonts w:ascii="宋体" w:hAnsi="宋体" w:eastAsia="宋体" w:cs="宋体"/>
                <w:sz w:val="21"/>
                <w:szCs w:val="21"/>
              </w:rPr>
            </w:pPr>
            <w:r>
              <w:rPr>
                <w:rFonts w:ascii="宋体" w:hAnsi="宋体" w:eastAsia="宋体" w:cs="宋体"/>
                <w:spacing w:val="-4"/>
                <w:sz w:val="21"/>
                <w:szCs w:val="21"/>
              </w:rPr>
              <w:t>疾病知识库能够 1140</w:t>
            </w:r>
            <w:r>
              <w:rPr>
                <w:rFonts w:ascii="宋体" w:hAnsi="宋体" w:eastAsia="宋体" w:cs="宋体"/>
                <w:spacing w:val="-46"/>
                <w:sz w:val="21"/>
                <w:szCs w:val="21"/>
              </w:rPr>
              <w:t xml:space="preserve"> </w:t>
            </w:r>
            <w:r>
              <w:rPr>
                <w:rFonts w:ascii="宋体" w:hAnsi="宋体" w:eastAsia="宋体" w:cs="宋体"/>
                <w:spacing w:val="-4"/>
                <w:sz w:val="21"/>
                <w:szCs w:val="21"/>
              </w:rPr>
              <w:t>种中医诊断，包含疾病定义、临床表现等知识内容</w:t>
            </w:r>
          </w:p>
        </w:tc>
      </w:tr>
      <w:tr w14:paraId="7D670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bottom w:val="nil"/>
            </w:tcBorders>
            <w:vAlign w:val="top"/>
          </w:tcPr>
          <w:p w14:paraId="20FAE481">
            <w:pPr>
              <w:rPr>
                <w:rFonts w:ascii="Arial"/>
                <w:sz w:val="21"/>
              </w:rPr>
            </w:pPr>
          </w:p>
        </w:tc>
        <w:tc>
          <w:tcPr>
            <w:tcW w:w="1560" w:type="dxa"/>
            <w:vAlign w:val="top"/>
          </w:tcPr>
          <w:p w14:paraId="2A35D9BB">
            <w:pPr>
              <w:spacing w:before="268" w:line="220" w:lineRule="auto"/>
              <w:ind w:left="110"/>
              <w:rPr>
                <w:rFonts w:ascii="宋体" w:hAnsi="宋体" w:eastAsia="宋体" w:cs="宋体"/>
                <w:sz w:val="21"/>
                <w:szCs w:val="21"/>
              </w:rPr>
            </w:pPr>
            <w:r>
              <w:rPr>
                <w:rFonts w:ascii="宋体" w:hAnsi="宋体" w:eastAsia="宋体" w:cs="宋体"/>
                <w:spacing w:val="-4"/>
                <w:sz w:val="21"/>
                <w:szCs w:val="21"/>
              </w:rPr>
              <w:t>★处置建议</w:t>
            </w:r>
          </w:p>
        </w:tc>
        <w:tc>
          <w:tcPr>
            <w:tcW w:w="7736" w:type="dxa"/>
            <w:vAlign w:val="top"/>
          </w:tcPr>
          <w:p w14:paraId="71DBBDC3">
            <w:pPr>
              <w:spacing w:before="81" w:line="287" w:lineRule="auto"/>
              <w:ind w:left="110" w:right="24" w:firstLine="3"/>
              <w:rPr>
                <w:rFonts w:ascii="宋体" w:hAnsi="宋体" w:eastAsia="宋体" w:cs="宋体"/>
                <w:sz w:val="21"/>
                <w:szCs w:val="21"/>
              </w:rPr>
            </w:pPr>
            <w:r>
              <w:rPr>
                <w:rFonts w:ascii="宋体" w:hAnsi="宋体" w:eastAsia="宋体" w:cs="宋体"/>
                <w:spacing w:val="-10"/>
                <w:sz w:val="21"/>
                <w:szCs w:val="21"/>
              </w:rPr>
              <w:t>知识库能够提供</w:t>
            </w:r>
            <w:r>
              <w:rPr>
                <w:rFonts w:ascii="宋体" w:hAnsi="宋体" w:eastAsia="宋体" w:cs="宋体"/>
                <w:spacing w:val="-48"/>
                <w:sz w:val="21"/>
                <w:szCs w:val="21"/>
              </w:rPr>
              <w:t xml:space="preserve"> </w:t>
            </w:r>
            <w:r>
              <w:rPr>
                <w:rFonts w:ascii="宋体" w:hAnsi="宋体" w:eastAsia="宋体" w:cs="宋体"/>
                <w:spacing w:val="-10"/>
                <w:sz w:val="21"/>
                <w:szCs w:val="21"/>
              </w:rPr>
              <w:t>900</w:t>
            </w:r>
            <w:r>
              <w:rPr>
                <w:rFonts w:ascii="宋体" w:hAnsi="宋体" w:eastAsia="宋体" w:cs="宋体"/>
                <w:spacing w:val="-47"/>
                <w:sz w:val="21"/>
                <w:szCs w:val="21"/>
              </w:rPr>
              <w:t xml:space="preserve"> </w:t>
            </w:r>
            <w:r>
              <w:rPr>
                <w:rFonts w:ascii="宋体" w:hAnsi="宋体" w:eastAsia="宋体" w:cs="宋体"/>
                <w:spacing w:val="-10"/>
                <w:sz w:val="21"/>
                <w:szCs w:val="21"/>
              </w:rPr>
              <w:t>余种疾病的处置建议，其中内容应包</w:t>
            </w:r>
            <w:r>
              <w:rPr>
                <w:rFonts w:ascii="宋体" w:hAnsi="宋体" w:eastAsia="宋体" w:cs="宋体"/>
                <w:spacing w:val="-11"/>
                <w:sz w:val="21"/>
                <w:szCs w:val="21"/>
              </w:rPr>
              <w:t>含：治疗原则、非药物治疗、</w:t>
            </w:r>
            <w:r>
              <w:rPr>
                <w:rFonts w:ascii="宋体" w:hAnsi="宋体" w:eastAsia="宋体" w:cs="宋体"/>
                <w:sz w:val="21"/>
                <w:szCs w:val="21"/>
              </w:rPr>
              <w:t xml:space="preserve"> </w:t>
            </w:r>
            <w:r>
              <w:rPr>
                <w:rFonts w:ascii="宋体" w:hAnsi="宋体" w:eastAsia="宋体" w:cs="宋体"/>
                <w:spacing w:val="-5"/>
                <w:sz w:val="21"/>
                <w:szCs w:val="21"/>
              </w:rPr>
              <w:t>合并症治疗的三项内容。</w:t>
            </w:r>
          </w:p>
        </w:tc>
      </w:tr>
      <w:tr w14:paraId="36DEF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1042" w:type="dxa"/>
            <w:vMerge w:val="continue"/>
            <w:tcBorders>
              <w:top w:val="nil"/>
              <w:bottom w:val="nil"/>
            </w:tcBorders>
            <w:vAlign w:val="top"/>
          </w:tcPr>
          <w:p w14:paraId="313C2E74">
            <w:pPr>
              <w:rPr>
                <w:rFonts w:ascii="Arial"/>
                <w:sz w:val="21"/>
              </w:rPr>
            </w:pPr>
          </w:p>
        </w:tc>
        <w:tc>
          <w:tcPr>
            <w:tcW w:w="1560" w:type="dxa"/>
            <w:vAlign w:val="top"/>
          </w:tcPr>
          <w:p w14:paraId="4F4319A9">
            <w:pPr>
              <w:spacing w:line="314" w:lineRule="auto"/>
              <w:rPr>
                <w:rFonts w:ascii="Arial"/>
                <w:sz w:val="21"/>
              </w:rPr>
            </w:pPr>
          </w:p>
          <w:p w14:paraId="65490E2B">
            <w:pPr>
              <w:spacing w:line="315" w:lineRule="auto"/>
              <w:rPr>
                <w:rFonts w:ascii="Arial"/>
                <w:sz w:val="21"/>
              </w:rPr>
            </w:pPr>
          </w:p>
          <w:p w14:paraId="7E854E30">
            <w:pPr>
              <w:spacing w:before="69" w:line="220" w:lineRule="auto"/>
              <w:ind w:left="110"/>
              <w:rPr>
                <w:rFonts w:ascii="宋体" w:hAnsi="宋体" w:eastAsia="宋体" w:cs="宋体"/>
                <w:sz w:val="21"/>
                <w:szCs w:val="21"/>
              </w:rPr>
            </w:pPr>
            <w:r>
              <w:rPr>
                <w:rFonts w:ascii="宋体" w:hAnsi="宋体" w:eastAsia="宋体" w:cs="宋体"/>
                <w:spacing w:val="-4"/>
                <w:sz w:val="21"/>
                <w:szCs w:val="21"/>
              </w:rPr>
              <w:t>★用药建议</w:t>
            </w:r>
          </w:p>
        </w:tc>
        <w:tc>
          <w:tcPr>
            <w:tcW w:w="7736" w:type="dxa"/>
            <w:vAlign w:val="top"/>
          </w:tcPr>
          <w:p w14:paraId="4A3E10FF">
            <w:pPr>
              <w:spacing w:before="44" w:line="257" w:lineRule="auto"/>
              <w:ind w:left="109" w:right="29"/>
              <w:jc w:val="both"/>
              <w:rPr>
                <w:rFonts w:ascii="宋体" w:hAnsi="宋体" w:eastAsia="宋体" w:cs="宋体"/>
                <w:sz w:val="21"/>
                <w:szCs w:val="21"/>
              </w:rPr>
            </w:pPr>
            <w:r>
              <w:rPr>
                <w:rFonts w:ascii="宋体" w:hAnsi="宋体" w:eastAsia="宋体" w:cs="宋体"/>
                <w:spacing w:val="-4"/>
                <w:sz w:val="21"/>
                <w:szCs w:val="21"/>
              </w:rPr>
              <w:t>支持药品信息查询，包括药名、商品名、剂型、 药理作用、适应证、禁忌证、</w:t>
            </w:r>
            <w:r>
              <w:rPr>
                <w:rFonts w:ascii="宋体" w:hAnsi="宋体" w:eastAsia="宋体" w:cs="宋体"/>
                <w:spacing w:val="-5"/>
                <w:sz w:val="21"/>
                <w:szCs w:val="21"/>
              </w:rPr>
              <w:t>注意</w:t>
            </w:r>
            <w:r>
              <w:rPr>
                <w:rFonts w:ascii="宋体" w:hAnsi="宋体" w:eastAsia="宋体" w:cs="宋体"/>
                <w:sz w:val="21"/>
                <w:szCs w:val="21"/>
              </w:rPr>
              <w:t xml:space="preserve"> </w:t>
            </w:r>
            <w:r>
              <w:rPr>
                <w:rFonts w:ascii="宋体" w:hAnsi="宋体" w:eastAsia="宋体" w:cs="宋体"/>
                <w:spacing w:val="-5"/>
                <w:sz w:val="21"/>
                <w:szCs w:val="21"/>
              </w:rPr>
              <w:t>事项、不良反应、用法用量、药物相互作用等，并提供药品与最相关疾病关联展示。</w:t>
            </w:r>
            <w:r>
              <w:rPr>
                <w:rFonts w:ascii="宋体" w:hAnsi="宋体" w:eastAsia="宋体" w:cs="宋体"/>
                <w:spacing w:val="1"/>
                <w:sz w:val="21"/>
                <w:szCs w:val="21"/>
              </w:rPr>
              <w:t xml:space="preserve"> </w:t>
            </w:r>
            <w:r>
              <w:rPr>
                <w:rFonts w:ascii="宋体" w:hAnsi="宋体" w:eastAsia="宋体" w:cs="宋体"/>
                <w:spacing w:val="-7"/>
                <w:sz w:val="21"/>
                <w:szCs w:val="21"/>
              </w:rPr>
              <w:t>支持知识库搜索功能，医生可以根据需要实时查询需要的药品内容以及药品成分，药</w:t>
            </w:r>
            <w:r>
              <w:rPr>
                <w:rFonts w:ascii="宋体" w:hAnsi="宋体" w:eastAsia="宋体" w:cs="宋体"/>
                <w:spacing w:val="5"/>
                <w:sz w:val="21"/>
                <w:szCs w:val="21"/>
              </w:rPr>
              <w:t xml:space="preserve"> </w:t>
            </w:r>
            <w:r>
              <w:rPr>
                <w:rFonts w:ascii="宋体" w:hAnsi="宋体" w:eastAsia="宋体" w:cs="宋体"/>
                <w:spacing w:val="-7"/>
                <w:sz w:val="21"/>
                <w:szCs w:val="21"/>
              </w:rPr>
              <w:t>理毒理等。知识库至少能够提供疾病的</w:t>
            </w:r>
            <w:r>
              <w:rPr>
                <w:rFonts w:ascii="宋体" w:hAnsi="宋体" w:eastAsia="宋体" w:cs="宋体"/>
                <w:spacing w:val="-45"/>
                <w:sz w:val="21"/>
                <w:szCs w:val="21"/>
              </w:rPr>
              <w:t xml:space="preserve"> </w:t>
            </w:r>
            <w:r>
              <w:rPr>
                <w:rFonts w:ascii="宋体" w:hAnsi="宋体" w:eastAsia="宋体" w:cs="宋体"/>
                <w:spacing w:val="-7"/>
                <w:sz w:val="21"/>
                <w:szCs w:val="21"/>
              </w:rPr>
              <w:t>800</w:t>
            </w:r>
            <w:r>
              <w:rPr>
                <w:rFonts w:ascii="宋体" w:hAnsi="宋体" w:eastAsia="宋体" w:cs="宋体"/>
                <w:spacing w:val="-48"/>
                <w:sz w:val="21"/>
                <w:szCs w:val="21"/>
              </w:rPr>
              <w:t xml:space="preserve"> </w:t>
            </w:r>
            <w:r>
              <w:rPr>
                <w:rFonts w:ascii="宋体" w:hAnsi="宋体" w:eastAsia="宋体" w:cs="宋体"/>
                <w:spacing w:val="-7"/>
                <w:sz w:val="21"/>
                <w:szCs w:val="21"/>
              </w:rPr>
              <w:t>余种用药建议，应包含疾病分型以及不同</w:t>
            </w:r>
            <w:r>
              <w:rPr>
                <w:rFonts w:ascii="宋体" w:hAnsi="宋体" w:eastAsia="宋体" w:cs="宋体"/>
                <w:sz w:val="21"/>
                <w:szCs w:val="21"/>
              </w:rPr>
              <w:t xml:space="preserve"> </w:t>
            </w:r>
            <w:r>
              <w:rPr>
                <w:rFonts w:ascii="宋体" w:hAnsi="宋体" w:eastAsia="宋体" w:cs="宋体"/>
                <w:spacing w:val="-5"/>
                <w:sz w:val="21"/>
                <w:szCs w:val="21"/>
              </w:rPr>
              <w:t>分型详细的药物治疗建议。</w:t>
            </w:r>
          </w:p>
        </w:tc>
      </w:tr>
      <w:tr w14:paraId="689BF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042" w:type="dxa"/>
            <w:vMerge w:val="continue"/>
            <w:tcBorders>
              <w:top w:val="nil"/>
              <w:bottom w:val="nil"/>
            </w:tcBorders>
            <w:vAlign w:val="top"/>
          </w:tcPr>
          <w:p w14:paraId="1D3D6C4A">
            <w:pPr>
              <w:rPr>
                <w:rFonts w:ascii="Arial"/>
                <w:sz w:val="21"/>
              </w:rPr>
            </w:pPr>
          </w:p>
        </w:tc>
        <w:tc>
          <w:tcPr>
            <w:tcW w:w="1560" w:type="dxa"/>
            <w:vAlign w:val="top"/>
          </w:tcPr>
          <w:p w14:paraId="17F19A5A">
            <w:pPr>
              <w:spacing w:before="269" w:line="220" w:lineRule="auto"/>
              <w:ind w:left="110"/>
              <w:rPr>
                <w:rFonts w:ascii="宋体" w:hAnsi="宋体" w:eastAsia="宋体" w:cs="宋体"/>
                <w:sz w:val="21"/>
                <w:szCs w:val="21"/>
              </w:rPr>
            </w:pPr>
            <w:r>
              <w:rPr>
                <w:rFonts w:ascii="宋体" w:hAnsi="宋体" w:eastAsia="宋体" w:cs="宋体"/>
                <w:spacing w:val="-4"/>
                <w:sz w:val="21"/>
                <w:szCs w:val="21"/>
              </w:rPr>
              <w:t>★检查建议</w:t>
            </w:r>
          </w:p>
        </w:tc>
        <w:tc>
          <w:tcPr>
            <w:tcW w:w="7736" w:type="dxa"/>
            <w:vAlign w:val="top"/>
          </w:tcPr>
          <w:p w14:paraId="2EE6AD64">
            <w:pPr>
              <w:spacing w:before="84" w:line="286" w:lineRule="auto"/>
              <w:ind w:left="111" w:right="99" w:firstLine="1"/>
              <w:rPr>
                <w:rFonts w:ascii="宋体" w:hAnsi="宋体" w:eastAsia="宋体" w:cs="宋体"/>
                <w:sz w:val="21"/>
                <w:szCs w:val="21"/>
              </w:rPr>
            </w:pPr>
            <w:r>
              <w:rPr>
                <w:rFonts w:ascii="宋体" w:hAnsi="宋体" w:eastAsia="宋体" w:cs="宋体"/>
                <w:spacing w:val="-7"/>
                <w:sz w:val="21"/>
                <w:szCs w:val="21"/>
              </w:rPr>
              <w:t>知识库能够提供</w:t>
            </w:r>
            <w:r>
              <w:rPr>
                <w:rFonts w:ascii="宋体" w:hAnsi="宋体" w:eastAsia="宋体" w:cs="宋体"/>
                <w:spacing w:val="-49"/>
                <w:sz w:val="21"/>
                <w:szCs w:val="21"/>
              </w:rPr>
              <w:t xml:space="preserve"> </w:t>
            </w:r>
            <w:r>
              <w:rPr>
                <w:rFonts w:ascii="宋体" w:hAnsi="宋体" w:eastAsia="宋体" w:cs="宋体"/>
                <w:spacing w:val="-7"/>
                <w:sz w:val="21"/>
                <w:szCs w:val="21"/>
              </w:rPr>
              <w:t>800</w:t>
            </w:r>
            <w:r>
              <w:rPr>
                <w:rFonts w:ascii="宋体" w:hAnsi="宋体" w:eastAsia="宋体" w:cs="宋体"/>
                <w:spacing w:val="-48"/>
                <w:sz w:val="21"/>
                <w:szCs w:val="21"/>
              </w:rPr>
              <w:t xml:space="preserve"> </w:t>
            </w:r>
            <w:r>
              <w:rPr>
                <w:rFonts w:ascii="宋体" w:hAnsi="宋体" w:eastAsia="宋体" w:cs="宋体"/>
                <w:spacing w:val="-7"/>
                <w:sz w:val="21"/>
                <w:szCs w:val="21"/>
              </w:rPr>
              <w:t>余种疾病的检查建议，应包含疾病相关的实验室检查、影像学检</w:t>
            </w:r>
            <w:r>
              <w:rPr>
                <w:rFonts w:ascii="宋体" w:hAnsi="宋体" w:eastAsia="宋体" w:cs="宋体"/>
                <w:sz w:val="21"/>
                <w:szCs w:val="21"/>
              </w:rPr>
              <w:t xml:space="preserve"> </w:t>
            </w:r>
            <w:r>
              <w:rPr>
                <w:rFonts w:ascii="宋体" w:hAnsi="宋体" w:eastAsia="宋体" w:cs="宋体"/>
                <w:spacing w:val="-5"/>
                <w:sz w:val="21"/>
                <w:szCs w:val="21"/>
              </w:rPr>
              <w:t>查、病原学检查的详细知识内容。</w:t>
            </w:r>
          </w:p>
        </w:tc>
      </w:tr>
      <w:tr w14:paraId="40040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25E7F601">
            <w:pPr>
              <w:rPr>
                <w:rFonts w:ascii="Arial"/>
                <w:sz w:val="21"/>
              </w:rPr>
            </w:pPr>
          </w:p>
        </w:tc>
        <w:tc>
          <w:tcPr>
            <w:tcW w:w="1560" w:type="dxa"/>
            <w:vAlign w:val="top"/>
          </w:tcPr>
          <w:p w14:paraId="7B0598B5">
            <w:pPr>
              <w:spacing w:before="83" w:line="221" w:lineRule="auto"/>
              <w:ind w:left="117"/>
              <w:rPr>
                <w:rFonts w:ascii="宋体" w:hAnsi="宋体" w:eastAsia="宋体" w:cs="宋体"/>
                <w:sz w:val="21"/>
                <w:szCs w:val="21"/>
              </w:rPr>
            </w:pPr>
            <w:r>
              <w:rPr>
                <w:rFonts w:ascii="宋体" w:hAnsi="宋体" w:eastAsia="宋体" w:cs="宋体"/>
                <w:spacing w:val="-7"/>
                <w:sz w:val="21"/>
                <w:szCs w:val="21"/>
              </w:rPr>
              <w:t>患者指导</w:t>
            </w:r>
          </w:p>
        </w:tc>
        <w:tc>
          <w:tcPr>
            <w:tcW w:w="7736" w:type="dxa"/>
            <w:vAlign w:val="top"/>
          </w:tcPr>
          <w:p w14:paraId="564AE01E">
            <w:pPr>
              <w:spacing w:before="83" w:line="219" w:lineRule="auto"/>
              <w:ind w:left="113"/>
              <w:rPr>
                <w:rFonts w:ascii="宋体" w:hAnsi="宋体" w:eastAsia="宋体" w:cs="宋体"/>
                <w:sz w:val="21"/>
                <w:szCs w:val="21"/>
              </w:rPr>
            </w:pPr>
            <w:r>
              <w:rPr>
                <w:rFonts w:ascii="宋体" w:hAnsi="宋体" w:eastAsia="宋体" w:cs="宋体"/>
                <w:spacing w:val="-5"/>
                <w:sz w:val="21"/>
                <w:szCs w:val="21"/>
              </w:rPr>
              <w:t>知识库能够提供</w:t>
            </w:r>
            <w:r>
              <w:rPr>
                <w:rFonts w:ascii="宋体" w:hAnsi="宋体" w:eastAsia="宋体" w:cs="宋体"/>
                <w:spacing w:val="-34"/>
                <w:sz w:val="21"/>
                <w:szCs w:val="21"/>
              </w:rPr>
              <w:t xml:space="preserve"> </w:t>
            </w:r>
            <w:r>
              <w:rPr>
                <w:rFonts w:ascii="宋体" w:hAnsi="宋体" w:eastAsia="宋体" w:cs="宋体"/>
                <w:spacing w:val="-5"/>
                <w:sz w:val="21"/>
                <w:szCs w:val="21"/>
              </w:rPr>
              <w:t>700</w:t>
            </w:r>
            <w:r>
              <w:rPr>
                <w:rFonts w:ascii="宋体" w:hAnsi="宋体" w:eastAsia="宋体" w:cs="宋体"/>
                <w:spacing w:val="-47"/>
                <w:sz w:val="21"/>
                <w:szCs w:val="21"/>
              </w:rPr>
              <w:t xml:space="preserve"> </w:t>
            </w:r>
            <w:r>
              <w:rPr>
                <w:rFonts w:ascii="宋体" w:hAnsi="宋体" w:eastAsia="宋体" w:cs="宋体"/>
                <w:spacing w:val="-5"/>
                <w:sz w:val="21"/>
                <w:szCs w:val="21"/>
              </w:rPr>
              <w:t>余种疾病相关的患者出院指导说明。</w:t>
            </w:r>
          </w:p>
        </w:tc>
      </w:tr>
      <w:tr w14:paraId="0C014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088EE7FA">
            <w:pPr>
              <w:rPr>
                <w:rFonts w:ascii="Arial"/>
                <w:sz w:val="21"/>
              </w:rPr>
            </w:pPr>
          </w:p>
        </w:tc>
        <w:tc>
          <w:tcPr>
            <w:tcW w:w="1560" w:type="dxa"/>
            <w:vAlign w:val="top"/>
          </w:tcPr>
          <w:p w14:paraId="6C474CA3">
            <w:pPr>
              <w:spacing w:before="84" w:line="219" w:lineRule="auto"/>
              <w:ind w:left="108"/>
              <w:rPr>
                <w:rFonts w:ascii="宋体" w:hAnsi="宋体" w:eastAsia="宋体" w:cs="宋体"/>
                <w:sz w:val="21"/>
                <w:szCs w:val="21"/>
              </w:rPr>
            </w:pPr>
            <w:r>
              <w:rPr>
                <w:rFonts w:ascii="宋体" w:hAnsi="宋体" w:eastAsia="宋体" w:cs="宋体"/>
                <w:spacing w:val="-5"/>
                <w:sz w:val="21"/>
                <w:szCs w:val="21"/>
              </w:rPr>
              <w:t>诊断依据</w:t>
            </w:r>
          </w:p>
        </w:tc>
        <w:tc>
          <w:tcPr>
            <w:tcW w:w="7736" w:type="dxa"/>
            <w:vAlign w:val="top"/>
          </w:tcPr>
          <w:p w14:paraId="56C30FA5">
            <w:pPr>
              <w:spacing w:before="84" w:line="219" w:lineRule="auto"/>
              <w:ind w:left="113"/>
              <w:rPr>
                <w:rFonts w:ascii="宋体" w:hAnsi="宋体" w:eastAsia="宋体" w:cs="宋体"/>
                <w:sz w:val="21"/>
                <w:szCs w:val="21"/>
              </w:rPr>
            </w:pPr>
            <w:r>
              <w:rPr>
                <w:rFonts w:ascii="宋体" w:hAnsi="宋体" w:eastAsia="宋体" w:cs="宋体"/>
                <w:spacing w:val="-5"/>
                <w:sz w:val="21"/>
                <w:szCs w:val="21"/>
              </w:rPr>
              <w:t>知识库能提供</w:t>
            </w:r>
            <w:r>
              <w:rPr>
                <w:rFonts w:ascii="宋体" w:hAnsi="宋体" w:eastAsia="宋体" w:cs="宋体"/>
                <w:spacing w:val="-35"/>
                <w:sz w:val="21"/>
                <w:szCs w:val="21"/>
              </w:rPr>
              <w:t xml:space="preserve"> </w:t>
            </w:r>
            <w:r>
              <w:rPr>
                <w:rFonts w:ascii="宋体" w:hAnsi="宋体" w:eastAsia="宋体" w:cs="宋体"/>
                <w:spacing w:val="-5"/>
                <w:sz w:val="21"/>
                <w:szCs w:val="21"/>
              </w:rPr>
              <w:t>900</w:t>
            </w:r>
            <w:r>
              <w:rPr>
                <w:rFonts w:ascii="宋体" w:hAnsi="宋体" w:eastAsia="宋体" w:cs="宋体"/>
                <w:spacing w:val="-47"/>
                <w:sz w:val="21"/>
                <w:szCs w:val="21"/>
              </w:rPr>
              <w:t xml:space="preserve"> </w:t>
            </w:r>
            <w:r>
              <w:rPr>
                <w:rFonts w:ascii="宋体" w:hAnsi="宋体" w:eastAsia="宋体" w:cs="宋体"/>
                <w:spacing w:val="-5"/>
                <w:sz w:val="21"/>
                <w:szCs w:val="21"/>
              </w:rPr>
              <w:t>余种疾病的诊断依据，供医生查看。</w:t>
            </w:r>
          </w:p>
        </w:tc>
      </w:tr>
      <w:tr w14:paraId="38F8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1042" w:type="dxa"/>
            <w:vMerge w:val="continue"/>
            <w:tcBorders>
              <w:top w:val="nil"/>
              <w:bottom w:val="nil"/>
            </w:tcBorders>
            <w:vAlign w:val="top"/>
          </w:tcPr>
          <w:p w14:paraId="26C1A6AE">
            <w:pPr>
              <w:rPr>
                <w:rFonts w:ascii="Arial"/>
                <w:sz w:val="21"/>
              </w:rPr>
            </w:pPr>
          </w:p>
        </w:tc>
        <w:tc>
          <w:tcPr>
            <w:tcW w:w="1560" w:type="dxa"/>
            <w:vAlign w:val="top"/>
          </w:tcPr>
          <w:p w14:paraId="17209B54">
            <w:pPr>
              <w:spacing w:line="386" w:lineRule="auto"/>
              <w:rPr>
                <w:rFonts w:ascii="Arial"/>
                <w:sz w:val="21"/>
              </w:rPr>
            </w:pPr>
          </w:p>
          <w:p w14:paraId="2EF7ADD5">
            <w:pPr>
              <w:spacing w:before="68" w:line="220" w:lineRule="auto"/>
              <w:ind w:left="110"/>
              <w:rPr>
                <w:rFonts w:ascii="宋体" w:hAnsi="宋体" w:eastAsia="宋体" w:cs="宋体"/>
                <w:sz w:val="21"/>
                <w:szCs w:val="21"/>
              </w:rPr>
            </w:pPr>
            <w:r>
              <w:rPr>
                <w:rFonts w:ascii="宋体" w:hAnsi="宋体" w:eastAsia="宋体" w:cs="宋体"/>
                <w:spacing w:val="-4"/>
                <w:sz w:val="21"/>
                <w:szCs w:val="21"/>
              </w:rPr>
              <w:t>★检验/检查</w:t>
            </w:r>
          </w:p>
        </w:tc>
        <w:tc>
          <w:tcPr>
            <w:tcW w:w="7736" w:type="dxa"/>
            <w:vAlign w:val="top"/>
          </w:tcPr>
          <w:p w14:paraId="20A1EF82">
            <w:pPr>
              <w:spacing w:before="86" w:line="299" w:lineRule="auto"/>
              <w:ind w:left="109" w:right="99" w:firstLine="4"/>
              <w:jc w:val="both"/>
              <w:rPr>
                <w:rFonts w:ascii="宋体" w:hAnsi="宋体" w:eastAsia="宋体" w:cs="宋体"/>
                <w:sz w:val="21"/>
                <w:szCs w:val="21"/>
              </w:rPr>
            </w:pPr>
            <w:r>
              <w:rPr>
                <w:rFonts w:ascii="宋体" w:hAnsi="宋体" w:eastAsia="宋体" w:cs="宋体"/>
                <w:spacing w:val="-7"/>
                <w:sz w:val="21"/>
                <w:szCs w:val="21"/>
              </w:rPr>
              <w:t>知识库能够提供</w:t>
            </w:r>
            <w:r>
              <w:rPr>
                <w:rFonts w:ascii="宋体" w:hAnsi="宋体" w:eastAsia="宋体" w:cs="宋体"/>
                <w:spacing w:val="-46"/>
                <w:sz w:val="21"/>
                <w:szCs w:val="21"/>
              </w:rPr>
              <w:t xml:space="preserve"> </w:t>
            </w:r>
            <w:r>
              <w:rPr>
                <w:rFonts w:ascii="宋体" w:hAnsi="宋体" w:eastAsia="宋体" w:cs="宋体"/>
                <w:spacing w:val="-7"/>
                <w:sz w:val="21"/>
                <w:szCs w:val="21"/>
              </w:rPr>
              <w:t>2500</w:t>
            </w:r>
            <w:r>
              <w:rPr>
                <w:rFonts w:ascii="宋体" w:hAnsi="宋体" w:eastAsia="宋体" w:cs="宋体"/>
                <w:spacing w:val="-39"/>
                <w:sz w:val="21"/>
                <w:szCs w:val="21"/>
              </w:rPr>
              <w:t xml:space="preserve"> </w:t>
            </w:r>
            <w:r>
              <w:rPr>
                <w:rFonts w:ascii="宋体" w:hAnsi="宋体" w:eastAsia="宋体" w:cs="宋体"/>
                <w:spacing w:val="-7"/>
                <w:sz w:val="21"/>
                <w:szCs w:val="21"/>
              </w:rPr>
              <w:t>多条检验/检查项目说明。检验项目说明涵盖检验项</w:t>
            </w:r>
            <w:r>
              <w:rPr>
                <w:rFonts w:ascii="宋体" w:hAnsi="宋体" w:eastAsia="宋体" w:cs="宋体"/>
                <w:spacing w:val="-8"/>
                <w:sz w:val="21"/>
                <w:szCs w:val="21"/>
              </w:rPr>
              <w:t>目定义、合</w:t>
            </w:r>
            <w:r>
              <w:rPr>
                <w:rFonts w:ascii="宋体" w:hAnsi="宋体" w:eastAsia="宋体" w:cs="宋体"/>
                <w:sz w:val="21"/>
                <w:szCs w:val="21"/>
              </w:rPr>
              <w:t xml:space="preserve"> </w:t>
            </w:r>
            <w:r>
              <w:rPr>
                <w:rFonts w:ascii="宋体" w:hAnsi="宋体" w:eastAsia="宋体" w:cs="宋体"/>
                <w:spacing w:val="-7"/>
                <w:sz w:val="21"/>
                <w:szCs w:val="21"/>
              </w:rPr>
              <w:t>理参考范围和临床意义等内容；检查项目说明涵盖检查项目定义、检查适用范围以及</w:t>
            </w:r>
            <w:r>
              <w:rPr>
                <w:rFonts w:ascii="宋体" w:hAnsi="宋体" w:eastAsia="宋体" w:cs="宋体"/>
                <w:spacing w:val="5"/>
                <w:sz w:val="21"/>
                <w:szCs w:val="21"/>
              </w:rPr>
              <w:t xml:space="preserve"> </w:t>
            </w:r>
            <w:r>
              <w:rPr>
                <w:rFonts w:ascii="宋体" w:hAnsi="宋体" w:eastAsia="宋体" w:cs="宋体"/>
                <w:spacing w:val="-5"/>
                <w:sz w:val="21"/>
                <w:szCs w:val="21"/>
              </w:rPr>
              <w:t>影像学结果说明等内容。</w:t>
            </w:r>
          </w:p>
        </w:tc>
      </w:tr>
      <w:tr w14:paraId="7F28B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441CF41E">
            <w:pPr>
              <w:rPr>
                <w:rFonts w:ascii="Arial"/>
                <w:sz w:val="21"/>
              </w:rPr>
            </w:pPr>
          </w:p>
        </w:tc>
        <w:tc>
          <w:tcPr>
            <w:tcW w:w="1560" w:type="dxa"/>
            <w:vAlign w:val="top"/>
          </w:tcPr>
          <w:p w14:paraId="789016A0">
            <w:pPr>
              <w:spacing w:before="85" w:line="219" w:lineRule="auto"/>
              <w:ind w:left="110"/>
              <w:rPr>
                <w:rFonts w:ascii="宋体" w:hAnsi="宋体" w:eastAsia="宋体" w:cs="宋体"/>
                <w:sz w:val="21"/>
                <w:szCs w:val="21"/>
              </w:rPr>
            </w:pPr>
            <w:r>
              <w:rPr>
                <w:rFonts w:ascii="宋体" w:hAnsi="宋体" w:eastAsia="宋体" w:cs="宋体"/>
                <w:spacing w:val="-4"/>
                <w:sz w:val="21"/>
                <w:szCs w:val="21"/>
              </w:rPr>
              <w:t>★药品说明书</w:t>
            </w:r>
          </w:p>
        </w:tc>
        <w:tc>
          <w:tcPr>
            <w:tcW w:w="7736" w:type="dxa"/>
            <w:vAlign w:val="top"/>
          </w:tcPr>
          <w:p w14:paraId="5594B040">
            <w:pPr>
              <w:spacing w:before="85" w:line="219" w:lineRule="auto"/>
              <w:ind w:left="113"/>
              <w:rPr>
                <w:rFonts w:ascii="宋体" w:hAnsi="宋体" w:eastAsia="宋体" w:cs="宋体"/>
                <w:sz w:val="21"/>
                <w:szCs w:val="21"/>
              </w:rPr>
            </w:pPr>
            <w:r>
              <w:rPr>
                <w:rFonts w:ascii="宋体" w:hAnsi="宋体" w:eastAsia="宋体" w:cs="宋体"/>
                <w:spacing w:val="-6"/>
                <w:sz w:val="21"/>
                <w:szCs w:val="21"/>
              </w:rPr>
              <w:t>知识库能够提供</w:t>
            </w:r>
            <w:r>
              <w:rPr>
                <w:rFonts w:ascii="宋体" w:hAnsi="宋体" w:eastAsia="宋体" w:cs="宋体"/>
                <w:spacing w:val="-24"/>
                <w:sz w:val="21"/>
                <w:szCs w:val="21"/>
              </w:rPr>
              <w:t xml:space="preserve"> </w:t>
            </w:r>
            <w:r>
              <w:rPr>
                <w:rFonts w:ascii="宋体" w:hAnsi="宋体" w:eastAsia="宋体" w:cs="宋体"/>
                <w:spacing w:val="-6"/>
                <w:sz w:val="21"/>
                <w:szCs w:val="21"/>
              </w:rPr>
              <w:t>10000</w:t>
            </w:r>
            <w:r>
              <w:rPr>
                <w:rFonts w:ascii="宋体" w:hAnsi="宋体" w:eastAsia="宋体" w:cs="宋体"/>
                <w:spacing w:val="-39"/>
                <w:sz w:val="21"/>
                <w:szCs w:val="21"/>
              </w:rPr>
              <w:t xml:space="preserve"> </w:t>
            </w:r>
            <w:r>
              <w:rPr>
                <w:rFonts w:ascii="宋体" w:hAnsi="宋体" w:eastAsia="宋体" w:cs="宋体"/>
                <w:spacing w:val="-6"/>
                <w:sz w:val="21"/>
                <w:szCs w:val="21"/>
              </w:rPr>
              <w:t>多篇药品说明书。</w:t>
            </w:r>
          </w:p>
        </w:tc>
      </w:tr>
      <w:tr w14:paraId="72D7E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042" w:type="dxa"/>
            <w:vMerge w:val="continue"/>
            <w:tcBorders>
              <w:top w:val="nil"/>
              <w:bottom w:val="nil"/>
            </w:tcBorders>
            <w:vAlign w:val="top"/>
          </w:tcPr>
          <w:p w14:paraId="2BFDDB55">
            <w:pPr>
              <w:rPr>
                <w:rFonts w:ascii="Arial"/>
                <w:sz w:val="21"/>
              </w:rPr>
            </w:pPr>
          </w:p>
        </w:tc>
        <w:tc>
          <w:tcPr>
            <w:tcW w:w="1560" w:type="dxa"/>
            <w:vAlign w:val="top"/>
          </w:tcPr>
          <w:p w14:paraId="62B392CD">
            <w:pPr>
              <w:spacing w:before="271" w:line="219" w:lineRule="auto"/>
              <w:ind w:left="126"/>
              <w:rPr>
                <w:rFonts w:ascii="宋体" w:hAnsi="宋体" w:eastAsia="宋体" w:cs="宋体"/>
                <w:sz w:val="21"/>
                <w:szCs w:val="21"/>
              </w:rPr>
            </w:pPr>
            <w:r>
              <w:rPr>
                <w:rFonts w:ascii="宋体" w:hAnsi="宋体" w:eastAsia="宋体" w:cs="宋体"/>
                <w:spacing w:val="-9"/>
                <w:sz w:val="21"/>
                <w:szCs w:val="21"/>
              </w:rPr>
              <w:t>中药方剂</w:t>
            </w:r>
          </w:p>
        </w:tc>
        <w:tc>
          <w:tcPr>
            <w:tcW w:w="7736" w:type="dxa"/>
            <w:vAlign w:val="top"/>
          </w:tcPr>
          <w:p w14:paraId="5755B9DE">
            <w:pPr>
              <w:spacing w:before="86" w:line="285" w:lineRule="auto"/>
              <w:ind w:left="113" w:right="102"/>
              <w:rPr>
                <w:rFonts w:ascii="宋体" w:hAnsi="宋体" w:eastAsia="宋体" w:cs="宋体"/>
                <w:sz w:val="21"/>
                <w:szCs w:val="21"/>
              </w:rPr>
            </w:pPr>
            <w:r>
              <w:rPr>
                <w:rFonts w:ascii="宋体" w:hAnsi="宋体" w:eastAsia="宋体" w:cs="宋体"/>
                <w:spacing w:val="-5"/>
                <w:sz w:val="21"/>
                <w:szCs w:val="21"/>
              </w:rPr>
              <w:t>知识库能够提供</w:t>
            </w:r>
            <w:r>
              <w:rPr>
                <w:rFonts w:ascii="宋体" w:hAnsi="宋体" w:eastAsia="宋体" w:cs="宋体"/>
                <w:spacing w:val="-34"/>
                <w:sz w:val="21"/>
                <w:szCs w:val="21"/>
              </w:rPr>
              <w:t xml:space="preserve"> </w:t>
            </w:r>
            <w:r>
              <w:rPr>
                <w:rFonts w:ascii="宋体" w:hAnsi="宋体" w:eastAsia="宋体" w:cs="宋体"/>
                <w:spacing w:val="-5"/>
                <w:sz w:val="21"/>
                <w:szCs w:val="21"/>
              </w:rPr>
              <w:t>9</w:t>
            </w:r>
            <w:r>
              <w:rPr>
                <w:rFonts w:ascii="宋体" w:hAnsi="宋体" w:eastAsia="宋体" w:cs="宋体"/>
                <w:spacing w:val="-42"/>
                <w:sz w:val="21"/>
                <w:szCs w:val="21"/>
              </w:rPr>
              <w:t xml:space="preserve"> </w:t>
            </w:r>
            <w:r>
              <w:rPr>
                <w:rFonts w:ascii="宋体" w:hAnsi="宋体" w:eastAsia="宋体" w:cs="宋体"/>
                <w:spacing w:val="-5"/>
                <w:sz w:val="21"/>
                <w:szCs w:val="21"/>
              </w:rPr>
              <w:t>万+中药方剂知识参考，应包含方剂名称、来源、组成、用法、主</w:t>
            </w:r>
            <w:r>
              <w:rPr>
                <w:rFonts w:ascii="宋体" w:hAnsi="宋体" w:eastAsia="宋体" w:cs="宋体"/>
                <w:sz w:val="21"/>
                <w:szCs w:val="21"/>
              </w:rPr>
              <w:t xml:space="preserve"> </w:t>
            </w:r>
            <w:r>
              <w:rPr>
                <w:rFonts w:ascii="宋体" w:hAnsi="宋体" w:eastAsia="宋体" w:cs="宋体"/>
                <w:spacing w:val="-5"/>
                <w:sz w:val="21"/>
                <w:szCs w:val="21"/>
              </w:rPr>
              <w:t>治的详细知识内容</w:t>
            </w:r>
          </w:p>
        </w:tc>
      </w:tr>
      <w:tr w14:paraId="7EF53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1042" w:type="dxa"/>
            <w:vMerge w:val="continue"/>
            <w:tcBorders>
              <w:top w:val="nil"/>
              <w:bottom w:val="nil"/>
            </w:tcBorders>
            <w:vAlign w:val="top"/>
          </w:tcPr>
          <w:p w14:paraId="5E8C1EEE">
            <w:pPr>
              <w:rPr>
                <w:rFonts w:ascii="Arial"/>
                <w:sz w:val="21"/>
              </w:rPr>
            </w:pPr>
          </w:p>
        </w:tc>
        <w:tc>
          <w:tcPr>
            <w:tcW w:w="1560" w:type="dxa"/>
            <w:vAlign w:val="top"/>
          </w:tcPr>
          <w:p w14:paraId="625735E0">
            <w:pPr>
              <w:spacing w:line="286" w:lineRule="auto"/>
              <w:rPr>
                <w:rFonts w:ascii="Arial"/>
                <w:sz w:val="21"/>
              </w:rPr>
            </w:pPr>
          </w:p>
          <w:p w14:paraId="051F3488">
            <w:pPr>
              <w:spacing w:line="287" w:lineRule="auto"/>
              <w:rPr>
                <w:rFonts w:ascii="Arial"/>
                <w:sz w:val="21"/>
              </w:rPr>
            </w:pPr>
          </w:p>
          <w:p w14:paraId="0F2AA22D">
            <w:pPr>
              <w:spacing w:before="68" w:line="314" w:lineRule="auto"/>
              <w:ind w:left="106" w:right="210"/>
              <w:rPr>
                <w:rFonts w:ascii="宋体" w:hAnsi="宋体" w:eastAsia="宋体" w:cs="宋体"/>
                <w:sz w:val="21"/>
                <w:szCs w:val="21"/>
              </w:rPr>
            </w:pPr>
            <w:r>
              <w:rPr>
                <w:rFonts w:ascii="宋体" w:hAnsi="宋体" w:eastAsia="宋体" w:cs="宋体"/>
                <w:spacing w:val="-5"/>
                <w:sz w:val="21"/>
                <w:szCs w:val="21"/>
              </w:rPr>
              <w:t>评估表及医学</w:t>
            </w:r>
            <w:r>
              <w:rPr>
                <w:rFonts w:ascii="宋体" w:hAnsi="宋体" w:eastAsia="宋体" w:cs="宋体"/>
                <w:spacing w:val="1"/>
                <w:sz w:val="21"/>
                <w:szCs w:val="21"/>
              </w:rPr>
              <w:t xml:space="preserve"> </w:t>
            </w:r>
            <w:r>
              <w:rPr>
                <w:rFonts w:ascii="宋体" w:hAnsi="宋体" w:eastAsia="宋体" w:cs="宋体"/>
                <w:spacing w:val="-5"/>
                <w:sz w:val="21"/>
                <w:szCs w:val="21"/>
              </w:rPr>
              <w:t>计算公式</w:t>
            </w:r>
          </w:p>
        </w:tc>
        <w:tc>
          <w:tcPr>
            <w:tcW w:w="7736" w:type="dxa"/>
            <w:vAlign w:val="top"/>
          </w:tcPr>
          <w:p w14:paraId="08F62C32">
            <w:pPr>
              <w:spacing w:before="86" w:line="313" w:lineRule="auto"/>
              <w:ind w:left="111" w:right="101" w:firstLine="1"/>
              <w:rPr>
                <w:rFonts w:ascii="宋体" w:hAnsi="宋体" w:eastAsia="宋体" w:cs="宋体"/>
                <w:sz w:val="21"/>
                <w:szCs w:val="21"/>
              </w:rPr>
            </w:pPr>
            <w:r>
              <w:rPr>
                <w:rFonts w:ascii="宋体" w:hAnsi="宋体" w:eastAsia="宋体" w:cs="宋体"/>
                <w:spacing w:val="-5"/>
                <w:sz w:val="21"/>
                <w:szCs w:val="21"/>
              </w:rPr>
              <w:t>知识库至少能够提供</w:t>
            </w:r>
            <w:r>
              <w:rPr>
                <w:rFonts w:ascii="宋体" w:hAnsi="宋体" w:eastAsia="宋体" w:cs="宋体"/>
                <w:spacing w:val="-28"/>
                <w:sz w:val="21"/>
                <w:szCs w:val="21"/>
              </w:rPr>
              <w:t xml:space="preserve"> </w:t>
            </w:r>
            <w:r>
              <w:rPr>
                <w:rFonts w:ascii="宋体" w:hAnsi="宋体" w:eastAsia="宋体" w:cs="宋体"/>
                <w:spacing w:val="-5"/>
                <w:sz w:val="21"/>
                <w:szCs w:val="21"/>
              </w:rPr>
              <w:t>1000</w:t>
            </w:r>
            <w:r>
              <w:rPr>
                <w:rFonts w:ascii="宋体" w:hAnsi="宋体" w:eastAsia="宋体" w:cs="宋体"/>
                <w:spacing w:val="-43"/>
                <w:sz w:val="21"/>
                <w:szCs w:val="21"/>
              </w:rPr>
              <w:t xml:space="preserve"> </w:t>
            </w:r>
            <w:r>
              <w:rPr>
                <w:rFonts w:ascii="宋体" w:hAnsi="宋体" w:eastAsia="宋体" w:cs="宋体"/>
                <w:spacing w:val="-5"/>
                <w:sz w:val="21"/>
                <w:szCs w:val="21"/>
              </w:rPr>
              <w:t>张临床常见评估表，支持根据不同勾选项，得出不同的的</w:t>
            </w:r>
            <w:r>
              <w:rPr>
                <w:rFonts w:ascii="宋体" w:hAnsi="宋体" w:eastAsia="宋体" w:cs="宋体"/>
                <w:sz w:val="21"/>
                <w:szCs w:val="21"/>
              </w:rPr>
              <w:t xml:space="preserve"> </w:t>
            </w:r>
            <w:r>
              <w:rPr>
                <w:rFonts w:ascii="宋体" w:hAnsi="宋体" w:eastAsia="宋体" w:cs="宋体"/>
                <w:spacing w:val="-5"/>
                <w:sz w:val="21"/>
                <w:szCs w:val="21"/>
              </w:rPr>
              <w:t>分值和评估结论。</w:t>
            </w:r>
          </w:p>
          <w:p w14:paraId="41F6B363">
            <w:pPr>
              <w:spacing w:before="32" w:line="218" w:lineRule="auto"/>
              <w:ind w:left="110"/>
              <w:rPr>
                <w:rFonts w:ascii="宋体" w:hAnsi="宋体" w:eastAsia="宋体" w:cs="宋体"/>
                <w:sz w:val="21"/>
                <w:szCs w:val="21"/>
              </w:rPr>
            </w:pPr>
            <w:r>
              <w:rPr>
                <w:rFonts w:ascii="宋体" w:hAnsi="宋体" w:eastAsia="宋体" w:cs="宋体"/>
                <w:spacing w:val="-4"/>
                <w:sz w:val="21"/>
                <w:szCs w:val="21"/>
              </w:rPr>
              <w:t>支持评估表打印预览、打印、以</w:t>
            </w:r>
            <w:r>
              <w:rPr>
                <w:rFonts w:ascii="宋体" w:hAnsi="宋体" w:eastAsia="宋体" w:cs="宋体"/>
                <w:spacing w:val="-52"/>
                <w:sz w:val="21"/>
                <w:szCs w:val="21"/>
              </w:rPr>
              <w:t xml:space="preserve"> </w:t>
            </w:r>
            <w:r>
              <w:rPr>
                <w:rFonts w:ascii="宋体" w:hAnsi="宋体" w:eastAsia="宋体" w:cs="宋体"/>
                <w:spacing w:val="-4"/>
                <w:sz w:val="21"/>
                <w:szCs w:val="21"/>
              </w:rPr>
              <w:t>PDF</w:t>
            </w:r>
            <w:r>
              <w:rPr>
                <w:rFonts w:ascii="宋体" w:hAnsi="宋体" w:eastAsia="宋体" w:cs="宋体"/>
                <w:spacing w:val="-49"/>
                <w:sz w:val="21"/>
                <w:szCs w:val="21"/>
              </w:rPr>
              <w:t xml:space="preserve"> </w:t>
            </w:r>
            <w:r>
              <w:rPr>
                <w:rFonts w:ascii="宋体" w:hAnsi="宋体" w:eastAsia="宋体" w:cs="宋体"/>
                <w:spacing w:val="-4"/>
                <w:sz w:val="21"/>
                <w:szCs w:val="21"/>
              </w:rPr>
              <w:t>格式下载到</w:t>
            </w:r>
            <w:r>
              <w:rPr>
                <w:rFonts w:ascii="宋体" w:hAnsi="宋体" w:eastAsia="宋体" w:cs="宋体"/>
                <w:spacing w:val="-5"/>
                <w:sz w:val="21"/>
                <w:szCs w:val="21"/>
              </w:rPr>
              <w:t>本地。</w:t>
            </w:r>
          </w:p>
          <w:p w14:paraId="31752E49">
            <w:pPr>
              <w:spacing w:before="123" w:line="285" w:lineRule="auto"/>
              <w:ind w:left="111" w:right="99" w:hanging="1"/>
              <w:rPr>
                <w:rFonts w:ascii="宋体" w:hAnsi="宋体" w:eastAsia="宋体" w:cs="宋体"/>
                <w:sz w:val="21"/>
                <w:szCs w:val="21"/>
              </w:rPr>
            </w:pPr>
            <w:r>
              <w:rPr>
                <w:rFonts w:ascii="宋体" w:hAnsi="宋体" w:eastAsia="宋体" w:cs="宋体"/>
                <w:spacing w:val="-7"/>
                <w:sz w:val="21"/>
                <w:szCs w:val="21"/>
              </w:rPr>
              <w:t>支持在同一个界面中查看该患者的所有历史评估记录。支持点击历史评估结论立即调</w:t>
            </w:r>
            <w:r>
              <w:rPr>
                <w:rFonts w:ascii="宋体" w:hAnsi="宋体" w:eastAsia="宋体" w:cs="宋体"/>
                <w:spacing w:val="4"/>
                <w:sz w:val="21"/>
                <w:szCs w:val="21"/>
              </w:rPr>
              <w:t xml:space="preserve"> </w:t>
            </w:r>
            <w:r>
              <w:rPr>
                <w:rFonts w:ascii="宋体" w:hAnsi="宋体" w:eastAsia="宋体" w:cs="宋体"/>
                <w:spacing w:val="-4"/>
                <w:sz w:val="21"/>
                <w:szCs w:val="21"/>
              </w:rPr>
              <w:t>取评估表详情，支持修改评估结果、重新评估、对历史评估记录进行作</w:t>
            </w:r>
            <w:r>
              <w:rPr>
                <w:rFonts w:ascii="宋体" w:hAnsi="宋体" w:eastAsia="宋体" w:cs="宋体"/>
                <w:spacing w:val="-5"/>
                <w:sz w:val="21"/>
                <w:szCs w:val="21"/>
              </w:rPr>
              <w:t>废处理。</w:t>
            </w:r>
          </w:p>
        </w:tc>
      </w:tr>
      <w:tr w14:paraId="106DC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1042" w:type="dxa"/>
            <w:vMerge w:val="continue"/>
            <w:tcBorders>
              <w:top w:val="nil"/>
            </w:tcBorders>
            <w:vAlign w:val="top"/>
          </w:tcPr>
          <w:p w14:paraId="3CAE4583">
            <w:pPr>
              <w:rPr>
                <w:rFonts w:ascii="Arial"/>
                <w:sz w:val="21"/>
              </w:rPr>
            </w:pPr>
          </w:p>
        </w:tc>
        <w:tc>
          <w:tcPr>
            <w:tcW w:w="1560" w:type="dxa"/>
            <w:vAlign w:val="top"/>
          </w:tcPr>
          <w:p w14:paraId="6DA3B90F">
            <w:pPr>
              <w:spacing w:line="289" w:lineRule="auto"/>
              <w:rPr>
                <w:rFonts w:ascii="Arial"/>
                <w:sz w:val="21"/>
              </w:rPr>
            </w:pPr>
          </w:p>
          <w:p w14:paraId="5E254775">
            <w:pPr>
              <w:spacing w:line="290" w:lineRule="auto"/>
              <w:rPr>
                <w:rFonts w:ascii="Arial"/>
                <w:sz w:val="21"/>
              </w:rPr>
            </w:pPr>
          </w:p>
          <w:p w14:paraId="7E289923">
            <w:pPr>
              <w:spacing w:before="68" w:line="220" w:lineRule="auto"/>
              <w:ind w:left="163"/>
              <w:rPr>
                <w:rFonts w:ascii="宋体" w:hAnsi="宋体" w:eastAsia="宋体" w:cs="宋体"/>
                <w:sz w:val="21"/>
                <w:szCs w:val="21"/>
              </w:rPr>
            </w:pPr>
            <w:r>
              <w:rPr>
                <w:rFonts w:ascii="宋体" w:hAnsi="宋体" w:eastAsia="宋体" w:cs="宋体"/>
                <w:spacing w:val="-4"/>
                <w:sz w:val="21"/>
                <w:szCs w:val="21"/>
              </w:rPr>
              <w:t>★手术知识库</w:t>
            </w:r>
          </w:p>
        </w:tc>
        <w:tc>
          <w:tcPr>
            <w:tcW w:w="7736" w:type="dxa"/>
            <w:vAlign w:val="top"/>
          </w:tcPr>
          <w:p w14:paraId="71F261B5">
            <w:pPr>
              <w:spacing w:before="193" w:line="346" w:lineRule="auto"/>
              <w:ind w:left="121" w:right="99" w:hanging="7"/>
              <w:jc w:val="both"/>
              <w:rPr>
                <w:rFonts w:ascii="宋体" w:hAnsi="宋体" w:eastAsia="宋体" w:cs="宋体"/>
                <w:sz w:val="21"/>
                <w:szCs w:val="21"/>
              </w:rPr>
            </w:pPr>
            <w:r>
              <w:rPr>
                <w:rFonts w:ascii="宋体" w:hAnsi="宋体" w:eastAsia="宋体" w:cs="宋体"/>
                <w:spacing w:val="-4"/>
                <w:sz w:val="21"/>
                <w:szCs w:val="21"/>
              </w:rPr>
              <w:t>（1）知识库提供手术操作相关知识，供医生在电子病历界面同屏查看</w:t>
            </w:r>
            <w:r>
              <w:rPr>
                <w:rFonts w:ascii="宋体" w:hAnsi="宋体" w:eastAsia="宋体" w:cs="宋体"/>
                <w:spacing w:val="-5"/>
                <w:sz w:val="21"/>
                <w:szCs w:val="21"/>
              </w:rPr>
              <w:t>，例如“移植</w:t>
            </w:r>
            <w:r>
              <w:rPr>
                <w:rFonts w:ascii="宋体" w:hAnsi="宋体" w:eastAsia="宋体" w:cs="宋体"/>
                <w:sz w:val="21"/>
                <w:szCs w:val="21"/>
              </w:rPr>
              <w:t xml:space="preserve"> </w:t>
            </w:r>
            <w:r>
              <w:rPr>
                <w:rFonts w:ascii="宋体" w:hAnsi="宋体" w:eastAsia="宋体" w:cs="宋体"/>
                <w:spacing w:val="-8"/>
                <w:sz w:val="21"/>
                <w:szCs w:val="21"/>
              </w:rPr>
              <w:t>肾切除术</w:t>
            </w:r>
            <w:r>
              <w:rPr>
                <w:rFonts w:ascii="宋体" w:hAnsi="宋体" w:eastAsia="宋体" w:cs="宋体"/>
                <w:spacing w:val="-76"/>
                <w:sz w:val="21"/>
                <w:szCs w:val="21"/>
              </w:rPr>
              <w:t xml:space="preserve"> </w:t>
            </w:r>
            <w:r>
              <w:rPr>
                <w:rFonts w:ascii="宋体" w:hAnsi="宋体" w:eastAsia="宋体" w:cs="宋体"/>
                <w:spacing w:val="-8"/>
                <w:sz w:val="21"/>
                <w:szCs w:val="21"/>
              </w:rPr>
              <w:t>”包含手术编码、适应症、术前准备、手术步骤、术后处理、手术意外的预</w:t>
            </w:r>
            <w:r>
              <w:rPr>
                <w:rFonts w:ascii="宋体" w:hAnsi="宋体" w:eastAsia="宋体" w:cs="宋体"/>
                <w:sz w:val="21"/>
                <w:szCs w:val="21"/>
              </w:rPr>
              <w:t xml:space="preserve"> </w:t>
            </w:r>
            <w:r>
              <w:rPr>
                <w:rFonts w:ascii="宋体" w:hAnsi="宋体" w:eastAsia="宋体" w:cs="宋体"/>
                <w:spacing w:val="-6"/>
                <w:sz w:val="21"/>
                <w:szCs w:val="21"/>
              </w:rPr>
              <w:t>防与处理等内容。</w:t>
            </w:r>
          </w:p>
        </w:tc>
      </w:tr>
    </w:tbl>
    <w:p w14:paraId="3EBF31C1">
      <w:pPr>
        <w:pStyle w:val="2"/>
        <w:spacing w:line="377" w:lineRule="auto"/>
      </w:pPr>
    </w:p>
    <w:p w14:paraId="70C78556">
      <w:pPr>
        <w:spacing w:before="62" w:line="209" w:lineRule="auto"/>
        <w:ind w:left="222"/>
        <w:rPr>
          <w:rFonts w:ascii="宋体" w:hAnsi="宋体" w:eastAsia="宋体" w:cs="宋体"/>
          <w:sz w:val="19"/>
          <w:szCs w:val="19"/>
        </w:rPr>
      </w:pPr>
      <w:r>
        <w:pict>
          <v:shape id="_x0000_s1033" o:spid="_x0000_s1033" style="position:absolute;left:0pt;margin-left:5.65pt;margin-top:11.8pt;height:0.75pt;width:494pt;z-index:251677696;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3"/>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3"/>
          <w:position w:val="1"/>
          <w:sz w:val="18"/>
          <w:szCs w:val="18"/>
        </w:rPr>
        <w:t xml:space="preserve">13                               </w:t>
      </w:r>
      <w:r>
        <w:rPr>
          <w:rFonts w:ascii="宋体" w:hAnsi="宋体" w:eastAsia="宋体" w:cs="宋体"/>
          <w:b/>
          <w:bCs/>
          <w:i/>
          <w:iCs/>
          <w:spacing w:val="-3"/>
          <w:sz w:val="19"/>
          <w:szCs w:val="19"/>
        </w:rPr>
        <w:t>伊犁州公共资源交易中心</w:t>
      </w:r>
    </w:p>
    <w:p w14:paraId="228ACD4C">
      <w:pPr>
        <w:spacing w:line="209" w:lineRule="auto"/>
        <w:rPr>
          <w:rFonts w:ascii="宋体" w:hAnsi="宋体" w:eastAsia="宋体" w:cs="宋体"/>
          <w:sz w:val="19"/>
          <w:szCs w:val="19"/>
        </w:rPr>
        <w:sectPr>
          <w:pgSz w:w="11905" w:h="16839"/>
          <w:pgMar w:top="1136" w:right="503" w:bottom="400" w:left="1052" w:header="854" w:footer="0" w:gutter="0"/>
          <w:cols w:space="720" w:num="1"/>
        </w:sectPr>
      </w:pPr>
    </w:p>
    <w:p w14:paraId="0963F2E8">
      <w:pPr>
        <w:spacing w:before="38"/>
      </w:pPr>
    </w:p>
    <w:tbl>
      <w:tblPr>
        <w:tblStyle w:val="5"/>
        <w:tblW w:w="103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560"/>
        <w:gridCol w:w="7736"/>
      </w:tblGrid>
      <w:tr w14:paraId="013B6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42" w:type="dxa"/>
            <w:vMerge w:val="restart"/>
            <w:tcBorders>
              <w:bottom w:val="nil"/>
            </w:tcBorders>
            <w:vAlign w:val="top"/>
          </w:tcPr>
          <w:p w14:paraId="6FA2DA34">
            <w:pPr>
              <w:rPr>
                <w:rFonts w:ascii="Arial"/>
                <w:sz w:val="21"/>
              </w:rPr>
            </w:pPr>
          </w:p>
        </w:tc>
        <w:tc>
          <w:tcPr>
            <w:tcW w:w="1560" w:type="dxa"/>
            <w:vAlign w:val="top"/>
          </w:tcPr>
          <w:p w14:paraId="373A463C">
            <w:pPr>
              <w:rPr>
                <w:rFonts w:ascii="Arial"/>
                <w:sz w:val="21"/>
              </w:rPr>
            </w:pPr>
          </w:p>
        </w:tc>
        <w:tc>
          <w:tcPr>
            <w:tcW w:w="7736" w:type="dxa"/>
            <w:vAlign w:val="top"/>
          </w:tcPr>
          <w:p w14:paraId="48C0F7E4">
            <w:pPr>
              <w:spacing w:before="187" w:line="220" w:lineRule="auto"/>
              <w:ind w:left="114"/>
              <w:rPr>
                <w:rFonts w:ascii="宋体" w:hAnsi="宋体" w:eastAsia="宋体" w:cs="宋体"/>
                <w:sz w:val="21"/>
                <w:szCs w:val="21"/>
              </w:rPr>
            </w:pPr>
            <w:r>
              <w:rPr>
                <w:rFonts w:ascii="宋体" w:hAnsi="宋体" w:eastAsia="宋体" w:cs="宋体"/>
                <w:spacing w:val="-5"/>
                <w:sz w:val="21"/>
                <w:szCs w:val="21"/>
              </w:rPr>
              <w:t>（2）知识内容标注来源出处。</w:t>
            </w:r>
          </w:p>
        </w:tc>
      </w:tr>
      <w:tr w14:paraId="08381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1042" w:type="dxa"/>
            <w:vMerge w:val="continue"/>
            <w:tcBorders>
              <w:top w:val="nil"/>
              <w:bottom w:val="nil"/>
            </w:tcBorders>
            <w:vAlign w:val="top"/>
          </w:tcPr>
          <w:p w14:paraId="4348576C">
            <w:pPr>
              <w:rPr>
                <w:rFonts w:ascii="Arial"/>
                <w:sz w:val="21"/>
              </w:rPr>
            </w:pPr>
          </w:p>
        </w:tc>
        <w:tc>
          <w:tcPr>
            <w:tcW w:w="1560" w:type="dxa"/>
            <w:vAlign w:val="top"/>
          </w:tcPr>
          <w:p w14:paraId="6EB44842">
            <w:pPr>
              <w:spacing w:line="285" w:lineRule="auto"/>
              <w:rPr>
                <w:rFonts w:ascii="Arial"/>
                <w:sz w:val="21"/>
              </w:rPr>
            </w:pPr>
          </w:p>
          <w:p w14:paraId="29EC0324">
            <w:pPr>
              <w:spacing w:line="285" w:lineRule="auto"/>
              <w:rPr>
                <w:rFonts w:ascii="Arial"/>
                <w:sz w:val="21"/>
              </w:rPr>
            </w:pPr>
          </w:p>
          <w:p w14:paraId="70A0557A">
            <w:pPr>
              <w:spacing w:before="68" w:line="220" w:lineRule="auto"/>
              <w:ind w:left="266"/>
              <w:rPr>
                <w:rFonts w:ascii="宋体" w:hAnsi="宋体" w:eastAsia="宋体" w:cs="宋体"/>
                <w:sz w:val="21"/>
                <w:szCs w:val="21"/>
              </w:rPr>
            </w:pPr>
            <w:r>
              <w:rPr>
                <w:rFonts w:ascii="宋体" w:hAnsi="宋体" w:eastAsia="宋体" w:cs="宋体"/>
                <w:spacing w:val="-5"/>
                <w:sz w:val="21"/>
                <w:szCs w:val="21"/>
              </w:rPr>
              <w:t>护理知识库</w:t>
            </w:r>
          </w:p>
        </w:tc>
        <w:tc>
          <w:tcPr>
            <w:tcW w:w="7736" w:type="dxa"/>
            <w:vAlign w:val="top"/>
          </w:tcPr>
          <w:p w14:paraId="346BFC03">
            <w:pPr>
              <w:spacing w:before="181" w:line="348" w:lineRule="auto"/>
              <w:ind w:left="109" w:right="99"/>
              <w:jc w:val="both"/>
              <w:rPr>
                <w:rFonts w:ascii="宋体" w:hAnsi="宋体" w:eastAsia="宋体" w:cs="宋体"/>
                <w:sz w:val="21"/>
                <w:szCs w:val="21"/>
              </w:rPr>
            </w:pPr>
            <w:r>
              <w:rPr>
                <w:rFonts w:ascii="宋体" w:hAnsi="宋体" w:eastAsia="宋体" w:cs="宋体"/>
                <w:spacing w:val="-4"/>
                <w:sz w:val="21"/>
                <w:szCs w:val="21"/>
              </w:rPr>
              <w:t>护理知识库能够提供护理、治疗相关知识,包含操作前准备、操作程序及方法、</w:t>
            </w:r>
            <w:r>
              <w:rPr>
                <w:rFonts w:ascii="宋体" w:hAnsi="宋体" w:eastAsia="宋体" w:cs="宋体"/>
                <w:spacing w:val="-5"/>
                <w:sz w:val="21"/>
                <w:szCs w:val="21"/>
              </w:rPr>
              <w:t>适应</w:t>
            </w:r>
            <w:r>
              <w:rPr>
                <w:rFonts w:ascii="宋体" w:hAnsi="宋体" w:eastAsia="宋体" w:cs="宋体"/>
                <w:sz w:val="21"/>
                <w:szCs w:val="21"/>
              </w:rPr>
              <w:t xml:space="preserve"> </w:t>
            </w:r>
            <w:r>
              <w:rPr>
                <w:rFonts w:ascii="宋体" w:hAnsi="宋体" w:eastAsia="宋体" w:cs="宋体"/>
                <w:spacing w:val="-7"/>
                <w:sz w:val="21"/>
                <w:szCs w:val="21"/>
              </w:rPr>
              <w:t>症、禁忌症、注意事项、患者健康指导、护理措施等，为医护人员继续学习提供丰富</w:t>
            </w:r>
            <w:r>
              <w:rPr>
                <w:rFonts w:ascii="宋体" w:hAnsi="宋体" w:eastAsia="宋体" w:cs="宋体"/>
                <w:spacing w:val="5"/>
                <w:sz w:val="21"/>
                <w:szCs w:val="21"/>
              </w:rPr>
              <w:t xml:space="preserve"> </w:t>
            </w:r>
            <w:r>
              <w:rPr>
                <w:rFonts w:ascii="宋体" w:hAnsi="宋体" w:eastAsia="宋体" w:cs="宋体"/>
                <w:spacing w:val="-5"/>
                <w:sz w:val="21"/>
                <w:szCs w:val="21"/>
              </w:rPr>
              <w:t>的素材。</w:t>
            </w:r>
          </w:p>
        </w:tc>
      </w:tr>
      <w:tr w14:paraId="20761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5" w:hRule="atLeast"/>
        </w:trPr>
        <w:tc>
          <w:tcPr>
            <w:tcW w:w="1042" w:type="dxa"/>
            <w:vMerge w:val="continue"/>
            <w:tcBorders>
              <w:top w:val="nil"/>
              <w:bottom w:val="nil"/>
            </w:tcBorders>
            <w:vAlign w:val="top"/>
          </w:tcPr>
          <w:p w14:paraId="75A4E272">
            <w:pPr>
              <w:rPr>
                <w:rFonts w:ascii="Arial"/>
                <w:sz w:val="21"/>
              </w:rPr>
            </w:pPr>
          </w:p>
        </w:tc>
        <w:tc>
          <w:tcPr>
            <w:tcW w:w="1560" w:type="dxa"/>
            <w:vAlign w:val="top"/>
          </w:tcPr>
          <w:p w14:paraId="7900FF60">
            <w:pPr>
              <w:spacing w:line="266" w:lineRule="auto"/>
              <w:rPr>
                <w:rFonts w:ascii="Arial"/>
                <w:sz w:val="21"/>
              </w:rPr>
            </w:pPr>
          </w:p>
          <w:p w14:paraId="6DF797DC">
            <w:pPr>
              <w:spacing w:line="266" w:lineRule="auto"/>
              <w:rPr>
                <w:rFonts w:ascii="Arial"/>
                <w:sz w:val="21"/>
              </w:rPr>
            </w:pPr>
          </w:p>
          <w:p w14:paraId="3BAB5DC6">
            <w:pPr>
              <w:spacing w:line="266" w:lineRule="auto"/>
              <w:rPr>
                <w:rFonts w:ascii="Arial"/>
                <w:sz w:val="21"/>
              </w:rPr>
            </w:pPr>
          </w:p>
          <w:p w14:paraId="3EB102CF">
            <w:pPr>
              <w:spacing w:line="266" w:lineRule="auto"/>
              <w:rPr>
                <w:rFonts w:ascii="Arial"/>
                <w:sz w:val="21"/>
              </w:rPr>
            </w:pPr>
          </w:p>
          <w:p w14:paraId="728B23C6">
            <w:pPr>
              <w:spacing w:line="266" w:lineRule="auto"/>
              <w:rPr>
                <w:rFonts w:ascii="Arial"/>
                <w:sz w:val="21"/>
              </w:rPr>
            </w:pPr>
          </w:p>
          <w:p w14:paraId="290785C0">
            <w:pPr>
              <w:spacing w:line="266" w:lineRule="auto"/>
              <w:rPr>
                <w:rFonts w:ascii="Arial"/>
                <w:sz w:val="21"/>
              </w:rPr>
            </w:pPr>
          </w:p>
          <w:p w14:paraId="28EA5A07">
            <w:pPr>
              <w:spacing w:line="266" w:lineRule="auto"/>
              <w:rPr>
                <w:rFonts w:ascii="Arial"/>
                <w:sz w:val="21"/>
              </w:rPr>
            </w:pPr>
          </w:p>
          <w:p w14:paraId="5CBFBDAB">
            <w:pPr>
              <w:spacing w:before="68" w:line="220" w:lineRule="auto"/>
              <w:ind w:left="364"/>
              <w:rPr>
                <w:rFonts w:ascii="宋体" w:hAnsi="宋体" w:eastAsia="宋体" w:cs="宋体"/>
                <w:sz w:val="21"/>
                <w:szCs w:val="21"/>
              </w:rPr>
            </w:pPr>
            <w:r>
              <w:rPr>
                <w:rFonts w:ascii="宋体" w:hAnsi="宋体" w:eastAsia="宋体" w:cs="宋体"/>
                <w:spacing w:val="-3"/>
                <w:sz w:val="21"/>
                <w:szCs w:val="21"/>
              </w:rPr>
              <w:t>知识维护</w:t>
            </w:r>
          </w:p>
        </w:tc>
        <w:tc>
          <w:tcPr>
            <w:tcW w:w="7736" w:type="dxa"/>
            <w:vAlign w:val="top"/>
          </w:tcPr>
          <w:p w14:paraId="6415EAAE">
            <w:pPr>
              <w:spacing w:before="78" w:line="220" w:lineRule="auto"/>
              <w:ind w:left="110"/>
              <w:rPr>
                <w:rFonts w:ascii="宋体" w:hAnsi="宋体" w:eastAsia="宋体" w:cs="宋体"/>
                <w:sz w:val="21"/>
                <w:szCs w:val="21"/>
              </w:rPr>
            </w:pPr>
            <w:r>
              <w:rPr>
                <w:rFonts w:ascii="宋体" w:hAnsi="宋体" w:eastAsia="宋体" w:cs="宋体"/>
                <w:spacing w:val="-4"/>
                <w:sz w:val="21"/>
                <w:szCs w:val="21"/>
              </w:rPr>
              <w:t>支持医院自行知识维护，至少应包含：</w:t>
            </w:r>
          </w:p>
          <w:p w14:paraId="32EE8F63">
            <w:pPr>
              <w:spacing w:before="122" w:line="319" w:lineRule="auto"/>
              <w:ind w:left="109" w:right="95" w:firstLine="15"/>
              <w:jc w:val="both"/>
              <w:rPr>
                <w:rFonts w:ascii="宋体" w:hAnsi="宋体" w:eastAsia="宋体" w:cs="宋体"/>
                <w:sz w:val="21"/>
                <w:szCs w:val="21"/>
              </w:rPr>
            </w:pPr>
            <w:r>
              <w:rPr>
                <w:rFonts w:ascii="宋体" w:hAnsi="宋体" w:eastAsia="宋体" w:cs="宋体"/>
                <w:spacing w:val="-2"/>
                <w:sz w:val="21"/>
                <w:szCs w:val="21"/>
              </w:rPr>
              <w:t>1.支持的知识类型：文献、评估表、疾病详情、患者指导、处置建议、用药建议、</w:t>
            </w:r>
            <w:r>
              <w:rPr>
                <w:rFonts w:ascii="宋体" w:hAnsi="宋体" w:eastAsia="宋体" w:cs="宋体"/>
                <w:spacing w:val="18"/>
                <w:sz w:val="21"/>
                <w:szCs w:val="21"/>
              </w:rPr>
              <w:t xml:space="preserve"> </w:t>
            </w:r>
            <w:r>
              <w:rPr>
                <w:rFonts w:ascii="宋体" w:hAnsi="宋体" w:eastAsia="宋体" w:cs="宋体"/>
                <w:spacing w:val="-1"/>
                <w:sz w:val="21"/>
                <w:szCs w:val="21"/>
              </w:rPr>
              <w:t>检查建议、药品说明书、出院指导、检验检查、护理说</w:t>
            </w:r>
            <w:r>
              <w:rPr>
                <w:rFonts w:ascii="宋体" w:hAnsi="宋体" w:eastAsia="宋体" w:cs="宋体"/>
                <w:spacing w:val="-2"/>
                <w:sz w:val="21"/>
                <w:szCs w:val="21"/>
              </w:rPr>
              <w:t>明、手术说明等内容的自行</w:t>
            </w:r>
            <w:r>
              <w:rPr>
                <w:rFonts w:ascii="宋体" w:hAnsi="宋体" w:eastAsia="宋体" w:cs="宋体"/>
                <w:sz w:val="21"/>
                <w:szCs w:val="21"/>
              </w:rPr>
              <w:t xml:space="preserve"> </w:t>
            </w:r>
            <w:r>
              <w:rPr>
                <w:rFonts w:ascii="宋体" w:hAnsi="宋体" w:eastAsia="宋体" w:cs="宋体"/>
                <w:spacing w:val="-9"/>
                <w:sz w:val="21"/>
                <w:szCs w:val="21"/>
              </w:rPr>
              <w:t>维护。</w:t>
            </w:r>
          </w:p>
          <w:p w14:paraId="0EE32DE1">
            <w:pPr>
              <w:spacing w:before="29" w:line="314" w:lineRule="auto"/>
              <w:ind w:left="110" w:right="103"/>
              <w:rPr>
                <w:rFonts w:ascii="宋体" w:hAnsi="宋体" w:eastAsia="宋体" w:cs="宋体"/>
                <w:sz w:val="21"/>
                <w:szCs w:val="21"/>
              </w:rPr>
            </w:pPr>
            <w:r>
              <w:rPr>
                <w:rFonts w:ascii="宋体" w:hAnsi="宋体" w:eastAsia="宋体" w:cs="宋体"/>
                <w:spacing w:val="-1"/>
                <w:sz w:val="21"/>
                <w:szCs w:val="21"/>
              </w:rPr>
              <w:t>2.可查看各类知识的日志，支持通过操作用户、操作</w:t>
            </w:r>
            <w:r>
              <w:rPr>
                <w:rFonts w:ascii="宋体" w:hAnsi="宋体" w:eastAsia="宋体" w:cs="宋体"/>
                <w:spacing w:val="-2"/>
                <w:sz w:val="21"/>
                <w:szCs w:val="21"/>
              </w:rPr>
              <w:t>类型、标题、操作时间等参数</w:t>
            </w:r>
            <w:r>
              <w:rPr>
                <w:rFonts w:ascii="宋体" w:hAnsi="宋体" w:eastAsia="宋体" w:cs="宋体"/>
                <w:sz w:val="21"/>
                <w:szCs w:val="21"/>
              </w:rPr>
              <w:t xml:space="preserve"> </w:t>
            </w:r>
            <w:r>
              <w:rPr>
                <w:rFonts w:ascii="宋体" w:hAnsi="宋体" w:eastAsia="宋体" w:cs="宋体"/>
                <w:spacing w:val="-2"/>
                <w:sz w:val="21"/>
                <w:szCs w:val="21"/>
              </w:rPr>
              <w:t>筛选日志记录。支持知识更新后进行即刻数据同步。</w:t>
            </w:r>
          </w:p>
          <w:p w14:paraId="61D7AEFF">
            <w:pPr>
              <w:spacing w:before="28" w:line="319" w:lineRule="auto"/>
              <w:ind w:left="108" w:right="103" w:firstLine="5"/>
              <w:rPr>
                <w:rFonts w:ascii="宋体" w:hAnsi="宋体" w:eastAsia="宋体" w:cs="宋体"/>
                <w:sz w:val="21"/>
                <w:szCs w:val="21"/>
              </w:rPr>
            </w:pPr>
            <w:r>
              <w:rPr>
                <w:rFonts w:ascii="宋体" w:hAnsi="宋体" w:eastAsia="宋体" w:cs="宋体"/>
                <w:spacing w:val="-1"/>
                <w:sz w:val="21"/>
                <w:szCs w:val="21"/>
              </w:rPr>
              <w:t>3.知识编辑：支持关联多个诊断，可标注关键词</w:t>
            </w:r>
            <w:r>
              <w:rPr>
                <w:rFonts w:ascii="宋体" w:hAnsi="宋体" w:eastAsia="宋体" w:cs="宋体"/>
                <w:spacing w:val="-2"/>
                <w:sz w:val="21"/>
                <w:szCs w:val="21"/>
              </w:rPr>
              <w:t>、文章摘要。可建立多级目录，对</w:t>
            </w:r>
            <w:r>
              <w:rPr>
                <w:rFonts w:ascii="宋体" w:hAnsi="宋体" w:eastAsia="宋体" w:cs="宋体"/>
                <w:sz w:val="21"/>
                <w:szCs w:val="21"/>
              </w:rPr>
              <w:t xml:space="preserve"> 正文内容支持图文混合编辑。支持上传图片、PDF</w:t>
            </w:r>
            <w:r>
              <w:rPr>
                <w:rFonts w:ascii="宋体" w:hAnsi="宋体" w:eastAsia="宋体" w:cs="宋体"/>
                <w:spacing w:val="-42"/>
                <w:sz w:val="21"/>
                <w:szCs w:val="21"/>
              </w:rPr>
              <w:t xml:space="preserve"> </w:t>
            </w:r>
            <w:r>
              <w:rPr>
                <w:rFonts w:ascii="宋体" w:hAnsi="宋体" w:eastAsia="宋体" w:cs="宋体"/>
                <w:sz w:val="21"/>
                <w:szCs w:val="21"/>
              </w:rPr>
              <w:t>文档。支持</w:t>
            </w:r>
            <w:r>
              <w:rPr>
                <w:rFonts w:ascii="宋体" w:hAnsi="宋体" w:eastAsia="宋体" w:cs="宋体"/>
                <w:spacing w:val="-1"/>
                <w:sz w:val="21"/>
                <w:szCs w:val="21"/>
              </w:rPr>
              <w:t>备注多个知识来源。</w:t>
            </w:r>
            <w:r>
              <w:rPr>
                <w:rFonts w:ascii="宋体" w:hAnsi="宋体" w:eastAsia="宋体" w:cs="宋体"/>
                <w:sz w:val="21"/>
                <w:szCs w:val="21"/>
              </w:rPr>
              <w:t xml:space="preserve"> </w:t>
            </w:r>
            <w:r>
              <w:rPr>
                <w:rFonts w:ascii="宋体" w:hAnsi="宋体" w:eastAsia="宋体" w:cs="宋体"/>
                <w:spacing w:val="-2"/>
                <w:sz w:val="21"/>
                <w:szCs w:val="21"/>
              </w:rPr>
              <w:t>4.预览：支持对新编辑的知识内容进行效果预览。</w:t>
            </w:r>
          </w:p>
          <w:p w14:paraId="11921EA7">
            <w:pPr>
              <w:spacing w:before="31" w:line="287" w:lineRule="auto"/>
              <w:ind w:left="110" w:right="103" w:firstLine="2"/>
              <w:rPr>
                <w:rFonts w:ascii="宋体" w:hAnsi="宋体" w:eastAsia="宋体" w:cs="宋体"/>
                <w:sz w:val="21"/>
                <w:szCs w:val="21"/>
              </w:rPr>
            </w:pPr>
            <w:r>
              <w:rPr>
                <w:rFonts w:ascii="宋体" w:hAnsi="宋体" w:eastAsia="宋体" w:cs="宋体"/>
                <w:spacing w:val="-1"/>
                <w:sz w:val="21"/>
                <w:szCs w:val="21"/>
              </w:rPr>
              <w:t>5.知识管理：支持通过知识标题、关联检索、知</w:t>
            </w:r>
            <w:r>
              <w:rPr>
                <w:rFonts w:ascii="宋体" w:hAnsi="宋体" w:eastAsia="宋体" w:cs="宋体"/>
                <w:spacing w:val="-2"/>
                <w:sz w:val="21"/>
                <w:szCs w:val="21"/>
              </w:rPr>
              <w:t>识状态、知识来源、创建人、审核</w:t>
            </w:r>
            <w:r>
              <w:rPr>
                <w:rFonts w:ascii="宋体" w:hAnsi="宋体" w:eastAsia="宋体" w:cs="宋体"/>
                <w:sz w:val="21"/>
                <w:szCs w:val="21"/>
              </w:rPr>
              <w:t xml:space="preserve"> </w:t>
            </w:r>
            <w:r>
              <w:rPr>
                <w:rFonts w:ascii="宋体" w:hAnsi="宋体" w:eastAsia="宋体" w:cs="宋体"/>
                <w:spacing w:val="-3"/>
                <w:sz w:val="21"/>
                <w:szCs w:val="21"/>
              </w:rPr>
              <w:t>人、创建时间、操作时间进行知识检索。</w:t>
            </w:r>
          </w:p>
        </w:tc>
      </w:tr>
      <w:tr w14:paraId="09245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1042" w:type="dxa"/>
            <w:vMerge w:val="continue"/>
            <w:tcBorders>
              <w:top w:val="nil"/>
              <w:bottom w:val="nil"/>
            </w:tcBorders>
            <w:vAlign w:val="top"/>
          </w:tcPr>
          <w:p w14:paraId="5E48EA9F">
            <w:pPr>
              <w:rPr>
                <w:rFonts w:ascii="Arial"/>
                <w:sz w:val="21"/>
              </w:rPr>
            </w:pPr>
          </w:p>
        </w:tc>
        <w:tc>
          <w:tcPr>
            <w:tcW w:w="1560" w:type="dxa"/>
            <w:vAlign w:val="top"/>
          </w:tcPr>
          <w:p w14:paraId="5CB198DF">
            <w:pPr>
              <w:spacing w:line="382" w:lineRule="auto"/>
              <w:rPr>
                <w:rFonts w:ascii="Arial"/>
                <w:sz w:val="21"/>
              </w:rPr>
            </w:pPr>
          </w:p>
          <w:p w14:paraId="06E032A0">
            <w:pPr>
              <w:spacing w:before="69" w:line="220" w:lineRule="auto"/>
              <w:ind w:left="269"/>
              <w:rPr>
                <w:rFonts w:ascii="宋体" w:hAnsi="宋体" w:eastAsia="宋体" w:cs="宋体"/>
                <w:sz w:val="21"/>
                <w:szCs w:val="21"/>
              </w:rPr>
            </w:pPr>
            <w:r>
              <w:rPr>
                <w:rFonts w:ascii="宋体" w:hAnsi="宋体" w:eastAsia="宋体" w:cs="宋体"/>
                <w:spacing w:val="-5"/>
                <w:sz w:val="21"/>
                <w:szCs w:val="21"/>
              </w:rPr>
              <w:t>知识库更新</w:t>
            </w:r>
          </w:p>
        </w:tc>
        <w:tc>
          <w:tcPr>
            <w:tcW w:w="7736" w:type="dxa"/>
            <w:vAlign w:val="top"/>
          </w:tcPr>
          <w:p w14:paraId="563EAB0E">
            <w:pPr>
              <w:spacing w:before="79" w:line="301" w:lineRule="auto"/>
              <w:ind w:left="118" w:right="99" w:hanging="9"/>
              <w:jc w:val="both"/>
              <w:rPr>
                <w:rFonts w:ascii="宋体" w:hAnsi="宋体" w:eastAsia="宋体" w:cs="宋体"/>
                <w:sz w:val="21"/>
                <w:szCs w:val="21"/>
              </w:rPr>
            </w:pPr>
            <w:r>
              <w:rPr>
                <w:rFonts w:ascii="宋体" w:hAnsi="宋体" w:eastAsia="宋体" w:cs="宋体"/>
                <w:spacing w:val="-7"/>
                <w:sz w:val="21"/>
                <w:szCs w:val="21"/>
              </w:rPr>
              <w:t>每年不少于</w:t>
            </w:r>
            <w:r>
              <w:rPr>
                <w:rFonts w:ascii="宋体" w:hAnsi="宋体" w:eastAsia="宋体" w:cs="宋体"/>
                <w:spacing w:val="-47"/>
                <w:sz w:val="21"/>
                <w:szCs w:val="21"/>
              </w:rPr>
              <w:t xml:space="preserve"> </w:t>
            </w:r>
            <w:r>
              <w:rPr>
                <w:rFonts w:ascii="宋体" w:hAnsi="宋体" w:eastAsia="宋体" w:cs="宋体"/>
                <w:spacing w:val="-7"/>
                <w:sz w:val="21"/>
                <w:szCs w:val="21"/>
              </w:rPr>
              <w:t>2</w:t>
            </w:r>
            <w:r>
              <w:rPr>
                <w:rFonts w:ascii="宋体" w:hAnsi="宋体" w:eastAsia="宋体" w:cs="宋体"/>
                <w:spacing w:val="-42"/>
                <w:sz w:val="21"/>
                <w:szCs w:val="21"/>
              </w:rPr>
              <w:t xml:space="preserve"> </w:t>
            </w:r>
            <w:r>
              <w:rPr>
                <w:rFonts w:ascii="宋体" w:hAnsi="宋体" w:eastAsia="宋体" w:cs="宋体"/>
                <w:spacing w:val="-7"/>
                <w:sz w:val="21"/>
                <w:szCs w:val="21"/>
              </w:rPr>
              <w:t>次更新，与权威期刊、诊疗指南（包括不限于</w:t>
            </w:r>
            <w:r>
              <w:rPr>
                <w:rFonts w:ascii="宋体" w:hAnsi="宋体" w:eastAsia="宋体" w:cs="宋体"/>
                <w:spacing w:val="-8"/>
                <w:sz w:val="21"/>
                <w:szCs w:val="21"/>
              </w:rPr>
              <w:t>：综合性医药卫生、预防</w:t>
            </w:r>
            <w:r>
              <w:rPr>
                <w:rFonts w:ascii="宋体" w:hAnsi="宋体" w:eastAsia="宋体" w:cs="宋体"/>
                <w:sz w:val="21"/>
                <w:szCs w:val="21"/>
              </w:rPr>
              <w:t xml:space="preserve"> </w:t>
            </w:r>
            <w:r>
              <w:rPr>
                <w:rFonts w:ascii="宋体" w:hAnsi="宋体" w:eastAsia="宋体" w:cs="宋体"/>
                <w:spacing w:val="-4"/>
                <w:sz w:val="21"/>
                <w:szCs w:val="21"/>
              </w:rPr>
              <w:t>医学、卫生学、中国医学、基础医学、临床医学/特</w:t>
            </w:r>
            <w:r>
              <w:rPr>
                <w:rFonts w:ascii="宋体" w:hAnsi="宋体" w:eastAsia="宋体" w:cs="宋体"/>
                <w:spacing w:val="-5"/>
                <w:sz w:val="21"/>
                <w:szCs w:val="21"/>
              </w:rPr>
              <w:t>种医学、药学等）保持内容的实</w:t>
            </w:r>
            <w:r>
              <w:rPr>
                <w:rFonts w:ascii="宋体" w:hAnsi="宋体" w:eastAsia="宋体" w:cs="宋体"/>
                <w:sz w:val="21"/>
                <w:szCs w:val="21"/>
              </w:rPr>
              <w:t xml:space="preserve"> </w:t>
            </w:r>
            <w:r>
              <w:rPr>
                <w:rFonts w:ascii="宋体" w:hAnsi="宋体" w:eastAsia="宋体" w:cs="宋体"/>
                <w:spacing w:val="-7"/>
                <w:sz w:val="21"/>
                <w:szCs w:val="21"/>
              </w:rPr>
              <w:t>时更新。</w:t>
            </w:r>
          </w:p>
        </w:tc>
      </w:tr>
      <w:tr w14:paraId="0C64E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bottom w:val="nil"/>
            </w:tcBorders>
            <w:vAlign w:val="top"/>
          </w:tcPr>
          <w:p w14:paraId="1951B1AD">
            <w:pPr>
              <w:rPr>
                <w:rFonts w:ascii="Arial"/>
                <w:sz w:val="21"/>
              </w:rPr>
            </w:pPr>
          </w:p>
        </w:tc>
        <w:tc>
          <w:tcPr>
            <w:tcW w:w="1560" w:type="dxa"/>
            <w:vAlign w:val="top"/>
          </w:tcPr>
          <w:p w14:paraId="4C4EA543">
            <w:pPr>
              <w:spacing w:before="81" w:line="287" w:lineRule="auto"/>
              <w:ind w:left="679" w:right="147" w:hanging="529"/>
              <w:rPr>
                <w:rFonts w:ascii="宋体" w:hAnsi="宋体" w:eastAsia="宋体" w:cs="宋体"/>
                <w:sz w:val="21"/>
                <w:szCs w:val="21"/>
              </w:rPr>
            </w:pPr>
            <w:r>
              <w:rPr>
                <w:rFonts w:ascii="宋体" w:hAnsi="宋体" w:eastAsia="宋体" w:cs="宋体"/>
                <w:spacing w:val="-2"/>
                <w:sz w:val="21"/>
                <w:szCs w:val="21"/>
              </w:rPr>
              <w:t>检验合理性规</w:t>
            </w:r>
            <w:r>
              <w:rPr>
                <w:rFonts w:ascii="宋体" w:hAnsi="宋体" w:eastAsia="宋体" w:cs="宋体"/>
                <w:spacing w:val="2"/>
                <w:sz w:val="21"/>
                <w:szCs w:val="21"/>
              </w:rPr>
              <w:t xml:space="preserve"> </w:t>
            </w:r>
            <w:r>
              <w:rPr>
                <w:rFonts w:ascii="宋体" w:hAnsi="宋体" w:eastAsia="宋体" w:cs="宋体"/>
                <w:sz w:val="21"/>
                <w:szCs w:val="21"/>
              </w:rPr>
              <w:t>则</w:t>
            </w:r>
          </w:p>
        </w:tc>
        <w:tc>
          <w:tcPr>
            <w:tcW w:w="7736" w:type="dxa"/>
            <w:vAlign w:val="top"/>
          </w:tcPr>
          <w:p w14:paraId="4452B4AB">
            <w:pPr>
              <w:spacing w:before="81" w:line="287" w:lineRule="auto"/>
              <w:ind w:left="110" w:right="170"/>
              <w:rPr>
                <w:rFonts w:ascii="宋体" w:hAnsi="宋体" w:eastAsia="宋体" w:cs="宋体"/>
                <w:sz w:val="21"/>
                <w:szCs w:val="21"/>
              </w:rPr>
            </w:pPr>
            <w:r>
              <w:rPr>
                <w:rFonts w:ascii="宋体" w:hAnsi="宋体" w:eastAsia="宋体" w:cs="宋体"/>
                <w:sz w:val="21"/>
                <w:szCs w:val="21"/>
              </w:rPr>
              <w:t>支持医院维护与患者症状、临床表现、诊断、检查/检验</w:t>
            </w:r>
            <w:r>
              <w:rPr>
                <w:rFonts w:ascii="宋体" w:hAnsi="宋体" w:eastAsia="宋体" w:cs="宋体"/>
                <w:spacing w:val="-1"/>
                <w:sz w:val="21"/>
                <w:szCs w:val="21"/>
              </w:rPr>
              <w:t>结果、手术、性别、年龄</w:t>
            </w:r>
            <w:r>
              <w:rPr>
                <w:rFonts w:ascii="宋体" w:hAnsi="宋体" w:eastAsia="宋体" w:cs="宋体"/>
                <w:sz w:val="21"/>
                <w:szCs w:val="21"/>
              </w:rPr>
              <w:t xml:space="preserve"> </w:t>
            </w:r>
            <w:r>
              <w:rPr>
                <w:rFonts w:ascii="宋体" w:hAnsi="宋体" w:eastAsia="宋体" w:cs="宋体"/>
                <w:spacing w:val="-3"/>
                <w:sz w:val="21"/>
                <w:szCs w:val="21"/>
              </w:rPr>
              <w:t>等情况相关的检验合理性规则。</w:t>
            </w:r>
          </w:p>
        </w:tc>
      </w:tr>
      <w:tr w14:paraId="4CBC9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trPr>
        <w:tc>
          <w:tcPr>
            <w:tcW w:w="1042" w:type="dxa"/>
            <w:vMerge w:val="continue"/>
            <w:tcBorders>
              <w:top w:val="nil"/>
              <w:bottom w:val="nil"/>
            </w:tcBorders>
            <w:vAlign w:val="top"/>
          </w:tcPr>
          <w:p w14:paraId="6BBFE492">
            <w:pPr>
              <w:rPr>
                <w:rFonts w:ascii="Arial"/>
                <w:sz w:val="21"/>
              </w:rPr>
            </w:pPr>
          </w:p>
        </w:tc>
        <w:tc>
          <w:tcPr>
            <w:tcW w:w="1560" w:type="dxa"/>
            <w:vAlign w:val="top"/>
          </w:tcPr>
          <w:p w14:paraId="2BE90D25">
            <w:pPr>
              <w:spacing w:line="383" w:lineRule="auto"/>
              <w:rPr>
                <w:rFonts w:ascii="Arial"/>
                <w:sz w:val="21"/>
              </w:rPr>
            </w:pPr>
          </w:p>
          <w:p w14:paraId="78573C5C">
            <w:pPr>
              <w:spacing w:before="69" w:line="315" w:lineRule="auto"/>
              <w:ind w:left="679" w:right="147" w:hanging="529"/>
              <w:rPr>
                <w:rFonts w:ascii="宋体" w:hAnsi="宋体" w:eastAsia="宋体" w:cs="宋体"/>
                <w:sz w:val="21"/>
                <w:szCs w:val="21"/>
              </w:rPr>
            </w:pPr>
            <w:r>
              <w:rPr>
                <w:rFonts w:ascii="宋体" w:hAnsi="宋体" w:eastAsia="宋体" w:cs="宋体"/>
                <w:spacing w:val="-2"/>
                <w:sz w:val="21"/>
                <w:szCs w:val="21"/>
              </w:rPr>
              <w:t>检查合理性规</w:t>
            </w:r>
            <w:r>
              <w:rPr>
                <w:rFonts w:ascii="宋体" w:hAnsi="宋体" w:eastAsia="宋体" w:cs="宋体"/>
                <w:spacing w:val="2"/>
                <w:sz w:val="21"/>
                <w:szCs w:val="21"/>
              </w:rPr>
              <w:t xml:space="preserve"> </w:t>
            </w:r>
            <w:r>
              <w:rPr>
                <w:rFonts w:ascii="宋体" w:hAnsi="宋体" w:eastAsia="宋体" w:cs="宋体"/>
                <w:sz w:val="21"/>
                <w:szCs w:val="21"/>
              </w:rPr>
              <w:t>则</w:t>
            </w:r>
          </w:p>
        </w:tc>
        <w:tc>
          <w:tcPr>
            <w:tcW w:w="7736" w:type="dxa"/>
            <w:vAlign w:val="top"/>
          </w:tcPr>
          <w:p w14:paraId="4D00DD41">
            <w:pPr>
              <w:spacing w:before="82" w:line="307" w:lineRule="auto"/>
              <w:ind w:left="109" w:right="170"/>
              <w:rPr>
                <w:rFonts w:ascii="宋体" w:hAnsi="宋体" w:eastAsia="宋体" w:cs="宋体"/>
                <w:sz w:val="21"/>
                <w:szCs w:val="21"/>
              </w:rPr>
            </w:pPr>
            <w:r>
              <w:rPr>
                <w:rFonts w:ascii="宋体" w:hAnsi="宋体" w:eastAsia="宋体" w:cs="宋体"/>
                <w:sz w:val="21"/>
                <w:szCs w:val="21"/>
              </w:rPr>
              <w:t>支持医院根据（门/急诊、住院）检查字典，维护与患者</w:t>
            </w:r>
            <w:r>
              <w:rPr>
                <w:rFonts w:ascii="宋体" w:hAnsi="宋体" w:eastAsia="宋体" w:cs="宋体"/>
                <w:spacing w:val="-1"/>
                <w:sz w:val="21"/>
                <w:szCs w:val="21"/>
              </w:rPr>
              <w:t>症状、临床表现、诊断、</w:t>
            </w:r>
            <w:r>
              <w:rPr>
                <w:rFonts w:ascii="宋体" w:hAnsi="宋体" w:eastAsia="宋体" w:cs="宋体"/>
                <w:sz w:val="21"/>
                <w:szCs w:val="21"/>
              </w:rPr>
              <w:t xml:space="preserve"> 检查/检验结果、手术、性别、年龄相关的检查合理性规则</w:t>
            </w:r>
            <w:r>
              <w:rPr>
                <w:rFonts w:ascii="宋体" w:hAnsi="宋体" w:eastAsia="宋体" w:cs="宋体"/>
                <w:spacing w:val="-1"/>
                <w:sz w:val="21"/>
                <w:szCs w:val="21"/>
              </w:rPr>
              <w:t>。例如患者的超声心动</w:t>
            </w:r>
            <w:r>
              <w:rPr>
                <w:rFonts w:ascii="宋体" w:hAnsi="宋体" w:eastAsia="宋体" w:cs="宋体"/>
                <w:sz w:val="21"/>
                <w:szCs w:val="21"/>
              </w:rPr>
              <w:t xml:space="preserve"> 图报告提示：LVEF&lt;=35%，此时医生开立乙状结肠镜检查申</w:t>
            </w:r>
            <w:r>
              <w:rPr>
                <w:rFonts w:ascii="宋体" w:hAnsi="宋体" w:eastAsia="宋体" w:cs="宋体"/>
                <w:spacing w:val="-1"/>
                <w:sz w:val="21"/>
                <w:szCs w:val="21"/>
              </w:rPr>
              <w:t>请时，系统自动弹窗提</w:t>
            </w:r>
            <w:r>
              <w:rPr>
                <w:rFonts w:ascii="宋体" w:hAnsi="宋体" w:eastAsia="宋体" w:cs="宋体"/>
                <w:sz w:val="21"/>
                <w:szCs w:val="21"/>
              </w:rPr>
              <w:t xml:space="preserve"> </w:t>
            </w:r>
            <w:r>
              <w:rPr>
                <w:rFonts w:ascii="宋体" w:hAnsi="宋体" w:eastAsia="宋体" w:cs="宋体"/>
                <w:spacing w:val="-4"/>
                <w:sz w:val="21"/>
                <w:szCs w:val="21"/>
              </w:rPr>
              <w:t>醒患者存在临床禁忌。</w:t>
            </w:r>
          </w:p>
        </w:tc>
      </w:tr>
      <w:tr w14:paraId="16C82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1042" w:type="dxa"/>
            <w:vMerge w:val="continue"/>
            <w:tcBorders>
              <w:top w:val="nil"/>
              <w:bottom w:val="nil"/>
            </w:tcBorders>
            <w:vAlign w:val="top"/>
          </w:tcPr>
          <w:p w14:paraId="4C4DF8BD">
            <w:pPr>
              <w:rPr>
                <w:rFonts w:ascii="Arial"/>
                <w:sz w:val="21"/>
              </w:rPr>
            </w:pPr>
          </w:p>
        </w:tc>
        <w:tc>
          <w:tcPr>
            <w:tcW w:w="1560" w:type="dxa"/>
            <w:vAlign w:val="top"/>
          </w:tcPr>
          <w:p w14:paraId="74CFBF51">
            <w:pPr>
              <w:spacing w:line="284" w:lineRule="auto"/>
              <w:rPr>
                <w:rFonts w:ascii="Arial"/>
                <w:sz w:val="21"/>
              </w:rPr>
            </w:pPr>
          </w:p>
          <w:p w14:paraId="091EC7DF">
            <w:pPr>
              <w:spacing w:line="285" w:lineRule="auto"/>
              <w:rPr>
                <w:rFonts w:ascii="Arial"/>
                <w:sz w:val="21"/>
              </w:rPr>
            </w:pPr>
          </w:p>
          <w:p w14:paraId="11268CE9">
            <w:pPr>
              <w:spacing w:before="69" w:line="315" w:lineRule="auto"/>
              <w:ind w:left="679" w:right="147" w:hanging="529"/>
              <w:rPr>
                <w:rFonts w:ascii="宋体" w:hAnsi="宋体" w:eastAsia="宋体" w:cs="宋体"/>
                <w:sz w:val="21"/>
                <w:szCs w:val="21"/>
              </w:rPr>
            </w:pPr>
            <w:r>
              <w:rPr>
                <w:rFonts w:ascii="宋体" w:hAnsi="宋体" w:eastAsia="宋体" w:cs="宋体"/>
                <w:spacing w:val="-2"/>
                <w:sz w:val="21"/>
                <w:szCs w:val="21"/>
              </w:rPr>
              <w:t>手术合理性规</w:t>
            </w:r>
            <w:r>
              <w:rPr>
                <w:rFonts w:ascii="宋体" w:hAnsi="宋体" w:eastAsia="宋体" w:cs="宋体"/>
                <w:spacing w:val="2"/>
                <w:sz w:val="21"/>
                <w:szCs w:val="21"/>
              </w:rPr>
              <w:t xml:space="preserve"> </w:t>
            </w:r>
            <w:r>
              <w:rPr>
                <w:rFonts w:ascii="宋体" w:hAnsi="宋体" w:eastAsia="宋体" w:cs="宋体"/>
                <w:sz w:val="21"/>
                <w:szCs w:val="21"/>
              </w:rPr>
              <w:t>则</w:t>
            </w:r>
          </w:p>
        </w:tc>
        <w:tc>
          <w:tcPr>
            <w:tcW w:w="7736" w:type="dxa"/>
            <w:vAlign w:val="top"/>
          </w:tcPr>
          <w:p w14:paraId="6C782C66">
            <w:pPr>
              <w:spacing w:before="82" w:line="311" w:lineRule="auto"/>
              <w:ind w:left="108" w:firstLine="1"/>
              <w:rPr>
                <w:rFonts w:ascii="宋体" w:hAnsi="宋体" w:eastAsia="宋体" w:cs="宋体"/>
                <w:sz w:val="21"/>
                <w:szCs w:val="21"/>
              </w:rPr>
            </w:pPr>
            <w:r>
              <w:rPr>
                <w:rFonts w:ascii="宋体" w:hAnsi="宋体" w:eastAsia="宋体" w:cs="宋体"/>
                <w:spacing w:val="-7"/>
                <w:sz w:val="21"/>
                <w:szCs w:val="21"/>
              </w:rPr>
              <w:t>支持自定义手术合理性规则。可对规则的提醒文案形式、禁忌级别、禁忌年龄区间、</w:t>
            </w:r>
            <w:r>
              <w:rPr>
                <w:rFonts w:ascii="宋体" w:hAnsi="宋体" w:eastAsia="宋体" w:cs="宋体"/>
                <w:spacing w:val="3"/>
                <w:sz w:val="21"/>
                <w:szCs w:val="21"/>
              </w:rPr>
              <w:t xml:space="preserve">  </w:t>
            </w:r>
            <w:r>
              <w:rPr>
                <w:rFonts w:ascii="宋体" w:hAnsi="宋体" w:eastAsia="宋体" w:cs="宋体"/>
                <w:spacing w:val="-4"/>
                <w:sz w:val="21"/>
                <w:szCs w:val="21"/>
              </w:rPr>
              <w:t>禁忌性别进行设置。规则的主要条件、否定条件可进行复杂设置即多条</w:t>
            </w:r>
            <w:r>
              <w:rPr>
                <w:rFonts w:ascii="宋体" w:hAnsi="宋体" w:eastAsia="宋体" w:cs="宋体"/>
                <w:spacing w:val="-5"/>
                <w:sz w:val="21"/>
                <w:szCs w:val="21"/>
              </w:rPr>
              <w:t>件可以“或”</w:t>
            </w:r>
            <w:r>
              <w:rPr>
                <w:rFonts w:ascii="宋体" w:hAnsi="宋体" w:eastAsia="宋体" w:cs="宋体"/>
                <w:sz w:val="21"/>
                <w:szCs w:val="21"/>
              </w:rPr>
              <w:t xml:space="preserve"> </w:t>
            </w:r>
            <w:r>
              <w:rPr>
                <w:rFonts w:ascii="宋体" w:hAnsi="宋体" w:eastAsia="宋体" w:cs="宋体"/>
                <w:spacing w:val="-10"/>
                <w:sz w:val="21"/>
                <w:szCs w:val="21"/>
              </w:rPr>
              <w:t>及“且”的形式进行复杂的逻辑设置，并通过规则同步、规则生效功能实时生效。条</w:t>
            </w:r>
            <w:r>
              <w:rPr>
                <w:rFonts w:ascii="宋体" w:hAnsi="宋体" w:eastAsia="宋体" w:cs="宋体"/>
                <w:spacing w:val="4"/>
                <w:sz w:val="21"/>
                <w:szCs w:val="21"/>
              </w:rPr>
              <w:t xml:space="preserve">   </w:t>
            </w:r>
            <w:r>
              <w:rPr>
                <w:rFonts w:ascii="宋体" w:hAnsi="宋体" w:eastAsia="宋体" w:cs="宋体"/>
                <w:spacing w:val="-8"/>
                <w:sz w:val="21"/>
                <w:szCs w:val="21"/>
              </w:rPr>
              <w:t>件的范围需覆盖：症状（如餐后腹痛）、体征（例如体温＞39</w:t>
            </w:r>
            <w:r>
              <w:rPr>
                <w:rFonts w:ascii="宋体" w:hAnsi="宋体" w:eastAsia="宋体" w:cs="宋体"/>
                <w:spacing w:val="-9"/>
                <w:sz w:val="21"/>
                <w:szCs w:val="21"/>
              </w:rPr>
              <w:t>℃)</w:t>
            </w:r>
            <w:r>
              <w:rPr>
                <w:rFonts w:ascii="宋体" w:hAnsi="宋体" w:eastAsia="宋体" w:cs="宋体"/>
                <w:spacing w:val="-42"/>
                <w:sz w:val="21"/>
                <w:szCs w:val="21"/>
              </w:rPr>
              <w:t xml:space="preserve"> </w:t>
            </w:r>
            <w:r>
              <w:rPr>
                <w:rFonts w:ascii="宋体" w:hAnsi="宋体" w:eastAsia="宋体" w:cs="宋体"/>
                <w:spacing w:val="-9"/>
                <w:sz w:val="21"/>
                <w:szCs w:val="21"/>
              </w:rPr>
              <w:t>、诊断（例如胆石</w:t>
            </w:r>
            <w:r>
              <w:rPr>
                <w:rFonts w:ascii="宋体" w:hAnsi="宋体" w:eastAsia="宋体" w:cs="宋体"/>
                <w:sz w:val="21"/>
                <w:szCs w:val="21"/>
              </w:rPr>
              <w:t xml:space="preserve">   </w:t>
            </w:r>
            <w:r>
              <w:rPr>
                <w:rFonts w:ascii="宋体" w:hAnsi="宋体" w:eastAsia="宋体" w:cs="宋体"/>
                <w:spacing w:val="-6"/>
                <w:sz w:val="21"/>
                <w:szCs w:val="21"/>
              </w:rPr>
              <w:t>症）、检验检查结果（例如血钾＜3.8mmol/L）等。</w:t>
            </w:r>
          </w:p>
        </w:tc>
      </w:tr>
      <w:tr w14:paraId="2A891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1042" w:type="dxa"/>
            <w:vMerge w:val="continue"/>
            <w:tcBorders>
              <w:top w:val="nil"/>
              <w:bottom w:val="nil"/>
            </w:tcBorders>
            <w:vAlign w:val="top"/>
          </w:tcPr>
          <w:p w14:paraId="06CD3A83">
            <w:pPr>
              <w:rPr>
                <w:rFonts w:ascii="Arial"/>
                <w:sz w:val="21"/>
              </w:rPr>
            </w:pPr>
          </w:p>
        </w:tc>
        <w:tc>
          <w:tcPr>
            <w:tcW w:w="1560" w:type="dxa"/>
            <w:vAlign w:val="top"/>
          </w:tcPr>
          <w:p w14:paraId="06A76BF2">
            <w:pPr>
              <w:spacing w:line="256" w:lineRule="auto"/>
              <w:rPr>
                <w:rFonts w:ascii="Arial"/>
                <w:sz w:val="21"/>
              </w:rPr>
            </w:pPr>
          </w:p>
          <w:p w14:paraId="2ADF6104">
            <w:pPr>
              <w:spacing w:before="58" w:line="220" w:lineRule="auto"/>
              <w:ind w:left="164"/>
              <w:rPr>
                <w:rFonts w:ascii="宋体" w:hAnsi="宋体" w:eastAsia="宋体" w:cs="宋体"/>
                <w:sz w:val="18"/>
                <w:szCs w:val="18"/>
              </w:rPr>
            </w:pPr>
            <w:r>
              <w:rPr>
                <w:rFonts w:ascii="宋体" w:hAnsi="宋体" w:eastAsia="宋体" w:cs="宋体"/>
                <w:spacing w:val="-5"/>
                <w:sz w:val="18"/>
                <w:szCs w:val="18"/>
              </w:rPr>
              <w:t>用药合理性规则</w:t>
            </w:r>
          </w:p>
        </w:tc>
        <w:tc>
          <w:tcPr>
            <w:tcW w:w="7736" w:type="dxa"/>
            <w:vAlign w:val="top"/>
          </w:tcPr>
          <w:p w14:paraId="14EC3256">
            <w:pPr>
              <w:spacing w:before="100" w:line="355" w:lineRule="auto"/>
              <w:ind w:left="108" w:right="79"/>
              <w:rPr>
                <w:rFonts w:ascii="宋体" w:hAnsi="宋体" w:eastAsia="宋体" w:cs="宋体"/>
                <w:sz w:val="18"/>
                <w:szCs w:val="18"/>
              </w:rPr>
            </w:pPr>
            <w:r>
              <w:rPr>
                <w:rFonts w:ascii="宋体" w:hAnsi="宋体" w:eastAsia="宋体" w:cs="宋体"/>
                <w:spacing w:val="-5"/>
                <w:sz w:val="18"/>
                <w:szCs w:val="18"/>
              </w:rPr>
              <w:t>支持医院自定义用药合理性规则。医院可根据医院用药字典，维护与患者症状、临床表现、诊断、</w:t>
            </w:r>
            <w:r>
              <w:rPr>
                <w:rFonts w:ascii="宋体" w:hAnsi="宋体" w:eastAsia="宋体" w:cs="宋体"/>
                <w:spacing w:val="12"/>
                <w:sz w:val="18"/>
                <w:szCs w:val="18"/>
              </w:rPr>
              <w:t xml:space="preserve"> </w:t>
            </w:r>
            <w:r>
              <w:rPr>
                <w:rFonts w:ascii="宋体" w:hAnsi="宋体" w:eastAsia="宋体" w:cs="宋体"/>
                <w:spacing w:val="-4"/>
                <w:sz w:val="18"/>
                <w:szCs w:val="18"/>
              </w:rPr>
              <w:t>检查/检验结果、手术、性别、年龄等相关的用药合理性规则。</w:t>
            </w:r>
          </w:p>
        </w:tc>
      </w:tr>
      <w:tr w14:paraId="51B36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bottom w:val="nil"/>
            </w:tcBorders>
            <w:vAlign w:val="top"/>
          </w:tcPr>
          <w:p w14:paraId="099CA82E">
            <w:pPr>
              <w:rPr>
                <w:rFonts w:ascii="Arial"/>
                <w:sz w:val="21"/>
              </w:rPr>
            </w:pPr>
          </w:p>
        </w:tc>
        <w:tc>
          <w:tcPr>
            <w:tcW w:w="1560" w:type="dxa"/>
            <w:vAlign w:val="top"/>
          </w:tcPr>
          <w:p w14:paraId="1C0E97C5">
            <w:pPr>
              <w:spacing w:before="286" w:line="220" w:lineRule="auto"/>
              <w:ind w:left="163"/>
              <w:rPr>
                <w:rFonts w:ascii="宋体" w:hAnsi="宋体" w:eastAsia="宋体" w:cs="宋体"/>
                <w:sz w:val="18"/>
                <w:szCs w:val="18"/>
              </w:rPr>
            </w:pPr>
            <w:r>
              <w:rPr>
                <w:rFonts w:ascii="宋体" w:hAnsi="宋体" w:eastAsia="宋体" w:cs="宋体"/>
                <w:spacing w:val="-4"/>
                <w:sz w:val="18"/>
                <w:szCs w:val="18"/>
              </w:rPr>
              <w:t>诊断合理性规则</w:t>
            </w:r>
          </w:p>
        </w:tc>
        <w:tc>
          <w:tcPr>
            <w:tcW w:w="7736" w:type="dxa"/>
            <w:vAlign w:val="top"/>
          </w:tcPr>
          <w:p w14:paraId="62093E95">
            <w:pPr>
              <w:spacing w:before="100" w:line="325" w:lineRule="auto"/>
              <w:ind w:left="110" w:right="140" w:hanging="2"/>
              <w:rPr>
                <w:rFonts w:ascii="宋体" w:hAnsi="宋体" w:eastAsia="宋体" w:cs="宋体"/>
                <w:sz w:val="18"/>
                <w:szCs w:val="18"/>
              </w:rPr>
            </w:pPr>
            <w:r>
              <w:rPr>
                <w:rFonts w:ascii="宋体" w:hAnsi="宋体" w:eastAsia="宋体" w:cs="宋体"/>
                <w:spacing w:val="-4"/>
                <w:sz w:val="18"/>
                <w:szCs w:val="18"/>
              </w:rPr>
              <w:t>支持维护与患者症状、临床表现、诊断、检查/检验结果、手术、性别、年龄相关的诊断合</w:t>
            </w:r>
            <w:r>
              <w:rPr>
                <w:rFonts w:ascii="宋体" w:hAnsi="宋体" w:eastAsia="宋体" w:cs="宋体"/>
                <w:spacing w:val="-5"/>
                <w:sz w:val="18"/>
                <w:szCs w:val="18"/>
              </w:rPr>
              <w:t>理性规</w:t>
            </w:r>
            <w:r>
              <w:rPr>
                <w:rFonts w:ascii="宋体" w:hAnsi="宋体" w:eastAsia="宋体" w:cs="宋体"/>
                <w:sz w:val="18"/>
                <w:szCs w:val="18"/>
              </w:rPr>
              <w:t xml:space="preserve"> </w:t>
            </w:r>
            <w:r>
              <w:rPr>
                <w:rFonts w:ascii="宋体" w:hAnsi="宋体" w:eastAsia="宋体" w:cs="宋体"/>
                <w:spacing w:val="-6"/>
                <w:sz w:val="18"/>
                <w:szCs w:val="18"/>
              </w:rPr>
              <w:t>则。</w:t>
            </w:r>
          </w:p>
        </w:tc>
      </w:tr>
      <w:tr w14:paraId="0E959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bottom w:val="nil"/>
            </w:tcBorders>
            <w:vAlign w:val="top"/>
          </w:tcPr>
          <w:p w14:paraId="48E06A1B">
            <w:pPr>
              <w:rPr>
                <w:rFonts w:ascii="Arial"/>
                <w:sz w:val="21"/>
              </w:rPr>
            </w:pPr>
          </w:p>
        </w:tc>
        <w:tc>
          <w:tcPr>
            <w:tcW w:w="1560" w:type="dxa"/>
            <w:vAlign w:val="top"/>
          </w:tcPr>
          <w:p w14:paraId="7D5FD0E8">
            <w:pPr>
              <w:spacing w:before="287" w:line="220" w:lineRule="auto"/>
              <w:ind w:left="427"/>
              <w:rPr>
                <w:rFonts w:ascii="宋体" w:hAnsi="宋体" w:eastAsia="宋体" w:cs="宋体"/>
                <w:sz w:val="18"/>
                <w:szCs w:val="18"/>
              </w:rPr>
            </w:pPr>
            <w:r>
              <w:rPr>
                <w:rFonts w:ascii="宋体" w:hAnsi="宋体" w:eastAsia="宋体" w:cs="宋体"/>
                <w:spacing w:val="-4"/>
                <w:sz w:val="18"/>
                <w:szCs w:val="18"/>
              </w:rPr>
              <w:t>检验预警</w:t>
            </w:r>
          </w:p>
        </w:tc>
        <w:tc>
          <w:tcPr>
            <w:tcW w:w="7736" w:type="dxa"/>
            <w:vAlign w:val="top"/>
          </w:tcPr>
          <w:p w14:paraId="4A0C9F8F">
            <w:pPr>
              <w:spacing w:before="102" w:line="324" w:lineRule="auto"/>
              <w:ind w:left="111" w:right="155" w:hanging="3"/>
              <w:rPr>
                <w:rFonts w:ascii="宋体" w:hAnsi="宋体" w:eastAsia="宋体" w:cs="宋体"/>
                <w:sz w:val="18"/>
                <w:szCs w:val="18"/>
              </w:rPr>
            </w:pPr>
            <w:r>
              <w:rPr>
                <w:rFonts w:ascii="宋体" w:hAnsi="宋体" w:eastAsia="宋体" w:cs="宋体"/>
                <w:sz w:val="18"/>
                <w:szCs w:val="18"/>
              </w:rPr>
              <w:t>支持医院根据医院（门诊、住院）的检验字典，维护与患者症状、临床表现</w:t>
            </w:r>
            <w:r>
              <w:rPr>
                <w:rFonts w:ascii="宋体" w:hAnsi="宋体" w:eastAsia="宋体" w:cs="宋体"/>
                <w:spacing w:val="-1"/>
                <w:sz w:val="18"/>
                <w:szCs w:val="18"/>
              </w:rPr>
              <w:t>、诊断、检查/检验</w:t>
            </w:r>
            <w:r>
              <w:rPr>
                <w:rFonts w:ascii="宋体" w:hAnsi="宋体" w:eastAsia="宋体" w:cs="宋体"/>
                <w:sz w:val="18"/>
                <w:szCs w:val="18"/>
              </w:rPr>
              <w:t xml:space="preserve"> </w:t>
            </w:r>
            <w:r>
              <w:rPr>
                <w:rFonts w:ascii="宋体" w:hAnsi="宋体" w:eastAsia="宋体" w:cs="宋体"/>
                <w:spacing w:val="-1"/>
                <w:sz w:val="18"/>
                <w:szCs w:val="18"/>
              </w:rPr>
              <w:t>结果、手术、性别、年龄，医院科室以及检验项目的检验风</w:t>
            </w:r>
            <w:r>
              <w:rPr>
                <w:rFonts w:ascii="宋体" w:hAnsi="宋体" w:eastAsia="宋体" w:cs="宋体"/>
                <w:spacing w:val="-2"/>
                <w:sz w:val="18"/>
                <w:szCs w:val="18"/>
              </w:rPr>
              <w:t>险预警规则。</w:t>
            </w:r>
          </w:p>
        </w:tc>
      </w:tr>
      <w:tr w14:paraId="74FD9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42" w:type="dxa"/>
            <w:vMerge w:val="continue"/>
            <w:tcBorders>
              <w:top w:val="nil"/>
            </w:tcBorders>
            <w:vAlign w:val="top"/>
          </w:tcPr>
          <w:p w14:paraId="1D85001F">
            <w:pPr>
              <w:rPr>
                <w:rFonts w:ascii="Arial"/>
                <w:sz w:val="21"/>
              </w:rPr>
            </w:pPr>
          </w:p>
        </w:tc>
        <w:tc>
          <w:tcPr>
            <w:tcW w:w="1560" w:type="dxa"/>
            <w:vAlign w:val="top"/>
          </w:tcPr>
          <w:p w14:paraId="4C1B94F3">
            <w:pPr>
              <w:spacing w:before="102" w:line="220" w:lineRule="auto"/>
              <w:ind w:left="419"/>
              <w:rPr>
                <w:rFonts w:ascii="宋体" w:hAnsi="宋体" w:eastAsia="宋体" w:cs="宋体"/>
                <w:sz w:val="18"/>
                <w:szCs w:val="18"/>
              </w:rPr>
            </w:pPr>
            <w:r>
              <w:rPr>
                <w:rFonts w:ascii="宋体" w:hAnsi="宋体" w:eastAsia="宋体" w:cs="宋体"/>
                <w:spacing w:val="-2"/>
                <w:sz w:val="18"/>
                <w:szCs w:val="18"/>
              </w:rPr>
              <w:t>规则管理</w:t>
            </w:r>
          </w:p>
        </w:tc>
        <w:tc>
          <w:tcPr>
            <w:tcW w:w="7736" w:type="dxa"/>
            <w:vAlign w:val="top"/>
          </w:tcPr>
          <w:p w14:paraId="6C73E9D8">
            <w:pPr>
              <w:spacing w:before="102" w:line="220" w:lineRule="auto"/>
              <w:ind w:left="121"/>
              <w:rPr>
                <w:rFonts w:ascii="宋体" w:hAnsi="宋体" w:eastAsia="宋体" w:cs="宋体"/>
                <w:sz w:val="18"/>
                <w:szCs w:val="18"/>
              </w:rPr>
            </w:pPr>
            <w:r>
              <w:rPr>
                <w:rFonts w:ascii="宋体" w:hAnsi="宋体" w:eastAsia="宋体" w:cs="宋体"/>
                <w:spacing w:val="-3"/>
                <w:sz w:val="18"/>
                <w:szCs w:val="18"/>
              </w:rPr>
              <w:t>1.</w:t>
            </w:r>
            <w:r>
              <w:rPr>
                <w:rFonts w:ascii="宋体" w:hAnsi="宋体" w:eastAsia="宋体" w:cs="宋体"/>
                <w:spacing w:val="61"/>
                <w:sz w:val="18"/>
                <w:szCs w:val="18"/>
              </w:rPr>
              <w:t xml:space="preserve"> </w:t>
            </w:r>
            <w:r>
              <w:rPr>
                <w:rFonts w:ascii="宋体" w:hAnsi="宋体" w:eastAsia="宋体" w:cs="宋体"/>
                <w:spacing w:val="-3"/>
                <w:sz w:val="18"/>
                <w:szCs w:val="18"/>
              </w:rPr>
              <w:t>支持下线、上线、审核、删除、编辑、新增知识和规则；</w:t>
            </w:r>
          </w:p>
        </w:tc>
      </w:tr>
    </w:tbl>
    <w:p w14:paraId="109DACFA">
      <w:pPr>
        <w:pStyle w:val="2"/>
        <w:spacing w:line="306" w:lineRule="auto"/>
      </w:pPr>
    </w:p>
    <w:p w14:paraId="42C93020">
      <w:pPr>
        <w:spacing w:before="61" w:line="209" w:lineRule="auto"/>
        <w:ind w:left="222"/>
        <w:rPr>
          <w:rFonts w:ascii="宋体" w:hAnsi="宋体" w:eastAsia="宋体" w:cs="宋体"/>
          <w:sz w:val="19"/>
          <w:szCs w:val="19"/>
        </w:rPr>
      </w:pPr>
      <w:r>
        <w:pict>
          <v:shape id="_x0000_s1034" o:spid="_x0000_s1034" style="position:absolute;left:0pt;margin-left:5.65pt;margin-top:11.8pt;height:0.75pt;width:494pt;z-index:251678720;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3"/>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3"/>
          <w:position w:val="1"/>
          <w:sz w:val="18"/>
          <w:szCs w:val="18"/>
        </w:rPr>
        <w:t xml:space="preserve">14                               </w:t>
      </w:r>
      <w:r>
        <w:rPr>
          <w:rFonts w:ascii="宋体" w:hAnsi="宋体" w:eastAsia="宋体" w:cs="宋体"/>
          <w:b/>
          <w:bCs/>
          <w:i/>
          <w:iCs/>
          <w:spacing w:val="-3"/>
          <w:sz w:val="19"/>
          <w:szCs w:val="19"/>
        </w:rPr>
        <w:t>伊犁州公共资源交易中心</w:t>
      </w:r>
    </w:p>
    <w:p w14:paraId="6C13E534">
      <w:pPr>
        <w:spacing w:line="209" w:lineRule="auto"/>
        <w:rPr>
          <w:rFonts w:ascii="宋体" w:hAnsi="宋体" w:eastAsia="宋体" w:cs="宋体"/>
          <w:sz w:val="19"/>
          <w:szCs w:val="19"/>
        </w:rPr>
        <w:sectPr>
          <w:pgSz w:w="11905" w:h="16839"/>
          <w:pgMar w:top="1136" w:right="503" w:bottom="400" w:left="1052" w:header="854" w:footer="0" w:gutter="0"/>
          <w:cols w:space="720" w:num="1"/>
        </w:sectPr>
      </w:pPr>
    </w:p>
    <w:p w14:paraId="6451004B">
      <w:pPr>
        <w:spacing w:before="38"/>
      </w:pPr>
    </w:p>
    <w:tbl>
      <w:tblPr>
        <w:tblStyle w:val="5"/>
        <w:tblW w:w="103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560"/>
        <w:gridCol w:w="7736"/>
      </w:tblGrid>
      <w:tr w14:paraId="53F27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42" w:type="dxa"/>
            <w:vMerge w:val="restart"/>
            <w:tcBorders>
              <w:bottom w:val="nil"/>
            </w:tcBorders>
            <w:vAlign w:val="top"/>
          </w:tcPr>
          <w:p w14:paraId="13B45FE6">
            <w:pPr>
              <w:rPr>
                <w:rFonts w:ascii="Arial"/>
                <w:sz w:val="21"/>
              </w:rPr>
            </w:pPr>
          </w:p>
        </w:tc>
        <w:tc>
          <w:tcPr>
            <w:tcW w:w="1560" w:type="dxa"/>
            <w:vAlign w:val="top"/>
          </w:tcPr>
          <w:p w14:paraId="4A4900D9">
            <w:pPr>
              <w:rPr>
                <w:rFonts w:ascii="Arial"/>
                <w:sz w:val="21"/>
              </w:rPr>
            </w:pPr>
          </w:p>
        </w:tc>
        <w:tc>
          <w:tcPr>
            <w:tcW w:w="7736" w:type="dxa"/>
            <w:vAlign w:val="top"/>
          </w:tcPr>
          <w:p w14:paraId="687E86DE">
            <w:pPr>
              <w:spacing w:before="97" w:line="219" w:lineRule="auto"/>
              <w:ind w:left="108"/>
              <w:rPr>
                <w:rFonts w:ascii="宋体" w:hAnsi="宋体" w:eastAsia="宋体" w:cs="宋体"/>
                <w:sz w:val="18"/>
                <w:szCs w:val="18"/>
              </w:rPr>
            </w:pPr>
            <w:r>
              <w:rPr>
                <w:rFonts w:ascii="宋体" w:hAnsi="宋体" w:eastAsia="宋体" w:cs="宋体"/>
                <w:spacing w:val="-2"/>
                <w:sz w:val="18"/>
                <w:szCs w:val="18"/>
              </w:rPr>
              <w:t>支持医院按照项目分工安排不同的角色，不同的角色对应不同的权限；</w:t>
            </w:r>
          </w:p>
        </w:tc>
      </w:tr>
      <w:tr w14:paraId="0BBCE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tcBorders>
            <w:vAlign w:val="top"/>
          </w:tcPr>
          <w:p w14:paraId="2FF552C4">
            <w:pPr>
              <w:rPr>
                <w:rFonts w:ascii="Arial"/>
                <w:sz w:val="21"/>
              </w:rPr>
            </w:pPr>
          </w:p>
        </w:tc>
        <w:tc>
          <w:tcPr>
            <w:tcW w:w="1560" w:type="dxa"/>
            <w:vAlign w:val="top"/>
          </w:tcPr>
          <w:p w14:paraId="64C14909">
            <w:pPr>
              <w:spacing w:before="278" w:line="220" w:lineRule="auto"/>
              <w:ind w:left="436"/>
              <w:rPr>
                <w:rFonts w:ascii="宋体" w:hAnsi="宋体" w:eastAsia="宋体" w:cs="宋体"/>
                <w:sz w:val="18"/>
                <w:szCs w:val="18"/>
              </w:rPr>
            </w:pPr>
            <w:r>
              <w:rPr>
                <w:rFonts w:ascii="宋体" w:hAnsi="宋体" w:eastAsia="宋体" w:cs="宋体"/>
                <w:spacing w:val="-5"/>
                <w:sz w:val="18"/>
                <w:szCs w:val="18"/>
              </w:rPr>
              <w:t>国际编码</w:t>
            </w:r>
          </w:p>
        </w:tc>
        <w:tc>
          <w:tcPr>
            <w:tcW w:w="7736" w:type="dxa"/>
            <w:vAlign w:val="top"/>
          </w:tcPr>
          <w:p w14:paraId="77EA8C31">
            <w:pPr>
              <w:spacing w:before="92" w:line="329" w:lineRule="auto"/>
              <w:ind w:left="107" w:right="61" w:firstLine="1"/>
              <w:rPr>
                <w:rFonts w:ascii="宋体" w:hAnsi="宋体" w:eastAsia="宋体" w:cs="宋体"/>
                <w:sz w:val="18"/>
                <w:szCs w:val="18"/>
              </w:rPr>
            </w:pPr>
            <w:r>
              <w:rPr>
                <w:rFonts w:ascii="宋体" w:hAnsi="宋体" w:eastAsia="宋体" w:cs="宋体"/>
                <w:spacing w:val="1"/>
                <w:sz w:val="18"/>
                <w:szCs w:val="18"/>
              </w:rPr>
              <w:t>支持</w:t>
            </w:r>
            <w:r>
              <w:rPr>
                <w:rFonts w:ascii="宋体" w:hAnsi="宋体" w:eastAsia="宋体" w:cs="宋体"/>
                <w:spacing w:val="-37"/>
                <w:sz w:val="18"/>
                <w:szCs w:val="18"/>
              </w:rPr>
              <w:t xml:space="preserve"> </w:t>
            </w:r>
            <w:r>
              <w:rPr>
                <w:rFonts w:ascii="宋体" w:hAnsi="宋体" w:eastAsia="宋体" w:cs="宋体"/>
                <w:sz w:val="18"/>
                <w:szCs w:val="18"/>
              </w:rPr>
              <w:t>SNOMED</w:t>
            </w:r>
            <w:r>
              <w:rPr>
                <w:rFonts w:ascii="宋体" w:hAnsi="宋体" w:eastAsia="宋体" w:cs="宋体"/>
                <w:spacing w:val="1"/>
                <w:sz w:val="18"/>
                <w:szCs w:val="18"/>
              </w:rPr>
              <w:t xml:space="preserve"> </w:t>
            </w:r>
            <w:r>
              <w:rPr>
                <w:rFonts w:ascii="宋体" w:hAnsi="宋体" w:eastAsia="宋体" w:cs="宋体"/>
                <w:sz w:val="18"/>
                <w:szCs w:val="18"/>
              </w:rPr>
              <w:t>CT</w:t>
            </w:r>
            <w:r>
              <w:rPr>
                <w:rFonts w:ascii="宋体" w:hAnsi="宋体" w:eastAsia="宋体" w:cs="宋体"/>
                <w:spacing w:val="-37"/>
                <w:sz w:val="18"/>
                <w:szCs w:val="18"/>
              </w:rPr>
              <w:t xml:space="preserve"> </w:t>
            </w:r>
            <w:r>
              <w:rPr>
                <w:rFonts w:ascii="宋体" w:hAnsi="宋体" w:eastAsia="宋体" w:cs="宋体"/>
                <w:spacing w:val="1"/>
                <w:sz w:val="18"/>
                <w:szCs w:val="18"/>
              </w:rPr>
              <w:t>标准术语库在线查阅，便捷浏览中文版</w:t>
            </w:r>
            <w:r>
              <w:rPr>
                <w:rFonts w:ascii="宋体" w:hAnsi="宋体" w:eastAsia="宋体" w:cs="宋体"/>
                <w:spacing w:val="-20"/>
                <w:sz w:val="18"/>
                <w:szCs w:val="18"/>
              </w:rPr>
              <w:t xml:space="preserve"> </w:t>
            </w:r>
            <w:r>
              <w:rPr>
                <w:rFonts w:ascii="宋体" w:hAnsi="宋体" w:eastAsia="宋体" w:cs="宋体"/>
                <w:spacing w:val="1"/>
                <w:sz w:val="18"/>
                <w:szCs w:val="18"/>
              </w:rPr>
              <w:t>19</w:t>
            </w:r>
            <w:r>
              <w:rPr>
                <w:rFonts w:ascii="宋体" w:hAnsi="宋体" w:eastAsia="宋体" w:cs="宋体"/>
                <w:spacing w:val="-35"/>
                <w:sz w:val="18"/>
                <w:szCs w:val="18"/>
              </w:rPr>
              <w:t xml:space="preserve"> </w:t>
            </w:r>
            <w:r>
              <w:rPr>
                <w:rFonts w:ascii="宋体" w:hAnsi="宋体" w:eastAsia="宋体" w:cs="宋体"/>
                <w:spacing w:val="1"/>
                <w:sz w:val="18"/>
                <w:szCs w:val="18"/>
              </w:rPr>
              <w:t>个概念大类，也可以直接</w:t>
            </w:r>
            <w:r>
              <w:rPr>
                <w:rFonts w:ascii="宋体" w:hAnsi="宋体" w:eastAsia="宋体" w:cs="宋体"/>
                <w:sz w:val="18"/>
                <w:szCs w:val="18"/>
              </w:rPr>
              <w:t xml:space="preserve">检索所需概 </w:t>
            </w:r>
            <w:r>
              <w:rPr>
                <w:rFonts w:ascii="宋体" w:hAnsi="宋体" w:eastAsia="宋体" w:cs="宋体"/>
                <w:spacing w:val="3"/>
                <w:sz w:val="18"/>
                <w:szCs w:val="18"/>
              </w:rPr>
              <w:t>念、上下级概念和本概念的其他表达方式。</w:t>
            </w:r>
          </w:p>
        </w:tc>
      </w:tr>
      <w:tr w14:paraId="0CAA7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restart"/>
            <w:tcBorders>
              <w:bottom w:val="nil"/>
            </w:tcBorders>
            <w:vAlign w:val="top"/>
          </w:tcPr>
          <w:p w14:paraId="1A973865">
            <w:pPr>
              <w:spacing w:line="250" w:lineRule="auto"/>
              <w:rPr>
                <w:rFonts w:ascii="Arial"/>
                <w:sz w:val="21"/>
              </w:rPr>
            </w:pPr>
          </w:p>
          <w:p w14:paraId="658E891C">
            <w:pPr>
              <w:spacing w:line="250" w:lineRule="auto"/>
              <w:rPr>
                <w:rFonts w:ascii="Arial"/>
                <w:sz w:val="21"/>
              </w:rPr>
            </w:pPr>
          </w:p>
          <w:p w14:paraId="7282AC37">
            <w:pPr>
              <w:spacing w:line="250" w:lineRule="auto"/>
              <w:rPr>
                <w:rFonts w:ascii="Arial"/>
                <w:sz w:val="21"/>
              </w:rPr>
            </w:pPr>
          </w:p>
          <w:p w14:paraId="3434A00F">
            <w:pPr>
              <w:spacing w:line="250" w:lineRule="auto"/>
              <w:rPr>
                <w:rFonts w:ascii="Arial"/>
                <w:sz w:val="21"/>
              </w:rPr>
            </w:pPr>
          </w:p>
          <w:p w14:paraId="6D3FF0D9">
            <w:pPr>
              <w:spacing w:line="250" w:lineRule="auto"/>
              <w:rPr>
                <w:rFonts w:ascii="Arial"/>
                <w:sz w:val="21"/>
              </w:rPr>
            </w:pPr>
          </w:p>
          <w:p w14:paraId="5CE051B9">
            <w:pPr>
              <w:spacing w:line="250" w:lineRule="auto"/>
              <w:rPr>
                <w:rFonts w:ascii="Arial"/>
                <w:sz w:val="21"/>
              </w:rPr>
            </w:pPr>
          </w:p>
          <w:p w14:paraId="5810E49E">
            <w:pPr>
              <w:spacing w:line="250" w:lineRule="auto"/>
              <w:rPr>
                <w:rFonts w:ascii="Arial"/>
                <w:sz w:val="21"/>
              </w:rPr>
            </w:pPr>
          </w:p>
          <w:p w14:paraId="2AC54704">
            <w:pPr>
              <w:spacing w:line="250" w:lineRule="auto"/>
              <w:rPr>
                <w:rFonts w:ascii="Arial"/>
                <w:sz w:val="21"/>
              </w:rPr>
            </w:pPr>
          </w:p>
          <w:p w14:paraId="40982C30">
            <w:pPr>
              <w:spacing w:line="250" w:lineRule="auto"/>
              <w:rPr>
                <w:rFonts w:ascii="Arial"/>
                <w:sz w:val="21"/>
              </w:rPr>
            </w:pPr>
          </w:p>
          <w:p w14:paraId="0F8B1827">
            <w:pPr>
              <w:spacing w:line="250" w:lineRule="auto"/>
              <w:rPr>
                <w:rFonts w:ascii="Arial"/>
                <w:sz w:val="21"/>
              </w:rPr>
            </w:pPr>
          </w:p>
          <w:p w14:paraId="1936DE96">
            <w:pPr>
              <w:spacing w:line="250" w:lineRule="auto"/>
              <w:rPr>
                <w:rFonts w:ascii="Arial"/>
                <w:sz w:val="21"/>
              </w:rPr>
            </w:pPr>
          </w:p>
          <w:p w14:paraId="15FF19C0">
            <w:pPr>
              <w:spacing w:line="250" w:lineRule="auto"/>
              <w:rPr>
                <w:rFonts w:ascii="Arial"/>
                <w:sz w:val="21"/>
              </w:rPr>
            </w:pPr>
          </w:p>
          <w:p w14:paraId="63408733">
            <w:pPr>
              <w:spacing w:line="250" w:lineRule="auto"/>
              <w:rPr>
                <w:rFonts w:ascii="Arial"/>
                <w:sz w:val="21"/>
              </w:rPr>
            </w:pPr>
          </w:p>
          <w:p w14:paraId="4B39A73B">
            <w:pPr>
              <w:spacing w:line="250" w:lineRule="auto"/>
              <w:rPr>
                <w:rFonts w:ascii="Arial"/>
                <w:sz w:val="21"/>
              </w:rPr>
            </w:pPr>
          </w:p>
          <w:p w14:paraId="49F375B6">
            <w:pPr>
              <w:spacing w:line="250" w:lineRule="auto"/>
              <w:rPr>
                <w:rFonts w:ascii="Arial"/>
                <w:sz w:val="21"/>
              </w:rPr>
            </w:pPr>
          </w:p>
          <w:p w14:paraId="471CC6E1">
            <w:pPr>
              <w:spacing w:line="251" w:lineRule="auto"/>
              <w:rPr>
                <w:rFonts w:ascii="Arial"/>
                <w:sz w:val="21"/>
              </w:rPr>
            </w:pPr>
          </w:p>
          <w:p w14:paraId="410CF3E1">
            <w:pPr>
              <w:spacing w:line="251" w:lineRule="auto"/>
              <w:rPr>
                <w:rFonts w:ascii="Arial"/>
                <w:sz w:val="21"/>
              </w:rPr>
            </w:pPr>
          </w:p>
          <w:p w14:paraId="09946AEE">
            <w:pPr>
              <w:spacing w:line="251" w:lineRule="auto"/>
              <w:rPr>
                <w:rFonts w:ascii="Arial"/>
                <w:sz w:val="21"/>
              </w:rPr>
            </w:pPr>
          </w:p>
          <w:p w14:paraId="3226FBFF">
            <w:pPr>
              <w:spacing w:line="251" w:lineRule="auto"/>
              <w:rPr>
                <w:rFonts w:ascii="Arial"/>
                <w:sz w:val="21"/>
              </w:rPr>
            </w:pPr>
          </w:p>
          <w:p w14:paraId="1F92DB8D">
            <w:pPr>
              <w:spacing w:line="251" w:lineRule="auto"/>
              <w:rPr>
                <w:rFonts w:ascii="Arial"/>
                <w:sz w:val="21"/>
              </w:rPr>
            </w:pPr>
          </w:p>
          <w:p w14:paraId="3D20638A">
            <w:pPr>
              <w:spacing w:line="251" w:lineRule="auto"/>
              <w:rPr>
                <w:rFonts w:ascii="Arial"/>
                <w:sz w:val="21"/>
              </w:rPr>
            </w:pPr>
          </w:p>
          <w:p w14:paraId="2DC8082D">
            <w:pPr>
              <w:spacing w:line="251" w:lineRule="auto"/>
              <w:rPr>
                <w:rFonts w:ascii="Arial"/>
                <w:sz w:val="21"/>
              </w:rPr>
            </w:pPr>
          </w:p>
          <w:p w14:paraId="3E37ADAE">
            <w:pPr>
              <w:spacing w:before="78" w:line="220" w:lineRule="auto"/>
              <w:ind w:left="162"/>
              <w:rPr>
                <w:rFonts w:ascii="宋体" w:hAnsi="宋体" w:eastAsia="宋体" w:cs="宋体"/>
                <w:sz w:val="24"/>
                <w:szCs w:val="24"/>
              </w:rPr>
            </w:pPr>
            <w:r>
              <w:rPr>
                <w:rFonts w:ascii="宋体" w:hAnsi="宋体" w:eastAsia="宋体" w:cs="宋体"/>
                <w:spacing w:val="-2"/>
                <w:sz w:val="24"/>
                <w:szCs w:val="24"/>
              </w:rPr>
              <w:t>病房医</w:t>
            </w:r>
          </w:p>
          <w:p w14:paraId="72E4BE9A">
            <w:pPr>
              <w:spacing w:before="310" w:line="220" w:lineRule="auto"/>
              <w:ind w:left="165"/>
              <w:rPr>
                <w:rFonts w:ascii="宋体" w:hAnsi="宋体" w:eastAsia="宋体" w:cs="宋体"/>
                <w:sz w:val="24"/>
                <w:szCs w:val="24"/>
              </w:rPr>
            </w:pPr>
            <w:r>
              <w:rPr>
                <w:rFonts w:ascii="宋体" w:hAnsi="宋体" w:eastAsia="宋体" w:cs="宋体"/>
                <w:spacing w:val="-3"/>
                <w:sz w:val="24"/>
                <w:szCs w:val="24"/>
              </w:rPr>
              <w:t>生辅助</w:t>
            </w:r>
          </w:p>
          <w:p w14:paraId="3B72303D">
            <w:pPr>
              <w:spacing w:before="309" w:line="221" w:lineRule="auto"/>
              <w:ind w:left="288"/>
              <w:rPr>
                <w:rFonts w:ascii="宋体" w:hAnsi="宋体" w:eastAsia="宋体" w:cs="宋体"/>
                <w:sz w:val="24"/>
                <w:szCs w:val="24"/>
              </w:rPr>
            </w:pPr>
            <w:r>
              <w:rPr>
                <w:rFonts w:ascii="宋体" w:hAnsi="宋体" w:eastAsia="宋体" w:cs="宋体"/>
                <w:spacing w:val="-4"/>
                <w:sz w:val="24"/>
                <w:szCs w:val="24"/>
              </w:rPr>
              <w:t>系统</w:t>
            </w:r>
          </w:p>
        </w:tc>
        <w:tc>
          <w:tcPr>
            <w:tcW w:w="1560" w:type="dxa"/>
            <w:vMerge w:val="restart"/>
            <w:tcBorders>
              <w:bottom w:val="nil"/>
            </w:tcBorders>
            <w:vAlign w:val="top"/>
          </w:tcPr>
          <w:p w14:paraId="2F1119E3">
            <w:pPr>
              <w:spacing w:line="300" w:lineRule="auto"/>
              <w:rPr>
                <w:rFonts w:ascii="Arial"/>
                <w:sz w:val="21"/>
              </w:rPr>
            </w:pPr>
          </w:p>
          <w:p w14:paraId="6022C0E4">
            <w:pPr>
              <w:spacing w:line="300" w:lineRule="auto"/>
              <w:rPr>
                <w:rFonts w:ascii="Arial"/>
                <w:sz w:val="21"/>
              </w:rPr>
            </w:pPr>
          </w:p>
          <w:p w14:paraId="5021602F">
            <w:pPr>
              <w:spacing w:before="58" w:line="369" w:lineRule="auto"/>
              <w:ind w:left="598" w:right="147" w:hanging="447"/>
              <w:rPr>
                <w:rFonts w:ascii="宋体" w:hAnsi="宋体" w:eastAsia="宋体" w:cs="宋体"/>
                <w:sz w:val="18"/>
                <w:szCs w:val="18"/>
              </w:rPr>
            </w:pPr>
            <w:r>
              <w:rPr>
                <w:rFonts w:ascii="宋体" w:hAnsi="宋体" w:eastAsia="宋体" w:cs="宋体"/>
                <w:spacing w:val="-2"/>
                <w:sz w:val="18"/>
                <w:szCs w:val="18"/>
              </w:rPr>
              <w:t>★智能推荐鉴别</w:t>
            </w:r>
            <w:r>
              <w:rPr>
                <w:rFonts w:ascii="宋体" w:hAnsi="宋体" w:eastAsia="宋体" w:cs="宋体"/>
                <w:spacing w:val="3"/>
                <w:sz w:val="18"/>
                <w:szCs w:val="18"/>
              </w:rPr>
              <w:t xml:space="preserve"> </w:t>
            </w:r>
            <w:r>
              <w:rPr>
                <w:rFonts w:ascii="宋体" w:hAnsi="宋体" w:eastAsia="宋体" w:cs="宋体"/>
                <w:spacing w:val="-2"/>
                <w:sz w:val="18"/>
                <w:szCs w:val="18"/>
              </w:rPr>
              <w:t>诊断</w:t>
            </w:r>
          </w:p>
        </w:tc>
        <w:tc>
          <w:tcPr>
            <w:tcW w:w="7736" w:type="dxa"/>
            <w:vAlign w:val="top"/>
          </w:tcPr>
          <w:p w14:paraId="2671070A">
            <w:pPr>
              <w:spacing w:before="94" w:line="328" w:lineRule="auto"/>
              <w:ind w:left="107" w:right="99" w:firstLine="1"/>
              <w:rPr>
                <w:rFonts w:ascii="宋体" w:hAnsi="宋体" w:eastAsia="宋体" w:cs="宋体"/>
                <w:sz w:val="18"/>
                <w:szCs w:val="18"/>
              </w:rPr>
            </w:pPr>
            <w:r>
              <w:rPr>
                <w:rFonts w:ascii="宋体" w:hAnsi="宋体" w:eastAsia="宋体" w:cs="宋体"/>
                <w:spacing w:val="3"/>
                <w:sz w:val="18"/>
                <w:szCs w:val="18"/>
              </w:rPr>
              <w:t>支持结合患者的临床表现（主诉、现病史等病历信息以及检验值信息</w:t>
            </w:r>
            <w:r>
              <w:rPr>
                <w:rFonts w:ascii="宋体" w:hAnsi="宋体" w:eastAsia="宋体" w:cs="宋体"/>
                <w:spacing w:val="10"/>
                <w:sz w:val="18"/>
                <w:szCs w:val="18"/>
              </w:rPr>
              <w:t>），</w:t>
            </w:r>
            <w:r>
              <w:rPr>
                <w:rFonts w:ascii="宋体" w:hAnsi="宋体" w:eastAsia="宋体" w:cs="宋体"/>
                <w:spacing w:val="3"/>
                <w:sz w:val="18"/>
                <w:szCs w:val="18"/>
              </w:rPr>
              <w:t>智能判断患者疑似疾</w:t>
            </w:r>
            <w:r>
              <w:rPr>
                <w:rFonts w:ascii="宋体" w:hAnsi="宋体" w:eastAsia="宋体" w:cs="宋体"/>
                <w:sz w:val="18"/>
                <w:szCs w:val="18"/>
              </w:rPr>
              <w:t xml:space="preserve"> </w:t>
            </w:r>
            <w:r>
              <w:rPr>
                <w:rFonts w:ascii="宋体" w:hAnsi="宋体" w:eastAsia="宋体" w:cs="宋体"/>
                <w:spacing w:val="-5"/>
                <w:sz w:val="18"/>
                <w:szCs w:val="18"/>
              </w:rPr>
              <w:t>病，实时引导医生全面考虑患者病情，避免漏诊、误诊。</w:t>
            </w:r>
          </w:p>
        </w:tc>
      </w:tr>
      <w:tr w14:paraId="33F92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2F1CF0A5">
            <w:pPr>
              <w:rPr>
                <w:rFonts w:ascii="Arial"/>
                <w:sz w:val="21"/>
              </w:rPr>
            </w:pPr>
          </w:p>
        </w:tc>
        <w:tc>
          <w:tcPr>
            <w:tcW w:w="1560" w:type="dxa"/>
            <w:vMerge w:val="continue"/>
            <w:tcBorders>
              <w:top w:val="nil"/>
              <w:bottom w:val="nil"/>
            </w:tcBorders>
            <w:vAlign w:val="top"/>
          </w:tcPr>
          <w:p w14:paraId="212A6393">
            <w:pPr>
              <w:rPr>
                <w:rFonts w:ascii="Arial"/>
                <w:sz w:val="21"/>
              </w:rPr>
            </w:pPr>
          </w:p>
        </w:tc>
        <w:tc>
          <w:tcPr>
            <w:tcW w:w="7736" w:type="dxa"/>
            <w:vAlign w:val="top"/>
          </w:tcPr>
          <w:p w14:paraId="3334A7D8">
            <w:pPr>
              <w:spacing w:before="95" w:line="219" w:lineRule="auto"/>
              <w:ind w:left="108"/>
              <w:rPr>
                <w:rFonts w:ascii="宋体" w:hAnsi="宋体" w:eastAsia="宋体" w:cs="宋体"/>
                <w:sz w:val="18"/>
                <w:szCs w:val="18"/>
              </w:rPr>
            </w:pPr>
            <w:r>
              <w:rPr>
                <w:rFonts w:ascii="宋体" w:hAnsi="宋体" w:eastAsia="宋体" w:cs="宋体"/>
                <w:spacing w:val="-4"/>
                <w:sz w:val="18"/>
                <w:szCs w:val="18"/>
              </w:rPr>
              <w:t>支持医生根据系统推荐的鉴别诊断，直接查阅诊断相关的疾病详情以及与之相关的文献、指南。</w:t>
            </w:r>
          </w:p>
        </w:tc>
      </w:tr>
      <w:tr w14:paraId="40E82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bottom w:val="nil"/>
            </w:tcBorders>
            <w:vAlign w:val="top"/>
          </w:tcPr>
          <w:p w14:paraId="423DF963">
            <w:pPr>
              <w:rPr>
                <w:rFonts w:ascii="Arial"/>
                <w:sz w:val="21"/>
              </w:rPr>
            </w:pPr>
          </w:p>
        </w:tc>
        <w:tc>
          <w:tcPr>
            <w:tcW w:w="1560" w:type="dxa"/>
            <w:vMerge w:val="continue"/>
            <w:tcBorders>
              <w:top w:val="nil"/>
            </w:tcBorders>
            <w:vAlign w:val="top"/>
          </w:tcPr>
          <w:p w14:paraId="3758AC64">
            <w:pPr>
              <w:rPr>
                <w:rFonts w:ascii="Arial"/>
                <w:sz w:val="21"/>
              </w:rPr>
            </w:pPr>
          </w:p>
        </w:tc>
        <w:tc>
          <w:tcPr>
            <w:tcW w:w="7736" w:type="dxa"/>
            <w:vAlign w:val="top"/>
          </w:tcPr>
          <w:p w14:paraId="0437B9DA">
            <w:pPr>
              <w:spacing w:before="96" w:line="327" w:lineRule="auto"/>
              <w:ind w:left="108" w:right="104"/>
              <w:rPr>
                <w:rFonts w:ascii="宋体" w:hAnsi="宋体" w:eastAsia="宋体" w:cs="宋体"/>
                <w:sz w:val="18"/>
                <w:szCs w:val="18"/>
              </w:rPr>
            </w:pPr>
            <w:r>
              <w:rPr>
                <w:rFonts w:ascii="宋体" w:hAnsi="宋体" w:eastAsia="宋体" w:cs="宋体"/>
                <w:spacing w:val="-1"/>
                <w:sz w:val="18"/>
                <w:szCs w:val="18"/>
              </w:rPr>
              <w:t>支持科室，至少包括：普内科（消化内科、呼吸内科、心内科等等）、普外科（</w:t>
            </w:r>
            <w:r>
              <w:rPr>
                <w:rFonts w:ascii="宋体" w:hAnsi="宋体" w:eastAsia="宋体" w:cs="宋体"/>
                <w:spacing w:val="-2"/>
                <w:sz w:val="18"/>
                <w:szCs w:val="18"/>
              </w:rPr>
              <w:t>心血管外科、神</w:t>
            </w:r>
            <w:r>
              <w:rPr>
                <w:rFonts w:ascii="宋体" w:hAnsi="宋体" w:eastAsia="宋体" w:cs="宋体"/>
                <w:sz w:val="18"/>
                <w:szCs w:val="18"/>
              </w:rPr>
              <w:t xml:space="preserve"> </w:t>
            </w:r>
            <w:r>
              <w:rPr>
                <w:rFonts w:ascii="宋体" w:hAnsi="宋体" w:eastAsia="宋体" w:cs="宋体"/>
                <w:spacing w:val="-3"/>
                <w:sz w:val="18"/>
                <w:szCs w:val="18"/>
              </w:rPr>
              <w:t>经外科等等）、骨科、妇科、儿科。</w:t>
            </w:r>
          </w:p>
        </w:tc>
      </w:tr>
      <w:tr w14:paraId="69FF2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7" w:hRule="atLeast"/>
        </w:trPr>
        <w:tc>
          <w:tcPr>
            <w:tcW w:w="1042" w:type="dxa"/>
            <w:vMerge w:val="continue"/>
            <w:tcBorders>
              <w:top w:val="nil"/>
              <w:bottom w:val="nil"/>
            </w:tcBorders>
            <w:vAlign w:val="top"/>
          </w:tcPr>
          <w:p w14:paraId="09E963C0">
            <w:pPr>
              <w:rPr>
                <w:rFonts w:ascii="Arial"/>
                <w:sz w:val="21"/>
              </w:rPr>
            </w:pPr>
          </w:p>
        </w:tc>
        <w:tc>
          <w:tcPr>
            <w:tcW w:w="1560" w:type="dxa"/>
            <w:vMerge w:val="restart"/>
            <w:tcBorders>
              <w:bottom w:val="nil"/>
            </w:tcBorders>
            <w:vAlign w:val="top"/>
          </w:tcPr>
          <w:p w14:paraId="27ECC180">
            <w:pPr>
              <w:spacing w:line="251" w:lineRule="auto"/>
              <w:rPr>
                <w:rFonts w:ascii="Arial"/>
                <w:sz w:val="21"/>
              </w:rPr>
            </w:pPr>
          </w:p>
          <w:p w14:paraId="33956DB8">
            <w:pPr>
              <w:spacing w:line="251" w:lineRule="auto"/>
              <w:rPr>
                <w:rFonts w:ascii="Arial"/>
                <w:sz w:val="21"/>
              </w:rPr>
            </w:pPr>
          </w:p>
          <w:p w14:paraId="619D93B0">
            <w:pPr>
              <w:spacing w:line="251" w:lineRule="auto"/>
              <w:rPr>
                <w:rFonts w:ascii="Arial"/>
                <w:sz w:val="21"/>
              </w:rPr>
            </w:pPr>
          </w:p>
          <w:p w14:paraId="58A37024">
            <w:pPr>
              <w:spacing w:line="251" w:lineRule="auto"/>
              <w:rPr>
                <w:rFonts w:ascii="Arial"/>
                <w:sz w:val="21"/>
              </w:rPr>
            </w:pPr>
          </w:p>
          <w:p w14:paraId="7CC8D0FD">
            <w:pPr>
              <w:spacing w:line="252" w:lineRule="auto"/>
              <w:rPr>
                <w:rFonts w:ascii="Arial"/>
                <w:sz w:val="21"/>
              </w:rPr>
            </w:pPr>
          </w:p>
          <w:p w14:paraId="43025135">
            <w:pPr>
              <w:spacing w:line="252" w:lineRule="auto"/>
              <w:rPr>
                <w:rFonts w:ascii="Arial"/>
                <w:sz w:val="21"/>
              </w:rPr>
            </w:pPr>
          </w:p>
          <w:p w14:paraId="364673FB">
            <w:pPr>
              <w:spacing w:line="252" w:lineRule="auto"/>
              <w:rPr>
                <w:rFonts w:ascii="Arial"/>
                <w:sz w:val="21"/>
              </w:rPr>
            </w:pPr>
          </w:p>
          <w:p w14:paraId="361EBE21">
            <w:pPr>
              <w:spacing w:line="252" w:lineRule="auto"/>
              <w:rPr>
                <w:rFonts w:ascii="Arial"/>
                <w:sz w:val="21"/>
              </w:rPr>
            </w:pPr>
          </w:p>
          <w:p w14:paraId="787294CF">
            <w:pPr>
              <w:spacing w:line="252" w:lineRule="auto"/>
              <w:rPr>
                <w:rFonts w:ascii="Arial"/>
                <w:sz w:val="21"/>
              </w:rPr>
            </w:pPr>
          </w:p>
          <w:p w14:paraId="0BBC7462">
            <w:pPr>
              <w:spacing w:before="58" w:line="368" w:lineRule="auto"/>
              <w:ind w:left="507" w:right="417" w:hanging="84"/>
              <w:rPr>
                <w:rFonts w:ascii="宋体" w:hAnsi="宋体" w:eastAsia="宋体" w:cs="宋体"/>
                <w:sz w:val="18"/>
                <w:szCs w:val="18"/>
              </w:rPr>
            </w:pPr>
            <w:r>
              <w:rPr>
                <w:rFonts w:ascii="宋体" w:hAnsi="宋体" w:eastAsia="宋体" w:cs="宋体"/>
                <w:spacing w:val="-3"/>
                <w:sz w:val="18"/>
                <w:szCs w:val="18"/>
              </w:rPr>
              <w:t>智能推荐</w:t>
            </w:r>
            <w:r>
              <w:rPr>
                <w:rFonts w:ascii="宋体" w:hAnsi="宋体" w:eastAsia="宋体" w:cs="宋体"/>
                <w:sz w:val="18"/>
                <w:szCs w:val="18"/>
              </w:rPr>
              <w:t xml:space="preserve"> </w:t>
            </w:r>
            <w:r>
              <w:rPr>
                <w:rFonts w:ascii="宋体" w:hAnsi="宋体" w:eastAsia="宋体" w:cs="宋体"/>
                <w:spacing w:val="-2"/>
                <w:sz w:val="18"/>
                <w:szCs w:val="18"/>
              </w:rPr>
              <w:t>评估表</w:t>
            </w:r>
          </w:p>
        </w:tc>
        <w:tc>
          <w:tcPr>
            <w:tcW w:w="7736" w:type="dxa"/>
            <w:vAlign w:val="top"/>
          </w:tcPr>
          <w:p w14:paraId="2AE48565">
            <w:pPr>
              <w:spacing w:before="96" w:line="369" w:lineRule="auto"/>
              <w:ind w:left="108" w:right="53"/>
              <w:rPr>
                <w:rFonts w:ascii="宋体" w:hAnsi="宋体" w:eastAsia="宋体" w:cs="宋体"/>
                <w:sz w:val="18"/>
                <w:szCs w:val="18"/>
              </w:rPr>
            </w:pPr>
            <w:r>
              <w:rPr>
                <w:rFonts w:ascii="宋体" w:hAnsi="宋体" w:eastAsia="宋体" w:cs="宋体"/>
                <w:spacing w:val="-3"/>
                <w:sz w:val="18"/>
                <w:szCs w:val="18"/>
              </w:rPr>
              <w:t>根据患者当前病情，系统可实时为医生推荐该患者需要进行评估的评估表，数量不少于</w:t>
            </w:r>
            <w:r>
              <w:rPr>
                <w:rFonts w:ascii="宋体" w:hAnsi="宋体" w:eastAsia="宋体" w:cs="宋体"/>
                <w:spacing w:val="-7"/>
                <w:sz w:val="18"/>
                <w:szCs w:val="18"/>
              </w:rPr>
              <w:t xml:space="preserve"> </w:t>
            </w:r>
            <w:r>
              <w:rPr>
                <w:rFonts w:ascii="宋体" w:hAnsi="宋体" w:eastAsia="宋体" w:cs="宋体"/>
                <w:spacing w:val="-3"/>
                <w:sz w:val="18"/>
                <w:szCs w:val="18"/>
              </w:rPr>
              <w:t>1000</w:t>
            </w:r>
            <w:r>
              <w:rPr>
                <w:rFonts w:ascii="宋体" w:hAnsi="宋体" w:eastAsia="宋体" w:cs="宋体"/>
                <w:spacing w:val="-38"/>
                <w:sz w:val="18"/>
                <w:szCs w:val="18"/>
              </w:rPr>
              <w:t xml:space="preserve"> </w:t>
            </w:r>
            <w:r>
              <w:rPr>
                <w:rFonts w:ascii="宋体" w:hAnsi="宋体" w:eastAsia="宋体" w:cs="宋体"/>
                <w:spacing w:val="-3"/>
                <w:sz w:val="18"/>
                <w:szCs w:val="18"/>
              </w:rPr>
              <w:t>种，</w:t>
            </w:r>
            <w:r>
              <w:rPr>
                <w:rFonts w:ascii="宋体" w:hAnsi="宋体" w:eastAsia="宋体" w:cs="宋体"/>
                <w:sz w:val="18"/>
                <w:szCs w:val="18"/>
              </w:rPr>
              <w:t xml:space="preserve"> </w:t>
            </w:r>
            <w:r>
              <w:rPr>
                <w:rFonts w:ascii="宋体" w:hAnsi="宋体" w:eastAsia="宋体" w:cs="宋体"/>
                <w:spacing w:val="-5"/>
                <w:sz w:val="18"/>
                <w:szCs w:val="18"/>
              </w:rPr>
              <w:t>且至少包含以下功能：</w:t>
            </w:r>
          </w:p>
          <w:p w14:paraId="02B79094">
            <w:pPr>
              <w:spacing w:before="24" w:line="328" w:lineRule="auto"/>
              <w:ind w:left="108" w:right="99" w:firstLine="13"/>
              <w:rPr>
                <w:rFonts w:ascii="宋体" w:hAnsi="宋体" w:eastAsia="宋体" w:cs="宋体"/>
                <w:sz w:val="18"/>
                <w:szCs w:val="18"/>
              </w:rPr>
            </w:pPr>
            <w:r>
              <w:rPr>
                <w:rFonts w:ascii="宋体" w:hAnsi="宋体" w:eastAsia="宋体" w:cs="宋体"/>
                <w:spacing w:val="-5"/>
                <w:sz w:val="18"/>
                <w:szCs w:val="18"/>
              </w:rPr>
              <w:t>1.</w:t>
            </w:r>
            <w:r>
              <w:rPr>
                <w:rFonts w:ascii="宋体" w:hAnsi="宋体" w:eastAsia="宋体" w:cs="宋体"/>
                <w:spacing w:val="69"/>
                <w:sz w:val="18"/>
                <w:szCs w:val="18"/>
              </w:rPr>
              <w:t xml:space="preserve"> </w:t>
            </w:r>
            <w:r>
              <w:rPr>
                <w:rFonts w:ascii="宋体" w:hAnsi="宋体" w:eastAsia="宋体" w:cs="宋体"/>
                <w:spacing w:val="-5"/>
                <w:sz w:val="18"/>
                <w:szCs w:val="18"/>
              </w:rPr>
              <w:t>医生确定初步诊断时系统能自动推荐相关评估表，医生可直接点击查看评估表详情。例如，当</w:t>
            </w:r>
            <w:r>
              <w:rPr>
                <w:rFonts w:ascii="宋体" w:hAnsi="宋体" w:eastAsia="宋体" w:cs="宋体"/>
                <w:sz w:val="18"/>
                <w:szCs w:val="18"/>
              </w:rPr>
              <w:t xml:space="preserve"> </w:t>
            </w:r>
            <w:r>
              <w:rPr>
                <w:rFonts w:ascii="宋体" w:hAnsi="宋体" w:eastAsia="宋体" w:cs="宋体"/>
                <w:spacing w:val="-4"/>
                <w:sz w:val="18"/>
                <w:szCs w:val="18"/>
              </w:rPr>
              <w:t>患者初步诊断为急性脑梗时，系统自动推</w:t>
            </w:r>
            <w:r>
              <w:rPr>
                <w:rFonts w:ascii="宋体" w:hAnsi="宋体" w:eastAsia="宋体" w:cs="宋体"/>
                <w:spacing w:val="-40"/>
                <w:sz w:val="18"/>
                <w:szCs w:val="18"/>
              </w:rPr>
              <w:t xml:space="preserve"> </w:t>
            </w:r>
            <w:r>
              <w:rPr>
                <w:rFonts w:ascii="宋体" w:hAnsi="宋体" w:eastAsia="宋体" w:cs="宋体"/>
                <w:spacing w:val="-4"/>
                <w:sz w:val="18"/>
                <w:szCs w:val="18"/>
              </w:rPr>
              <w:t>NIHSS</w:t>
            </w:r>
            <w:r>
              <w:rPr>
                <w:rFonts w:ascii="宋体" w:hAnsi="宋体" w:eastAsia="宋体" w:cs="宋体"/>
                <w:spacing w:val="-38"/>
                <w:sz w:val="18"/>
                <w:szCs w:val="18"/>
              </w:rPr>
              <w:t xml:space="preserve"> </w:t>
            </w:r>
            <w:r>
              <w:rPr>
                <w:rFonts w:ascii="宋体" w:hAnsi="宋体" w:eastAsia="宋体" w:cs="宋体"/>
                <w:spacing w:val="-4"/>
                <w:sz w:val="18"/>
                <w:szCs w:val="18"/>
              </w:rPr>
              <w:t>卒中量表、卒中静脉溶栓禁忌、mRS</w:t>
            </w:r>
            <w:r>
              <w:rPr>
                <w:rFonts w:ascii="宋体" w:hAnsi="宋体" w:eastAsia="宋体" w:cs="宋体"/>
                <w:spacing w:val="-41"/>
                <w:sz w:val="18"/>
                <w:szCs w:val="18"/>
              </w:rPr>
              <w:t xml:space="preserve"> </w:t>
            </w:r>
            <w:r>
              <w:rPr>
                <w:rFonts w:ascii="宋体" w:hAnsi="宋体" w:eastAsia="宋体" w:cs="宋体"/>
                <w:spacing w:val="-4"/>
                <w:sz w:val="18"/>
                <w:szCs w:val="18"/>
              </w:rPr>
              <w:t>量表、TOAST</w:t>
            </w:r>
            <w:r>
              <w:rPr>
                <w:rFonts w:ascii="宋体" w:hAnsi="宋体" w:eastAsia="宋体" w:cs="宋体"/>
                <w:sz w:val="18"/>
                <w:szCs w:val="18"/>
              </w:rPr>
              <w:t xml:space="preserve">  </w:t>
            </w:r>
            <w:r>
              <w:rPr>
                <w:rFonts w:ascii="宋体" w:hAnsi="宋体" w:eastAsia="宋体" w:cs="宋体"/>
                <w:spacing w:val="-4"/>
                <w:sz w:val="18"/>
                <w:szCs w:val="18"/>
              </w:rPr>
              <w:t>缺血性卒中分型等量表供医生选用。</w:t>
            </w:r>
          </w:p>
          <w:p w14:paraId="0DC4DAA7">
            <w:pPr>
              <w:spacing w:before="158" w:line="220" w:lineRule="auto"/>
              <w:ind w:left="110"/>
              <w:rPr>
                <w:rFonts w:ascii="宋体" w:hAnsi="宋体" w:eastAsia="宋体" w:cs="宋体"/>
                <w:sz w:val="18"/>
                <w:szCs w:val="18"/>
              </w:rPr>
            </w:pPr>
            <w:r>
              <w:rPr>
                <w:rFonts w:ascii="宋体" w:hAnsi="宋体" w:eastAsia="宋体" w:cs="宋体"/>
                <w:spacing w:val="-1"/>
                <w:sz w:val="18"/>
                <w:szCs w:val="18"/>
              </w:rPr>
              <w:t>2.</w:t>
            </w:r>
            <w:r>
              <w:rPr>
                <w:rFonts w:ascii="宋体" w:hAnsi="宋体" w:eastAsia="宋体" w:cs="宋体"/>
                <w:spacing w:val="67"/>
                <w:w w:val="101"/>
                <w:sz w:val="18"/>
                <w:szCs w:val="18"/>
              </w:rPr>
              <w:t xml:space="preserve"> </w:t>
            </w:r>
            <w:r>
              <w:rPr>
                <w:rFonts w:ascii="宋体" w:hAnsi="宋体" w:eastAsia="宋体" w:cs="宋体"/>
                <w:spacing w:val="-1"/>
                <w:sz w:val="18"/>
                <w:szCs w:val="18"/>
              </w:rPr>
              <w:t>根据患者评分情况给出病情严重风险程度建议，并自动累加勾选中的细项分值</w:t>
            </w:r>
          </w:p>
          <w:p w14:paraId="4167ABAA">
            <w:pPr>
              <w:spacing w:before="158" w:line="301" w:lineRule="auto"/>
              <w:ind w:left="111" w:right="140"/>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59"/>
                <w:sz w:val="18"/>
                <w:szCs w:val="18"/>
              </w:rPr>
              <w:t xml:space="preserve"> </w:t>
            </w:r>
            <w:r>
              <w:rPr>
                <w:rFonts w:ascii="宋体" w:hAnsi="宋体" w:eastAsia="宋体" w:cs="宋体"/>
                <w:spacing w:val="3"/>
                <w:sz w:val="18"/>
                <w:szCs w:val="18"/>
              </w:rPr>
              <w:t>支持评分结果及分析自动写回患者电子病历中（需要第三方厂商配合）。通过是否点选“</w:t>
            </w:r>
            <w:r>
              <w:rPr>
                <w:rFonts w:ascii="宋体" w:hAnsi="宋体" w:eastAsia="宋体" w:cs="宋体"/>
                <w:sz w:val="18"/>
                <w:szCs w:val="18"/>
              </w:rPr>
              <w:t xml:space="preserve"> </w:t>
            </w:r>
            <w:r>
              <w:rPr>
                <w:rFonts w:ascii="宋体" w:hAnsi="宋体" w:eastAsia="宋体" w:cs="宋体"/>
                <w:spacing w:val="1"/>
                <w:sz w:val="18"/>
                <w:szCs w:val="18"/>
              </w:rPr>
              <w:t>结论不回填至病历</w:t>
            </w:r>
            <w:r>
              <w:rPr>
                <w:rFonts w:ascii="宋体" w:hAnsi="宋体" w:eastAsia="宋体" w:cs="宋体"/>
                <w:spacing w:val="-60"/>
                <w:sz w:val="18"/>
                <w:szCs w:val="18"/>
              </w:rPr>
              <w:t xml:space="preserve"> </w:t>
            </w:r>
            <w:r>
              <w:rPr>
                <w:rFonts w:ascii="宋体" w:hAnsi="宋体" w:eastAsia="宋体" w:cs="宋体"/>
                <w:spacing w:val="1"/>
                <w:sz w:val="18"/>
                <w:szCs w:val="18"/>
              </w:rPr>
              <w:t>”可控制回填功能。</w:t>
            </w:r>
          </w:p>
          <w:p w14:paraId="036D7743">
            <w:pPr>
              <w:spacing w:before="158" w:line="218" w:lineRule="auto"/>
              <w:ind w:left="107"/>
              <w:rPr>
                <w:rFonts w:ascii="宋体" w:hAnsi="宋体" w:eastAsia="宋体" w:cs="宋体"/>
                <w:sz w:val="18"/>
                <w:szCs w:val="18"/>
              </w:rPr>
            </w:pPr>
            <w:r>
              <w:rPr>
                <w:rFonts w:ascii="宋体" w:hAnsi="宋体" w:eastAsia="宋体" w:cs="宋体"/>
                <w:spacing w:val="-4"/>
                <w:sz w:val="18"/>
                <w:szCs w:val="18"/>
              </w:rPr>
              <w:t>4.</w:t>
            </w:r>
            <w:r>
              <w:rPr>
                <w:rFonts w:ascii="宋体" w:hAnsi="宋体" w:eastAsia="宋体" w:cs="宋体"/>
                <w:spacing w:val="58"/>
                <w:sz w:val="18"/>
                <w:szCs w:val="18"/>
              </w:rPr>
              <w:t xml:space="preserve"> </w:t>
            </w:r>
            <w:r>
              <w:rPr>
                <w:rFonts w:ascii="宋体" w:hAnsi="宋体" w:eastAsia="宋体" w:cs="宋体"/>
                <w:spacing w:val="-4"/>
                <w:sz w:val="18"/>
                <w:szCs w:val="18"/>
              </w:rPr>
              <w:t>支持以两种方式单独或合并回填评估结论：1.评估表结果说明。2.各细项的评分情况。</w:t>
            </w:r>
          </w:p>
          <w:p w14:paraId="28285837">
            <w:pPr>
              <w:spacing w:before="160" w:line="218" w:lineRule="auto"/>
              <w:ind w:left="111"/>
              <w:rPr>
                <w:rFonts w:ascii="宋体" w:hAnsi="宋体" w:eastAsia="宋体" w:cs="宋体"/>
                <w:sz w:val="18"/>
                <w:szCs w:val="18"/>
              </w:rPr>
            </w:pPr>
            <w:r>
              <w:rPr>
                <w:rFonts w:ascii="宋体" w:hAnsi="宋体" w:eastAsia="宋体" w:cs="宋体"/>
                <w:spacing w:val="2"/>
                <w:sz w:val="18"/>
                <w:szCs w:val="18"/>
              </w:rPr>
              <w:t>5.</w:t>
            </w:r>
            <w:r>
              <w:rPr>
                <w:rFonts w:ascii="宋体" w:hAnsi="宋体" w:eastAsia="宋体" w:cs="宋体"/>
                <w:spacing w:val="56"/>
                <w:sz w:val="18"/>
                <w:szCs w:val="18"/>
              </w:rPr>
              <w:t xml:space="preserve"> </w:t>
            </w:r>
            <w:r>
              <w:rPr>
                <w:rFonts w:ascii="宋体" w:hAnsi="宋体" w:eastAsia="宋体" w:cs="宋体"/>
                <w:spacing w:val="2"/>
                <w:sz w:val="18"/>
                <w:szCs w:val="18"/>
              </w:rPr>
              <w:t>支持查阅在本系统中评估的历史评估记录。</w:t>
            </w:r>
          </w:p>
          <w:p w14:paraId="484A8C13">
            <w:pPr>
              <w:spacing w:before="160" w:line="300" w:lineRule="auto"/>
              <w:ind w:left="108" w:right="2743"/>
              <w:rPr>
                <w:rFonts w:ascii="宋体" w:hAnsi="宋体" w:eastAsia="宋体" w:cs="宋体"/>
                <w:sz w:val="18"/>
                <w:szCs w:val="18"/>
              </w:rPr>
            </w:pPr>
            <w:r>
              <w:rPr>
                <w:rFonts w:ascii="宋体" w:hAnsi="宋体" w:eastAsia="宋体" w:cs="宋体"/>
                <w:spacing w:val="1"/>
                <w:sz w:val="18"/>
                <w:szCs w:val="18"/>
              </w:rPr>
              <w:t>6.</w:t>
            </w:r>
            <w:r>
              <w:rPr>
                <w:rFonts w:ascii="宋体" w:hAnsi="宋体" w:eastAsia="宋体" w:cs="宋体"/>
                <w:spacing w:val="58"/>
                <w:sz w:val="18"/>
                <w:szCs w:val="18"/>
              </w:rPr>
              <w:t xml:space="preserve"> </w:t>
            </w:r>
            <w:r>
              <w:rPr>
                <w:rFonts w:ascii="宋体" w:hAnsi="宋体" w:eastAsia="宋体" w:cs="宋体"/>
                <w:spacing w:val="1"/>
                <w:sz w:val="18"/>
                <w:szCs w:val="18"/>
              </w:rPr>
              <w:t>支持评估完成的评估表进行在线打印或以</w:t>
            </w:r>
            <w:r>
              <w:rPr>
                <w:rFonts w:ascii="宋体" w:hAnsi="宋体" w:eastAsia="宋体" w:cs="宋体"/>
                <w:spacing w:val="-36"/>
                <w:sz w:val="18"/>
                <w:szCs w:val="18"/>
              </w:rPr>
              <w:t xml:space="preserve"> </w:t>
            </w:r>
            <w:r>
              <w:rPr>
                <w:rFonts w:ascii="宋体" w:hAnsi="宋体" w:eastAsia="宋体" w:cs="宋体"/>
                <w:sz w:val="18"/>
                <w:szCs w:val="18"/>
              </w:rPr>
              <w:t>PDF</w:t>
            </w:r>
            <w:r>
              <w:rPr>
                <w:rFonts w:ascii="宋体" w:hAnsi="宋体" w:eastAsia="宋体" w:cs="宋体"/>
                <w:spacing w:val="-35"/>
                <w:sz w:val="18"/>
                <w:szCs w:val="18"/>
              </w:rPr>
              <w:t xml:space="preserve"> </w:t>
            </w:r>
            <w:r>
              <w:rPr>
                <w:rFonts w:ascii="宋体" w:hAnsi="宋体" w:eastAsia="宋体" w:cs="宋体"/>
                <w:spacing w:val="1"/>
                <w:sz w:val="18"/>
                <w:szCs w:val="18"/>
              </w:rPr>
              <w:t>格式下载。</w:t>
            </w:r>
            <w:r>
              <w:rPr>
                <w:rFonts w:ascii="宋体" w:hAnsi="宋体" w:eastAsia="宋体" w:cs="宋体"/>
                <w:sz w:val="18"/>
                <w:szCs w:val="18"/>
              </w:rPr>
              <w:t xml:space="preserve"> </w:t>
            </w:r>
            <w:r>
              <w:rPr>
                <w:rFonts w:ascii="宋体" w:hAnsi="宋体" w:eastAsia="宋体" w:cs="宋体"/>
                <w:spacing w:val="3"/>
                <w:sz w:val="18"/>
                <w:szCs w:val="18"/>
              </w:rPr>
              <w:t>支持对历史评估表进行作废处理，但需备注作废理由。</w:t>
            </w:r>
          </w:p>
        </w:tc>
      </w:tr>
      <w:tr w14:paraId="54F42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042" w:type="dxa"/>
            <w:vMerge w:val="continue"/>
            <w:tcBorders>
              <w:top w:val="nil"/>
              <w:bottom w:val="nil"/>
            </w:tcBorders>
            <w:vAlign w:val="top"/>
          </w:tcPr>
          <w:p w14:paraId="6F0C2CA1">
            <w:pPr>
              <w:rPr>
                <w:rFonts w:ascii="Arial"/>
                <w:sz w:val="21"/>
              </w:rPr>
            </w:pPr>
          </w:p>
        </w:tc>
        <w:tc>
          <w:tcPr>
            <w:tcW w:w="1560" w:type="dxa"/>
            <w:vMerge w:val="continue"/>
            <w:tcBorders>
              <w:top w:val="nil"/>
            </w:tcBorders>
            <w:vAlign w:val="top"/>
          </w:tcPr>
          <w:p w14:paraId="7DC0D407">
            <w:pPr>
              <w:rPr>
                <w:rFonts w:ascii="Arial"/>
                <w:sz w:val="21"/>
              </w:rPr>
            </w:pPr>
          </w:p>
        </w:tc>
        <w:tc>
          <w:tcPr>
            <w:tcW w:w="7736" w:type="dxa"/>
            <w:vAlign w:val="top"/>
          </w:tcPr>
          <w:p w14:paraId="3A9648B6">
            <w:pPr>
              <w:spacing w:before="99" w:line="326" w:lineRule="auto"/>
              <w:ind w:left="124" w:right="106" w:hanging="8"/>
              <w:rPr>
                <w:rFonts w:ascii="宋体" w:hAnsi="宋体" w:eastAsia="宋体" w:cs="宋体"/>
                <w:sz w:val="18"/>
                <w:szCs w:val="18"/>
              </w:rPr>
            </w:pPr>
            <w:r>
              <w:rPr>
                <w:rFonts w:ascii="宋体" w:hAnsi="宋体" w:eastAsia="宋体" w:cs="宋体"/>
                <w:spacing w:val="3"/>
                <w:sz w:val="18"/>
                <w:szCs w:val="18"/>
              </w:rPr>
              <w:t>医生可以根据病人病情需要，主动搜索相应评估表，并在完成评估时将评估结果写回电子</w:t>
            </w:r>
            <w:r>
              <w:rPr>
                <w:rFonts w:ascii="宋体" w:hAnsi="宋体" w:eastAsia="宋体" w:cs="宋体"/>
                <w:spacing w:val="2"/>
                <w:sz w:val="18"/>
                <w:szCs w:val="18"/>
              </w:rPr>
              <w:t>病历</w:t>
            </w:r>
            <w:r>
              <w:rPr>
                <w:rFonts w:ascii="宋体" w:hAnsi="宋体" w:eastAsia="宋体" w:cs="宋体"/>
                <w:sz w:val="18"/>
                <w:szCs w:val="18"/>
              </w:rPr>
              <w:t xml:space="preserve"> </w:t>
            </w:r>
            <w:r>
              <w:rPr>
                <w:rFonts w:ascii="宋体" w:hAnsi="宋体" w:eastAsia="宋体" w:cs="宋体"/>
                <w:spacing w:val="-12"/>
                <w:sz w:val="18"/>
                <w:szCs w:val="18"/>
              </w:rPr>
              <w:t>中。</w:t>
            </w:r>
          </w:p>
        </w:tc>
      </w:tr>
      <w:tr w14:paraId="3784F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1042" w:type="dxa"/>
            <w:vMerge w:val="continue"/>
            <w:tcBorders>
              <w:top w:val="nil"/>
              <w:bottom w:val="nil"/>
            </w:tcBorders>
            <w:vAlign w:val="top"/>
          </w:tcPr>
          <w:p w14:paraId="141E03D5">
            <w:pPr>
              <w:rPr>
                <w:rFonts w:ascii="Arial"/>
                <w:sz w:val="21"/>
              </w:rPr>
            </w:pPr>
          </w:p>
        </w:tc>
        <w:tc>
          <w:tcPr>
            <w:tcW w:w="1560" w:type="dxa"/>
            <w:vMerge w:val="restart"/>
            <w:tcBorders>
              <w:bottom w:val="nil"/>
            </w:tcBorders>
            <w:vAlign w:val="top"/>
          </w:tcPr>
          <w:p w14:paraId="68C6761C">
            <w:pPr>
              <w:spacing w:line="242" w:lineRule="auto"/>
              <w:rPr>
                <w:rFonts w:ascii="Arial"/>
                <w:sz w:val="21"/>
              </w:rPr>
            </w:pPr>
          </w:p>
          <w:p w14:paraId="43659272">
            <w:pPr>
              <w:spacing w:line="242" w:lineRule="auto"/>
              <w:rPr>
                <w:rFonts w:ascii="Arial"/>
                <w:sz w:val="21"/>
              </w:rPr>
            </w:pPr>
          </w:p>
          <w:p w14:paraId="27B36431">
            <w:pPr>
              <w:spacing w:line="242" w:lineRule="auto"/>
              <w:rPr>
                <w:rFonts w:ascii="Arial"/>
                <w:sz w:val="21"/>
              </w:rPr>
            </w:pPr>
          </w:p>
          <w:p w14:paraId="00CA341F">
            <w:pPr>
              <w:spacing w:line="242" w:lineRule="auto"/>
              <w:rPr>
                <w:rFonts w:ascii="Arial"/>
                <w:sz w:val="21"/>
              </w:rPr>
            </w:pPr>
          </w:p>
          <w:p w14:paraId="6657D290">
            <w:pPr>
              <w:spacing w:line="243" w:lineRule="auto"/>
              <w:rPr>
                <w:rFonts w:ascii="Arial"/>
                <w:sz w:val="21"/>
              </w:rPr>
            </w:pPr>
          </w:p>
          <w:p w14:paraId="27559408">
            <w:pPr>
              <w:spacing w:line="243" w:lineRule="auto"/>
              <w:rPr>
                <w:rFonts w:ascii="Arial"/>
                <w:sz w:val="21"/>
              </w:rPr>
            </w:pPr>
          </w:p>
          <w:p w14:paraId="462B30D0">
            <w:pPr>
              <w:spacing w:line="243" w:lineRule="auto"/>
              <w:rPr>
                <w:rFonts w:ascii="Arial"/>
                <w:sz w:val="21"/>
              </w:rPr>
            </w:pPr>
          </w:p>
          <w:p w14:paraId="4F0859FD">
            <w:pPr>
              <w:spacing w:line="243" w:lineRule="auto"/>
              <w:rPr>
                <w:rFonts w:ascii="Arial"/>
                <w:sz w:val="21"/>
              </w:rPr>
            </w:pPr>
          </w:p>
          <w:p w14:paraId="427B35B7">
            <w:pPr>
              <w:spacing w:line="243" w:lineRule="auto"/>
              <w:rPr>
                <w:rFonts w:ascii="Arial"/>
                <w:sz w:val="21"/>
              </w:rPr>
            </w:pPr>
          </w:p>
          <w:p w14:paraId="5DA558B7">
            <w:pPr>
              <w:spacing w:line="243" w:lineRule="auto"/>
              <w:rPr>
                <w:rFonts w:ascii="Arial"/>
                <w:sz w:val="21"/>
              </w:rPr>
            </w:pPr>
          </w:p>
          <w:p w14:paraId="518A8ED8">
            <w:pPr>
              <w:spacing w:before="58" w:line="369" w:lineRule="auto"/>
              <w:ind w:left="690" w:right="147" w:hanging="537"/>
              <w:rPr>
                <w:rFonts w:ascii="宋体" w:hAnsi="宋体" w:eastAsia="宋体" w:cs="宋体"/>
                <w:sz w:val="18"/>
                <w:szCs w:val="18"/>
              </w:rPr>
            </w:pPr>
            <w:r>
              <w:rPr>
                <w:rFonts w:ascii="宋体" w:hAnsi="宋体" w:eastAsia="宋体" w:cs="宋体"/>
                <w:spacing w:val="-2"/>
                <w:sz w:val="18"/>
                <w:szCs w:val="18"/>
              </w:rPr>
              <w:t>智能推荐治疗方</w:t>
            </w:r>
            <w:r>
              <w:rPr>
                <w:rFonts w:ascii="宋体" w:hAnsi="宋体" w:eastAsia="宋体" w:cs="宋体"/>
                <w:spacing w:val="1"/>
                <w:sz w:val="18"/>
                <w:szCs w:val="18"/>
              </w:rPr>
              <w:t xml:space="preserve"> </w:t>
            </w:r>
            <w:r>
              <w:rPr>
                <w:rFonts w:ascii="宋体" w:hAnsi="宋体" w:eastAsia="宋体" w:cs="宋体"/>
                <w:sz w:val="18"/>
                <w:szCs w:val="18"/>
              </w:rPr>
              <w:t>案</w:t>
            </w:r>
          </w:p>
        </w:tc>
        <w:tc>
          <w:tcPr>
            <w:tcW w:w="7736" w:type="dxa"/>
            <w:vAlign w:val="top"/>
          </w:tcPr>
          <w:p w14:paraId="24966E80">
            <w:pPr>
              <w:spacing w:before="134" w:line="356" w:lineRule="auto"/>
              <w:ind w:left="111" w:right="210" w:hanging="1"/>
              <w:rPr>
                <w:rFonts w:ascii="宋体" w:hAnsi="宋体" w:eastAsia="宋体" w:cs="宋体"/>
                <w:sz w:val="18"/>
                <w:szCs w:val="18"/>
              </w:rPr>
            </w:pPr>
            <w:r>
              <w:rPr>
                <w:rFonts w:ascii="宋体" w:hAnsi="宋体" w:eastAsia="宋体" w:cs="宋体"/>
                <w:spacing w:val="5"/>
                <w:sz w:val="18"/>
                <w:szCs w:val="18"/>
              </w:rPr>
              <w:t>★智能推荐治疗方案，根据患者当次诊断，结合现病史、既往史、用药史、检验结果、检查</w:t>
            </w:r>
            <w:r>
              <w:rPr>
                <w:rFonts w:ascii="宋体" w:hAnsi="宋体" w:eastAsia="宋体" w:cs="宋体"/>
                <w:spacing w:val="3"/>
                <w:sz w:val="18"/>
                <w:szCs w:val="18"/>
              </w:rPr>
              <w:t xml:space="preserve"> </w:t>
            </w:r>
            <w:r>
              <w:rPr>
                <w:rFonts w:ascii="宋体" w:hAnsi="宋体" w:eastAsia="宋体" w:cs="宋体"/>
                <w:spacing w:val="1"/>
                <w:sz w:val="18"/>
                <w:szCs w:val="18"/>
              </w:rPr>
              <w:t>结果等情况，为医生智能推荐符合临床路径或指南推荐的治疗方案及对应的用</w:t>
            </w:r>
            <w:r>
              <w:rPr>
                <w:rFonts w:ascii="宋体" w:hAnsi="宋体" w:eastAsia="宋体" w:cs="宋体"/>
                <w:sz w:val="18"/>
                <w:szCs w:val="18"/>
              </w:rPr>
              <w:t>药方案。</w:t>
            </w:r>
          </w:p>
          <w:p w14:paraId="321459B9">
            <w:pPr>
              <w:spacing w:before="27" w:line="319" w:lineRule="auto"/>
              <w:ind w:left="107" w:right="205"/>
              <w:jc w:val="both"/>
              <w:rPr>
                <w:rFonts w:ascii="宋体" w:hAnsi="宋体" w:eastAsia="宋体" w:cs="宋体"/>
                <w:sz w:val="18"/>
                <w:szCs w:val="18"/>
              </w:rPr>
            </w:pPr>
            <w:r>
              <w:rPr>
                <w:rFonts w:ascii="宋体" w:hAnsi="宋体" w:eastAsia="宋体" w:cs="宋体"/>
                <w:sz w:val="18"/>
                <w:szCs w:val="18"/>
              </w:rPr>
              <w:t>例如：在入院记录主诉输入“突发左下肢无力伴言语不</w:t>
            </w:r>
            <w:r>
              <w:rPr>
                <w:rFonts w:ascii="宋体" w:hAnsi="宋体" w:eastAsia="宋体" w:cs="宋体"/>
                <w:spacing w:val="-1"/>
                <w:sz w:val="18"/>
                <w:szCs w:val="18"/>
              </w:rPr>
              <w:t>利</w:t>
            </w:r>
            <w:r>
              <w:rPr>
                <w:rFonts w:ascii="宋体" w:hAnsi="宋体" w:eastAsia="宋体" w:cs="宋体"/>
                <w:spacing w:val="-34"/>
                <w:sz w:val="18"/>
                <w:szCs w:val="18"/>
              </w:rPr>
              <w:t xml:space="preserve"> </w:t>
            </w:r>
            <w:r>
              <w:rPr>
                <w:rFonts w:ascii="宋体" w:hAnsi="宋体" w:eastAsia="宋体" w:cs="宋体"/>
                <w:spacing w:val="-1"/>
                <w:sz w:val="18"/>
                <w:szCs w:val="18"/>
              </w:rPr>
              <w:t>2</w:t>
            </w:r>
            <w:r>
              <w:rPr>
                <w:rFonts w:ascii="宋体" w:hAnsi="宋体" w:eastAsia="宋体" w:cs="宋体"/>
                <w:spacing w:val="-33"/>
                <w:sz w:val="18"/>
                <w:szCs w:val="18"/>
              </w:rPr>
              <w:t xml:space="preserve"> </w:t>
            </w:r>
            <w:r>
              <w:rPr>
                <w:rFonts w:ascii="宋体" w:hAnsi="宋体" w:eastAsia="宋体" w:cs="宋体"/>
                <w:spacing w:val="-1"/>
                <w:sz w:val="18"/>
                <w:szCs w:val="18"/>
              </w:rPr>
              <w:t>小时</w:t>
            </w:r>
            <w:r>
              <w:rPr>
                <w:rFonts w:ascii="宋体" w:hAnsi="宋体" w:eastAsia="宋体" w:cs="宋体"/>
                <w:spacing w:val="-65"/>
                <w:sz w:val="18"/>
                <w:szCs w:val="18"/>
              </w:rPr>
              <w:t xml:space="preserve"> </w:t>
            </w:r>
            <w:r>
              <w:rPr>
                <w:rFonts w:ascii="宋体" w:hAnsi="宋体" w:eastAsia="宋体" w:cs="宋体"/>
                <w:spacing w:val="-1"/>
                <w:sz w:val="18"/>
                <w:szCs w:val="18"/>
              </w:rPr>
              <w:t>”及初步诊断中输入“急性脑</w:t>
            </w:r>
            <w:r>
              <w:rPr>
                <w:rFonts w:ascii="宋体" w:hAnsi="宋体" w:eastAsia="宋体" w:cs="宋体"/>
                <w:sz w:val="18"/>
                <w:szCs w:val="18"/>
              </w:rPr>
              <w:t xml:space="preserve"> 梗死</w:t>
            </w:r>
            <w:r>
              <w:rPr>
                <w:rFonts w:ascii="宋体" w:hAnsi="宋体" w:eastAsia="宋体" w:cs="宋体"/>
                <w:spacing w:val="-58"/>
                <w:sz w:val="18"/>
                <w:szCs w:val="18"/>
              </w:rPr>
              <w:t xml:space="preserve"> </w:t>
            </w:r>
            <w:r>
              <w:rPr>
                <w:rFonts w:ascii="宋体" w:hAnsi="宋体" w:eastAsia="宋体" w:cs="宋体"/>
                <w:sz w:val="18"/>
                <w:szCs w:val="18"/>
              </w:rPr>
              <w:t xml:space="preserve">”，根据指南推荐的治疗方案顺序为：1.静脉溶栓；2.血管内介入；3.抗凝治疗。当在既 </w:t>
            </w:r>
            <w:r>
              <w:rPr>
                <w:rFonts w:ascii="宋体" w:hAnsi="宋体" w:eastAsia="宋体" w:cs="宋体"/>
                <w:spacing w:val="-2"/>
                <w:sz w:val="18"/>
                <w:szCs w:val="18"/>
              </w:rPr>
              <w:t>往史中补充“患者</w:t>
            </w:r>
            <w:r>
              <w:rPr>
                <w:rFonts w:ascii="宋体" w:hAnsi="宋体" w:eastAsia="宋体" w:cs="宋体"/>
                <w:spacing w:val="-17"/>
                <w:sz w:val="18"/>
                <w:szCs w:val="18"/>
              </w:rPr>
              <w:t xml:space="preserve"> </w:t>
            </w:r>
            <w:r>
              <w:rPr>
                <w:rFonts w:ascii="宋体" w:hAnsi="宋体" w:eastAsia="宋体" w:cs="宋体"/>
                <w:spacing w:val="-2"/>
                <w:sz w:val="18"/>
                <w:szCs w:val="18"/>
              </w:rPr>
              <w:t>1</w:t>
            </w:r>
            <w:r>
              <w:rPr>
                <w:rFonts w:ascii="宋体" w:hAnsi="宋体" w:eastAsia="宋体" w:cs="宋体"/>
                <w:spacing w:val="-34"/>
                <w:sz w:val="18"/>
                <w:szCs w:val="18"/>
              </w:rPr>
              <w:t xml:space="preserve"> </w:t>
            </w:r>
            <w:r>
              <w:rPr>
                <w:rFonts w:ascii="宋体" w:hAnsi="宋体" w:eastAsia="宋体" w:cs="宋体"/>
                <w:spacing w:val="-2"/>
                <w:sz w:val="18"/>
                <w:szCs w:val="18"/>
              </w:rPr>
              <w:t>月前发生颅内出血”，系统自动取消对静脉溶栓的治疗推荐。</w:t>
            </w:r>
          </w:p>
        </w:tc>
      </w:tr>
      <w:tr w14:paraId="35063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1042" w:type="dxa"/>
            <w:vMerge w:val="continue"/>
            <w:tcBorders>
              <w:top w:val="nil"/>
              <w:bottom w:val="nil"/>
            </w:tcBorders>
            <w:vAlign w:val="top"/>
          </w:tcPr>
          <w:p w14:paraId="3B0E8F69">
            <w:pPr>
              <w:rPr>
                <w:rFonts w:ascii="Arial"/>
                <w:sz w:val="21"/>
              </w:rPr>
            </w:pPr>
          </w:p>
        </w:tc>
        <w:tc>
          <w:tcPr>
            <w:tcW w:w="1560" w:type="dxa"/>
            <w:vMerge w:val="continue"/>
            <w:tcBorders>
              <w:top w:val="nil"/>
              <w:bottom w:val="nil"/>
            </w:tcBorders>
            <w:vAlign w:val="top"/>
          </w:tcPr>
          <w:p w14:paraId="16EAAB7C">
            <w:pPr>
              <w:rPr>
                <w:rFonts w:ascii="Arial"/>
                <w:sz w:val="21"/>
              </w:rPr>
            </w:pPr>
          </w:p>
        </w:tc>
        <w:tc>
          <w:tcPr>
            <w:tcW w:w="7736" w:type="dxa"/>
            <w:vAlign w:val="top"/>
          </w:tcPr>
          <w:p w14:paraId="7AA6700A">
            <w:pPr>
              <w:spacing w:before="100" w:line="219" w:lineRule="auto"/>
              <w:ind w:left="112"/>
              <w:rPr>
                <w:rFonts w:ascii="宋体" w:hAnsi="宋体" w:eastAsia="宋体" w:cs="宋体"/>
                <w:sz w:val="18"/>
                <w:szCs w:val="18"/>
              </w:rPr>
            </w:pPr>
            <w:r>
              <w:rPr>
                <w:rFonts w:ascii="宋体" w:hAnsi="宋体" w:eastAsia="宋体" w:cs="宋体"/>
                <w:spacing w:val="2"/>
                <w:sz w:val="18"/>
                <w:szCs w:val="18"/>
              </w:rPr>
              <w:t>治疗方案推荐应包含：</w:t>
            </w:r>
          </w:p>
          <w:p w14:paraId="0D68C9B3">
            <w:pPr>
              <w:spacing w:before="158" w:line="301" w:lineRule="auto"/>
              <w:ind w:left="108" w:right="140" w:firstLine="12"/>
              <w:rPr>
                <w:rFonts w:ascii="宋体" w:hAnsi="宋体" w:eastAsia="宋体" w:cs="宋体"/>
                <w:sz w:val="18"/>
                <w:szCs w:val="18"/>
              </w:rPr>
            </w:pPr>
            <w:r>
              <w:rPr>
                <w:rFonts w:ascii="宋体" w:hAnsi="宋体" w:eastAsia="宋体" w:cs="宋体"/>
                <w:spacing w:val="3"/>
                <w:sz w:val="18"/>
                <w:szCs w:val="18"/>
              </w:rPr>
              <w:t>1.</w:t>
            </w:r>
            <w:r>
              <w:rPr>
                <w:rFonts w:ascii="宋体" w:hAnsi="宋体" w:eastAsia="宋体" w:cs="宋体"/>
                <w:spacing w:val="49"/>
                <w:sz w:val="18"/>
                <w:szCs w:val="18"/>
              </w:rPr>
              <w:t xml:space="preserve"> </w:t>
            </w:r>
            <w:r>
              <w:rPr>
                <w:rFonts w:ascii="宋体" w:hAnsi="宋体" w:eastAsia="宋体" w:cs="宋体"/>
                <w:spacing w:val="3"/>
                <w:sz w:val="18"/>
                <w:szCs w:val="18"/>
              </w:rPr>
              <w:t>大类方案推荐，如对于急性脑梗死患者应推荐：静脉溶栓、血管内介入、抗凝治疗、降颅</w:t>
            </w:r>
            <w:r>
              <w:rPr>
                <w:rFonts w:ascii="宋体" w:hAnsi="宋体" w:eastAsia="宋体" w:cs="宋体"/>
                <w:sz w:val="18"/>
                <w:szCs w:val="18"/>
              </w:rPr>
              <w:t xml:space="preserve"> </w:t>
            </w:r>
            <w:r>
              <w:rPr>
                <w:rFonts w:ascii="宋体" w:hAnsi="宋体" w:eastAsia="宋体" w:cs="宋体"/>
                <w:spacing w:val="3"/>
                <w:sz w:val="18"/>
                <w:szCs w:val="18"/>
              </w:rPr>
              <w:t>压治疗、改善脑循环及脑保护、康复治疗、吞咽障碍评定。</w:t>
            </w:r>
          </w:p>
          <w:p w14:paraId="5E2512E2">
            <w:pPr>
              <w:spacing w:before="158" w:line="301" w:lineRule="auto"/>
              <w:ind w:left="112" w:right="160" w:hanging="2"/>
              <w:rPr>
                <w:rFonts w:ascii="宋体" w:hAnsi="宋体" w:eastAsia="宋体" w:cs="宋体"/>
                <w:sz w:val="18"/>
                <w:szCs w:val="18"/>
              </w:rPr>
            </w:pPr>
            <w:r>
              <w:rPr>
                <w:rFonts w:ascii="宋体" w:hAnsi="宋体" w:eastAsia="宋体" w:cs="宋体"/>
                <w:spacing w:val="3"/>
                <w:sz w:val="18"/>
                <w:szCs w:val="18"/>
              </w:rPr>
              <w:t>2.</w:t>
            </w:r>
            <w:r>
              <w:rPr>
                <w:rFonts w:ascii="宋体" w:hAnsi="宋体" w:eastAsia="宋体" w:cs="宋体"/>
                <w:spacing w:val="49"/>
                <w:sz w:val="18"/>
                <w:szCs w:val="18"/>
              </w:rPr>
              <w:t xml:space="preserve"> </w:t>
            </w:r>
            <w:r>
              <w:rPr>
                <w:rFonts w:ascii="宋体" w:hAnsi="宋体" w:eastAsia="宋体" w:cs="宋体"/>
                <w:spacing w:val="3"/>
                <w:sz w:val="18"/>
                <w:szCs w:val="18"/>
              </w:rPr>
              <w:t>大类方案的应用原则，如对于急性脑梗死患者使用静脉溶栓，系统应</w:t>
            </w:r>
            <w:r>
              <w:rPr>
                <w:rFonts w:ascii="宋体" w:hAnsi="宋体" w:eastAsia="宋体" w:cs="宋体"/>
                <w:spacing w:val="2"/>
                <w:sz w:val="18"/>
                <w:szCs w:val="18"/>
              </w:rPr>
              <w:t>提醒：有效抢救半暗</w:t>
            </w:r>
            <w:r>
              <w:rPr>
                <w:rFonts w:ascii="宋体" w:hAnsi="宋体" w:eastAsia="宋体" w:cs="宋体"/>
                <w:sz w:val="18"/>
                <w:szCs w:val="18"/>
              </w:rPr>
              <w:t xml:space="preserve"> </w:t>
            </w:r>
            <w:r>
              <w:rPr>
                <w:rFonts w:ascii="宋体" w:hAnsi="宋体" w:eastAsia="宋体" w:cs="宋体"/>
                <w:spacing w:val="-4"/>
                <w:sz w:val="18"/>
                <w:szCs w:val="18"/>
              </w:rPr>
              <w:t>带组织的时间窗为</w:t>
            </w:r>
            <w:r>
              <w:rPr>
                <w:rFonts w:ascii="宋体" w:hAnsi="宋体" w:eastAsia="宋体" w:cs="宋体"/>
                <w:spacing w:val="-39"/>
                <w:sz w:val="18"/>
                <w:szCs w:val="18"/>
              </w:rPr>
              <w:t xml:space="preserve"> </w:t>
            </w:r>
            <w:r>
              <w:rPr>
                <w:rFonts w:ascii="宋体" w:hAnsi="宋体" w:eastAsia="宋体" w:cs="宋体"/>
                <w:spacing w:val="-4"/>
                <w:sz w:val="18"/>
                <w:szCs w:val="18"/>
              </w:rPr>
              <w:t>4.5h 内(rtPA)</w:t>
            </w:r>
            <w:r>
              <w:rPr>
                <w:rFonts w:ascii="宋体" w:hAnsi="宋体" w:eastAsia="宋体" w:cs="宋体"/>
                <w:spacing w:val="-5"/>
                <w:sz w:val="18"/>
                <w:szCs w:val="18"/>
              </w:rPr>
              <w:t>或</w:t>
            </w:r>
            <w:r>
              <w:rPr>
                <w:rFonts w:ascii="宋体" w:hAnsi="宋体" w:eastAsia="宋体" w:cs="宋体"/>
                <w:spacing w:val="-36"/>
                <w:sz w:val="18"/>
                <w:szCs w:val="18"/>
              </w:rPr>
              <w:t xml:space="preserve"> </w:t>
            </w:r>
            <w:r>
              <w:rPr>
                <w:rFonts w:ascii="宋体" w:hAnsi="宋体" w:eastAsia="宋体" w:cs="宋体"/>
                <w:spacing w:val="-5"/>
                <w:sz w:val="18"/>
                <w:szCs w:val="18"/>
              </w:rPr>
              <w:t>6h 内(尿激酶)。</w:t>
            </w:r>
          </w:p>
          <w:p w14:paraId="04B3D07D">
            <w:pPr>
              <w:spacing w:before="157" w:line="344" w:lineRule="auto"/>
              <w:ind w:left="108" w:right="75" w:firstLine="3"/>
              <w:jc w:val="both"/>
              <w:rPr>
                <w:rFonts w:ascii="宋体" w:hAnsi="宋体" w:eastAsia="宋体" w:cs="宋体"/>
                <w:sz w:val="18"/>
                <w:szCs w:val="18"/>
              </w:rPr>
            </w:pPr>
            <w:r>
              <w:rPr>
                <w:rFonts w:ascii="宋体" w:hAnsi="宋体" w:eastAsia="宋体" w:cs="宋体"/>
                <w:spacing w:val="3"/>
                <w:sz w:val="18"/>
                <w:szCs w:val="18"/>
              </w:rPr>
              <w:t>具体方案推荐，包括药品名称+给药方式+剂量：例如对于静脉溶栓药物，系统应至少推荐注射</w:t>
            </w:r>
            <w:r>
              <w:rPr>
                <w:rFonts w:ascii="宋体" w:hAnsi="宋体" w:eastAsia="宋体" w:cs="宋体"/>
                <w:sz w:val="18"/>
                <w:szCs w:val="18"/>
              </w:rPr>
              <w:t xml:space="preserve"> </w:t>
            </w:r>
            <w:r>
              <w:rPr>
                <w:rFonts w:ascii="宋体" w:hAnsi="宋体" w:eastAsia="宋体" w:cs="宋体"/>
                <w:spacing w:val="1"/>
                <w:sz w:val="18"/>
                <w:szCs w:val="18"/>
              </w:rPr>
              <w:t>用阿替普酶 静脉注射 0.9</w:t>
            </w:r>
            <w:r>
              <w:rPr>
                <w:rFonts w:ascii="宋体" w:hAnsi="宋体" w:eastAsia="宋体" w:cs="宋体"/>
                <w:sz w:val="18"/>
                <w:szCs w:val="18"/>
              </w:rPr>
              <w:t>mg</w:t>
            </w:r>
            <w:r>
              <w:rPr>
                <w:rFonts w:ascii="宋体" w:hAnsi="宋体" w:eastAsia="宋体" w:cs="宋体"/>
                <w:spacing w:val="1"/>
                <w:sz w:val="18"/>
                <w:szCs w:val="18"/>
              </w:rPr>
              <w:t>/</w:t>
            </w:r>
            <w:r>
              <w:rPr>
                <w:rFonts w:ascii="宋体" w:hAnsi="宋体" w:eastAsia="宋体" w:cs="宋体"/>
                <w:sz w:val="18"/>
                <w:szCs w:val="18"/>
              </w:rPr>
              <w:t>kg</w:t>
            </w:r>
            <w:r>
              <w:rPr>
                <w:rFonts w:ascii="宋体" w:hAnsi="宋体" w:eastAsia="宋体" w:cs="宋体"/>
                <w:spacing w:val="1"/>
                <w:sz w:val="18"/>
                <w:szCs w:val="18"/>
              </w:rPr>
              <w:t>/次、注射用尿激酶  静脉注射</w:t>
            </w:r>
            <w:r>
              <w:rPr>
                <w:rFonts w:ascii="宋体" w:hAnsi="宋体" w:eastAsia="宋体" w:cs="宋体"/>
                <w:spacing w:val="46"/>
                <w:sz w:val="18"/>
                <w:szCs w:val="18"/>
              </w:rPr>
              <w:t xml:space="preserve"> </w:t>
            </w:r>
            <w:r>
              <w:rPr>
                <w:rFonts w:ascii="宋体" w:hAnsi="宋体" w:eastAsia="宋体" w:cs="宋体"/>
                <w:spacing w:val="1"/>
                <w:sz w:val="18"/>
                <w:szCs w:val="18"/>
              </w:rPr>
              <w:t>100</w:t>
            </w:r>
            <w:r>
              <w:rPr>
                <w:rFonts w:ascii="宋体" w:hAnsi="宋体" w:eastAsia="宋体" w:cs="宋体"/>
                <w:spacing w:val="-31"/>
                <w:sz w:val="18"/>
                <w:szCs w:val="18"/>
              </w:rPr>
              <w:t xml:space="preserve"> </w:t>
            </w:r>
            <w:r>
              <w:rPr>
                <w:rFonts w:ascii="宋体" w:hAnsi="宋体" w:eastAsia="宋体" w:cs="宋体"/>
                <w:spacing w:val="1"/>
                <w:sz w:val="18"/>
                <w:szCs w:val="18"/>
              </w:rPr>
              <w:t>万</w:t>
            </w:r>
            <w:r>
              <w:rPr>
                <w:rFonts w:ascii="宋体" w:hAnsi="宋体" w:eastAsia="宋体" w:cs="宋体"/>
                <w:spacing w:val="-23"/>
                <w:sz w:val="18"/>
                <w:szCs w:val="18"/>
              </w:rPr>
              <w:t xml:space="preserve"> </w:t>
            </w:r>
            <w:r>
              <w:rPr>
                <w:rFonts w:ascii="宋体" w:hAnsi="宋体" w:eastAsia="宋体" w:cs="宋体"/>
                <w:sz w:val="18"/>
                <w:szCs w:val="18"/>
              </w:rPr>
              <w:t>IU</w:t>
            </w:r>
            <w:r>
              <w:rPr>
                <w:rFonts w:ascii="宋体" w:hAnsi="宋体" w:eastAsia="宋体" w:cs="宋体"/>
                <w:spacing w:val="1"/>
                <w:sz w:val="18"/>
                <w:szCs w:val="18"/>
              </w:rPr>
              <w:t>-150</w:t>
            </w:r>
            <w:r>
              <w:rPr>
                <w:rFonts w:ascii="宋体" w:hAnsi="宋体" w:eastAsia="宋体" w:cs="宋体"/>
                <w:spacing w:val="-31"/>
                <w:sz w:val="18"/>
                <w:szCs w:val="18"/>
              </w:rPr>
              <w:t xml:space="preserve"> </w:t>
            </w:r>
            <w:r>
              <w:rPr>
                <w:rFonts w:ascii="宋体" w:hAnsi="宋体" w:eastAsia="宋体" w:cs="宋体"/>
                <w:spacing w:val="1"/>
                <w:sz w:val="18"/>
                <w:szCs w:val="18"/>
              </w:rPr>
              <w:t>万</w:t>
            </w:r>
            <w:r>
              <w:rPr>
                <w:rFonts w:ascii="宋体" w:hAnsi="宋体" w:eastAsia="宋体" w:cs="宋体"/>
                <w:spacing w:val="-24"/>
                <w:sz w:val="18"/>
                <w:szCs w:val="18"/>
              </w:rPr>
              <w:t xml:space="preserve"> </w:t>
            </w:r>
            <w:r>
              <w:rPr>
                <w:rFonts w:ascii="宋体" w:hAnsi="宋体" w:eastAsia="宋体" w:cs="宋体"/>
                <w:sz w:val="18"/>
                <w:szCs w:val="18"/>
              </w:rPr>
              <w:t>IU</w:t>
            </w:r>
            <w:r>
              <w:rPr>
                <w:rFonts w:ascii="宋体" w:hAnsi="宋体" w:eastAsia="宋体" w:cs="宋体"/>
                <w:spacing w:val="1"/>
                <w:sz w:val="18"/>
                <w:szCs w:val="18"/>
              </w:rPr>
              <w:t>/次两种具</w:t>
            </w:r>
            <w:r>
              <w:rPr>
                <w:rFonts w:ascii="宋体" w:hAnsi="宋体" w:eastAsia="宋体" w:cs="宋体"/>
                <w:sz w:val="18"/>
                <w:szCs w:val="18"/>
              </w:rPr>
              <w:t xml:space="preserve"> </w:t>
            </w:r>
            <w:r>
              <w:rPr>
                <w:rFonts w:ascii="宋体" w:hAnsi="宋体" w:eastAsia="宋体" w:cs="宋体"/>
                <w:spacing w:val="1"/>
                <w:sz w:val="18"/>
                <w:szCs w:val="18"/>
              </w:rPr>
              <w:t>体用药方案。</w:t>
            </w:r>
          </w:p>
        </w:tc>
      </w:tr>
      <w:tr w14:paraId="03C7E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042" w:type="dxa"/>
            <w:vMerge w:val="continue"/>
            <w:tcBorders>
              <w:top w:val="nil"/>
            </w:tcBorders>
            <w:vAlign w:val="top"/>
          </w:tcPr>
          <w:p w14:paraId="4D3013FA">
            <w:pPr>
              <w:rPr>
                <w:rFonts w:ascii="Arial"/>
                <w:sz w:val="21"/>
              </w:rPr>
            </w:pPr>
          </w:p>
        </w:tc>
        <w:tc>
          <w:tcPr>
            <w:tcW w:w="1560" w:type="dxa"/>
            <w:vMerge w:val="continue"/>
            <w:tcBorders>
              <w:top w:val="nil"/>
            </w:tcBorders>
            <w:vAlign w:val="top"/>
          </w:tcPr>
          <w:p w14:paraId="0702E337">
            <w:pPr>
              <w:rPr>
                <w:rFonts w:ascii="Arial"/>
                <w:sz w:val="21"/>
              </w:rPr>
            </w:pPr>
          </w:p>
        </w:tc>
        <w:tc>
          <w:tcPr>
            <w:tcW w:w="7736" w:type="dxa"/>
            <w:vAlign w:val="top"/>
          </w:tcPr>
          <w:p w14:paraId="79F772F3">
            <w:pPr>
              <w:spacing w:before="103" w:line="326" w:lineRule="auto"/>
              <w:ind w:left="109" w:right="112" w:hanging="1"/>
              <w:rPr>
                <w:rFonts w:ascii="宋体" w:hAnsi="宋体" w:eastAsia="宋体" w:cs="宋体"/>
                <w:sz w:val="18"/>
                <w:szCs w:val="18"/>
              </w:rPr>
            </w:pPr>
            <w:r>
              <w:rPr>
                <w:rFonts w:ascii="宋体" w:hAnsi="宋体" w:eastAsia="宋体" w:cs="宋体"/>
                <w:spacing w:val="2"/>
                <w:sz w:val="18"/>
                <w:szCs w:val="18"/>
              </w:rPr>
              <w:t>检查/检验方案推荐，根据最新指南推荐，帮助医生推荐适宜的多套检查/检验方案，供医生选</w:t>
            </w:r>
            <w:r>
              <w:rPr>
                <w:rFonts w:ascii="宋体" w:hAnsi="宋体" w:eastAsia="宋体" w:cs="宋体"/>
                <w:spacing w:val="10"/>
                <w:sz w:val="18"/>
                <w:szCs w:val="18"/>
              </w:rPr>
              <w:t xml:space="preserve"> </w:t>
            </w:r>
            <w:r>
              <w:rPr>
                <w:rFonts w:ascii="宋体" w:hAnsi="宋体" w:eastAsia="宋体" w:cs="宋体"/>
                <w:spacing w:val="-1"/>
                <w:sz w:val="18"/>
                <w:szCs w:val="18"/>
              </w:rPr>
              <w:t>择。对于危重疾病，如急性脑梗死，推荐的检查方案应包括：</w:t>
            </w:r>
            <w:r>
              <w:rPr>
                <w:rFonts w:ascii="宋体" w:hAnsi="宋体" w:eastAsia="宋体" w:cs="宋体"/>
                <w:spacing w:val="-2"/>
                <w:sz w:val="18"/>
                <w:szCs w:val="18"/>
              </w:rPr>
              <w:t>紧急检查（凝血功能监测）、确诊</w:t>
            </w:r>
          </w:p>
        </w:tc>
      </w:tr>
    </w:tbl>
    <w:p w14:paraId="103DFE62">
      <w:pPr>
        <w:pStyle w:val="2"/>
        <w:spacing w:line="414" w:lineRule="auto"/>
      </w:pPr>
    </w:p>
    <w:p w14:paraId="50483242">
      <w:pPr>
        <w:spacing w:before="62" w:line="209" w:lineRule="auto"/>
        <w:ind w:left="222"/>
        <w:rPr>
          <w:rFonts w:ascii="宋体" w:hAnsi="宋体" w:eastAsia="宋体" w:cs="宋体"/>
          <w:sz w:val="19"/>
          <w:szCs w:val="19"/>
        </w:rPr>
      </w:pPr>
      <w:r>
        <w:pict>
          <v:shape id="_x0000_s1035" o:spid="_x0000_s1035" style="position:absolute;left:0pt;margin-left:5.65pt;margin-top:11.8pt;height:0.75pt;width:494pt;z-index:251679744;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3"/>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3"/>
          <w:position w:val="1"/>
          <w:sz w:val="18"/>
          <w:szCs w:val="18"/>
        </w:rPr>
        <w:t xml:space="preserve">15                               </w:t>
      </w:r>
      <w:r>
        <w:rPr>
          <w:rFonts w:ascii="宋体" w:hAnsi="宋体" w:eastAsia="宋体" w:cs="宋体"/>
          <w:b/>
          <w:bCs/>
          <w:i/>
          <w:iCs/>
          <w:spacing w:val="-3"/>
          <w:sz w:val="19"/>
          <w:szCs w:val="19"/>
        </w:rPr>
        <w:t>伊犁州公共资源交易中心</w:t>
      </w:r>
    </w:p>
    <w:p w14:paraId="306F46F8">
      <w:pPr>
        <w:spacing w:line="209" w:lineRule="auto"/>
        <w:rPr>
          <w:rFonts w:ascii="宋体" w:hAnsi="宋体" w:eastAsia="宋体" w:cs="宋体"/>
          <w:sz w:val="19"/>
          <w:szCs w:val="19"/>
        </w:rPr>
        <w:sectPr>
          <w:pgSz w:w="11905" w:h="16839"/>
          <w:pgMar w:top="1136" w:right="503" w:bottom="400" w:left="1052" w:header="854" w:footer="0" w:gutter="0"/>
          <w:cols w:space="720" w:num="1"/>
        </w:sectPr>
      </w:pPr>
    </w:p>
    <w:p w14:paraId="4F42E213">
      <w:pPr>
        <w:spacing w:before="38"/>
      </w:pPr>
    </w:p>
    <w:tbl>
      <w:tblPr>
        <w:tblStyle w:val="5"/>
        <w:tblW w:w="103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560"/>
        <w:gridCol w:w="7736"/>
      </w:tblGrid>
      <w:tr w14:paraId="3E1BB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042" w:type="dxa"/>
            <w:vMerge w:val="restart"/>
            <w:tcBorders>
              <w:bottom w:val="nil"/>
            </w:tcBorders>
            <w:vAlign w:val="top"/>
          </w:tcPr>
          <w:p w14:paraId="40BF541E">
            <w:pPr>
              <w:rPr>
                <w:rFonts w:ascii="Arial"/>
                <w:sz w:val="21"/>
              </w:rPr>
            </w:pPr>
          </w:p>
        </w:tc>
        <w:tc>
          <w:tcPr>
            <w:tcW w:w="1560" w:type="dxa"/>
            <w:vMerge w:val="restart"/>
            <w:tcBorders>
              <w:bottom w:val="nil"/>
            </w:tcBorders>
            <w:vAlign w:val="top"/>
          </w:tcPr>
          <w:p w14:paraId="2AE45B07">
            <w:pPr>
              <w:rPr>
                <w:rFonts w:ascii="Arial"/>
                <w:sz w:val="21"/>
              </w:rPr>
            </w:pPr>
          </w:p>
        </w:tc>
        <w:tc>
          <w:tcPr>
            <w:tcW w:w="7736" w:type="dxa"/>
            <w:vAlign w:val="top"/>
          </w:tcPr>
          <w:p w14:paraId="7022FB36">
            <w:pPr>
              <w:spacing w:before="97" w:line="329" w:lineRule="auto"/>
              <w:ind w:left="112" w:right="53" w:hanging="4"/>
              <w:rPr>
                <w:rFonts w:ascii="宋体" w:hAnsi="宋体" w:eastAsia="宋体" w:cs="宋体"/>
                <w:sz w:val="18"/>
                <w:szCs w:val="18"/>
              </w:rPr>
            </w:pPr>
            <w:r>
              <w:rPr>
                <w:rFonts w:ascii="宋体" w:hAnsi="宋体" w:eastAsia="宋体" w:cs="宋体"/>
                <w:spacing w:val="-4"/>
                <w:sz w:val="18"/>
                <w:szCs w:val="18"/>
              </w:rPr>
              <w:t>检查（头颅</w:t>
            </w:r>
            <w:r>
              <w:rPr>
                <w:rFonts w:ascii="宋体" w:hAnsi="宋体" w:eastAsia="宋体" w:cs="宋体"/>
                <w:spacing w:val="-39"/>
                <w:sz w:val="18"/>
                <w:szCs w:val="18"/>
              </w:rPr>
              <w:t xml:space="preserve"> </w:t>
            </w:r>
            <w:r>
              <w:rPr>
                <w:rFonts w:ascii="宋体" w:hAnsi="宋体" w:eastAsia="宋体" w:cs="宋体"/>
                <w:spacing w:val="-4"/>
                <w:sz w:val="18"/>
                <w:szCs w:val="18"/>
              </w:rPr>
              <w:t>CT）、鉴别检查（头颅</w:t>
            </w:r>
            <w:r>
              <w:rPr>
                <w:rFonts w:ascii="宋体" w:hAnsi="宋体" w:eastAsia="宋体" w:cs="宋体"/>
                <w:spacing w:val="-43"/>
                <w:sz w:val="18"/>
                <w:szCs w:val="18"/>
              </w:rPr>
              <w:t xml:space="preserve"> </w:t>
            </w:r>
            <w:r>
              <w:rPr>
                <w:rFonts w:ascii="宋体" w:hAnsi="宋体" w:eastAsia="宋体" w:cs="宋体"/>
                <w:spacing w:val="-4"/>
                <w:sz w:val="18"/>
                <w:szCs w:val="18"/>
              </w:rPr>
              <w:t>MRI</w:t>
            </w:r>
            <w:r>
              <w:rPr>
                <w:rFonts w:ascii="宋体" w:hAnsi="宋体" w:eastAsia="宋体" w:cs="宋体"/>
                <w:spacing w:val="-37"/>
                <w:sz w:val="18"/>
                <w:szCs w:val="18"/>
              </w:rPr>
              <w:t xml:space="preserve"> </w:t>
            </w:r>
            <w:r>
              <w:rPr>
                <w:rFonts w:ascii="宋体" w:hAnsi="宋体" w:eastAsia="宋体" w:cs="宋体"/>
                <w:spacing w:val="-4"/>
                <w:sz w:val="18"/>
                <w:szCs w:val="18"/>
              </w:rPr>
              <w:t>等）一般检查、合并症检查（超声心动图、动态心电图</w:t>
            </w:r>
            <w:r>
              <w:rPr>
                <w:rFonts w:ascii="宋体" w:hAnsi="宋体" w:eastAsia="宋体" w:cs="宋体"/>
                <w:spacing w:val="-33"/>
                <w:sz w:val="18"/>
                <w:szCs w:val="18"/>
              </w:rPr>
              <w:t>），</w:t>
            </w:r>
            <w:r>
              <w:rPr>
                <w:rFonts w:ascii="宋体" w:hAnsi="宋体" w:eastAsia="宋体" w:cs="宋体"/>
                <w:sz w:val="18"/>
                <w:szCs w:val="18"/>
              </w:rPr>
              <w:t xml:space="preserve"> </w:t>
            </w:r>
            <w:r>
              <w:rPr>
                <w:rFonts w:ascii="宋体" w:hAnsi="宋体" w:eastAsia="宋体" w:cs="宋体"/>
                <w:spacing w:val="-3"/>
                <w:sz w:val="18"/>
                <w:szCs w:val="18"/>
              </w:rPr>
              <w:t>并说明各项检查的检查目的。</w:t>
            </w:r>
          </w:p>
        </w:tc>
      </w:tr>
      <w:tr w14:paraId="44866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bottom w:val="nil"/>
            </w:tcBorders>
            <w:vAlign w:val="top"/>
          </w:tcPr>
          <w:p w14:paraId="3014C817">
            <w:pPr>
              <w:rPr>
                <w:rFonts w:ascii="Arial"/>
                <w:sz w:val="21"/>
              </w:rPr>
            </w:pPr>
          </w:p>
        </w:tc>
        <w:tc>
          <w:tcPr>
            <w:tcW w:w="1560" w:type="dxa"/>
            <w:vMerge w:val="continue"/>
            <w:tcBorders>
              <w:top w:val="nil"/>
            </w:tcBorders>
            <w:vAlign w:val="top"/>
          </w:tcPr>
          <w:p w14:paraId="5D84009F">
            <w:pPr>
              <w:rPr>
                <w:rFonts w:ascii="Arial"/>
                <w:sz w:val="21"/>
              </w:rPr>
            </w:pPr>
          </w:p>
        </w:tc>
        <w:tc>
          <w:tcPr>
            <w:tcW w:w="7736" w:type="dxa"/>
            <w:vAlign w:val="top"/>
          </w:tcPr>
          <w:p w14:paraId="3DC584E6">
            <w:pPr>
              <w:spacing w:before="94" w:line="328" w:lineRule="auto"/>
              <w:ind w:left="107" w:right="131"/>
              <w:rPr>
                <w:rFonts w:ascii="宋体" w:hAnsi="宋体" w:eastAsia="宋体" w:cs="宋体"/>
                <w:sz w:val="18"/>
                <w:szCs w:val="18"/>
              </w:rPr>
            </w:pPr>
            <w:r>
              <w:rPr>
                <w:rFonts w:ascii="宋体" w:hAnsi="宋体" w:eastAsia="宋体" w:cs="宋体"/>
                <w:spacing w:val="4"/>
                <w:sz w:val="18"/>
                <w:szCs w:val="18"/>
              </w:rPr>
              <w:t>检查项写回，根据医院现有的电子病历、</w:t>
            </w:r>
            <w:r>
              <w:rPr>
                <w:rFonts w:ascii="宋体" w:hAnsi="宋体" w:eastAsia="宋体" w:cs="宋体"/>
                <w:sz w:val="18"/>
                <w:szCs w:val="18"/>
              </w:rPr>
              <w:t>HIS</w:t>
            </w:r>
            <w:r>
              <w:rPr>
                <w:rFonts w:ascii="宋体" w:hAnsi="宋体" w:eastAsia="宋体" w:cs="宋体"/>
                <w:spacing w:val="-32"/>
                <w:sz w:val="18"/>
                <w:szCs w:val="18"/>
              </w:rPr>
              <w:t xml:space="preserve"> </w:t>
            </w:r>
            <w:r>
              <w:rPr>
                <w:rFonts w:ascii="宋体" w:hAnsi="宋体" w:eastAsia="宋体" w:cs="宋体"/>
                <w:spacing w:val="4"/>
                <w:sz w:val="18"/>
                <w:szCs w:val="18"/>
              </w:rPr>
              <w:t>系统</w:t>
            </w:r>
            <w:r>
              <w:rPr>
                <w:rFonts w:ascii="宋体" w:hAnsi="宋体" w:eastAsia="宋体" w:cs="宋体"/>
                <w:spacing w:val="3"/>
                <w:sz w:val="18"/>
                <w:szCs w:val="18"/>
              </w:rPr>
              <w:t>支持回写的功能，医生根据需要及实际情况</w:t>
            </w:r>
            <w:r>
              <w:rPr>
                <w:rFonts w:ascii="宋体" w:hAnsi="宋体" w:eastAsia="宋体" w:cs="宋体"/>
                <w:sz w:val="18"/>
                <w:szCs w:val="18"/>
              </w:rPr>
              <w:t xml:space="preserve"> </w:t>
            </w:r>
            <w:r>
              <w:rPr>
                <w:rFonts w:ascii="宋体" w:hAnsi="宋体" w:eastAsia="宋体" w:cs="宋体"/>
                <w:spacing w:val="3"/>
                <w:sz w:val="18"/>
                <w:szCs w:val="18"/>
              </w:rPr>
              <w:t>选择合适的检查项，智能写回到患者电子病历中。（需要第三方厂商配合）</w:t>
            </w:r>
          </w:p>
        </w:tc>
      </w:tr>
      <w:tr w14:paraId="44273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bottom w:val="nil"/>
            </w:tcBorders>
            <w:vAlign w:val="top"/>
          </w:tcPr>
          <w:p w14:paraId="12EDD09E">
            <w:pPr>
              <w:rPr>
                <w:rFonts w:ascii="Arial"/>
                <w:sz w:val="21"/>
              </w:rPr>
            </w:pPr>
          </w:p>
        </w:tc>
        <w:tc>
          <w:tcPr>
            <w:tcW w:w="1560" w:type="dxa"/>
            <w:vAlign w:val="top"/>
          </w:tcPr>
          <w:p w14:paraId="5D966360">
            <w:pPr>
              <w:spacing w:before="94" w:line="328" w:lineRule="auto"/>
              <w:ind w:left="507" w:right="147" w:hanging="342"/>
              <w:rPr>
                <w:rFonts w:ascii="宋体" w:hAnsi="宋体" w:eastAsia="宋体" w:cs="宋体"/>
                <w:sz w:val="18"/>
                <w:szCs w:val="18"/>
              </w:rPr>
            </w:pPr>
            <w:r>
              <w:rPr>
                <w:rFonts w:ascii="宋体" w:hAnsi="宋体" w:eastAsia="宋体" w:cs="宋体"/>
                <w:spacing w:val="-4"/>
                <w:sz w:val="18"/>
                <w:szCs w:val="18"/>
              </w:rPr>
              <w:t>中医智能推荐治</w:t>
            </w:r>
            <w:r>
              <w:rPr>
                <w:rFonts w:ascii="宋体" w:hAnsi="宋体" w:eastAsia="宋体" w:cs="宋体"/>
                <w:spacing w:val="3"/>
                <w:sz w:val="18"/>
                <w:szCs w:val="18"/>
              </w:rPr>
              <w:t xml:space="preserve"> </w:t>
            </w:r>
            <w:r>
              <w:rPr>
                <w:rFonts w:ascii="宋体" w:hAnsi="宋体" w:eastAsia="宋体" w:cs="宋体"/>
                <w:spacing w:val="-2"/>
                <w:sz w:val="18"/>
                <w:szCs w:val="18"/>
              </w:rPr>
              <w:t>疗方案</w:t>
            </w:r>
          </w:p>
        </w:tc>
        <w:tc>
          <w:tcPr>
            <w:tcW w:w="7736" w:type="dxa"/>
            <w:vAlign w:val="top"/>
          </w:tcPr>
          <w:p w14:paraId="01B7BED3">
            <w:pPr>
              <w:spacing w:before="94" w:line="328" w:lineRule="auto"/>
              <w:ind w:left="110" w:right="117"/>
              <w:rPr>
                <w:rFonts w:ascii="宋体" w:hAnsi="宋体" w:eastAsia="宋体" w:cs="宋体"/>
                <w:sz w:val="18"/>
                <w:szCs w:val="18"/>
              </w:rPr>
            </w:pPr>
            <w:r>
              <w:rPr>
                <w:rFonts w:ascii="宋体" w:hAnsi="宋体" w:eastAsia="宋体" w:cs="宋体"/>
                <w:spacing w:val="3"/>
                <w:sz w:val="18"/>
                <w:szCs w:val="18"/>
              </w:rPr>
              <w:t>★根据患者当次中医诊断、症候，为医生智能推荐符合中医指南文献的中医治疗</w:t>
            </w:r>
            <w:r>
              <w:rPr>
                <w:rFonts w:ascii="宋体" w:hAnsi="宋体" w:eastAsia="宋体" w:cs="宋体"/>
                <w:spacing w:val="2"/>
                <w:sz w:val="18"/>
                <w:szCs w:val="18"/>
              </w:rPr>
              <w:t>理法方剂及相</w:t>
            </w:r>
            <w:r>
              <w:rPr>
                <w:rFonts w:ascii="宋体" w:hAnsi="宋体" w:eastAsia="宋体" w:cs="宋体"/>
                <w:sz w:val="18"/>
                <w:szCs w:val="18"/>
              </w:rPr>
              <w:t xml:space="preserve"> </w:t>
            </w:r>
            <w:r>
              <w:rPr>
                <w:rFonts w:ascii="宋体" w:hAnsi="宋体" w:eastAsia="宋体" w:cs="宋体"/>
                <w:spacing w:val="-4"/>
                <w:sz w:val="18"/>
                <w:szCs w:val="18"/>
              </w:rPr>
              <w:t>关检查检验推荐。</w:t>
            </w:r>
          </w:p>
        </w:tc>
      </w:tr>
      <w:tr w14:paraId="5CB9B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bottom w:val="nil"/>
            </w:tcBorders>
            <w:vAlign w:val="top"/>
          </w:tcPr>
          <w:p w14:paraId="7646428A">
            <w:pPr>
              <w:rPr>
                <w:rFonts w:ascii="Arial"/>
                <w:sz w:val="21"/>
              </w:rPr>
            </w:pPr>
          </w:p>
        </w:tc>
        <w:tc>
          <w:tcPr>
            <w:tcW w:w="1560" w:type="dxa"/>
            <w:vAlign w:val="top"/>
          </w:tcPr>
          <w:p w14:paraId="776099D1">
            <w:pPr>
              <w:spacing w:before="266" w:line="220" w:lineRule="auto"/>
              <w:ind w:left="150"/>
              <w:rPr>
                <w:rFonts w:ascii="宋体" w:hAnsi="宋体" w:eastAsia="宋体" w:cs="宋体"/>
                <w:sz w:val="21"/>
                <w:szCs w:val="21"/>
              </w:rPr>
            </w:pPr>
            <w:r>
              <w:rPr>
                <w:rFonts w:ascii="宋体" w:hAnsi="宋体" w:eastAsia="宋体" w:cs="宋体"/>
                <w:spacing w:val="-2"/>
                <w:sz w:val="21"/>
                <w:szCs w:val="21"/>
              </w:rPr>
              <w:t>检查分析解读</w:t>
            </w:r>
          </w:p>
        </w:tc>
        <w:tc>
          <w:tcPr>
            <w:tcW w:w="7736" w:type="dxa"/>
            <w:vAlign w:val="top"/>
          </w:tcPr>
          <w:p w14:paraId="31A3C08F">
            <w:pPr>
              <w:spacing w:before="81" w:line="287" w:lineRule="auto"/>
              <w:ind w:left="110" w:right="185" w:firstLine="4"/>
              <w:rPr>
                <w:rFonts w:ascii="宋体" w:hAnsi="宋体" w:eastAsia="宋体" w:cs="宋体"/>
                <w:sz w:val="21"/>
                <w:szCs w:val="21"/>
              </w:rPr>
            </w:pPr>
            <w:r>
              <w:rPr>
                <w:rFonts w:ascii="宋体" w:hAnsi="宋体" w:eastAsia="宋体" w:cs="宋体"/>
                <w:spacing w:val="2"/>
                <w:sz w:val="21"/>
                <w:szCs w:val="21"/>
              </w:rPr>
              <w:t>结合患者当次诊断、主诉、病史等病情情况，对患者的检查报告结果进行解读，</w:t>
            </w:r>
            <w:r>
              <w:rPr>
                <w:rFonts w:ascii="宋体" w:hAnsi="宋体" w:eastAsia="宋体" w:cs="宋体"/>
                <w:spacing w:val="5"/>
                <w:sz w:val="21"/>
                <w:szCs w:val="21"/>
              </w:rPr>
              <w:t xml:space="preserve"> </w:t>
            </w:r>
            <w:r>
              <w:rPr>
                <w:rFonts w:ascii="宋体" w:hAnsi="宋体" w:eastAsia="宋体" w:cs="宋体"/>
                <w:spacing w:val="1"/>
                <w:sz w:val="21"/>
                <w:szCs w:val="21"/>
              </w:rPr>
              <w:t>给出诊断建议。</w:t>
            </w:r>
          </w:p>
        </w:tc>
      </w:tr>
      <w:tr w14:paraId="7DDAD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bottom w:val="nil"/>
            </w:tcBorders>
            <w:vAlign w:val="top"/>
          </w:tcPr>
          <w:p w14:paraId="05C481FB">
            <w:pPr>
              <w:rPr>
                <w:rFonts w:ascii="Arial"/>
                <w:sz w:val="21"/>
              </w:rPr>
            </w:pPr>
          </w:p>
        </w:tc>
        <w:tc>
          <w:tcPr>
            <w:tcW w:w="1560" w:type="dxa"/>
            <w:vMerge w:val="restart"/>
            <w:tcBorders>
              <w:bottom w:val="nil"/>
            </w:tcBorders>
            <w:vAlign w:val="top"/>
          </w:tcPr>
          <w:p w14:paraId="341FBE08">
            <w:pPr>
              <w:spacing w:line="286" w:lineRule="auto"/>
              <w:rPr>
                <w:rFonts w:ascii="Arial"/>
                <w:sz w:val="21"/>
              </w:rPr>
            </w:pPr>
          </w:p>
          <w:p w14:paraId="2859F05C">
            <w:pPr>
              <w:spacing w:line="287" w:lineRule="auto"/>
              <w:rPr>
                <w:rFonts w:ascii="Arial"/>
                <w:sz w:val="21"/>
              </w:rPr>
            </w:pPr>
          </w:p>
          <w:p w14:paraId="274636FC">
            <w:pPr>
              <w:spacing w:before="68" w:line="220" w:lineRule="auto"/>
              <w:ind w:left="150"/>
              <w:rPr>
                <w:rFonts w:ascii="宋体" w:hAnsi="宋体" w:eastAsia="宋体" w:cs="宋体"/>
                <w:sz w:val="21"/>
                <w:szCs w:val="21"/>
              </w:rPr>
            </w:pPr>
            <w:r>
              <w:rPr>
                <w:rFonts w:ascii="宋体" w:hAnsi="宋体" w:eastAsia="宋体" w:cs="宋体"/>
                <w:spacing w:val="-2"/>
                <w:sz w:val="21"/>
                <w:szCs w:val="21"/>
              </w:rPr>
              <w:t>检验分析解读</w:t>
            </w:r>
          </w:p>
        </w:tc>
        <w:tc>
          <w:tcPr>
            <w:tcW w:w="7736" w:type="dxa"/>
            <w:vAlign w:val="top"/>
          </w:tcPr>
          <w:p w14:paraId="01D170DE">
            <w:pPr>
              <w:spacing w:before="81" w:line="287" w:lineRule="auto"/>
              <w:ind w:left="113" w:right="103" w:hanging="4"/>
              <w:rPr>
                <w:rFonts w:ascii="宋体" w:hAnsi="宋体" w:eastAsia="宋体" w:cs="宋体"/>
                <w:sz w:val="21"/>
                <w:szCs w:val="21"/>
              </w:rPr>
            </w:pPr>
            <w:r>
              <w:rPr>
                <w:rFonts w:ascii="宋体" w:hAnsi="宋体" w:eastAsia="宋体" w:cs="宋体"/>
                <w:spacing w:val="-1"/>
                <w:sz w:val="21"/>
                <w:szCs w:val="21"/>
              </w:rPr>
              <w:t>根据患者的检验结果，系统应支持自动判断检验值是否</w:t>
            </w:r>
            <w:r>
              <w:rPr>
                <w:rFonts w:ascii="宋体" w:hAnsi="宋体" w:eastAsia="宋体" w:cs="宋体"/>
                <w:spacing w:val="-2"/>
                <w:sz w:val="21"/>
                <w:szCs w:val="21"/>
              </w:rPr>
              <w:t>异常及提醒，并进行检验结</w:t>
            </w:r>
            <w:r>
              <w:rPr>
                <w:rFonts w:ascii="宋体" w:hAnsi="宋体" w:eastAsia="宋体" w:cs="宋体"/>
                <w:sz w:val="21"/>
                <w:szCs w:val="21"/>
              </w:rPr>
              <w:t xml:space="preserve"> </w:t>
            </w:r>
            <w:r>
              <w:rPr>
                <w:rFonts w:ascii="宋体" w:hAnsi="宋体" w:eastAsia="宋体" w:cs="宋体"/>
                <w:spacing w:val="2"/>
                <w:sz w:val="21"/>
                <w:szCs w:val="21"/>
              </w:rPr>
              <w:t>果解读。提示检验结果解读时，提示结果原因，</w:t>
            </w:r>
            <w:r>
              <w:rPr>
                <w:rFonts w:ascii="宋体" w:hAnsi="宋体" w:eastAsia="宋体" w:cs="宋体"/>
                <w:spacing w:val="1"/>
                <w:sz w:val="21"/>
                <w:szCs w:val="21"/>
              </w:rPr>
              <w:t>帮助医生快速判断校验。</w:t>
            </w:r>
          </w:p>
        </w:tc>
      </w:tr>
      <w:tr w14:paraId="34591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042" w:type="dxa"/>
            <w:vMerge w:val="continue"/>
            <w:tcBorders>
              <w:top w:val="nil"/>
              <w:bottom w:val="nil"/>
            </w:tcBorders>
            <w:vAlign w:val="top"/>
          </w:tcPr>
          <w:p w14:paraId="4D8CDEF7">
            <w:pPr>
              <w:rPr>
                <w:rFonts w:ascii="Arial"/>
                <w:sz w:val="21"/>
              </w:rPr>
            </w:pPr>
          </w:p>
        </w:tc>
        <w:tc>
          <w:tcPr>
            <w:tcW w:w="1560" w:type="dxa"/>
            <w:vMerge w:val="continue"/>
            <w:tcBorders>
              <w:top w:val="nil"/>
            </w:tcBorders>
            <w:vAlign w:val="top"/>
          </w:tcPr>
          <w:p w14:paraId="3DFAC74B">
            <w:pPr>
              <w:rPr>
                <w:rFonts w:ascii="Arial"/>
                <w:sz w:val="21"/>
              </w:rPr>
            </w:pPr>
          </w:p>
        </w:tc>
        <w:tc>
          <w:tcPr>
            <w:tcW w:w="7736" w:type="dxa"/>
            <w:vAlign w:val="top"/>
          </w:tcPr>
          <w:p w14:paraId="034BB57A">
            <w:pPr>
              <w:spacing w:before="82" w:line="287" w:lineRule="auto"/>
              <w:ind w:left="110" w:right="103"/>
              <w:rPr>
                <w:rFonts w:ascii="宋体" w:hAnsi="宋体" w:eastAsia="宋体" w:cs="宋体"/>
                <w:sz w:val="21"/>
                <w:szCs w:val="21"/>
              </w:rPr>
            </w:pPr>
            <w:r>
              <w:rPr>
                <w:rFonts w:ascii="宋体" w:hAnsi="宋体" w:eastAsia="宋体" w:cs="宋体"/>
                <w:spacing w:val="-1"/>
                <w:sz w:val="21"/>
                <w:szCs w:val="21"/>
              </w:rPr>
              <w:t>查阅报告时，对于多正常参考值的项目能够根据检</w:t>
            </w:r>
            <w:r>
              <w:rPr>
                <w:rFonts w:ascii="宋体" w:hAnsi="宋体" w:eastAsia="宋体" w:cs="宋体"/>
                <w:spacing w:val="-2"/>
                <w:sz w:val="21"/>
                <w:szCs w:val="21"/>
              </w:rPr>
              <w:t>验结果和诊断、性别、生理周期</w:t>
            </w:r>
            <w:r>
              <w:rPr>
                <w:rFonts w:ascii="宋体" w:hAnsi="宋体" w:eastAsia="宋体" w:cs="宋体"/>
                <w:sz w:val="21"/>
                <w:szCs w:val="21"/>
              </w:rPr>
              <w:t xml:space="preserve"> </w:t>
            </w:r>
            <w:r>
              <w:rPr>
                <w:rFonts w:ascii="宋体" w:hAnsi="宋体" w:eastAsia="宋体" w:cs="宋体"/>
                <w:spacing w:val="-3"/>
                <w:sz w:val="21"/>
                <w:szCs w:val="21"/>
              </w:rPr>
              <w:t>等自动给出正常结果的判断与提示。</w:t>
            </w:r>
          </w:p>
        </w:tc>
      </w:tr>
      <w:tr w14:paraId="2079F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3" w:hRule="atLeast"/>
        </w:trPr>
        <w:tc>
          <w:tcPr>
            <w:tcW w:w="1042" w:type="dxa"/>
            <w:vMerge w:val="continue"/>
            <w:tcBorders>
              <w:top w:val="nil"/>
              <w:bottom w:val="nil"/>
            </w:tcBorders>
            <w:vAlign w:val="top"/>
          </w:tcPr>
          <w:p w14:paraId="1CD500CB">
            <w:pPr>
              <w:rPr>
                <w:rFonts w:ascii="Arial"/>
                <w:sz w:val="21"/>
              </w:rPr>
            </w:pPr>
          </w:p>
        </w:tc>
        <w:tc>
          <w:tcPr>
            <w:tcW w:w="1560" w:type="dxa"/>
            <w:vAlign w:val="top"/>
          </w:tcPr>
          <w:p w14:paraId="13872CBE">
            <w:pPr>
              <w:spacing w:line="313" w:lineRule="auto"/>
              <w:rPr>
                <w:rFonts w:ascii="Arial"/>
                <w:sz w:val="21"/>
              </w:rPr>
            </w:pPr>
          </w:p>
          <w:p w14:paraId="3C9030BC">
            <w:pPr>
              <w:spacing w:line="313" w:lineRule="auto"/>
              <w:rPr>
                <w:rFonts w:ascii="Arial"/>
                <w:sz w:val="21"/>
              </w:rPr>
            </w:pPr>
          </w:p>
          <w:p w14:paraId="122591AB">
            <w:pPr>
              <w:spacing w:line="313" w:lineRule="auto"/>
              <w:rPr>
                <w:rFonts w:ascii="Arial"/>
                <w:sz w:val="21"/>
              </w:rPr>
            </w:pPr>
          </w:p>
          <w:p w14:paraId="6AFD462E">
            <w:pPr>
              <w:spacing w:before="68" w:line="220" w:lineRule="auto"/>
              <w:ind w:left="257"/>
              <w:rPr>
                <w:rFonts w:ascii="宋体" w:hAnsi="宋体" w:eastAsia="宋体" w:cs="宋体"/>
                <w:sz w:val="21"/>
                <w:szCs w:val="21"/>
              </w:rPr>
            </w:pPr>
            <w:r>
              <w:rPr>
                <w:rFonts w:ascii="宋体" w:hAnsi="宋体" w:eastAsia="宋体" w:cs="宋体"/>
                <w:spacing w:val="-2"/>
                <w:sz w:val="21"/>
                <w:szCs w:val="21"/>
              </w:rPr>
              <w:t>危急值预警</w:t>
            </w:r>
          </w:p>
        </w:tc>
        <w:tc>
          <w:tcPr>
            <w:tcW w:w="7736" w:type="dxa"/>
            <w:vAlign w:val="top"/>
          </w:tcPr>
          <w:p w14:paraId="56D3EE2A">
            <w:pPr>
              <w:spacing w:before="82" w:line="319" w:lineRule="auto"/>
              <w:ind w:left="110" w:right="103" w:firstLine="2"/>
              <w:jc w:val="both"/>
              <w:rPr>
                <w:rFonts w:ascii="宋体" w:hAnsi="宋体" w:eastAsia="宋体" w:cs="宋体"/>
                <w:sz w:val="21"/>
                <w:szCs w:val="21"/>
              </w:rPr>
            </w:pPr>
            <w:r>
              <w:rPr>
                <w:rFonts w:ascii="宋体" w:hAnsi="宋体" w:eastAsia="宋体" w:cs="宋体"/>
                <w:spacing w:val="-1"/>
                <w:sz w:val="21"/>
                <w:szCs w:val="21"/>
              </w:rPr>
              <w:t>★根据患者的检验结果，在医生开具检验医嘱时</w:t>
            </w:r>
            <w:r>
              <w:rPr>
                <w:rFonts w:ascii="宋体" w:hAnsi="宋体" w:eastAsia="宋体" w:cs="宋体"/>
                <w:spacing w:val="-2"/>
                <w:sz w:val="21"/>
                <w:szCs w:val="21"/>
              </w:rPr>
              <w:t>，自动审核检验值是否落在危急值</w:t>
            </w:r>
            <w:r>
              <w:rPr>
                <w:rFonts w:ascii="宋体" w:hAnsi="宋体" w:eastAsia="宋体" w:cs="宋体"/>
                <w:sz w:val="21"/>
                <w:szCs w:val="21"/>
              </w:rPr>
              <w:t xml:space="preserve"> </w:t>
            </w:r>
            <w:r>
              <w:rPr>
                <w:rFonts w:ascii="宋体" w:hAnsi="宋体" w:eastAsia="宋体" w:cs="宋体"/>
                <w:spacing w:val="2"/>
                <w:sz w:val="21"/>
                <w:szCs w:val="21"/>
              </w:rPr>
              <w:t>高值/阳性或低值的范围内，对大于危急值高</w:t>
            </w:r>
            <w:r>
              <w:rPr>
                <w:rFonts w:ascii="宋体" w:hAnsi="宋体" w:eastAsia="宋体" w:cs="宋体"/>
                <w:spacing w:val="1"/>
                <w:sz w:val="21"/>
                <w:szCs w:val="21"/>
              </w:rPr>
              <w:t>值或低于危急值低值的检验细项进行</w:t>
            </w:r>
            <w:r>
              <w:rPr>
                <w:rFonts w:ascii="宋体" w:hAnsi="宋体" w:eastAsia="宋体" w:cs="宋体"/>
                <w:sz w:val="21"/>
                <w:szCs w:val="21"/>
              </w:rPr>
              <w:t xml:space="preserve"> </w:t>
            </w:r>
            <w:r>
              <w:rPr>
                <w:rFonts w:ascii="宋体" w:hAnsi="宋体" w:eastAsia="宋体" w:cs="宋体"/>
                <w:spacing w:val="-9"/>
                <w:sz w:val="21"/>
                <w:szCs w:val="21"/>
              </w:rPr>
              <w:t>标识。</w:t>
            </w:r>
          </w:p>
          <w:p w14:paraId="283637FA">
            <w:pPr>
              <w:spacing w:before="28" w:line="300" w:lineRule="auto"/>
              <w:ind w:left="108" w:right="103"/>
              <w:jc w:val="both"/>
              <w:rPr>
                <w:rFonts w:ascii="宋体" w:hAnsi="宋体" w:eastAsia="宋体" w:cs="宋体"/>
                <w:sz w:val="21"/>
                <w:szCs w:val="21"/>
              </w:rPr>
            </w:pPr>
            <w:r>
              <w:rPr>
                <w:rFonts w:ascii="宋体" w:hAnsi="宋体" w:eastAsia="宋体" w:cs="宋体"/>
                <w:spacing w:val="-5"/>
                <w:sz w:val="21"/>
                <w:szCs w:val="21"/>
              </w:rPr>
              <w:t>对于危急检验结果，医师、护士能够在系统</w:t>
            </w:r>
            <w:r>
              <w:rPr>
                <w:rFonts w:ascii="宋体" w:hAnsi="宋体" w:eastAsia="宋体" w:cs="宋体"/>
                <w:spacing w:val="-6"/>
                <w:sz w:val="21"/>
                <w:szCs w:val="21"/>
              </w:rPr>
              <w:t>中看到。支持危急值详情查看，</w:t>
            </w:r>
            <w:r>
              <w:rPr>
                <w:rFonts w:ascii="宋体" w:hAnsi="宋体" w:eastAsia="宋体" w:cs="宋体"/>
                <w:spacing w:val="45"/>
                <w:sz w:val="21"/>
                <w:szCs w:val="21"/>
              </w:rPr>
              <w:t xml:space="preserve"> </w:t>
            </w:r>
            <w:r>
              <w:rPr>
                <w:rFonts w:ascii="宋体" w:hAnsi="宋体" w:eastAsia="宋体" w:cs="宋体"/>
                <w:spacing w:val="-6"/>
                <w:sz w:val="21"/>
                <w:szCs w:val="21"/>
              </w:rPr>
              <w:t>包括检</w:t>
            </w:r>
            <w:r>
              <w:rPr>
                <w:rFonts w:ascii="宋体" w:hAnsi="宋体" w:eastAsia="宋体" w:cs="宋体"/>
                <w:sz w:val="21"/>
                <w:szCs w:val="21"/>
              </w:rPr>
              <w:t xml:space="preserve"> </w:t>
            </w:r>
            <w:r>
              <w:rPr>
                <w:rFonts w:ascii="宋体" w:hAnsi="宋体" w:eastAsia="宋体" w:cs="宋体"/>
                <w:spacing w:val="-1"/>
                <w:sz w:val="21"/>
                <w:szCs w:val="21"/>
              </w:rPr>
              <w:t>验报告、检验细项、样本、检验结果、单位、报告时间等</w:t>
            </w:r>
            <w:r>
              <w:rPr>
                <w:rFonts w:ascii="宋体" w:hAnsi="宋体" w:eastAsia="宋体" w:cs="宋体"/>
                <w:spacing w:val="-2"/>
                <w:sz w:val="21"/>
                <w:szCs w:val="21"/>
              </w:rPr>
              <w:t>信息。支持危急值规则出</w:t>
            </w:r>
            <w:r>
              <w:rPr>
                <w:rFonts w:ascii="宋体" w:hAnsi="宋体" w:eastAsia="宋体" w:cs="宋体"/>
                <w:sz w:val="21"/>
                <w:szCs w:val="21"/>
              </w:rPr>
              <w:t xml:space="preserve"> </w:t>
            </w:r>
            <w:r>
              <w:rPr>
                <w:rFonts w:ascii="宋体" w:hAnsi="宋体" w:eastAsia="宋体" w:cs="宋体"/>
                <w:spacing w:val="-8"/>
                <w:sz w:val="21"/>
                <w:szCs w:val="21"/>
              </w:rPr>
              <w:t>处查看。</w:t>
            </w:r>
          </w:p>
        </w:tc>
      </w:tr>
      <w:tr w14:paraId="23441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042" w:type="dxa"/>
            <w:vMerge w:val="continue"/>
            <w:tcBorders>
              <w:top w:val="nil"/>
              <w:bottom w:val="nil"/>
            </w:tcBorders>
            <w:vAlign w:val="top"/>
          </w:tcPr>
          <w:p w14:paraId="41C24363">
            <w:pPr>
              <w:rPr>
                <w:rFonts w:ascii="Arial"/>
                <w:sz w:val="21"/>
              </w:rPr>
            </w:pPr>
          </w:p>
        </w:tc>
        <w:tc>
          <w:tcPr>
            <w:tcW w:w="1560" w:type="dxa"/>
            <w:vAlign w:val="top"/>
          </w:tcPr>
          <w:p w14:paraId="52DF8171">
            <w:pPr>
              <w:spacing w:before="84" w:line="286" w:lineRule="auto"/>
              <w:ind w:left="677" w:right="147" w:hanging="526"/>
              <w:rPr>
                <w:rFonts w:ascii="宋体" w:hAnsi="宋体" w:eastAsia="宋体" w:cs="宋体"/>
                <w:sz w:val="21"/>
                <w:szCs w:val="21"/>
              </w:rPr>
            </w:pPr>
            <w:r>
              <w:rPr>
                <w:rFonts w:ascii="宋体" w:hAnsi="宋体" w:eastAsia="宋体" w:cs="宋体"/>
                <w:spacing w:val="-2"/>
                <w:sz w:val="21"/>
                <w:szCs w:val="21"/>
              </w:rPr>
              <w:t>术后并发症预</w:t>
            </w:r>
            <w:r>
              <w:rPr>
                <w:rFonts w:ascii="宋体" w:hAnsi="宋体" w:eastAsia="宋体" w:cs="宋体"/>
                <w:spacing w:val="1"/>
                <w:sz w:val="21"/>
                <w:szCs w:val="21"/>
              </w:rPr>
              <w:t xml:space="preserve"> </w:t>
            </w:r>
            <w:r>
              <w:rPr>
                <w:rFonts w:ascii="宋体" w:hAnsi="宋体" w:eastAsia="宋体" w:cs="宋体"/>
                <w:sz w:val="21"/>
                <w:szCs w:val="21"/>
              </w:rPr>
              <w:t>警</w:t>
            </w:r>
          </w:p>
        </w:tc>
        <w:tc>
          <w:tcPr>
            <w:tcW w:w="7736" w:type="dxa"/>
            <w:vAlign w:val="top"/>
          </w:tcPr>
          <w:p w14:paraId="5710602C">
            <w:pPr>
              <w:spacing w:before="84" w:line="286" w:lineRule="auto"/>
              <w:ind w:left="110" w:right="107" w:firstLine="3"/>
              <w:rPr>
                <w:rFonts w:ascii="宋体" w:hAnsi="宋体" w:eastAsia="宋体" w:cs="宋体"/>
                <w:sz w:val="21"/>
                <w:szCs w:val="21"/>
              </w:rPr>
            </w:pPr>
            <w:r>
              <w:rPr>
                <w:rFonts w:ascii="宋体" w:hAnsi="宋体" w:eastAsia="宋体" w:cs="宋体"/>
                <w:spacing w:val="1"/>
                <w:sz w:val="21"/>
                <w:szCs w:val="21"/>
              </w:rPr>
              <w:t>结合患者手术类型、手术时间及术后患者的临床表现，检查/检验结果，对术后有</w:t>
            </w:r>
            <w:r>
              <w:rPr>
                <w:rFonts w:ascii="宋体" w:hAnsi="宋体" w:eastAsia="宋体" w:cs="宋体"/>
                <w:spacing w:val="12"/>
                <w:sz w:val="21"/>
                <w:szCs w:val="21"/>
              </w:rPr>
              <w:t xml:space="preserve"> </w:t>
            </w:r>
            <w:r>
              <w:rPr>
                <w:rFonts w:ascii="宋体" w:hAnsi="宋体" w:eastAsia="宋体" w:cs="宋体"/>
                <w:sz w:val="21"/>
                <w:szCs w:val="21"/>
              </w:rPr>
              <w:t>可能引起并发症的相关内容进行预警提示，避免医生遗漏。</w:t>
            </w:r>
          </w:p>
        </w:tc>
      </w:tr>
      <w:tr w14:paraId="627FF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trPr>
        <w:tc>
          <w:tcPr>
            <w:tcW w:w="1042" w:type="dxa"/>
            <w:vMerge w:val="continue"/>
            <w:tcBorders>
              <w:top w:val="nil"/>
              <w:bottom w:val="nil"/>
            </w:tcBorders>
            <w:vAlign w:val="top"/>
          </w:tcPr>
          <w:p w14:paraId="6D4BB844">
            <w:pPr>
              <w:rPr>
                <w:rFonts w:ascii="Arial"/>
                <w:sz w:val="21"/>
              </w:rPr>
            </w:pPr>
          </w:p>
        </w:tc>
        <w:tc>
          <w:tcPr>
            <w:tcW w:w="1560" w:type="dxa"/>
            <w:vAlign w:val="top"/>
          </w:tcPr>
          <w:p w14:paraId="32714B0F">
            <w:pPr>
              <w:spacing w:line="385" w:lineRule="auto"/>
              <w:rPr>
                <w:rFonts w:ascii="Arial"/>
                <w:sz w:val="21"/>
              </w:rPr>
            </w:pPr>
          </w:p>
          <w:p w14:paraId="3008D435">
            <w:pPr>
              <w:spacing w:before="68" w:line="315" w:lineRule="auto"/>
              <w:ind w:left="467" w:right="126" w:hanging="338"/>
              <w:rPr>
                <w:rFonts w:ascii="宋体" w:hAnsi="宋体" w:eastAsia="宋体" w:cs="宋体"/>
                <w:sz w:val="21"/>
                <w:szCs w:val="21"/>
              </w:rPr>
            </w:pPr>
            <w:r>
              <w:rPr>
                <w:rFonts w:ascii="宋体" w:hAnsi="宋体" w:eastAsia="宋体" w:cs="宋体"/>
                <w:spacing w:val="-11"/>
                <w:sz w:val="21"/>
                <w:szCs w:val="21"/>
              </w:rPr>
              <w:t>检查/检验合理</w:t>
            </w:r>
            <w:r>
              <w:rPr>
                <w:rFonts w:ascii="宋体" w:hAnsi="宋体" w:eastAsia="宋体" w:cs="宋体"/>
                <w:spacing w:val="4"/>
                <w:sz w:val="21"/>
                <w:szCs w:val="21"/>
              </w:rPr>
              <w:t xml:space="preserve"> </w:t>
            </w:r>
            <w:r>
              <w:rPr>
                <w:rFonts w:ascii="宋体" w:hAnsi="宋体" w:eastAsia="宋体" w:cs="宋体"/>
                <w:spacing w:val="-3"/>
                <w:sz w:val="21"/>
                <w:szCs w:val="21"/>
              </w:rPr>
              <w:t>性审核</w:t>
            </w:r>
          </w:p>
        </w:tc>
        <w:tc>
          <w:tcPr>
            <w:tcW w:w="7736" w:type="dxa"/>
            <w:vAlign w:val="top"/>
          </w:tcPr>
          <w:p w14:paraId="160F836E">
            <w:pPr>
              <w:spacing w:before="86" w:line="306" w:lineRule="auto"/>
              <w:ind w:left="108" w:right="138" w:firstLine="1"/>
              <w:rPr>
                <w:rFonts w:ascii="宋体" w:hAnsi="宋体" w:eastAsia="宋体" w:cs="宋体"/>
                <w:sz w:val="21"/>
                <w:szCs w:val="21"/>
              </w:rPr>
            </w:pPr>
            <w:r>
              <w:rPr>
                <w:rFonts w:ascii="宋体" w:hAnsi="宋体" w:eastAsia="宋体" w:cs="宋体"/>
                <w:spacing w:val="3"/>
                <w:sz w:val="21"/>
                <w:szCs w:val="21"/>
              </w:rPr>
              <w:t>有可联合利用病人在两个以上系统的数据（如</w:t>
            </w:r>
            <w:r>
              <w:rPr>
                <w:rFonts w:ascii="宋体" w:hAnsi="宋体" w:eastAsia="宋体" w:cs="宋体"/>
                <w:spacing w:val="-42"/>
                <w:sz w:val="21"/>
                <w:szCs w:val="21"/>
              </w:rPr>
              <w:t xml:space="preserve"> </w:t>
            </w:r>
            <w:r>
              <w:rPr>
                <w:rFonts w:ascii="宋体" w:hAnsi="宋体" w:eastAsia="宋体" w:cs="宋体"/>
                <w:sz w:val="21"/>
                <w:szCs w:val="21"/>
              </w:rPr>
              <w:t>his</w:t>
            </w:r>
            <w:r>
              <w:rPr>
                <w:rFonts w:ascii="宋体" w:hAnsi="宋体" w:eastAsia="宋体" w:cs="宋体"/>
                <w:spacing w:val="-36"/>
                <w:sz w:val="21"/>
                <w:szCs w:val="21"/>
              </w:rPr>
              <w:t xml:space="preserve"> </w:t>
            </w:r>
            <w:r>
              <w:rPr>
                <w:rFonts w:ascii="宋体" w:hAnsi="宋体" w:eastAsia="宋体" w:cs="宋体"/>
                <w:spacing w:val="3"/>
                <w:sz w:val="21"/>
                <w:szCs w:val="21"/>
              </w:rPr>
              <w:t>系统的性别或年龄、电子病历</w:t>
            </w:r>
            <w:r>
              <w:rPr>
                <w:rFonts w:ascii="宋体" w:hAnsi="宋体" w:eastAsia="宋体" w:cs="宋体"/>
                <w:sz w:val="21"/>
                <w:szCs w:val="21"/>
              </w:rPr>
              <w:t xml:space="preserve"> </w:t>
            </w:r>
            <w:r>
              <w:rPr>
                <w:rFonts w:ascii="宋体" w:hAnsi="宋体" w:eastAsia="宋体" w:cs="宋体"/>
                <w:spacing w:val="3"/>
                <w:sz w:val="21"/>
                <w:szCs w:val="21"/>
              </w:rPr>
              <w:t>系统的症状或临床表现或者疾病诊断、</w:t>
            </w:r>
            <w:r>
              <w:rPr>
                <w:rFonts w:ascii="宋体" w:hAnsi="宋体" w:eastAsia="宋体" w:cs="宋体"/>
                <w:sz w:val="21"/>
                <w:szCs w:val="21"/>
              </w:rPr>
              <w:t>lis</w:t>
            </w:r>
            <w:r>
              <w:rPr>
                <w:rFonts w:ascii="宋体" w:hAnsi="宋体" w:eastAsia="宋体" w:cs="宋体"/>
                <w:spacing w:val="-35"/>
                <w:sz w:val="21"/>
                <w:szCs w:val="21"/>
              </w:rPr>
              <w:t xml:space="preserve"> </w:t>
            </w:r>
            <w:r>
              <w:rPr>
                <w:rFonts w:ascii="宋体" w:hAnsi="宋体" w:eastAsia="宋体" w:cs="宋体"/>
                <w:spacing w:val="3"/>
                <w:sz w:val="21"/>
                <w:szCs w:val="21"/>
              </w:rPr>
              <w:t>系统的检验结果、</w:t>
            </w:r>
            <w:r>
              <w:rPr>
                <w:rFonts w:ascii="宋体" w:hAnsi="宋体" w:eastAsia="宋体" w:cs="宋体"/>
                <w:sz w:val="21"/>
                <w:szCs w:val="21"/>
              </w:rPr>
              <w:t>pacs</w:t>
            </w:r>
            <w:r>
              <w:rPr>
                <w:rFonts w:ascii="宋体" w:hAnsi="宋体" w:eastAsia="宋体" w:cs="宋体"/>
                <w:spacing w:val="-36"/>
                <w:sz w:val="21"/>
                <w:szCs w:val="21"/>
              </w:rPr>
              <w:t xml:space="preserve"> </w:t>
            </w:r>
            <w:r>
              <w:rPr>
                <w:rFonts w:ascii="宋体" w:hAnsi="宋体" w:eastAsia="宋体" w:cs="宋体"/>
                <w:spacing w:val="3"/>
                <w:sz w:val="21"/>
                <w:szCs w:val="21"/>
              </w:rPr>
              <w:t>系统的检查结</w:t>
            </w:r>
            <w:r>
              <w:rPr>
                <w:rFonts w:ascii="宋体" w:hAnsi="宋体" w:eastAsia="宋体" w:cs="宋体"/>
                <w:sz w:val="21"/>
                <w:szCs w:val="21"/>
              </w:rPr>
              <w:t xml:space="preserve"> </w:t>
            </w:r>
            <w:r>
              <w:rPr>
                <w:rFonts w:ascii="宋体" w:hAnsi="宋体" w:eastAsia="宋体" w:cs="宋体"/>
                <w:spacing w:val="-5"/>
                <w:sz w:val="21"/>
                <w:szCs w:val="21"/>
              </w:rPr>
              <w:t>果等）进行检查与提示的知识库，在医生开具检查/检验医嘱时，自动审核合</w:t>
            </w:r>
            <w:r>
              <w:rPr>
                <w:rFonts w:ascii="宋体" w:hAnsi="宋体" w:eastAsia="宋体" w:cs="宋体"/>
                <w:spacing w:val="-6"/>
                <w:sz w:val="21"/>
                <w:szCs w:val="21"/>
              </w:rPr>
              <w:t>理性，</w:t>
            </w:r>
            <w:r>
              <w:rPr>
                <w:rFonts w:ascii="宋体" w:hAnsi="宋体" w:eastAsia="宋体" w:cs="宋体"/>
                <w:sz w:val="21"/>
                <w:szCs w:val="21"/>
              </w:rPr>
              <w:t xml:space="preserve"> </w:t>
            </w:r>
            <w:r>
              <w:rPr>
                <w:rFonts w:ascii="宋体" w:hAnsi="宋体" w:eastAsia="宋体" w:cs="宋体"/>
                <w:spacing w:val="-2"/>
                <w:sz w:val="21"/>
                <w:szCs w:val="21"/>
              </w:rPr>
              <w:t>对禁忌和相对禁忌的项目主动进行提示。</w:t>
            </w:r>
          </w:p>
        </w:tc>
      </w:tr>
      <w:tr w14:paraId="6017B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042" w:type="dxa"/>
            <w:vMerge w:val="continue"/>
            <w:tcBorders>
              <w:top w:val="nil"/>
              <w:bottom w:val="nil"/>
            </w:tcBorders>
            <w:vAlign w:val="top"/>
          </w:tcPr>
          <w:p w14:paraId="40E7EDA4">
            <w:pPr>
              <w:rPr>
                <w:rFonts w:ascii="Arial"/>
                <w:sz w:val="21"/>
              </w:rPr>
            </w:pPr>
          </w:p>
        </w:tc>
        <w:tc>
          <w:tcPr>
            <w:tcW w:w="1560" w:type="dxa"/>
            <w:vAlign w:val="top"/>
          </w:tcPr>
          <w:p w14:paraId="539644FA">
            <w:pPr>
              <w:spacing w:before="86" w:line="285" w:lineRule="auto"/>
              <w:ind w:left="488" w:right="127" w:hanging="345"/>
              <w:rPr>
                <w:rFonts w:ascii="宋体" w:hAnsi="宋体" w:eastAsia="宋体" w:cs="宋体"/>
                <w:sz w:val="21"/>
                <w:szCs w:val="21"/>
              </w:rPr>
            </w:pPr>
            <w:r>
              <w:rPr>
                <w:rFonts w:ascii="宋体" w:hAnsi="宋体" w:eastAsia="宋体" w:cs="宋体"/>
                <w:spacing w:val="-13"/>
                <w:sz w:val="21"/>
                <w:szCs w:val="21"/>
              </w:rPr>
              <w:t>检查/检验重复</w:t>
            </w:r>
            <w:r>
              <w:rPr>
                <w:rFonts w:ascii="宋体" w:hAnsi="宋体" w:eastAsia="宋体" w:cs="宋体"/>
                <w:spacing w:val="4"/>
                <w:sz w:val="21"/>
                <w:szCs w:val="21"/>
              </w:rPr>
              <w:t xml:space="preserve"> </w:t>
            </w:r>
            <w:r>
              <w:rPr>
                <w:rFonts w:ascii="宋体" w:hAnsi="宋体" w:eastAsia="宋体" w:cs="宋体"/>
                <w:spacing w:val="-9"/>
                <w:sz w:val="21"/>
                <w:szCs w:val="21"/>
              </w:rPr>
              <w:t>性审核</w:t>
            </w:r>
          </w:p>
        </w:tc>
        <w:tc>
          <w:tcPr>
            <w:tcW w:w="7736" w:type="dxa"/>
            <w:vAlign w:val="top"/>
          </w:tcPr>
          <w:p w14:paraId="4C53FA8A">
            <w:pPr>
              <w:spacing w:before="86" w:line="285" w:lineRule="auto"/>
              <w:ind w:left="110" w:right="138"/>
              <w:rPr>
                <w:rFonts w:ascii="宋体" w:hAnsi="宋体" w:eastAsia="宋体" w:cs="宋体"/>
                <w:sz w:val="21"/>
                <w:szCs w:val="21"/>
              </w:rPr>
            </w:pPr>
            <w:r>
              <w:rPr>
                <w:rFonts w:ascii="宋体" w:hAnsi="宋体" w:eastAsia="宋体" w:cs="宋体"/>
                <w:spacing w:val="4"/>
                <w:sz w:val="21"/>
                <w:szCs w:val="21"/>
              </w:rPr>
              <w:t>支持对重复开具的检验／检查项目可以进行审核</w:t>
            </w:r>
            <w:r>
              <w:rPr>
                <w:rFonts w:ascii="宋体" w:hAnsi="宋体" w:eastAsia="宋体" w:cs="宋体"/>
                <w:spacing w:val="3"/>
                <w:sz w:val="21"/>
                <w:szCs w:val="21"/>
              </w:rPr>
              <w:t>提示，支持对重复开立的时间限</w:t>
            </w:r>
            <w:r>
              <w:rPr>
                <w:rFonts w:ascii="宋体" w:hAnsi="宋体" w:eastAsia="宋体" w:cs="宋体"/>
                <w:sz w:val="21"/>
                <w:szCs w:val="21"/>
              </w:rPr>
              <w:t xml:space="preserve"> </w:t>
            </w:r>
            <w:r>
              <w:rPr>
                <w:rFonts w:ascii="宋体" w:hAnsi="宋体" w:eastAsia="宋体" w:cs="宋体"/>
                <w:spacing w:val="2"/>
                <w:sz w:val="21"/>
                <w:szCs w:val="21"/>
              </w:rPr>
              <w:t>制进行个性化设置。</w:t>
            </w:r>
          </w:p>
        </w:tc>
      </w:tr>
      <w:tr w14:paraId="1FE16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042" w:type="dxa"/>
            <w:vMerge w:val="continue"/>
            <w:tcBorders>
              <w:top w:val="nil"/>
              <w:bottom w:val="nil"/>
            </w:tcBorders>
            <w:vAlign w:val="top"/>
          </w:tcPr>
          <w:p w14:paraId="13C4CA0D">
            <w:pPr>
              <w:rPr>
                <w:rFonts w:ascii="Arial"/>
                <w:sz w:val="21"/>
              </w:rPr>
            </w:pPr>
          </w:p>
        </w:tc>
        <w:tc>
          <w:tcPr>
            <w:tcW w:w="1560" w:type="dxa"/>
            <w:vAlign w:val="top"/>
          </w:tcPr>
          <w:p w14:paraId="08450716">
            <w:pPr>
              <w:spacing w:before="86" w:line="285" w:lineRule="auto"/>
              <w:ind w:left="684" w:right="175" w:hanging="491"/>
              <w:rPr>
                <w:rFonts w:ascii="宋体" w:hAnsi="宋体" w:eastAsia="宋体" w:cs="宋体"/>
                <w:sz w:val="21"/>
                <w:szCs w:val="21"/>
              </w:rPr>
            </w:pPr>
            <w:r>
              <w:rPr>
                <w:rFonts w:ascii="宋体" w:hAnsi="宋体" w:eastAsia="宋体" w:cs="宋体"/>
                <w:spacing w:val="-14"/>
                <w:sz w:val="21"/>
                <w:szCs w:val="21"/>
              </w:rPr>
              <w:t>诊断合理性审</w:t>
            </w:r>
            <w:r>
              <w:rPr>
                <w:rFonts w:ascii="宋体" w:hAnsi="宋体" w:eastAsia="宋体" w:cs="宋体"/>
                <w:spacing w:val="4"/>
                <w:sz w:val="21"/>
                <w:szCs w:val="21"/>
              </w:rPr>
              <w:t xml:space="preserve"> </w:t>
            </w:r>
            <w:r>
              <w:rPr>
                <w:rFonts w:ascii="宋体" w:hAnsi="宋体" w:eastAsia="宋体" w:cs="宋体"/>
                <w:sz w:val="21"/>
                <w:szCs w:val="21"/>
              </w:rPr>
              <w:t>核</w:t>
            </w:r>
          </w:p>
        </w:tc>
        <w:tc>
          <w:tcPr>
            <w:tcW w:w="7736" w:type="dxa"/>
            <w:vAlign w:val="top"/>
          </w:tcPr>
          <w:p w14:paraId="1770B779">
            <w:pPr>
              <w:spacing w:before="86" w:line="285" w:lineRule="auto"/>
              <w:ind w:left="113" w:right="107" w:hanging="3"/>
              <w:rPr>
                <w:rFonts w:ascii="宋体" w:hAnsi="宋体" w:eastAsia="宋体" w:cs="宋体"/>
                <w:sz w:val="21"/>
                <w:szCs w:val="21"/>
              </w:rPr>
            </w:pPr>
            <w:r>
              <w:rPr>
                <w:rFonts w:ascii="宋体" w:hAnsi="宋体" w:eastAsia="宋体" w:cs="宋体"/>
                <w:spacing w:val="1"/>
                <w:sz w:val="21"/>
                <w:szCs w:val="21"/>
              </w:rPr>
              <w:t>支持根据患者情况（性别、年龄及检查/检验结果等情况）审查诊断是否合理，并</w:t>
            </w:r>
            <w:r>
              <w:rPr>
                <w:rFonts w:ascii="宋体" w:hAnsi="宋体" w:eastAsia="宋体" w:cs="宋体"/>
                <w:spacing w:val="16"/>
                <w:sz w:val="21"/>
                <w:szCs w:val="21"/>
              </w:rPr>
              <w:t xml:space="preserve"> </w:t>
            </w:r>
            <w:r>
              <w:rPr>
                <w:rFonts w:ascii="宋体" w:hAnsi="宋体" w:eastAsia="宋体" w:cs="宋体"/>
                <w:spacing w:val="1"/>
                <w:sz w:val="21"/>
                <w:szCs w:val="21"/>
              </w:rPr>
              <w:t>继续实时提示。</w:t>
            </w:r>
          </w:p>
        </w:tc>
      </w:tr>
      <w:tr w14:paraId="29CF6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042" w:type="dxa"/>
            <w:vMerge w:val="continue"/>
            <w:tcBorders>
              <w:top w:val="nil"/>
              <w:bottom w:val="nil"/>
            </w:tcBorders>
            <w:vAlign w:val="top"/>
          </w:tcPr>
          <w:p w14:paraId="3925F2C6">
            <w:pPr>
              <w:rPr>
                <w:rFonts w:ascii="Arial"/>
                <w:sz w:val="21"/>
              </w:rPr>
            </w:pPr>
          </w:p>
        </w:tc>
        <w:tc>
          <w:tcPr>
            <w:tcW w:w="1560" w:type="dxa"/>
            <w:vMerge w:val="restart"/>
            <w:tcBorders>
              <w:bottom w:val="nil"/>
            </w:tcBorders>
            <w:vAlign w:val="top"/>
          </w:tcPr>
          <w:p w14:paraId="2C061FA2">
            <w:pPr>
              <w:spacing w:before="201" w:line="315" w:lineRule="auto"/>
              <w:ind w:left="576" w:right="142" w:hanging="433"/>
              <w:rPr>
                <w:rFonts w:ascii="宋体" w:hAnsi="宋体" w:eastAsia="宋体" w:cs="宋体"/>
                <w:sz w:val="21"/>
                <w:szCs w:val="21"/>
              </w:rPr>
            </w:pPr>
            <w:r>
              <w:rPr>
                <w:rFonts w:ascii="宋体" w:hAnsi="宋体" w:eastAsia="宋体" w:cs="宋体"/>
                <w:sz w:val="21"/>
                <w:szCs w:val="21"/>
              </w:rPr>
              <w:t>★用药合理性</w:t>
            </w:r>
            <w:r>
              <w:rPr>
                <w:rFonts w:ascii="宋体" w:hAnsi="宋体" w:eastAsia="宋体" w:cs="宋体"/>
                <w:spacing w:val="3"/>
                <w:sz w:val="21"/>
                <w:szCs w:val="21"/>
              </w:rPr>
              <w:t xml:space="preserve"> </w:t>
            </w:r>
            <w:r>
              <w:rPr>
                <w:rFonts w:ascii="宋体" w:hAnsi="宋体" w:eastAsia="宋体" w:cs="宋体"/>
                <w:spacing w:val="-8"/>
                <w:sz w:val="21"/>
                <w:szCs w:val="21"/>
              </w:rPr>
              <w:t>审核</w:t>
            </w:r>
          </w:p>
        </w:tc>
        <w:tc>
          <w:tcPr>
            <w:tcW w:w="7736" w:type="dxa"/>
            <w:vAlign w:val="top"/>
          </w:tcPr>
          <w:p w14:paraId="3109B98A">
            <w:pPr>
              <w:spacing w:before="49" w:line="236" w:lineRule="auto"/>
              <w:ind w:left="111" w:right="95" w:hanging="1"/>
              <w:rPr>
                <w:rFonts w:ascii="宋体" w:hAnsi="宋体" w:eastAsia="宋体" w:cs="宋体"/>
                <w:sz w:val="21"/>
                <w:szCs w:val="21"/>
              </w:rPr>
            </w:pPr>
            <w:r>
              <w:rPr>
                <w:rFonts w:ascii="宋体" w:hAnsi="宋体" w:eastAsia="宋体" w:cs="宋体"/>
                <w:spacing w:val="-6"/>
                <w:sz w:val="21"/>
                <w:szCs w:val="21"/>
              </w:rPr>
              <w:t>支持结合患者性别、年龄、过敏史、用药情况、检验检查结果等情况，</w:t>
            </w:r>
            <w:r>
              <w:rPr>
                <w:rFonts w:ascii="宋体" w:hAnsi="宋体" w:eastAsia="宋体" w:cs="宋体"/>
                <w:spacing w:val="62"/>
                <w:sz w:val="21"/>
                <w:szCs w:val="21"/>
              </w:rPr>
              <w:t xml:space="preserve"> </w:t>
            </w:r>
            <w:r>
              <w:rPr>
                <w:rFonts w:ascii="宋体" w:hAnsi="宋体" w:eastAsia="宋体" w:cs="宋体"/>
                <w:spacing w:val="-6"/>
                <w:sz w:val="21"/>
                <w:szCs w:val="21"/>
              </w:rPr>
              <w:t>在医生开立</w:t>
            </w:r>
            <w:r>
              <w:rPr>
                <w:rFonts w:ascii="宋体" w:hAnsi="宋体" w:eastAsia="宋体" w:cs="宋体"/>
                <w:sz w:val="21"/>
                <w:szCs w:val="21"/>
              </w:rPr>
              <w:t xml:space="preserve"> </w:t>
            </w:r>
            <w:r>
              <w:rPr>
                <w:rFonts w:ascii="宋体" w:hAnsi="宋体" w:eastAsia="宋体" w:cs="宋体"/>
                <w:spacing w:val="-1"/>
                <w:sz w:val="21"/>
                <w:szCs w:val="21"/>
              </w:rPr>
              <w:t>药品医嘱时，自动进行用药合理性审核，对不合理用药、高危用药</w:t>
            </w:r>
            <w:r>
              <w:rPr>
                <w:rFonts w:ascii="宋体" w:hAnsi="宋体" w:eastAsia="宋体" w:cs="宋体"/>
                <w:spacing w:val="-2"/>
                <w:sz w:val="21"/>
                <w:szCs w:val="21"/>
              </w:rPr>
              <w:t>项目进行提示。</w:t>
            </w:r>
          </w:p>
        </w:tc>
      </w:tr>
      <w:tr w14:paraId="09FBC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18E33288">
            <w:pPr>
              <w:rPr>
                <w:rFonts w:ascii="Arial"/>
                <w:sz w:val="21"/>
              </w:rPr>
            </w:pPr>
          </w:p>
        </w:tc>
        <w:tc>
          <w:tcPr>
            <w:tcW w:w="1560" w:type="dxa"/>
            <w:vMerge w:val="continue"/>
            <w:tcBorders>
              <w:top w:val="nil"/>
            </w:tcBorders>
            <w:vAlign w:val="top"/>
          </w:tcPr>
          <w:p w14:paraId="77BAD043">
            <w:pPr>
              <w:rPr>
                <w:rFonts w:ascii="Arial"/>
                <w:sz w:val="21"/>
              </w:rPr>
            </w:pPr>
          </w:p>
        </w:tc>
        <w:tc>
          <w:tcPr>
            <w:tcW w:w="7736" w:type="dxa"/>
            <w:vAlign w:val="top"/>
          </w:tcPr>
          <w:p w14:paraId="7E728707">
            <w:pPr>
              <w:spacing w:before="85" w:line="219" w:lineRule="auto"/>
              <w:ind w:left="110"/>
              <w:rPr>
                <w:rFonts w:ascii="宋体" w:hAnsi="宋体" w:eastAsia="宋体" w:cs="宋体"/>
                <w:sz w:val="21"/>
                <w:szCs w:val="21"/>
              </w:rPr>
            </w:pPr>
            <w:r>
              <w:rPr>
                <w:rFonts w:ascii="宋体" w:hAnsi="宋体" w:eastAsia="宋体" w:cs="宋体"/>
                <w:spacing w:val="-2"/>
                <w:sz w:val="21"/>
                <w:szCs w:val="21"/>
              </w:rPr>
              <w:t>支持从提示信息关联查看不合理药品的药品说明书。</w:t>
            </w:r>
          </w:p>
        </w:tc>
      </w:tr>
      <w:tr w14:paraId="61ACF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042" w:type="dxa"/>
            <w:vMerge w:val="continue"/>
            <w:tcBorders>
              <w:top w:val="nil"/>
              <w:bottom w:val="nil"/>
            </w:tcBorders>
            <w:vAlign w:val="top"/>
          </w:tcPr>
          <w:p w14:paraId="1C1BD0CB">
            <w:pPr>
              <w:rPr>
                <w:rFonts w:ascii="Arial"/>
                <w:sz w:val="21"/>
              </w:rPr>
            </w:pPr>
          </w:p>
        </w:tc>
        <w:tc>
          <w:tcPr>
            <w:tcW w:w="1560" w:type="dxa"/>
            <w:vAlign w:val="top"/>
          </w:tcPr>
          <w:p w14:paraId="0D883A06">
            <w:pPr>
              <w:spacing w:before="272" w:line="220" w:lineRule="auto"/>
              <w:ind w:left="250"/>
              <w:rPr>
                <w:rFonts w:ascii="宋体" w:hAnsi="宋体" w:eastAsia="宋体" w:cs="宋体"/>
                <w:sz w:val="21"/>
                <w:szCs w:val="21"/>
              </w:rPr>
            </w:pPr>
            <w:r>
              <w:rPr>
                <w:rFonts w:ascii="宋体" w:hAnsi="宋体" w:eastAsia="宋体" w:cs="宋体"/>
                <w:sz w:val="21"/>
                <w:szCs w:val="21"/>
              </w:rPr>
              <w:t>治疗合理性</w:t>
            </w:r>
          </w:p>
        </w:tc>
        <w:tc>
          <w:tcPr>
            <w:tcW w:w="7736" w:type="dxa"/>
            <w:vAlign w:val="top"/>
          </w:tcPr>
          <w:p w14:paraId="0BEBA772">
            <w:pPr>
              <w:spacing w:before="86" w:line="285" w:lineRule="auto"/>
              <w:ind w:left="111" w:right="138" w:hanging="1"/>
              <w:rPr>
                <w:rFonts w:ascii="宋体" w:hAnsi="宋体" w:eastAsia="宋体" w:cs="宋体"/>
                <w:sz w:val="21"/>
                <w:szCs w:val="21"/>
              </w:rPr>
            </w:pPr>
            <w:r>
              <w:rPr>
                <w:rFonts w:ascii="宋体" w:hAnsi="宋体" w:eastAsia="宋体" w:cs="宋体"/>
                <w:spacing w:val="2"/>
                <w:sz w:val="21"/>
                <w:szCs w:val="21"/>
              </w:rPr>
              <w:t>支持根据患者性别、年龄、症状、人群等情况，在医生开具治疗医嘱时，</w:t>
            </w:r>
            <w:r>
              <w:rPr>
                <w:rFonts w:ascii="宋体" w:hAnsi="宋体" w:eastAsia="宋体" w:cs="宋体"/>
                <w:spacing w:val="-49"/>
                <w:sz w:val="21"/>
                <w:szCs w:val="21"/>
              </w:rPr>
              <w:t xml:space="preserve"> </w:t>
            </w:r>
            <w:r>
              <w:rPr>
                <w:rFonts w:ascii="宋体" w:hAnsi="宋体" w:eastAsia="宋体" w:cs="宋体"/>
                <w:spacing w:val="2"/>
                <w:sz w:val="21"/>
                <w:szCs w:val="21"/>
              </w:rPr>
              <w:t>自动审</w:t>
            </w:r>
            <w:r>
              <w:rPr>
                <w:rFonts w:ascii="宋体" w:hAnsi="宋体" w:eastAsia="宋体" w:cs="宋体"/>
                <w:sz w:val="21"/>
                <w:szCs w:val="21"/>
              </w:rPr>
              <w:t xml:space="preserve"> </w:t>
            </w:r>
            <w:r>
              <w:rPr>
                <w:rFonts w:ascii="宋体" w:hAnsi="宋体" w:eastAsia="宋体" w:cs="宋体"/>
                <w:spacing w:val="3"/>
                <w:sz w:val="21"/>
                <w:szCs w:val="21"/>
              </w:rPr>
              <w:t>核合理性，对禁忌和相对禁忌的项目主动提示。</w:t>
            </w:r>
          </w:p>
        </w:tc>
      </w:tr>
      <w:tr w14:paraId="76D44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bottom w:val="nil"/>
            </w:tcBorders>
            <w:vAlign w:val="top"/>
          </w:tcPr>
          <w:p w14:paraId="33E13270">
            <w:pPr>
              <w:rPr>
                <w:rFonts w:ascii="Arial"/>
                <w:sz w:val="21"/>
              </w:rPr>
            </w:pPr>
          </w:p>
        </w:tc>
        <w:tc>
          <w:tcPr>
            <w:tcW w:w="1560" w:type="dxa"/>
            <w:vAlign w:val="top"/>
          </w:tcPr>
          <w:p w14:paraId="645E9EC0">
            <w:pPr>
              <w:spacing w:before="85" w:line="285" w:lineRule="auto"/>
              <w:ind w:left="362" w:right="200" w:hanging="160"/>
              <w:rPr>
                <w:rFonts w:ascii="宋体" w:hAnsi="宋体" w:eastAsia="宋体" w:cs="宋体"/>
                <w:sz w:val="21"/>
                <w:szCs w:val="21"/>
              </w:rPr>
            </w:pPr>
            <w:r>
              <w:rPr>
                <w:rFonts w:ascii="宋体" w:hAnsi="宋体" w:eastAsia="宋体" w:cs="宋体"/>
                <w:spacing w:val="-2"/>
                <w:sz w:val="21"/>
                <w:szCs w:val="21"/>
              </w:rPr>
              <w:t>手术/操作合</w:t>
            </w:r>
            <w:r>
              <w:rPr>
                <w:rFonts w:ascii="宋体" w:hAnsi="宋体" w:eastAsia="宋体" w:cs="宋体"/>
                <w:spacing w:val="2"/>
                <w:sz w:val="21"/>
                <w:szCs w:val="21"/>
              </w:rPr>
              <w:t xml:space="preserve"> </w:t>
            </w:r>
            <w:r>
              <w:rPr>
                <w:rFonts w:ascii="宋体" w:hAnsi="宋体" w:eastAsia="宋体" w:cs="宋体"/>
                <w:spacing w:val="-3"/>
                <w:sz w:val="21"/>
                <w:szCs w:val="21"/>
              </w:rPr>
              <w:t>理性审核</w:t>
            </w:r>
          </w:p>
        </w:tc>
        <w:tc>
          <w:tcPr>
            <w:tcW w:w="7736" w:type="dxa"/>
            <w:vAlign w:val="top"/>
          </w:tcPr>
          <w:p w14:paraId="7DF6D11E">
            <w:pPr>
              <w:spacing w:before="85" w:line="285" w:lineRule="auto"/>
              <w:ind w:left="109" w:right="100"/>
              <w:rPr>
                <w:rFonts w:ascii="宋体" w:hAnsi="宋体" w:eastAsia="宋体" w:cs="宋体"/>
                <w:sz w:val="21"/>
                <w:szCs w:val="21"/>
              </w:rPr>
            </w:pPr>
            <w:r>
              <w:rPr>
                <w:rFonts w:ascii="宋体" w:hAnsi="宋体" w:eastAsia="宋体" w:cs="宋体"/>
                <w:spacing w:val="-1"/>
                <w:sz w:val="21"/>
                <w:szCs w:val="21"/>
              </w:rPr>
              <w:t>根据患者的症状、临床表现、诊断、检查/检验结果等情况，在</w:t>
            </w:r>
            <w:r>
              <w:rPr>
                <w:rFonts w:ascii="宋体" w:hAnsi="宋体" w:eastAsia="宋体" w:cs="宋体"/>
                <w:spacing w:val="-2"/>
                <w:sz w:val="21"/>
                <w:szCs w:val="21"/>
              </w:rPr>
              <w:t>医生开具手术医嘱/</w:t>
            </w:r>
            <w:r>
              <w:rPr>
                <w:rFonts w:ascii="宋体" w:hAnsi="宋体" w:eastAsia="宋体" w:cs="宋体"/>
                <w:sz w:val="21"/>
                <w:szCs w:val="21"/>
              </w:rPr>
              <w:t xml:space="preserve"> </w:t>
            </w:r>
            <w:r>
              <w:rPr>
                <w:rFonts w:ascii="宋体" w:hAnsi="宋体" w:eastAsia="宋体" w:cs="宋体"/>
                <w:spacing w:val="-2"/>
                <w:sz w:val="21"/>
                <w:szCs w:val="21"/>
              </w:rPr>
              <w:t>手术申请单时，自动审核合理性，对禁忌和相</w:t>
            </w:r>
            <w:r>
              <w:rPr>
                <w:rFonts w:ascii="宋体" w:hAnsi="宋体" w:eastAsia="宋体" w:cs="宋体"/>
                <w:spacing w:val="-3"/>
                <w:sz w:val="21"/>
                <w:szCs w:val="21"/>
              </w:rPr>
              <w:t>对禁忌的项目主动进行提示。</w:t>
            </w:r>
          </w:p>
        </w:tc>
      </w:tr>
      <w:tr w14:paraId="483FC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042" w:type="dxa"/>
            <w:vMerge w:val="continue"/>
            <w:tcBorders>
              <w:top w:val="nil"/>
            </w:tcBorders>
            <w:vAlign w:val="top"/>
          </w:tcPr>
          <w:p w14:paraId="22E72C3E">
            <w:pPr>
              <w:rPr>
                <w:rFonts w:ascii="Arial"/>
                <w:sz w:val="21"/>
              </w:rPr>
            </w:pPr>
          </w:p>
        </w:tc>
        <w:tc>
          <w:tcPr>
            <w:tcW w:w="1560" w:type="dxa"/>
            <w:vAlign w:val="top"/>
          </w:tcPr>
          <w:p w14:paraId="2BE91725">
            <w:pPr>
              <w:spacing w:before="273" w:line="220" w:lineRule="auto"/>
              <w:ind w:left="140"/>
              <w:rPr>
                <w:rFonts w:ascii="宋体" w:hAnsi="宋体" w:eastAsia="宋体" w:cs="宋体"/>
                <w:sz w:val="21"/>
                <w:szCs w:val="21"/>
              </w:rPr>
            </w:pPr>
            <w:r>
              <w:rPr>
                <w:rFonts w:ascii="宋体" w:hAnsi="宋体" w:eastAsia="宋体" w:cs="宋体"/>
                <w:spacing w:val="1"/>
                <w:sz w:val="21"/>
                <w:szCs w:val="21"/>
              </w:rPr>
              <w:t>卡控位置配置</w:t>
            </w:r>
          </w:p>
        </w:tc>
        <w:tc>
          <w:tcPr>
            <w:tcW w:w="7736" w:type="dxa"/>
            <w:vAlign w:val="top"/>
          </w:tcPr>
          <w:p w14:paraId="21155E2E">
            <w:pPr>
              <w:spacing w:before="88" w:line="286" w:lineRule="auto"/>
              <w:ind w:left="110" w:right="103"/>
              <w:rPr>
                <w:rFonts w:ascii="宋体" w:hAnsi="宋体" w:eastAsia="宋体" w:cs="宋体"/>
                <w:sz w:val="21"/>
                <w:szCs w:val="21"/>
              </w:rPr>
            </w:pPr>
            <w:r>
              <w:rPr>
                <w:rFonts w:ascii="宋体" w:hAnsi="宋体" w:eastAsia="宋体" w:cs="宋体"/>
                <w:spacing w:val="-1"/>
                <w:sz w:val="21"/>
                <w:szCs w:val="21"/>
              </w:rPr>
              <w:t>支持危急值预警卡控位置配置。可配置检验预警信息</w:t>
            </w:r>
            <w:r>
              <w:rPr>
                <w:rFonts w:ascii="宋体" w:hAnsi="宋体" w:eastAsia="宋体" w:cs="宋体"/>
                <w:spacing w:val="-2"/>
                <w:sz w:val="21"/>
                <w:szCs w:val="21"/>
              </w:rPr>
              <w:t>在书写病程页面、检验医嘱界</w:t>
            </w:r>
            <w:r>
              <w:rPr>
                <w:rFonts w:ascii="宋体" w:hAnsi="宋体" w:eastAsia="宋体" w:cs="宋体"/>
                <w:sz w:val="21"/>
                <w:szCs w:val="21"/>
              </w:rPr>
              <w:t xml:space="preserve"> </w:t>
            </w:r>
            <w:r>
              <w:rPr>
                <w:rFonts w:ascii="宋体" w:hAnsi="宋体" w:eastAsia="宋体" w:cs="宋体"/>
                <w:spacing w:val="-6"/>
                <w:sz w:val="21"/>
                <w:szCs w:val="21"/>
              </w:rPr>
              <w:t>面、处方医嘱界面、手术医嘱界面、护理医嘱界面，</w:t>
            </w:r>
            <w:r>
              <w:rPr>
                <w:rFonts w:ascii="宋体" w:hAnsi="宋体" w:eastAsia="宋体" w:cs="宋体"/>
                <w:spacing w:val="62"/>
                <w:sz w:val="21"/>
                <w:szCs w:val="21"/>
              </w:rPr>
              <w:t xml:space="preserve"> </w:t>
            </w:r>
            <w:r>
              <w:rPr>
                <w:rFonts w:ascii="宋体" w:hAnsi="宋体" w:eastAsia="宋体" w:cs="宋体"/>
                <w:spacing w:val="-6"/>
                <w:sz w:val="21"/>
                <w:szCs w:val="21"/>
              </w:rPr>
              <w:t>格式化诊断界面、检验报告单</w:t>
            </w:r>
          </w:p>
        </w:tc>
      </w:tr>
    </w:tbl>
    <w:p w14:paraId="208CD849">
      <w:pPr>
        <w:pStyle w:val="2"/>
        <w:spacing w:line="440" w:lineRule="auto"/>
      </w:pPr>
    </w:p>
    <w:p w14:paraId="14773BD2">
      <w:pPr>
        <w:spacing w:before="62" w:line="209" w:lineRule="auto"/>
        <w:ind w:left="222"/>
        <w:rPr>
          <w:rFonts w:ascii="宋体" w:hAnsi="宋体" w:eastAsia="宋体" w:cs="宋体"/>
          <w:sz w:val="19"/>
          <w:szCs w:val="19"/>
        </w:rPr>
      </w:pPr>
      <w:r>
        <w:pict>
          <v:shape id="_x0000_s1036" o:spid="_x0000_s1036" style="position:absolute;left:0pt;margin-left:5.65pt;margin-top:11.85pt;height:0.75pt;width:494pt;z-index:251680768;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3"/>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3"/>
          <w:position w:val="1"/>
          <w:sz w:val="18"/>
          <w:szCs w:val="18"/>
        </w:rPr>
        <w:t xml:space="preserve">16                               </w:t>
      </w:r>
      <w:r>
        <w:rPr>
          <w:rFonts w:ascii="宋体" w:hAnsi="宋体" w:eastAsia="宋体" w:cs="宋体"/>
          <w:b/>
          <w:bCs/>
          <w:i/>
          <w:iCs/>
          <w:spacing w:val="-3"/>
          <w:sz w:val="19"/>
          <w:szCs w:val="19"/>
        </w:rPr>
        <w:t>伊犁州公共资源交易中心</w:t>
      </w:r>
    </w:p>
    <w:p w14:paraId="7E100C13">
      <w:pPr>
        <w:spacing w:line="209" w:lineRule="auto"/>
        <w:rPr>
          <w:rFonts w:ascii="宋体" w:hAnsi="宋体" w:eastAsia="宋体" w:cs="宋体"/>
          <w:sz w:val="19"/>
          <w:szCs w:val="19"/>
        </w:rPr>
        <w:sectPr>
          <w:pgSz w:w="11905" w:h="16839"/>
          <w:pgMar w:top="1136" w:right="503" w:bottom="400" w:left="1052" w:header="854" w:footer="0" w:gutter="0"/>
          <w:cols w:space="720" w:num="1"/>
        </w:sectPr>
      </w:pPr>
    </w:p>
    <w:p w14:paraId="12606605">
      <w:pPr>
        <w:spacing w:before="38"/>
      </w:pPr>
    </w:p>
    <w:tbl>
      <w:tblPr>
        <w:tblStyle w:val="5"/>
        <w:tblW w:w="103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560"/>
        <w:gridCol w:w="7736"/>
      </w:tblGrid>
      <w:tr w14:paraId="103F7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42" w:type="dxa"/>
            <w:vMerge w:val="restart"/>
            <w:tcBorders>
              <w:bottom w:val="nil"/>
            </w:tcBorders>
            <w:vAlign w:val="top"/>
          </w:tcPr>
          <w:p w14:paraId="523B929C">
            <w:pPr>
              <w:rPr>
                <w:rFonts w:ascii="Arial"/>
                <w:sz w:val="21"/>
              </w:rPr>
            </w:pPr>
          </w:p>
        </w:tc>
        <w:tc>
          <w:tcPr>
            <w:tcW w:w="1560" w:type="dxa"/>
            <w:vAlign w:val="top"/>
          </w:tcPr>
          <w:p w14:paraId="74660B60">
            <w:pPr>
              <w:rPr>
                <w:rFonts w:ascii="Arial"/>
                <w:sz w:val="21"/>
              </w:rPr>
            </w:pPr>
          </w:p>
        </w:tc>
        <w:tc>
          <w:tcPr>
            <w:tcW w:w="7736" w:type="dxa"/>
            <w:vAlign w:val="top"/>
          </w:tcPr>
          <w:p w14:paraId="72C7EFD5">
            <w:pPr>
              <w:spacing w:before="83" w:line="220" w:lineRule="auto"/>
              <w:ind w:left="114"/>
              <w:rPr>
                <w:rFonts w:ascii="宋体" w:hAnsi="宋体" w:eastAsia="宋体" w:cs="宋体"/>
                <w:sz w:val="21"/>
                <w:szCs w:val="21"/>
              </w:rPr>
            </w:pPr>
            <w:r>
              <w:rPr>
                <w:rFonts w:ascii="宋体" w:hAnsi="宋体" w:eastAsia="宋体" w:cs="宋体"/>
                <w:spacing w:val="-6"/>
                <w:sz w:val="21"/>
                <w:szCs w:val="21"/>
              </w:rPr>
              <w:t>页面进行提醒。</w:t>
            </w:r>
          </w:p>
        </w:tc>
      </w:tr>
      <w:tr w14:paraId="5D52B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bottom w:val="nil"/>
            </w:tcBorders>
            <w:vAlign w:val="top"/>
          </w:tcPr>
          <w:p w14:paraId="5C86A64A">
            <w:pPr>
              <w:rPr>
                <w:rFonts w:ascii="Arial"/>
                <w:sz w:val="21"/>
              </w:rPr>
            </w:pPr>
          </w:p>
        </w:tc>
        <w:tc>
          <w:tcPr>
            <w:tcW w:w="1560" w:type="dxa"/>
            <w:vAlign w:val="top"/>
          </w:tcPr>
          <w:p w14:paraId="0518BAFA">
            <w:pPr>
              <w:spacing w:before="264" w:line="220" w:lineRule="auto"/>
              <w:ind w:left="139"/>
              <w:rPr>
                <w:rFonts w:ascii="宋体" w:hAnsi="宋体" w:eastAsia="宋体" w:cs="宋体"/>
                <w:sz w:val="21"/>
                <w:szCs w:val="21"/>
              </w:rPr>
            </w:pPr>
            <w:r>
              <w:rPr>
                <w:rFonts w:ascii="宋体" w:hAnsi="宋体" w:eastAsia="宋体" w:cs="宋体"/>
                <w:spacing w:val="1"/>
                <w:sz w:val="21"/>
                <w:szCs w:val="21"/>
              </w:rPr>
              <w:t>提醒时效配置</w:t>
            </w:r>
          </w:p>
        </w:tc>
        <w:tc>
          <w:tcPr>
            <w:tcW w:w="7736" w:type="dxa"/>
            <w:vAlign w:val="top"/>
          </w:tcPr>
          <w:p w14:paraId="55E76489">
            <w:pPr>
              <w:spacing w:before="78" w:line="288" w:lineRule="auto"/>
              <w:ind w:left="119" w:right="95" w:hanging="9"/>
              <w:rPr>
                <w:rFonts w:ascii="宋体" w:hAnsi="宋体" w:eastAsia="宋体" w:cs="宋体"/>
                <w:sz w:val="21"/>
                <w:szCs w:val="21"/>
              </w:rPr>
            </w:pPr>
            <w:r>
              <w:rPr>
                <w:rFonts w:ascii="宋体" w:hAnsi="宋体" w:eastAsia="宋体" w:cs="宋体"/>
                <w:spacing w:val="-1"/>
                <w:sz w:val="21"/>
                <w:szCs w:val="21"/>
              </w:rPr>
              <w:t>支持检验预警和危急值提醒时效配置，例如可配置危急值提醒在一定时</w:t>
            </w:r>
            <w:r>
              <w:rPr>
                <w:rFonts w:ascii="宋体" w:hAnsi="宋体" w:eastAsia="宋体" w:cs="宋体"/>
                <w:spacing w:val="-2"/>
                <w:sz w:val="21"/>
                <w:szCs w:val="21"/>
              </w:rPr>
              <w:t>间后消失。</w:t>
            </w:r>
            <w:r>
              <w:rPr>
                <w:rFonts w:ascii="宋体" w:hAnsi="宋体" w:eastAsia="宋体" w:cs="宋体"/>
                <w:sz w:val="21"/>
                <w:szCs w:val="21"/>
              </w:rPr>
              <w:t xml:space="preserve"> </w:t>
            </w:r>
            <w:r>
              <w:rPr>
                <w:rFonts w:ascii="宋体" w:hAnsi="宋体" w:eastAsia="宋体" w:cs="宋体"/>
                <w:spacing w:val="-3"/>
                <w:sz w:val="21"/>
                <w:szCs w:val="21"/>
              </w:rPr>
              <w:t>时间单位可选择小时、天、周、月。</w:t>
            </w:r>
          </w:p>
        </w:tc>
      </w:tr>
      <w:tr w14:paraId="27188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bottom w:val="nil"/>
            </w:tcBorders>
            <w:vAlign w:val="top"/>
          </w:tcPr>
          <w:p w14:paraId="204F0B6F">
            <w:pPr>
              <w:rPr>
                <w:rFonts w:ascii="Arial"/>
                <w:sz w:val="21"/>
              </w:rPr>
            </w:pPr>
          </w:p>
        </w:tc>
        <w:tc>
          <w:tcPr>
            <w:tcW w:w="1560" w:type="dxa"/>
            <w:vAlign w:val="top"/>
          </w:tcPr>
          <w:p w14:paraId="187FED25">
            <w:pPr>
              <w:spacing w:before="78" w:line="288" w:lineRule="auto"/>
              <w:ind w:left="458" w:right="140" w:hanging="319"/>
              <w:rPr>
                <w:rFonts w:ascii="宋体" w:hAnsi="宋体" w:eastAsia="宋体" w:cs="宋体"/>
                <w:sz w:val="21"/>
                <w:szCs w:val="21"/>
              </w:rPr>
            </w:pPr>
            <w:r>
              <w:rPr>
                <w:rFonts w:ascii="宋体" w:hAnsi="宋体" w:eastAsia="宋体" w:cs="宋体"/>
                <w:spacing w:val="1"/>
                <w:sz w:val="21"/>
                <w:szCs w:val="21"/>
              </w:rPr>
              <w:t>合理性提醒强</w:t>
            </w:r>
            <w:r>
              <w:rPr>
                <w:rFonts w:ascii="宋体" w:hAnsi="宋体" w:eastAsia="宋体" w:cs="宋体"/>
                <w:spacing w:val="3"/>
                <w:sz w:val="21"/>
                <w:szCs w:val="21"/>
              </w:rPr>
              <w:t xml:space="preserve"> </w:t>
            </w:r>
            <w:r>
              <w:rPr>
                <w:rFonts w:ascii="宋体" w:hAnsi="宋体" w:eastAsia="宋体" w:cs="宋体"/>
                <w:sz w:val="21"/>
                <w:szCs w:val="21"/>
              </w:rPr>
              <w:t>度设置</w:t>
            </w:r>
          </w:p>
        </w:tc>
        <w:tc>
          <w:tcPr>
            <w:tcW w:w="7736" w:type="dxa"/>
            <w:vAlign w:val="top"/>
          </w:tcPr>
          <w:p w14:paraId="4314114A">
            <w:pPr>
              <w:spacing w:before="78" w:line="288" w:lineRule="auto"/>
              <w:ind w:left="125" w:right="107" w:hanging="13"/>
              <w:rPr>
                <w:rFonts w:ascii="宋体" w:hAnsi="宋体" w:eastAsia="宋体" w:cs="宋体"/>
                <w:sz w:val="21"/>
                <w:szCs w:val="21"/>
              </w:rPr>
            </w:pPr>
            <w:r>
              <w:rPr>
                <w:rFonts w:ascii="宋体" w:hAnsi="宋体" w:eastAsia="宋体" w:cs="宋体"/>
                <w:spacing w:val="1"/>
                <w:sz w:val="21"/>
                <w:szCs w:val="21"/>
              </w:rPr>
              <w:t>★支持对检验、手术、检查/检查重复性、用血、检查、用药、诊断、处置等医嘱</w:t>
            </w:r>
            <w:r>
              <w:rPr>
                <w:rFonts w:ascii="宋体" w:hAnsi="宋体" w:eastAsia="宋体" w:cs="宋体"/>
                <w:spacing w:val="14"/>
                <w:sz w:val="21"/>
                <w:szCs w:val="21"/>
              </w:rPr>
              <w:t xml:space="preserve"> </w:t>
            </w:r>
            <w:r>
              <w:rPr>
                <w:rFonts w:ascii="宋体" w:hAnsi="宋体" w:eastAsia="宋体" w:cs="宋体"/>
                <w:spacing w:val="2"/>
                <w:sz w:val="21"/>
                <w:szCs w:val="21"/>
              </w:rPr>
              <w:t>的合理性提醒强度进行三级提醒自定义（强/中/弱）。</w:t>
            </w:r>
          </w:p>
        </w:tc>
      </w:tr>
      <w:tr w14:paraId="5D582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tcBorders>
            <w:vAlign w:val="top"/>
          </w:tcPr>
          <w:p w14:paraId="40D35004">
            <w:pPr>
              <w:rPr>
                <w:rFonts w:ascii="Arial"/>
                <w:sz w:val="21"/>
              </w:rPr>
            </w:pPr>
          </w:p>
        </w:tc>
        <w:tc>
          <w:tcPr>
            <w:tcW w:w="1560" w:type="dxa"/>
            <w:vAlign w:val="top"/>
          </w:tcPr>
          <w:p w14:paraId="0849213A">
            <w:pPr>
              <w:spacing w:before="266" w:line="220" w:lineRule="auto"/>
              <w:ind w:left="353"/>
              <w:rPr>
                <w:rFonts w:ascii="宋体" w:hAnsi="宋体" w:eastAsia="宋体" w:cs="宋体"/>
                <w:sz w:val="21"/>
                <w:szCs w:val="21"/>
              </w:rPr>
            </w:pPr>
            <w:r>
              <w:rPr>
                <w:rFonts w:ascii="宋体" w:hAnsi="宋体" w:eastAsia="宋体" w:cs="宋体"/>
                <w:sz w:val="21"/>
                <w:szCs w:val="21"/>
              </w:rPr>
              <w:t>用户反馈</w:t>
            </w:r>
          </w:p>
        </w:tc>
        <w:tc>
          <w:tcPr>
            <w:tcW w:w="7736" w:type="dxa"/>
            <w:vAlign w:val="top"/>
          </w:tcPr>
          <w:p w14:paraId="65C52B66">
            <w:pPr>
              <w:spacing w:before="81" w:line="287" w:lineRule="auto"/>
              <w:ind w:left="110" w:right="95"/>
              <w:rPr>
                <w:rFonts w:ascii="宋体" w:hAnsi="宋体" w:eastAsia="宋体" w:cs="宋体"/>
                <w:sz w:val="21"/>
                <w:szCs w:val="21"/>
              </w:rPr>
            </w:pPr>
            <w:r>
              <w:rPr>
                <w:rFonts w:ascii="宋体" w:hAnsi="宋体" w:eastAsia="宋体" w:cs="宋体"/>
                <w:spacing w:val="-1"/>
                <w:sz w:val="21"/>
                <w:szCs w:val="21"/>
              </w:rPr>
              <w:t>支持在医生工作站进行用户反馈，医生可按照提建议</w:t>
            </w:r>
            <w:r>
              <w:rPr>
                <w:rFonts w:ascii="宋体" w:hAnsi="宋体" w:eastAsia="宋体" w:cs="宋体"/>
                <w:spacing w:val="-2"/>
                <w:sz w:val="21"/>
                <w:szCs w:val="21"/>
              </w:rPr>
              <w:t>、提缺陷、我想要等不同情况</w:t>
            </w:r>
            <w:r>
              <w:rPr>
                <w:rFonts w:ascii="宋体" w:hAnsi="宋体" w:eastAsia="宋体" w:cs="宋体"/>
                <w:sz w:val="21"/>
                <w:szCs w:val="21"/>
              </w:rPr>
              <w:t xml:space="preserve"> </w:t>
            </w:r>
            <w:r>
              <w:rPr>
                <w:rFonts w:ascii="宋体" w:hAnsi="宋体" w:eastAsia="宋体" w:cs="宋体"/>
                <w:spacing w:val="-1"/>
                <w:sz w:val="21"/>
                <w:szCs w:val="21"/>
              </w:rPr>
              <w:t>提交用户反馈。支持文字描述和图片上传，支持默认自动截图当前提醒</w:t>
            </w:r>
            <w:r>
              <w:rPr>
                <w:rFonts w:ascii="宋体" w:hAnsi="宋体" w:eastAsia="宋体" w:cs="宋体"/>
                <w:spacing w:val="-2"/>
                <w:sz w:val="21"/>
                <w:szCs w:val="21"/>
              </w:rPr>
              <w:t>框并上传。</w:t>
            </w:r>
          </w:p>
        </w:tc>
      </w:tr>
      <w:tr w14:paraId="401D3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restart"/>
            <w:tcBorders>
              <w:bottom w:val="nil"/>
            </w:tcBorders>
            <w:vAlign w:val="top"/>
          </w:tcPr>
          <w:p w14:paraId="77B2FFB1">
            <w:pPr>
              <w:spacing w:line="241" w:lineRule="auto"/>
              <w:rPr>
                <w:rFonts w:ascii="Arial"/>
                <w:sz w:val="21"/>
              </w:rPr>
            </w:pPr>
          </w:p>
          <w:p w14:paraId="0ABD0806">
            <w:pPr>
              <w:spacing w:line="241" w:lineRule="auto"/>
              <w:rPr>
                <w:rFonts w:ascii="Arial"/>
                <w:sz w:val="21"/>
              </w:rPr>
            </w:pPr>
          </w:p>
          <w:p w14:paraId="3417675F">
            <w:pPr>
              <w:spacing w:line="241" w:lineRule="auto"/>
              <w:rPr>
                <w:rFonts w:ascii="Arial"/>
                <w:sz w:val="21"/>
              </w:rPr>
            </w:pPr>
          </w:p>
          <w:p w14:paraId="4171FAEB">
            <w:pPr>
              <w:spacing w:line="241" w:lineRule="auto"/>
              <w:rPr>
                <w:rFonts w:ascii="Arial"/>
                <w:sz w:val="21"/>
              </w:rPr>
            </w:pPr>
          </w:p>
          <w:p w14:paraId="2A180622">
            <w:pPr>
              <w:spacing w:line="241" w:lineRule="auto"/>
              <w:rPr>
                <w:rFonts w:ascii="Arial"/>
                <w:sz w:val="21"/>
              </w:rPr>
            </w:pPr>
          </w:p>
          <w:p w14:paraId="5B51A86C">
            <w:pPr>
              <w:spacing w:line="241" w:lineRule="auto"/>
              <w:rPr>
                <w:rFonts w:ascii="Arial"/>
                <w:sz w:val="21"/>
              </w:rPr>
            </w:pPr>
          </w:p>
          <w:p w14:paraId="4EFE51BA">
            <w:pPr>
              <w:spacing w:line="242" w:lineRule="auto"/>
              <w:rPr>
                <w:rFonts w:ascii="Arial"/>
                <w:sz w:val="21"/>
              </w:rPr>
            </w:pPr>
          </w:p>
          <w:p w14:paraId="79AAE9CA">
            <w:pPr>
              <w:spacing w:line="242" w:lineRule="auto"/>
              <w:rPr>
                <w:rFonts w:ascii="Arial"/>
                <w:sz w:val="21"/>
              </w:rPr>
            </w:pPr>
          </w:p>
          <w:p w14:paraId="36C47A48">
            <w:pPr>
              <w:spacing w:line="242" w:lineRule="auto"/>
              <w:rPr>
                <w:rFonts w:ascii="Arial"/>
                <w:sz w:val="21"/>
              </w:rPr>
            </w:pPr>
          </w:p>
          <w:p w14:paraId="40864792">
            <w:pPr>
              <w:spacing w:line="242" w:lineRule="auto"/>
              <w:rPr>
                <w:rFonts w:ascii="Arial"/>
                <w:sz w:val="21"/>
              </w:rPr>
            </w:pPr>
          </w:p>
          <w:p w14:paraId="30FE6199">
            <w:pPr>
              <w:spacing w:line="242" w:lineRule="auto"/>
              <w:rPr>
                <w:rFonts w:ascii="Arial"/>
                <w:sz w:val="21"/>
              </w:rPr>
            </w:pPr>
          </w:p>
          <w:p w14:paraId="678666EA">
            <w:pPr>
              <w:spacing w:line="242" w:lineRule="auto"/>
              <w:rPr>
                <w:rFonts w:ascii="Arial"/>
                <w:sz w:val="21"/>
              </w:rPr>
            </w:pPr>
          </w:p>
          <w:p w14:paraId="4CCDBC82">
            <w:pPr>
              <w:spacing w:line="242" w:lineRule="auto"/>
              <w:rPr>
                <w:rFonts w:ascii="Arial"/>
                <w:sz w:val="21"/>
              </w:rPr>
            </w:pPr>
          </w:p>
          <w:p w14:paraId="753623B9">
            <w:pPr>
              <w:spacing w:line="242" w:lineRule="auto"/>
              <w:rPr>
                <w:rFonts w:ascii="Arial"/>
                <w:sz w:val="21"/>
              </w:rPr>
            </w:pPr>
          </w:p>
          <w:p w14:paraId="19AB80E4">
            <w:pPr>
              <w:spacing w:line="242" w:lineRule="auto"/>
              <w:rPr>
                <w:rFonts w:ascii="Arial"/>
                <w:sz w:val="21"/>
              </w:rPr>
            </w:pPr>
          </w:p>
          <w:p w14:paraId="14D557BE">
            <w:pPr>
              <w:spacing w:line="242" w:lineRule="auto"/>
              <w:rPr>
                <w:rFonts w:ascii="Arial"/>
                <w:sz w:val="21"/>
              </w:rPr>
            </w:pPr>
          </w:p>
          <w:p w14:paraId="2200BBBF">
            <w:pPr>
              <w:spacing w:line="242" w:lineRule="auto"/>
              <w:rPr>
                <w:rFonts w:ascii="Arial"/>
                <w:sz w:val="21"/>
              </w:rPr>
            </w:pPr>
          </w:p>
          <w:p w14:paraId="1C9BE3F9">
            <w:pPr>
              <w:spacing w:line="242" w:lineRule="auto"/>
              <w:rPr>
                <w:rFonts w:ascii="Arial"/>
                <w:sz w:val="21"/>
              </w:rPr>
            </w:pPr>
          </w:p>
          <w:p w14:paraId="7860F1DD">
            <w:pPr>
              <w:spacing w:line="242" w:lineRule="auto"/>
              <w:rPr>
                <w:rFonts w:ascii="Arial"/>
                <w:sz w:val="21"/>
              </w:rPr>
            </w:pPr>
          </w:p>
          <w:p w14:paraId="3DD53C8F">
            <w:pPr>
              <w:spacing w:line="242" w:lineRule="auto"/>
              <w:rPr>
                <w:rFonts w:ascii="Arial"/>
                <w:sz w:val="21"/>
              </w:rPr>
            </w:pPr>
          </w:p>
          <w:p w14:paraId="061B0182">
            <w:pPr>
              <w:spacing w:before="78" w:line="450" w:lineRule="auto"/>
              <w:ind w:left="114" w:right="107" w:firstLine="25"/>
              <w:jc w:val="both"/>
              <w:rPr>
                <w:rFonts w:ascii="宋体" w:hAnsi="宋体" w:eastAsia="宋体" w:cs="宋体"/>
                <w:sz w:val="24"/>
                <w:szCs w:val="24"/>
              </w:rPr>
            </w:pPr>
            <w:r>
              <w:rPr>
                <w:rFonts w:ascii="宋体" w:hAnsi="宋体" w:eastAsia="宋体" w:cs="宋体"/>
                <w:spacing w:val="21"/>
                <w:sz w:val="24"/>
                <w:szCs w:val="24"/>
              </w:rPr>
              <w:t>门诊医</w:t>
            </w:r>
            <w:r>
              <w:rPr>
                <w:rFonts w:ascii="宋体" w:hAnsi="宋体" w:eastAsia="宋体" w:cs="宋体"/>
                <w:spacing w:val="1"/>
                <w:sz w:val="24"/>
                <w:szCs w:val="24"/>
              </w:rPr>
              <w:t xml:space="preserve"> </w:t>
            </w:r>
            <w:r>
              <w:rPr>
                <w:rFonts w:ascii="宋体" w:hAnsi="宋体" w:eastAsia="宋体" w:cs="宋体"/>
                <w:spacing w:val="30"/>
                <w:sz w:val="24"/>
                <w:szCs w:val="24"/>
              </w:rPr>
              <w:t>生辅助</w:t>
            </w:r>
            <w:r>
              <w:rPr>
                <w:rFonts w:ascii="宋体" w:hAnsi="宋体" w:eastAsia="宋体" w:cs="宋体"/>
                <w:sz w:val="24"/>
                <w:szCs w:val="24"/>
              </w:rPr>
              <w:t xml:space="preserve"> </w:t>
            </w:r>
            <w:r>
              <w:rPr>
                <w:rFonts w:ascii="宋体" w:hAnsi="宋体" w:eastAsia="宋体" w:cs="宋体"/>
                <w:spacing w:val="-3"/>
                <w:sz w:val="24"/>
                <w:szCs w:val="24"/>
              </w:rPr>
              <w:t>系统</w:t>
            </w:r>
          </w:p>
        </w:tc>
        <w:tc>
          <w:tcPr>
            <w:tcW w:w="1560" w:type="dxa"/>
            <w:vMerge w:val="restart"/>
            <w:tcBorders>
              <w:bottom w:val="nil"/>
            </w:tcBorders>
            <w:vAlign w:val="top"/>
          </w:tcPr>
          <w:p w14:paraId="3E154705">
            <w:pPr>
              <w:spacing w:line="283" w:lineRule="auto"/>
              <w:rPr>
                <w:rFonts w:ascii="Arial"/>
                <w:sz w:val="21"/>
              </w:rPr>
            </w:pPr>
          </w:p>
          <w:p w14:paraId="7E6780E9">
            <w:pPr>
              <w:spacing w:line="283" w:lineRule="auto"/>
              <w:rPr>
                <w:rFonts w:ascii="Arial"/>
                <w:sz w:val="21"/>
              </w:rPr>
            </w:pPr>
          </w:p>
          <w:p w14:paraId="1086133D">
            <w:pPr>
              <w:spacing w:line="284" w:lineRule="auto"/>
              <w:rPr>
                <w:rFonts w:ascii="Arial"/>
                <w:sz w:val="21"/>
              </w:rPr>
            </w:pPr>
          </w:p>
          <w:p w14:paraId="1DE946F5">
            <w:pPr>
              <w:spacing w:line="284" w:lineRule="auto"/>
              <w:rPr>
                <w:rFonts w:ascii="Arial"/>
                <w:sz w:val="21"/>
              </w:rPr>
            </w:pPr>
          </w:p>
          <w:p w14:paraId="54B6C58E">
            <w:pPr>
              <w:spacing w:before="68" w:line="314" w:lineRule="auto"/>
              <w:ind w:left="570" w:right="147" w:hanging="415"/>
              <w:rPr>
                <w:rFonts w:ascii="宋体" w:hAnsi="宋体" w:eastAsia="宋体" w:cs="宋体"/>
                <w:sz w:val="21"/>
                <w:szCs w:val="21"/>
              </w:rPr>
            </w:pPr>
            <w:r>
              <w:rPr>
                <w:rFonts w:ascii="宋体" w:hAnsi="宋体" w:eastAsia="宋体" w:cs="宋体"/>
                <w:spacing w:val="-3"/>
                <w:sz w:val="21"/>
                <w:szCs w:val="21"/>
              </w:rPr>
              <w:t>智能推荐鉴别</w:t>
            </w:r>
            <w:r>
              <w:rPr>
                <w:rFonts w:ascii="宋体" w:hAnsi="宋体" w:eastAsia="宋体" w:cs="宋体"/>
                <w:spacing w:val="3"/>
                <w:sz w:val="21"/>
                <w:szCs w:val="21"/>
              </w:rPr>
              <w:t xml:space="preserve"> </w:t>
            </w:r>
            <w:r>
              <w:rPr>
                <w:rFonts w:ascii="宋体" w:hAnsi="宋体" w:eastAsia="宋体" w:cs="宋体"/>
                <w:spacing w:val="-3"/>
                <w:sz w:val="21"/>
                <w:szCs w:val="21"/>
              </w:rPr>
              <w:t>诊断</w:t>
            </w:r>
          </w:p>
        </w:tc>
        <w:tc>
          <w:tcPr>
            <w:tcW w:w="7736" w:type="dxa"/>
            <w:vAlign w:val="top"/>
          </w:tcPr>
          <w:p w14:paraId="36206408">
            <w:pPr>
              <w:spacing w:before="81" w:line="287" w:lineRule="auto"/>
              <w:ind w:left="117" w:right="138" w:hanging="7"/>
              <w:rPr>
                <w:rFonts w:ascii="宋体" w:hAnsi="宋体" w:eastAsia="宋体" w:cs="宋体"/>
                <w:sz w:val="21"/>
                <w:szCs w:val="21"/>
              </w:rPr>
            </w:pPr>
            <w:r>
              <w:rPr>
                <w:rFonts w:ascii="宋体" w:hAnsi="宋体" w:eastAsia="宋体" w:cs="宋体"/>
                <w:spacing w:val="3"/>
                <w:sz w:val="21"/>
                <w:szCs w:val="21"/>
              </w:rPr>
              <w:t>支持结合患者的临床表现（主诉、现病史等病历信息以及检验值信息</w:t>
            </w:r>
            <w:r>
              <w:rPr>
                <w:rFonts w:ascii="宋体" w:hAnsi="宋体" w:eastAsia="宋体" w:cs="宋体"/>
                <w:spacing w:val="13"/>
                <w:sz w:val="21"/>
                <w:szCs w:val="21"/>
              </w:rPr>
              <w:t>），</w:t>
            </w:r>
            <w:r>
              <w:rPr>
                <w:rFonts w:ascii="宋体" w:hAnsi="宋体" w:eastAsia="宋体" w:cs="宋体"/>
                <w:spacing w:val="3"/>
                <w:sz w:val="21"/>
                <w:szCs w:val="21"/>
              </w:rPr>
              <w:t>智能判</w:t>
            </w:r>
            <w:r>
              <w:rPr>
                <w:rFonts w:ascii="宋体" w:hAnsi="宋体" w:eastAsia="宋体" w:cs="宋体"/>
                <w:spacing w:val="1"/>
                <w:sz w:val="21"/>
                <w:szCs w:val="21"/>
              </w:rPr>
              <w:t xml:space="preserve"> </w:t>
            </w:r>
            <w:r>
              <w:rPr>
                <w:rFonts w:ascii="宋体" w:hAnsi="宋体" w:eastAsia="宋体" w:cs="宋体"/>
                <w:spacing w:val="-4"/>
                <w:sz w:val="21"/>
                <w:szCs w:val="21"/>
              </w:rPr>
              <w:t>断患者疑似疾病，实时引导医生全面考虑患者病情，避免漏诊、误诊。</w:t>
            </w:r>
          </w:p>
        </w:tc>
      </w:tr>
      <w:tr w14:paraId="4650D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042" w:type="dxa"/>
            <w:vMerge w:val="continue"/>
            <w:tcBorders>
              <w:top w:val="nil"/>
              <w:bottom w:val="nil"/>
            </w:tcBorders>
            <w:vAlign w:val="top"/>
          </w:tcPr>
          <w:p w14:paraId="31C332D1">
            <w:pPr>
              <w:rPr>
                <w:rFonts w:ascii="Arial"/>
                <w:sz w:val="21"/>
              </w:rPr>
            </w:pPr>
          </w:p>
        </w:tc>
        <w:tc>
          <w:tcPr>
            <w:tcW w:w="1560" w:type="dxa"/>
            <w:vMerge w:val="continue"/>
            <w:tcBorders>
              <w:top w:val="nil"/>
              <w:bottom w:val="nil"/>
            </w:tcBorders>
            <w:vAlign w:val="top"/>
          </w:tcPr>
          <w:p w14:paraId="463750A6">
            <w:pPr>
              <w:rPr>
                <w:rFonts w:ascii="Arial"/>
                <w:sz w:val="21"/>
              </w:rPr>
            </w:pPr>
          </w:p>
        </w:tc>
        <w:tc>
          <w:tcPr>
            <w:tcW w:w="7736" w:type="dxa"/>
            <w:vAlign w:val="top"/>
          </w:tcPr>
          <w:p w14:paraId="3B41E0FF">
            <w:pPr>
              <w:spacing w:before="82" w:line="287" w:lineRule="auto"/>
              <w:ind w:left="111" w:right="99" w:hanging="1"/>
              <w:rPr>
                <w:rFonts w:ascii="宋体" w:hAnsi="宋体" w:eastAsia="宋体" w:cs="宋体"/>
                <w:sz w:val="21"/>
                <w:szCs w:val="21"/>
              </w:rPr>
            </w:pPr>
            <w:r>
              <w:rPr>
                <w:rFonts w:ascii="宋体" w:hAnsi="宋体" w:eastAsia="宋体" w:cs="宋体"/>
                <w:spacing w:val="-7"/>
                <w:sz w:val="21"/>
                <w:szCs w:val="21"/>
              </w:rPr>
              <w:t>支持医生根据系统推荐的鉴别诊断，直接查阅诊断相关的疾病详情介绍以及文献、指</w:t>
            </w:r>
            <w:r>
              <w:rPr>
                <w:rFonts w:ascii="宋体" w:hAnsi="宋体" w:eastAsia="宋体" w:cs="宋体"/>
                <w:spacing w:val="4"/>
                <w:sz w:val="21"/>
                <w:szCs w:val="21"/>
              </w:rPr>
              <w:t xml:space="preserve"> </w:t>
            </w:r>
            <w:r>
              <w:rPr>
                <w:rFonts w:ascii="宋体" w:hAnsi="宋体" w:eastAsia="宋体" w:cs="宋体"/>
                <w:spacing w:val="-6"/>
                <w:sz w:val="21"/>
                <w:szCs w:val="21"/>
              </w:rPr>
              <w:t>南。</w:t>
            </w:r>
          </w:p>
        </w:tc>
      </w:tr>
      <w:tr w14:paraId="79EDF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trPr>
        <w:tc>
          <w:tcPr>
            <w:tcW w:w="1042" w:type="dxa"/>
            <w:vMerge w:val="continue"/>
            <w:tcBorders>
              <w:top w:val="nil"/>
              <w:bottom w:val="nil"/>
            </w:tcBorders>
            <w:vAlign w:val="top"/>
          </w:tcPr>
          <w:p w14:paraId="6C456580">
            <w:pPr>
              <w:rPr>
                <w:rFonts w:ascii="Arial"/>
                <w:sz w:val="21"/>
              </w:rPr>
            </w:pPr>
          </w:p>
        </w:tc>
        <w:tc>
          <w:tcPr>
            <w:tcW w:w="1560" w:type="dxa"/>
            <w:vMerge w:val="continue"/>
            <w:tcBorders>
              <w:top w:val="nil"/>
            </w:tcBorders>
            <w:vAlign w:val="top"/>
          </w:tcPr>
          <w:p w14:paraId="4995D008">
            <w:pPr>
              <w:rPr>
                <w:rFonts w:ascii="Arial"/>
                <w:sz w:val="21"/>
              </w:rPr>
            </w:pPr>
          </w:p>
        </w:tc>
        <w:tc>
          <w:tcPr>
            <w:tcW w:w="7736" w:type="dxa"/>
            <w:vAlign w:val="top"/>
          </w:tcPr>
          <w:p w14:paraId="755AEFA9">
            <w:pPr>
              <w:spacing w:before="82" w:line="307" w:lineRule="auto"/>
              <w:ind w:left="110" w:right="40" w:firstLine="2"/>
              <w:jc w:val="both"/>
              <w:rPr>
                <w:rFonts w:ascii="宋体" w:hAnsi="宋体" w:eastAsia="宋体" w:cs="宋体"/>
                <w:sz w:val="21"/>
                <w:szCs w:val="21"/>
              </w:rPr>
            </w:pPr>
            <w:r>
              <w:rPr>
                <w:rFonts w:ascii="宋体" w:hAnsi="宋体" w:eastAsia="宋体" w:cs="宋体"/>
                <w:spacing w:val="-7"/>
                <w:sz w:val="21"/>
                <w:szCs w:val="21"/>
              </w:rPr>
              <w:t>★系统应支持危重疾病疑似诊断，根据医生录入患者的病历信息，系统进行智能判断</w:t>
            </w:r>
            <w:r>
              <w:rPr>
                <w:rFonts w:ascii="宋体" w:hAnsi="宋体" w:eastAsia="宋体" w:cs="宋体"/>
                <w:spacing w:val="2"/>
                <w:sz w:val="21"/>
                <w:szCs w:val="21"/>
              </w:rPr>
              <w:t xml:space="preserve"> </w:t>
            </w:r>
            <w:r>
              <w:rPr>
                <w:rFonts w:ascii="宋体" w:hAnsi="宋体" w:eastAsia="宋体" w:cs="宋体"/>
                <w:spacing w:val="-11"/>
                <w:sz w:val="21"/>
                <w:szCs w:val="21"/>
              </w:rPr>
              <w:t>后，智能推荐患者存在的疑似危重疾病和疑似诊断详情，帮助医生进行鉴别诊断疾病，</w:t>
            </w:r>
            <w:r>
              <w:rPr>
                <w:rFonts w:ascii="宋体" w:hAnsi="宋体" w:eastAsia="宋体" w:cs="宋体"/>
                <w:spacing w:val="12"/>
                <w:sz w:val="21"/>
                <w:szCs w:val="21"/>
              </w:rPr>
              <w:t xml:space="preserve"> </w:t>
            </w:r>
            <w:r>
              <w:rPr>
                <w:rFonts w:ascii="宋体" w:hAnsi="宋体" w:eastAsia="宋体" w:cs="宋体"/>
                <w:spacing w:val="-7"/>
                <w:sz w:val="21"/>
                <w:szCs w:val="21"/>
              </w:rPr>
              <w:t>支持医生在诊疗过程参考疾病信息，快速确诊疾病。当主诉更改后，系统应智能识别</w:t>
            </w:r>
            <w:r>
              <w:rPr>
                <w:rFonts w:ascii="宋体" w:hAnsi="宋体" w:eastAsia="宋体" w:cs="宋体"/>
                <w:spacing w:val="4"/>
                <w:sz w:val="21"/>
                <w:szCs w:val="21"/>
              </w:rPr>
              <w:t xml:space="preserve"> </w:t>
            </w:r>
            <w:r>
              <w:rPr>
                <w:rFonts w:ascii="宋体" w:hAnsi="宋体" w:eastAsia="宋体" w:cs="宋体"/>
                <w:spacing w:val="-5"/>
                <w:sz w:val="21"/>
                <w:szCs w:val="21"/>
              </w:rPr>
              <w:t>主诉信息，并自动进行重新识别推荐。</w:t>
            </w:r>
          </w:p>
        </w:tc>
      </w:tr>
      <w:tr w14:paraId="756C8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02A120C6">
            <w:pPr>
              <w:rPr>
                <w:rFonts w:ascii="Arial"/>
                <w:sz w:val="21"/>
              </w:rPr>
            </w:pPr>
          </w:p>
        </w:tc>
        <w:tc>
          <w:tcPr>
            <w:tcW w:w="1560" w:type="dxa"/>
            <w:vMerge w:val="restart"/>
            <w:tcBorders>
              <w:bottom w:val="nil"/>
            </w:tcBorders>
            <w:vAlign w:val="top"/>
          </w:tcPr>
          <w:p w14:paraId="6321DFAE">
            <w:pPr>
              <w:spacing w:line="268" w:lineRule="auto"/>
              <w:rPr>
                <w:rFonts w:ascii="Arial"/>
                <w:sz w:val="21"/>
              </w:rPr>
            </w:pPr>
          </w:p>
          <w:p w14:paraId="372FCE87">
            <w:pPr>
              <w:spacing w:line="268" w:lineRule="auto"/>
              <w:rPr>
                <w:rFonts w:ascii="Arial"/>
                <w:sz w:val="21"/>
              </w:rPr>
            </w:pPr>
          </w:p>
          <w:p w14:paraId="1025E9F8">
            <w:pPr>
              <w:spacing w:line="268" w:lineRule="auto"/>
              <w:rPr>
                <w:rFonts w:ascii="Arial"/>
                <w:sz w:val="21"/>
              </w:rPr>
            </w:pPr>
          </w:p>
          <w:p w14:paraId="16595FDA">
            <w:pPr>
              <w:spacing w:line="268" w:lineRule="auto"/>
              <w:rPr>
                <w:rFonts w:ascii="Arial"/>
                <w:sz w:val="21"/>
              </w:rPr>
            </w:pPr>
          </w:p>
          <w:p w14:paraId="44B21692">
            <w:pPr>
              <w:spacing w:line="268" w:lineRule="auto"/>
              <w:rPr>
                <w:rFonts w:ascii="Arial"/>
                <w:sz w:val="21"/>
              </w:rPr>
            </w:pPr>
          </w:p>
          <w:p w14:paraId="7565F7BA">
            <w:pPr>
              <w:spacing w:before="68" w:line="315" w:lineRule="auto"/>
              <w:ind w:left="464" w:right="147" w:hanging="309"/>
              <w:rPr>
                <w:rFonts w:ascii="宋体" w:hAnsi="宋体" w:eastAsia="宋体" w:cs="宋体"/>
                <w:sz w:val="21"/>
                <w:szCs w:val="21"/>
              </w:rPr>
            </w:pPr>
            <w:r>
              <w:rPr>
                <w:rFonts w:ascii="宋体" w:hAnsi="宋体" w:eastAsia="宋体" w:cs="宋体"/>
                <w:spacing w:val="-3"/>
                <w:sz w:val="21"/>
                <w:szCs w:val="21"/>
              </w:rPr>
              <w:t>智能推荐评估</w:t>
            </w:r>
            <w:r>
              <w:rPr>
                <w:rFonts w:ascii="宋体" w:hAnsi="宋体" w:eastAsia="宋体" w:cs="宋体"/>
                <w:spacing w:val="3"/>
                <w:sz w:val="21"/>
                <w:szCs w:val="21"/>
              </w:rPr>
              <w:t xml:space="preserve"> </w:t>
            </w:r>
            <w:r>
              <w:rPr>
                <w:rFonts w:ascii="宋体" w:hAnsi="宋体" w:eastAsia="宋体" w:cs="宋体"/>
                <w:spacing w:val="-2"/>
                <w:sz w:val="21"/>
                <w:szCs w:val="21"/>
              </w:rPr>
              <w:t>表工具</w:t>
            </w:r>
          </w:p>
        </w:tc>
        <w:tc>
          <w:tcPr>
            <w:tcW w:w="7736" w:type="dxa"/>
            <w:vAlign w:val="top"/>
          </w:tcPr>
          <w:p w14:paraId="7FD22DE3">
            <w:pPr>
              <w:spacing w:before="83" w:line="218" w:lineRule="auto"/>
              <w:ind w:left="109"/>
              <w:rPr>
                <w:rFonts w:ascii="宋体" w:hAnsi="宋体" w:eastAsia="宋体" w:cs="宋体"/>
                <w:sz w:val="21"/>
                <w:szCs w:val="21"/>
              </w:rPr>
            </w:pPr>
            <w:r>
              <w:rPr>
                <w:rFonts w:ascii="宋体" w:hAnsi="宋体" w:eastAsia="宋体" w:cs="宋体"/>
                <w:spacing w:val="-1"/>
                <w:sz w:val="21"/>
                <w:szCs w:val="21"/>
              </w:rPr>
              <w:t>根据患者当前病情，系统实时为医生推荐该患者需要进行</w:t>
            </w:r>
            <w:r>
              <w:rPr>
                <w:rFonts w:ascii="宋体" w:hAnsi="宋体" w:eastAsia="宋体" w:cs="宋体"/>
                <w:spacing w:val="-2"/>
                <w:sz w:val="21"/>
                <w:szCs w:val="21"/>
              </w:rPr>
              <w:t>评估的评估表。</w:t>
            </w:r>
          </w:p>
        </w:tc>
      </w:tr>
      <w:tr w14:paraId="394A4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6BA8145F">
            <w:pPr>
              <w:rPr>
                <w:rFonts w:ascii="Arial"/>
                <w:sz w:val="21"/>
              </w:rPr>
            </w:pPr>
          </w:p>
        </w:tc>
        <w:tc>
          <w:tcPr>
            <w:tcW w:w="1560" w:type="dxa"/>
            <w:vMerge w:val="continue"/>
            <w:tcBorders>
              <w:top w:val="nil"/>
              <w:bottom w:val="nil"/>
            </w:tcBorders>
            <w:vAlign w:val="top"/>
          </w:tcPr>
          <w:p w14:paraId="0E3BFF0A">
            <w:pPr>
              <w:rPr>
                <w:rFonts w:ascii="Arial"/>
                <w:sz w:val="21"/>
              </w:rPr>
            </w:pPr>
          </w:p>
        </w:tc>
        <w:tc>
          <w:tcPr>
            <w:tcW w:w="7736" w:type="dxa"/>
            <w:vAlign w:val="top"/>
          </w:tcPr>
          <w:p w14:paraId="51177171">
            <w:pPr>
              <w:spacing w:before="83" w:line="220" w:lineRule="auto"/>
              <w:ind w:left="143"/>
              <w:rPr>
                <w:rFonts w:ascii="宋体" w:hAnsi="宋体" w:eastAsia="宋体" w:cs="宋体"/>
                <w:sz w:val="21"/>
                <w:szCs w:val="21"/>
              </w:rPr>
            </w:pPr>
            <w:r>
              <w:rPr>
                <w:rFonts w:ascii="宋体" w:hAnsi="宋体" w:eastAsia="宋体" w:cs="宋体"/>
                <w:spacing w:val="-2"/>
                <w:sz w:val="21"/>
                <w:szCs w:val="21"/>
              </w:rPr>
              <w:t>自动累加勾选中的细项分值，根据患者评分情况给出病情严重风险程</w:t>
            </w:r>
            <w:r>
              <w:rPr>
                <w:rFonts w:ascii="宋体" w:hAnsi="宋体" w:eastAsia="宋体" w:cs="宋体"/>
                <w:spacing w:val="-3"/>
                <w:sz w:val="21"/>
                <w:szCs w:val="21"/>
              </w:rPr>
              <w:t>度建议。</w:t>
            </w:r>
          </w:p>
        </w:tc>
      </w:tr>
      <w:tr w14:paraId="5B8F7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042" w:type="dxa"/>
            <w:vMerge w:val="continue"/>
            <w:tcBorders>
              <w:top w:val="nil"/>
              <w:bottom w:val="nil"/>
            </w:tcBorders>
            <w:vAlign w:val="top"/>
          </w:tcPr>
          <w:p w14:paraId="5938E9C9">
            <w:pPr>
              <w:rPr>
                <w:rFonts w:ascii="Arial"/>
                <w:sz w:val="21"/>
              </w:rPr>
            </w:pPr>
          </w:p>
        </w:tc>
        <w:tc>
          <w:tcPr>
            <w:tcW w:w="1560" w:type="dxa"/>
            <w:vMerge w:val="continue"/>
            <w:tcBorders>
              <w:top w:val="nil"/>
              <w:bottom w:val="nil"/>
            </w:tcBorders>
            <w:vAlign w:val="top"/>
          </w:tcPr>
          <w:p w14:paraId="1C952A13">
            <w:pPr>
              <w:rPr>
                <w:rFonts w:ascii="Arial"/>
                <w:sz w:val="21"/>
              </w:rPr>
            </w:pPr>
          </w:p>
        </w:tc>
        <w:tc>
          <w:tcPr>
            <w:tcW w:w="7736" w:type="dxa"/>
            <w:vAlign w:val="top"/>
          </w:tcPr>
          <w:p w14:paraId="3695FEBF">
            <w:pPr>
              <w:spacing w:before="84" w:line="286" w:lineRule="auto"/>
              <w:ind w:left="126" w:right="138" w:hanging="7"/>
              <w:rPr>
                <w:rFonts w:ascii="宋体" w:hAnsi="宋体" w:eastAsia="宋体" w:cs="宋体"/>
                <w:sz w:val="21"/>
                <w:szCs w:val="21"/>
              </w:rPr>
            </w:pPr>
            <w:r>
              <w:rPr>
                <w:rFonts w:ascii="宋体" w:hAnsi="宋体" w:eastAsia="宋体" w:cs="宋体"/>
                <w:spacing w:val="3"/>
                <w:sz w:val="21"/>
                <w:szCs w:val="21"/>
              </w:rPr>
              <w:t>医生进行评估时，可以根据患者生命体征、检验结果项目自动完成对应评估项目</w:t>
            </w:r>
            <w:r>
              <w:rPr>
                <w:rFonts w:ascii="宋体" w:hAnsi="宋体" w:eastAsia="宋体" w:cs="宋体"/>
                <w:spacing w:val="12"/>
                <w:sz w:val="21"/>
                <w:szCs w:val="21"/>
              </w:rPr>
              <w:t xml:space="preserve"> </w:t>
            </w:r>
            <w:r>
              <w:rPr>
                <w:rFonts w:ascii="宋体" w:hAnsi="宋体" w:eastAsia="宋体" w:cs="宋体"/>
                <w:spacing w:val="-5"/>
                <w:sz w:val="21"/>
                <w:szCs w:val="21"/>
              </w:rPr>
              <w:t>的评估。</w:t>
            </w:r>
          </w:p>
        </w:tc>
      </w:tr>
      <w:tr w14:paraId="125D5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56357E8A">
            <w:pPr>
              <w:rPr>
                <w:rFonts w:ascii="Arial"/>
                <w:sz w:val="21"/>
              </w:rPr>
            </w:pPr>
          </w:p>
        </w:tc>
        <w:tc>
          <w:tcPr>
            <w:tcW w:w="1560" w:type="dxa"/>
            <w:vMerge w:val="continue"/>
            <w:tcBorders>
              <w:top w:val="nil"/>
              <w:bottom w:val="nil"/>
            </w:tcBorders>
            <w:vAlign w:val="top"/>
          </w:tcPr>
          <w:p w14:paraId="6471320C">
            <w:pPr>
              <w:rPr>
                <w:rFonts w:ascii="Arial"/>
                <w:sz w:val="21"/>
              </w:rPr>
            </w:pPr>
          </w:p>
        </w:tc>
        <w:tc>
          <w:tcPr>
            <w:tcW w:w="7736" w:type="dxa"/>
            <w:vAlign w:val="top"/>
          </w:tcPr>
          <w:p w14:paraId="3F49CA59">
            <w:pPr>
              <w:spacing w:before="84" w:line="218" w:lineRule="auto"/>
              <w:ind w:left="110"/>
              <w:rPr>
                <w:rFonts w:ascii="宋体" w:hAnsi="宋体" w:eastAsia="宋体" w:cs="宋体"/>
                <w:sz w:val="21"/>
                <w:szCs w:val="21"/>
              </w:rPr>
            </w:pPr>
            <w:r>
              <w:rPr>
                <w:rFonts w:ascii="宋体" w:hAnsi="宋体" w:eastAsia="宋体" w:cs="宋体"/>
                <w:spacing w:val="2"/>
                <w:sz w:val="21"/>
                <w:szCs w:val="21"/>
              </w:rPr>
              <w:t>支持在线完成评估，可将评分结果及分析自动写回患者电子病历中。</w:t>
            </w:r>
          </w:p>
        </w:tc>
      </w:tr>
      <w:tr w14:paraId="66970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042" w:type="dxa"/>
            <w:vMerge w:val="continue"/>
            <w:tcBorders>
              <w:top w:val="nil"/>
              <w:bottom w:val="nil"/>
            </w:tcBorders>
            <w:vAlign w:val="top"/>
          </w:tcPr>
          <w:p w14:paraId="66A5F3E3">
            <w:pPr>
              <w:rPr>
                <w:rFonts w:ascii="Arial"/>
                <w:sz w:val="21"/>
              </w:rPr>
            </w:pPr>
          </w:p>
        </w:tc>
        <w:tc>
          <w:tcPr>
            <w:tcW w:w="1560" w:type="dxa"/>
            <w:vMerge w:val="continue"/>
            <w:tcBorders>
              <w:top w:val="nil"/>
              <w:bottom w:val="nil"/>
            </w:tcBorders>
            <w:vAlign w:val="top"/>
          </w:tcPr>
          <w:p w14:paraId="0B10702F">
            <w:pPr>
              <w:rPr>
                <w:rFonts w:ascii="Arial"/>
                <w:sz w:val="21"/>
              </w:rPr>
            </w:pPr>
          </w:p>
        </w:tc>
        <w:tc>
          <w:tcPr>
            <w:tcW w:w="7736" w:type="dxa"/>
            <w:vAlign w:val="top"/>
          </w:tcPr>
          <w:p w14:paraId="01EBCD66">
            <w:pPr>
              <w:spacing w:before="84" w:line="286" w:lineRule="auto"/>
              <w:ind w:left="114" w:right="138" w:firstLine="4"/>
              <w:rPr>
                <w:rFonts w:ascii="宋体" w:hAnsi="宋体" w:eastAsia="宋体" w:cs="宋体"/>
                <w:sz w:val="21"/>
                <w:szCs w:val="21"/>
              </w:rPr>
            </w:pPr>
            <w:r>
              <w:rPr>
                <w:rFonts w:ascii="宋体" w:hAnsi="宋体" w:eastAsia="宋体" w:cs="宋体"/>
                <w:spacing w:val="3"/>
                <w:sz w:val="21"/>
                <w:szCs w:val="21"/>
              </w:rPr>
              <w:t>医生可以根据病人病情需要，主动搜索相应评估表，并在完成评估时将评估结果</w:t>
            </w:r>
            <w:r>
              <w:rPr>
                <w:rFonts w:ascii="宋体" w:hAnsi="宋体" w:eastAsia="宋体" w:cs="宋体"/>
                <w:spacing w:val="12"/>
                <w:sz w:val="21"/>
                <w:szCs w:val="21"/>
              </w:rPr>
              <w:t xml:space="preserve"> </w:t>
            </w:r>
            <w:r>
              <w:rPr>
                <w:rFonts w:ascii="宋体" w:hAnsi="宋体" w:eastAsia="宋体" w:cs="宋体"/>
                <w:spacing w:val="3"/>
                <w:sz w:val="21"/>
                <w:szCs w:val="21"/>
              </w:rPr>
              <w:t>写回电子病历中。（需要第三方厂商配合完成接口才可实现）</w:t>
            </w:r>
          </w:p>
        </w:tc>
      </w:tr>
      <w:tr w14:paraId="22ACD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7F34CD22">
            <w:pPr>
              <w:rPr>
                <w:rFonts w:ascii="Arial"/>
                <w:sz w:val="21"/>
              </w:rPr>
            </w:pPr>
          </w:p>
        </w:tc>
        <w:tc>
          <w:tcPr>
            <w:tcW w:w="1560" w:type="dxa"/>
            <w:vMerge w:val="continue"/>
            <w:tcBorders>
              <w:top w:val="nil"/>
              <w:bottom w:val="nil"/>
            </w:tcBorders>
            <w:vAlign w:val="top"/>
          </w:tcPr>
          <w:p w14:paraId="3A065985">
            <w:pPr>
              <w:rPr>
                <w:rFonts w:ascii="Arial"/>
                <w:sz w:val="21"/>
              </w:rPr>
            </w:pPr>
          </w:p>
        </w:tc>
        <w:tc>
          <w:tcPr>
            <w:tcW w:w="7736" w:type="dxa"/>
            <w:vAlign w:val="top"/>
          </w:tcPr>
          <w:p w14:paraId="2F80969D">
            <w:pPr>
              <w:spacing w:before="85" w:line="218" w:lineRule="auto"/>
              <w:ind w:left="110"/>
              <w:rPr>
                <w:rFonts w:ascii="宋体" w:hAnsi="宋体" w:eastAsia="宋体" w:cs="宋体"/>
                <w:sz w:val="21"/>
                <w:szCs w:val="21"/>
              </w:rPr>
            </w:pPr>
            <w:r>
              <w:rPr>
                <w:rFonts w:ascii="宋体" w:hAnsi="宋体" w:eastAsia="宋体" w:cs="宋体"/>
                <w:spacing w:val="3"/>
                <w:sz w:val="21"/>
                <w:szCs w:val="21"/>
              </w:rPr>
              <w:t>支持查阅患者所有在线评估的评估表历史。</w:t>
            </w:r>
          </w:p>
        </w:tc>
      </w:tr>
      <w:tr w14:paraId="71EA2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13E7E699">
            <w:pPr>
              <w:rPr>
                <w:rFonts w:ascii="Arial"/>
                <w:sz w:val="21"/>
              </w:rPr>
            </w:pPr>
          </w:p>
        </w:tc>
        <w:tc>
          <w:tcPr>
            <w:tcW w:w="1560" w:type="dxa"/>
            <w:vMerge w:val="continue"/>
            <w:tcBorders>
              <w:top w:val="nil"/>
            </w:tcBorders>
            <w:vAlign w:val="top"/>
          </w:tcPr>
          <w:p w14:paraId="57DB3305">
            <w:pPr>
              <w:rPr>
                <w:rFonts w:ascii="Arial"/>
                <w:sz w:val="21"/>
              </w:rPr>
            </w:pPr>
          </w:p>
        </w:tc>
        <w:tc>
          <w:tcPr>
            <w:tcW w:w="7736" w:type="dxa"/>
            <w:vAlign w:val="top"/>
          </w:tcPr>
          <w:p w14:paraId="234B33D4">
            <w:pPr>
              <w:spacing w:before="85" w:line="218" w:lineRule="auto"/>
              <w:ind w:left="110"/>
              <w:rPr>
                <w:rFonts w:ascii="宋体" w:hAnsi="宋体" w:eastAsia="宋体" w:cs="宋体"/>
                <w:sz w:val="21"/>
                <w:szCs w:val="21"/>
              </w:rPr>
            </w:pPr>
            <w:r>
              <w:rPr>
                <w:rFonts w:ascii="宋体" w:hAnsi="宋体" w:eastAsia="宋体" w:cs="宋体"/>
                <w:spacing w:val="3"/>
                <w:sz w:val="21"/>
                <w:szCs w:val="21"/>
              </w:rPr>
              <w:t>支持评估完成的评估表进行在线打印。</w:t>
            </w:r>
          </w:p>
        </w:tc>
      </w:tr>
      <w:tr w14:paraId="2C4DB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042" w:type="dxa"/>
            <w:vMerge w:val="continue"/>
            <w:tcBorders>
              <w:top w:val="nil"/>
              <w:bottom w:val="nil"/>
            </w:tcBorders>
            <w:vAlign w:val="top"/>
          </w:tcPr>
          <w:p w14:paraId="0ABEA68D">
            <w:pPr>
              <w:rPr>
                <w:rFonts w:ascii="Arial"/>
                <w:sz w:val="21"/>
              </w:rPr>
            </w:pPr>
          </w:p>
        </w:tc>
        <w:tc>
          <w:tcPr>
            <w:tcW w:w="1560" w:type="dxa"/>
            <w:vMerge w:val="restart"/>
            <w:tcBorders>
              <w:bottom w:val="nil"/>
            </w:tcBorders>
            <w:vAlign w:val="top"/>
          </w:tcPr>
          <w:p w14:paraId="5EC5D779">
            <w:pPr>
              <w:spacing w:line="317" w:lineRule="auto"/>
              <w:rPr>
                <w:rFonts w:ascii="Arial"/>
                <w:sz w:val="21"/>
              </w:rPr>
            </w:pPr>
          </w:p>
          <w:p w14:paraId="40FFDB2B">
            <w:pPr>
              <w:spacing w:line="317" w:lineRule="auto"/>
              <w:rPr>
                <w:rFonts w:ascii="Arial"/>
                <w:sz w:val="21"/>
              </w:rPr>
            </w:pPr>
          </w:p>
          <w:p w14:paraId="3F93DD49">
            <w:pPr>
              <w:spacing w:line="317" w:lineRule="auto"/>
              <w:rPr>
                <w:rFonts w:ascii="Arial"/>
                <w:sz w:val="21"/>
              </w:rPr>
            </w:pPr>
          </w:p>
          <w:p w14:paraId="791D0103">
            <w:pPr>
              <w:spacing w:before="69" w:line="315" w:lineRule="auto"/>
              <w:ind w:left="570" w:right="147" w:hanging="415"/>
              <w:rPr>
                <w:rFonts w:ascii="宋体" w:hAnsi="宋体" w:eastAsia="宋体" w:cs="宋体"/>
                <w:sz w:val="21"/>
                <w:szCs w:val="21"/>
              </w:rPr>
            </w:pPr>
            <w:r>
              <w:rPr>
                <w:rFonts w:ascii="宋体" w:hAnsi="宋体" w:eastAsia="宋体" w:cs="宋体"/>
                <w:spacing w:val="-3"/>
                <w:sz w:val="21"/>
                <w:szCs w:val="21"/>
              </w:rPr>
              <w:t>智能推荐治疗</w:t>
            </w:r>
            <w:r>
              <w:rPr>
                <w:rFonts w:ascii="宋体" w:hAnsi="宋体" w:eastAsia="宋体" w:cs="宋体"/>
                <w:spacing w:val="3"/>
                <w:sz w:val="21"/>
                <w:szCs w:val="21"/>
              </w:rPr>
              <w:t xml:space="preserve"> </w:t>
            </w:r>
            <w:r>
              <w:rPr>
                <w:rFonts w:ascii="宋体" w:hAnsi="宋体" w:eastAsia="宋体" w:cs="宋体"/>
                <w:spacing w:val="-3"/>
                <w:sz w:val="21"/>
                <w:szCs w:val="21"/>
              </w:rPr>
              <w:t>方案</w:t>
            </w:r>
          </w:p>
        </w:tc>
        <w:tc>
          <w:tcPr>
            <w:tcW w:w="7736" w:type="dxa"/>
            <w:vAlign w:val="top"/>
          </w:tcPr>
          <w:p w14:paraId="1A4E0484">
            <w:pPr>
              <w:spacing w:before="86" w:line="285" w:lineRule="auto"/>
              <w:ind w:left="110" w:right="155" w:hanging="1"/>
              <w:rPr>
                <w:rFonts w:ascii="宋体" w:hAnsi="宋体" w:eastAsia="宋体" w:cs="宋体"/>
                <w:sz w:val="21"/>
                <w:szCs w:val="21"/>
              </w:rPr>
            </w:pPr>
            <w:r>
              <w:rPr>
                <w:rFonts w:ascii="宋体" w:hAnsi="宋体" w:eastAsia="宋体" w:cs="宋体"/>
                <w:spacing w:val="3"/>
                <w:sz w:val="21"/>
                <w:szCs w:val="21"/>
              </w:rPr>
              <w:t>推荐治疗方案，根据患者当次就诊病情，为医生智能推荐符合临床路径或指南要</w:t>
            </w:r>
            <w:r>
              <w:rPr>
                <w:rFonts w:ascii="宋体" w:hAnsi="宋体" w:eastAsia="宋体" w:cs="宋体"/>
                <w:spacing w:val="5"/>
                <w:sz w:val="21"/>
                <w:szCs w:val="21"/>
              </w:rPr>
              <w:t xml:space="preserve"> </w:t>
            </w:r>
            <w:r>
              <w:rPr>
                <w:rFonts w:ascii="宋体" w:hAnsi="宋体" w:eastAsia="宋体" w:cs="宋体"/>
                <w:spacing w:val="-2"/>
                <w:sz w:val="21"/>
                <w:szCs w:val="21"/>
              </w:rPr>
              <w:t>求的治疗方案</w:t>
            </w:r>
          </w:p>
        </w:tc>
      </w:tr>
      <w:tr w14:paraId="3966A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042" w:type="dxa"/>
            <w:vMerge w:val="continue"/>
            <w:tcBorders>
              <w:top w:val="nil"/>
              <w:bottom w:val="nil"/>
            </w:tcBorders>
            <w:vAlign w:val="top"/>
          </w:tcPr>
          <w:p w14:paraId="6C0C004B">
            <w:pPr>
              <w:rPr>
                <w:rFonts w:ascii="Arial"/>
                <w:sz w:val="21"/>
              </w:rPr>
            </w:pPr>
          </w:p>
        </w:tc>
        <w:tc>
          <w:tcPr>
            <w:tcW w:w="1560" w:type="dxa"/>
            <w:vMerge w:val="continue"/>
            <w:tcBorders>
              <w:top w:val="nil"/>
              <w:bottom w:val="nil"/>
            </w:tcBorders>
            <w:vAlign w:val="top"/>
          </w:tcPr>
          <w:p w14:paraId="7704866D">
            <w:pPr>
              <w:rPr>
                <w:rFonts w:ascii="Arial"/>
                <w:sz w:val="21"/>
              </w:rPr>
            </w:pPr>
          </w:p>
        </w:tc>
        <w:tc>
          <w:tcPr>
            <w:tcW w:w="7736" w:type="dxa"/>
            <w:vAlign w:val="top"/>
          </w:tcPr>
          <w:p w14:paraId="0C3866C9">
            <w:pPr>
              <w:spacing w:before="86" w:line="285" w:lineRule="auto"/>
              <w:ind w:left="110" w:right="172" w:hanging="1"/>
              <w:rPr>
                <w:rFonts w:ascii="宋体" w:hAnsi="宋体" w:eastAsia="宋体" w:cs="宋体"/>
                <w:sz w:val="21"/>
                <w:szCs w:val="21"/>
              </w:rPr>
            </w:pPr>
            <w:r>
              <w:rPr>
                <w:rFonts w:ascii="宋体" w:hAnsi="宋体" w:eastAsia="宋体" w:cs="宋体"/>
                <w:spacing w:val="3"/>
                <w:sz w:val="21"/>
                <w:szCs w:val="21"/>
              </w:rPr>
              <w:t>检查/检验方案推荐，根据最新指南推荐，帮</w:t>
            </w:r>
            <w:r>
              <w:rPr>
                <w:rFonts w:ascii="宋体" w:hAnsi="宋体" w:eastAsia="宋体" w:cs="宋体"/>
                <w:spacing w:val="2"/>
                <w:sz w:val="21"/>
                <w:szCs w:val="21"/>
              </w:rPr>
              <w:t>助医生推荐适宜的多套检查/检验方</w:t>
            </w:r>
            <w:r>
              <w:rPr>
                <w:rFonts w:ascii="宋体" w:hAnsi="宋体" w:eastAsia="宋体" w:cs="宋体"/>
                <w:sz w:val="21"/>
                <w:szCs w:val="21"/>
              </w:rPr>
              <w:t xml:space="preserve"> </w:t>
            </w:r>
            <w:r>
              <w:rPr>
                <w:rFonts w:ascii="宋体" w:hAnsi="宋体" w:eastAsia="宋体" w:cs="宋体"/>
                <w:spacing w:val="-5"/>
                <w:sz w:val="21"/>
                <w:szCs w:val="21"/>
              </w:rPr>
              <w:t>案，供医生选择。</w:t>
            </w:r>
          </w:p>
        </w:tc>
      </w:tr>
      <w:tr w14:paraId="5976E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1042" w:type="dxa"/>
            <w:vMerge w:val="continue"/>
            <w:tcBorders>
              <w:top w:val="nil"/>
              <w:bottom w:val="nil"/>
            </w:tcBorders>
            <w:vAlign w:val="top"/>
          </w:tcPr>
          <w:p w14:paraId="00DE1A59">
            <w:pPr>
              <w:rPr>
                <w:rFonts w:ascii="Arial"/>
                <w:sz w:val="21"/>
              </w:rPr>
            </w:pPr>
          </w:p>
        </w:tc>
        <w:tc>
          <w:tcPr>
            <w:tcW w:w="1560" w:type="dxa"/>
            <w:vMerge w:val="continue"/>
            <w:tcBorders>
              <w:top w:val="nil"/>
            </w:tcBorders>
            <w:vAlign w:val="top"/>
          </w:tcPr>
          <w:p w14:paraId="524CA684">
            <w:pPr>
              <w:rPr>
                <w:rFonts w:ascii="Arial"/>
                <w:sz w:val="21"/>
              </w:rPr>
            </w:pPr>
          </w:p>
        </w:tc>
        <w:tc>
          <w:tcPr>
            <w:tcW w:w="7736" w:type="dxa"/>
            <w:vAlign w:val="top"/>
          </w:tcPr>
          <w:p w14:paraId="6F31D3E3">
            <w:pPr>
              <w:spacing w:before="86" w:line="299" w:lineRule="auto"/>
              <w:ind w:left="109" w:right="50"/>
              <w:rPr>
                <w:rFonts w:ascii="宋体" w:hAnsi="宋体" w:eastAsia="宋体" w:cs="宋体"/>
                <w:sz w:val="21"/>
                <w:szCs w:val="21"/>
              </w:rPr>
            </w:pPr>
            <w:r>
              <w:rPr>
                <w:rFonts w:ascii="宋体" w:hAnsi="宋体" w:eastAsia="宋体" w:cs="宋体"/>
                <w:spacing w:val="3"/>
                <w:sz w:val="21"/>
                <w:szCs w:val="21"/>
              </w:rPr>
              <w:t>检查项写回，根据医院现有的电子病历、</w:t>
            </w:r>
            <w:r>
              <w:rPr>
                <w:rFonts w:ascii="宋体" w:hAnsi="宋体" w:eastAsia="宋体" w:cs="宋体"/>
                <w:sz w:val="21"/>
                <w:szCs w:val="21"/>
              </w:rPr>
              <w:t>HIS</w:t>
            </w:r>
            <w:r>
              <w:rPr>
                <w:rFonts w:ascii="宋体" w:hAnsi="宋体" w:eastAsia="宋体" w:cs="宋体"/>
                <w:spacing w:val="-26"/>
                <w:sz w:val="21"/>
                <w:szCs w:val="21"/>
              </w:rPr>
              <w:t xml:space="preserve"> </w:t>
            </w:r>
            <w:r>
              <w:rPr>
                <w:rFonts w:ascii="宋体" w:hAnsi="宋体" w:eastAsia="宋体" w:cs="宋体"/>
                <w:spacing w:val="3"/>
                <w:sz w:val="21"/>
                <w:szCs w:val="21"/>
              </w:rPr>
              <w:t>系统支持回写的功能，医生根据需</w:t>
            </w:r>
            <w:r>
              <w:rPr>
                <w:rFonts w:ascii="宋体" w:hAnsi="宋体" w:eastAsia="宋体" w:cs="宋体"/>
                <w:sz w:val="21"/>
                <w:szCs w:val="21"/>
              </w:rPr>
              <w:t xml:space="preserve">  </w:t>
            </w:r>
            <w:r>
              <w:rPr>
                <w:rFonts w:ascii="宋体" w:hAnsi="宋体" w:eastAsia="宋体" w:cs="宋体"/>
                <w:spacing w:val="3"/>
                <w:sz w:val="21"/>
                <w:szCs w:val="21"/>
              </w:rPr>
              <w:t>要及实际情况选择合适的检 查项，智能写回到患者电子病历中。（需要第三方厂</w:t>
            </w:r>
            <w:r>
              <w:rPr>
                <w:rFonts w:ascii="宋体" w:hAnsi="宋体" w:eastAsia="宋体" w:cs="宋体"/>
                <w:spacing w:val="1"/>
                <w:sz w:val="21"/>
                <w:szCs w:val="21"/>
              </w:rPr>
              <w:t xml:space="preserve"> </w:t>
            </w:r>
            <w:r>
              <w:rPr>
                <w:rFonts w:ascii="宋体" w:hAnsi="宋体" w:eastAsia="宋体" w:cs="宋体"/>
                <w:spacing w:val="2"/>
                <w:sz w:val="21"/>
                <w:szCs w:val="21"/>
              </w:rPr>
              <w:t>商配合完成接口才可实现）</w:t>
            </w:r>
          </w:p>
        </w:tc>
      </w:tr>
      <w:tr w14:paraId="2473A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trPr>
        <w:tc>
          <w:tcPr>
            <w:tcW w:w="1042" w:type="dxa"/>
            <w:vMerge w:val="continue"/>
            <w:tcBorders>
              <w:top w:val="nil"/>
              <w:bottom w:val="nil"/>
            </w:tcBorders>
            <w:vAlign w:val="top"/>
          </w:tcPr>
          <w:p w14:paraId="193E9945">
            <w:pPr>
              <w:rPr>
                <w:rFonts w:ascii="Arial"/>
                <w:sz w:val="21"/>
              </w:rPr>
            </w:pPr>
          </w:p>
        </w:tc>
        <w:tc>
          <w:tcPr>
            <w:tcW w:w="1560" w:type="dxa"/>
            <w:vAlign w:val="top"/>
          </w:tcPr>
          <w:p w14:paraId="5B31CBEC">
            <w:pPr>
              <w:spacing w:line="388" w:lineRule="auto"/>
              <w:rPr>
                <w:rFonts w:ascii="Arial"/>
                <w:sz w:val="21"/>
              </w:rPr>
            </w:pPr>
          </w:p>
          <w:p w14:paraId="25D4A648">
            <w:pPr>
              <w:spacing w:before="68" w:line="314" w:lineRule="auto"/>
              <w:ind w:left="107" w:right="109" w:firstLine="5"/>
              <w:rPr>
                <w:rFonts w:ascii="宋体" w:hAnsi="宋体" w:eastAsia="宋体" w:cs="宋体"/>
                <w:sz w:val="21"/>
                <w:szCs w:val="21"/>
              </w:rPr>
            </w:pPr>
            <w:r>
              <w:rPr>
                <w:rFonts w:ascii="宋体" w:hAnsi="宋体" w:eastAsia="宋体" w:cs="宋体"/>
                <w:spacing w:val="11"/>
                <w:sz w:val="21"/>
                <w:szCs w:val="21"/>
              </w:rPr>
              <w:t>智能推荐检验</w:t>
            </w:r>
            <w:r>
              <w:rPr>
                <w:rFonts w:ascii="宋体" w:hAnsi="宋体" w:eastAsia="宋体" w:cs="宋体"/>
                <w:spacing w:val="1"/>
                <w:sz w:val="21"/>
                <w:szCs w:val="21"/>
              </w:rPr>
              <w:t xml:space="preserve"> </w:t>
            </w:r>
            <w:r>
              <w:rPr>
                <w:rFonts w:ascii="宋体" w:hAnsi="宋体" w:eastAsia="宋体" w:cs="宋体"/>
                <w:spacing w:val="-3"/>
                <w:sz w:val="21"/>
                <w:szCs w:val="21"/>
              </w:rPr>
              <w:t>检查</w:t>
            </w:r>
          </w:p>
        </w:tc>
        <w:tc>
          <w:tcPr>
            <w:tcW w:w="7736" w:type="dxa"/>
            <w:vAlign w:val="top"/>
          </w:tcPr>
          <w:p w14:paraId="6C4E1049">
            <w:pPr>
              <w:spacing w:before="86" w:line="306" w:lineRule="auto"/>
              <w:ind w:left="110" w:right="50" w:hanging="2"/>
              <w:rPr>
                <w:rFonts w:ascii="宋体" w:hAnsi="宋体" w:eastAsia="宋体" w:cs="宋体"/>
                <w:sz w:val="21"/>
                <w:szCs w:val="21"/>
              </w:rPr>
            </w:pPr>
            <w:r>
              <w:rPr>
                <w:rFonts w:ascii="宋体" w:hAnsi="宋体" w:eastAsia="宋体" w:cs="宋体"/>
                <w:spacing w:val="4"/>
                <w:sz w:val="21"/>
                <w:szCs w:val="21"/>
              </w:rPr>
              <w:t>在初诊未确诊时，支持以明确诊断为目的推荐检查</w:t>
            </w:r>
            <w:r>
              <w:rPr>
                <w:rFonts w:ascii="宋体" w:hAnsi="宋体" w:eastAsia="宋体" w:cs="宋体"/>
                <w:spacing w:val="3"/>
                <w:sz w:val="21"/>
                <w:szCs w:val="21"/>
              </w:rPr>
              <w:t>、检验项目。支持检查检验项</w:t>
            </w:r>
            <w:r>
              <w:rPr>
                <w:rFonts w:ascii="宋体" w:hAnsi="宋体" w:eastAsia="宋体" w:cs="宋体"/>
                <w:sz w:val="21"/>
                <w:szCs w:val="21"/>
              </w:rPr>
              <w:t xml:space="preserve">  </w:t>
            </w:r>
            <w:r>
              <w:rPr>
                <w:rFonts w:ascii="宋体" w:hAnsi="宋体" w:eastAsia="宋体" w:cs="宋体"/>
                <w:spacing w:val="3"/>
                <w:sz w:val="21"/>
                <w:szCs w:val="21"/>
              </w:rPr>
              <w:t>写回，根据医院现有的电子病历、</w:t>
            </w:r>
            <w:r>
              <w:rPr>
                <w:rFonts w:ascii="宋体" w:hAnsi="宋体" w:eastAsia="宋体" w:cs="宋体"/>
                <w:sz w:val="21"/>
                <w:szCs w:val="21"/>
              </w:rPr>
              <w:t>HIS</w:t>
            </w:r>
            <w:r>
              <w:rPr>
                <w:rFonts w:ascii="宋体" w:hAnsi="宋体" w:eastAsia="宋体" w:cs="宋体"/>
                <w:spacing w:val="-28"/>
                <w:sz w:val="21"/>
                <w:szCs w:val="21"/>
              </w:rPr>
              <w:t xml:space="preserve"> </w:t>
            </w:r>
            <w:r>
              <w:rPr>
                <w:rFonts w:ascii="宋体" w:hAnsi="宋体" w:eastAsia="宋体" w:cs="宋体"/>
                <w:spacing w:val="3"/>
                <w:sz w:val="21"/>
                <w:szCs w:val="21"/>
              </w:rPr>
              <w:t>系统支持回写的功能，医生根据需要及实</w:t>
            </w:r>
            <w:r>
              <w:rPr>
                <w:rFonts w:ascii="宋体" w:hAnsi="宋体" w:eastAsia="宋体" w:cs="宋体"/>
                <w:sz w:val="21"/>
                <w:szCs w:val="21"/>
              </w:rPr>
              <w:t xml:space="preserve">  </w:t>
            </w:r>
            <w:r>
              <w:rPr>
                <w:rFonts w:ascii="宋体" w:hAnsi="宋体" w:eastAsia="宋体" w:cs="宋体"/>
                <w:spacing w:val="3"/>
                <w:sz w:val="21"/>
                <w:szCs w:val="21"/>
              </w:rPr>
              <w:t>际情况选择合适的检 查项，智能写回到患者电子病历中。（需要第三方厂商配合</w:t>
            </w:r>
            <w:r>
              <w:rPr>
                <w:rFonts w:ascii="宋体" w:hAnsi="宋体" w:eastAsia="宋体" w:cs="宋体"/>
                <w:sz w:val="21"/>
                <w:szCs w:val="21"/>
              </w:rPr>
              <w:t xml:space="preserve"> </w:t>
            </w:r>
            <w:r>
              <w:rPr>
                <w:rFonts w:ascii="宋体" w:hAnsi="宋体" w:eastAsia="宋体" w:cs="宋体"/>
                <w:spacing w:val="2"/>
                <w:sz w:val="21"/>
                <w:szCs w:val="21"/>
              </w:rPr>
              <w:t>完成接口才可实现）</w:t>
            </w:r>
          </w:p>
        </w:tc>
      </w:tr>
      <w:tr w14:paraId="39298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042" w:type="dxa"/>
            <w:vMerge w:val="continue"/>
            <w:tcBorders>
              <w:top w:val="nil"/>
            </w:tcBorders>
            <w:vAlign w:val="top"/>
          </w:tcPr>
          <w:p w14:paraId="722FD70C">
            <w:pPr>
              <w:rPr>
                <w:rFonts w:ascii="Arial"/>
                <w:sz w:val="21"/>
              </w:rPr>
            </w:pPr>
          </w:p>
        </w:tc>
        <w:tc>
          <w:tcPr>
            <w:tcW w:w="1560" w:type="dxa"/>
            <w:vAlign w:val="top"/>
          </w:tcPr>
          <w:p w14:paraId="633BCC16">
            <w:pPr>
              <w:spacing w:before="273" w:line="220" w:lineRule="auto"/>
              <w:ind w:left="150"/>
              <w:rPr>
                <w:rFonts w:ascii="宋体" w:hAnsi="宋体" w:eastAsia="宋体" w:cs="宋体"/>
                <w:sz w:val="21"/>
                <w:szCs w:val="21"/>
              </w:rPr>
            </w:pPr>
            <w:r>
              <w:rPr>
                <w:rFonts w:ascii="宋体" w:hAnsi="宋体" w:eastAsia="宋体" w:cs="宋体"/>
                <w:spacing w:val="-2"/>
                <w:sz w:val="21"/>
                <w:szCs w:val="21"/>
              </w:rPr>
              <w:t>检查分析解读</w:t>
            </w:r>
          </w:p>
        </w:tc>
        <w:tc>
          <w:tcPr>
            <w:tcW w:w="7736" w:type="dxa"/>
            <w:vAlign w:val="top"/>
          </w:tcPr>
          <w:p w14:paraId="3D07C0FF">
            <w:pPr>
              <w:spacing w:before="88" w:line="286" w:lineRule="auto"/>
              <w:ind w:left="114" w:right="185"/>
              <w:rPr>
                <w:rFonts w:ascii="宋体" w:hAnsi="宋体" w:eastAsia="宋体" w:cs="宋体"/>
                <w:sz w:val="21"/>
                <w:szCs w:val="21"/>
              </w:rPr>
            </w:pPr>
            <w:r>
              <w:rPr>
                <w:rFonts w:ascii="宋体" w:hAnsi="宋体" w:eastAsia="宋体" w:cs="宋体"/>
                <w:spacing w:val="2"/>
                <w:sz w:val="21"/>
                <w:szCs w:val="21"/>
              </w:rPr>
              <w:t>结合患者当次诊断、主诉、病史等病情情况，对患者的检查报告结果进行解读，</w:t>
            </w:r>
            <w:r>
              <w:rPr>
                <w:rFonts w:ascii="宋体" w:hAnsi="宋体" w:eastAsia="宋体" w:cs="宋体"/>
                <w:spacing w:val="5"/>
                <w:sz w:val="21"/>
                <w:szCs w:val="21"/>
              </w:rPr>
              <w:t xml:space="preserve"> </w:t>
            </w:r>
            <w:r>
              <w:rPr>
                <w:rFonts w:ascii="宋体" w:hAnsi="宋体" w:eastAsia="宋体" w:cs="宋体"/>
                <w:sz w:val="21"/>
                <w:szCs w:val="21"/>
              </w:rPr>
              <w:t>并推荐诊断。</w:t>
            </w:r>
          </w:p>
        </w:tc>
      </w:tr>
    </w:tbl>
    <w:p w14:paraId="73FA507B">
      <w:pPr>
        <w:pStyle w:val="2"/>
        <w:spacing w:line="262" w:lineRule="auto"/>
      </w:pPr>
    </w:p>
    <w:p w14:paraId="5D970D0B">
      <w:pPr>
        <w:spacing w:before="62" w:line="209" w:lineRule="auto"/>
        <w:ind w:left="222"/>
        <w:rPr>
          <w:rFonts w:ascii="宋体" w:hAnsi="宋体" w:eastAsia="宋体" w:cs="宋体"/>
          <w:sz w:val="19"/>
          <w:szCs w:val="19"/>
        </w:rPr>
      </w:pPr>
      <w:r>
        <w:pict>
          <v:shape id="_x0000_s1037" o:spid="_x0000_s1037" style="position:absolute;left:0pt;margin-left:5.65pt;margin-top:11.85pt;height:0.75pt;width:494pt;z-index:251681792;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3"/>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3"/>
          <w:position w:val="1"/>
          <w:sz w:val="18"/>
          <w:szCs w:val="18"/>
        </w:rPr>
        <w:t xml:space="preserve">17                               </w:t>
      </w:r>
      <w:r>
        <w:rPr>
          <w:rFonts w:ascii="宋体" w:hAnsi="宋体" w:eastAsia="宋体" w:cs="宋体"/>
          <w:b/>
          <w:bCs/>
          <w:i/>
          <w:iCs/>
          <w:spacing w:val="-3"/>
          <w:sz w:val="19"/>
          <w:szCs w:val="19"/>
        </w:rPr>
        <w:t>伊犁州公共资源交易中心</w:t>
      </w:r>
    </w:p>
    <w:p w14:paraId="06F141CE">
      <w:pPr>
        <w:spacing w:line="209" w:lineRule="auto"/>
        <w:rPr>
          <w:rFonts w:ascii="宋体" w:hAnsi="宋体" w:eastAsia="宋体" w:cs="宋体"/>
          <w:sz w:val="19"/>
          <w:szCs w:val="19"/>
        </w:rPr>
        <w:sectPr>
          <w:pgSz w:w="11905" w:h="16839"/>
          <w:pgMar w:top="1136" w:right="503" w:bottom="400" w:left="1052" w:header="854" w:footer="0" w:gutter="0"/>
          <w:cols w:space="720" w:num="1"/>
        </w:sectPr>
      </w:pPr>
    </w:p>
    <w:p w14:paraId="246E147D">
      <w:pPr>
        <w:spacing w:before="38"/>
      </w:pPr>
    </w:p>
    <w:tbl>
      <w:tblPr>
        <w:tblStyle w:val="5"/>
        <w:tblW w:w="103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560"/>
        <w:gridCol w:w="7736"/>
      </w:tblGrid>
      <w:tr w14:paraId="11B48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042" w:type="dxa"/>
            <w:vMerge w:val="restart"/>
            <w:tcBorders>
              <w:bottom w:val="nil"/>
            </w:tcBorders>
            <w:vAlign w:val="top"/>
          </w:tcPr>
          <w:p w14:paraId="1FA72B20">
            <w:pPr>
              <w:rPr>
                <w:rFonts w:ascii="Arial"/>
                <w:sz w:val="21"/>
              </w:rPr>
            </w:pPr>
          </w:p>
        </w:tc>
        <w:tc>
          <w:tcPr>
            <w:tcW w:w="1560" w:type="dxa"/>
            <w:vMerge w:val="restart"/>
            <w:tcBorders>
              <w:bottom w:val="nil"/>
            </w:tcBorders>
            <w:vAlign w:val="top"/>
          </w:tcPr>
          <w:p w14:paraId="5F451F28">
            <w:pPr>
              <w:spacing w:line="287" w:lineRule="auto"/>
              <w:rPr>
                <w:rFonts w:ascii="Arial"/>
                <w:sz w:val="21"/>
              </w:rPr>
            </w:pPr>
          </w:p>
          <w:p w14:paraId="5F67B621">
            <w:pPr>
              <w:spacing w:line="287" w:lineRule="auto"/>
              <w:rPr>
                <w:rFonts w:ascii="Arial"/>
                <w:sz w:val="21"/>
              </w:rPr>
            </w:pPr>
          </w:p>
          <w:p w14:paraId="7864AB3E">
            <w:pPr>
              <w:spacing w:before="68" w:line="220" w:lineRule="auto"/>
              <w:ind w:left="150"/>
              <w:rPr>
                <w:rFonts w:ascii="宋体" w:hAnsi="宋体" w:eastAsia="宋体" w:cs="宋体"/>
                <w:sz w:val="21"/>
                <w:szCs w:val="21"/>
              </w:rPr>
            </w:pPr>
            <w:r>
              <w:rPr>
                <w:rFonts w:ascii="宋体" w:hAnsi="宋体" w:eastAsia="宋体" w:cs="宋体"/>
                <w:spacing w:val="-2"/>
                <w:sz w:val="21"/>
                <w:szCs w:val="21"/>
              </w:rPr>
              <w:t>检验分析解读</w:t>
            </w:r>
          </w:p>
        </w:tc>
        <w:tc>
          <w:tcPr>
            <w:tcW w:w="7736" w:type="dxa"/>
            <w:vAlign w:val="top"/>
          </w:tcPr>
          <w:p w14:paraId="18307798">
            <w:pPr>
              <w:spacing w:before="83" w:line="288" w:lineRule="auto"/>
              <w:ind w:left="113" w:right="103" w:hanging="4"/>
              <w:rPr>
                <w:rFonts w:ascii="宋体" w:hAnsi="宋体" w:eastAsia="宋体" w:cs="宋体"/>
                <w:sz w:val="21"/>
                <w:szCs w:val="21"/>
              </w:rPr>
            </w:pPr>
            <w:r>
              <w:rPr>
                <w:rFonts w:ascii="宋体" w:hAnsi="宋体" w:eastAsia="宋体" w:cs="宋体"/>
                <w:spacing w:val="-1"/>
                <w:sz w:val="21"/>
                <w:szCs w:val="21"/>
              </w:rPr>
              <w:t>根据患者的检验结果，系统应支持自动判断检验值是否</w:t>
            </w:r>
            <w:r>
              <w:rPr>
                <w:rFonts w:ascii="宋体" w:hAnsi="宋体" w:eastAsia="宋体" w:cs="宋体"/>
                <w:spacing w:val="-2"/>
                <w:sz w:val="21"/>
                <w:szCs w:val="21"/>
              </w:rPr>
              <w:t>异常及提醒，并进行检验结</w:t>
            </w:r>
            <w:r>
              <w:rPr>
                <w:rFonts w:ascii="宋体" w:hAnsi="宋体" w:eastAsia="宋体" w:cs="宋体"/>
                <w:sz w:val="21"/>
                <w:szCs w:val="21"/>
              </w:rPr>
              <w:t xml:space="preserve"> </w:t>
            </w:r>
            <w:r>
              <w:rPr>
                <w:rFonts w:ascii="宋体" w:hAnsi="宋体" w:eastAsia="宋体" w:cs="宋体"/>
                <w:spacing w:val="2"/>
                <w:sz w:val="21"/>
                <w:szCs w:val="21"/>
              </w:rPr>
              <w:t>果解读。提示检验结果解读时，提示结果原因，</w:t>
            </w:r>
            <w:r>
              <w:rPr>
                <w:rFonts w:ascii="宋体" w:hAnsi="宋体" w:eastAsia="宋体" w:cs="宋体"/>
                <w:spacing w:val="1"/>
                <w:sz w:val="21"/>
                <w:szCs w:val="21"/>
              </w:rPr>
              <w:t>帮助医生快速判断校验。</w:t>
            </w:r>
          </w:p>
        </w:tc>
      </w:tr>
      <w:tr w14:paraId="78737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bottom w:val="nil"/>
            </w:tcBorders>
            <w:vAlign w:val="top"/>
          </w:tcPr>
          <w:p w14:paraId="7329C4C2">
            <w:pPr>
              <w:rPr>
                <w:rFonts w:ascii="Arial"/>
                <w:sz w:val="21"/>
              </w:rPr>
            </w:pPr>
          </w:p>
        </w:tc>
        <w:tc>
          <w:tcPr>
            <w:tcW w:w="1560" w:type="dxa"/>
            <w:vMerge w:val="continue"/>
            <w:tcBorders>
              <w:top w:val="nil"/>
            </w:tcBorders>
            <w:vAlign w:val="top"/>
          </w:tcPr>
          <w:p w14:paraId="0F6ED3A2">
            <w:pPr>
              <w:rPr>
                <w:rFonts w:ascii="Arial"/>
                <w:sz w:val="21"/>
              </w:rPr>
            </w:pPr>
          </w:p>
        </w:tc>
        <w:tc>
          <w:tcPr>
            <w:tcW w:w="7736" w:type="dxa"/>
            <w:vAlign w:val="top"/>
          </w:tcPr>
          <w:p w14:paraId="4E8F7F97">
            <w:pPr>
              <w:spacing w:before="78" w:line="288" w:lineRule="auto"/>
              <w:ind w:left="110" w:right="103"/>
              <w:rPr>
                <w:rFonts w:ascii="宋体" w:hAnsi="宋体" w:eastAsia="宋体" w:cs="宋体"/>
                <w:sz w:val="21"/>
                <w:szCs w:val="21"/>
              </w:rPr>
            </w:pPr>
            <w:r>
              <w:rPr>
                <w:rFonts w:ascii="宋体" w:hAnsi="宋体" w:eastAsia="宋体" w:cs="宋体"/>
                <w:spacing w:val="-1"/>
                <w:sz w:val="21"/>
                <w:szCs w:val="21"/>
              </w:rPr>
              <w:t>查阅报告时，对于多正常参考值的项目能够根据检</w:t>
            </w:r>
            <w:r>
              <w:rPr>
                <w:rFonts w:ascii="宋体" w:hAnsi="宋体" w:eastAsia="宋体" w:cs="宋体"/>
                <w:spacing w:val="-2"/>
                <w:sz w:val="21"/>
                <w:szCs w:val="21"/>
              </w:rPr>
              <w:t>验结果和诊断、性别、生理指标</w:t>
            </w:r>
            <w:r>
              <w:rPr>
                <w:rFonts w:ascii="宋体" w:hAnsi="宋体" w:eastAsia="宋体" w:cs="宋体"/>
                <w:sz w:val="21"/>
                <w:szCs w:val="21"/>
              </w:rPr>
              <w:t xml:space="preserve"> </w:t>
            </w:r>
            <w:r>
              <w:rPr>
                <w:rFonts w:ascii="宋体" w:hAnsi="宋体" w:eastAsia="宋体" w:cs="宋体"/>
                <w:spacing w:val="-1"/>
                <w:sz w:val="21"/>
                <w:szCs w:val="21"/>
              </w:rPr>
              <w:t>等自动给出正常结果的判断与提示</w:t>
            </w:r>
          </w:p>
        </w:tc>
      </w:tr>
      <w:tr w14:paraId="2D1ED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bottom w:val="nil"/>
            </w:tcBorders>
            <w:vAlign w:val="top"/>
          </w:tcPr>
          <w:p w14:paraId="6FB73B26">
            <w:pPr>
              <w:rPr>
                <w:rFonts w:ascii="Arial"/>
                <w:sz w:val="21"/>
              </w:rPr>
            </w:pPr>
          </w:p>
        </w:tc>
        <w:tc>
          <w:tcPr>
            <w:tcW w:w="1560" w:type="dxa"/>
            <w:vAlign w:val="top"/>
          </w:tcPr>
          <w:p w14:paraId="51B50AD5">
            <w:pPr>
              <w:spacing w:before="81" w:line="287" w:lineRule="auto"/>
              <w:ind w:left="677" w:right="147" w:hanging="527"/>
              <w:rPr>
                <w:rFonts w:ascii="宋体" w:hAnsi="宋体" w:eastAsia="宋体" w:cs="宋体"/>
                <w:sz w:val="21"/>
                <w:szCs w:val="21"/>
              </w:rPr>
            </w:pPr>
            <w:r>
              <w:rPr>
                <w:rFonts w:ascii="宋体" w:hAnsi="宋体" w:eastAsia="宋体" w:cs="宋体"/>
                <w:spacing w:val="-2"/>
                <w:sz w:val="21"/>
                <w:szCs w:val="21"/>
              </w:rPr>
              <w:t>检查合理性审</w:t>
            </w:r>
            <w:r>
              <w:rPr>
                <w:rFonts w:ascii="宋体" w:hAnsi="宋体" w:eastAsia="宋体" w:cs="宋体"/>
                <w:spacing w:val="2"/>
                <w:sz w:val="21"/>
                <w:szCs w:val="21"/>
              </w:rPr>
              <w:t xml:space="preserve"> </w:t>
            </w:r>
            <w:r>
              <w:rPr>
                <w:rFonts w:ascii="宋体" w:hAnsi="宋体" w:eastAsia="宋体" w:cs="宋体"/>
                <w:sz w:val="21"/>
                <w:szCs w:val="21"/>
              </w:rPr>
              <w:t>核</w:t>
            </w:r>
          </w:p>
        </w:tc>
        <w:tc>
          <w:tcPr>
            <w:tcW w:w="7736" w:type="dxa"/>
            <w:vAlign w:val="top"/>
          </w:tcPr>
          <w:p w14:paraId="05FA6289">
            <w:pPr>
              <w:spacing w:before="81" w:line="287" w:lineRule="auto"/>
              <w:ind w:left="109" w:right="141"/>
              <w:rPr>
                <w:rFonts w:ascii="宋体" w:hAnsi="宋体" w:eastAsia="宋体" w:cs="宋体"/>
                <w:sz w:val="21"/>
                <w:szCs w:val="21"/>
              </w:rPr>
            </w:pPr>
            <w:r>
              <w:rPr>
                <w:rFonts w:ascii="宋体" w:hAnsi="宋体" w:eastAsia="宋体" w:cs="宋体"/>
                <w:spacing w:val="-2"/>
                <w:sz w:val="21"/>
                <w:szCs w:val="21"/>
              </w:rPr>
              <w:t>根据患者的症状、临床表现、诊断、检查结果等情</w:t>
            </w:r>
            <w:r>
              <w:rPr>
                <w:rFonts w:ascii="宋体" w:hAnsi="宋体" w:eastAsia="宋体" w:cs="宋体"/>
                <w:spacing w:val="-3"/>
                <w:sz w:val="21"/>
                <w:szCs w:val="21"/>
              </w:rPr>
              <w:t>况，在医生开具检查医嘱时，自</w:t>
            </w:r>
            <w:r>
              <w:rPr>
                <w:rFonts w:ascii="宋体" w:hAnsi="宋体" w:eastAsia="宋体" w:cs="宋体"/>
                <w:sz w:val="21"/>
                <w:szCs w:val="21"/>
              </w:rPr>
              <w:t xml:space="preserve"> </w:t>
            </w:r>
            <w:r>
              <w:rPr>
                <w:rFonts w:ascii="宋体" w:hAnsi="宋体" w:eastAsia="宋体" w:cs="宋体"/>
                <w:spacing w:val="-6"/>
                <w:sz w:val="21"/>
                <w:szCs w:val="21"/>
              </w:rPr>
              <w:t>动审核合理性，对禁忌和相对禁忌的项目主动进行提示。</w:t>
            </w:r>
          </w:p>
        </w:tc>
      </w:tr>
      <w:tr w14:paraId="46A62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bottom w:val="nil"/>
            </w:tcBorders>
            <w:vAlign w:val="top"/>
          </w:tcPr>
          <w:p w14:paraId="14F3D785">
            <w:pPr>
              <w:rPr>
                <w:rFonts w:ascii="Arial"/>
                <w:sz w:val="21"/>
              </w:rPr>
            </w:pPr>
          </w:p>
        </w:tc>
        <w:tc>
          <w:tcPr>
            <w:tcW w:w="1560" w:type="dxa"/>
            <w:vAlign w:val="top"/>
          </w:tcPr>
          <w:p w14:paraId="566C8788">
            <w:pPr>
              <w:spacing w:before="81" w:line="287" w:lineRule="auto"/>
              <w:ind w:left="677" w:right="147" w:hanging="527"/>
              <w:rPr>
                <w:rFonts w:ascii="宋体" w:hAnsi="宋体" w:eastAsia="宋体" w:cs="宋体"/>
                <w:sz w:val="21"/>
                <w:szCs w:val="21"/>
              </w:rPr>
            </w:pPr>
            <w:r>
              <w:rPr>
                <w:rFonts w:ascii="宋体" w:hAnsi="宋体" w:eastAsia="宋体" w:cs="宋体"/>
                <w:spacing w:val="-2"/>
                <w:sz w:val="21"/>
                <w:szCs w:val="21"/>
              </w:rPr>
              <w:t>检验合理性审</w:t>
            </w:r>
            <w:r>
              <w:rPr>
                <w:rFonts w:ascii="宋体" w:hAnsi="宋体" w:eastAsia="宋体" w:cs="宋体"/>
                <w:spacing w:val="2"/>
                <w:sz w:val="21"/>
                <w:szCs w:val="21"/>
              </w:rPr>
              <w:t xml:space="preserve"> </w:t>
            </w:r>
            <w:r>
              <w:rPr>
                <w:rFonts w:ascii="宋体" w:hAnsi="宋体" w:eastAsia="宋体" w:cs="宋体"/>
                <w:sz w:val="21"/>
                <w:szCs w:val="21"/>
              </w:rPr>
              <w:t>核</w:t>
            </w:r>
          </w:p>
        </w:tc>
        <w:tc>
          <w:tcPr>
            <w:tcW w:w="7736" w:type="dxa"/>
            <w:vAlign w:val="top"/>
          </w:tcPr>
          <w:p w14:paraId="65B539E8">
            <w:pPr>
              <w:spacing w:before="81" w:line="287" w:lineRule="auto"/>
              <w:ind w:left="109" w:right="141"/>
              <w:rPr>
                <w:rFonts w:ascii="宋体" w:hAnsi="宋体" w:eastAsia="宋体" w:cs="宋体"/>
                <w:sz w:val="21"/>
                <w:szCs w:val="21"/>
              </w:rPr>
            </w:pPr>
            <w:r>
              <w:rPr>
                <w:rFonts w:ascii="宋体" w:hAnsi="宋体" w:eastAsia="宋体" w:cs="宋体"/>
                <w:spacing w:val="-2"/>
                <w:sz w:val="21"/>
                <w:szCs w:val="21"/>
              </w:rPr>
              <w:t>根据患者的症状、临床表现、诊断、检验结果等情</w:t>
            </w:r>
            <w:r>
              <w:rPr>
                <w:rFonts w:ascii="宋体" w:hAnsi="宋体" w:eastAsia="宋体" w:cs="宋体"/>
                <w:spacing w:val="-3"/>
                <w:sz w:val="21"/>
                <w:szCs w:val="21"/>
              </w:rPr>
              <w:t>况，在医生开具检验医嘱时，自</w:t>
            </w:r>
            <w:r>
              <w:rPr>
                <w:rFonts w:ascii="宋体" w:hAnsi="宋体" w:eastAsia="宋体" w:cs="宋体"/>
                <w:sz w:val="21"/>
                <w:szCs w:val="21"/>
              </w:rPr>
              <w:t xml:space="preserve"> </w:t>
            </w:r>
            <w:r>
              <w:rPr>
                <w:rFonts w:ascii="宋体" w:hAnsi="宋体" w:eastAsia="宋体" w:cs="宋体"/>
                <w:spacing w:val="-6"/>
                <w:sz w:val="21"/>
                <w:szCs w:val="21"/>
              </w:rPr>
              <w:t>动审核合理性，对禁忌和相对禁忌的项目主动进行提示。</w:t>
            </w:r>
          </w:p>
        </w:tc>
      </w:tr>
      <w:tr w14:paraId="0DBC3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bottom w:val="nil"/>
            </w:tcBorders>
            <w:vAlign w:val="top"/>
          </w:tcPr>
          <w:p w14:paraId="525D5889">
            <w:pPr>
              <w:rPr>
                <w:rFonts w:ascii="Arial"/>
                <w:sz w:val="21"/>
              </w:rPr>
            </w:pPr>
          </w:p>
        </w:tc>
        <w:tc>
          <w:tcPr>
            <w:tcW w:w="1560" w:type="dxa"/>
            <w:vAlign w:val="top"/>
          </w:tcPr>
          <w:p w14:paraId="4A59B2DF">
            <w:pPr>
              <w:spacing w:before="81" w:line="287" w:lineRule="auto"/>
              <w:ind w:left="488" w:right="127" w:hanging="345"/>
              <w:rPr>
                <w:rFonts w:ascii="宋体" w:hAnsi="宋体" w:eastAsia="宋体" w:cs="宋体"/>
                <w:sz w:val="21"/>
                <w:szCs w:val="21"/>
              </w:rPr>
            </w:pPr>
            <w:r>
              <w:rPr>
                <w:rFonts w:ascii="宋体" w:hAnsi="宋体" w:eastAsia="宋体" w:cs="宋体"/>
                <w:spacing w:val="-13"/>
                <w:sz w:val="21"/>
                <w:szCs w:val="21"/>
              </w:rPr>
              <w:t>检查/检验重复</w:t>
            </w:r>
            <w:r>
              <w:rPr>
                <w:rFonts w:ascii="宋体" w:hAnsi="宋体" w:eastAsia="宋体" w:cs="宋体"/>
                <w:spacing w:val="4"/>
                <w:sz w:val="21"/>
                <w:szCs w:val="21"/>
              </w:rPr>
              <w:t xml:space="preserve"> </w:t>
            </w:r>
            <w:r>
              <w:rPr>
                <w:rFonts w:ascii="宋体" w:hAnsi="宋体" w:eastAsia="宋体" w:cs="宋体"/>
                <w:spacing w:val="-9"/>
                <w:sz w:val="21"/>
                <w:szCs w:val="21"/>
              </w:rPr>
              <w:t>性审核</w:t>
            </w:r>
          </w:p>
        </w:tc>
        <w:tc>
          <w:tcPr>
            <w:tcW w:w="7736" w:type="dxa"/>
            <w:vAlign w:val="top"/>
          </w:tcPr>
          <w:p w14:paraId="0FED3266">
            <w:pPr>
              <w:spacing w:before="267" w:line="220" w:lineRule="auto"/>
              <w:ind w:left="110"/>
              <w:rPr>
                <w:rFonts w:ascii="宋体" w:hAnsi="宋体" w:eastAsia="宋体" w:cs="宋体"/>
                <w:sz w:val="21"/>
                <w:szCs w:val="21"/>
              </w:rPr>
            </w:pPr>
            <w:r>
              <w:rPr>
                <w:rFonts w:ascii="宋体" w:hAnsi="宋体" w:eastAsia="宋体" w:cs="宋体"/>
                <w:spacing w:val="3"/>
                <w:sz w:val="21"/>
                <w:szCs w:val="21"/>
              </w:rPr>
              <w:t>支持对重复开具的检验／检查项目可以进行审核提示。</w:t>
            </w:r>
          </w:p>
        </w:tc>
      </w:tr>
      <w:tr w14:paraId="465EA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bottom w:val="nil"/>
            </w:tcBorders>
            <w:vAlign w:val="top"/>
          </w:tcPr>
          <w:p w14:paraId="2AB6D7E8">
            <w:pPr>
              <w:rPr>
                <w:rFonts w:ascii="Arial"/>
                <w:sz w:val="21"/>
              </w:rPr>
            </w:pPr>
          </w:p>
        </w:tc>
        <w:tc>
          <w:tcPr>
            <w:tcW w:w="1560" w:type="dxa"/>
            <w:vAlign w:val="top"/>
          </w:tcPr>
          <w:p w14:paraId="5B2A7312">
            <w:pPr>
              <w:spacing w:before="83" w:line="286" w:lineRule="auto"/>
              <w:ind w:left="684" w:right="175" w:hanging="491"/>
              <w:rPr>
                <w:rFonts w:ascii="宋体" w:hAnsi="宋体" w:eastAsia="宋体" w:cs="宋体"/>
                <w:sz w:val="21"/>
                <w:szCs w:val="21"/>
              </w:rPr>
            </w:pPr>
            <w:r>
              <w:rPr>
                <w:rFonts w:ascii="宋体" w:hAnsi="宋体" w:eastAsia="宋体" w:cs="宋体"/>
                <w:spacing w:val="-14"/>
                <w:sz w:val="21"/>
                <w:szCs w:val="21"/>
              </w:rPr>
              <w:t>诊断合理性审</w:t>
            </w:r>
            <w:r>
              <w:rPr>
                <w:rFonts w:ascii="宋体" w:hAnsi="宋体" w:eastAsia="宋体" w:cs="宋体"/>
                <w:spacing w:val="4"/>
                <w:sz w:val="21"/>
                <w:szCs w:val="21"/>
              </w:rPr>
              <w:t xml:space="preserve"> </w:t>
            </w:r>
            <w:r>
              <w:rPr>
                <w:rFonts w:ascii="宋体" w:hAnsi="宋体" w:eastAsia="宋体" w:cs="宋体"/>
                <w:sz w:val="21"/>
                <w:szCs w:val="21"/>
              </w:rPr>
              <w:t>核</w:t>
            </w:r>
          </w:p>
        </w:tc>
        <w:tc>
          <w:tcPr>
            <w:tcW w:w="7736" w:type="dxa"/>
            <w:vAlign w:val="top"/>
          </w:tcPr>
          <w:p w14:paraId="6064CF24">
            <w:pPr>
              <w:spacing w:before="268" w:line="220" w:lineRule="auto"/>
              <w:ind w:left="110"/>
              <w:rPr>
                <w:rFonts w:ascii="宋体" w:hAnsi="宋体" w:eastAsia="宋体" w:cs="宋体"/>
                <w:sz w:val="21"/>
                <w:szCs w:val="21"/>
              </w:rPr>
            </w:pPr>
            <w:r>
              <w:rPr>
                <w:rFonts w:ascii="宋体" w:hAnsi="宋体" w:eastAsia="宋体" w:cs="宋体"/>
                <w:spacing w:val="3"/>
                <w:sz w:val="21"/>
                <w:szCs w:val="21"/>
              </w:rPr>
              <w:t>支持根据患者情况（性别、年龄）审查诊断是否合理，并继续实时提示。</w:t>
            </w:r>
          </w:p>
        </w:tc>
      </w:tr>
      <w:tr w14:paraId="2932E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bottom w:val="nil"/>
            </w:tcBorders>
            <w:vAlign w:val="top"/>
          </w:tcPr>
          <w:p w14:paraId="17B7F8DF">
            <w:pPr>
              <w:rPr>
                <w:rFonts w:ascii="Arial"/>
                <w:sz w:val="21"/>
              </w:rPr>
            </w:pPr>
          </w:p>
        </w:tc>
        <w:tc>
          <w:tcPr>
            <w:tcW w:w="1560" w:type="dxa"/>
            <w:vAlign w:val="top"/>
          </w:tcPr>
          <w:p w14:paraId="735F6D18">
            <w:pPr>
              <w:spacing w:before="83" w:line="286" w:lineRule="auto"/>
              <w:ind w:left="675" w:right="140" w:hanging="532"/>
              <w:rPr>
                <w:rFonts w:ascii="宋体" w:hAnsi="宋体" w:eastAsia="宋体" w:cs="宋体"/>
                <w:sz w:val="21"/>
                <w:szCs w:val="21"/>
              </w:rPr>
            </w:pPr>
            <w:r>
              <w:rPr>
                <w:rFonts w:ascii="宋体" w:hAnsi="宋体" w:eastAsia="宋体" w:cs="宋体"/>
                <w:spacing w:val="1"/>
                <w:sz w:val="21"/>
                <w:szCs w:val="21"/>
              </w:rPr>
              <w:t>治疗合理性审</w:t>
            </w:r>
            <w:r>
              <w:rPr>
                <w:rFonts w:ascii="宋体" w:hAnsi="宋体" w:eastAsia="宋体" w:cs="宋体"/>
                <w:sz w:val="21"/>
                <w:szCs w:val="21"/>
              </w:rPr>
              <w:t xml:space="preserve"> 核</w:t>
            </w:r>
          </w:p>
        </w:tc>
        <w:tc>
          <w:tcPr>
            <w:tcW w:w="7736" w:type="dxa"/>
            <w:vAlign w:val="top"/>
          </w:tcPr>
          <w:p w14:paraId="7EEEE4E7">
            <w:pPr>
              <w:spacing w:before="83" w:line="286" w:lineRule="auto"/>
              <w:ind w:left="111" w:right="138" w:hanging="1"/>
              <w:rPr>
                <w:rFonts w:ascii="宋体" w:hAnsi="宋体" w:eastAsia="宋体" w:cs="宋体"/>
                <w:sz w:val="21"/>
                <w:szCs w:val="21"/>
              </w:rPr>
            </w:pPr>
            <w:r>
              <w:rPr>
                <w:rFonts w:ascii="宋体" w:hAnsi="宋体" w:eastAsia="宋体" w:cs="宋体"/>
                <w:spacing w:val="2"/>
                <w:sz w:val="21"/>
                <w:szCs w:val="21"/>
              </w:rPr>
              <w:t>支持根据患者性别、年龄、症状、人群等情况，在医生开具治疗医嘱时，</w:t>
            </w:r>
            <w:r>
              <w:rPr>
                <w:rFonts w:ascii="宋体" w:hAnsi="宋体" w:eastAsia="宋体" w:cs="宋体"/>
                <w:spacing w:val="-49"/>
                <w:sz w:val="21"/>
                <w:szCs w:val="21"/>
              </w:rPr>
              <w:t xml:space="preserve"> </w:t>
            </w:r>
            <w:r>
              <w:rPr>
                <w:rFonts w:ascii="宋体" w:hAnsi="宋体" w:eastAsia="宋体" w:cs="宋体"/>
                <w:spacing w:val="2"/>
                <w:sz w:val="21"/>
                <w:szCs w:val="21"/>
              </w:rPr>
              <w:t>自动审</w:t>
            </w:r>
            <w:r>
              <w:rPr>
                <w:rFonts w:ascii="宋体" w:hAnsi="宋体" w:eastAsia="宋体" w:cs="宋体"/>
                <w:sz w:val="21"/>
                <w:szCs w:val="21"/>
              </w:rPr>
              <w:t xml:space="preserve"> </w:t>
            </w:r>
            <w:r>
              <w:rPr>
                <w:rFonts w:ascii="宋体" w:hAnsi="宋体" w:eastAsia="宋体" w:cs="宋体"/>
                <w:spacing w:val="3"/>
                <w:sz w:val="21"/>
                <w:szCs w:val="21"/>
              </w:rPr>
              <w:t>核合理性，对禁忌和相对禁忌的项目主动提示。</w:t>
            </w:r>
          </w:p>
        </w:tc>
      </w:tr>
      <w:tr w14:paraId="000EB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042" w:type="dxa"/>
            <w:vMerge w:val="continue"/>
            <w:tcBorders>
              <w:top w:val="nil"/>
              <w:bottom w:val="nil"/>
            </w:tcBorders>
            <w:vAlign w:val="top"/>
          </w:tcPr>
          <w:p w14:paraId="3794A3FD">
            <w:pPr>
              <w:rPr>
                <w:rFonts w:ascii="Arial"/>
                <w:sz w:val="21"/>
              </w:rPr>
            </w:pPr>
          </w:p>
        </w:tc>
        <w:tc>
          <w:tcPr>
            <w:tcW w:w="1560" w:type="dxa"/>
            <w:vMerge w:val="restart"/>
            <w:tcBorders>
              <w:bottom w:val="nil"/>
            </w:tcBorders>
            <w:vAlign w:val="top"/>
          </w:tcPr>
          <w:p w14:paraId="4C80FDD5">
            <w:pPr>
              <w:spacing w:before="275" w:line="315" w:lineRule="auto"/>
              <w:ind w:left="674" w:right="140" w:hanging="535"/>
              <w:rPr>
                <w:rFonts w:ascii="宋体" w:hAnsi="宋体" w:eastAsia="宋体" w:cs="宋体"/>
                <w:sz w:val="21"/>
                <w:szCs w:val="21"/>
              </w:rPr>
            </w:pPr>
            <w:r>
              <w:rPr>
                <w:rFonts w:ascii="宋体" w:hAnsi="宋体" w:eastAsia="宋体" w:cs="宋体"/>
                <w:spacing w:val="1"/>
                <w:sz w:val="21"/>
                <w:szCs w:val="21"/>
              </w:rPr>
              <w:t>用药合理性审</w:t>
            </w:r>
            <w:r>
              <w:rPr>
                <w:rFonts w:ascii="宋体" w:hAnsi="宋体" w:eastAsia="宋体" w:cs="宋体"/>
                <w:spacing w:val="3"/>
                <w:sz w:val="21"/>
                <w:szCs w:val="21"/>
              </w:rPr>
              <w:t xml:space="preserve"> </w:t>
            </w:r>
            <w:r>
              <w:rPr>
                <w:rFonts w:ascii="宋体" w:hAnsi="宋体" w:eastAsia="宋体" w:cs="宋体"/>
                <w:sz w:val="21"/>
                <w:szCs w:val="21"/>
              </w:rPr>
              <w:t>核</w:t>
            </w:r>
          </w:p>
        </w:tc>
        <w:tc>
          <w:tcPr>
            <w:tcW w:w="7736" w:type="dxa"/>
            <w:vAlign w:val="top"/>
          </w:tcPr>
          <w:p w14:paraId="6DF8B888">
            <w:pPr>
              <w:spacing w:before="84" w:line="286" w:lineRule="auto"/>
              <w:ind w:left="111" w:right="95" w:hanging="1"/>
              <w:rPr>
                <w:rFonts w:ascii="宋体" w:hAnsi="宋体" w:eastAsia="宋体" w:cs="宋体"/>
                <w:sz w:val="21"/>
                <w:szCs w:val="21"/>
              </w:rPr>
            </w:pPr>
            <w:r>
              <w:rPr>
                <w:rFonts w:ascii="宋体" w:hAnsi="宋体" w:eastAsia="宋体" w:cs="宋体"/>
                <w:spacing w:val="-6"/>
                <w:sz w:val="21"/>
                <w:szCs w:val="21"/>
              </w:rPr>
              <w:t>支持结合患者性别、年龄、过敏史、用药情况、检验检查结果等情况，</w:t>
            </w:r>
            <w:r>
              <w:rPr>
                <w:rFonts w:ascii="宋体" w:hAnsi="宋体" w:eastAsia="宋体" w:cs="宋体"/>
                <w:spacing w:val="62"/>
                <w:sz w:val="21"/>
                <w:szCs w:val="21"/>
              </w:rPr>
              <w:t xml:space="preserve"> </w:t>
            </w:r>
            <w:r>
              <w:rPr>
                <w:rFonts w:ascii="宋体" w:hAnsi="宋体" w:eastAsia="宋体" w:cs="宋体"/>
                <w:spacing w:val="-6"/>
                <w:sz w:val="21"/>
                <w:szCs w:val="21"/>
              </w:rPr>
              <w:t>在医生开立</w:t>
            </w:r>
            <w:r>
              <w:rPr>
                <w:rFonts w:ascii="宋体" w:hAnsi="宋体" w:eastAsia="宋体" w:cs="宋体"/>
                <w:sz w:val="21"/>
                <w:szCs w:val="21"/>
              </w:rPr>
              <w:t xml:space="preserve"> </w:t>
            </w:r>
            <w:r>
              <w:rPr>
                <w:rFonts w:ascii="宋体" w:hAnsi="宋体" w:eastAsia="宋体" w:cs="宋体"/>
                <w:spacing w:val="-1"/>
                <w:sz w:val="21"/>
                <w:szCs w:val="21"/>
              </w:rPr>
              <w:t>药品医嘱时，自动进行用药合理性审核，对不合理用药、高危用药</w:t>
            </w:r>
            <w:r>
              <w:rPr>
                <w:rFonts w:ascii="宋体" w:hAnsi="宋体" w:eastAsia="宋体" w:cs="宋体"/>
                <w:spacing w:val="-2"/>
                <w:sz w:val="21"/>
                <w:szCs w:val="21"/>
              </w:rPr>
              <w:t>项目进行提示。</w:t>
            </w:r>
          </w:p>
        </w:tc>
      </w:tr>
      <w:tr w14:paraId="74E29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64C2C087">
            <w:pPr>
              <w:rPr>
                <w:rFonts w:ascii="Arial"/>
                <w:sz w:val="21"/>
              </w:rPr>
            </w:pPr>
          </w:p>
        </w:tc>
        <w:tc>
          <w:tcPr>
            <w:tcW w:w="1560" w:type="dxa"/>
            <w:vMerge w:val="continue"/>
            <w:tcBorders>
              <w:top w:val="nil"/>
            </w:tcBorders>
            <w:vAlign w:val="top"/>
          </w:tcPr>
          <w:p w14:paraId="290DA3B1">
            <w:pPr>
              <w:rPr>
                <w:rFonts w:ascii="Arial"/>
                <w:sz w:val="21"/>
              </w:rPr>
            </w:pPr>
          </w:p>
        </w:tc>
        <w:tc>
          <w:tcPr>
            <w:tcW w:w="7736" w:type="dxa"/>
            <w:vAlign w:val="top"/>
          </w:tcPr>
          <w:p w14:paraId="548DE3BE">
            <w:pPr>
              <w:spacing w:before="84" w:line="219" w:lineRule="auto"/>
              <w:ind w:left="110"/>
              <w:rPr>
                <w:rFonts w:ascii="宋体" w:hAnsi="宋体" w:eastAsia="宋体" w:cs="宋体"/>
                <w:sz w:val="21"/>
                <w:szCs w:val="21"/>
              </w:rPr>
            </w:pPr>
            <w:r>
              <w:rPr>
                <w:rFonts w:ascii="宋体" w:hAnsi="宋体" w:eastAsia="宋体" w:cs="宋体"/>
                <w:spacing w:val="-2"/>
                <w:sz w:val="21"/>
                <w:szCs w:val="21"/>
              </w:rPr>
              <w:t>支持从提示信息关联查看不合理药品的药品说明书。</w:t>
            </w:r>
          </w:p>
        </w:tc>
      </w:tr>
      <w:tr w14:paraId="0145B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042" w:type="dxa"/>
            <w:vMerge w:val="continue"/>
            <w:tcBorders>
              <w:top w:val="nil"/>
              <w:bottom w:val="nil"/>
            </w:tcBorders>
            <w:vAlign w:val="top"/>
          </w:tcPr>
          <w:p w14:paraId="12EBA66B">
            <w:pPr>
              <w:rPr>
                <w:rFonts w:ascii="Arial"/>
                <w:sz w:val="21"/>
              </w:rPr>
            </w:pPr>
          </w:p>
        </w:tc>
        <w:tc>
          <w:tcPr>
            <w:tcW w:w="1560" w:type="dxa"/>
            <w:vMerge w:val="restart"/>
            <w:tcBorders>
              <w:bottom w:val="nil"/>
            </w:tcBorders>
            <w:vAlign w:val="top"/>
          </w:tcPr>
          <w:p w14:paraId="31AC286D">
            <w:pPr>
              <w:spacing w:line="269" w:lineRule="auto"/>
              <w:rPr>
                <w:rFonts w:ascii="Arial"/>
                <w:sz w:val="21"/>
              </w:rPr>
            </w:pPr>
          </w:p>
          <w:p w14:paraId="7E87EC93">
            <w:pPr>
              <w:spacing w:line="269" w:lineRule="auto"/>
              <w:rPr>
                <w:rFonts w:ascii="Arial"/>
                <w:sz w:val="21"/>
              </w:rPr>
            </w:pPr>
          </w:p>
          <w:p w14:paraId="190A1830">
            <w:pPr>
              <w:spacing w:line="269" w:lineRule="auto"/>
              <w:rPr>
                <w:rFonts w:ascii="Arial"/>
                <w:sz w:val="21"/>
              </w:rPr>
            </w:pPr>
          </w:p>
          <w:p w14:paraId="4CB3DBFE">
            <w:pPr>
              <w:spacing w:line="269" w:lineRule="auto"/>
              <w:rPr>
                <w:rFonts w:ascii="Arial"/>
                <w:sz w:val="21"/>
              </w:rPr>
            </w:pPr>
          </w:p>
          <w:p w14:paraId="0B8B0E0F">
            <w:pPr>
              <w:spacing w:line="269" w:lineRule="auto"/>
              <w:rPr>
                <w:rFonts w:ascii="Arial"/>
                <w:sz w:val="21"/>
              </w:rPr>
            </w:pPr>
          </w:p>
          <w:p w14:paraId="39F5C63C">
            <w:pPr>
              <w:spacing w:line="270" w:lineRule="auto"/>
              <w:rPr>
                <w:rFonts w:ascii="Arial"/>
                <w:sz w:val="21"/>
              </w:rPr>
            </w:pPr>
          </w:p>
          <w:p w14:paraId="6E39387A">
            <w:pPr>
              <w:spacing w:line="270" w:lineRule="auto"/>
              <w:rPr>
                <w:rFonts w:ascii="Arial"/>
                <w:sz w:val="21"/>
              </w:rPr>
            </w:pPr>
          </w:p>
          <w:p w14:paraId="010AFE96">
            <w:pPr>
              <w:spacing w:line="270" w:lineRule="auto"/>
              <w:rPr>
                <w:rFonts w:ascii="Arial"/>
                <w:sz w:val="21"/>
              </w:rPr>
            </w:pPr>
          </w:p>
          <w:p w14:paraId="01F4C8C8">
            <w:pPr>
              <w:spacing w:before="68" w:line="220" w:lineRule="auto"/>
              <w:ind w:left="155"/>
              <w:rPr>
                <w:rFonts w:ascii="宋体" w:hAnsi="宋体" w:eastAsia="宋体" w:cs="宋体"/>
                <w:sz w:val="21"/>
                <w:szCs w:val="21"/>
              </w:rPr>
            </w:pPr>
            <w:r>
              <w:rPr>
                <w:rFonts w:ascii="宋体" w:hAnsi="宋体" w:eastAsia="宋体" w:cs="宋体"/>
                <w:spacing w:val="-2"/>
                <w:sz w:val="21"/>
                <w:szCs w:val="21"/>
              </w:rPr>
              <w:t>智能辅助问诊</w:t>
            </w:r>
          </w:p>
        </w:tc>
        <w:tc>
          <w:tcPr>
            <w:tcW w:w="7736" w:type="dxa"/>
            <w:vAlign w:val="top"/>
          </w:tcPr>
          <w:p w14:paraId="27657896">
            <w:pPr>
              <w:spacing w:before="84" w:line="286" w:lineRule="auto"/>
              <w:ind w:left="110" w:right="138" w:firstLine="22"/>
              <w:rPr>
                <w:rFonts w:ascii="宋体" w:hAnsi="宋体" w:eastAsia="宋体" w:cs="宋体"/>
                <w:sz w:val="21"/>
                <w:szCs w:val="21"/>
              </w:rPr>
            </w:pPr>
            <w:r>
              <w:rPr>
                <w:rFonts w:ascii="宋体" w:hAnsi="宋体" w:eastAsia="宋体" w:cs="宋体"/>
                <w:spacing w:val="3"/>
                <w:sz w:val="21"/>
                <w:szCs w:val="21"/>
              </w:rPr>
              <w:t>问诊推荐：根据患者的症状、临床表现为医生智能推荐相关问诊路径，协助</w:t>
            </w:r>
            <w:r>
              <w:rPr>
                <w:rFonts w:ascii="宋体" w:hAnsi="宋体" w:eastAsia="宋体" w:cs="宋体"/>
                <w:spacing w:val="2"/>
                <w:sz w:val="21"/>
                <w:szCs w:val="21"/>
              </w:rPr>
              <w:t>医生</w:t>
            </w:r>
            <w:r>
              <w:rPr>
                <w:rFonts w:ascii="宋体" w:hAnsi="宋体" w:eastAsia="宋体" w:cs="宋体"/>
                <w:sz w:val="21"/>
                <w:szCs w:val="21"/>
              </w:rPr>
              <w:t xml:space="preserve"> </w:t>
            </w:r>
            <w:r>
              <w:rPr>
                <w:rFonts w:ascii="宋体" w:hAnsi="宋体" w:eastAsia="宋体" w:cs="宋体"/>
                <w:spacing w:val="2"/>
                <w:sz w:val="21"/>
                <w:szCs w:val="21"/>
              </w:rPr>
              <w:t>完成患者临床问诊。</w:t>
            </w:r>
          </w:p>
        </w:tc>
      </w:tr>
      <w:tr w14:paraId="7C152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4" w:hRule="atLeast"/>
        </w:trPr>
        <w:tc>
          <w:tcPr>
            <w:tcW w:w="1042" w:type="dxa"/>
            <w:vMerge w:val="continue"/>
            <w:tcBorders>
              <w:top w:val="nil"/>
              <w:bottom w:val="nil"/>
            </w:tcBorders>
            <w:vAlign w:val="top"/>
          </w:tcPr>
          <w:p w14:paraId="7BD9296A">
            <w:pPr>
              <w:rPr>
                <w:rFonts w:ascii="Arial"/>
                <w:sz w:val="21"/>
              </w:rPr>
            </w:pPr>
          </w:p>
        </w:tc>
        <w:tc>
          <w:tcPr>
            <w:tcW w:w="1560" w:type="dxa"/>
            <w:vMerge w:val="continue"/>
            <w:tcBorders>
              <w:top w:val="nil"/>
              <w:bottom w:val="nil"/>
            </w:tcBorders>
            <w:vAlign w:val="top"/>
          </w:tcPr>
          <w:p w14:paraId="10699AA9">
            <w:pPr>
              <w:rPr>
                <w:rFonts w:ascii="Arial"/>
                <w:sz w:val="21"/>
              </w:rPr>
            </w:pPr>
          </w:p>
        </w:tc>
        <w:tc>
          <w:tcPr>
            <w:tcW w:w="7736" w:type="dxa"/>
            <w:vAlign w:val="top"/>
          </w:tcPr>
          <w:p w14:paraId="1C058E72">
            <w:pPr>
              <w:spacing w:before="167" w:line="321" w:lineRule="auto"/>
              <w:ind w:left="107" w:right="138" w:firstLine="3"/>
              <w:jc w:val="both"/>
              <w:rPr>
                <w:rFonts w:ascii="宋体" w:hAnsi="宋体" w:eastAsia="宋体" w:cs="宋体"/>
                <w:sz w:val="21"/>
                <w:szCs w:val="21"/>
              </w:rPr>
            </w:pPr>
            <w:r>
              <w:rPr>
                <w:rFonts w:ascii="宋体" w:hAnsi="宋体" w:eastAsia="宋体" w:cs="宋体"/>
                <w:spacing w:val="4"/>
                <w:sz w:val="21"/>
                <w:szCs w:val="21"/>
              </w:rPr>
              <w:t>可视化问诊路径：提供图形可视化问诊路径，</w:t>
            </w:r>
            <w:r>
              <w:rPr>
                <w:rFonts w:ascii="宋体" w:hAnsi="宋体" w:eastAsia="宋体" w:cs="宋体"/>
                <w:spacing w:val="3"/>
                <w:sz w:val="21"/>
                <w:szCs w:val="21"/>
              </w:rPr>
              <w:t>从主要症状出发，以流程图的形式</w:t>
            </w:r>
            <w:r>
              <w:rPr>
                <w:rFonts w:ascii="宋体" w:hAnsi="宋体" w:eastAsia="宋体" w:cs="宋体"/>
                <w:sz w:val="21"/>
                <w:szCs w:val="21"/>
              </w:rPr>
              <w:t xml:space="preserve"> </w:t>
            </w:r>
            <w:r>
              <w:rPr>
                <w:rFonts w:ascii="宋体" w:hAnsi="宋体" w:eastAsia="宋体" w:cs="宋体"/>
                <w:spacing w:val="4"/>
                <w:sz w:val="21"/>
                <w:szCs w:val="21"/>
              </w:rPr>
              <w:t>将相关问诊要点呈树状串联在一起，医生可直接点击</w:t>
            </w:r>
            <w:r>
              <w:rPr>
                <w:rFonts w:ascii="宋体" w:hAnsi="宋体" w:eastAsia="宋体" w:cs="宋体"/>
                <w:spacing w:val="3"/>
                <w:sz w:val="21"/>
                <w:szCs w:val="21"/>
              </w:rPr>
              <w:t>每个问诊要点是否存在（点</w:t>
            </w:r>
            <w:r>
              <w:rPr>
                <w:rFonts w:ascii="宋体" w:hAnsi="宋体" w:eastAsia="宋体" w:cs="宋体"/>
                <w:sz w:val="21"/>
                <w:szCs w:val="21"/>
              </w:rPr>
              <w:t xml:space="preserve"> </w:t>
            </w:r>
            <w:r>
              <w:rPr>
                <w:rFonts w:ascii="宋体" w:hAnsi="宋体" w:eastAsia="宋体" w:cs="宋体"/>
                <w:spacing w:val="1"/>
                <w:sz w:val="21"/>
                <w:szCs w:val="21"/>
              </w:rPr>
              <w:t>击“</w:t>
            </w:r>
            <w:r>
              <w:rPr>
                <w:rFonts w:ascii="宋体" w:hAnsi="宋体" w:eastAsia="宋体" w:cs="宋体"/>
                <w:spacing w:val="-41"/>
                <w:sz w:val="21"/>
                <w:szCs w:val="21"/>
              </w:rPr>
              <w:t xml:space="preserve"> </w:t>
            </w:r>
            <w:r>
              <w:rPr>
                <w:rFonts w:ascii="宋体" w:hAnsi="宋体" w:eastAsia="宋体" w:cs="宋体"/>
                <w:spacing w:val="1"/>
                <w:sz w:val="21"/>
                <w:szCs w:val="21"/>
              </w:rPr>
              <w:t>√</w:t>
            </w:r>
            <w:r>
              <w:rPr>
                <w:rFonts w:ascii="宋体" w:hAnsi="宋体" w:eastAsia="宋体" w:cs="宋体"/>
                <w:spacing w:val="-73"/>
                <w:sz w:val="21"/>
                <w:szCs w:val="21"/>
              </w:rPr>
              <w:t xml:space="preserve"> </w:t>
            </w:r>
            <w:r>
              <w:rPr>
                <w:rFonts w:ascii="宋体" w:hAnsi="宋体" w:eastAsia="宋体" w:cs="宋体"/>
                <w:spacing w:val="1"/>
                <w:sz w:val="21"/>
                <w:szCs w:val="21"/>
              </w:rPr>
              <w:t>”或“×”) 逐步完善问诊过程，并最终得出最可能的诊断，以</w:t>
            </w:r>
            <w:r>
              <w:rPr>
                <w:rFonts w:ascii="宋体" w:hAnsi="宋体" w:eastAsia="宋体" w:cs="宋体"/>
                <w:sz w:val="21"/>
                <w:szCs w:val="21"/>
              </w:rPr>
              <w:t xml:space="preserve">及相应的 </w:t>
            </w:r>
            <w:r>
              <w:rPr>
                <w:rFonts w:ascii="宋体" w:hAnsi="宋体" w:eastAsia="宋体" w:cs="宋体"/>
                <w:spacing w:val="1"/>
                <w:sz w:val="21"/>
                <w:szCs w:val="21"/>
              </w:rPr>
              <w:t>处置措施。</w:t>
            </w:r>
          </w:p>
        </w:tc>
      </w:tr>
      <w:tr w14:paraId="611DD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1042" w:type="dxa"/>
            <w:vMerge w:val="continue"/>
            <w:tcBorders>
              <w:top w:val="nil"/>
              <w:bottom w:val="nil"/>
            </w:tcBorders>
            <w:vAlign w:val="top"/>
          </w:tcPr>
          <w:p w14:paraId="53CC468E">
            <w:pPr>
              <w:rPr>
                <w:rFonts w:ascii="Arial"/>
                <w:sz w:val="21"/>
              </w:rPr>
            </w:pPr>
          </w:p>
        </w:tc>
        <w:tc>
          <w:tcPr>
            <w:tcW w:w="1560" w:type="dxa"/>
            <w:vMerge w:val="continue"/>
            <w:tcBorders>
              <w:top w:val="nil"/>
              <w:bottom w:val="nil"/>
            </w:tcBorders>
            <w:vAlign w:val="top"/>
          </w:tcPr>
          <w:p w14:paraId="13B8DEB8">
            <w:pPr>
              <w:rPr>
                <w:rFonts w:ascii="Arial"/>
                <w:sz w:val="21"/>
              </w:rPr>
            </w:pPr>
          </w:p>
        </w:tc>
        <w:tc>
          <w:tcPr>
            <w:tcW w:w="7736" w:type="dxa"/>
            <w:vAlign w:val="top"/>
          </w:tcPr>
          <w:p w14:paraId="23BD79AC">
            <w:pPr>
              <w:spacing w:before="86" w:line="299" w:lineRule="auto"/>
              <w:ind w:left="107" w:right="107" w:firstLine="4"/>
              <w:jc w:val="both"/>
              <w:rPr>
                <w:rFonts w:ascii="宋体" w:hAnsi="宋体" w:eastAsia="宋体" w:cs="宋体"/>
                <w:sz w:val="21"/>
                <w:szCs w:val="21"/>
              </w:rPr>
            </w:pPr>
            <w:r>
              <w:rPr>
                <w:rFonts w:ascii="宋体" w:hAnsi="宋体" w:eastAsia="宋体" w:cs="宋体"/>
                <w:spacing w:val="1"/>
                <w:sz w:val="21"/>
                <w:szCs w:val="21"/>
              </w:rPr>
              <w:t>危险信号提醒，针对该症状需要优先排除/确认的症状、体征，在图形问诊页面的</w:t>
            </w:r>
            <w:r>
              <w:rPr>
                <w:rFonts w:ascii="宋体" w:hAnsi="宋体" w:eastAsia="宋体" w:cs="宋体"/>
                <w:spacing w:val="15"/>
                <w:sz w:val="21"/>
                <w:szCs w:val="21"/>
              </w:rPr>
              <w:t xml:space="preserve"> </w:t>
            </w:r>
            <w:r>
              <w:rPr>
                <w:rFonts w:ascii="宋体" w:hAnsi="宋体" w:eastAsia="宋体" w:cs="宋体"/>
                <w:spacing w:val="4"/>
                <w:sz w:val="21"/>
                <w:szCs w:val="21"/>
              </w:rPr>
              <w:t>最上方用"危险信号"进行提醒。在问诊路径</w:t>
            </w:r>
            <w:r>
              <w:rPr>
                <w:rFonts w:ascii="宋体" w:hAnsi="宋体" w:eastAsia="宋体" w:cs="宋体"/>
                <w:spacing w:val="3"/>
                <w:sz w:val="21"/>
                <w:szCs w:val="21"/>
              </w:rPr>
              <w:t>中，对急症用红色线框以及警示标示</w:t>
            </w:r>
            <w:r>
              <w:rPr>
                <w:rFonts w:ascii="宋体" w:hAnsi="宋体" w:eastAsia="宋体" w:cs="宋体"/>
                <w:sz w:val="21"/>
                <w:szCs w:val="21"/>
              </w:rPr>
              <w:t xml:space="preserve"> </w:t>
            </w:r>
            <w:r>
              <w:rPr>
                <w:rFonts w:ascii="宋体" w:hAnsi="宋体" w:eastAsia="宋体" w:cs="宋体"/>
                <w:spacing w:val="2"/>
                <w:sz w:val="21"/>
                <w:szCs w:val="21"/>
              </w:rPr>
              <w:t>进行提醒并提供紧急处理意见。</w:t>
            </w:r>
          </w:p>
        </w:tc>
      </w:tr>
      <w:tr w14:paraId="03DAA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042" w:type="dxa"/>
            <w:vMerge w:val="continue"/>
            <w:tcBorders>
              <w:top w:val="nil"/>
              <w:bottom w:val="nil"/>
            </w:tcBorders>
            <w:vAlign w:val="top"/>
          </w:tcPr>
          <w:p w14:paraId="6AB0E0EB">
            <w:pPr>
              <w:rPr>
                <w:rFonts w:ascii="Arial"/>
                <w:sz w:val="21"/>
              </w:rPr>
            </w:pPr>
          </w:p>
        </w:tc>
        <w:tc>
          <w:tcPr>
            <w:tcW w:w="1560" w:type="dxa"/>
            <w:vMerge w:val="continue"/>
            <w:tcBorders>
              <w:top w:val="nil"/>
              <w:bottom w:val="nil"/>
            </w:tcBorders>
            <w:vAlign w:val="top"/>
          </w:tcPr>
          <w:p w14:paraId="1B4149C0">
            <w:pPr>
              <w:rPr>
                <w:rFonts w:ascii="Arial"/>
                <w:sz w:val="21"/>
              </w:rPr>
            </w:pPr>
          </w:p>
        </w:tc>
        <w:tc>
          <w:tcPr>
            <w:tcW w:w="7736" w:type="dxa"/>
            <w:vAlign w:val="top"/>
          </w:tcPr>
          <w:p w14:paraId="676FA8A9">
            <w:pPr>
              <w:spacing w:before="86" w:line="285" w:lineRule="auto"/>
              <w:ind w:left="113" w:right="103" w:hanging="3"/>
              <w:rPr>
                <w:rFonts w:ascii="宋体" w:hAnsi="宋体" w:eastAsia="宋体" w:cs="宋体"/>
                <w:sz w:val="21"/>
                <w:szCs w:val="21"/>
              </w:rPr>
            </w:pPr>
            <w:r>
              <w:rPr>
                <w:rFonts w:ascii="宋体" w:hAnsi="宋体" w:eastAsia="宋体" w:cs="宋体"/>
                <w:spacing w:val="-1"/>
                <w:sz w:val="21"/>
                <w:szCs w:val="21"/>
              </w:rPr>
              <w:t>路径跳转：从某个症状出发进行图形可视化问诊的过</w:t>
            </w:r>
            <w:r>
              <w:rPr>
                <w:rFonts w:ascii="宋体" w:hAnsi="宋体" w:eastAsia="宋体" w:cs="宋体"/>
                <w:spacing w:val="-2"/>
                <w:sz w:val="21"/>
                <w:szCs w:val="21"/>
              </w:rPr>
              <w:t>程中，当该症状与其他症状合</w:t>
            </w:r>
            <w:r>
              <w:rPr>
                <w:rFonts w:ascii="宋体" w:hAnsi="宋体" w:eastAsia="宋体" w:cs="宋体"/>
                <w:sz w:val="21"/>
                <w:szCs w:val="21"/>
              </w:rPr>
              <w:t xml:space="preserve"> </w:t>
            </w:r>
            <w:r>
              <w:rPr>
                <w:rFonts w:ascii="宋体" w:hAnsi="宋体" w:eastAsia="宋体" w:cs="宋体"/>
                <w:spacing w:val="-2"/>
                <w:sz w:val="21"/>
                <w:szCs w:val="21"/>
              </w:rPr>
              <w:t>并存在时，可直接跳转至相关症状的问诊路径。</w:t>
            </w:r>
          </w:p>
        </w:tc>
      </w:tr>
      <w:tr w14:paraId="07ECA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19BAB945">
            <w:pPr>
              <w:rPr>
                <w:rFonts w:ascii="Arial"/>
                <w:sz w:val="21"/>
              </w:rPr>
            </w:pPr>
          </w:p>
        </w:tc>
        <w:tc>
          <w:tcPr>
            <w:tcW w:w="1560" w:type="dxa"/>
            <w:vMerge w:val="continue"/>
            <w:tcBorders>
              <w:top w:val="nil"/>
            </w:tcBorders>
            <w:vAlign w:val="top"/>
          </w:tcPr>
          <w:p w14:paraId="3A02C1B8">
            <w:pPr>
              <w:rPr>
                <w:rFonts w:ascii="Arial"/>
                <w:sz w:val="21"/>
              </w:rPr>
            </w:pPr>
          </w:p>
        </w:tc>
        <w:tc>
          <w:tcPr>
            <w:tcW w:w="7736" w:type="dxa"/>
            <w:vAlign w:val="top"/>
          </w:tcPr>
          <w:p w14:paraId="65E092C2">
            <w:pPr>
              <w:spacing w:before="86" w:line="219" w:lineRule="auto"/>
              <w:ind w:left="109"/>
              <w:rPr>
                <w:rFonts w:ascii="宋体" w:hAnsi="宋体" w:eastAsia="宋体" w:cs="宋体"/>
                <w:sz w:val="21"/>
                <w:szCs w:val="21"/>
              </w:rPr>
            </w:pPr>
            <w:r>
              <w:rPr>
                <w:rFonts w:ascii="宋体" w:hAnsi="宋体" w:eastAsia="宋体" w:cs="宋体"/>
                <w:spacing w:val="3"/>
                <w:sz w:val="21"/>
                <w:szCs w:val="21"/>
              </w:rPr>
              <w:t>根据医生问诊结论能够提供相应的处理方案。</w:t>
            </w:r>
          </w:p>
        </w:tc>
      </w:tr>
      <w:tr w14:paraId="1536C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042" w:type="dxa"/>
            <w:vMerge w:val="continue"/>
            <w:tcBorders>
              <w:top w:val="nil"/>
            </w:tcBorders>
            <w:vAlign w:val="top"/>
          </w:tcPr>
          <w:p w14:paraId="18B0AC15">
            <w:pPr>
              <w:rPr>
                <w:rFonts w:ascii="Arial"/>
                <w:sz w:val="21"/>
              </w:rPr>
            </w:pPr>
          </w:p>
        </w:tc>
        <w:tc>
          <w:tcPr>
            <w:tcW w:w="1560" w:type="dxa"/>
            <w:vAlign w:val="top"/>
          </w:tcPr>
          <w:p w14:paraId="06CF8049">
            <w:pPr>
              <w:spacing w:before="273" w:line="220" w:lineRule="auto"/>
              <w:ind w:left="353"/>
              <w:rPr>
                <w:rFonts w:ascii="宋体" w:hAnsi="宋体" w:eastAsia="宋体" w:cs="宋体"/>
                <w:sz w:val="21"/>
                <w:szCs w:val="21"/>
              </w:rPr>
            </w:pPr>
            <w:r>
              <w:rPr>
                <w:rFonts w:ascii="宋体" w:hAnsi="宋体" w:eastAsia="宋体" w:cs="宋体"/>
                <w:sz w:val="21"/>
                <w:szCs w:val="21"/>
              </w:rPr>
              <w:t>用户反馈</w:t>
            </w:r>
          </w:p>
        </w:tc>
        <w:tc>
          <w:tcPr>
            <w:tcW w:w="7736" w:type="dxa"/>
            <w:vAlign w:val="top"/>
          </w:tcPr>
          <w:p w14:paraId="59FAF19F">
            <w:pPr>
              <w:spacing w:before="86" w:line="285" w:lineRule="auto"/>
              <w:ind w:left="110" w:right="95"/>
              <w:rPr>
                <w:rFonts w:ascii="宋体" w:hAnsi="宋体" w:eastAsia="宋体" w:cs="宋体"/>
                <w:sz w:val="21"/>
                <w:szCs w:val="21"/>
              </w:rPr>
            </w:pPr>
            <w:r>
              <w:rPr>
                <w:rFonts w:ascii="宋体" w:hAnsi="宋体" w:eastAsia="宋体" w:cs="宋体"/>
                <w:spacing w:val="-1"/>
                <w:sz w:val="21"/>
                <w:szCs w:val="21"/>
              </w:rPr>
              <w:t>支持在医生工作站进行用户反馈，医生可按照提建议</w:t>
            </w:r>
            <w:r>
              <w:rPr>
                <w:rFonts w:ascii="宋体" w:hAnsi="宋体" w:eastAsia="宋体" w:cs="宋体"/>
                <w:spacing w:val="-2"/>
                <w:sz w:val="21"/>
                <w:szCs w:val="21"/>
              </w:rPr>
              <w:t>、提缺陷、我想要等不同情况</w:t>
            </w:r>
            <w:r>
              <w:rPr>
                <w:rFonts w:ascii="宋体" w:hAnsi="宋体" w:eastAsia="宋体" w:cs="宋体"/>
                <w:sz w:val="21"/>
                <w:szCs w:val="21"/>
              </w:rPr>
              <w:t xml:space="preserve"> </w:t>
            </w:r>
            <w:r>
              <w:rPr>
                <w:rFonts w:ascii="宋体" w:hAnsi="宋体" w:eastAsia="宋体" w:cs="宋体"/>
                <w:spacing w:val="-1"/>
                <w:sz w:val="21"/>
                <w:szCs w:val="21"/>
              </w:rPr>
              <w:t>提交用户反馈。支持文字描述和图片上传，支持默认自动截图当前提醒</w:t>
            </w:r>
            <w:r>
              <w:rPr>
                <w:rFonts w:ascii="宋体" w:hAnsi="宋体" w:eastAsia="宋体" w:cs="宋体"/>
                <w:spacing w:val="-2"/>
                <w:sz w:val="21"/>
                <w:szCs w:val="21"/>
              </w:rPr>
              <w:t>框并上传。</w:t>
            </w:r>
          </w:p>
        </w:tc>
      </w:tr>
      <w:tr w14:paraId="22140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trPr>
        <w:tc>
          <w:tcPr>
            <w:tcW w:w="1042" w:type="dxa"/>
            <w:vMerge w:val="restart"/>
            <w:tcBorders>
              <w:bottom w:val="nil"/>
            </w:tcBorders>
            <w:vAlign w:val="top"/>
          </w:tcPr>
          <w:p w14:paraId="7323225D">
            <w:pPr>
              <w:spacing w:line="276" w:lineRule="auto"/>
              <w:rPr>
                <w:rFonts w:ascii="Arial"/>
                <w:sz w:val="21"/>
              </w:rPr>
            </w:pPr>
          </w:p>
          <w:p w14:paraId="2BEC4FAB">
            <w:pPr>
              <w:spacing w:line="277" w:lineRule="auto"/>
              <w:rPr>
                <w:rFonts w:ascii="Arial"/>
                <w:sz w:val="21"/>
              </w:rPr>
            </w:pPr>
          </w:p>
          <w:p w14:paraId="6B063A8C">
            <w:pPr>
              <w:spacing w:before="78" w:line="446" w:lineRule="auto"/>
              <w:ind w:left="400" w:right="158" w:hanging="226"/>
              <w:rPr>
                <w:rFonts w:ascii="宋体" w:hAnsi="宋体" w:eastAsia="宋体" w:cs="宋体"/>
                <w:sz w:val="24"/>
                <w:szCs w:val="24"/>
              </w:rPr>
            </w:pPr>
            <w:r>
              <w:rPr>
                <w:rFonts w:ascii="宋体" w:hAnsi="宋体" w:eastAsia="宋体" w:cs="宋体"/>
                <w:spacing w:val="-7"/>
                <w:sz w:val="24"/>
                <w:szCs w:val="24"/>
              </w:rPr>
              <w:t>患者随</w:t>
            </w:r>
            <w:r>
              <w:rPr>
                <w:rFonts w:ascii="宋体" w:hAnsi="宋体" w:eastAsia="宋体" w:cs="宋体"/>
                <w:sz w:val="24"/>
                <w:szCs w:val="24"/>
              </w:rPr>
              <w:t xml:space="preserve"> 访</w:t>
            </w:r>
          </w:p>
        </w:tc>
        <w:tc>
          <w:tcPr>
            <w:tcW w:w="1560" w:type="dxa"/>
            <w:vAlign w:val="top"/>
          </w:tcPr>
          <w:p w14:paraId="20076BB5">
            <w:pPr>
              <w:spacing w:line="286" w:lineRule="auto"/>
              <w:rPr>
                <w:rFonts w:ascii="Arial"/>
                <w:sz w:val="21"/>
              </w:rPr>
            </w:pPr>
          </w:p>
          <w:p w14:paraId="269814A0">
            <w:pPr>
              <w:spacing w:line="287" w:lineRule="auto"/>
              <w:rPr>
                <w:rFonts w:ascii="Arial"/>
                <w:sz w:val="21"/>
              </w:rPr>
            </w:pPr>
          </w:p>
          <w:p w14:paraId="21A1E596">
            <w:pPr>
              <w:spacing w:before="69" w:line="220" w:lineRule="auto"/>
              <w:ind w:left="150"/>
              <w:rPr>
                <w:rFonts w:ascii="宋体" w:hAnsi="宋体" w:eastAsia="宋体" w:cs="宋体"/>
                <w:sz w:val="21"/>
                <w:szCs w:val="21"/>
              </w:rPr>
            </w:pPr>
            <w:r>
              <w:rPr>
                <w:rFonts w:ascii="宋体" w:hAnsi="宋体" w:eastAsia="宋体" w:cs="宋体"/>
                <w:spacing w:val="-2"/>
                <w:sz w:val="21"/>
                <w:szCs w:val="21"/>
              </w:rPr>
              <w:t>创建随访任务</w:t>
            </w:r>
          </w:p>
        </w:tc>
        <w:tc>
          <w:tcPr>
            <w:tcW w:w="7736" w:type="dxa"/>
            <w:vAlign w:val="top"/>
          </w:tcPr>
          <w:p w14:paraId="547D6991">
            <w:pPr>
              <w:spacing w:before="49" w:line="241" w:lineRule="auto"/>
              <w:ind w:left="109" w:right="114" w:firstLine="5"/>
              <w:rPr>
                <w:rFonts w:ascii="宋体" w:hAnsi="宋体" w:eastAsia="宋体" w:cs="宋体"/>
                <w:sz w:val="21"/>
                <w:szCs w:val="21"/>
              </w:rPr>
            </w:pPr>
            <w:r>
              <w:rPr>
                <w:rFonts w:ascii="宋体" w:hAnsi="宋体" w:eastAsia="宋体" w:cs="宋体"/>
                <w:spacing w:val="1"/>
                <w:sz w:val="21"/>
                <w:szCs w:val="21"/>
              </w:rPr>
              <w:t>（1）支持根据患者的主诊断，结合随访路径自动创建对应的随访计划，根据随访</w:t>
            </w:r>
            <w:r>
              <w:rPr>
                <w:rFonts w:ascii="宋体" w:hAnsi="宋体" w:eastAsia="宋体" w:cs="宋体"/>
                <w:spacing w:val="5"/>
                <w:sz w:val="21"/>
                <w:szCs w:val="21"/>
              </w:rPr>
              <w:t xml:space="preserve"> </w:t>
            </w:r>
            <w:r>
              <w:rPr>
                <w:rFonts w:ascii="宋体" w:hAnsi="宋体" w:eastAsia="宋体" w:cs="宋体"/>
                <w:spacing w:val="-3"/>
                <w:sz w:val="21"/>
                <w:szCs w:val="21"/>
              </w:rPr>
              <w:t>计划中的时间点自动执行随访任务。</w:t>
            </w:r>
          </w:p>
          <w:p w14:paraId="06084B38">
            <w:pPr>
              <w:spacing w:before="49"/>
              <w:ind w:left="111" w:right="112" w:firstLine="3"/>
              <w:rPr>
                <w:rFonts w:ascii="宋体" w:hAnsi="宋体" w:eastAsia="宋体" w:cs="宋体"/>
                <w:sz w:val="21"/>
                <w:szCs w:val="21"/>
              </w:rPr>
            </w:pPr>
            <w:r>
              <w:rPr>
                <w:rFonts w:ascii="宋体" w:hAnsi="宋体" w:eastAsia="宋体" w:cs="宋体"/>
                <w:spacing w:val="1"/>
                <w:sz w:val="21"/>
                <w:szCs w:val="21"/>
              </w:rPr>
              <w:t>（2）支持设置随访任务的任务节点、执行路径、执行时间、重拔设置、是否发送</w:t>
            </w:r>
            <w:r>
              <w:rPr>
                <w:rFonts w:ascii="宋体" w:hAnsi="宋体" w:eastAsia="宋体" w:cs="宋体"/>
                <w:spacing w:val="6"/>
                <w:sz w:val="21"/>
                <w:szCs w:val="21"/>
              </w:rPr>
              <w:t xml:space="preserve"> </w:t>
            </w:r>
            <w:r>
              <w:rPr>
                <w:rFonts w:ascii="宋体" w:hAnsi="宋体" w:eastAsia="宋体" w:cs="宋体"/>
                <w:spacing w:val="-4"/>
                <w:sz w:val="21"/>
                <w:szCs w:val="21"/>
              </w:rPr>
              <w:t>短信、短信模板选择等。</w:t>
            </w:r>
          </w:p>
          <w:p w14:paraId="1C620CC7">
            <w:pPr>
              <w:spacing w:before="49" w:line="208" w:lineRule="auto"/>
              <w:ind w:left="114"/>
              <w:rPr>
                <w:rFonts w:ascii="宋体" w:hAnsi="宋体" w:eastAsia="宋体" w:cs="宋体"/>
                <w:sz w:val="21"/>
                <w:szCs w:val="21"/>
              </w:rPr>
            </w:pPr>
            <w:r>
              <w:rPr>
                <w:rFonts w:ascii="宋体" w:hAnsi="宋体" w:eastAsia="宋体" w:cs="宋体"/>
                <w:spacing w:val="-2"/>
                <w:sz w:val="21"/>
                <w:szCs w:val="21"/>
              </w:rPr>
              <w:t>（3）支持将配置好的随访任务保存在随访方案列表中。</w:t>
            </w:r>
          </w:p>
        </w:tc>
      </w:tr>
      <w:tr w14:paraId="2B252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042" w:type="dxa"/>
            <w:vMerge w:val="continue"/>
            <w:tcBorders>
              <w:top w:val="nil"/>
            </w:tcBorders>
            <w:vAlign w:val="top"/>
          </w:tcPr>
          <w:p w14:paraId="0AFC53F3">
            <w:pPr>
              <w:rPr>
                <w:rFonts w:ascii="Arial"/>
                <w:sz w:val="21"/>
              </w:rPr>
            </w:pPr>
          </w:p>
        </w:tc>
        <w:tc>
          <w:tcPr>
            <w:tcW w:w="1560" w:type="dxa"/>
            <w:vAlign w:val="top"/>
          </w:tcPr>
          <w:p w14:paraId="09BD67AD">
            <w:pPr>
              <w:spacing w:before="51" w:line="237" w:lineRule="auto"/>
              <w:ind w:left="571" w:right="147" w:hanging="420"/>
              <w:rPr>
                <w:rFonts w:ascii="宋体" w:hAnsi="宋体" w:eastAsia="宋体" w:cs="宋体"/>
                <w:sz w:val="21"/>
                <w:szCs w:val="21"/>
              </w:rPr>
            </w:pPr>
            <w:r>
              <w:rPr>
                <w:rFonts w:ascii="宋体" w:hAnsi="宋体" w:eastAsia="宋体" w:cs="宋体"/>
                <w:spacing w:val="-2"/>
                <w:sz w:val="21"/>
                <w:szCs w:val="21"/>
              </w:rPr>
              <w:t>专病随访路径</w:t>
            </w:r>
            <w:r>
              <w:rPr>
                <w:rFonts w:ascii="宋体" w:hAnsi="宋体" w:eastAsia="宋体" w:cs="宋体"/>
                <w:spacing w:val="1"/>
                <w:sz w:val="21"/>
                <w:szCs w:val="21"/>
              </w:rPr>
              <w:t xml:space="preserve"> </w:t>
            </w:r>
            <w:r>
              <w:rPr>
                <w:rFonts w:ascii="宋体" w:hAnsi="宋体" w:eastAsia="宋体" w:cs="宋体"/>
                <w:spacing w:val="-3"/>
                <w:sz w:val="21"/>
                <w:szCs w:val="21"/>
              </w:rPr>
              <w:t>新增</w:t>
            </w:r>
          </w:p>
        </w:tc>
        <w:tc>
          <w:tcPr>
            <w:tcW w:w="7736" w:type="dxa"/>
            <w:vAlign w:val="top"/>
          </w:tcPr>
          <w:p w14:paraId="1206BA59">
            <w:pPr>
              <w:spacing w:before="50" w:line="220" w:lineRule="auto"/>
              <w:ind w:left="114"/>
              <w:rPr>
                <w:rFonts w:ascii="宋体" w:hAnsi="宋体" w:eastAsia="宋体" w:cs="宋体"/>
                <w:sz w:val="21"/>
                <w:szCs w:val="21"/>
              </w:rPr>
            </w:pPr>
            <w:r>
              <w:rPr>
                <w:rFonts w:ascii="宋体" w:hAnsi="宋体" w:eastAsia="宋体" w:cs="宋体"/>
                <w:spacing w:val="-3"/>
                <w:sz w:val="21"/>
                <w:szCs w:val="21"/>
              </w:rPr>
              <w:t>（1）支持以主诊断为条件的新增管理路径。</w:t>
            </w:r>
          </w:p>
          <w:p w14:paraId="47058701">
            <w:pPr>
              <w:spacing w:before="47" w:line="213" w:lineRule="auto"/>
              <w:ind w:left="114"/>
              <w:rPr>
                <w:rFonts w:ascii="宋体" w:hAnsi="宋体" w:eastAsia="宋体" w:cs="宋体"/>
                <w:sz w:val="21"/>
                <w:szCs w:val="21"/>
              </w:rPr>
            </w:pPr>
            <w:r>
              <w:rPr>
                <w:rFonts w:ascii="宋体" w:hAnsi="宋体" w:eastAsia="宋体" w:cs="宋体"/>
                <w:spacing w:val="-2"/>
                <w:sz w:val="21"/>
                <w:szCs w:val="21"/>
              </w:rPr>
              <w:t>（2）支持设置路径名称、路径版本号、对应病种名称。</w:t>
            </w:r>
          </w:p>
        </w:tc>
      </w:tr>
    </w:tbl>
    <w:p w14:paraId="3ABC323E">
      <w:pPr>
        <w:pStyle w:val="2"/>
        <w:spacing w:line="266" w:lineRule="auto"/>
      </w:pPr>
    </w:p>
    <w:p w14:paraId="33F1D2EA">
      <w:pPr>
        <w:spacing w:before="62" w:line="209" w:lineRule="auto"/>
        <w:ind w:left="222"/>
        <w:rPr>
          <w:rFonts w:ascii="宋体" w:hAnsi="宋体" w:eastAsia="宋体" w:cs="宋体"/>
          <w:sz w:val="19"/>
          <w:szCs w:val="19"/>
        </w:rPr>
      </w:pPr>
      <w:r>
        <w:pict>
          <v:shape id="_x0000_s1038" o:spid="_x0000_s1038" style="position:absolute;left:0pt;margin-left:5.65pt;margin-top:11.85pt;height:0.75pt;width:494pt;z-index:251682816;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3"/>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3"/>
          <w:position w:val="1"/>
          <w:sz w:val="18"/>
          <w:szCs w:val="18"/>
        </w:rPr>
        <w:t xml:space="preserve">18                               </w:t>
      </w:r>
      <w:r>
        <w:rPr>
          <w:rFonts w:ascii="宋体" w:hAnsi="宋体" w:eastAsia="宋体" w:cs="宋体"/>
          <w:b/>
          <w:bCs/>
          <w:i/>
          <w:iCs/>
          <w:spacing w:val="-3"/>
          <w:sz w:val="19"/>
          <w:szCs w:val="19"/>
        </w:rPr>
        <w:t>伊犁州公共资源交易中心</w:t>
      </w:r>
    </w:p>
    <w:p w14:paraId="19449366">
      <w:pPr>
        <w:spacing w:line="209" w:lineRule="auto"/>
        <w:rPr>
          <w:rFonts w:ascii="宋体" w:hAnsi="宋体" w:eastAsia="宋体" w:cs="宋体"/>
          <w:sz w:val="19"/>
          <w:szCs w:val="19"/>
        </w:rPr>
        <w:sectPr>
          <w:pgSz w:w="11905" w:h="16839"/>
          <w:pgMar w:top="1136" w:right="503" w:bottom="400" w:left="1052" w:header="854" w:footer="0" w:gutter="0"/>
          <w:cols w:space="720" w:num="1"/>
        </w:sectPr>
      </w:pPr>
    </w:p>
    <w:p w14:paraId="338E4507">
      <w:pPr>
        <w:spacing w:before="38"/>
      </w:pPr>
    </w:p>
    <w:tbl>
      <w:tblPr>
        <w:tblStyle w:val="5"/>
        <w:tblW w:w="103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560"/>
        <w:gridCol w:w="7736"/>
      </w:tblGrid>
      <w:tr w14:paraId="40022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1042" w:type="dxa"/>
            <w:vMerge w:val="restart"/>
            <w:tcBorders>
              <w:bottom w:val="nil"/>
            </w:tcBorders>
            <w:vAlign w:val="top"/>
          </w:tcPr>
          <w:p w14:paraId="4CEE8978">
            <w:pPr>
              <w:rPr>
                <w:rFonts w:ascii="Arial"/>
                <w:sz w:val="21"/>
              </w:rPr>
            </w:pPr>
          </w:p>
        </w:tc>
        <w:tc>
          <w:tcPr>
            <w:tcW w:w="1560" w:type="dxa"/>
            <w:vAlign w:val="top"/>
          </w:tcPr>
          <w:p w14:paraId="0A6E56EB">
            <w:pPr>
              <w:rPr>
                <w:rFonts w:ascii="Arial"/>
                <w:sz w:val="21"/>
              </w:rPr>
            </w:pPr>
          </w:p>
        </w:tc>
        <w:tc>
          <w:tcPr>
            <w:tcW w:w="7736" w:type="dxa"/>
            <w:vAlign w:val="top"/>
          </w:tcPr>
          <w:p w14:paraId="697CD53C">
            <w:pPr>
              <w:spacing w:before="45" w:line="220" w:lineRule="auto"/>
              <w:ind w:left="114"/>
              <w:rPr>
                <w:rFonts w:ascii="宋体" w:hAnsi="宋体" w:eastAsia="宋体" w:cs="宋体"/>
                <w:sz w:val="21"/>
                <w:szCs w:val="21"/>
              </w:rPr>
            </w:pPr>
            <w:r>
              <w:rPr>
                <w:rFonts w:ascii="宋体" w:hAnsi="宋体" w:eastAsia="宋体" w:cs="宋体"/>
                <w:spacing w:val="-2"/>
                <w:sz w:val="21"/>
                <w:szCs w:val="21"/>
              </w:rPr>
              <w:t>（3）支持设置管理路径适用范围，包括门诊、出院等。</w:t>
            </w:r>
          </w:p>
          <w:p w14:paraId="59F9EEFC">
            <w:pPr>
              <w:spacing w:before="47" w:line="220" w:lineRule="auto"/>
              <w:ind w:left="114"/>
              <w:rPr>
                <w:rFonts w:ascii="宋体" w:hAnsi="宋体" w:eastAsia="宋体" w:cs="宋体"/>
                <w:sz w:val="21"/>
                <w:szCs w:val="21"/>
              </w:rPr>
            </w:pPr>
            <w:r>
              <w:rPr>
                <w:rFonts w:ascii="宋体" w:hAnsi="宋体" w:eastAsia="宋体" w:cs="宋体"/>
                <w:spacing w:val="-2"/>
                <w:sz w:val="21"/>
                <w:szCs w:val="21"/>
              </w:rPr>
              <w:t>（4）支持设置各节点任务的执行时间、执行内容、执行方式等。</w:t>
            </w:r>
          </w:p>
          <w:p w14:paraId="4C78F99C">
            <w:pPr>
              <w:spacing w:before="47" w:line="220" w:lineRule="auto"/>
              <w:ind w:left="114"/>
              <w:rPr>
                <w:rFonts w:ascii="宋体" w:hAnsi="宋体" w:eastAsia="宋体" w:cs="宋体"/>
                <w:sz w:val="21"/>
                <w:szCs w:val="21"/>
              </w:rPr>
            </w:pPr>
            <w:r>
              <w:rPr>
                <w:rFonts w:ascii="宋体" w:hAnsi="宋体" w:eastAsia="宋体" w:cs="宋体"/>
                <w:spacing w:val="-2"/>
                <w:sz w:val="21"/>
                <w:szCs w:val="21"/>
              </w:rPr>
              <w:t>（5）支持电话随访、短信提醒等方式执行随访任务。</w:t>
            </w:r>
          </w:p>
          <w:p w14:paraId="6D12A7EA">
            <w:pPr>
              <w:spacing w:before="47" w:line="217" w:lineRule="auto"/>
              <w:ind w:left="114"/>
              <w:rPr>
                <w:rFonts w:ascii="宋体" w:hAnsi="宋体" w:eastAsia="宋体" w:cs="宋体"/>
                <w:sz w:val="21"/>
                <w:szCs w:val="21"/>
              </w:rPr>
            </w:pPr>
            <w:r>
              <w:rPr>
                <w:rFonts w:ascii="宋体" w:hAnsi="宋体" w:eastAsia="宋体" w:cs="宋体"/>
                <w:spacing w:val="-1"/>
                <w:sz w:val="21"/>
                <w:szCs w:val="21"/>
              </w:rPr>
              <w:t>（6）支持对执行方式的模板预览，如短信模板、电话话</w:t>
            </w:r>
            <w:r>
              <w:rPr>
                <w:rFonts w:ascii="宋体" w:hAnsi="宋体" w:eastAsia="宋体" w:cs="宋体"/>
                <w:spacing w:val="-2"/>
                <w:sz w:val="21"/>
                <w:szCs w:val="21"/>
              </w:rPr>
              <w:t>术模板、问卷模板等。</w:t>
            </w:r>
          </w:p>
        </w:tc>
      </w:tr>
      <w:tr w14:paraId="2725B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042" w:type="dxa"/>
            <w:vMerge w:val="continue"/>
            <w:tcBorders>
              <w:top w:val="nil"/>
              <w:bottom w:val="nil"/>
            </w:tcBorders>
            <w:vAlign w:val="top"/>
          </w:tcPr>
          <w:p w14:paraId="517635C8">
            <w:pPr>
              <w:rPr>
                <w:rFonts w:ascii="Arial"/>
                <w:sz w:val="21"/>
              </w:rPr>
            </w:pPr>
          </w:p>
        </w:tc>
        <w:tc>
          <w:tcPr>
            <w:tcW w:w="1560" w:type="dxa"/>
            <w:vAlign w:val="top"/>
          </w:tcPr>
          <w:p w14:paraId="57355535">
            <w:pPr>
              <w:spacing w:before="42" w:line="239" w:lineRule="auto"/>
              <w:ind w:left="256" w:right="147" w:hanging="88"/>
              <w:rPr>
                <w:rFonts w:ascii="宋体" w:hAnsi="宋体" w:eastAsia="宋体" w:cs="宋体"/>
                <w:sz w:val="21"/>
                <w:szCs w:val="21"/>
              </w:rPr>
            </w:pPr>
            <w:r>
              <w:rPr>
                <w:rFonts w:ascii="宋体" w:hAnsi="宋体" w:eastAsia="宋体" w:cs="宋体"/>
                <w:spacing w:val="-5"/>
                <w:sz w:val="21"/>
                <w:szCs w:val="21"/>
              </w:rPr>
              <w:t>出院随访任务</w:t>
            </w:r>
            <w:r>
              <w:rPr>
                <w:rFonts w:ascii="宋体" w:hAnsi="宋体" w:eastAsia="宋体" w:cs="宋体"/>
                <w:spacing w:val="2"/>
                <w:sz w:val="21"/>
                <w:szCs w:val="21"/>
              </w:rPr>
              <w:t xml:space="preserve"> </w:t>
            </w:r>
            <w:r>
              <w:rPr>
                <w:rFonts w:ascii="宋体" w:hAnsi="宋体" w:eastAsia="宋体" w:cs="宋体"/>
                <w:spacing w:val="-2"/>
                <w:sz w:val="21"/>
                <w:szCs w:val="21"/>
              </w:rPr>
              <w:t>成功率统计</w:t>
            </w:r>
          </w:p>
        </w:tc>
        <w:tc>
          <w:tcPr>
            <w:tcW w:w="7736" w:type="dxa"/>
            <w:vAlign w:val="top"/>
          </w:tcPr>
          <w:p w14:paraId="5E4FF2B6">
            <w:pPr>
              <w:spacing w:before="41" w:line="220" w:lineRule="auto"/>
              <w:ind w:left="110"/>
              <w:rPr>
                <w:rFonts w:ascii="宋体" w:hAnsi="宋体" w:eastAsia="宋体" w:cs="宋体"/>
                <w:sz w:val="21"/>
                <w:szCs w:val="21"/>
              </w:rPr>
            </w:pPr>
            <w:r>
              <w:rPr>
                <w:rFonts w:ascii="宋体" w:hAnsi="宋体" w:eastAsia="宋体" w:cs="宋体"/>
                <w:spacing w:val="-2"/>
                <w:sz w:val="21"/>
                <w:szCs w:val="21"/>
              </w:rPr>
              <w:t>支持出院随访成功率统计支持按月和按季度查看数据。</w:t>
            </w:r>
          </w:p>
          <w:p w14:paraId="38DB9F57">
            <w:pPr>
              <w:spacing w:before="47" w:line="217" w:lineRule="auto"/>
              <w:ind w:left="110"/>
              <w:rPr>
                <w:rFonts w:ascii="宋体" w:hAnsi="宋体" w:eastAsia="宋体" w:cs="宋体"/>
                <w:sz w:val="21"/>
                <w:szCs w:val="21"/>
              </w:rPr>
            </w:pPr>
            <w:r>
              <w:rPr>
                <w:rFonts w:ascii="宋体" w:hAnsi="宋体" w:eastAsia="宋体" w:cs="宋体"/>
                <w:spacing w:val="-2"/>
                <w:sz w:val="21"/>
                <w:szCs w:val="21"/>
              </w:rPr>
              <w:t>支持展示以下三个维度：数据总览、各个指标趋势、数据列表。</w:t>
            </w:r>
          </w:p>
        </w:tc>
      </w:tr>
      <w:tr w14:paraId="16313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042" w:type="dxa"/>
            <w:vMerge w:val="continue"/>
            <w:tcBorders>
              <w:top w:val="nil"/>
              <w:bottom w:val="nil"/>
            </w:tcBorders>
            <w:vAlign w:val="top"/>
          </w:tcPr>
          <w:p w14:paraId="6C4DB173">
            <w:pPr>
              <w:rPr>
                <w:rFonts w:ascii="Arial"/>
                <w:sz w:val="21"/>
              </w:rPr>
            </w:pPr>
          </w:p>
        </w:tc>
        <w:tc>
          <w:tcPr>
            <w:tcW w:w="1560" w:type="dxa"/>
            <w:vAlign w:val="top"/>
          </w:tcPr>
          <w:p w14:paraId="57362FAC">
            <w:pPr>
              <w:spacing w:before="190" w:line="219" w:lineRule="auto"/>
              <w:ind w:left="160"/>
              <w:rPr>
                <w:rFonts w:ascii="宋体" w:hAnsi="宋体" w:eastAsia="宋体" w:cs="宋体"/>
                <w:sz w:val="21"/>
                <w:szCs w:val="21"/>
              </w:rPr>
            </w:pPr>
            <w:r>
              <w:rPr>
                <w:rFonts w:ascii="宋体" w:hAnsi="宋体" w:eastAsia="宋体" w:cs="宋体"/>
                <w:spacing w:val="-3"/>
                <w:sz w:val="21"/>
                <w:szCs w:val="21"/>
              </w:rPr>
              <w:t>多轮会话管理</w:t>
            </w:r>
          </w:p>
        </w:tc>
        <w:tc>
          <w:tcPr>
            <w:tcW w:w="7736" w:type="dxa"/>
            <w:vAlign w:val="top"/>
          </w:tcPr>
          <w:p w14:paraId="7B9F4DDF">
            <w:pPr>
              <w:spacing w:before="42" w:line="239" w:lineRule="auto"/>
              <w:ind w:left="143" w:hanging="33"/>
              <w:rPr>
                <w:rFonts w:ascii="宋体" w:hAnsi="宋体" w:eastAsia="宋体" w:cs="宋体"/>
                <w:sz w:val="21"/>
                <w:szCs w:val="21"/>
              </w:rPr>
            </w:pPr>
            <w:r>
              <w:rPr>
                <w:rFonts w:ascii="宋体" w:hAnsi="宋体" w:eastAsia="宋体" w:cs="宋体"/>
                <w:spacing w:val="-4"/>
                <w:sz w:val="21"/>
                <w:szCs w:val="21"/>
              </w:rPr>
              <w:t>支持在出院患者随访人机交互过程中，AI机器人结合话术设计及患者前后回</w:t>
            </w:r>
            <w:r>
              <w:rPr>
                <w:rFonts w:ascii="宋体" w:hAnsi="宋体" w:eastAsia="宋体" w:cs="宋体"/>
                <w:spacing w:val="-5"/>
                <w:sz w:val="21"/>
                <w:szCs w:val="21"/>
              </w:rPr>
              <w:t>答内容，</w:t>
            </w:r>
            <w:r>
              <w:rPr>
                <w:rFonts w:ascii="宋体" w:hAnsi="宋体" w:eastAsia="宋体" w:cs="宋体"/>
                <w:sz w:val="21"/>
                <w:szCs w:val="21"/>
              </w:rPr>
              <w:t xml:space="preserve"> </w:t>
            </w:r>
            <w:r>
              <w:rPr>
                <w:rFonts w:ascii="宋体" w:hAnsi="宋体" w:eastAsia="宋体" w:cs="宋体"/>
                <w:spacing w:val="-3"/>
                <w:sz w:val="21"/>
                <w:szCs w:val="21"/>
              </w:rPr>
              <w:t>自动控制交互流程，实现多个问题多轮互动，交</w:t>
            </w:r>
            <w:r>
              <w:rPr>
                <w:rFonts w:ascii="宋体" w:hAnsi="宋体" w:eastAsia="宋体" w:cs="宋体"/>
                <w:spacing w:val="-4"/>
                <w:sz w:val="21"/>
                <w:szCs w:val="21"/>
              </w:rPr>
              <w:t>互正确率达到</w:t>
            </w:r>
            <w:r>
              <w:rPr>
                <w:rFonts w:ascii="宋体" w:hAnsi="宋体" w:eastAsia="宋体" w:cs="宋体"/>
                <w:spacing w:val="-44"/>
                <w:sz w:val="21"/>
                <w:szCs w:val="21"/>
              </w:rPr>
              <w:t xml:space="preserve"> </w:t>
            </w:r>
            <w:r>
              <w:rPr>
                <w:rFonts w:ascii="宋体" w:hAnsi="宋体" w:eastAsia="宋体" w:cs="宋体"/>
                <w:spacing w:val="-4"/>
                <w:sz w:val="21"/>
                <w:szCs w:val="21"/>
              </w:rPr>
              <w:t>96%及以上。</w:t>
            </w:r>
          </w:p>
        </w:tc>
      </w:tr>
      <w:tr w14:paraId="36270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042" w:type="dxa"/>
            <w:vMerge w:val="continue"/>
            <w:tcBorders>
              <w:top w:val="nil"/>
              <w:bottom w:val="nil"/>
            </w:tcBorders>
            <w:vAlign w:val="top"/>
          </w:tcPr>
          <w:p w14:paraId="79211491">
            <w:pPr>
              <w:rPr>
                <w:rFonts w:ascii="Arial"/>
                <w:sz w:val="21"/>
              </w:rPr>
            </w:pPr>
          </w:p>
        </w:tc>
        <w:tc>
          <w:tcPr>
            <w:tcW w:w="1560" w:type="dxa"/>
            <w:vAlign w:val="top"/>
          </w:tcPr>
          <w:p w14:paraId="5C12428F">
            <w:pPr>
              <w:spacing w:before="42" w:line="239" w:lineRule="auto"/>
              <w:ind w:left="676" w:right="147" w:hanging="526"/>
              <w:rPr>
                <w:rFonts w:ascii="宋体" w:hAnsi="宋体" w:eastAsia="宋体" w:cs="宋体"/>
                <w:sz w:val="21"/>
                <w:szCs w:val="21"/>
              </w:rPr>
            </w:pPr>
            <w:r>
              <w:rPr>
                <w:rFonts w:ascii="宋体" w:hAnsi="宋体" w:eastAsia="宋体" w:cs="宋体"/>
                <w:spacing w:val="-2"/>
                <w:sz w:val="21"/>
                <w:szCs w:val="21"/>
              </w:rPr>
              <w:t>语音识别准确</w:t>
            </w:r>
            <w:r>
              <w:rPr>
                <w:rFonts w:ascii="宋体" w:hAnsi="宋体" w:eastAsia="宋体" w:cs="宋体"/>
                <w:spacing w:val="2"/>
                <w:sz w:val="21"/>
                <w:szCs w:val="21"/>
              </w:rPr>
              <w:t xml:space="preserve"> </w:t>
            </w:r>
            <w:r>
              <w:rPr>
                <w:rFonts w:ascii="宋体" w:hAnsi="宋体" w:eastAsia="宋体" w:cs="宋体"/>
                <w:sz w:val="21"/>
                <w:szCs w:val="21"/>
              </w:rPr>
              <w:t>率</w:t>
            </w:r>
          </w:p>
        </w:tc>
        <w:tc>
          <w:tcPr>
            <w:tcW w:w="7736" w:type="dxa"/>
            <w:vAlign w:val="top"/>
          </w:tcPr>
          <w:p w14:paraId="428A64CE">
            <w:pPr>
              <w:spacing w:before="190" w:line="220" w:lineRule="auto"/>
              <w:ind w:left="110"/>
              <w:rPr>
                <w:rFonts w:ascii="宋体" w:hAnsi="宋体" w:eastAsia="宋体" w:cs="宋体"/>
                <w:sz w:val="21"/>
                <w:szCs w:val="21"/>
              </w:rPr>
            </w:pPr>
            <w:r>
              <w:rPr>
                <w:rFonts w:ascii="宋体" w:hAnsi="宋体" w:eastAsia="宋体" w:cs="宋体"/>
                <w:spacing w:val="-2"/>
                <w:sz w:val="21"/>
                <w:szCs w:val="21"/>
              </w:rPr>
              <w:t>支持医疗场景下的语音识别准确率达到</w:t>
            </w:r>
            <w:r>
              <w:rPr>
                <w:rFonts w:ascii="宋体" w:hAnsi="宋体" w:eastAsia="宋体" w:cs="宋体"/>
                <w:spacing w:val="-38"/>
                <w:sz w:val="21"/>
                <w:szCs w:val="21"/>
              </w:rPr>
              <w:t xml:space="preserve"> </w:t>
            </w:r>
            <w:r>
              <w:rPr>
                <w:rFonts w:ascii="宋体" w:hAnsi="宋体" w:eastAsia="宋体" w:cs="宋体"/>
                <w:spacing w:val="-2"/>
                <w:sz w:val="21"/>
                <w:szCs w:val="21"/>
              </w:rPr>
              <w:t>94%及以上。</w:t>
            </w:r>
          </w:p>
        </w:tc>
      </w:tr>
      <w:tr w14:paraId="4709F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042" w:type="dxa"/>
            <w:vMerge w:val="continue"/>
            <w:tcBorders>
              <w:top w:val="nil"/>
            </w:tcBorders>
            <w:vAlign w:val="top"/>
          </w:tcPr>
          <w:p w14:paraId="7A88BF3E">
            <w:pPr>
              <w:rPr>
                <w:rFonts w:ascii="Arial"/>
                <w:sz w:val="21"/>
              </w:rPr>
            </w:pPr>
          </w:p>
        </w:tc>
        <w:tc>
          <w:tcPr>
            <w:tcW w:w="1560" w:type="dxa"/>
            <w:vAlign w:val="top"/>
          </w:tcPr>
          <w:p w14:paraId="291EABA1">
            <w:pPr>
              <w:spacing w:before="190" w:line="220" w:lineRule="auto"/>
              <w:ind w:left="360"/>
              <w:rPr>
                <w:rFonts w:ascii="宋体" w:hAnsi="宋体" w:eastAsia="宋体" w:cs="宋体"/>
                <w:sz w:val="21"/>
                <w:szCs w:val="21"/>
              </w:rPr>
            </w:pPr>
            <w:r>
              <w:rPr>
                <w:rFonts w:ascii="宋体" w:hAnsi="宋体" w:eastAsia="宋体" w:cs="宋体"/>
                <w:spacing w:val="-2"/>
                <w:sz w:val="21"/>
                <w:szCs w:val="21"/>
              </w:rPr>
              <w:t>语义分析</w:t>
            </w:r>
          </w:p>
        </w:tc>
        <w:tc>
          <w:tcPr>
            <w:tcW w:w="7736" w:type="dxa"/>
            <w:vAlign w:val="top"/>
          </w:tcPr>
          <w:p w14:paraId="217F4EF9">
            <w:pPr>
              <w:spacing w:before="42" w:line="239" w:lineRule="auto"/>
              <w:ind w:left="114" w:right="103" w:hanging="4"/>
              <w:rPr>
                <w:rFonts w:ascii="宋体" w:hAnsi="宋体" w:eastAsia="宋体" w:cs="宋体"/>
                <w:sz w:val="21"/>
                <w:szCs w:val="21"/>
              </w:rPr>
            </w:pPr>
            <w:r>
              <w:rPr>
                <w:rFonts w:ascii="宋体" w:hAnsi="宋体" w:eastAsia="宋体" w:cs="宋体"/>
                <w:spacing w:val="-1"/>
                <w:sz w:val="21"/>
                <w:szCs w:val="21"/>
              </w:rPr>
              <w:t>支持人机交互场景下，使用语义理解引擎了解患者说</w:t>
            </w:r>
            <w:r>
              <w:rPr>
                <w:rFonts w:ascii="宋体" w:hAnsi="宋体" w:eastAsia="宋体" w:cs="宋体"/>
                <w:spacing w:val="-2"/>
                <w:sz w:val="21"/>
                <w:szCs w:val="21"/>
              </w:rPr>
              <w:t>话意图，语义理解的正确率达</w:t>
            </w:r>
            <w:r>
              <w:rPr>
                <w:rFonts w:ascii="宋体" w:hAnsi="宋体" w:eastAsia="宋体" w:cs="宋体"/>
                <w:sz w:val="21"/>
                <w:szCs w:val="21"/>
              </w:rPr>
              <w:t xml:space="preserve"> </w:t>
            </w:r>
            <w:r>
              <w:rPr>
                <w:rFonts w:ascii="宋体" w:hAnsi="宋体" w:eastAsia="宋体" w:cs="宋体"/>
                <w:spacing w:val="-6"/>
                <w:sz w:val="21"/>
                <w:szCs w:val="21"/>
              </w:rPr>
              <w:t>到</w:t>
            </w:r>
            <w:r>
              <w:rPr>
                <w:rFonts w:ascii="宋体" w:hAnsi="宋体" w:eastAsia="宋体" w:cs="宋体"/>
                <w:spacing w:val="-43"/>
                <w:sz w:val="21"/>
                <w:szCs w:val="21"/>
              </w:rPr>
              <w:t xml:space="preserve"> </w:t>
            </w:r>
            <w:r>
              <w:rPr>
                <w:rFonts w:ascii="宋体" w:hAnsi="宋体" w:eastAsia="宋体" w:cs="宋体"/>
                <w:spacing w:val="-6"/>
                <w:sz w:val="21"/>
                <w:szCs w:val="21"/>
              </w:rPr>
              <w:t>95%及以上。</w:t>
            </w:r>
          </w:p>
        </w:tc>
      </w:tr>
      <w:tr w14:paraId="30BE5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restart"/>
            <w:tcBorders>
              <w:bottom w:val="nil"/>
            </w:tcBorders>
            <w:vAlign w:val="top"/>
          </w:tcPr>
          <w:p w14:paraId="4E0C12D1">
            <w:pPr>
              <w:spacing w:line="244" w:lineRule="auto"/>
              <w:rPr>
                <w:rFonts w:ascii="Arial"/>
                <w:sz w:val="21"/>
              </w:rPr>
            </w:pPr>
          </w:p>
          <w:p w14:paraId="392605C1">
            <w:pPr>
              <w:spacing w:line="244" w:lineRule="auto"/>
              <w:rPr>
                <w:rFonts w:ascii="Arial"/>
                <w:sz w:val="21"/>
              </w:rPr>
            </w:pPr>
          </w:p>
          <w:p w14:paraId="160E27AF">
            <w:pPr>
              <w:spacing w:line="244" w:lineRule="auto"/>
              <w:rPr>
                <w:rFonts w:ascii="Arial"/>
                <w:sz w:val="21"/>
              </w:rPr>
            </w:pPr>
          </w:p>
          <w:p w14:paraId="23A91E1A">
            <w:pPr>
              <w:spacing w:line="244" w:lineRule="auto"/>
              <w:rPr>
                <w:rFonts w:ascii="Arial"/>
                <w:sz w:val="21"/>
              </w:rPr>
            </w:pPr>
          </w:p>
          <w:p w14:paraId="5782A9AE">
            <w:pPr>
              <w:spacing w:line="244" w:lineRule="auto"/>
              <w:rPr>
                <w:rFonts w:ascii="Arial"/>
                <w:sz w:val="21"/>
              </w:rPr>
            </w:pPr>
          </w:p>
          <w:p w14:paraId="2712E539">
            <w:pPr>
              <w:spacing w:line="244" w:lineRule="auto"/>
              <w:rPr>
                <w:rFonts w:ascii="Arial"/>
                <w:sz w:val="21"/>
              </w:rPr>
            </w:pPr>
          </w:p>
          <w:p w14:paraId="2BA85EBA">
            <w:pPr>
              <w:spacing w:line="244" w:lineRule="auto"/>
              <w:rPr>
                <w:rFonts w:ascii="Arial"/>
                <w:sz w:val="21"/>
              </w:rPr>
            </w:pPr>
          </w:p>
          <w:p w14:paraId="0B98AC4E">
            <w:pPr>
              <w:spacing w:line="244" w:lineRule="auto"/>
              <w:rPr>
                <w:rFonts w:ascii="Arial"/>
                <w:sz w:val="21"/>
              </w:rPr>
            </w:pPr>
          </w:p>
          <w:p w14:paraId="5AB94861">
            <w:pPr>
              <w:spacing w:line="244" w:lineRule="auto"/>
              <w:rPr>
                <w:rFonts w:ascii="Arial"/>
                <w:sz w:val="21"/>
              </w:rPr>
            </w:pPr>
          </w:p>
          <w:p w14:paraId="1E483162">
            <w:pPr>
              <w:spacing w:line="244" w:lineRule="auto"/>
              <w:rPr>
                <w:rFonts w:ascii="Arial"/>
                <w:sz w:val="21"/>
              </w:rPr>
            </w:pPr>
          </w:p>
          <w:p w14:paraId="4B999E50">
            <w:pPr>
              <w:spacing w:line="244" w:lineRule="auto"/>
              <w:rPr>
                <w:rFonts w:ascii="Arial"/>
                <w:sz w:val="21"/>
              </w:rPr>
            </w:pPr>
          </w:p>
          <w:p w14:paraId="07CF0853">
            <w:pPr>
              <w:spacing w:line="244" w:lineRule="auto"/>
              <w:rPr>
                <w:rFonts w:ascii="Arial"/>
                <w:sz w:val="21"/>
              </w:rPr>
            </w:pPr>
          </w:p>
          <w:p w14:paraId="0B77354D">
            <w:pPr>
              <w:spacing w:line="245" w:lineRule="auto"/>
              <w:rPr>
                <w:rFonts w:ascii="Arial"/>
                <w:sz w:val="21"/>
              </w:rPr>
            </w:pPr>
          </w:p>
          <w:p w14:paraId="4EA7D7D6">
            <w:pPr>
              <w:spacing w:line="245" w:lineRule="auto"/>
              <w:rPr>
                <w:rFonts w:ascii="Arial"/>
                <w:sz w:val="21"/>
              </w:rPr>
            </w:pPr>
          </w:p>
          <w:p w14:paraId="5B4ECF6F">
            <w:pPr>
              <w:spacing w:line="245" w:lineRule="auto"/>
              <w:rPr>
                <w:rFonts w:ascii="Arial"/>
                <w:sz w:val="21"/>
              </w:rPr>
            </w:pPr>
          </w:p>
          <w:p w14:paraId="1B2020FE">
            <w:pPr>
              <w:spacing w:line="245" w:lineRule="auto"/>
              <w:rPr>
                <w:rFonts w:ascii="Arial"/>
                <w:sz w:val="21"/>
              </w:rPr>
            </w:pPr>
          </w:p>
          <w:p w14:paraId="252D9CF8">
            <w:pPr>
              <w:spacing w:line="245" w:lineRule="auto"/>
              <w:rPr>
                <w:rFonts w:ascii="Arial"/>
                <w:sz w:val="21"/>
              </w:rPr>
            </w:pPr>
          </w:p>
          <w:p w14:paraId="53694987">
            <w:pPr>
              <w:spacing w:line="245" w:lineRule="auto"/>
              <w:rPr>
                <w:rFonts w:ascii="Arial"/>
                <w:sz w:val="21"/>
              </w:rPr>
            </w:pPr>
          </w:p>
          <w:p w14:paraId="2ADB4A15">
            <w:pPr>
              <w:spacing w:line="245" w:lineRule="auto"/>
              <w:rPr>
                <w:rFonts w:ascii="Arial"/>
                <w:sz w:val="21"/>
              </w:rPr>
            </w:pPr>
          </w:p>
          <w:p w14:paraId="3AC91A11">
            <w:pPr>
              <w:spacing w:before="78" w:line="446" w:lineRule="auto"/>
              <w:ind w:left="162" w:right="128" w:hanging="31"/>
              <w:rPr>
                <w:rFonts w:ascii="宋体" w:hAnsi="宋体" w:eastAsia="宋体" w:cs="宋体"/>
                <w:sz w:val="24"/>
                <w:szCs w:val="24"/>
              </w:rPr>
            </w:pPr>
            <w:r>
              <w:rPr>
                <w:rFonts w:ascii="宋体" w:hAnsi="宋体" w:eastAsia="宋体" w:cs="宋体"/>
                <w:spacing w:val="-5"/>
                <w:sz w:val="24"/>
                <w:szCs w:val="24"/>
              </w:rPr>
              <w:t>CDSS</w:t>
            </w:r>
            <w:r>
              <w:rPr>
                <w:rFonts w:ascii="宋体" w:hAnsi="宋体" w:eastAsia="宋体" w:cs="宋体"/>
                <w:spacing w:val="-44"/>
                <w:sz w:val="24"/>
                <w:szCs w:val="24"/>
              </w:rPr>
              <w:t xml:space="preserve"> </w:t>
            </w:r>
            <w:r>
              <w:rPr>
                <w:rFonts w:ascii="宋体" w:hAnsi="宋体" w:eastAsia="宋体" w:cs="宋体"/>
                <w:spacing w:val="-5"/>
                <w:sz w:val="24"/>
                <w:szCs w:val="24"/>
              </w:rPr>
              <w:t>统</w:t>
            </w:r>
            <w:r>
              <w:rPr>
                <w:rFonts w:ascii="宋体" w:hAnsi="宋体" w:eastAsia="宋体" w:cs="宋体"/>
                <w:sz w:val="24"/>
                <w:szCs w:val="24"/>
              </w:rPr>
              <w:t xml:space="preserve"> </w:t>
            </w:r>
            <w:r>
              <w:rPr>
                <w:rFonts w:ascii="宋体" w:hAnsi="宋体" w:eastAsia="宋体" w:cs="宋体"/>
                <w:spacing w:val="-3"/>
                <w:sz w:val="24"/>
                <w:szCs w:val="24"/>
              </w:rPr>
              <w:t>计平台</w:t>
            </w:r>
          </w:p>
        </w:tc>
        <w:tc>
          <w:tcPr>
            <w:tcW w:w="1560" w:type="dxa"/>
            <w:vMerge w:val="restart"/>
            <w:tcBorders>
              <w:bottom w:val="nil"/>
            </w:tcBorders>
            <w:vAlign w:val="top"/>
          </w:tcPr>
          <w:p w14:paraId="38CEBAC3">
            <w:pPr>
              <w:spacing w:line="244" w:lineRule="auto"/>
              <w:rPr>
                <w:rFonts w:ascii="Arial"/>
                <w:sz w:val="21"/>
              </w:rPr>
            </w:pPr>
          </w:p>
          <w:p w14:paraId="77F67160">
            <w:pPr>
              <w:spacing w:line="244" w:lineRule="auto"/>
              <w:rPr>
                <w:rFonts w:ascii="Arial"/>
                <w:sz w:val="21"/>
              </w:rPr>
            </w:pPr>
          </w:p>
          <w:p w14:paraId="6DE11810">
            <w:pPr>
              <w:spacing w:line="244" w:lineRule="auto"/>
              <w:rPr>
                <w:rFonts w:ascii="Arial"/>
                <w:sz w:val="21"/>
              </w:rPr>
            </w:pPr>
          </w:p>
          <w:p w14:paraId="75F4AD91">
            <w:pPr>
              <w:spacing w:line="245" w:lineRule="auto"/>
              <w:rPr>
                <w:rFonts w:ascii="Arial"/>
                <w:sz w:val="21"/>
              </w:rPr>
            </w:pPr>
          </w:p>
          <w:p w14:paraId="29EEBC8A">
            <w:pPr>
              <w:spacing w:line="245" w:lineRule="auto"/>
              <w:rPr>
                <w:rFonts w:ascii="Arial"/>
                <w:sz w:val="21"/>
              </w:rPr>
            </w:pPr>
          </w:p>
          <w:p w14:paraId="6F420CE2">
            <w:pPr>
              <w:spacing w:line="245" w:lineRule="auto"/>
              <w:rPr>
                <w:rFonts w:ascii="Arial"/>
                <w:sz w:val="21"/>
              </w:rPr>
            </w:pPr>
          </w:p>
          <w:p w14:paraId="719B7AB3">
            <w:pPr>
              <w:spacing w:line="245" w:lineRule="auto"/>
              <w:rPr>
                <w:rFonts w:ascii="Arial"/>
                <w:sz w:val="21"/>
              </w:rPr>
            </w:pPr>
          </w:p>
          <w:p w14:paraId="0817A9A0">
            <w:pPr>
              <w:spacing w:line="245" w:lineRule="auto"/>
              <w:rPr>
                <w:rFonts w:ascii="Arial"/>
                <w:sz w:val="21"/>
              </w:rPr>
            </w:pPr>
          </w:p>
          <w:p w14:paraId="3F269249">
            <w:pPr>
              <w:spacing w:before="69" w:line="220" w:lineRule="auto"/>
              <w:ind w:left="361"/>
              <w:rPr>
                <w:rFonts w:ascii="宋体" w:hAnsi="宋体" w:eastAsia="宋体" w:cs="宋体"/>
                <w:sz w:val="21"/>
                <w:szCs w:val="21"/>
              </w:rPr>
            </w:pPr>
            <w:r>
              <w:rPr>
                <w:rFonts w:ascii="宋体" w:hAnsi="宋体" w:eastAsia="宋体" w:cs="宋体"/>
                <w:spacing w:val="-2"/>
                <w:sz w:val="21"/>
                <w:szCs w:val="21"/>
              </w:rPr>
              <w:t>预警总览</w:t>
            </w:r>
          </w:p>
        </w:tc>
        <w:tc>
          <w:tcPr>
            <w:tcW w:w="7736" w:type="dxa"/>
            <w:vAlign w:val="top"/>
          </w:tcPr>
          <w:p w14:paraId="008DFC2D">
            <w:pPr>
              <w:spacing w:before="78" w:line="288" w:lineRule="auto"/>
              <w:ind w:left="110" w:right="138" w:hanging="2"/>
              <w:rPr>
                <w:rFonts w:ascii="宋体" w:hAnsi="宋体" w:eastAsia="宋体" w:cs="宋体"/>
                <w:sz w:val="21"/>
                <w:szCs w:val="21"/>
              </w:rPr>
            </w:pPr>
            <w:r>
              <w:rPr>
                <w:rFonts w:ascii="宋体" w:hAnsi="宋体" w:eastAsia="宋体" w:cs="宋体"/>
                <w:spacing w:val="4"/>
                <w:sz w:val="21"/>
                <w:szCs w:val="21"/>
              </w:rPr>
              <w:t>对科室、医生诊疗过程中产生的诊疗预警情况进行</w:t>
            </w:r>
            <w:r>
              <w:rPr>
                <w:rFonts w:ascii="宋体" w:hAnsi="宋体" w:eastAsia="宋体" w:cs="宋体"/>
                <w:spacing w:val="3"/>
                <w:sz w:val="21"/>
                <w:szCs w:val="21"/>
              </w:rPr>
              <w:t>统计分析，支持总预警次数和</w:t>
            </w:r>
            <w:r>
              <w:rPr>
                <w:rFonts w:ascii="宋体" w:hAnsi="宋体" w:eastAsia="宋体" w:cs="宋体"/>
                <w:sz w:val="21"/>
                <w:szCs w:val="21"/>
              </w:rPr>
              <w:t xml:space="preserve"> </w:t>
            </w:r>
            <w:r>
              <w:rPr>
                <w:rFonts w:ascii="宋体" w:hAnsi="宋体" w:eastAsia="宋体" w:cs="宋体"/>
                <w:spacing w:val="2"/>
                <w:sz w:val="21"/>
                <w:szCs w:val="21"/>
              </w:rPr>
              <w:t>预警次数时间趋势统计分析；</w:t>
            </w:r>
          </w:p>
        </w:tc>
      </w:tr>
      <w:tr w14:paraId="7DCDD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1042" w:type="dxa"/>
            <w:vMerge w:val="continue"/>
            <w:tcBorders>
              <w:top w:val="nil"/>
              <w:bottom w:val="nil"/>
            </w:tcBorders>
            <w:vAlign w:val="top"/>
          </w:tcPr>
          <w:p w14:paraId="4840604D">
            <w:pPr>
              <w:rPr>
                <w:rFonts w:ascii="Arial"/>
                <w:sz w:val="21"/>
              </w:rPr>
            </w:pPr>
          </w:p>
        </w:tc>
        <w:tc>
          <w:tcPr>
            <w:tcW w:w="1560" w:type="dxa"/>
            <w:vMerge w:val="continue"/>
            <w:tcBorders>
              <w:top w:val="nil"/>
              <w:bottom w:val="nil"/>
            </w:tcBorders>
            <w:vAlign w:val="top"/>
          </w:tcPr>
          <w:p w14:paraId="3B7D78BD">
            <w:pPr>
              <w:rPr>
                <w:rFonts w:ascii="Arial"/>
                <w:sz w:val="21"/>
              </w:rPr>
            </w:pPr>
          </w:p>
        </w:tc>
        <w:tc>
          <w:tcPr>
            <w:tcW w:w="7736" w:type="dxa"/>
            <w:vAlign w:val="top"/>
          </w:tcPr>
          <w:p w14:paraId="17BC3621">
            <w:pPr>
              <w:spacing w:before="79" w:line="301" w:lineRule="auto"/>
              <w:ind w:left="110" w:right="138"/>
              <w:jc w:val="both"/>
              <w:rPr>
                <w:rFonts w:ascii="宋体" w:hAnsi="宋体" w:eastAsia="宋体" w:cs="宋体"/>
                <w:sz w:val="21"/>
                <w:szCs w:val="21"/>
              </w:rPr>
            </w:pPr>
            <w:r>
              <w:rPr>
                <w:rFonts w:ascii="宋体" w:hAnsi="宋体" w:eastAsia="宋体" w:cs="宋体"/>
                <w:spacing w:val="4"/>
                <w:sz w:val="21"/>
                <w:szCs w:val="21"/>
              </w:rPr>
              <w:t>支持检验合理性、检查合理性、手术合理性、药</w:t>
            </w:r>
            <w:r>
              <w:rPr>
                <w:rFonts w:ascii="宋体" w:hAnsi="宋体" w:eastAsia="宋体" w:cs="宋体"/>
                <w:spacing w:val="3"/>
                <w:sz w:val="21"/>
                <w:szCs w:val="21"/>
              </w:rPr>
              <w:t>品合理性、诊断合理性、术后并</w:t>
            </w:r>
            <w:r>
              <w:rPr>
                <w:rFonts w:ascii="宋体" w:hAnsi="宋体" w:eastAsia="宋体" w:cs="宋体"/>
                <w:sz w:val="21"/>
                <w:szCs w:val="21"/>
              </w:rPr>
              <w:t xml:space="preserve"> </w:t>
            </w:r>
            <w:r>
              <w:rPr>
                <w:rFonts w:ascii="宋体" w:hAnsi="宋体" w:eastAsia="宋体" w:cs="宋体"/>
                <w:spacing w:val="4"/>
                <w:sz w:val="21"/>
                <w:szCs w:val="21"/>
              </w:rPr>
              <w:t>发症、检验检查重复性等不同预警类型的预警次</w:t>
            </w:r>
            <w:r>
              <w:rPr>
                <w:rFonts w:ascii="宋体" w:hAnsi="宋体" w:eastAsia="宋体" w:cs="宋体"/>
                <w:spacing w:val="3"/>
                <w:sz w:val="21"/>
                <w:szCs w:val="21"/>
              </w:rPr>
              <w:t>数统计分析，支持下钻到患者明</w:t>
            </w:r>
            <w:r>
              <w:rPr>
                <w:rFonts w:ascii="宋体" w:hAnsi="宋体" w:eastAsia="宋体" w:cs="宋体"/>
                <w:sz w:val="21"/>
                <w:szCs w:val="21"/>
              </w:rPr>
              <w:t xml:space="preserve"> </w:t>
            </w:r>
            <w:r>
              <w:rPr>
                <w:rFonts w:ascii="宋体" w:hAnsi="宋体" w:eastAsia="宋体" w:cs="宋体"/>
                <w:spacing w:val="2"/>
                <w:sz w:val="21"/>
                <w:szCs w:val="21"/>
              </w:rPr>
              <w:t>细列表，明细列表可下载；</w:t>
            </w:r>
          </w:p>
        </w:tc>
      </w:tr>
      <w:tr w14:paraId="3BCE2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042" w:type="dxa"/>
            <w:vMerge w:val="continue"/>
            <w:tcBorders>
              <w:top w:val="nil"/>
              <w:bottom w:val="nil"/>
            </w:tcBorders>
            <w:vAlign w:val="top"/>
          </w:tcPr>
          <w:p w14:paraId="204580C1">
            <w:pPr>
              <w:rPr>
                <w:rFonts w:ascii="Arial"/>
                <w:sz w:val="21"/>
              </w:rPr>
            </w:pPr>
          </w:p>
        </w:tc>
        <w:tc>
          <w:tcPr>
            <w:tcW w:w="1560" w:type="dxa"/>
            <w:vMerge w:val="continue"/>
            <w:tcBorders>
              <w:top w:val="nil"/>
              <w:bottom w:val="nil"/>
            </w:tcBorders>
            <w:vAlign w:val="top"/>
          </w:tcPr>
          <w:p w14:paraId="35A7B62B">
            <w:pPr>
              <w:rPr>
                <w:rFonts w:ascii="Arial"/>
                <w:sz w:val="21"/>
              </w:rPr>
            </w:pPr>
          </w:p>
        </w:tc>
        <w:tc>
          <w:tcPr>
            <w:tcW w:w="7736" w:type="dxa"/>
            <w:vAlign w:val="top"/>
          </w:tcPr>
          <w:p w14:paraId="11E28A58">
            <w:pPr>
              <w:spacing w:before="79" w:line="220" w:lineRule="auto"/>
              <w:ind w:left="110"/>
              <w:rPr>
                <w:rFonts w:ascii="宋体" w:hAnsi="宋体" w:eastAsia="宋体" w:cs="宋体"/>
                <w:sz w:val="21"/>
                <w:szCs w:val="21"/>
              </w:rPr>
            </w:pPr>
            <w:r>
              <w:rPr>
                <w:rFonts w:ascii="宋体" w:hAnsi="宋体" w:eastAsia="宋体" w:cs="宋体"/>
                <w:spacing w:val="3"/>
                <w:sz w:val="21"/>
                <w:szCs w:val="21"/>
              </w:rPr>
              <w:t>支持不同预警类型预警时间趋势统计分析，可按天、周、月进行展示；</w:t>
            </w:r>
          </w:p>
        </w:tc>
      </w:tr>
      <w:tr w14:paraId="435D9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23C77ED8">
            <w:pPr>
              <w:rPr>
                <w:rFonts w:ascii="Arial"/>
                <w:sz w:val="21"/>
              </w:rPr>
            </w:pPr>
          </w:p>
        </w:tc>
        <w:tc>
          <w:tcPr>
            <w:tcW w:w="1560" w:type="dxa"/>
            <w:vMerge w:val="continue"/>
            <w:tcBorders>
              <w:top w:val="nil"/>
              <w:bottom w:val="nil"/>
            </w:tcBorders>
            <w:vAlign w:val="top"/>
          </w:tcPr>
          <w:p w14:paraId="0C342596">
            <w:pPr>
              <w:rPr>
                <w:rFonts w:ascii="Arial"/>
                <w:sz w:val="21"/>
              </w:rPr>
            </w:pPr>
          </w:p>
        </w:tc>
        <w:tc>
          <w:tcPr>
            <w:tcW w:w="7736" w:type="dxa"/>
            <w:vAlign w:val="top"/>
          </w:tcPr>
          <w:p w14:paraId="3733BCA5">
            <w:pPr>
              <w:spacing w:before="82" w:line="214" w:lineRule="auto"/>
              <w:ind w:left="110"/>
              <w:rPr>
                <w:rFonts w:ascii="宋体" w:hAnsi="宋体" w:eastAsia="宋体" w:cs="宋体"/>
                <w:sz w:val="21"/>
                <w:szCs w:val="21"/>
              </w:rPr>
            </w:pPr>
            <w:r>
              <w:rPr>
                <w:rFonts w:ascii="宋体" w:hAnsi="宋体" w:eastAsia="宋体" w:cs="宋体"/>
                <w:spacing w:val="2"/>
                <w:sz w:val="21"/>
                <w:szCs w:val="21"/>
              </w:rPr>
              <w:t>支持预警科室排名，展示预警科室</w:t>
            </w:r>
            <w:r>
              <w:rPr>
                <w:rFonts w:ascii="宋体" w:hAnsi="宋体" w:eastAsia="宋体" w:cs="宋体"/>
                <w:spacing w:val="-31"/>
                <w:sz w:val="21"/>
                <w:szCs w:val="21"/>
              </w:rPr>
              <w:t xml:space="preserve"> </w:t>
            </w:r>
            <w:r>
              <w:rPr>
                <w:rFonts w:ascii="宋体" w:hAnsi="宋体" w:eastAsia="宋体" w:cs="宋体"/>
                <w:sz w:val="21"/>
                <w:szCs w:val="21"/>
              </w:rPr>
              <w:t>top</w:t>
            </w:r>
            <w:r>
              <w:rPr>
                <w:rFonts w:ascii="宋体" w:hAnsi="宋体" w:eastAsia="宋体" w:cs="宋体"/>
                <w:spacing w:val="2"/>
                <w:sz w:val="21"/>
                <w:szCs w:val="21"/>
              </w:rPr>
              <w:t>10；</w:t>
            </w:r>
          </w:p>
        </w:tc>
      </w:tr>
      <w:tr w14:paraId="77FDC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35894908">
            <w:pPr>
              <w:rPr>
                <w:rFonts w:ascii="Arial"/>
                <w:sz w:val="21"/>
              </w:rPr>
            </w:pPr>
          </w:p>
        </w:tc>
        <w:tc>
          <w:tcPr>
            <w:tcW w:w="1560" w:type="dxa"/>
            <w:vMerge w:val="continue"/>
            <w:tcBorders>
              <w:top w:val="nil"/>
              <w:bottom w:val="nil"/>
            </w:tcBorders>
            <w:vAlign w:val="top"/>
          </w:tcPr>
          <w:p w14:paraId="3708B551">
            <w:pPr>
              <w:rPr>
                <w:rFonts w:ascii="Arial"/>
                <w:sz w:val="21"/>
              </w:rPr>
            </w:pPr>
          </w:p>
        </w:tc>
        <w:tc>
          <w:tcPr>
            <w:tcW w:w="7736" w:type="dxa"/>
            <w:vAlign w:val="top"/>
          </w:tcPr>
          <w:p w14:paraId="5093681B">
            <w:pPr>
              <w:spacing w:before="81" w:line="220" w:lineRule="auto"/>
              <w:ind w:left="110"/>
              <w:rPr>
                <w:rFonts w:ascii="宋体" w:hAnsi="宋体" w:eastAsia="宋体" w:cs="宋体"/>
                <w:sz w:val="21"/>
                <w:szCs w:val="21"/>
              </w:rPr>
            </w:pPr>
            <w:r>
              <w:rPr>
                <w:rFonts w:ascii="宋体" w:hAnsi="宋体" w:eastAsia="宋体" w:cs="宋体"/>
                <w:spacing w:val="3"/>
                <w:sz w:val="21"/>
                <w:szCs w:val="21"/>
              </w:rPr>
              <w:t>支持合理性预警-禁忌类型统计分析，如相对禁忌和绝对禁忌；</w:t>
            </w:r>
          </w:p>
        </w:tc>
      </w:tr>
      <w:tr w14:paraId="3A318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75EF0A62">
            <w:pPr>
              <w:rPr>
                <w:rFonts w:ascii="Arial"/>
                <w:sz w:val="21"/>
              </w:rPr>
            </w:pPr>
          </w:p>
        </w:tc>
        <w:tc>
          <w:tcPr>
            <w:tcW w:w="1560" w:type="dxa"/>
            <w:vMerge w:val="continue"/>
            <w:tcBorders>
              <w:top w:val="nil"/>
              <w:bottom w:val="nil"/>
            </w:tcBorders>
            <w:vAlign w:val="top"/>
          </w:tcPr>
          <w:p w14:paraId="59A39A2F">
            <w:pPr>
              <w:rPr>
                <w:rFonts w:ascii="Arial"/>
                <w:sz w:val="21"/>
              </w:rPr>
            </w:pPr>
          </w:p>
        </w:tc>
        <w:tc>
          <w:tcPr>
            <w:tcW w:w="7736" w:type="dxa"/>
            <w:vAlign w:val="top"/>
          </w:tcPr>
          <w:p w14:paraId="7E57FC06">
            <w:pPr>
              <w:spacing w:before="83" w:line="214" w:lineRule="auto"/>
              <w:ind w:left="110"/>
              <w:rPr>
                <w:rFonts w:ascii="宋体" w:hAnsi="宋体" w:eastAsia="宋体" w:cs="宋体"/>
                <w:sz w:val="21"/>
                <w:szCs w:val="21"/>
              </w:rPr>
            </w:pPr>
            <w:r>
              <w:rPr>
                <w:rFonts w:ascii="宋体" w:hAnsi="宋体" w:eastAsia="宋体" w:cs="宋体"/>
                <w:spacing w:val="2"/>
                <w:sz w:val="21"/>
                <w:szCs w:val="21"/>
              </w:rPr>
              <w:t>支持预警规则排名，展示预警规则</w:t>
            </w:r>
            <w:r>
              <w:rPr>
                <w:rFonts w:ascii="宋体" w:hAnsi="宋体" w:eastAsia="宋体" w:cs="宋体"/>
                <w:spacing w:val="-31"/>
                <w:sz w:val="21"/>
                <w:szCs w:val="21"/>
              </w:rPr>
              <w:t xml:space="preserve"> </w:t>
            </w:r>
            <w:r>
              <w:rPr>
                <w:rFonts w:ascii="宋体" w:hAnsi="宋体" w:eastAsia="宋体" w:cs="宋体"/>
                <w:sz w:val="21"/>
                <w:szCs w:val="21"/>
              </w:rPr>
              <w:t>top</w:t>
            </w:r>
            <w:r>
              <w:rPr>
                <w:rFonts w:ascii="宋体" w:hAnsi="宋体" w:eastAsia="宋体" w:cs="宋体"/>
                <w:spacing w:val="2"/>
                <w:sz w:val="21"/>
                <w:szCs w:val="21"/>
              </w:rPr>
              <w:t>10；</w:t>
            </w:r>
          </w:p>
        </w:tc>
      </w:tr>
      <w:tr w14:paraId="0D42F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4A2B9BAF">
            <w:pPr>
              <w:rPr>
                <w:rFonts w:ascii="Arial"/>
                <w:sz w:val="21"/>
              </w:rPr>
            </w:pPr>
          </w:p>
        </w:tc>
        <w:tc>
          <w:tcPr>
            <w:tcW w:w="1560" w:type="dxa"/>
            <w:vMerge w:val="continue"/>
            <w:tcBorders>
              <w:top w:val="nil"/>
            </w:tcBorders>
            <w:vAlign w:val="top"/>
          </w:tcPr>
          <w:p w14:paraId="7E5E79FE">
            <w:pPr>
              <w:rPr>
                <w:rFonts w:ascii="Arial"/>
                <w:sz w:val="21"/>
              </w:rPr>
            </w:pPr>
          </w:p>
        </w:tc>
        <w:tc>
          <w:tcPr>
            <w:tcW w:w="7736" w:type="dxa"/>
            <w:vAlign w:val="top"/>
          </w:tcPr>
          <w:p w14:paraId="1B35639B">
            <w:pPr>
              <w:spacing w:before="82" w:line="219" w:lineRule="auto"/>
              <w:ind w:left="110"/>
              <w:rPr>
                <w:rFonts w:ascii="宋体" w:hAnsi="宋体" w:eastAsia="宋体" w:cs="宋体"/>
                <w:sz w:val="21"/>
                <w:szCs w:val="21"/>
              </w:rPr>
            </w:pPr>
            <w:r>
              <w:rPr>
                <w:rFonts w:ascii="宋体" w:hAnsi="宋体" w:eastAsia="宋体" w:cs="宋体"/>
                <w:spacing w:val="3"/>
                <w:sz w:val="21"/>
                <w:szCs w:val="21"/>
              </w:rPr>
              <w:t>支持按照时间、科室、医生、预警类型进行统计范围筛选；</w:t>
            </w:r>
          </w:p>
        </w:tc>
      </w:tr>
      <w:tr w14:paraId="781DB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trPr>
        <w:tc>
          <w:tcPr>
            <w:tcW w:w="1042" w:type="dxa"/>
            <w:vMerge w:val="continue"/>
            <w:tcBorders>
              <w:top w:val="nil"/>
              <w:bottom w:val="nil"/>
            </w:tcBorders>
            <w:vAlign w:val="top"/>
          </w:tcPr>
          <w:p w14:paraId="1B7E433F">
            <w:pPr>
              <w:rPr>
                <w:rFonts w:ascii="Arial"/>
                <w:sz w:val="21"/>
              </w:rPr>
            </w:pPr>
          </w:p>
        </w:tc>
        <w:tc>
          <w:tcPr>
            <w:tcW w:w="1560" w:type="dxa"/>
            <w:vMerge w:val="restart"/>
            <w:tcBorders>
              <w:bottom w:val="nil"/>
            </w:tcBorders>
            <w:vAlign w:val="top"/>
          </w:tcPr>
          <w:p w14:paraId="46A5C6BE">
            <w:pPr>
              <w:spacing w:line="259" w:lineRule="auto"/>
              <w:rPr>
                <w:rFonts w:ascii="Arial"/>
                <w:sz w:val="21"/>
              </w:rPr>
            </w:pPr>
          </w:p>
          <w:p w14:paraId="6B55FB0C">
            <w:pPr>
              <w:spacing w:line="259" w:lineRule="auto"/>
              <w:rPr>
                <w:rFonts w:ascii="Arial"/>
                <w:sz w:val="21"/>
              </w:rPr>
            </w:pPr>
          </w:p>
          <w:p w14:paraId="78D91625">
            <w:pPr>
              <w:spacing w:line="259" w:lineRule="auto"/>
              <w:rPr>
                <w:rFonts w:ascii="Arial"/>
                <w:sz w:val="21"/>
              </w:rPr>
            </w:pPr>
          </w:p>
          <w:p w14:paraId="395D7ECE">
            <w:pPr>
              <w:spacing w:line="259" w:lineRule="auto"/>
              <w:rPr>
                <w:rFonts w:ascii="Arial"/>
                <w:sz w:val="21"/>
              </w:rPr>
            </w:pPr>
          </w:p>
          <w:p w14:paraId="1833388D">
            <w:pPr>
              <w:spacing w:line="259" w:lineRule="auto"/>
              <w:rPr>
                <w:rFonts w:ascii="Arial"/>
                <w:sz w:val="21"/>
              </w:rPr>
            </w:pPr>
          </w:p>
          <w:p w14:paraId="3F3198FE">
            <w:pPr>
              <w:spacing w:line="260" w:lineRule="auto"/>
              <w:rPr>
                <w:rFonts w:ascii="Arial"/>
                <w:sz w:val="21"/>
              </w:rPr>
            </w:pPr>
          </w:p>
          <w:p w14:paraId="706250D4">
            <w:pPr>
              <w:spacing w:line="260" w:lineRule="auto"/>
              <w:rPr>
                <w:rFonts w:ascii="Arial"/>
                <w:sz w:val="21"/>
              </w:rPr>
            </w:pPr>
          </w:p>
          <w:p w14:paraId="276EE64D">
            <w:pPr>
              <w:spacing w:line="260" w:lineRule="auto"/>
              <w:rPr>
                <w:rFonts w:ascii="Arial"/>
                <w:sz w:val="21"/>
              </w:rPr>
            </w:pPr>
          </w:p>
          <w:p w14:paraId="75D44ECB">
            <w:pPr>
              <w:spacing w:before="69" w:line="219" w:lineRule="auto"/>
              <w:ind w:left="365"/>
              <w:rPr>
                <w:rFonts w:ascii="宋体" w:hAnsi="宋体" w:eastAsia="宋体" w:cs="宋体"/>
                <w:sz w:val="21"/>
                <w:szCs w:val="21"/>
              </w:rPr>
            </w:pPr>
            <w:r>
              <w:rPr>
                <w:rFonts w:ascii="宋体" w:hAnsi="宋体" w:eastAsia="宋体" w:cs="宋体"/>
                <w:spacing w:val="-3"/>
                <w:sz w:val="21"/>
                <w:szCs w:val="21"/>
              </w:rPr>
              <w:t>智能推荐</w:t>
            </w:r>
          </w:p>
        </w:tc>
        <w:tc>
          <w:tcPr>
            <w:tcW w:w="7736" w:type="dxa"/>
            <w:vAlign w:val="top"/>
          </w:tcPr>
          <w:p w14:paraId="78E8EA2A">
            <w:pPr>
              <w:spacing w:before="83" w:line="219" w:lineRule="auto"/>
              <w:ind w:left="110"/>
              <w:rPr>
                <w:rFonts w:ascii="宋体" w:hAnsi="宋体" w:eastAsia="宋体" w:cs="宋体"/>
                <w:sz w:val="21"/>
                <w:szCs w:val="21"/>
              </w:rPr>
            </w:pPr>
            <w:r>
              <w:rPr>
                <w:rFonts w:ascii="宋体" w:hAnsi="宋体" w:eastAsia="宋体" w:cs="宋体"/>
                <w:spacing w:val="2"/>
                <w:sz w:val="21"/>
                <w:szCs w:val="21"/>
              </w:rPr>
              <w:t>支持对系统各模块智能推荐情况进行统计分析。统计指标包括疑似危重推荐数、</w:t>
            </w:r>
          </w:p>
          <w:p w14:paraId="4D873ED7">
            <w:pPr>
              <w:spacing w:before="122" w:line="300" w:lineRule="auto"/>
              <w:ind w:left="108" w:right="95" w:firstLine="5"/>
              <w:rPr>
                <w:rFonts w:ascii="宋体" w:hAnsi="宋体" w:eastAsia="宋体" w:cs="宋体"/>
                <w:sz w:val="21"/>
                <w:szCs w:val="21"/>
              </w:rPr>
            </w:pPr>
            <w:r>
              <w:rPr>
                <w:rFonts w:ascii="宋体" w:hAnsi="宋体" w:eastAsia="宋体" w:cs="宋体"/>
                <w:spacing w:val="-1"/>
                <w:sz w:val="21"/>
                <w:szCs w:val="21"/>
              </w:rPr>
              <w:t>常见疑似诊断推荐数、检查解读推荐数、检</w:t>
            </w:r>
            <w:r>
              <w:rPr>
                <w:rFonts w:ascii="宋体" w:hAnsi="宋体" w:eastAsia="宋体" w:cs="宋体"/>
                <w:spacing w:val="-2"/>
                <w:sz w:val="21"/>
                <w:szCs w:val="21"/>
              </w:rPr>
              <w:t>查检验推荐数、治疗方案推荐数、评估</w:t>
            </w:r>
            <w:r>
              <w:rPr>
                <w:rFonts w:ascii="宋体" w:hAnsi="宋体" w:eastAsia="宋体" w:cs="宋体"/>
                <w:sz w:val="21"/>
                <w:szCs w:val="21"/>
              </w:rPr>
              <w:t xml:space="preserve"> </w:t>
            </w:r>
            <w:r>
              <w:rPr>
                <w:rFonts w:ascii="宋体" w:hAnsi="宋体" w:eastAsia="宋体" w:cs="宋体"/>
                <w:spacing w:val="-1"/>
                <w:sz w:val="21"/>
                <w:szCs w:val="21"/>
              </w:rPr>
              <w:t>表推荐数、文献推荐数、护理处置推荐数、出院指导推荐数、护理评估表推</w:t>
            </w:r>
            <w:r>
              <w:rPr>
                <w:rFonts w:ascii="宋体" w:hAnsi="宋体" w:eastAsia="宋体" w:cs="宋体"/>
                <w:spacing w:val="-2"/>
                <w:sz w:val="21"/>
                <w:szCs w:val="21"/>
              </w:rPr>
              <w:t>荐数、</w:t>
            </w:r>
            <w:r>
              <w:rPr>
                <w:rFonts w:ascii="宋体" w:hAnsi="宋体" w:eastAsia="宋体" w:cs="宋体"/>
                <w:sz w:val="21"/>
                <w:szCs w:val="21"/>
              </w:rPr>
              <w:t xml:space="preserve"> </w:t>
            </w:r>
            <w:r>
              <w:rPr>
                <w:rFonts w:ascii="宋体" w:hAnsi="宋体" w:eastAsia="宋体" w:cs="宋体"/>
                <w:spacing w:val="-1"/>
                <w:sz w:val="21"/>
                <w:szCs w:val="21"/>
              </w:rPr>
              <w:t>推荐用药、回填总数等</w:t>
            </w:r>
          </w:p>
        </w:tc>
      </w:tr>
      <w:tr w14:paraId="7BBB6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75A4C50B">
            <w:pPr>
              <w:rPr>
                <w:rFonts w:ascii="Arial"/>
                <w:sz w:val="21"/>
              </w:rPr>
            </w:pPr>
          </w:p>
        </w:tc>
        <w:tc>
          <w:tcPr>
            <w:tcW w:w="1560" w:type="dxa"/>
            <w:vMerge w:val="continue"/>
            <w:tcBorders>
              <w:top w:val="nil"/>
              <w:bottom w:val="nil"/>
            </w:tcBorders>
            <w:vAlign w:val="top"/>
          </w:tcPr>
          <w:p w14:paraId="6C0FCAB0">
            <w:pPr>
              <w:rPr>
                <w:rFonts w:ascii="Arial"/>
                <w:sz w:val="21"/>
              </w:rPr>
            </w:pPr>
          </w:p>
        </w:tc>
        <w:tc>
          <w:tcPr>
            <w:tcW w:w="7736" w:type="dxa"/>
            <w:vAlign w:val="top"/>
          </w:tcPr>
          <w:p w14:paraId="54DB4E2C">
            <w:pPr>
              <w:spacing w:before="83" w:line="220" w:lineRule="auto"/>
              <w:ind w:left="110"/>
              <w:rPr>
                <w:rFonts w:ascii="宋体" w:hAnsi="宋体" w:eastAsia="宋体" w:cs="宋体"/>
                <w:sz w:val="21"/>
                <w:szCs w:val="21"/>
              </w:rPr>
            </w:pPr>
            <w:r>
              <w:rPr>
                <w:rFonts w:ascii="宋体" w:hAnsi="宋体" w:eastAsia="宋体" w:cs="宋体"/>
                <w:spacing w:val="2"/>
                <w:sz w:val="21"/>
                <w:szCs w:val="21"/>
              </w:rPr>
              <w:t>支持以上统计指标的环比分析；</w:t>
            </w:r>
          </w:p>
        </w:tc>
      </w:tr>
      <w:tr w14:paraId="6D38E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1042" w:type="dxa"/>
            <w:vMerge w:val="continue"/>
            <w:tcBorders>
              <w:top w:val="nil"/>
              <w:bottom w:val="nil"/>
            </w:tcBorders>
            <w:vAlign w:val="top"/>
          </w:tcPr>
          <w:p w14:paraId="43E82803">
            <w:pPr>
              <w:rPr>
                <w:rFonts w:ascii="Arial"/>
                <w:sz w:val="21"/>
              </w:rPr>
            </w:pPr>
          </w:p>
        </w:tc>
        <w:tc>
          <w:tcPr>
            <w:tcW w:w="1560" w:type="dxa"/>
            <w:vMerge w:val="continue"/>
            <w:tcBorders>
              <w:top w:val="nil"/>
              <w:bottom w:val="nil"/>
            </w:tcBorders>
            <w:vAlign w:val="top"/>
          </w:tcPr>
          <w:p w14:paraId="10A7DAC5">
            <w:pPr>
              <w:rPr>
                <w:rFonts w:ascii="Arial"/>
                <w:sz w:val="21"/>
              </w:rPr>
            </w:pPr>
          </w:p>
        </w:tc>
        <w:tc>
          <w:tcPr>
            <w:tcW w:w="7736" w:type="dxa"/>
            <w:vAlign w:val="top"/>
          </w:tcPr>
          <w:p w14:paraId="4795AE60">
            <w:pPr>
              <w:spacing w:before="86" w:line="299" w:lineRule="auto"/>
              <w:ind w:left="110" w:right="103"/>
              <w:jc w:val="both"/>
              <w:rPr>
                <w:rFonts w:ascii="宋体" w:hAnsi="宋体" w:eastAsia="宋体" w:cs="宋体"/>
                <w:sz w:val="21"/>
                <w:szCs w:val="21"/>
              </w:rPr>
            </w:pPr>
            <w:r>
              <w:rPr>
                <w:rFonts w:ascii="宋体" w:hAnsi="宋体" w:eastAsia="宋体" w:cs="宋体"/>
                <w:spacing w:val="-1"/>
                <w:sz w:val="21"/>
                <w:szCs w:val="21"/>
              </w:rPr>
              <w:t>支持智能推荐指标数据下钻和患者明细下载；支持对</w:t>
            </w:r>
            <w:r>
              <w:rPr>
                <w:rFonts w:ascii="宋体" w:hAnsi="宋体" w:eastAsia="宋体" w:cs="宋体"/>
                <w:spacing w:val="-2"/>
                <w:sz w:val="21"/>
                <w:szCs w:val="21"/>
              </w:rPr>
              <w:t>每个患者提醒条数进一步下钻</w:t>
            </w:r>
            <w:r>
              <w:rPr>
                <w:rFonts w:ascii="宋体" w:hAnsi="宋体" w:eastAsia="宋体" w:cs="宋体"/>
                <w:sz w:val="21"/>
                <w:szCs w:val="21"/>
              </w:rPr>
              <w:t xml:space="preserve"> </w:t>
            </w:r>
            <w:r>
              <w:rPr>
                <w:rFonts w:ascii="宋体" w:hAnsi="宋体" w:eastAsia="宋体" w:cs="宋体"/>
                <w:spacing w:val="-5"/>
                <w:sz w:val="21"/>
                <w:szCs w:val="21"/>
              </w:rPr>
              <w:t>至推荐内容明细页面，可查看该次提醒对应的</w:t>
            </w:r>
            <w:r>
              <w:rPr>
                <w:rFonts w:ascii="宋体" w:hAnsi="宋体" w:eastAsia="宋体" w:cs="宋体"/>
                <w:spacing w:val="-6"/>
                <w:sz w:val="21"/>
                <w:szCs w:val="21"/>
              </w:rPr>
              <w:t>常见疑似诊断、鉴别依据，</w:t>
            </w:r>
            <w:r>
              <w:rPr>
                <w:rFonts w:ascii="宋体" w:hAnsi="宋体" w:eastAsia="宋体" w:cs="宋体"/>
                <w:spacing w:val="42"/>
                <w:sz w:val="21"/>
                <w:szCs w:val="21"/>
              </w:rPr>
              <w:t xml:space="preserve"> </w:t>
            </w:r>
            <w:r>
              <w:rPr>
                <w:rFonts w:ascii="宋体" w:hAnsi="宋体" w:eastAsia="宋体" w:cs="宋体"/>
                <w:spacing w:val="-6"/>
                <w:sz w:val="21"/>
                <w:szCs w:val="21"/>
              </w:rPr>
              <w:t>初次触发</w:t>
            </w:r>
            <w:r>
              <w:rPr>
                <w:rFonts w:ascii="宋体" w:hAnsi="宋体" w:eastAsia="宋体" w:cs="宋体"/>
                <w:sz w:val="21"/>
                <w:szCs w:val="21"/>
              </w:rPr>
              <w:t xml:space="preserve"> </w:t>
            </w:r>
            <w:r>
              <w:rPr>
                <w:rFonts w:ascii="宋体" w:hAnsi="宋体" w:eastAsia="宋体" w:cs="宋体"/>
                <w:spacing w:val="-3"/>
                <w:sz w:val="21"/>
                <w:szCs w:val="21"/>
              </w:rPr>
              <w:t>页面、提醒时间、是否回写等信息。</w:t>
            </w:r>
          </w:p>
        </w:tc>
      </w:tr>
      <w:tr w14:paraId="48170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bottom w:val="nil"/>
            </w:tcBorders>
            <w:vAlign w:val="top"/>
          </w:tcPr>
          <w:p w14:paraId="73CEF97F">
            <w:pPr>
              <w:rPr>
                <w:rFonts w:ascii="Arial"/>
                <w:sz w:val="21"/>
              </w:rPr>
            </w:pPr>
          </w:p>
        </w:tc>
        <w:tc>
          <w:tcPr>
            <w:tcW w:w="1560" w:type="dxa"/>
            <w:vMerge w:val="continue"/>
            <w:tcBorders>
              <w:top w:val="nil"/>
              <w:bottom w:val="nil"/>
            </w:tcBorders>
            <w:vAlign w:val="top"/>
          </w:tcPr>
          <w:p w14:paraId="6D8753AC">
            <w:pPr>
              <w:rPr>
                <w:rFonts w:ascii="Arial"/>
                <w:sz w:val="21"/>
              </w:rPr>
            </w:pPr>
          </w:p>
        </w:tc>
        <w:tc>
          <w:tcPr>
            <w:tcW w:w="7736" w:type="dxa"/>
            <w:vAlign w:val="top"/>
          </w:tcPr>
          <w:p w14:paraId="04A440D4">
            <w:pPr>
              <w:spacing w:before="85" w:line="285" w:lineRule="auto"/>
              <w:ind w:left="110" w:right="103"/>
              <w:rPr>
                <w:rFonts w:ascii="宋体" w:hAnsi="宋体" w:eastAsia="宋体" w:cs="宋体"/>
                <w:sz w:val="21"/>
                <w:szCs w:val="21"/>
              </w:rPr>
            </w:pPr>
            <w:r>
              <w:rPr>
                <w:rFonts w:ascii="宋体" w:hAnsi="宋体" w:eastAsia="宋体" w:cs="宋体"/>
                <w:spacing w:val="-1"/>
                <w:sz w:val="21"/>
                <w:szCs w:val="21"/>
              </w:rPr>
              <w:t>支持对一定时间段内不同推荐项目的变化趋势进行统</w:t>
            </w:r>
            <w:r>
              <w:rPr>
                <w:rFonts w:ascii="宋体" w:hAnsi="宋体" w:eastAsia="宋体" w:cs="宋体"/>
                <w:spacing w:val="-2"/>
                <w:sz w:val="21"/>
                <w:szCs w:val="21"/>
              </w:rPr>
              <w:t>计分析，以天、周、月进行展</w:t>
            </w:r>
            <w:r>
              <w:rPr>
                <w:rFonts w:ascii="宋体" w:hAnsi="宋体" w:eastAsia="宋体" w:cs="宋体"/>
                <w:sz w:val="21"/>
                <w:szCs w:val="21"/>
              </w:rPr>
              <w:t xml:space="preserve"> </w:t>
            </w:r>
            <w:r>
              <w:rPr>
                <w:rFonts w:ascii="宋体" w:hAnsi="宋体" w:eastAsia="宋体" w:cs="宋体"/>
                <w:spacing w:val="-1"/>
                <w:sz w:val="21"/>
                <w:szCs w:val="21"/>
              </w:rPr>
              <w:t>示，支持用户根据需求勾选推荐项目调整显示的趋势图</w:t>
            </w:r>
          </w:p>
        </w:tc>
      </w:tr>
      <w:tr w14:paraId="008A4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16C735EF">
            <w:pPr>
              <w:rPr>
                <w:rFonts w:ascii="Arial"/>
                <w:sz w:val="21"/>
              </w:rPr>
            </w:pPr>
          </w:p>
        </w:tc>
        <w:tc>
          <w:tcPr>
            <w:tcW w:w="1560" w:type="dxa"/>
            <w:vMerge w:val="continue"/>
            <w:tcBorders>
              <w:top w:val="nil"/>
              <w:bottom w:val="nil"/>
            </w:tcBorders>
            <w:vAlign w:val="top"/>
          </w:tcPr>
          <w:p w14:paraId="6AE1AF02">
            <w:pPr>
              <w:rPr>
                <w:rFonts w:ascii="Arial"/>
                <w:sz w:val="21"/>
              </w:rPr>
            </w:pPr>
          </w:p>
        </w:tc>
        <w:tc>
          <w:tcPr>
            <w:tcW w:w="7736" w:type="dxa"/>
            <w:vAlign w:val="top"/>
          </w:tcPr>
          <w:p w14:paraId="3065A146">
            <w:pPr>
              <w:spacing w:before="86" w:line="219" w:lineRule="auto"/>
              <w:ind w:left="110"/>
              <w:rPr>
                <w:rFonts w:ascii="宋体" w:hAnsi="宋体" w:eastAsia="宋体" w:cs="宋体"/>
                <w:sz w:val="21"/>
                <w:szCs w:val="21"/>
              </w:rPr>
            </w:pPr>
            <w:r>
              <w:rPr>
                <w:rFonts w:ascii="宋体" w:hAnsi="宋体" w:eastAsia="宋体" w:cs="宋体"/>
                <w:spacing w:val="-1"/>
                <w:sz w:val="21"/>
                <w:szCs w:val="21"/>
              </w:rPr>
              <w:t>支持智能推荐项目回填率统计分析</w:t>
            </w:r>
          </w:p>
        </w:tc>
      </w:tr>
      <w:tr w14:paraId="4572C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11985855">
            <w:pPr>
              <w:rPr>
                <w:rFonts w:ascii="Arial"/>
                <w:sz w:val="21"/>
              </w:rPr>
            </w:pPr>
          </w:p>
        </w:tc>
        <w:tc>
          <w:tcPr>
            <w:tcW w:w="1560" w:type="dxa"/>
            <w:vMerge w:val="continue"/>
            <w:tcBorders>
              <w:top w:val="nil"/>
            </w:tcBorders>
            <w:vAlign w:val="top"/>
          </w:tcPr>
          <w:p w14:paraId="562888BB">
            <w:pPr>
              <w:rPr>
                <w:rFonts w:ascii="Arial"/>
                <w:sz w:val="21"/>
              </w:rPr>
            </w:pPr>
          </w:p>
        </w:tc>
        <w:tc>
          <w:tcPr>
            <w:tcW w:w="7736" w:type="dxa"/>
            <w:vAlign w:val="top"/>
          </w:tcPr>
          <w:p w14:paraId="0EB0B220">
            <w:pPr>
              <w:spacing w:before="87" w:line="214" w:lineRule="auto"/>
              <w:ind w:left="110"/>
              <w:rPr>
                <w:rFonts w:ascii="宋体" w:hAnsi="宋体" w:eastAsia="宋体" w:cs="宋体"/>
                <w:sz w:val="21"/>
                <w:szCs w:val="21"/>
              </w:rPr>
            </w:pPr>
            <w:r>
              <w:rPr>
                <w:rFonts w:ascii="宋体" w:hAnsi="宋体" w:eastAsia="宋体" w:cs="宋体"/>
                <w:spacing w:val="-2"/>
                <w:sz w:val="21"/>
                <w:szCs w:val="21"/>
              </w:rPr>
              <w:t>支持推荐项目排名，展示推荐内容</w:t>
            </w:r>
            <w:r>
              <w:rPr>
                <w:rFonts w:ascii="宋体" w:hAnsi="宋体" w:eastAsia="宋体" w:cs="宋体"/>
                <w:spacing w:val="-39"/>
                <w:sz w:val="21"/>
                <w:szCs w:val="21"/>
              </w:rPr>
              <w:t xml:space="preserve"> </w:t>
            </w:r>
            <w:r>
              <w:rPr>
                <w:rFonts w:ascii="宋体" w:hAnsi="宋体" w:eastAsia="宋体" w:cs="宋体"/>
                <w:spacing w:val="-2"/>
                <w:sz w:val="21"/>
                <w:szCs w:val="21"/>
              </w:rPr>
              <w:t>top10。</w:t>
            </w:r>
          </w:p>
        </w:tc>
      </w:tr>
      <w:tr w14:paraId="2DDE3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179CFDD8">
            <w:pPr>
              <w:rPr>
                <w:rFonts w:ascii="Arial"/>
                <w:sz w:val="21"/>
              </w:rPr>
            </w:pPr>
          </w:p>
        </w:tc>
        <w:tc>
          <w:tcPr>
            <w:tcW w:w="1560" w:type="dxa"/>
            <w:vMerge w:val="restart"/>
            <w:tcBorders>
              <w:bottom w:val="nil"/>
            </w:tcBorders>
            <w:vAlign w:val="top"/>
          </w:tcPr>
          <w:p w14:paraId="32C98D4E">
            <w:pPr>
              <w:spacing w:line="291" w:lineRule="auto"/>
              <w:rPr>
                <w:rFonts w:ascii="Arial"/>
                <w:sz w:val="21"/>
              </w:rPr>
            </w:pPr>
          </w:p>
          <w:p w14:paraId="66AA8AA2">
            <w:pPr>
              <w:spacing w:line="292" w:lineRule="auto"/>
              <w:rPr>
                <w:rFonts w:ascii="Arial"/>
                <w:sz w:val="21"/>
              </w:rPr>
            </w:pPr>
          </w:p>
          <w:p w14:paraId="4927C62D">
            <w:pPr>
              <w:spacing w:before="69" w:line="220" w:lineRule="auto"/>
              <w:ind w:left="151"/>
              <w:rPr>
                <w:rFonts w:ascii="宋体" w:hAnsi="宋体" w:eastAsia="宋体" w:cs="宋体"/>
                <w:sz w:val="21"/>
                <w:szCs w:val="21"/>
              </w:rPr>
            </w:pPr>
            <w:r>
              <w:rPr>
                <w:rFonts w:ascii="宋体" w:hAnsi="宋体" w:eastAsia="宋体" w:cs="宋体"/>
                <w:spacing w:val="-2"/>
                <w:sz w:val="21"/>
                <w:szCs w:val="21"/>
              </w:rPr>
              <w:t>用户点击数据</w:t>
            </w:r>
          </w:p>
        </w:tc>
        <w:tc>
          <w:tcPr>
            <w:tcW w:w="7736" w:type="dxa"/>
            <w:vAlign w:val="top"/>
          </w:tcPr>
          <w:p w14:paraId="4F658538">
            <w:pPr>
              <w:spacing w:before="87" w:line="219" w:lineRule="auto"/>
              <w:ind w:left="110"/>
              <w:rPr>
                <w:rFonts w:ascii="宋体" w:hAnsi="宋体" w:eastAsia="宋体" w:cs="宋体"/>
                <w:sz w:val="21"/>
                <w:szCs w:val="21"/>
              </w:rPr>
            </w:pPr>
            <w:r>
              <w:rPr>
                <w:rFonts w:ascii="宋体" w:hAnsi="宋体" w:eastAsia="宋体" w:cs="宋体"/>
                <w:spacing w:val="3"/>
                <w:sz w:val="21"/>
                <w:szCs w:val="21"/>
              </w:rPr>
              <w:t>支持对整体点击量、覆盖患者数、覆盖医生数、智能推荐数进行统计分析；</w:t>
            </w:r>
          </w:p>
        </w:tc>
      </w:tr>
      <w:tr w14:paraId="45052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042" w:type="dxa"/>
            <w:vMerge w:val="continue"/>
            <w:tcBorders>
              <w:top w:val="nil"/>
              <w:bottom w:val="nil"/>
            </w:tcBorders>
            <w:vAlign w:val="top"/>
          </w:tcPr>
          <w:p w14:paraId="3066ABAB">
            <w:pPr>
              <w:rPr>
                <w:rFonts w:ascii="Arial"/>
                <w:sz w:val="21"/>
              </w:rPr>
            </w:pPr>
          </w:p>
        </w:tc>
        <w:tc>
          <w:tcPr>
            <w:tcW w:w="1560" w:type="dxa"/>
            <w:vMerge w:val="continue"/>
            <w:tcBorders>
              <w:top w:val="nil"/>
              <w:bottom w:val="nil"/>
            </w:tcBorders>
            <w:vAlign w:val="top"/>
          </w:tcPr>
          <w:p w14:paraId="13BD538A">
            <w:pPr>
              <w:rPr>
                <w:rFonts w:ascii="Arial"/>
                <w:sz w:val="21"/>
              </w:rPr>
            </w:pPr>
          </w:p>
        </w:tc>
        <w:tc>
          <w:tcPr>
            <w:tcW w:w="7736" w:type="dxa"/>
            <w:vAlign w:val="top"/>
          </w:tcPr>
          <w:p w14:paraId="5D3360FD">
            <w:pPr>
              <w:spacing w:before="88" w:line="284" w:lineRule="auto"/>
              <w:ind w:left="108" w:right="107" w:firstLine="1"/>
              <w:rPr>
                <w:rFonts w:ascii="宋体" w:hAnsi="宋体" w:eastAsia="宋体" w:cs="宋体"/>
                <w:sz w:val="21"/>
                <w:szCs w:val="21"/>
              </w:rPr>
            </w:pPr>
            <w:r>
              <w:rPr>
                <w:rFonts w:ascii="宋体" w:hAnsi="宋体" w:eastAsia="宋体" w:cs="宋体"/>
                <w:sz w:val="21"/>
                <w:szCs w:val="21"/>
              </w:rPr>
              <w:t>支持对</w:t>
            </w:r>
            <w:r>
              <w:rPr>
                <w:rFonts w:ascii="宋体" w:hAnsi="宋体" w:eastAsia="宋体" w:cs="宋体"/>
                <w:spacing w:val="-23"/>
                <w:sz w:val="21"/>
                <w:szCs w:val="21"/>
              </w:rPr>
              <w:t xml:space="preserve"> </w:t>
            </w:r>
            <w:r>
              <w:rPr>
                <w:rFonts w:ascii="宋体" w:hAnsi="宋体" w:eastAsia="宋体" w:cs="宋体"/>
                <w:sz w:val="21"/>
                <w:szCs w:val="21"/>
              </w:rPr>
              <w:t>CDSS</w:t>
            </w:r>
            <w:r>
              <w:rPr>
                <w:rFonts w:ascii="宋体" w:hAnsi="宋体" w:eastAsia="宋体" w:cs="宋体"/>
                <w:spacing w:val="-30"/>
                <w:sz w:val="21"/>
                <w:szCs w:val="21"/>
              </w:rPr>
              <w:t xml:space="preserve"> </w:t>
            </w:r>
            <w:r>
              <w:rPr>
                <w:rFonts w:ascii="宋体" w:hAnsi="宋体" w:eastAsia="宋体" w:cs="宋体"/>
                <w:sz w:val="21"/>
                <w:szCs w:val="21"/>
              </w:rPr>
              <w:t xml:space="preserve">点击数和覆盖患者数的时间趋势进行统计分析，按天、周、月进行可 </w:t>
            </w:r>
            <w:r>
              <w:rPr>
                <w:rFonts w:ascii="宋体" w:hAnsi="宋体" w:eastAsia="宋体" w:cs="宋体"/>
                <w:spacing w:val="1"/>
                <w:sz w:val="21"/>
                <w:szCs w:val="21"/>
              </w:rPr>
              <w:t>视化图表展示；</w:t>
            </w:r>
          </w:p>
        </w:tc>
      </w:tr>
      <w:tr w14:paraId="41C1E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42" w:type="dxa"/>
            <w:vMerge w:val="continue"/>
            <w:tcBorders>
              <w:top w:val="nil"/>
            </w:tcBorders>
            <w:vAlign w:val="top"/>
          </w:tcPr>
          <w:p w14:paraId="293EAC36">
            <w:pPr>
              <w:rPr>
                <w:rFonts w:ascii="Arial"/>
                <w:sz w:val="21"/>
              </w:rPr>
            </w:pPr>
          </w:p>
        </w:tc>
        <w:tc>
          <w:tcPr>
            <w:tcW w:w="1560" w:type="dxa"/>
            <w:vMerge w:val="continue"/>
            <w:tcBorders>
              <w:top w:val="nil"/>
            </w:tcBorders>
            <w:vAlign w:val="top"/>
          </w:tcPr>
          <w:p w14:paraId="3528C9B7">
            <w:pPr>
              <w:rPr>
                <w:rFonts w:ascii="Arial"/>
                <w:sz w:val="21"/>
              </w:rPr>
            </w:pPr>
          </w:p>
        </w:tc>
        <w:tc>
          <w:tcPr>
            <w:tcW w:w="7736" w:type="dxa"/>
            <w:vAlign w:val="top"/>
          </w:tcPr>
          <w:p w14:paraId="5FF6E17A">
            <w:pPr>
              <w:spacing w:before="88" w:line="214" w:lineRule="auto"/>
              <w:ind w:left="110"/>
              <w:rPr>
                <w:rFonts w:ascii="宋体" w:hAnsi="宋体" w:eastAsia="宋体" w:cs="宋体"/>
                <w:sz w:val="21"/>
                <w:szCs w:val="21"/>
              </w:rPr>
            </w:pPr>
            <w:r>
              <w:rPr>
                <w:rFonts w:ascii="宋体" w:hAnsi="宋体" w:eastAsia="宋体" w:cs="宋体"/>
                <w:spacing w:val="3"/>
                <w:sz w:val="21"/>
                <w:szCs w:val="21"/>
              </w:rPr>
              <w:t>支持对不同科室点击量进行统计并排名，可视化展示科室点击量</w:t>
            </w:r>
            <w:r>
              <w:rPr>
                <w:rFonts w:ascii="宋体" w:hAnsi="宋体" w:eastAsia="宋体" w:cs="宋体"/>
                <w:spacing w:val="-35"/>
                <w:sz w:val="21"/>
                <w:szCs w:val="21"/>
              </w:rPr>
              <w:t xml:space="preserve"> </w:t>
            </w:r>
            <w:r>
              <w:rPr>
                <w:rFonts w:ascii="宋体" w:hAnsi="宋体" w:eastAsia="宋体" w:cs="宋体"/>
                <w:sz w:val="21"/>
                <w:szCs w:val="21"/>
              </w:rPr>
              <w:t>top</w:t>
            </w:r>
            <w:r>
              <w:rPr>
                <w:rFonts w:ascii="宋体" w:hAnsi="宋体" w:eastAsia="宋体" w:cs="宋体"/>
                <w:spacing w:val="3"/>
                <w:sz w:val="21"/>
                <w:szCs w:val="21"/>
              </w:rPr>
              <w:t>1</w:t>
            </w:r>
            <w:r>
              <w:rPr>
                <w:rFonts w:ascii="宋体" w:hAnsi="宋体" w:eastAsia="宋体" w:cs="宋体"/>
                <w:spacing w:val="2"/>
                <w:sz w:val="21"/>
                <w:szCs w:val="21"/>
              </w:rPr>
              <w:t>5；</w:t>
            </w:r>
          </w:p>
        </w:tc>
      </w:tr>
    </w:tbl>
    <w:p w14:paraId="6BF10E36">
      <w:pPr>
        <w:pStyle w:val="2"/>
        <w:spacing w:line="258" w:lineRule="auto"/>
      </w:pPr>
    </w:p>
    <w:p w14:paraId="36894738">
      <w:pPr>
        <w:spacing w:before="62" w:line="209" w:lineRule="auto"/>
        <w:ind w:left="222"/>
        <w:rPr>
          <w:rFonts w:ascii="宋体" w:hAnsi="宋体" w:eastAsia="宋体" w:cs="宋体"/>
          <w:sz w:val="19"/>
          <w:szCs w:val="19"/>
        </w:rPr>
      </w:pPr>
      <w:r>
        <w:pict>
          <v:shape id="_x0000_s1039" o:spid="_x0000_s1039" style="position:absolute;left:0pt;margin-left:5.65pt;margin-top:11.85pt;height:0.75pt;width:494pt;z-index:251683840;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3"/>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3"/>
          <w:position w:val="1"/>
          <w:sz w:val="18"/>
          <w:szCs w:val="18"/>
        </w:rPr>
        <w:t xml:space="preserve">19                               </w:t>
      </w:r>
      <w:r>
        <w:rPr>
          <w:rFonts w:ascii="宋体" w:hAnsi="宋体" w:eastAsia="宋体" w:cs="宋体"/>
          <w:b/>
          <w:bCs/>
          <w:i/>
          <w:iCs/>
          <w:spacing w:val="-3"/>
          <w:sz w:val="19"/>
          <w:szCs w:val="19"/>
        </w:rPr>
        <w:t>伊犁州公共资源交易中心</w:t>
      </w:r>
    </w:p>
    <w:p w14:paraId="2078E2D1">
      <w:pPr>
        <w:spacing w:line="209" w:lineRule="auto"/>
        <w:rPr>
          <w:rFonts w:ascii="宋体" w:hAnsi="宋体" w:eastAsia="宋体" w:cs="宋体"/>
          <w:sz w:val="19"/>
          <w:szCs w:val="19"/>
        </w:rPr>
        <w:sectPr>
          <w:pgSz w:w="11905" w:h="16839"/>
          <w:pgMar w:top="1136" w:right="503" w:bottom="400" w:left="1052" w:header="854" w:footer="0" w:gutter="0"/>
          <w:cols w:space="720" w:num="1"/>
        </w:sectPr>
      </w:pPr>
    </w:p>
    <w:p w14:paraId="7A91FBD5">
      <w:pPr>
        <w:spacing w:before="38"/>
      </w:pPr>
    </w:p>
    <w:tbl>
      <w:tblPr>
        <w:tblStyle w:val="5"/>
        <w:tblW w:w="103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561"/>
        <w:gridCol w:w="7734"/>
      </w:tblGrid>
      <w:tr w14:paraId="18716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042" w:type="dxa"/>
            <w:vMerge w:val="restart"/>
            <w:tcBorders>
              <w:bottom w:val="nil"/>
            </w:tcBorders>
            <w:vAlign w:val="top"/>
          </w:tcPr>
          <w:p w14:paraId="24D9ECD9">
            <w:pPr>
              <w:rPr>
                <w:rFonts w:ascii="Arial"/>
                <w:sz w:val="21"/>
              </w:rPr>
            </w:pPr>
          </w:p>
        </w:tc>
        <w:tc>
          <w:tcPr>
            <w:tcW w:w="1561" w:type="dxa"/>
            <w:vAlign w:val="top"/>
          </w:tcPr>
          <w:p w14:paraId="295DD8F9">
            <w:pPr>
              <w:rPr>
                <w:rFonts w:ascii="Arial"/>
                <w:sz w:val="21"/>
              </w:rPr>
            </w:pPr>
          </w:p>
        </w:tc>
        <w:tc>
          <w:tcPr>
            <w:tcW w:w="7734" w:type="dxa"/>
            <w:vAlign w:val="top"/>
          </w:tcPr>
          <w:p w14:paraId="26535A6D">
            <w:pPr>
              <w:spacing w:before="83" w:line="214" w:lineRule="auto"/>
              <w:ind w:left="109"/>
              <w:rPr>
                <w:rFonts w:ascii="宋体" w:hAnsi="宋体" w:eastAsia="宋体" w:cs="宋体"/>
                <w:sz w:val="21"/>
                <w:szCs w:val="21"/>
              </w:rPr>
            </w:pPr>
            <w:r>
              <w:rPr>
                <w:rFonts w:ascii="宋体" w:hAnsi="宋体" w:eastAsia="宋体" w:cs="宋体"/>
                <w:spacing w:val="3"/>
                <w:sz w:val="21"/>
                <w:szCs w:val="21"/>
              </w:rPr>
              <w:t>支持对不同医生点击量进行统计并排名，可视化展示医生点击量</w:t>
            </w:r>
            <w:r>
              <w:rPr>
                <w:rFonts w:ascii="宋体" w:hAnsi="宋体" w:eastAsia="宋体" w:cs="宋体"/>
                <w:spacing w:val="-35"/>
                <w:sz w:val="21"/>
                <w:szCs w:val="21"/>
              </w:rPr>
              <w:t xml:space="preserve"> </w:t>
            </w:r>
            <w:r>
              <w:rPr>
                <w:rFonts w:ascii="宋体" w:hAnsi="宋体" w:eastAsia="宋体" w:cs="宋体"/>
                <w:sz w:val="21"/>
                <w:szCs w:val="21"/>
              </w:rPr>
              <w:t>top</w:t>
            </w:r>
            <w:r>
              <w:rPr>
                <w:rFonts w:ascii="宋体" w:hAnsi="宋体" w:eastAsia="宋体" w:cs="宋体"/>
                <w:spacing w:val="3"/>
                <w:sz w:val="21"/>
                <w:szCs w:val="21"/>
              </w:rPr>
              <w:t>1</w:t>
            </w:r>
            <w:r>
              <w:rPr>
                <w:rFonts w:ascii="宋体" w:hAnsi="宋体" w:eastAsia="宋体" w:cs="宋体"/>
                <w:spacing w:val="2"/>
                <w:sz w:val="21"/>
                <w:szCs w:val="21"/>
              </w:rPr>
              <w:t>5；</w:t>
            </w:r>
          </w:p>
        </w:tc>
      </w:tr>
      <w:tr w14:paraId="6472D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bottom w:val="nil"/>
            </w:tcBorders>
            <w:vAlign w:val="top"/>
          </w:tcPr>
          <w:p w14:paraId="4379C624">
            <w:pPr>
              <w:rPr>
                <w:rFonts w:ascii="Arial"/>
                <w:sz w:val="21"/>
              </w:rPr>
            </w:pPr>
          </w:p>
        </w:tc>
        <w:tc>
          <w:tcPr>
            <w:tcW w:w="1561" w:type="dxa"/>
            <w:vMerge w:val="restart"/>
            <w:tcBorders>
              <w:bottom w:val="nil"/>
            </w:tcBorders>
            <w:vAlign w:val="top"/>
          </w:tcPr>
          <w:p w14:paraId="21947AC0">
            <w:pPr>
              <w:spacing w:line="253" w:lineRule="auto"/>
              <w:rPr>
                <w:rFonts w:ascii="Arial"/>
                <w:sz w:val="21"/>
              </w:rPr>
            </w:pPr>
          </w:p>
          <w:p w14:paraId="05F55168">
            <w:pPr>
              <w:spacing w:line="253" w:lineRule="auto"/>
              <w:rPr>
                <w:rFonts w:ascii="Arial"/>
                <w:sz w:val="21"/>
              </w:rPr>
            </w:pPr>
          </w:p>
          <w:p w14:paraId="56B4DAAA">
            <w:pPr>
              <w:spacing w:line="254" w:lineRule="auto"/>
              <w:rPr>
                <w:rFonts w:ascii="Arial"/>
                <w:sz w:val="21"/>
              </w:rPr>
            </w:pPr>
          </w:p>
          <w:p w14:paraId="08F2F5AB">
            <w:pPr>
              <w:spacing w:before="68" w:line="221" w:lineRule="auto"/>
              <w:ind w:left="364"/>
              <w:rPr>
                <w:rFonts w:ascii="宋体" w:hAnsi="宋体" w:eastAsia="宋体" w:cs="宋体"/>
                <w:sz w:val="21"/>
                <w:szCs w:val="21"/>
              </w:rPr>
            </w:pPr>
            <w:r>
              <w:rPr>
                <w:rFonts w:ascii="宋体" w:hAnsi="宋体" w:eastAsia="宋体" w:cs="宋体"/>
                <w:spacing w:val="-3"/>
                <w:sz w:val="21"/>
                <w:szCs w:val="21"/>
              </w:rPr>
              <w:t>热点功能</w:t>
            </w:r>
          </w:p>
        </w:tc>
        <w:tc>
          <w:tcPr>
            <w:tcW w:w="7734" w:type="dxa"/>
            <w:vAlign w:val="top"/>
          </w:tcPr>
          <w:p w14:paraId="3E577A21">
            <w:pPr>
              <w:spacing w:before="78" w:line="288" w:lineRule="auto"/>
              <w:ind w:left="108" w:right="137"/>
              <w:rPr>
                <w:rFonts w:ascii="宋体" w:hAnsi="宋体" w:eastAsia="宋体" w:cs="宋体"/>
                <w:sz w:val="21"/>
                <w:szCs w:val="21"/>
              </w:rPr>
            </w:pPr>
            <w:r>
              <w:rPr>
                <w:rFonts w:ascii="宋体" w:hAnsi="宋体" w:eastAsia="宋体" w:cs="宋体"/>
                <w:spacing w:val="4"/>
                <w:sz w:val="21"/>
                <w:szCs w:val="21"/>
              </w:rPr>
              <w:t>支持对检验检查、治疗方案、文献、鉴别诊断等</w:t>
            </w:r>
            <w:r>
              <w:rPr>
                <w:rFonts w:ascii="宋体" w:hAnsi="宋体" w:eastAsia="宋体" w:cs="宋体"/>
                <w:spacing w:val="3"/>
                <w:sz w:val="21"/>
                <w:szCs w:val="21"/>
              </w:rPr>
              <w:t>不同模块模块使用点击量进行统</w:t>
            </w:r>
            <w:r>
              <w:rPr>
                <w:rFonts w:ascii="宋体" w:hAnsi="宋体" w:eastAsia="宋体" w:cs="宋体"/>
                <w:sz w:val="21"/>
                <w:szCs w:val="21"/>
              </w:rPr>
              <w:t xml:space="preserve"> </w:t>
            </w:r>
            <w:r>
              <w:rPr>
                <w:rFonts w:ascii="宋体" w:hAnsi="宋体" w:eastAsia="宋体" w:cs="宋体"/>
                <w:spacing w:val="3"/>
                <w:sz w:val="21"/>
                <w:szCs w:val="21"/>
              </w:rPr>
              <w:t>计分析；点击可下钻使用该功能模块最多的科室排行榜，列表可下载；</w:t>
            </w:r>
          </w:p>
        </w:tc>
      </w:tr>
      <w:tr w14:paraId="05B2E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bottom w:val="nil"/>
            </w:tcBorders>
            <w:vAlign w:val="top"/>
          </w:tcPr>
          <w:p w14:paraId="328AA83A">
            <w:pPr>
              <w:rPr>
                <w:rFonts w:ascii="Arial"/>
                <w:sz w:val="21"/>
              </w:rPr>
            </w:pPr>
          </w:p>
        </w:tc>
        <w:tc>
          <w:tcPr>
            <w:tcW w:w="1561" w:type="dxa"/>
            <w:vMerge w:val="continue"/>
            <w:tcBorders>
              <w:top w:val="nil"/>
              <w:bottom w:val="nil"/>
            </w:tcBorders>
            <w:vAlign w:val="top"/>
          </w:tcPr>
          <w:p w14:paraId="23B09D80">
            <w:pPr>
              <w:rPr>
                <w:rFonts w:ascii="Arial"/>
                <w:sz w:val="21"/>
              </w:rPr>
            </w:pPr>
          </w:p>
        </w:tc>
        <w:tc>
          <w:tcPr>
            <w:tcW w:w="7734" w:type="dxa"/>
            <w:vAlign w:val="top"/>
          </w:tcPr>
          <w:p w14:paraId="6CC46529">
            <w:pPr>
              <w:spacing w:before="78" w:line="288" w:lineRule="auto"/>
              <w:ind w:left="118" w:right="187" w:hanging="9"/>
              <w:rPr>
                <w:rFonts w:ascii="宋体" w:hAnsi="宋体" w:eastAsia="宋体" w:cs="宋体"/>
                <w:sz w:val="21"/>
                <w:szCs w:val="21"/>
              </w:rPr>
            </w:pPr>
            <w:r>
              <w:rPr>
                <w:rFonts w:ascii="宋体" w:hAnsi="宋体" w:eastAsia="宋体" w:cs="宋体"/>
                <w:spacing w:val="2"/>
                <w:sz w:val="21"/>
                <w:szCs w:val="21"/>
              </w:rPr>
              <w:t>支持对用户搜索知识库情况进行统计分析，可视化展示热点知识库搜索排行榜；</w:t>
            </w:r>
            <w:r>
              <w:rPr>
                <w:rFonts w:ascii="宋体" w:hAnsi="宋体" w:eastAsia="宋体" w:cs="宋体"/>
                <w:spacing w:val="6"/>
                <w:sz w:val="21"/>
                <w:szCs w:val="21"/>
              </w:rPr>
              <w:t xml:space="preserve"> </w:t>
            </w:r>
            <w:r>
              <w:rPr>
                <w:rFonts w:ascii="宋体" w:hAnsi="宋体" w:eastAsia="宋体" w:cs="宋体"/>
                <w:spacing w:val="2"/>
                <w:sz w:val="21"/>
                <w:szCs w:val="21"/>
              </w:rPr>
              <w:t>点击可下钻搜索列表，列表可下载；</w:t>
            </w:r>
          </w:p>
        </w:tc>
      </w:tr>
      <w:tr w14:paraId="164E9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76C426CD">
            <w:pPr>
              <w:rPr>
                <w:rFonts w:ascii="Arial"/>
                <w:sz w:val="21"/>
              </w:rPr>
            </w:pPr>
          </w:p>
        </w:tc>
        <w:tc>
          <w:tcPr>
            <w:tcW w:w="1561" w:type="dxa"/>
            <w:vMerge w:val="continue"/>
            <w:tcBorders>
              <w:top w:val="nil"/>
            </w:tcBorders>
            <w:vAlign w:val="top"/>
          </w:tcPr>
          <w:p w14:paraId="5EE75222">
            <w:pPr>
              <w:rPr>
                <w:rFonts w:ascii="Arial"/>
                <w:sz w:val="21"/>
              </w:rPr>
            </w:pPr>
          </w:p>
        </w:tc>
        <w:tc>
          <w:tcPr>
            <w:tcW w:w="7734" w:type="dxa"/>
            <w:vAlign w:val="top"/>
          </w:tcPr>
          <w:p w14:paraId="5FC317F1">
            <w:pPr>
              <w:spacing w:before="80" w:line="219" w:lineRule="auto"/>
              <w:ind w:left="109"/>
              <w:rPr>
                <w:rFonts w:ascii="宋体" w:hAnsi="宋体" w:eastAsia="宋体" w:cs="宋体"/>
                <w:sz w:val="21"/>
                <w:szCs w:val="21"/>
              </w:rPr>
            </w:pPr>
            <w:r>
              <w:rPr>
                <w:rFonts w:ascii="宋体" w:hAnsi="宋体" w:eastAsia="宋体" w:cs="宋体"/>
                <w:spacing w:val="3"/>
                <w:sz w:val="21"/>
                <w:szCs w:val="21"/>
              </w:rPr>
              <w:t>支持对不同科室文献使用情况进行统计分析。</w:t>
            </w:r>
          </w:p>
        </w:tc>
      </w:tr>
      <w:tr w14:paraId="6A9A5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bottom w:val="nil"/>
            </w:tcBorders>
            <w:vAlign w:val="top"/>
          </w:tcPr>
          <w:p w14:paraId="3D672751">
            <w:pPr>
              <w:rPr>
                <w:rFonts w:ascii="Arial"/>
                <w:sz w:val="21"/>
              </w:rPr>
            </w:pPr>
          </w:p>
        </w:tc>
        <w:tc>
          <w:tcPr>
            <w:tcW w:w="1561" w:type="dxa"/>
            <w:vMerge w:val="restart"/>
            <w:tcBorders>
              <w:bottom w:val="nil"/>
            </w:tcBorders>
            <w:vAlign w:val="top"/>
          </w:tcPr>
          <w:p w14:paraId="0E16ED01">
            <w:pPr>
              <w:spacing w:line="288" w:lineRule="auto"/>
              <w:rPr>
                <w:rFonts w:ascii="Arial"/>
                <w:sz w:val="21"/>
              </w:rPr>
            </w:pPr>
          </w:p>
          <w:p w14:paraId="0BC35A8E">
            <w:pPr>
              <w:spacing w:line="289" w:lineRule="auto"/>
              <w:rPr>
                <w:rFonts w:ascii="Arial"/>
                <w:sz w:val="21"/>
              </w:rPr>
            </w:pPr>
          </w:p>
          <w:p w14:paraId="5D24B221">
            <w:pPr>
              <w:spacing w:before="69" w:line="218" w:lineRule="auto"/>
              <w:ind w:left="152"/>
              <w:rPr>
                <w:rFonts w:ascii="宋体" w:hAnsi="宋体" w:eastAsia="宋体" w:cs="宋体"/>
                <w:sz w:val="21"/>
                <w:szCs w:val="21"/>
              </w:rPr>
            </w:pPr>
            <w:r>
              <w:rPr>
                <w:rFonts w:ascii="宋体" w:hAnsi="宋体" w:eastAsia="宋体" w:cs="宋体"/>
                <w:spacing w:val="-2"/>
                <w:sz w:val="21"/>
                <w:szCs w:val="21"/>
              </w:rPr>
              <w:t>历史评估记录</w:t>
            </w:r>
          </w:p>
        </w:tc>
        <w:tc>
          <w:tcPr>
            <w:tcW w:w="7734" w:type="dxa"/>
            <w:vAlign w:val="top"/>
          </w:tcPr>
          <w:p w14:paraId="24346A67">
            <w:pPr>
              <w:spacing w:before="81" w:line="287" w:lineRule="auto"/>
              <w:ind w:left="110" w:right="137" w:hanging="3"/>
              <w:rPr>
                <w:rFonts w:ascii="宋体" w:hAnsi="宋体" w:eastAsia="宋体" w:cs="宋体"/>
                <w:sz w:val="21"/>
                <w:szCs w:val="21"/>
              </w:rPr>
            </w:pPr>
            <w:r>
              <w:rPr>
                <w:rFonts w:ascii="宋体" w:hAnsi="宋体" w:eastAsia="宋体" w:cs="宋体"/>
                <w:spacing w:val="4"/>
                <w:sz w:val="21"/>
                <w:szCs w:val="21"/>
              </w:rPr>
              <w:t>对全院历史评估情况进行汇总，可按照患者维度、</w:t>
            </w:r>
            <w:r>
              <w:rPr>
                <w:rFonts w:ascii="宋体" w:hAnsi="宋体" w:eastAsia="宋体" w:cs="宋体"/>
                <w:spacing w:val="3"/>
                <w:sz w:val="21"/>
                <w:szCs w:val="21"/>
              </w:rPr>
              <w:t>评估表维度进行评估历史记录</w:t>
            </w:r>
            <w:r>
              <w:rPr>
                <w:rFonts w:ascii="宋体" w:hAnsi="宋体" w:eastAsia="宋体" w:cs="宋体"/>
                <w:sz w:val="21"/>
                <w:szCs w:val="21"/>
              </w:rPr>
              <w:t xml:space="preserve"> </w:t>
            </w:r>
            <w:r>
              <w:rPr>
                <w:rFonts w:ascii="宋体" w:hAnsi="宋体" w:eastAsia="宋体" w:cs="宋体"/>
                <w:spacing w:val="-4"/>
                <w:sz w:val="21"/>
                <w:szCs w:val="21"/>
              </w:rPr>
              <w:t>查看</w:t>
            </w:r>
          </w:p>
        </w:tc>
      </w:tr>
      <w:tr w14:paraId="39652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32E37E5E">
            <w:pPr>
              <w:rPr>
                <w:rFonts w:ascii="Arial"/>
                <w:sz w:val="21"/>
              </w:rPr>
            </w:pPr>
          </w:p>
        </w:tc>
        <w:tc>
          <w:tcPr>
            <w:tcW w:w="1561" w:type="dxa"/>
            <w:vMerge w:val="continue"/>
            <w:tcBorders>
              <w:top w:val="nil"/>
              <w:bottom w:val="nil"/>
            </w:tcBorders>
            <w:vAlign w:val="top"/>
          </w:tcPr>
          <w:p w14:paraId="1C01658F">
            <w:pPr>
              <w:rPr>
                <w:rFonts w:ascii="Arial"/>
                <w:sz w:val="21"/>
              </w:rPr>
            </w:pPr>
          </w:p>
        </w:tc>
        <w:tc>
          <w:tcPr>
            <w:tcW w:w="7734" w:type="dxa"/>
            <w:vAlign w:val="top"/>
          </w:tcPr>
          <w:p w14:paraId="51592AF1">
            <w:pPr>
              <w:spacing w:before="82" w:line="218" w:lineRule="auto"/>
              <w:ind w:left="109"/>
              <w:rPr>
                <w:rFonts w:ascii="宋体" w:hAnsi="宋体" w:eastAsia="宋体" w:cs="宋体"/>
                <w:sz w:val="21"/>
                <w:szCs w:val="21"/>
              </w:rPr>
            </w:pPr>
            <w:r>
              <w:rPr>
                <w:rFonts w:ascii="宋体" w:hAnsi="宋体" w:eastAsia="宋体" w:cs="宋体"/>
                <w:spacing w:val="3"/>
                <w:sz w:val="21"/>
                <w:szCs w:val="21"/>
              </w:rPr>
              <w:t>支持每次原始评估表详情查看，支持评估依据查看；</w:t>
            </w:r>
          </w:p>
        </w:tc>
      </w:tr>
      <w:tr w14:paraId="5D9EE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42" w:type="dxa"/>
            <w:vMerge w:val="continue"/>
            <w:tcBorders>
              <w:top w:val="nil"/>
              <w:bottom w:val="nil"/>
            </w:tcBorders>
            <w:vAlign w:val="top"/>
          </w:tcPr>
          <w:p w14:paraId="20480BD6">
            <w:pPr>
              <w:rPr>
                <w:rFonts w:ascii="Arial"/>
                <w:sz w:val="21"/>
              </w:rPr>
            </w:pPr>
          </w:p>
        </w:tc>
        <w:tc>
          <w:tcPr>
            <w:tcW w:w="1561" w:type="dxa"/>
            <w:vMerge w:val="continue"/>
            <w:tcBorders>
              <w:top w:val="nil"/>
            </w:tcBorders>
            <w:vAlign w:val="top"/>
          </w:tcPr>
          <w:p w14:paraId="6CDB9F32">
            <w:pPr>
              <w:rPr>
                <w:rFonts w:ascii="Arial"/>
                <w:sz w:val="21"/>
              </w:rPr>
            </w:pPr>
          </w:p>
        </w:tc>
        <w:tc>
          <w:tcPr>
            <w:tcW w:w="7734" w:type="dxa"/>
            <w:vAlign w:val="top"/>
          </w:tcPr>
          <w:p w14:paraId="161EF135">
            <w:pPr>
              <w:spacing w:before="82" w:line="218" w:lineRule="auto"/>
              <w:ind w:left="109"/>
              <w:rPr>
                <w:rFonts w:ascii="宋体" w:hAnsi="宋体" w:eastAsia="宋体" w:cs="宋体"/>
                <w:sz w:val="21"/>
                <w:szCs w:val="21"/>
              </w:rPr>
            </w:pPr>
            <w:r>
              <w:rPr>
                <w:rFonts w:ascii="宋体" w:hAnsi="宋体" w:eastAsia="宋体" w:cs="宋体"/>
                <w:spacing w:val="3"/>
                <w:sz w:val="21"/>
                <w:szCs w:val="21"/>
              </w:rPr>
              <w:t>支持历史评估记录表字体大小调整、打印、下载。</w:t>
            </w:r>
          </w:p>
        </w:tc>
      </w:tr>
      <w:tr w14:paraId="5982B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42" w:type="dxa"/>
            <w:vMerge w:val="continue"/>
            <w:tcBorders>
              <w:top w:val="nil"/>
            </w:tcBorders>
            <w:vAlign w:val="top"/>
          </w:tcPr>
          <w:p w14:paraId="0893131D">
            <w:pPr>
              <w:rPr>
                <w:rFonts w:ascii="Arial"/>
                <w:sz w:val="21"/>
              </w:rPr>
            </w:pPr>
          </w:p>
        </w:tc>
        <w:tc>
          <w:tcPr>
            <w:tcW w:w="1561" w:type="dxa"/>
            <w:vAlign w:val="top"/>
          </w:tcPr>
          <w:p w14:paraId="542FDC12">
            <w:pPr>
              <w:spacing w:before="268" w:line="220" w:lineRule="auto"/>
              <w:ind w:left="361"/>
              <w:rPr>
                <w:rFonts w:ascii="宋体" w:hAnsi="宋体" w:eastAsia="宋体" w:cs="宋体"/>
                <w:sz w:val="21"/>
                <w:szCs w:val="21"/>
              </w:rPr>
            </w:pPr>
            <w:r>
              <w:rPr>
                <w:rFonts w:ascii="宋体" w:hAnsi="宋体" w:eastAsia="宋体" w:cs="宋体"/>
                <w:spacing w:val="-2"/>
                <w:sz w:val="21"/>
                <w:szCs w:val="21"/>
              </w:rPr>
              <w:t>反馈管理</w:t>
            </w:r>
          </w:p>
        </w:tc>
        <w:tc>
          <w:tcPr>
            <w:tcW w:w="7734" w:type="dxa"/>
            <w:vAlign w:val="top"/>
          </w:tcPr>
          <w:p w14:paraId="6938B276">
            <w:pPr>
              <w:spacing w:before="83" w:line="286" w:lineRule="auto"/>
              <w:ind w:left="110" w:right="205" w:hanging="1"/>
              <w:rPr>
                <w:rFonts w:ascii="宋体" w:hAnsi="宋体" w:eastAsia="宋体" w:cs="宋体"/>
                <w:sz w:val="21"/>
                <w:szCs w:val="21"/>
              </w:rPr>
            </w:pPr>
            <w:r>
              <w:rPr>
                <w:rFonts w:ascii="宋体" w:hAnsi="宋体" w:eastAsia="宋体" w:cs="宋体"/>
                <w:spacing w:val="2"/>
                <w:sz w:val="21"/>
                <w:szCs w:val="21"/>
              </w:rPr>
              <w:t>支持反馈情况统计分析，统计指标包含反馈总数、回</w:t>
            </w:r>
            <w:r>
              <w:rPr>
                <w:rFonts w:ascii="宋体" w:hAnsi="宋体" w:eastAsia="宋体" w:cs="宋体"/>
                <w:spacing w:val="1"/>
                <w:sz w:val="21"/>
                <w:szCs w:val="21"/>
              </w:rPr>
              <w:t>复总数、提缺陷、提建议等</w:t>
            </w:r>
            <w:r>
              <w:rPr>
                <w:rFonts w:ascii="宋体" w:hAnsi="宋体" w:eastAsia="宋体" w:cs="宋体"/>
                <w:sz w:val="21"/>
                <w:szCs w:val="21"/>
              </w:rPr>
              <w:t xml:space="preserve"> </w:t>
            </w:r>
            <w:r>
              <w:rPr>
                <w:rFonts w:ascii="宋体" w:hAnsi="宋体" w:eastAsia="宋体" w:cs="宋体"/>
                <w:spacing w:val="-14"/>
                <w:sz w:val="21"/>
                <w:szCs w:val="21"/>
              </w:rPr>
              <w:t>指标；</w:t>
            </w:r>
          </w:p>
        </w:tc>
      </w:tr>
      <w:tr w14:paraId="3CC6D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1042" w:type="dxa"/>
            <w:vAlign w:val="top"/>
          </w:tcPr>
          <w:p w14:paraId="7D8211F6">
            <w:pPr>
              <w:spacing w:line="360" w:lineRule="auto"/>
              <w:rPr>
                <w:rFonts w:ascii="Arial"/>
                <w:sz w:val="21"/>
              </w:rPr>
            </w:pPr>
          </w:p>
          <w:p w14:paraId="260A5B8C">
            <w:pPr>
              <w:spacing w:before="78" w:line="454" w:lineRule="auto"/>
              <w:ind w:left="439" w:right="158" w:hanging="271"/>
              <w:rPr>
                <w:rFonts w:ascii="宋体" w:hAnsi="宋体" w:eastAsia="宋体" w:cs="宋体"/>
                <w:sz w:val="24"/>
                <w:szCs w:val="24"/>
              </w:rPr>
            </w:pPr>
            <w:r>
              <w:rPr>
                <w:rFonts w:ascii="宋体" w:hAnsi="宋体" w:eastAsia="宋体" w:cs="宋体"/>
                <w:spacing w:val="-5"/>
                <w:sz w:val="24"/>
                <w:szCs w:val="24"/>
              </w:rPr>
              <w:t>系统接</w:t>
            </w:r>
            <w:r>
              <w:rPr>
                <w:rFonts w:ascii="宋体" w:hAnsi="宋体" w:eastAsia="宋体" w:cs="宋体"/>
                <w:sz w:val="24"/>
                <w:szCs w:val="24"/>
              </w:rPr>
              <w:t xml:space="preserve"> 口</w:t>
            </w:r>
          </w:p>
        </w:tc>
        <w:tc>
          <w:tcPr>
            <w:tcW w:w="1561" w:type="dxa"/>
            <w:vAlign w:val="top"/>
          </w:tcPr>
          <w:p w14:paraId="19D7F987">
            <w:pPr>
              <w:spacing w:line="255" w:lineRule="auto"/>
              <w:rPr>
                <w:rFonts w:ascii="Arial"/>
                <w:sz w:val="21"/>
              </w:rPr>
            </w:pPr>
          </w:p>
          <w:p w14:paraId="7CFDE009">
            <w:pPr>
              <w:spacing w:line="256" w:lineRule="auto"/>
              <w:rPr>
                <w:rFonts w:ascii="Arial"/>
                <w:sz w:val="21"/>
              </w:rPr>
            </w:pPr>
          </w:p>
          <w:p w14:paraId="0691FAC6">
            <w:pPr>
              <w:spacing w:before="68" w:line="221" w:lineRule="auto"/>
              <w:ind w:left="106"/>
              <w:rPr>
                <w:rFonts w:ascii="宋体" w:hAnsi="宋体" w:eastAsia="宋体" w:cs="宋体"/>
                <w:sz w:val="21"/>
                <w:szCs w:val="21"/>
              </w:rPr>
            </w:pPr>
            <w:r>
              <w:rPr>
                <w:rFonts w:ascii="宋体" w:hAnsi="宋体" w:eastAsia="宋体" w:cs="宋体"/>
                <w:spacing w:val="-2"/>
                <w:sz w:val="21"/>
                <w:szCs w:val="21"/>
              </w:rPr>
              <w:t>接口配置</w:t>
            </w:r>
          </w:p>
        </w:tc>
        <w:tc>
          <w:tcPr>
            <w:tcW w:w="7734" w:type="dxa"/>
            <w:vAlign w:val="top"/>
          </w:tcPr>
          <w:p w14:paraId="522D9CFA">
            <w:pPr>
              <w:spacing w:before="69" w:line="261" w:lineRule="auto"/>
              <w:ind w:left="532" w:right="102" w:hanging="387"/>
              <w:rPr>
                <w:rFonts w:ascii="宋体" w:hAnsi="宋体" w:eastAsia="宋体" w:cs="宋体"/>
                <w:sz w:val="21"/>
                <w:szCs w:val="21"/>
              </w:rPr>
            </w:pPr>
            <w:r>
              <w:rPr>
                <w:rFonts w:ascii="宋体" w:hAnsi="宋体" w:eastAsia="宋体" w:cs="宋体"/>
                <w:sz w:val="21"/>
                <w:szCs w:val="21"/>
              </w:rPr>
              <w:t>(1) 系统要具有灵活的接口实现，能够与医院现有</w:t>
            </w:r>
            <w:r>
              <w:rPr>
                <w:rFonts w:ascii="宋体" w:hAnsi="宋体" w:eastAsia="宋体" w:cs="宋体"/>
                <w:spacing w:val="-44"/>
                <w:sz w:val="21"/>
                <w:szCs w:val="21"/>
              </w:rPr>
              <w:t xml:space="preserve"> </w:t>
            </w:r>
            <w:r>
              <w:rPr>
                <w:rFonts w:ascii="宋体" w:hAnsi="宋体" w:eastAsia="宋体" w:cs="宋体"/>
                <w:sz w:val="21"/>
                <w:szCs w:val="21"/>
              </w:rPr>
              <w:t>HIS、EMR</w:t>
            </w:r>
            <w:r>
              <w:rPr>
                <w:rFonts w:ascii="宋体" w:hAnsi="宋体" w:eastAsia="宋体" w:cs="宋体"/>
                <w:spacing w:val="-41"/>
                <w:sz w:val="21"/>
                <w:szCs w:val="21"/>
              </w:rPr>
              <w:t xml:space="preserve"> </w:t>
            </w:r>
            <w:r>
              <w:rPr>
                <w:rFonts w:ascii="宋体" w:hAnsi="宋体" w:eastAsia="宋体" w:cs="宋体"/>
                <w:sz w:val="21"/>
                <w:szCs w:val="21"/>
              </w:rPr>
              <w:t xml:space="preserve">等相关系统紧密结合 </w:t>
            </w:r>
            <w:r>
              <w:rPr>
                <w:rFonts w:ascii="宋体" w:hAnsi="宋体" w:eastAsia="宋体" w:cs="宋体"/>
                <w:spacing w:val="-9"/>
                <w:sz w:val="21"/>
                <w:szCs w:val="21"/>
              </w:rPr>
              <w:t>对接。</w:t>
            </w:r>
          </w:p>
          <w:p w14:paraId="592268FB">
            <w:pPr>
              <w:spacing w:before="90" w:line="220" w:lineRule="auto"/>
              <w:ind w:left="145"/>
              <w:rPr>
                <w:rFonts w:ascii="宋体" w:hAnsi="宋体" w:eastAsia="宋体" w:cs="宋体"/>
                <w:sz w:val="21"/>
                <w:szCs w:val="21"/>
              </w:rPr>
            </w:pPr>
            <w:r>
              <w:rPr>
                <w:rFonts w:ascii="宋体" w:hAnsi="宋体" w:eastAsia="宋体" w:cs="宋体"/>
                <w:spacing w:val="-4"/>
                <w:sz w:val="21"/>
                <w:szCs w:val="21"/>
              </w:rPr>
              <w:t>(2) 软件上线后维保期内免费更新升级。</w:t>
            </w:r>
          </w:p>
          <w:p w14:paraId="27102BD4">
            <w:pPr>
              <w:spacing w:before="93" w:line="220" w:lineRule="auto"/>
              <w:ind w:left="145"/>
              <w:rPr>
                <w:rFonts w:ascii="宋体" w:hAnsi="宋体" w:eastAsia="宋体" w:cs="宋体"/>
                <w:sz w:val="21"/>
                <w:szCs w:val="21"/>
              </w:rPr>
            </w:pPr>
            <w:r>
              <w:rPr>
                <w:rFonts w:ascii="宋体" w:hAnsi="宋体" w:eastAsia="宋体" w:cs="宋体"/>
                <w:spacing w:val="-6"/>
                <w:sz w:val="21"/>
                <w:szCs w:val="21"/>
              </w:rPr>
              <w:t>(3) 接口永久免费开放。</w:t>
            </w:r>
          </w:p>
          <w:p w14:paraId="37B28044">
            <w:pPr>
              <w:spacing w:before="91" w:line="220" w:lineRule="auto"/>
              <w:ind w:left="128"/>
              <w:rPr>
                <w:rFonts w:ascii="宋体" w:hAnsi="宋体" w:eastAsia="宋体" w:cs="宋体"/>
                <w:sz w:val="21"/>
                <w:szCs w:val="21"/>
              </w:rPr>
            </w:pPr>
            <w:r>
              <w:rPr>
                <w:rFonts w:ascii="宋体" w:hAnsi="宋体" w:eastAsia="宋体" w:cs="宋体"/>
                <w:spacing w:val="-4"/>
                <w:sz w:val="21"/>
                <w:szCs w:val="21"/>
              </w:rPr>
              <w:t>同时包含所有系统的接口费用。</w:t>
            </w:r>
          </w:p>
        </w:tc>
      </w:tr>
      <w:tr w14:paraId="67E82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2603" w:type="dxa"/>
            <w:gridSpan w:val="2"/>
            <w:vAlign w:val="top"/>
          </w:tcPr>
          <w:p w14:paraId="4E4B10E2">
            <w:pPr>
              <w:pStyle w:val="6"/>
              <w:spacing w:before="190" w:line="293" w:lineRule="auto"/>
              <w:ind w:left="121" w:right="330" w:firstLine="24"/>
            </w:pPr>
            <w:r>
              <w:rPr>
                <w:spacing w:val="-5"/>
              </w:rPr>
              <w:t>国产化及电子病历评</w:t>
            </w:r>
            <w:r>
              <w:t xml:space="preserve"> </w:t>
            </w:r>
            <w:r>
              <w:rPr>
                <w:spacing w:val="-5"/>
              </w:rPr>
              <w:t>级要求</w:t>
            </w:r>
          </w:p>
        </w:tc>
        <w:tc>
          <w:tcPr>
            <w:tcW w:w="7734" w:type="dxa"/>
            <w:vAlign w:val="top"/>
          </w:tcPr>
          <w:p w14:paraId="260A25CD">
            <w:pPr>
              <w:spacing w:line="382" w:lineRule="auto"/>
              <w:rPr>
                <w:rFonts w:ascii="Arial"/>
                <w:sz w:val="21"/>
              </w:rPr>
            </w:pPr>
          </w:p>
          <w:p w14:paraId="39264138">
            <w:pPr>
              <w:pStyle w:val="6"/>
              <w:spacing w:before="103" w:line="183" w:lineRule="auto"/>
              <w:ind w:left="128"/>
            </w:pPr>
            <w:r>
              <w:t>★满足国产化及电子病历评级要求（含国产化认证及评级）</w:t>
            </w:r>
          </w:p>
        </w:tc>
      </w:tr>
    </w:tbl>
    <w:p w14:paraId="6D892418">
      <w:pPr>
        <w:pStyle w:val="2"/>
        <w:spacing w:line="308" w:lineRule="auto"/>
      </w:pPr>
    </w:p>
    <w:p w14:paraId="49DB89A7">
      <w:pPr>
        <w:spacing w:before="188" w:line="189" w:lineRule="auto"/>
        <w:ind w:left="4420"/>
        <w:rPr>
          <w:rFonts w:ascii="微软雅黑" w:hAnsi="微软雅黑" w:eastAsia="微软雅黑" w:cs="微软雅黑"/>
          <w:sz w:val="44"/>
          <w:szCs w:val="44"/>
        </w:rPr>
      </w:pPr>
      <w:r>
        <w:rPr>
          <w:rFonts w:ascii="微软雅黑" w:hAnsi="微软雅黑" w:eastAsia="微软雅黑" w:cs="微软雅黑"/>
          <w:b/>
          <w:bCs/>
          <w:spacing w:val="-7"/>
          <w:sz w:val="44"/>
          <w:szCs w:val="44"/>
        </w:rPr>
        <w:t>标段三</w:t>
      </w:r>
    </w:p>
    <w:p w14:paraId="2133BD92">
      <w:pPr>
        <w:spacing w:before="62" w:line="211" w:lineRule="auto"/>
        <w:ind w:left="128"/>
        <w:rPr>
          <w:rFonts w:ascii="微软雅黑" w:hAnsi="微软雅黑" w:eastAsia="微软雅黑" w:cs="微软雅黑"/>
          <w:sz w:val="28"/>
          <w:szCs w:val="28"/>
        </w:rPr>
      </w:pPr>
      <w:r>
        <w:rPr>
          <w:rFonts w:ascii="楷体" w:hAnsi="楷体" w:eastAsia="楷体" w:cs="楷体"/>
          <w:spacing w:val="-2"/>
          <w:sz w:val="32"/>
          <w:szCs w:val="32"/>
        </w:rPr>
        <w:t>项目名称：</w:t>
      </w:r>
      <w:r>
        <w:rPr>
          <w:rFonts w:ascii="微软雅黑" w:hAnsi="微软雅黑" w:eastAsia="微软雅黑" w:cs="微软雅黑"/>
          <w:spacing w:val="-2"/>
          <w:sz w:val="28"/>
          <w:szCs w:val="28"/>
        </w:rPr>
        <w:t>医务管理系统</w:t>
      </w:r>
    </w:p>
    <w:p w14:paraId="43A83862">
      <w:pPr>
        <w:spacing w:before="172" w:line="235" w:lineRule="auto"/>
        <w:ind w:left="121"/>
        <w:rPr>
          <w:rFonts w:ascii="楷体" w:hAnsi="楷体" w:eastAsia="楷体" w:cs="楷体"/>
          <w:sz w:val="32"/>
          <w:szCs w:val="32"/>
        </w:rPr>
      </w:pPr>
      <w:r>
        <w:rPr>
          <w:rFonts w:ascii="楷体" w:hAnsi="楷体" w:eastAsia="楷体" w:cs="楷体"/>
          <w:spacing w:val="-4"/>
          <w:sz w:val="32"/>
          <w:szCs w:val="32"/>
        </w:rPr>
        <w:t>数</w:t>
      </w:r>
      <w:r>
        <w:rPr>
          <w:rFonts w:ascii="楷体" w:hAnsi="楷体" w:eastAsia="楷体" w:cs="楷体"/>
          <w:spacing w:val="2"/>
          <w:sz w:val="32"/>
          <w:szCs w:val="32"/>
        </w:rPr>
        <w:t xml:space="preserve">    </w:t>
      </w:r>
      <w:r>
        <w:rPr>
          <w:rFonts w:ascii="楷体" w:hAnsi="楷体" w:eastAsia="楷体" w:cs="楷体"/>
          <w:spacing w:val="-4"/>
          <w:sz w:val="32"/>
          <w:szCs w:val="32"/>
        </w:rPr>
        <w:t>量：1</w:t>
      </w:r>
      <w:r>
        <w:rPr>
          <w:rFonts w:ascii="楷体" w:hAnsi="楷体" w:eastAsia="楷体" w:cs="楷体"/>
          <w:spacing w:val="-63"/>
          <w:sz w:val="32"/>
          <w:szCs w:val="32"/>
        </w:rPr>
        <w:t xml:space="preserve"> </w:t>
      </w:r>
      <w:r>
        <w:rPr>
          <w:rFonts w:ascii="楷体" w:hAnsi="楷体" w:eastAsia="楷体" w:cs="楷体"/>
          <w:spacing w:val="-4"/>
          <w:sz w:val="32"/>
          <w:szCs w:val="32"/>
        </w:rPr>
        <w:t>项</w:t>
      </w:r>
    </w:p>
    <w:p w14:paraId="0CBC722C">
      <w:pPr>
        <w:spacing w:before="188" w:line="227" w:lineRule="auto"/>
        <w:ind w:left="128"/>
        <w:rPr>
          <w:rFonts w:ascii="宋体" w:hAnsi="宋体" w:eastAsia="宋体" w:cs="宋体"/>
          <w:sz w:val="24"/>
          <w:szCs w:val="24"/>
        </w:rPr>
      </w:pPr>
      <w:r>
        <w:rPr>
          <w:rFonts w:ascii="楷体" w:hAnsi="楷体" w:eastAsia="楷体" w:cs="楷体"/>
          <w:sz w:val="32"/>
          <w:szCs w:val="32"/>
        </w:rPr>
        <w:t>技术参数</w:t>
      </w:r>
      <w:r>
        <w:rPr>
          <w:rFonts w:ascii="楷体" w:hAnsi="楷体" w:eastAsia="楷体" w:cs="楷体"/>
          <w:spacing w:val="-17"/>
          <w:sz w:val="32"/>
          <w:szCs w:val="32"/>
        </w:rPr>
        <w:t>：</w:t>
      </w:r>
      <w:r>
        <w:rPr>
          <w:rFonts w:ascii="宋体" w:hAnsi="宋体" w:eastAsia="宋体" w:cs="宋体"/>
          <w:b/>
          <w:bCs/>
          <w:spacing w:val="-17"/>
          <w:sz w:val="24"/>
          <w:szCs w:val="24"/>
        </w:rPr>
        <w:t>（</w:t>
      </w:r>
      <w:r>
        <w:rPr>
          <w:rFonts w:ascii="宋体" w:hAnsi="宋体" w:eastAsia="宋体" w:cs="宋体"/>
          <w:b/>
          <w:bCs/>
          <w:sz w:val="24"/>
          <w:szCs w:val="24"/>
        </w:rPr>
        <w:t>一）建设内容清单</w:t>
      </w:r>
    </w:p>
    <w:p w14:paraId="310AA09E">
      <w:pPr>
        <w:spacing w:line="182" w:lineRule="exact"/>
      </w:pPr>
    </w:p>
    <w:tbl>
      <w:tblPr>
        <w:tblStyle w:val="5"/>
        <w:tblW w:w="9396" w:type="dxa"/>
        <w:tblInd w:w="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0"/>
        <w:gridCol w:w="6263"/>
        <w:gridCol w:w="1603"/>
      </w:tblGrid>
      <w:tr w14:paraId="0533C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530" w:type="dxa"/>
            <w:vAlign w:val="top"/>
          </w:tcPr>
          <w:p w14:paraId="6788CFC5">
            <w:pPr>
              <w:spacing w:before="180" w:line="221" w:lineRule="auto"/>
              <w:ind w:left="555"/>
              <w:rPr>
                <w:rFonts w:ascii="宋体" w:hAnsi="宋体" w:eastAsia="宋体" w:cs="宋体"/>
                <w:sz w:val="21"/>
                <w:szCs w:val="21"/>
              </w:rPr>
            </w:pPr>
            <w:r>
              <w:rPr>
                <w:rFonts w:ascii="宋体" w:hAnsi="宋体" w:eastAsia="宋体" w:cs="宋体"/>
                <w:b/>
                <w:bCs/>
                <w:spacing w:val="-6"/>
                <w:sz w:val="21"/>
                <w:szCs w:val="21"/>
              </w:rPr>
              <w:t>序号</w:t>
            </w:r>
          </w:p>
        </w:tc>
        <w:tc>
          <w:tcPr>
            <w:tcW w:w="6263" w:type="dxa"/>
            <w:vAlign w:val="top"/>
          </w:tcPr>
          <w:p w14:paraId="2AC21E2E">
            <w:pPr>
              <w:spacing w:before="179" w:line="222" w:lineRule="auto"/>
              <w:ind w:left="2926"/>
              <w:rPr>
                <w:rFonts w:ascii="宋体" w:hAnsi="宋体" w:eastAsia="宋体" w:cs="宋体"/>
                <w:sz w:val="21"/>
                <w:szCs w:val="21"/>
              </w:rPr>
            </w:pPr>
            <w:r>
              <w:rPr>
                <w:rFonts w:ascii="宋体" w:hAnsi="宋体" w:eastAsia="宋体" w:cs="宋体"/>
                <w:b/>
                <w:bCs/>
                <w:spacing w:val="-8"/>
                <w:sz w:val="21"/>
                <w:szCs w:val="21"/>
              </w:rPr>
              <w:t>名称</w:t>
            </w:r>
          </w:p>
        </w:tc>
        <w:tc>
          <w:tcPr>
            <w:tcW w:w="1603" w:type="dxa"/>
            <w:vAlign w:val="top"/>
          </w:tcPr>
          <w:p w14:paraId="297F3AAD">
            <w:pPr>
              <w:spacing w:before="179" w:line="220" w:lineRule="auto"/>
              <w:ind w:left="598"/>
              <w:rPr>
                <w:rFonts w:ascii="宋体" w:hAnsi="宋体" w:eastAsia="宋体" w:cs="宋体"/>
                <w:sz w:val="21"/>
                <w:szCs w:val="21"/>
              </w:rPr>
            </w:pPr>
            <w:r>
              <w:rPr>
                <w:rFonts w:ascii="宋体" w:hAnsi="宋体" w:eastAsia="宋体" w:cs="宋体"/>
                <w:b/>
                <w:bCs/>
                <w:spacing w:val="-7"/>
                <w:sz w:val="21"/>
                <w:szCs w:val="21"/>
              </w:rPr>
              <w:t>数量</w:t>
            </w:r>
          </w:p>
        </w:tc>
      </w:tr>
      <w:tr w14:paraId="2406E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530" w:type="dxa"/>
            <w:vAlign w:val="top"/>
          </w:tcPr>
          <w:p w14:paraId="54420809">
            <w:pPr>
              <w:spacing w:before="211" w:line="182" w:lineRule="auto"/>
              <w:ind w:left="703"/>
              <w:rPr>
                <w:rFonts w:ascii="宋体" w:hAnsi="宋体" w:eastAsia="宋体" w:cs="宋体"/>
                <w:sz w:val="21"/>
                <w:szCs w:val="21"/>
              </w:rPr>
            </w:pPr>
            <w:r>
              <w:rPr>
                <w:rFonts w:ascii="宋体" w:hAnsi="宋体" w:eastAsia="宋体" w:cs="宋体"/>
                <w:sz w:val="21"/>
                <w:szCs w:val="21"/>
              </w:rPr>
              <w:t>1</w:t>
            </w:r>
          </w:p>
        </w:tc>
        <w:tc>
          <w:tcPr>
            <w:tcW w:w="6263" w:type="dxa"/>
            <w:vAlign w:val="top"/>
          </w:tcPr>
          <w:p w14:paraId="1A146049">
            <w:pPr>
              <w:spacing w:before="177" w:line="220" w:lineRule="auto"/>
              <w:ind w:left="2719"/>
              <w:rPr>
                <w:rFonts w:ascii="宋体" w:hAnsi="宋体" w:eastAsia="宋体" w:cs="宋体"/>
                <w:sz w:val="21"/>
                <w:szCs w:val="21"/>
              </w:rPr>
            </w:pPr>
            <w:r>
              <w:rPr>
                <w:rFonts w:ascii="宋体" w:hAnsi="宋体" w:eastAsia="宋体" w:cs="宋体"/>
                <w:spacing w:val="-3"/>
                <w:sz w:val="21"/>
                <w:szCs w:val="21"/>
              </w:rPr>
              <w:t>系统首页</w:t>
            </w:r>
          </w:p>
        </w:tc>
        <w:tc>
          <w:tcPr>
            <w:tcW w:w="1603" w:type="dxa"/>
            <w:vAlign w:val="top"/>
          </w:tcPr>
          <w:p w14:paraId="5251D984">
            <w:pPr>
              <w:spacing w:before="177" w:line="220" w:lineRule="auto"/>
              <w:ind w:left="638"/>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44"/>
                <w:sz w:val="21"/>
                <w:szCs w:val="21"/>
              </w:rPr>
              <w:t xml:space="preserve"> </w:t>
            </w:r>
            <w:r>
              <w:rPr>
                <w:rFonts w:ascii="宋体" w:hAnsi="宋体" w:eastAsia="宋体" w:cs="宋体"/>
                <w:spacing w:val="-12"/>
                <w:sz w:val="21"/>
                <w:szCs w:val="21"/>
              </w:rPr>
              <w:t>套</w:t>
            </w:r>
          </w:p>
        </w:tc>
      </w:tr>
      <w:tr w14:paraId="51E73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530" w:type="dxa"/>
            <w:vAlign w:val="top"/>
          </w:tcPr>
          <w:p w14:paraId="1019683C">
            <w:pPr>
              <w:spacing w:before="214" w:line="181" w:lineRule="auto"/>
              <w:ind w:left="690"/>
              <w:rPr>
                <w:rFonts w:ascii="宋体" w:hAnsi="宋体" w:eastAsia="宋体" w:cs="宋体"/>
                <w:sz w:val="21"/>
                <w:szCs w:val="21"/>
              </w:rPr>
            </w:pPr>
            <w:r>
              <w:rPr>
                <w:rFonts w:ascii="宋体" w:hAnsi="宋体" w:eastAsia="宋体" w:cs="宋体"/>
                <w:sz w:val="21"/>
                <w:szCs w:val="21"/>
              </w:rPr>
              <w:t>2</w:t>
            </w:r>
          </w:p>
        </w:tc>
        <w:tc>
          <w:tcPr>
            <w:tcW w:w="6263" w:type="dxa"/>
            <w:vAlign w:val="top"/>
          </w:tcPr>
          <w:p w14:paraId="343D92BC">
            <w:pPr>
              <w:spacing w:before="178" w:line="220" w:lineRule="auto"/>
              <w:ind w:left="2716"/>
              <w:rPr>
                <w:rFonts w:ascii="宋体" w:hAnsi="宋体" w:eastAsia="宋体" w:cs="宋体"/>
                <w:sz w:val="21"/>
                <w:szCs w:val="21"/>
              </w:rPr>
            </w:pPr>
            <w:r>
              <w:rPr>
                <w:rFonts w:ascii="宋体" w:hAnsi="宋体" w:eastAsia="宋体" w:cs="宋体"/>
                <w:spacing w:val="-2"/>
                <w:sz w:val="21"/>
                <w:szCs w:val="21"/>
              </w:rPr>
              <w:t>档案管理</w:t>
            </w:r>
          </w:p>
        </w:tc>
        <w:tc>
          <w:tcPr>
            <w:tcW w:w="1603" w:type="dxa"/>
            <w:vAlign w:val="top"/>
          </w:tcPr>
          <w:p w14:paraId="5A8DA3D2">
            <w:pPr>
              <w:spacing w:before="179" w:line="220" w:lineRule="auto"/>
              <w:ind w:left="638"/>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44"/>
                <w:sz w:val="21"/>
                <w:szCs w:val="21"/>
              </w:rPr>
              <w:t xml:space="preserve"> </w:t>
            </w:r>
            <w:r>
              <w:rPr>
                <w:rFonts w:ascii="宋体" w:hAnsi="宋体" w:eastAsia="宋体" w:cs="宋体"/>
                <w:spacing w:val="-12"/>
                <w:sz w:val="21"/>
                <w:szCs w:val="21"/>
              </w:rPr>
              <w:t>套</w:t>
            </w:r>
          </w:p>
        </w:tc>
      </w:tr>
      <w:tr w14:paraId="6BC9F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530" w:type="dxa"/>
            <w:vAlign w:val="top"/>
          </w:tcPr>
          <w:p w14:paraId="31DD2239">
            <w:pPr>
              <w:spacing w:before="215" w:line="181" w:lineRule="auto"/>
              <w:ind w:left="692"/>
              <w:rPr>
                <w:rFonts w:ascii="宋体" w:hAnsi="宋体" w:eastAsia="宋体" w:cs="宋体"/>
                <w:sz w:val="21"/>
                <w:szCs w:val="21"/>
              </w:rPr>
            </w:pPr>
            <w:r>
              <w:rPr>
                <w:rFonts w:ascii="宋体" w:hAnsi="宋体" w:eastAsia="宋体" w:cs="宋体"/>
                <w:sz w:val="21"/>
                <w:szCs w:val="21"/>
              </w:rPr>
              <w:t>3</w:t>
            </w:r>
          </w:p>
        </w:tc>
        <w:tc>
          <w:tcPr>
            <w:tcW w:w="6263" w:type="dxa"/>
            <w:vAlign w:val="top"/>
          </w:tcPr>
          <w:p w14:paraId="26634858">
            <w:pPr>
              <w:spacing w:before="179" w:line="220" w:lineRule="auto"/>
              <w:ind w:left="2725"/>
              <w:rPr>
                <w:rFonts w:ascii="宋体" w:hAnsi="宋体" w:eastAsia="宋体" w:cs="宋体"/>
                <w:sz w:val="21"/>
                <w:szCs w:val="21"/>
              </w:rPr>
            </w:pPr>
            <w:r>
              <w:rPr>
                <w:rFonts w:ascii="宋体" w:hAnsi="宋体" w:eastAsia="宋体" w:cs="宋体"/>
                <w:spacing w:val="-4"/>
                <w:sz w:val="21"/>
                <w:szCs w:val="21"/>
              </w:rPr>
              <w:t>医务督查</w:t>
            </w:r>
          </w:p>
        </w:tc>
        <w:tc>
          <w:tcPr>
            <w:tcW w:w="1603" w:type="dxa"/>
            <w:vAlign w:val="top"/>
          </w:tcPr>
          <w:p w14:paraId="735C9E25">
            <w:pPr>
              <w:spacing w:before="180" w:line="220" w:lineRule="auto"/>
              <w:ind w:left="638"/>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44"/>
                <w:sz w:val="21"/>
                <w:szCs w:val="21"/>
              </w:rPr>
              <w:t xml:space="preserve"> </w:t>
            </w:r>
            <w:r>
              <w:rPr>
                <w:rFonts w:ascii="宋体" w:hAnsi="宋体" w:eastAsia="宋体" w:cs="宋体"/>
                <w:spacing w:val="-12"/>
                <w:sz w:val="21"/>
                <w:szCs w:val="21"/>
              </w:rPr>
              <w:t>套</w:t>
            </w:r>
          </w:p>
        </w:tc>
      </w:tr>
      <w:tr w14:paraId="3302E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530" w:type="dxa"/>
            <w:vAlign w:val="top"/>
          </w:tcPr>
          <w:p w14:paraId="77275C2E">
            <w:pPr>
              <w:spacing w:before="217" w:line="181" w:lineRule="auto"/>
              <w:ind w:left="687"/>
              <w:rPr>
                <w:rFonts w:ascii="宋体" w:hAnsi="宋体" w:eastAsia="宋体" w:cs="宋体"/>
                <w:sz w:val="21"/>
                <w:szCs w:val="21"/>
              </w:rPr>
            </w:pPr>
            <w:r>
              <w:rPr>
                <w:rFonts w:ascii="宋体" w:hAnsi="宋体" w:eastAsia="宋体" w:cs="宋体"/>
                <w:sz w:val="21"/>
                <w:szCs w:val="21"/>
              </w:rPr>
              <w:t>4</w:t>
            </w:r>
          </w:p>
        </w:tc>
        <w:tc>
          <w:tcPr>
            <w:tcW w:w="6263" w:type="dxa"/>
            <w:vAlign w:val="top"/>
          </w:tcPr>
          <w:p w14:paraId="09D0D37D">
            <w:pPr>
              <w:spacing w:before="181" w:line="220" w:lineRule="auto"/>
              <w:ind w:left="2514"/>
              <w:rPr>
                <w:rFonts w:ascii="宋体" w:hAnsi="宋体" w:eastAsia="宋体" w:cs="宋体"/>
                <w:sz w:val="21"/>
                <w:szCs w:val="21"/>
              </w:rPr>
            </w:pPr>
            <w:r>
              <w:rPr>
                <w:rFonts w:ascii="宋体" w:hAnsi="宋体" w:eastAsia="宋体" w:cs="宋体"/>
                <w:spacing w:val="-3"/>
                <w:sz w:val="21"/>
                <w:szCs w:val="21"/>
              </w:rPr>
              <w:t>资质权限管理</w:t>
            </w:r>
          </w:p>
        </w:tc>
        <w:tc>
          <w:tcPr>
            <w:tcW w:w="1603" w:type="dxa"/>
            <w:vAlign w:val="top"/>
          </w:tcPr>
          <w:p w14:paraId="3673D6AF">
            <w:pPr>
              <w:spacing w:before="182" w:line="220" w:lineRule="auto"/>
              <w:ind w:left="638"/>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44"/>
                <w:sz w:val="21"/>
                <w:szCs w:val="21"/>
              </w:rPr>
              <w:t xml:space="preserve"> </w:t>
            </w:r>
            <w:r>
              <w:rPr>
                <w:rFonts w:ascii="宋体" w:hAnsi="宋体" w:eastAsia="宋体" w:cs="宋体"/>
                <w:spacing w:val="-12"/>
                <w:sz w:val="21"/>
                <w:szCs w:val="21"/>
              </w:rPr>
              <w:t>套</w:t>
            </w:r>
          </w:p>
        </w:tc>
      </w:tr>
      <w:tr w14:paraId="56B00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530" w:type="dxa"/>
            <w:vAlign w:val="top"/>
          </w:tcPr>
          <w:p w14:paraId="557F9659">
            <w:pPr>
              <w:spacing w:before="219" w:line="180" w:lineRule="auto"/>
              <w:ind w:left="692"/>
              <w:rPr>
                <w:rFonts w:ascii="宋体" w:hAnsi="宋体" w:eastAsia="宋体" w:cs="宋体"/>
                <w:sz w:val="21"/>
                <w:szCs w:val="21"/>
              </w:rPr>
            </w:pPr>
            <w:r>
              <w:rPr>
                <w:rFonts w:ascii="宋体" w:hAnsi="宋体" w:eastAsia="宋体" w:cs="宋体"/>
                <w:sz w:val="21"/>
                <w:szCs w:val="21"/>
              </w:rPr>
              <w:t>5</w:t>
            </w:r>
          </w:p>
        </w:tc>
        <w:tc>
          <w:tcPr>
            <w:tcW w:w="6263" w:type="dxa"/>
            <w:vAlign w:val="top"/>
          </w:tcPr>
          <w:p w14:paraId="30490364">
            <w:pPr>
              <w:spacing w:before="182" w:line="220" w:lineRule="auto"/>
              <w:ind w:left="2716"/>
              <w:rPr>
                <w:rFonts w:ascii="宋体" w:hAnsi="宋体" w:eastAsia="宋体" w:cs="宋体"/>
                <w:sz w:val="21"/>
                <w:szCs w:val="21"/>
              </w:rPr>
            </w:pPr>
            <w:r>
              <w:rPr>
                <w:rFonts w:ascii="宋体" w:hAnsi="宋体" w:eastAsia="宋体" w:cs="宋体"/>
                <w:spacing w:val="-2"/>
                <w:sz w:val="21"/>
                <w:szCs w:val="21"/>
              </w:rPr>
              <w:t>技术管理</w:t>
            </w:r>
          </w:p>
        </w:tc>
        <w:tc>
          <w:tcPr>
            <w:tcW w:w="1603" w:type="dxa"/>
            <w:vAlign w:val="top"/>
          </w:tcPr>
          <w:p w14:paraId="438D2DA4">
            <w:pPr>
              <w:spacing w:before="183" w:line="220" w:lineRule="auto"/>
              <w:ind w:left="638"/>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44"/>
                <w:sz w:val="21"/>
                <w:szCs w:val="21"/>
              </w:rPr>
              <w:t xml:space="preserve"> </w:t>
            </w:r>
            <w:r>
              <w:rPr>
                <w:rFonts w:ascii="宋体" w:hAnsi="宋体" w:eastAsia="宋体" w:cs="宋体"/>
                <w:spacing w:val="-12"/>
                <w:sz w:val="21"/>
                <w:szCs w:val="21"/>
              </w:rPr>
              <w:t>套</w:t>
            </w:r>
          </w:p>
        </w:tc>
      </w:tr>
    </w:tbl>
    <w:p w14:paraId="3334559C">
      <w:pPr>
        <w:pStyle w:val="2"/>
        <w:spacing w:line="354" w:lineRule="auto"/>
      </w:pPr>
    </w:p>
    <w:p w14:paraId="61500157">
      <w:pPr>
        <w:spacing w:before="63" w:line="209" w:lineRule="auto"/>
        <w:ind w:left="222"/>
        <w:rPr>
          <w:rFonts w:ascii="宋体" w:hAnsi="宋体" w:eastAsia="宋体" w:cs="宋体"/>
          <w:sz w:val="19"/>
          <w:szCs w:val="19"/>
        </w:rPr>
      </w:pPr>
      <w:r>
        <w:pict>
          <v:shape id="_x0000_s1040" o:spid="_x0000_s1040" style="position:absolute;left:0pt;margin-left:5.65pt;margin-top:11.8pt;height:0.75pt;width:494pt;z-index:251684864;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2"/>
          <w:position w:val="1"/>
          <w:sz w:val="18"/>
          <w:szCs w:val="18"/>
        </w:rPr>
        <w:t xml:space="preserve">20                          </w:t>
      </w:r>
      <w:r>
        <w:rPr>
          <w:rFonts w:ascii="Times New Roman" w:hAnsi="Times New Roman" w:eastAsia="Times New Roman" w:cs="Times New Roman"/>
          <w:spacing w:val="-3"/>
          <w:position w:val="1"/>
          <w:sz w:val="18"/>
          <w:szCs w:val="18"/>
        </w:rPr>
        <w:t xml:space="preserve">     </w:t>
      </w:r>
      <w:r>
        <w:rPr>
          <w:rFonts w:ascii="宋体" w:hAnsi="宋体" w:eastAsia="宋体" w:cs="宋体"/>
          <w:b/>
          <w:bCs/>
          <w:i/>
          <w:iCs/>
          <w:spacing w:val="-3"/>
          <w:sz w:val="19"/>
          <w:szCs w:val="19"/>
        </w:rPr>
        <w:t>伊犁州公共资源交易中心</w:t>
      </w:r>
    </w:p>
    <w:p w14:paraId="16B80447">
      <w:pPr>
        <w:spacing w:line="209" w:lineRule="auto"/>
        <w:rPr>
          <w:rFonts w:ascii="宋体" w:hAnsi="宋体" w:eastAsia="宋体" w:cs="宋体"/>
          <w:sz w:val="19"/>
          <w:szCs w:val="19"/>
        </w:rPr>
        <w:sectPr>
          <w:pgSz w:w="11905" w:h="16839"/>
          <w:pgMar w:top="1136" w:right="503" w:bottom="400" w:left="1052" w:header="854" w:footer="0" w:gutter="0"/>
          <w:cols w:space="720" w:num="1"/>
        </w:sectPr>
      </w:pPr>
    </w:p>
    <w:p w14:paraId="0F7AB9CA">
      <w:pPr>
        <w:spacing w:before="38"/>
      </w:pPr>
    </w:p>
    <w:tbl>
      <w:tblPr>
        <w:tblStyle w:val="5"/>
        <w:tblW w:w="9396" w:type="dxa"/>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0"/>
        <w:gridCol w:w="6263"/>
        <w:gridCol w:w="1603"/>
      </w:tblGrid>
      <w:tr w14:paraId="3291A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530" w:type="dxa"/>
            <w:vAlign w:val="top"/>
          </w:tcPr>
          <w:p w14:paraId="49E86813">
            <w:pPr>
              <w:spacing w:before="215" w:line="181" w:lineRule="auto"/>
              <w:ind w:left="689"/>
              <w:rPr>
                <w:rFonts w:ascii="宋体" w:hAnsi="宋体" w:eastAsia="宋体" w:cs="宋体"/>
                <w:sz w:val="21"/>
                <w:szCs w:val="21"/>
              </w:rPr>
            </w:pPr>
            <w:r>
              <w:rPr>
                <w:rFonts w:ascii="宋体" w:hAnsi="宋体" w:eastAsia="宋体" w:cs="宋体"/>
                <w:sz w:val="21"/>
                <w:szCs w:val="21"/>
              </w:rPr>
              <w:t>6</w:t>
            </w:r>
          </w:p>
        </w:tc>
        <w:tc>
          <w:tcPr>
            <w:tcW w:w="6263" w:type="dxa"/>
            <w:vAlign w:val="top"/>
          </w:tcPr>
          <w:p w14:paraId="7862AEFA">
            <w:pPr>
              <w:spacing w:before="180" w:line="220" w:lineRule="auto"/>
              <w:ind w:left="2714"/>
              <w:rPr>
                <w:rFonts w:ascii="宋体" w:hAnsi="宋体" w:eastAsia="宋体" w:cs="宋体"/>
                <w:sz w:val="21"/>
                <w:szCs w:val="21"/>
              </w:rPr>
            </w:pPr>
            <w:r>
              <w:rPr>
                <w:rFonts w:ascii="宋体" w:hAnsi="宋体" w:eastAsia="宋体" w:cs="宋体"/>
                <w:spacing w:val="-2"/>
                <w:sz w:val="21"/>
                <w:szCs w:val="21"/>
              </w:rPr>
              <w:t>政策制度</w:t>
            </w:r>
          </w:p>
        </w:tc>
        <w:tc>
          <w:tcPr>
            <w:tcW w:w="1603" w:type="dxa"/>
            <w:vAlign w:val="top"/>
          </w:tcPr>
          <w:p w14:paraId="4CB912C4">
            <w:pPr>
              <w:spacing w:before="180" w:line="220" w:lineRule="auto"/>
              <w:ind w:left="638"/>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44"/>
                <w:sz w:val="21"/>
                <w:szCs w:val="21"/>
              </w:rPr>
              <w:t xml:space="preserve"> </w:t>
            </w:r>
            <w:r>
              <w:rPr>
                <w:rFonts w:ascii="宋体" w:hAnsi="宋体" w:eastAsia="宋体" w:cs="宋体"/>
                <w:spacing w:val="-12"/>
                <w:sz w:val="21"/>
                <w:szCs w:val="21"/>
              </w:rPr>
              <w:t>套</w:t>
            </w:r>
          </w:p>
        </w:tc>
      </w:tr>
      <w:tr w14:paraId="1376B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530" w:type="dxa"/>
            <w:vAlign w:val="top"/>
          </w:tcPr>
          <w:p w14:paraId="4B476203">
            <w:pPr>
              <w:spacing w:before="212" w:line="180" w:lineRule="auto"/>
              <w:ind w:left="692"/>
              <w:rPr>
                <w:rFonts w:ascii="宋体" w:hAnsi="宋体" w:eastAsia="宋体" w:cs="宋体"/>
                <w:sz w:val="21"/>
                <w:szCs w:val="21"/>
              </w:rPr>
            </w:pPr>
            <w:r>
              <w:rPr>
                <w:rFonts w:ascii="宋体" w:hAnsi="宋体" w:eastAsia="宋体" w:cs="宋体"/>
                <w:sz w:val="21"/>
                <w:szCs w:val="21"/>
              </w:rPr>
              <w:t>7</w:t>
            </w:r>
          </w:p>
        </w:tc>
        <w:tc>
          <w:tcPr>
            <w:tcW w:w="6263" w:type="dxa"/>
            <w:vAlign w:val="top"/>
          </w:tcPr>
          <w:p w14:paraId="7C1B7CA4">
            <w:pPr>
              <w:spacing w:before="176" w:line="220" w:lineRule="auto"/>
              <w:ind w:left="2717"/>
              <w:rPr>
                <w:rFonts w:ascii="宋体" w:hAnsi="宋体" w:eastAsia="宋体" w:cs="宋体"/>
                <w:sz w:val="21"/>
                <w:szCs w:val="21"/>
              </w:rPr>
            </w:pPr>
            <w:r>
              <w:rPr>
                <w:rFonts w:ascii="宋体" w:hAnsi="宋体" w:eastAsia="宋体" w:cs="宋体"/>
                <w:spacing w:val="-3"/>
                <w:sz w:val="21"/>
                <w:szCs w:val="21"/>
              </w:rPr>
              <w:t>综合排班</w:t>
            </w:r>
          </w:p>
        </w:tc>
        <w:tc>
          <w:tcPr>
            <w:tcW w:w="1603" w:type="dxa"/>
            <w:vAlign w:val="top"/>
          </w:tcPr>
          <w:p w14:paraId="67E7BB8A">
            <w:pPr>
              <w:spacing w:before="176" w:line="220" w:lineRule="auto"/>
              <w:ind w:left="638"/>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44"/>
                <w:sz w:val="21"/>
                <w:szCs w:val="21"/>
              </w:rPr>
              <w:t xml:space="preserve"> </w:t>
            </w:r>
            <w:r>
              <w:rPr>
                <w:rFonts w:ascii="宋体" w:hAnsi="宋体" w:eastAsia="宋体" w:cs="宋体"/>
                <w:spacing w:val="-12"/>
                <w:sz w:val="21"/>
                <w:szCs w:val="21"/>
              </w:rPr>
              <w:t>套</w:t>
            </w:r>
          </w:p>
        </w:tc>
      </w:tr>
      <w:tr w14:paraId="0BE28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530" w:type="dxa"/>
            <w:vAlign w:val="top"/>
          </w:tcPr>
          <w:p w14:paraId="23CA9C6A">
            <w:pPr>
              <w:spacing w:before="212" w:line="181" w:lineRule="auto"/>
              <w:ind w:left="688"/>
              <w:rPr>
                <w:rFonts w:ascii="宋体" w:hAnsi="宋体" w:eastAsia="宋体" w:cs="宋体"/>
                <w:sz w:val="21"/>
                <w:szCs w:val="21"/>
              </w:rPr>
            </w:pPr>
            <w:r>
              <w:rPr>
                <w:rFonts w:ascii="宋体" w:hAnsi="宋体" w:eastAsia="宋体" w:cs="宋体"/>
                <w:sz w:val="21"/>
                <w:szCs w:val="21"/>
              </w:rPr>
              <w:t>8</w:t>
            </w:r>
          </w:p>
        </w:tc>
        <w:tc>
          <w:tcPr>
            <w:tcW w:w="6263" w:type="dxa"/>
            <w:vAlign w:val="top"/>
          </w:tcPr>
          <w:p w14:paraId="3C284D26">
            <w:pPr>
              <w:spacing w:before="176" w:line="220" w:lineRule="auto"/>
              <w:ind w:left="2725"/>
              <w:rPr>
                <w:rFonts w:ascii="宋体" w:hAnsi="宋体" w:eastAsia="宋体" w:cs="宋体"/>
                <w:sz w:val="21"/>
                <w:szCs w:val="21"/>
              </w:rPr>
            </w:pPr>
            <w:r>
              <w:rPr>
                <w:rFonts w:ascii="宋体" w:hAnsi="宋体" w:eastAsia="宋体" w:cs="宋体"/>
                <w:spacing w:val="-4"/>
                <w:sz w:val="21"/>
                <w:szCs w:val="21"/>
              </w:rPr>
              <w:t>医务政务</w:t>
            </w:r>
          </w:p>
        </w:tc>
        <w:tc>
          <w:tcPr>
            <w:tcW w:w="1603" w:type="dxa"/>
            <w:vAlign w:val="top"/>
          </w:tcPr>
          <w:p w14:paraId="641BF4D6">
            <w:pPr>
              <w:spacing w:before="177" w:line="220" w:lineRule="auto"/>
              <w:ind w:left="638"/>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44"/>
                <w:sz w:val="21"/>
                <w:szCs w:val="21"/>
              </w:rPr>
              <w:t xml:space="preserve"> </w:t>
            </w:r>
            <w:r>
              <w:rPr>
                <w:rFonts w:ascii="宋体" w:hAnsi="宋体" w:eastAsia="宋体" w:cs="宋体"/>
                <w:spacing w:val="-12"/>
                <w:sz w:val="21"/>
                <w:szCs w:val="21"/>
              </w:rPr>
              <w:t>套</w:t>
            </w:r>
          </w:p>
        </w:tc>
      </w:tr>
      <w:tr w14:paraId="5458F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30" w:type="dxa"/>
            <w:vAlign w:val="top"/>
          </w:tcPr>
          <w:p w14:paraId="620A1151">
            <w:pPr>
              <w:spacing w:before="213" w:line="181" w:lineRule="auto"/>
              <w:ind w:left="688"/>
              <w:rPr>
                <w:rFonts w:ascii="宋体" w:hAnsi="宋体" w:eastAsia="宋体" w:cs="宋体"/>
                <w:sz w:val="21"/>
                <w:szCs w:val="21"/>
              </w:rPr>
            </w:pPr>
            <w:r>
              <w:rPr>
                <w:rFonts w:ascii="宋体" w:hAnsi="宋体" w:eastAsia="宋体" w:cs="宋体"/>
                <w:sz w:val="21"/>
                <w:szCs w:val="21"/>
              </w:rPr>
              <w:t>9</w:t>
            </w:r>
          </w:p>
        </w:tc>
        <w:tc>
          <w:tcPr>
            <w:tcW w:w="6263" w:type="dxa"/>
            <w:vAlign w:val="top"/>
          </w:tcPr>
          <w:p w14:paraId="3F974A72">
            <w:pPr>
              <w:spacing w:before="178" w:line="220" w:lineRule="auto"/>
              <w:ind w:left="2507"/>
              <w:rPr>
                <w:rFonts w:ascii="宋体" w:hAnsi="宋体" w:eastAsia="宋体" w:cs="宋体"/>
                <w:sz w:val="21"/>
                <w:szCs w:val="21"/>
              </w:rPr>
            </w:pPr>
            <w:r>
              <w:rPr>
                <w:rFonts w:ascii="宋体" w:hAnsi="宋体" w:eastAsia="宋体" w:cs="宋体"/>
                <w:spacing w:val="-2"/>
                <w:sz w:val="21"/>
                <w:szCs w:val="21"/>
              </w:rPr>
              <w:t>投诉纠纷系统</w:t>
            </w:r>
          </w:p>
        </w:tc>
        <w:tc>
          <w:tcPr>
            <w:tcW w:w="1603" w:type="dxa"/>
            <w:vAlign w:val="top"/>
          </w:tcPr>
          <w:p w14:paraId="76603847">
            <w:pPr>
              <w:spacing w:before="178" w:line="220" w:lineRule="auto"/>
              <w:ind w:left="638"/>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44"/>
                <w:sz w:val="21"/>
                <w:szCs w:val="21"/>
              </w:rPr>
              <w:t xml:space="preserve"> </w:t>
            </w:r>
            <w:r>
              <w:rPr>
                <w:rFonts w:ascii="宋体" w:hAnsi="宋体" w:eastAsia="宋体" w:cs="宋体"/>
                <w:spacing w:val="-12"/>
                <w:sz w:val="21"/>
                <w:szCs w:val="21"/>
              </w:rPr>
              <w:t>套</w:t>
            </w:r>
          </w:p>
        </w:tc>
      </w:tr>
      <w:tr w14:paraId="26F92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530" w:type="dxa"/>
            <w:vAlign w:val="top"/>
          </w:tcPr>
          <w:p w14:paraId="75E5CB92">
            <w:pPr>
              <w:spacing w:before="212" w:line="182" w:lineRule="auto"/>
              <w:ind w:left="624"/>
              <w:rPr>
                <w:rFonts w:ascii="宋体" w:hAnsi="宋体" w:eastAsia="宋体" w:cs="宋体"/>
                <w:sz w:val="21"/>
                <w:szCs w:val="21"/>
              </w:rPr>
            </w:pPr>
            <w:r>
              <w:rPr>
                <w:rFonts w:ascii="宋体" w:hAnsi="宋体" w:eastAsia="宋体" w:cs="宋体"/>
                <w:spacing w:val="-6"/>
                <w:sz w:val="21"/>
                <w:szCs w:val="21"/>
              </w:rPr>
              <w:t>10</w:t>
            </w:r>
          </w:p>
        </w:tc>
        <w:tc>
          <w:tcPr>
            <w:tcW w:w="6263" w:type="dxa"/>
            <w:vAlign w:val="top"/>
          </w:tcPr>
          <w:p w14:paraId="2F5DE6B9">
            <w:pPr>
              <w:spacing w:before="178" w:line="221" w:lineRule="auto"/>
              <w:ind w:left="2719"/>
              <w:rPr>
                <w:rFonts w:ascii="宋体" w:hAnsi="宋体" w:eastAsia="宋体" w:cs="宋体"/>
                <w:sz w:val="21"/>
                <w:szCs w:val="21"/>
              </w:rPr>
            </w:pPr>
            <w:r>
              <w:rPr>
                <w:rFonts w:ascii="宋体" w:hAnsi="宋体" w:eastAsia="宋体" w:cs="宋体"/>
                <w:spacing w:val="-3"/>
                <w:sz w:val="21"/>
                <w:szCs w:val="21"/>
              </w:rPr>
              <w:t>系统配置</w:t>
            </w:r>
          </w:p>
        </w:tc>
        <w:tc>
          <w:tcPr>
            <w:tcW w:w="1603" w:type="dxa"/>
            <w:vAlign w:val="top"/>
          </w:tcPr>
          <w:p w14:paraId="3603EBD5">
            <w:pPr>
              <w:spacing w:before="178" w:line="220" w:lineRule="auto"/>
              <w:ind w:left="638"/>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44"/>
                <w:sz w:val="21"/>
                <w:szCs w:val="21"/>
              </w:rPr>
              <w:t xml:space="preserve"> </w:t>
            </w:r>
            <w:r>
              <w:rPr>
                <w:rFonts w:ascii="宋体" w:hAnsi="宋体" w:eastAsia="宋体" w:cs="宋体"/>
                <w:spacing w:val="-12"/>
                <w:sz w:val="21"/>
                <w:szCs w:val="21"/>
              </w:rPr>
              <w:t>套</w:t>
            </w:r>
          </w:p>
        </w:tc>
      </w:tr>
      <w:tr w14:paraId="0522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530" w:type="dxa"/>
            <w:vAlign w:val="top"/>
          </w:tcPr>
          <w:p w14:paraId="3B886BF6">
            <w:pPr>
              <w:spacing w:before="213" w:line="182" w:lineRule="auto"/>
              <w:ind w:left="624"/>
              <w:rPr>
                <w:rFonts w:ascii="宋体" w:hAnsi="宋体" w:eastAsia="宋体" w:cs="宋体"/>
                <w:sz w:val="21"/>
                <w:szCs w:val="21"/>
              </w:rPr>
            </w:pPr>
            <w:r>
              <w:rPr>
                <w:rFonts w:ascii="宋体" w:hAnsi="宋体" w:eastAsia="宋体" w:cs="宋体"/>
                <w:spacing w:val="-6"/>
                <w:sz w:val="21"/>
                <w:szCs w:val="21"/>
              </w:rPr>
              <w:t>11</w:t>
            </w:r>
          </w:p>
        </w:tc>
        <w:tc>
          <w:tcPr>
            <w:tcW w:w="6263" w:type="dxa"/>
            <w:vAlign w:val="top"/>
          </w:tcPr>
          <w:p w14:paraId="6AFA08FE">
            <w:pPr>
              <w:spacing w:before="178" w:line="220" w:lineRule="auto"/>
              <w:ind w:left="2612"/>
              <w:rPr>
                <w:rFonts w:ascii="宋体" w:hAnsi="宋体" w:eastAsia="宋体" w:cs="宋体"/>
                <w:sz w:val="21"/>
                <w:szCs w:val="21"/>
              </w:rPr>
            </w:pPr>
            <w:r>
              <w:rPr>
                <w:rFonts w:ascii="宋体" w:hAnsi="宋体" w:eastAsia="宋体" w:cs="宋体"/>
                <w:spacing w:val="-2"/>
                <w:sz w:val="21"/>
                <w:szCs w:val="21"/>
              </w:rPr>
              <w:t>指标库管理</w:t>
            </w:r>
          </w:p>
        </w:tc>
        <w:tc>
          <w:tcPr>
            <w:tcW w:w="1603" w:type="dxa"/>
            <w:vAlign w:val="top"/>
          </w:tcPr>
          <w:p w14:paraId="1F47F0D0">
            <w:pPr>
              <w:spacing w:before="179" w:line="220" w:lineRule="auto"/>
              <w:ind w:left="638"/>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44"/>
                <w:sz w:val="21"/>
                <w:szCs w:val="21"/>
              </w:rPr>
              <w:t xml:space="preserve"> </w:t>
            </w:r>
            <w:r>
              <w:rPr>
                <w:rFonts w:ascii="宋体" w:hAnsi="宋体" w:eastAsia="宋体" w:cs="宋体"/>
                <w:spacing w:val="-12"/>
                <w:sz w:val="21"/>
                <w:szCs w:val="21"/>
              </w:rPr>
              <w:t>套</w:t>
            </w:r>
          </w:p>
        </w:tc>
      </w:tr>
      <w:tr w14:paraId="4D34E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30" w:type="dxa"/>
            <w:vAlign w:val="top"/>
          </w:tcPr>
          <w:p w14:paraId="796EFC99">
            <w:pPr>
              <w:spacing w:before="214" w:line="182" w:lineRule="auto"/>
              <w:ind w:left="624"/>
              <w:rPr>
                <w:rFonts w:ascii="宋体" w:hAnsi="宋体" w:eastAsia="宋体" w:cs="宋体"/>
                <w:sz w:val="21"/>
                <w:szCs w:val="21"/>
              </w:rPr>
            </w:pPr>
            <w:r>
              <w:rPr>
                <w:rFonts w:ascii="宋体" w:hAnsi="宋体" w:eastAsia="宋体" w:cs="宋体"/>
                <w:spacing w:val="-6"/>
                <w:sz w:val="21"/>
                <w:szCs w:val="21"/>
              </w:rPr>
              <w:t>12</w:t>
            </w:r>
          </w:p>
        </w:tc>
        <w:tc>
          <w:tcPr>
            <w:tcW w:w="6263" w:type="dxa"/>
            <w:vAlign w:val="top"/>
          </w:tcPr>
          <w:p w14:paraId="57B3C5AA">
            <w:pPr>
              <w:spacing w:before="179" w:line="220" w:lineRule="auto"/>
              <w:ind w:left="2515"/>
              <w:rPr>
                <w:rFonts w:ascii="宋体" w:hAnsi="宋体" w:eastAsia="宋体" w:cs="宋体"/>
                <w:sz w:val="21"/>
                <w:szCs w:val="21"/>
              </w:rPr>
            </w:pPr>
            <w:r>
              <w:rPr>
                <w:rFonts w:ascii="宋体" w:hAnsi="宋体" w:eastAsia="宋体" w:cs="宋体"/>
                <w:spacing w:val="-3"/>
                <w:sz w:val="21"/>
                <w:szCs w:val="21"/>
              </w:rPr>
              <w:t>医务数据分析</w:t>
            </w:r>
          </w:p>
        </w:tc>
        <w:tc>
          <w:tcPr>
            <w:tcW w:w="1603" w:type="dxa"/>
            <w:vAlign w:val="top"/>
          </w:tcPr>
          <w:p w14:paraId="4C3E2ECA">
            <w:pPr>
              <w:spacing w:before="180" w:line="220" w:lineRule="auto"/>
              <w:ind w:left="638"/>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44"/>
                <w:sz w:val="21"/>
                <w:szCs w:val="21"/>
              </w:rPr>
              <w:t xml:space="preserve"> </w:t>
            </w:r>
            <w:r>
              <w:rPr>
                <w:rFonts w:ascii="宋体" w:hAnsi="宋体" w:eastAsia="宋体" w:cs="宋体"/>
                <w:spacing w:val="-12"/>
                <w:sz w:val="21"/>
                <w:szCs w:val="21"/>
              </w:rPr>
              <w:t>套</w:t>
            </w:r>
          </w:p>
        </w:tc>
      </w:tr>
      <w:tr w14:paraId="61A78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30" w:type="dxa"/>
            <w:vAlign w:val="top"/>
          </w:tcPr>
          <w:p w14:paraId="24A0C821">
            <w:pPr>
              <w:spacing w:before="214" w:line="182" w:lineRule="auto"/>
              <w:ind w:left="624"/>
              <w:rPr>
                <w:rFonts w:ascii="宋体" w:hAnsi="宋体" w:eastAsia="宋体" w:cs="宋体"/>
                <w:sz w:val="21"/>
                <w:szCs w:val="21"/>
              </w:rPr>
            </w:pPr>
            <w:r>
              <w:rPr>
                <w:rFonts w:ascii="宋体" w:hAnsi="宋体" w:eastAsia="宋体" w:cs="宋体"/>
                <w:spacing w:val="-6"/>
                <w:sz w:val="21"/>
                <w:szCs w:val="21"/>
              </w:rPr>
              <w:t>13</w:t>
            </w:r>
          </w:p>
        </w:tc>
        <w:tc>
          <w:tcPr>
            <w:tcW w:w="6263" w:type="dxa"/>
            <w:vAlign w:val="top"/>
          </w:tcPr>
          <w:p w14:paraId="48636300">
            <w:pPr>
              <w:spacing w:before="179" w:line="220" w:lineRule="auto"/>
              <w:ind w:left="2191"/>
              <w:rPr>
                <w:rFonts w:ascii="宋体" w:hAnsi="宋体" w:eastAsia="宋体" w:cs="宋体"/>
                <w:sz w:val="21"/>
                <w:szCs w:val="21"/>
              </w:rPr>
            </w:pPr>
            <w:r>
              <w:rPr>
                <w:rFonts w:ascii="宋体" w:hAnsi="宋体" w:eastAsia="宋体" w:cs="宋体"/>
                <w:spacing w:val="-1"/>
                <w:sz w:val="21"/>
                <w:szCs w:val="21"/>
              </w:rPr>
              <w:t>可视化数据分析工具</w:t>
            </w:r>
          </w:p>
        </w:tc>
        <w:tc>
          <w:tcPr>
            <w:tcW w:w="1603" w:type="dxa"/>
            <w:vAlign w:val="top"/>
          </w:tcPr>
          <w:p w14:paraId="5DC772DB">
            <w:pPr>
              <w:spacing w:before="180" w:line="220" w:lineRule="auto"/>
              <w:ind w:left="638"/>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44"/>
                <w:sz w:val="21"/>
                <w:szCs w:val="21"/>
              </w:rPr>
              <w:t xml:space="preserve"> </w:t>
            </w:r>
            <w:r>
              <w:rPr>
                <w:rFonts w:ascii="宋体" w:hAnsi="宋体" w:eastAsia="宋体" w:cs="宋体"/>
                <w:spacing w:val="-12"/>
                <w:sz w:val="21"/>
                <w:szCs w:val="21"/>
              </w:rPr>
              <w:t>套</w:t>
            </w:r>
          </w:p>
        </w:tc>
      </w:tr>
      <w:tr w14:paraId="507BC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530" w:type="dxa"/>
            <w:vAlign w:val="top"/>
          </w:tcPr>
          <w:p w14:paraId="2CC8029F">
            <w:pPr>
              <w:spacing w:before="214" w:line="182" w:lineRule="auto"/>
              <w:ind w:left="624"/>
              <w:rPr>
                <w:rFonts w:ascii="宋体" w:hAnsi="宋体" w:eastAsia="宋体" w:cs="宋体"/>
                <w:sz w:val="21"/>
                <w:szCs w:val="21"/>
              </w:rPr>
            </w:pPr>
            <w:r>
              <w:rPr>
                <w:rFonts w:ascii="宋体" w:hAnsi="宋体" w:eastAsia="宋体" w:cs="宋体"/>
                <w:spacing w:val="-6"/>
                <w:sz w:val="21"/>
                <w:szCs w:val="21"/>
              </w:rPr>
              <w:t>14</w:t>
            </w:r>
          </w:p>
        </w:tc>
        <w:tc>
          <w:tcPr>
            <w:tcW w:w="6263" w:type="dxa"/>
            <w:vAlign w:val="top"/>
          </w:tcPr>
          <w:p w14:paraId="7C245AC6">
            <w:pPr>
              <w:spacing w:before="179" w:line="220" w:lineRule="auto"/>
              <w:ind w:left="2410"/>
              <w:rPr>
                <w:rFonts w:ascii="宋体" w:hAnsi="宋体" w:eastAsia="宋体" w:cs="宋体"/>
                <w:sz w:val="21"/>
                <w:szCs w:val="21"/>
              </w:rPr>
            </w:pPr>
            <w:r>
              <w:rPr>
                <w:rFonts w:ascii="宋体" w:hAnsi="宋体" w:eastAsia="宋体" w:cs="宋体"/>
                <w:spacing w:val="-3"/>
                <w:sz w:val="21"/>
                <w:szCs w:val="21"/>
              </w:rPr>
              <w:t>医务系统移动端</w:t>
            </w:r>
          </w:p>
        </w:tc>
        <w:tc>
          <w:tcPr>
            <w:tcW w:w="1603" w:type="dxa"/>
            <w:vAlign w:val="top"/>
          </w:tcPr>
          <w:p w14:paraId="742860BD">
            <w:pPr>
              <w:spacing w:before="180" w:line="220" w:lineRule="auto"/>
              <w:ind w:left="638"/>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44"/>
                <w:sz w:val="21"/>
                <w:szCs w:val="21"/>
              </w:rPr>
              <w:t xml:space="preserve"> </w:t>
            </w:r>
            <w:r>
              <w:rPr>
                <w:rFonts w:ascii="宋体" w:hAnsi="宋体" w:eastAsia="宋体" w:cs="宋体"/>
                <w:spacing w:val="-12"/>
                <w:sz w:val="21"/>
                <w:szCs w:val="21"/>
              </w:rPr>
              <w:t>套</w:t>
            </w:r>
          </w:p>
        </w:tc>
      </w:tr>
      <w:tr w14:paraId="77D1D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530" w:type="dxa"/>
            <w:vAlign w:val="top"/>
          </w:tcPr>
          <w:p w14:paraId="5027F85B">
            <w:pPr>
              <w:spacing w:before="215" w:line="182" w:lineRule="auto"/>
              <w:ind w:left="624"/>
              <w:rPr>
                <w:rFonts w:ascii="宋体" w:hAnsi="宋体" w:eastAsia="宋体" w:cs="宋体"/>
                <w:sz w:val="21"/>
                <w:szCs w:val="21"/>
              </w:rPr>
            </w:pPr>
            <w:r>
              <w:rPr>
                <w:rFonts w:ascii="宋体" w:hAnsi="宋体" w:eastAsia="宋体" w:cs="宋体"/>
                <w:spacing w:val="-6"/>
                <w:sz w:val="21"/>
                <w:szCs w:val="21"/>
              </w:rPr>
              <w:t>15</w:t>
            </w:r>
          </w:p>
        </w:tc>
        <w:tc>
          <w:tcPr>
            <w:tcW w:w="6263" w:type="dxa"/>
            <w:vAlign w:val="top"/>
          </w:tcPr>
          <w:p w14:paraId="2BB95B6B">
            <w:pPr>
              <w:spacing w:before="180" w:line="220" w:lineRule="auto"/>
              <w:ind w:left="2508"/>
              <w:rPr>
                <w:rFonts w:ascii="宋体" w:hAnsi="宋体" w:eastAsia="宋体" w:cs="宋体"/>
                <w:sz w:val="21"/>
                <w:szCs w:val="21"/>
              </w:rPr>
            </w:pPr>
            <w:r>
              <w:rPr>
                <w:rFonts w:ascii="宋体" w:hAnsi="宋体" w:eastAsia="宋体" w:cs="宋体"/>
                <w:spacing w:val="-2"/>
                <w:sz w:val="21"/>
                <w:szCs w:val="21"/>
              </w:rPr>
              <w:t>不良事件管理</w:t>
            </w:r>
          </w:p>
        </w:tc>
        <w:tc>
          <w:tcPr>
            <w:tcW w:w="1603" w:type="dxa"/>
            <w:vAlign w:val="top"/>
          </w:tcPr>
          <w:p w14:paraId="1418643C">
            <w:pPr>
              <w:spacing w:before="181" w:line="220" w:lineRule="auto"/>
              <w:ind w:left="638"/>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44"/>
                <w:sz w:val="21"/>
                <w:szCs w:val="21"/>
              </w:rPr>
              <w:t xml:space="preserve"> </w:t>
            </w:r>
            <w:r>
              <w:rPr>
                <w:rFonts w:ascii="宋体" w:hAnsi="宋体" w:eastAsia="宋体" w:cs="宋体"/>
                <w:spacing w:val="-12"/>
                <w:sz w:val="21"/>
                <w:szCs w:val="21"/>
              </w:rPr>
              <w:t>套</w:t>
            </w:r>
          </w:p>
        </w:tc>
      </w:tr>
      <w:tr w14:paraId="2457E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530" w:type="dxa"/>
            <w:vAlign w:val="top"/>
          </w:tcPr>
          <w:p w14:paraId="6562C4D1">
            <w:pPr>
              <w:spacing w:before="216" w:line="182" w:lineRule="auto"/>
              <w:ind w:left="624"/>
              <w:rPr>
                <w:rFonts w:ascii="宋体" w:hAnsi="宋体" w:eastAsia="宋体" w:cs="宋体"/>
                <w:sz w:val="21"/>
                <w:szCs w:val="21"/>
              </w:rPr>
            </w:pPr>
            <w:r>
              <w:rPr>
                <w:rFonts w:ascii="宋体" w:hAnsi="宋体" w:eastAsia="宋体" w:cs="宋体"/>
                <w:spacing w:val="-6"/>
                <w:sz w:val="21"/>
                <w:szCs w:val="21"/>
              </w:rPr>
              <w:t>16</w:t>
            </w:r>
          </w:p>
        </w:tc>
        <w:tc>
          <w:tcPr>
            <w:tcW w:w="6263" w:type="dxa"/>
            <w:vAlign w:val="top"/>
          </w:tcPr>
          <w:p w14:paraId="0862D013">
            <w:pPr>
              <w:spacing w:before="181" w:line="220" w:lineRule="auto"/>
              <w:ind w:left="2719"/>
              <w:rPr>
                <w:rFonts w:ascii="宋体" w:hAnsi="宋体" w:eastAsia="宋体" w:cs="宋体"/>
                <w:sz w:val="21"/>
                <w:szCs w:val="21"/>
              </w:rPr>
            </w:pPr>
            <w:r>
              <w:rPr>
                <w:rFonts w:ascii="宋体" w:hAnsi="宋体" w:eastAsia="宋体" w:cs="宋体"/>
                <w:spacing w:val="-3"/>
                <w:sz w:val="21"/>
                <w:szCs w:val="21"/>
              </w:rPr>
              <w:t>系统报表</w:t>
            </w:r>
          </w:p>
        </w:tc>
        <w:tc>
          <w:tcPr>
            <w:tcW w:w="1603" w:type="dxa"/>
            <w:vAlign w:val="top"/>
          </w:tcPr>
          <w:p w14:paraId="79367835">
            <w:pPr>
              <w:spacing w:before="182" w:line="220" w:lineRule="auto"/>
              <w:ind w:left="638"/>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44"/>
                <w:sz w:val="21"/>
                <w:szCs w:val="21"/>
              </w:rPr>
              <w:t xml:space="preserve"> </w:t>
            </w:r>
            <w:r>
              <w:rPr>
                <w:rFonts w:ascii="宋体" w:hAnsi="宋体" w:eastAsia="宋体" w:cs="宋体"/>
                <w:spacing w:val="-12"/>
                <w:sz w:val="21"/>
                <w:szCs w:val="21"/>
              </w:rPr>
              <w:t>套</w:t>
            </w:r>
          </w:p>
        </w:tc>
      </w:tr>
      <w:tr w14:paraId="457CE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530" w:type="dxa"/>
            <w:vAlign w:val="top"/>
          </w:tcPr>
          <w:p w14:paraId="3DB27792">
            <w:pPr>
              <w:spacing w:before="217" w:line="182" w:lineRule="auto"/>
              <w:ind w:left="624"/>
              <w:rPr>
                <w:rFonts w:ascii="宋体" w:hAnsi="宋体" w:eastAsia="宋体" w:cs="宋体"/>
                <w:sz w:val="21"/>
                <w:szCs w:val="21"/>
              </w:rPr>
            </w:pPr>
            <w:r>
              <w:rPr>
                <w:rFonts w:ascii="宋体" w:hAnsi="宋体" w:eastAsia="宋体" w:cs="宋体"/>
                <w:spacing w:val="-6"/>
                <w:sz w:val="21"/>
                <w:szCs w:val="21"/>
              </w:rPr>
              <w:t>17</w:t>
            </w:r>
          </w:p>
        </w:tc>
        <w:tc>
          <w:tcPr>
            <w:tcW w:w="6263" w:type="dxa"/>
            <w:vAlign w:val="top"/>
          </w:tcPr>
          <w:p w14:paraId="1345BCF7">
            <w:pPr>
              <w:spacing w:before="183" w:line="220" w:lineRule="auto"/>
              <w:ind w:left="2505"/>
              <w:rPr>
                <w:rFonts w:ascii="宋体" w:hAnsi="宋体" w:eastAsia="宋体" w:cs="宋体"/>
                <w:sz w:val="21"/>
                <w:szCs w:val="21"/>
              </w:rPr>
            </w:pPr>
            <w:r>
              <w:rPr>
                <w:rFonts w:ascii="宋体" w:hAnsi="宋体" w:eastAsia="宋体" w:cs="宋体"/>
                <w:spacing w:val="-2"/>
                <w:sz w:val="21"/>
                <w:szCs w:val="21"/>
              </w:rPr>
              <w:t>相关系统接口</w:t>
            </w:r>
          </w:p>
        </w:tc>
        <w:tc>
          <w:tcPr>
            <w:tcW w:w="1603" w:type="dxa"/>
            <w:vAlign w:val="top"/>
          </w:tcPr>
          <w:p w14:paraId="006AD76A">
            <w:pPr>
              <w:spacing w:before="183" w:line="220" w:lineRule="auto"/>
              <w:ind w:left="638"/>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44"/>
                <w:sz w:val="21"/>
                <w:szCs w:val="21"/>
              </w:rPr>
              <w:t xml:space="preserve"> </w:t>
            </w:r>
            <w:r>
              <w:rPr>
                <w:rFonts w:ascii="宋体" w:hAnsi="宋体" w:eastAsia="宋体" w:cs="宋体"/>
                <w:spacing w:val="-12"/>
                <w:sz w:val="21"/>
                <w:szCs w:val="21"/>
              </w:rPr>
              <w:t>套</w:t>
            </w:r>
          </w:p>
        </w:tc>
      </w:tr>
      <w:tr w14:paraId="0B0A1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530" w:type="dxa"/>
            <w:vAlign w:val="top"/>
          </w:tcPr>
          <w:p w14:paraId="628B4D28">
            <w:pPr>
              <w:spacing w:before="218" w:line="182" w:lineRule="auto"/>
              <w:ind w:left="624"/>
              <w:rPr>
                <w:rFonts w:ascii="宋体" w:hAnsi="宋体" w:eastAsia="宋体" w:cs="宋体"/>
                <w:sz w:val="21"/>
                <w:szCs w:val="21"/>
              </w:rPr>
            </w:pPr>
            <w:r>
              <w:rPr>
                <w:rFonts w:ascii="宋体" w:hAnsi="宋体" w:eastAsia="宋体" w:cs="宋体"/>
                <w:spacing w:val="-6"/>
                <w:sz w:val="21"/>
                <w:szCs w:val="21"/>
              </w:rPr>
              <w:t>18</w:t>
            </w:r>
          </w:p>
        </w:tc>
        <w:tc>
          <w:tcPr>
            <w:tcW w:w="6263" w:type="dxa"/>
            <w:vAlign w:val="top"/>
          </w:tcPr>
          <w:p w14:paraId="2291D577">
            <w:pPr>
              <w:spacing w:before="183" w:line="220" w:lineRule="auto"/>
              <w:ind w:left="1895"/>
              <w:rPr>
                <w:rFonts w:ascii="宋体" w:hAnsi="宋体" w:eastAsia="宋体" w:cs="宋体"/>
                <w:sz w:val="21"/>
                <w:szCs w:val="21"/>
              </w:rPr>
            </w:pPr>
            <w:r>
              <w:rPr>
                <w:rFonts w:ascii="宋体" w:hAnsi="宋体" w:eastAsia="宋体" w:cs="宋体"/>
                <w:spacing w:val="-3"/>
                <w:sz w:val="21"/>
                <w:szCs w:val="21"/>
              </w:rPr>
              <w:t>国产化及电子病历评级要求</w:t>
            </w:r>
          </w:p>
        </w:tc>
        <w:tc>
          <w:tcPr>
            <w:tcW w:w="1603" w:type="dxa"/>
            <w:vAlign w:val="top"/>
          </w:tcPr>
          <w:p w14:paraId="682335E9">
            <w:pPr>
              <w:spacing w:before="184" w:line="220" w:lineRule="auto"/>
              <w:ind w:left="638"/>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44"/>
                <w:sz w:val="21"/>
                <w:szCs w:val="21"/>
              </w:rPr>
              <w:t xml:space="preserve"> </w:t>
            </w:r>
            <w:r>
              <w:rPr>
                <w:rFonts w:ascii="宋体" w:hAnsi="宋体" w:eastAsia="宋体" w:cs="宋体"/>
                <w:spacing w:val="-12"/>
                <w:sz w:val="21"/>
                <w:szCs w:val="21"/>
              </w:rPr>
              <w:t>套</w:t>
            </w:r>
          </w:p>
        </w:tc>
      </w:tr>
    </w:tbl>
    <w:p w14:paraId="34EA4B3A">
      <w:pPr>
        <w:spacing w:before="142" w:line="220" w:lineRule="auto"/>
        <w:ind w:left="57"/>
        <w:rPr>
          <w:rFonts w:ascii="宋体" w:hAnsi="宋体" w:eastAsia="宋体" w:cs="宋体"/>
          <w:sz w:val="28"/>
          <w:szCs w:val="28"/>
        </w:rPr>
      </w:pPr>
      <w:r>
        <w:rPr>
          <w:rFonts w:ascii="宋体" w:hAnsi="宋体" w:eastAsia="宋体" w:cs="宋体"/>
          <w:b/>
          <w:bCs/>
          <w:spacing w:val="-5"/>
          <w:sz w:val="28"/>
          <w:szCs w:val="28"/>
        </w:rPr>
        <w:t>（二）技术参数要求</w:t>
      </w:r>
    </w:p>
    <w:p w14:paraId="75DE9AD7">
      <w:pPr>
        <w:spacing w:line="37" w:lineRule="auto"/>
        <w:rPr>
          <w:rFonts w:ascii="Arial"/>
          <w:sz w:val="2"/>
        </w:rPr>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3"/>
        <w:gridCol w:w="7743"/>
      </w:tblGrid>
      <w:tr w14:paraId="65737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83" w:type="dxa"/>
            <w:vAlign w:val="top"/>
          </w:tcPr>
          <w:p w14:paraId="50733B29">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5CD038BA">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0F3F722D">
            <w:pPr>
              <w:spacing w:before="179"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41150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9799" w:type="dxa"/>
            <w:gridSpan w:val="3"/>
            <w:vAlign w:val="top"/>
          </w:tcPr>
          <w:p w14:paraId="431A1CC2">
            <w:pPr>
              <w:spacing w:before="177" w:line="220" w:lineRule="auto"/>
              <w:ind w:left="4223"/>
              <w:rPr>
                <w:rFonts w:ascii="宋体" w:hAnsi="宋体" w:eastAsia="宋体" w:cs="宋体"/>
                <w:sz w:val="24"/>
                <w:szCs w:val="24"/>
              </w:rPr>
            </w:pPr>
            <w:r>
              <w:rPr>
                <w:rFonts w:ascii="宋体" w:hAnsi="宋体" w:eastAsia="宋体" w:cs="宋体"/>
                <w:b/>
                <w:bCs/>
                <w:spacing w:val="-10"/>
                <w:sz w:val="24"/>
                <w:szCs w:val="24"/>
              </w:rPr>
              <w:t>(一)系统首页</w:t>
            </w:r>
          </w:p>
        </w:tc>
      </w:tr>
      <w:tr w14:paraId="3BA24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6" w:hRule="atLeast"/>
        </w:trPr>
        <w:tc>
          <w:tcPr>
            <w:tcW w:w="783" w:type="dxa"/>
            <w:vAlign w:val="top"/>
          </w:tcPr>
          <w:p w14:paraId="746184E0">
            <w:pPr>
              <w:spacing w:line="259" w:lineRule="auto"/>
              <w:rPr>
                <w:rFonts w:ascii="Arial"/>
                <w:sz w:val="21"/>
              </w:rPr>
            </w:pPr>
          </w:p>
          <w:p w14:paraId="7C11BFD7">
            <w:pPr>
              <w:spacing w:line="260" w:lineRule="auto"/>
              <w:rPr>
                <w:rFonts w:ascii="Arial"/>
                <w:sz w:val="21"/>
              </w:rPr>
            </w:pPr>
          </w:p>
          <w:p w14:paraId="3554BAE5">
            <w:pPr>
              <w:spacing w:line="260" w:lineRule="auto"/>
              <w:rPr>
                <w:rFonts w:ascii="Arial"/>
                <w:sz w:val="21"/>
              </w:rPr>
            </w:pPr>
          </w:p>
          <w:p w14:paraId="431CFAD3">
            <w:pPr>
              <w:spacing w:line="260" w:lineRule="auto"/>
              <w:rPr>
                <w:rFonts w:ascii="Arial"/>
                <w:sz w:val="21"/>
              </w:rPr>
            </w:pPr>
          </w:p>
          <w:p w14:paraId="11898328">
            <w:pPr>
              <w:spacing w:before="78" w:line="182" w:lineRule="auto"/>
              <w:ind w:left="425"/>
              <w:rPr>
                <w:rFonts w:ascii="宋体" w:hAnsi="宋体" w:eastAsia="宋体" w:cs="宋体"/>
                <w:sz w:val="24"/>
                <w:szCs w:val="24"/>
              </w:rPr>
            </w:pPr>
            <w:r>
              <w:rPr>
                <w:rFonts w:ascii="宋体" w:hAnsi="宋体" w:eastAsia="宋体" w:cs="宋体"/>
                <w:sz w:val="24"/>
                <w:szCs w:val="24"/>
              </w:rPr>
              <w:t>1</w:t>
            </w:r>
          </w:p>
        </w:tc>
        <w:tc>
          <w:tcPr>
            <w:tcW w:w="1273" w:type="dxa"/>
            <w:vAlign w:val="top"/>
          </w:tcPr>
          <w:p w14:paraId="207505A1">
            <w:pPr>
              <w:spacing w:line="249" w:lineRule="auto"/>
              <w:rPr>
                <w:rFonts w:ascii="Arial"/>
                <w:sz w:val="21"/>
              </w:rPr>
            </w:pPr>
          </w:p>
          <w:p w14:paraId="28CF3FF0">
            <w:pPr>
              <w:spacing w:line="250" w:lineRule="auto"/>
              <w:rPr>
                <w:rFonts w:ascii="Arial"/>
                <w:sz w:val="21"/>
              </w:rPr>
            </w:pPr>
          </w:p>
          <w:p w14:paraId="1BC65698">
            <w:pPr>
              <w:spacing w:line="250" w:lineRule="auto"/>
              <w:rPr>
                <w:rFonts w:ascii="Arial"/>
                <w:sz w:val="21"/>
              </w:rPr>
            </w:pPr>
          </w:p>
          <w:p w14:paraId="31E97D15">
            <w:pPr>
              <w:spacing w:line="250" w:lineRule="auto"/>
              <w:rPr>
                <w:rFonts w:ascii="Arial"/>
                <w:sz w:val="21"/>
              </w:rPr>
            </w:pPr>
          </w:p>
          <w:p w14:paraId="2E12B87F">
            <w:pPr>
              <w:spacing w:before="78" w:line="220" w:lineRule="auto"/>
              <w:ind w:left="108"/>
              <w:rPr>
                <w:rFonts w:ascii="宋体" w:hAnsi="宋体" w:eastAsia="宋体" w:cs="宋体"/>
                <w:sz w:val="24"/>
                <w:szCs w:val="24"/>
              </w:rPr>
            </w:pPr>
            <w:r>
              <w:rPr>
                <w:rFonts w:ascii="宋体" w:hAnsi="宋体" w:eastAsia="宋体" w:cs="宋体"/>
                <w:spacing w:val="-3"/>
                <w:sz w:val="24"/>
                <w:szCs w:val="24"/>
              </w:rPr>
              <w:t>概览</w:t>
            </w:r>
          </w:p>
        </w:tc>
        <w:tc>
          <w:tcPr>
            <w:tcW w:w="7743" w:type="dxa"/>
            <w:vAlign w:val="top"/>
          </w:tcPr>
          <w:p w14:paraId="459D4EDC">
            <w:pPr>
              <w:spacing w:before="166" w:line="257" w:lineRule="auto"/>
              <w:ind w:left="111" w:right="102" w:firstLine="17"/>
              <w:rPr>
                <w:rFonts w:ascii="宋体" w:hAnsi="宋体" w:eastAsia="宋体" w:cs="宋体"/>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24"/>
                <w:sz w:val="24"/>
                <w:szCs w:val="24"/>
              </w:rPr>
              <w:t xml:space="preserve"> </w:t>
            </w:r>
            <w:r>
              <w:rPr>
                <w:rFonts w:ascii="宋体" w:hAnsi="宋体" w:eastAsia="宋体" w:cs="宋体"/>
                <w:spacing w:val="-3"/>
                <w:sz w:val="24"/>
                <w:szCs w:val="24"/>
              </w:rPr>
              <w:t>．支持查看建档人员数量、当前外出进修人数、投诉纠纷次数、试运行</w:t>
            </w:r>
            <w:r>
              <w:rPr>
                <w:rFonts w:ascii="宋体" w:hAnsi="宋体" w:eastAsia="宋体" w:cs="宋体"/>
                <w:sz w:val="24"/>
                <w:szCs w:val="24"/>
              </w:rPr>
              <w:t xml:space="preserve"> 新技术数量、督查执行次数、三四级手术权</w:t>
            </w:r>
            <w:r>
              <w:rPr>
                <w:rFonts w:ascii="宋体" w:hAnsi="宋体" w:eastAsia="宋体" w:cs="宋体"/>
                <w:spacing w:val="-1"/>
                <w:sz w:val="24"/>
                <w:szCs w:val="24"/>
              </w:rPr>
              <w:t>限授权人次等医务系统运行</w:t>
            </w:r>
            <w:r>
              <w:rPr>
                <w:rFonts w:ascii="宋体" w:hAnsi="宋体" w:eastAsia="宋体" w:cs="宋体"/>
                <w:sz w:val="24"/>
                <w:szCs w:val="24"/>
              </w:rPr>
              <w:t xml:space="preserve"> </w:t>
            </w:r>
            <w:r>
              <w:rPr>
                <w:rFonts w:ascii="宋体" w:hAnsi="宋体" w:eastAsia="宋体" w:cs="宋体"/>
                <w:spacing w:val="-8"/>
                <w:sz w:val="24"/>
                <w:szCs w:val="24"/>
              </w:rPr>
              <w:t>关键指标。</w:t>
            </w:r>
          </w:p>
          <w:p w14:paraId="060DF968">
            <w:pPr>
              <w:spacing w:before="72" w:line="247" w:lineRule="auto"/>
              <w:ind w:left="156" w:right="106" w:hanging="50"/>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28"/>
                <w:sz w:val="24"/>
                <w:szCs w:val="24"/>
              </w:rPr>
              <w:t xml:space="preserve"> </w:t>
            </w:r>
            <w:r>
              <w:rPr>
                <w:rFonts w:ascii="宋体" w:hAnsi="宋体" w:eastAsia="宋体" w:cs="宋体"/>
                <w:spacing w:val="-2"/>
                <w:sz w:val="24"/>
                <w:szCs w:val="24"/>
              </w:rPr>
              <w:t>．可查看当前用户所属考核方案的考核结果，包括</w:t>
            </w:r>
            <w:r>
              <w:rPr>
                <w:rFonts w:ascii="宋体" w:hAnsi="宋体" w:eastAsia="宋体" w:cs="宋体"/>
                <w:spacing w:val="-3"/>
                <w:sz w:val="24"/>
                <w:szCs w:val="24"/>
              </w:rPr>
              <w:t>指标名称、指标值、</w:t>
            </w:r>
            <w:r>
              <w:rPr>
                <w:rFonts w:ascii="宋体" w:hAnsi="宋体" w:eastAsia="宋体" w:cs="宋体"/>
                <w:sz w:val="24"/>
                <w:szCs w:val="24"/>
              </w:rPr>
              <w:t xml:space="preserve"> </w:t>
            </w:r>
            <w:r>
              <w:rPr>
                <w:rFonts w:ascii="宋体" w:hAnsi="宋体" w:eastAsia="宋体" w:cs="宋体"/>
                <w:spacing w:val="-5"/>
                <w:sz w:val="24"/>
                <w:szCs w:val="24"/>
              </w:rPr>
              <w:t>目标值，达标状态通过红绿色标志加以区别。</w:t>
            </w:r>
          </w:p>
          <w:p w14:paraId="2885C436">
            <w:pPr>
              <w:spacing w:before="72" w:line="219" w:lineRule="auto"/>
              <w:ind w:left="115"/>
              <w:rPr>
                <w:rFonts w:ascii="宋体" w:hAnsi="宋体" w:eastAsia="宋体" w:cs="宋体"/>
                <w:sz w:val="24"/>
                <w:szCs w:val="24"/>
              </w:rPr>
            </w:pPr>
            <w:r>
              <w:rPr>
                <w:rFonts w:ascii="宋体" w:hAnsi="宋体" w:eastAsia="宋体" w:cs="宋体"/>
                <w:spacing w:val="-2"/>
                <w:sz w:val="24"/>
                <w:szCs w:val="24"/>
              </w:rPr>
              <w:t>3．概览由多个组件构成，组件对象及组件布局可由用户自行配置。</w:t>
            </w:r>
          </w:p>
        </w:tc>
      </w:tr>
    </w:tbl>
    <w:p w14:paraId="0C568A5C">
      <w:pPr>
        <w:pStyle w:val="2"/>
        <w:spacing w:line="260" w:lineRule="auto"/>
      </w:pPr>
    </w:p>
    <w:p w14:paraId="29517A23">
      <w:pPr>
        <w:pStyle w:val="2"/>
        <w:spacing w:line="260" w:lineRule="auto"/>
      </w:pPr>
    </w:p>
    <w:p w14:paraId="27656928">
      <w:pPr>
        <w:pStyle w:val="2"/>
        <w:spacing w:line="260" w:lineRule="auto"/>
      </w:pPr>
    </w:p>
    <w:p w14:paraId="7E6C5979">
      <w:pPr>
        <w:pStyle w:val="2"/>
        <w:spacing w:line="260" w:lineRule="auto"/>
      </w:pPr>
    </w:p>
    <w:p w14:paraId="1B09B7AA">
      <w:pPr>
        <w:pStyle w:val="2"/>
        <w:spacing w:line="260" w:lineRule="auto"/>
      </w:pPr>
    </w:p>
    <w:p w14:paraId="0BE3C424">
      <w:pPr>
        <w:pStyle w:val="2"/>
        <w:spacing w:line="260" w:lineRule="auto"/>
      </w:pPr>
    </w:p>
    <w:p w14:paraId="0C1849D8">
      <w:pPr>
        <w:pStyle w:val="2"/>
        <w:spacing w:line="260" w:lineRule="auto"/>
      </w:pPr>
    </w:p>
    <w:p w14:paraId="5BE984F7">
      <w:pPr>
        <w:pStyle w:val="2"/>
        <w:spacing w:line="260" w:lineRule="auto"/>
      </w:pPr>
    </w:p>
    <w:p w14:paraId="3DF99A65">
      <w:pPr>
        <w:pStyle w:val="2"/>
        <w:spacing w:line="260" w:lineRule="auto"/>
      </w:pPr>
    </w:p>
    <w:p w14:paraId="05531168">
      <w:pPr>
        <w:pStyle w:val="2"/>
        <w:spacing w:line="261" w:lineRule="auto"/>
      </w:pPr>
    </w:p>
    <w:p w14:paraId="3C472001">
      <w:pPr>
        <w:spacing w:before="61" w:line="209" w:lineRule="auto"/>
        <w:ind w:left="148"/>
        <w:rPr>
          <w:rFonts w:ascii="宋体" w:hAnsi="宋体" w:eastAsia="宋体" w:cs="宋体"/>
          <w:sz w:val="19"/>
          <w:szCs w:val="19"/>
        </w:rPr>
      </w:pPr>
      <w:r>
        <w:pict>
          <v:shape id="_x0000_s1041" o:spid="_x0000_s1041" style="position:absolute;left:0pt;margin-left:1.95pt;margin-top:11.8pt;height:0.75pt;width:494pt;z-index:251685888;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2"/>
          <w:position w:val="1"/>
          <w:sz w:val="18"/>
          <w:szCs w:val="18"/>
        </w:rPr>
        <w:t xml:space="preserve">21                          </w:t>
      </w:r>
      <w:r>
        <w:rPr>
          <w:rFonts w:ascii="Times New Roman" w:hAnsi="Times New Roman" w:eastAsia="Times New Roman" w:cs="Times New Roman"/>
          <w:spacing w:val="-3"/>
          <w:position w:val="1"/>
          <w:sz w:val="18"/>
          <w:szCs w:val="18"/>
        </w:rPr>
        <w:t xml:space="preserve">     </w:t>
      </w:r>
      <w:r>
        <w:rPr>
          <w:rFonts w:ascii="宋体" w:hAnsi="宋体" w:eastAsia="宋体" w:cs="宋体"/>
          <w:b/>
          <w:bCs/>
          <w:i/>
          <w:iCs/>
          <w:spacing w:val="-3"/>
          <w:sz w:val="19"/>
          <w:szCs w:val="19"/>
        </w:rPr>
        <w:t>伊犁州公共资源交易中心</w:t>
      </w:r>
    </w:p>
    <w:p w14:paraId="30939A69">
      <w:pPr>
        <w:spacing w:line="209" w:lineRule="auto"/>
        <w:rPr>
          <w:rFonts w:ascii="宋体" w:hAnsi="宋体" w:eastAsia="宋体" w:cs="宋体"/>
          <w:sz w:val="19"/>
          <w:szCs w:val="19"/>
        </w:rPr>
        <w:sectPr>
          <w:headerReference r:id="rId24" w:type="default"/>
          <w:pgSz w:w="11905" w:h="16839"/>
          <w:pgMar w:top="1136" w:right="830" w:bottom="400" w:left="1126" w:header="854" w:footer="0" w:gutter="0"/>
          <w:cols w:space="720" w:num="1"/>
        </w:sectPr>
      </w:pPr>
    </w:p>
    <w:p w14:paraId="08DF8DF5">
      <w:pPr>
        <w:spacing w:before="38"/>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3"/>
        <w:gridCol w:w="7743"/>
      </w:tblGrid>
      <w:tr w14:paraId="34BF7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3" w:type="dxa"/>
            <w:vAlign w:val="top"/>
          </w:tcPr>
          <w:p w14:paraId="59380182">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184D6024">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10985563">
            <w:pPr>
              <w:spacing w:before="179"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04CD8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6" w:hRule="atLeast"/>
        </w:trPr>
        <w:tc>
          <w:tcPr>
            <w:tcW w:w="783" w:type="dxa"/>
            <w:vAlign w:val="top"/>
          </w:tcPr>
          <w:p w14:paraId="4B537019">
            <w:pPr>
              <w:spacing w:line="249" w:lineRule="auto"/>
              <w:rPr>
                <w:rFonts w:ascii="Arial"/>
                <w:sz w:val="21"/>
              </w:rPr>
            </w:pPr>
          </w:p>
          <w:p w14:paraId="0A87C5DB">
            <w:pPr>
              <w:spacing w:line="250" w:lineRule="auto"/>
              <w:rPr>
                <w:rFonts w:ascii="Arial"/>
                <w:sz w:val="21"/>
              </w:rPr>
            </w:pPr>
          </w:p>
          <w:p w14:paraId="7676843D">
            <w:pPr>
              <w:spacing w:line="250" w:lineRule="auto"/>
              <w:rPr>
                <w:rFonts w:ascii="Arial"/>
                <w:sz w:val="21"/>
              </w:rPr>
            </w:pPr>
          </w:p>
          <w:p w14:paraId="08476646">
            <w:pPr>
              <w:spacing w:line="250" w:lineRule="auto"/>
              <w:rPr>
                <w:rFonts w:ascii="Arial"/>
                <w:sz w:val="21"/>
              </w:rPr>
            </w:pPr>
          </w:p>
          <w:p w14:paraId="5E5AC464">
            <w:pPr>
              <w:spacing w:line="250" w:lineRule="auto"/>
              <w:rPr>
                <w:rFonts w:ascii="Arial"/>
                <w:sz w:val="21"/>
              </w:rPr>
            </w:pPr>
          </w:p>
          <w:p w14:paraId="054C80CB">
            <w:pPr>
              <w:spacing w:line="250" w:lineRule="auto"/>
              <w:rPr>
                <w:rFonts w:ascii="Arial"/>
                <w:sz w:val="21"/>
              </w:rPr>
            </w:pPr>
          </w:p>
          <w:p w14:paraId="4E04B4B0">
            <w:pPr>
              <w:spacing w:line="250" w:lineRule="auto"/>
              <w:rPr>
                <w:rFonts w:ascii="Arial"/>
                <w:sz w:val="21"/>
              </w:rPr>
            </w:pPr>
          </w:p>
          <w:p w14:paraId="6D7DB77A">
            <w:pPr>
              <w:spacing w:before="78" w:line="181" w:lineRule="auto"/>
              <w:ind w:left="410"/>
              <w:rPr>
                <w:rFonts w:ascii="宋体" w:hAnsi="宋体" w:eastAsia="宋体" w:cs="宋体"/>
                <w:sz w:val="24"/>
                <w:szCs w:val="24"/>
              </w:rPr>
            </w:pPr>
            <w:r>
              <w:rPr>
                <w:rFonts w:ascii="宋体" w:hAnsi="宋体" w:eastAsia="宋体" w:cs="宋体"/>
                <w:sz w:val="24"/>
                <w:szCs w:val="24"/>
              </w:rPr>
              <w:t>2</w:t>
            </w:r>
          </w:p>
        </w:tc>
        <w:tc>
          <w:tcPr>
            <w:tcW w:w="1273" w:type="dxa"/>
            <w:vAlign w:val="top"/>
          </w:tcPr>
          <w:p w14:paraId="0306F4D1">
            <w:pPr>
              <w:spacing w:line="282" w:lineRule="auto"/>
              <w:rPr>
                <w:rFonts w:ascii="Arial"/>
                <w:sz w:val="21"/>
              </w:rPr>
            </w:pPr>
          </w:p>
          <w:p w14:paraId="1BFF38B7">
            <w:pPr>
              <w:spacing w:line="282" w:lineRule="auto"/>
              <w:rPr>
                <w:rFonts w:ascii="Arial"/>
                <w:sz w:val="21"/>
              </w:rPr>
            </w:pPr>
          </w:p>
          <w:p w14:paraId="5A66F87F">
            <w:pPr>
              <w:spacing w:line="283" w:lineRule="auto"/>
              <w:rPr>
                <w:rFonts w:ascii="Arial"/>
                <w:sz w:val="21"/>
              </w:rPr>
            </w:pPr>
          </w:p>
          <w:p w14:paraId="03D459EB">
            <w:pPr>
              <w:spacing w:line="283" w:lineRule="auto"/>
              <w:rPr>
                <w:rFonts w:ascii="Arial"/>
                <w:sz w:val="21"/>
              </w:rPr>
            </w:pPr>
          </w:p>
          <w:p w14:paraId="56B96C8E">
            <w:pPr>
              <w:spacing w:line="283" w:lineRule="auto"/>
              <w:rPr>
                <w:rFonts w:ascii="Arial"/>
                <w:sz w:val="21"/>
              </w:rPr>
            </w:pPr>
          </w:p>
          <w:p w14:paraId="11ABCFF3">
            <w:pPr>
              <w:spacing w:before="78" w:line="446" w:lineRule="auto"/>
              <w:ind w:left="113" w:right="105" w:hanging="1"/>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67"/>
                <w:sz w:val="24"/>
                <w:szCs w:val="24"/>
              </w:rPr>
              <w:t xml:space="preserve"> </w:t>
            </w:r>
            <w:r>
              <w:rPr>
                <w:rFonts w:ascii="宋体" w:hAnsi="宋体" w:eastAsia="宋体" w:cs="宋体"/>
                <w:spacing w:val="8"/>
                <w:sz w:val="24"/>
                <w:szCs w:val="24"/>
              </w:rPr>
              <w:t>医师首</w:t>
            </w:r>
            <w:r>
              <w:rPr>
                <w:rFonts w:ascii="宋体" w:hAnsi="宋体" w:eastAsia="宋体" w:cs="宋体"/>
                <w:sz w:val="24"/>
                <w:szCs w:val="24"/>
              </w:rPr>
              <w:t xml:space="preserve"> 页</w:t>
            </w:r>
          </w:p>
        </w:tc>
        <w:tc>
          <w:tcPr>
            <w:tcW w:w="7743" w:type="dxa"/>
            <w:vAlign w:val="top"/>
          </w:tcPr>
          <w:p w14:paraId="711FDFCF">
            <w:pPr>
              <w:spacing w:before="163" w:line="219" w:lineRule="auto"/>
              <w:ind w:left="129"/>
              <w:rPr>
                <w:rFonts w:ascii="宋体" w:hAnsi="宋体" w:eastAsia="宋体" w:cs="宋体"/>
                <w:sz w:val="24"/>
                <w:szCs w:val="24"/>
              </w:rPr>
            </w:pPr>
            <w:r>
              <w:rPr>
                <w:rFonts w:ascii="Times New Roman" w:hAnsi="Times New Roman" w:eastAsia="Times New Roman" w:cs="Times New Roman"/>
                <w:spacing w:val="-4"/>
                <w:sz w:val="24"/>
                <w:szCs w:val="24"/>
              </w:rPr>
              <w:t>1</w:t>
            </w:r>
            <w:r>
              <w:rPr>
                <w:rFonts w:ascii="Times New Roman" w:hAnsi="Times New Roman" w:eastAsia="Times New Roman" w:cs="Times New Roman"/>
                <w:spacing w:val="-26"/>
                <w:sz w:val="24"/>
                <w:szCs w:val="24"/>
              </w:rPr>
              <w:t xml:space="preserve"> </w:t>
            </w:r>
            <w:r>
              <w:rPr>
                <w:rFonts w:ascii="宋体" w:hAnsi="宋体" w:eastAsia="宋体" w:cs="宋体"/>
                <w:spacing w:val="-4"/>
                <w:sz w:val="24"/>
                <w:szCs w:val="24"/>
              </w:rPr>
              <w:t>．提供当前用户取得操作权限的软件功能模块入口。</w:t>
            </w:r>
          </w:p>
          <w:p w14:paraId="1EC70F62">
            <w:pPr>
              <w:spacing w:before="74" w:line="261" w:lineRule="auto"/>
              <w:ind w:left="111" w:right="102" w:hanging="5"/>
              <w:rPr>
                <w:rFonts w:ascii="宋体" w:hAnsi="宋体" w:eastAsia="宋体" w:cs="宋体"/>
                <w:sz w:val="24"/>
                <w:szCs w:val="24"/>
              </w:rPr>
            </w:pPr>
            <w:r>
              <w:rPr>
                <w:rFonts w:ascii="Times New Roman" w:hAnsi="Times New Roman" w:eastAsia="Times New Roman" w:cs="Times New Roman"/>
                <w:spacing w:val="-8"/>
                <w:sz w:val="24"/>
                <w:szCs w:val="24"/>
              </w:rPr>
              <w:t>2</w:t>
            </w:r>
            <w:r>
              <w:rPr>
                <w:rFonts w:ascii="Times New Roman" w:hAnsi="Times New Roman" w:eastAsia="Times New Roman" w:cs="Times New Roman"/>
                <w:spacing w:val="-19"/>
                <w:sz w:val="24"/>
                <w:szCs w:val="24"/>
              </w:rPr>
              <w:t xml:space="preserve"> </w:t>
            </w:r>
            <w:r>
              <w:rPr>
                <w:rFonts w:ascii="宋体" w:hAnsi="宋体" w:eastAsia="宋体" w:cs="宋体"/>
                <w:spacing w:val="-8"/>
                <w:sz w:val="24"/>
                <w:szCs w:val="24"/>
              </w:rPr>
              <w:t>．提供按业务类型组织的任务管理，包括待办事务、我的申请，</w:t>
            </w:r>
            <w:r>
              <w:rPr>
                <w:rFonts w:ascii="宋体" w:hAnsi="宋体" w:eastAsia="宋体" w:cs="宋体"/>
                <w:spacing w:val="58"/>
                <w:sz w:val="24"/>
                <w:szCs w:val="24"/>
              </w:rPr>
              <w:t xml:space="preserve"> </w:t>
            </w:r>
            <w:r>
              <w:rPr>
                <w:rFonts w:ascii="宋体" w:hAnsi="宋体" w:eastAsia="宋体" w:cs="宋体"/>
                <w:spacing w:val="-8"/>
                <w:sz w:val="24"/>
                <w:szCs w:val="24"/>
              </w:rPr>
              <w:t>工作提</w:t>
            </w:r>
            <w:r>
              <w:rPr>
                <w:rFonts w:ascii="宋体" w:hAnsi="宋体" w:eastAsia="宋体" w:cs="宋体"/>
                <w:sz w:val="24"/>
                <w:szCs w:val="24"/>
              </w:rPr>
              <w:t xml:space="preserve"> 醒，医务部通知等，用于快速处理由当前用</w:t>
            </w:r>
            <w:r>
              <w:rPr>
                <w:rFonts w:ascii="宋体" w:hAnsi="宋体" w:eastAsia="宋体" w:cs="宋体"/>
                <w:spacing w:val="-1"/>
                <w:sz w:val="24"/>
                <w:szCs w:val="24"/>
              </w:rPr>
              <w:t>户办理的事务和快速查看当</w:t>
            </w:r>
            <w:r>
              <w:rPr>
                <w:rFonts w:ascii="宋体" w:hAnsi="宋体" w:eastAsia="宋体" w:cs="宋体"/>
                <w:sz w:val="24"/>
                <w:szCs w:val="24"/>
              </w:rPr>
              <w:t xml:space="preserve"> 前用户发起的各项业务；同时按业务类型展</w:t>
            </w:r>
            <w:r>
              <w:rPr>
                <w:rFonts w:ascii="宋体" w:hAnsi="宋体" w:eastAsia="宋体" w:cs="宋体"/>
                <w:spacing w:val="-1"/>
                <w:sz w:val="24"/>
                <w:szCs w:val="24"/>
              </w:rPr>
              <w:t>示工作任务，包括排班、资</w:t>
            </w:r>
            <w:r>
              <w:rPr>
                <w:rFonts w:ascii="宋体" w:hAnsi="宋体" w:eastAsia="宋体" w:cs="宋体"/>
                <w:sz w:val="24"/>
                <w:szCs w:val="24"/>
              </w:rPr>
              <w:t xml:space="preserve"> </w:t>
            </w:r>
            <w:r>
              <w:rPr>
                <w:rFonts w:ascii="宋体" w:hAnsi="宋体" w:eastAsia="宋体" w:cs="宋体"/>
                <w:spacing w:val="-3"/>
                <w:sz w:val="24"/>
                <w:szCs w:val="24"/>
              </w:rPr>
              <w:t>质权限、指令性任务、投诉纠纷。</w:t>
            </w:r>
          </w:p>
          <w:p w14:paraId="5DABDE36">
            <w:pPr>
              <w:spacing w:before="72" w:line="247" w:lineRule="auto"/>
              <w:ind w:left="111" w:right="102" w:hanging="1"/>
              <w:rPr>
                <w:rFonts w:ascii="宋体" w:hAnsi="宋体" w:eastAsia="宋体" w:cs="宋体"/>
                <w:sz w:val="24"/>
                <w:szCs w:val="24"/>
              </w:rPr>
            </w:pPr>
            <w:r>
              <w:rPr>
                <w:rFonts w:ascii="Times New Roman" w:hAnsi="Times New Roman" w:eastAsia="Times New Roman" w:cs="Times New Roman"/>
                <w:spacing w:val="-8"/>
                <w:sz w:val="24"/>
                <w:szCs w:val="24"/>
              </w:rPr>
              <w:t>3</w:t>
            </w:r>
            <w:r>
              <w:rPr>
                <w:rFonts w:ascii="Times New Roman" w:hAnsi="Times New Roman" w:eastAsia="Times New Roman" w:cs="Times New Roman"/>
                <w:spacing w:val="-28"/>
                <w:sz w:val="24"/>
                <w:szCs w:val="24"/>
              </w:rPr>
              <w:t xml:space="preserve"> </w:t>
            </w:r>
            <w:r>
              <w:rPr>
                <w:rFonts w:ascii="宋体" w:hAnsi="宋体" w:eastAsia="宋体" w:cs="宋体"/>
                <w:spacing w:val="-8"/>
                <w:sz w:val="24"/>
                <w:szCs w:val="24"/>
              </w:rPr>
              <w:t>．提供公告展示区域，公告列表主要显示日期、公告标题，</w:t>
            </w:r>
            <w:r>
              <w:rPr>
                <w:rFonts w:ascii="宋体" w:hAnsi="宋体" w:eastAsia="宋体" w:cs="宋体"/>
                <w:spacing w:val="68"/>
                <w:sz w:val="24"/>
                <w:szCs w:val="24"/>
              </w:rPr>
              <w:t xml:space="preserve"> </w:t>
            </w:r>
            <w:r>
              <w:rPr>
                <w:rFonts w:ascii="宋体" w:hAnsi="宋体" w:eastAsia="宋体" w:cs="宋体"/>
                <w:spacing w:val="-9"/>
                <w:sz w:val="24"/>
                <w:szCs w:val="24"/>
              </w:rPr>
              <w:t>点击标题后</w:t>
            </w:r>
            <w:r>
              <w:rPr>
                <w:rFonts w:ascii="宋体" w:hAnsi="宋体" w:eastAsia="宋体" w:cs="宋体"/>
                <w:sz w:val="24"/>
                <w:szCs w:val="24"/>
              </w:rPr>
              <w:t xml:space="preserve"> </w:t>
            </w:r>
            <w:r>
              <w:rPr>
                <w:rFonts w:ascii="宋体" w:hAnsi="宋体" w:eastAsia="宋体" w:cs="宋体"/>
                <w:spacing w:val="-6"/>
                <w:sz w:val="24"/>
                <w:szCs w:val="24"/>
              </w:rPr>
              <w:t>可查看公告详情。</w:t>
            </w:r>
          </w:p>
          <w:p w14:paraId="0E8FBD47">
            <w:pPr>
              <w:spacing w:before="76" w:line="256" w:lineRule="auto"/>
              <w:ind w:left="105" w:right="35" w:firstLine="4"/>
              <w:rPr>
                <w:rFonts w:ascii="宋体" w:hAnsi="宋体" w:eastAsia="宋体" w:cs="宋体"/>
                <w:sz w:val="24"/>
                <w:szCs w:val="24"/>
              </w:rPr>
            </w:pPr>
            <w:r>
              <w:rPr>
                <w:rFonts w:ascii="宋体" w:hAnsi="宋体" w:eastAsia="宋体" w:cs="宋体"/>
                <w:spacing w:val="-7"/>
                <w:sz w:val="24"/>
                <w:szCs w:val="24"/>
              </w:rPr>
              <w:t>4．可查看医务管理部门提交并发布的各类政策法规、规章制度文档，</w:t>
            </w:r>
            <w:r>
              <w:rPr>
                <w:rFonts w:ascii="宋体" w:hAnsi="宋体" w:eastAsia="宋体" w:cs="宋体"/>
                <w:spacing w:val="64"/>
                <w:sz w:val="24"/>
                <w:szCs w:val="24"/>
              </w:rPr>
              <w:t xml:space="preserve"> </w:t>
            </w:r>
            <w:r>
              <w:rPr>
                <w:rFonts w:ascii="宋体" w:hAnsi="宋体" w:eastAsia="宋体" w:cs="宋体"/>
                <w:spacing w:val="-7"/>
                <w:sz w:val="24"/>
                <w:szCs w:val="24"/>
              </w:rPr>
              <w:t>在</w:t>
            </w:r>
            <w:r>
              <w:rPr>
                <w:rFonts w:ascii="宋体" w:hAnsi="宋体" w:eastAsia="宋体" w:cs="宋体"/>
                <w:sz w:val="24"/>
                <w:szCs w:val="24"/>
              </w:rPr>
              <w:t xml:space="preserve"> </w:t>
            </w:r>
            <w:r>
              <w:rPr>
                <w:rFonts w:ascii="宋体" w:hAnsi="宋体" w:eastAsia="宋体" w:cs="宋体"/>
                <w:spacing w:val="-8"/>
                <w:sz w:val="24"/>
                <w:szCs w:val="24"/>
              </w:rPr>
              <w:t>列表中显示文件名称、发文机构、日期，</w:t>
            </w:r>
            <w:r>
              <w:rPr>
                <w:rFonts w:ascii="宋体" w:hAnsi="宋体" w:eastAsia="宋体" w:cs="宋体"/>
                <w:spacing w:val="59"/>
                <w:sz w:val="24"/>
                <w:szCs w:val="24"/>
              </w:rPr>
              <w:t xml:space="preserve"> </w:t>
            </w:r>
            <w:r>
              <w:rPr>
                <w:rFonts w:ascii="宋体" w:hAnsi="宋体" w:eastAsia="宋体" w:cs="宋体"/>
                <w:spacing w:val="-8"/>
                <w:sz w:val="24"/>
                <w:szCs w:val="24"/>
              </w:rPr>
              <w:t>并可</w:t>
            </w:r>
            <w:r>
              <w:rPr>
                <w:rFonts w:ascii="宋体" w:hAnsi="宋体" w:eastAsia="宋体" w:cs="宋体"/>
                <w:spacing w:val="-9"/>
                <w:sz w:val="24"/>
                <w:szCs w:val="24"/>
              </w:rPr>
              <w:t>查看政策文件正文及附件，</w:t>
            </w:r>
            <w:r>
              <w:rPr>
                <w:rFonts w:ascii="宋体" w:hAnsi="宋体" w:eastAsia="宋体" w:cs="宋体"/>
                <w:sz w:val="24"/>
                <w:szCs w:val="24"/>
              </w:rPr>
              <w:t xml:space="preserve"> </w:t>
            </w:r>
            <w:r>
              <w:rPr>
                <w:rFonts w:ascii="Times New Roman" w:hAnsi="Times New Roman" w:eastAsia="Times New Roman" w:cs="Times New Roman"/>
                <w:spacing w:val="-6"/>
                <w:sz w:val="24"/>
                <w:szCs w:val="24"/>
              </w:rPr>
              <w:t>PDF</w:t>
            </w:r>
            <w:r>
              <w:rPr>
                <w:rFonts w:ascii="Times New Roman" w:hAnsi="Times New Roman" w:eastAsia="Times New Roman" w:cs="Times New Roman"/>
                <w:spacing w:val="39"/>
                <w:sz w:val="24"/>
                <w:szCs w:val="24"/>
              </w:rPr>
              <w:t xml:space="preserve"> </w:t>
            </w:r>
            <w:r>
              <w:rPr>
                <w:rFonts w:ascii="宋体" w:hAnsi="宋体" w:eastAsia="宋体" w:cs="宋体"/>
                <w:spacing w:val="-6"/>
                <w:sz w:val="24"/>
                <w:szCs w:val="24"/>
              </w:rPr>
              <w:t>附件支持在线浏览。</w:t>
            </w:r>
          </w:p>
        </w:tc>
      </w:tr>
      <w:tr w14:paraId="3D79E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8" w:hRule="atLeast"/>
        </w:trPr>
        <w:tc>
          <w:tcPr>
            <w:tcW w:w="783" w:type="dxa"/>
            <w:vAlign w:val="top"/>
          </w:tcPr>
          <w:p w14:paraId="7A4B54F8">
            <w:pPr>
              <w:spacing w:line="269" w:lineRule="auto"/>
              <w:rPr>
                <w:rFonts w:ascii="Arial"/>
                <w:sz w:val="21"/>
              </w:rPr>
            </w:pPr>
          </w:p>
          <w:p w14:paraId="06EAA272">
            <w:pPr>
              <w:spacing w:line="269" w:lineRule="auto"/>
              <w:rPr>
                <w:rFonts w:ascii="Arial"/>
                <w:sz w:val="21"/>
              </w:rPr>
            </w:pPr>
          </w:p>
          <w:p w14:paraId="76621B68">
            <w:pPr>
              <w:spacing w:line="269" w:lineRule="auto"/>
              <w:rPr>
                <w:rFonts w:ascii="Arial"/>
                <w:sz w:val="21"/>
              </w:rPr>
            </w:pPr>
          </w:p>
          <w:p w14:paraId="31F447B2">
            <w:pPr>
              <w:spacing w:line="269" w:lineRule="auto"/>
              <w:rPr>
                <w:rFonts w:ascii="Arial"/>
                <w:sz w:val="21"/>
              </w:rPr>
            </w:pPr>
          </w:p>
          <w:p w14:paraId="1ECFAB05">
            <w:pPr>
              <w:spacing w:line="269" w:lineRule="auto"/>
              <w:rPr>
                <w:rFonts w:ascii="Arial"/>
                <w:sz w:val="21"/>
              </w:rPr>
            </w:pPr>
          </w:p>
          <w:p w14:paraId="7392C88F">
            <w:pPr>
              <w:spacing w:line="270" w:lineRule="auto"/>
              <w:rPr>
                <w:rFonts w:ascii="Arial"/>
                <w:sz w:val="21"/>
              </w:rPr>
            </w:pPr>
          </w:p>
          <w:p w14:paraId="5BDC9B7D">
            <w:pPr>
              <w:spacing w:line="270" w:lineRule="auto"/>
              <w:rPr>
                <w:rFonts w:ascii="Arial"/>
                <w:sz w:val="21"/>
              </w:rPr>
            </w:pPr>
          </w:p>
          <w:p w14:paraId="76328C03">
            <w:pPr>
              <w:spacing w:line="270" w:lineRule="auto"/>
              <w:rPr>
                <w:rFonts w:ascii="Arial"/>
                <w:sz w:val="21"/>
              </w:rPr>
            </w:pPr>
          </w:p>
          <w:p w14:paraId="753AACAD">
            <w:pPr>
              <w:spacing w:before="78" w:line="181" w:lineRule="auto"/>
              <w:ind w:left="412"/>
              <w:rPr>
                <w:rFonts w:ascii="宋体" w:hAnsi="宋体" w:eastAsia="宋体" w:cs="宋体"/>
                <w:sz w:val="24"/>
                <w:szCs w:val="24"/>
              </w:rPr>
            </w:pPr>
            <w:r>
              <w:rPr>
                <w:rFonts w:ascii="宋体" w:hAnsi="宋体" w:eastAsia="宋体" w:cs="宋体"/>
                <w:sz w:val="24"/>
                <w:szCs w:val="24"/>
              </w:rPr>
              <w:t>3</w:t>
            </w:r>
          </w:p>
        </w:tc>
        <w:tc>
          <w:tcPr>
            <w:tcW w:w="1273" w:type="dxa"/>
            <w:vAlign w:val="top"/>
          </w:tcPr>
          <w:p w14:paraId="7E62CFAB">
            <w:pPr>
              <w:spacing w:line="259" w:lineRule="auto"/>
              <w:rPr>
                <w:rFonts w:ascii="Arial"/>
                <w:sz w:val="21"/>
              </w:rPr>
            </w:pPr>
          </w:p>
          <w:p w14:paraId="7254CF42">
            <w:pPr>
              <w:spacing w:line="259" w:lineRule="auto"/>
              <w:rPr>
                <w:rFonts w:ascii="Arial"/>
                <w:sz w:val="21"/>
              </w:rPr>
            </w:pPr>
          </w:p>
          <w:p w14:paraId="496629F0">
            <w:pPr>
              <w:spacing w:line="260" w:lineRule="auto"/>
              <w:rPr>
                <w:rFonts w:ascii="Arial"/>
                <w:sz w:val="21"/>
              </w:rPr>
            </w:pPr>
          </w:p>
          <w:p w14:paraId="3C18085D">
            <w:pPr>
              <w:spacing w:line="260" w:lineRule="auto"/>
              <w:rPr>
                <w:rFonts w:ascii="Arial"/>
                <w:sz w:val="21"/>
              </w:rPr>
            </w:pPr>
          </w:p>
          <w:p w14:paraId="7F160776">
            <w:pPr>
              <w:spacing w:line="260" w:lineRule="auto"/>
              <w:rPr>
                <w:rFonts w:ascii="Arial"/>
                <w:sz w:val="21"/>
              </w:rPr>
            </w:pPr>
          </w:p>
          <w:p w14:paraId="4DE72087">
            <w:pPr>
              <w:spacing w:line="260" w:lineRule="auto"/>
              <w:rPr>
                <w:rFonts w:ascii="Arial"/>
                <w:sz w:val="21"/>
              </w:rPr>
            </w:pPr>
          </w:p>
          <w:p w14:paraId="3DEB9999">
            <w:pPr>
              <w:spacing w:line="260" w:lineRule="auto"/>
              <w:rPr>
                <w:rFonts w:ascii="Arial"/>
                <w:sz w:val="21"/>
              </w:rPr>
            </w:pPr>
          </w:p>
          <w:p w14:paraId="23E1F43F">
            <w:pPr>
              <w:spacing w:before="78" w:line="446" w:lineRule="auto"/>
              <w:ind w:left="109" w:right="105" w:firstLine="2"/>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65"/>
                <w:sz w:val="24"/>
                <w:szCs w:val="24"/>
              </w:rPr>
              <w:t xml:space="preserve"> </w:t>
            </w:r>
            <w:r>
              <w:rPr>
                <w:rFonts w:ascii="宋体" w:hAnsi="宋体" w:eastAsia="宋体" w:cs="宋体"/>
                <w:spacing w:val="-10"/>
                <w:sz w:val="24"/>
                <w:szCs w:val="24"/>
              </w:rPr>
              <w:t>医务</w:t>
            </w:r>
            <w:r>
              <w:rPr>
                <w:rFonts w:ascii="宋体" w:hAnsi="宋体" w:eastAsia="宋体" w:cs="宋体"/>
                <w:spacing w:val="-51"/>
                <w:sz w:val="24"/>
                <w:szCs w:val="24"/>
              </w:rPr>
              <w:t xml:space="preserve"> </w:t>
            </w:r>
            <w:r>
              <w:rPr>
                <w:rFonts w:ascii="宋体" w:hAnsi="宋体" w:eastAsia="宋体" w:cs="宋体"/>
                <w:spacing w:val="-10"/>
                <w:sz w:val="24"/>
                <w:szCs w:val="24"/>
              </w:rPr>
              <w:t>门</w:t>
            </w:r>
            <w:r>
              <w:rPr>
                <w:rFonts w:ascii="宋体" w:hAnsi="宋体" w:eastAsia="宋体" w:cs="宋体"/>
                <w:sz w:val="24"/>
                <w:szCs w:val="24"/>
              </w:rPr>
              <w:t xml:space="preserve"> 户</w:t>
            </w:r>
          </w:p>
        </w:tc>
        <w:tc>
          <w:tcPr>
            <w:tcW w:w="7743" w:type="dxa"/>
            <w:vAlign w:val="top"/>
          </w:tcPr>
          <w:p w14:paraId="506A900D">
            <w:pPr>
              <w:spacing w:before="37" w:line="247" w:lineRule="auto"/>
              <w:ind w:left="116" w:right="102" w:firstLine="12"/>
              <w:rPr>
                <w:rFonts w:ascii="宋体" w:hAnsi="宋体" w:eastAsia="宋体" w:cs="宋体"/>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24"/>
                <w:sz w:val="24"/>
                <w:szCs w:val="24"/>
              </w:rPr>
              <w:t xml:space="preserve"> </w:t>
            </w:r>
            <w:r>
              <w:rPr>
                <w:rFonts w:ascii="宋体" w:hAnsi="宋体" w:eastAsia="宋体" w:cs="宋体"/>
                <w:spacing w:val="-3"/>
                <w:sz w:val="24"/>
                <w:szCs w:val="24"/>
              </w:rPr>
              <w:t>．显示当前用户的待办事务和已办事务，显示内容包括业务标题、单据</w:t>
            </w:r>
            <w:r>
              <w:rPr>
                <w:rFonts w:ascii="宋体" w:hAnsi="宋体" w:eastAsia="宋体" w:cs="宋体"/>
                <w:sz w:val="24"/>
                <w:szCs w:val="24"/>
              </w:rPr>
              <w:t xml:space="preserve"> </w:t>
            </w:r>
            <w:r>
              <w:rPr>
                <w:rFonts w:ascii="宋体" w:hAnsi="宋体" w:eastAsia="宋体" w:cs="宋体"/>
                <w:spacing w:val="-3"/>
                <w:sz w:val="24"/>
                <w:szCs w:val="24"/>
              </w:rPr>
              <w:t>号、申请人、提交时间和业务关键信息。</w:t>
            </w:r>
          </w:p>
          <w:p w14:paraId="15EBFBE8">
            <w:pPr>
              <w:spacing w:before="72" w:line="218" w:lineRule="auto"/>
              <w:ind w:left="106"/>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0"/>
                <w:sz w:val="24"/>
                <w:szCs w:val="24"/>
              </w:rPr>
              <w:t xml:space="preserve"> </w:t>
            </w:r>
            <w:r>
              <w:rPr>
                <w:rFonts w:ascii="宋体" w:hAnsi="宋体" w:eastAsia="宋体" w:cs="宋体"/>
                <w:spacing w:val="-2"/>
                <w:sz w:val="24"/>
                <w:szCs w:val="24"/>
              </w:rPr>
              <w:t>．医务部通知、公告管理，实现通知公告的拟定、审批、发布</w:t>
            </w:r>
          </w:p>
          <w:p w14:paraId="6663C12F">
            <w:pPr>
              <w:spacing w:before="73" w:line="220" w:lineRule="auto"/>
              <w:ind w:left="110"/>
              <w:rPr>
                <w:rFonts w:ascii="宋体" w:hAnsi="宋体" w:eastAsia="宋体" w:cs="宋体"/>
                <w:sz w:val="24"/>
                <w:szCs w:val="24"/>
              </w:rPr>
            </w:pPr>
            <w:r>
              <w:rPr>
                <w:rFonts w:ascii="Times New Roman" w:hAnsi="Times New Roman" w:eastAsia="Times New Roman" w:cs="Times New Roman"/>
                <w:spacing w:val="-3"/>
                <w:sz w:val="24"/>
                <w:szCs w:val="24"/>
              </w:rPr>
              <w:t>3</w:t>
            </w:r>
            <w:r>
              <w:rPr>
                <w:rFonts w:ascii="Times New Roman" w:hAnsi="Times New Roman" w:eastAsia="Times New Roman" w:cs="Times New Roman"/>
                <w:spacing w:val="-14"/>
                <w:sz w:val="24"/>
                <w:szCs w:val="24"/>
              </w:rPr>
              <w:t xml:space="preserve"> </w:t>
            </w:r>
            <w:r>
              <w:rPr>
                <w:rFonts w:ascii="宋体" w:hAnsi="宋体" w:eastAsia="宋体" w:cs="宋体"/>
                <w:spacing w:val="-3"/>
                <w:sz w:val="24"/>
                <w:szCs w:val="24"/>
              </w:rPr>
              <w:t>．当前用户可在待办事务列表中直接打开相关表单进行业务处理。</w:t>
            </w:r>
          </w:p>
          <w:p w14:paraId="04EFBC62">
            <w:pPr>
              <w:spacing w:before="72" w:line="220" w:lineRule="auto"/>
              <w:ind w:left="104"/>
              <w:rPr>
                <w:rFonts w:ascii="宋体" w:hAnsi="宋体" w:eastAsia="宋体" w:cs="宋体"/>
                <w:sz w:val="24"/>
                <w:szCs w:val="24"/>
              </w:rPr>
            </w:pPr>
            <w:r>
              <w:rPr>
                <w:rFonts w:ascii="Times New Roman" w:hAnsi="Times New Roman" w:eastAsia="Times New Roman" w:cs="Times New Roman"/>
                <w:spacing w:val="-3"/>
                <w:sz w:val="24"/>
                <w:szCs w:val="24"/>
              </w:rPr>
              <w:t>4</w:t>
            </w:r>
            <w:r>
              <w:rPr>
                <w:rFonts w:ascii="Times New Roman" w:hAnsi="Times New Roman" w:eastAsia="Times New Roman" w:cs="Times New Roman"/>
                <w:spacing w:val="-23"/>
                <w:sz w:val="24"/>
                <w:szCs w:val="24"/>
              </w:rPr>
              <w:t xml:space="preserve"> </w:t>
            </w:r>
            <w:r>
              <w:rPr>
                <w:rFonts w:ascii="宋体" w:hAnsi="宋体" w:eastAsia="宋体" w:cs="宋体"/>
                <w:spacing w:val="-3"/>
                <w:sz w:val="24"/>
                <w:szCs w:val="24"/>
              </w:rPr>
              <w:t>．当前用户可在已办理事务列表中查看业务表单内容。</w:t>
            </w:r>
          </w:p>
          <w:p w14:paraId="1C7F9E4F">
            <w:pPr>
              <w:spacing w:before="72" w:line="219" w:lineRule="auto"/>
              <w:ind w:left="112"/>
              <w:rPr>
                <w:rFonts w:ascii="宋体" w:hAnsi="宋体" w:eastAsia="宋体" w:cs="宋体"/>
                <w:sz w:val="24"/>
                <w:szCs w:val="24"/>
              </w:rPr>
            </w:pPr>
            <w:r>
              <w:rPr>
                <w:rFonts w:ascii="Times New Roman" w:hAnsi="Times New Roman" w:eastAsia="Times New Roman" w:cs="Times New Roman"/>
                <w:spacing w:val="-4"/>
                <w:sz w:val="24"/>
                <w:szCs w:val="24"/>
              </w:rPr>
              <w:t>5</w:t>
            </w:r>
            <w:r>
              <w:rPr>
                <w:rFonts w:ascii="Times New Roman" w:hAnsi="Times New Roman" w:eastAsia="Times New Roman" w:cs="Times New Roman"/>
                <w:spacing w:val="-25"/>
                <w:sz w:val="24"/>
                <w:szCs w:val="24"/>
              </w:rPr>
              <w:t xml:space="preserve"> </w:t>
            </w:r>
            <w:r>
              <w:rPr>
                <w:rFonts w:ascii="宋体" w:hAnsi="宋体" w:eastAsia="宋体" w:cs="宋体"/>
                <w:spacing w:val="-4"/>
                <w:sz w:val="24"/>
                <w:szCs w:val="24"/>
              </w:rPr>
              <w:t>．提供当前用户取得权限的模块权限入口。</w:t>
            </w:r>
          </w:p>
          <w:p w14:paraId="592636C5">
            <w:pPr>
              <w:spacing w:before="73" w:line="247" w:lineRule="auto"/>
              <w:ind w:left="109" w:right="102" w:firstLine="1"/>
              <w:rPr>
                <w:rFonts w:ascii="宋体" w:hAnsi="宋体" w:eastAsia="宋体" w:cs="宋体"/>
                <w:sz w:val="24"/>
                <w:szCs w:val="24"/>
              </w:rPr>
            </w:pPr>
            <w:r>
              <w:rPr>
                <w:rFonts w:ascii="Times New Roman" w:hAnsi="Times New Roman" w:eastAsia="Times New Roman" w:cs="Times New Roman"/>
                <w:spacing w:val="-8"/>
                <w:sz w:val="24"/>
                <w:szCs w:val="24"/>
              </w:rPr>
              <w:t>6</w:t>
            </w:r>
            <w:r>
              <w:rPr>
                <w:rFonts w:ascii="Times New Roman" w:hAnsi="Times New Roman" w:eastAsia="Times New Roman" w:cs="Times New Roman"/>
                <w:spacing w:val="-28"/>
                <w:sz w:val="24"/>
                <w:szCs w:val="24"/>
              </w:rPr>
              <w:t xml:space="preserve"> </w:t>
            </w:r>
            <w:r>
              <w:rPr>
                <w:rFonts w:ascii="宋体" w:hAnsi="宋体" w:eastAsia="宋体" w:cs="宋体"/>
                <w:spacing w:val="-8"/>
                <w:sz w:val="24"/>
                <w:szCs w:val="24"/>
              </w:rPr>
              <w:t>．公告展示区域显示公告日期、公告标题，</w:t>
            </w:r>
            <w:r>
              <w:rPr>
                <w:rFonts w:ascii="宋体" w:hAnsi="宋体" w:eastAsia="宋体" w:cs="宋体"/>
                <w:spacing w:val="65"/>
                <w:sz w:val="24"/>
                <w:szCs w:val="24"/>
              </w:rPr>
              <w:t xml:space="preserve"> </w:t>
            </w:r>
            <w:r>
              <w:rPr>
                <w:rFonts w:ascii="宋体" w:hAnsi="宋体" w:eastAsia="宋体" w:cs="宋体"/>
                <w:spacing w:val="-8"/>
                <w:sz w:val="24"/>
                <w:szCs w:val="24"/>
              </w:rPr>
              <w:t>点击标题后可查看公</w:t>
            </w:r>
            <w:r>
              <w:rPr>
                <w:rFonts w:ascii="宋体" w:hAnsi="宋体" w:eastAsia="宋体" w:cs="宋体"/>
                <w:spacing w:val="-9"/>
                <w:sz w:val="24"/>
                <w:szCs w:val="24"/>
              </w:rPr>
              <w:t>告内容</w:t>
            </w:r>
            <w:r>
              <w:rPr>
                <w:rFonts w:ascii="宋体" w:hAnsi="宋体" w:eastAsia="宋体" w:cs="宋体"/>
                <w:sz w:val="24"/>
                <w:szCs w:val="24"/>
              </w:rPr>
              <w:t xml:space="preserve"> </w:t>
            </w:r>
            <w:r>
              <w:rPr>
                <w:rFonts w:ascii="宋体" w:hAnsi="宋体" w:eastAsia="宋体" w:cs="宋体"/>
                <w:spacing w:val="-9"/>
                <w:sz w:val="24"/>
                <w:szCs w:val="24"/>
              </w:rPr>
              <w:t>及附件。</w:t>
            </w:r>
          </w:p>
          <w:p w14:paraId="2519310E">
            <w:pPr>
              <w:spacing w:before="216" w:line="219" w:lineRule="auto"/>
              <w:ind w:left="109"/>
              <w:rPr>
                <w:rFonts w:ascii="宋体" w:hAnsi="宋体" w:eastAsia="宋体" w:cs="宋体"/>
                <w:sz w:val="24"/>
                <w:szCs w:val="24"/>
              </w:rPr>
            </w:pPr>
            <w:r>
              <w:rPr>
                <w:rFonts w:ascii="Times New Roman" w:hAnsi="Times New Roman" w:eastAsia="Times New Roman" w:cs="Times New Roman"/>
                <w:spacing w:val="-8"/>
                <w:sz w:val="24"/>
                <w:szCs w:val="24"/>
              </w:rPr>
              <w:t>7</w:t>
            </w:r>
            <w:r>
              <w:rPr>
                <w:rFonts w:ascii="Times New Roman" w:hAnsi="Times New Roman" w:eastAsia="Times New Roman" w:cs="Times New Roman"/>
                <w:spacing w:val="-14"/>
                <w:sz w:val="24"/>
                <w:szCs w:val="24"/>
              </w:rPr>
              <w:t xml:space="preserve"> </w:t>
            </w:r>
            <w:r>
              <w:rPr>
                <w:rFonts w:ascii="宋体" w:hAnsi="宋体" w:eastAsia="宋体" w:cs="宋体"/>
                <w:spacing w:val="-8"/>
                <w:sz w:val="24"/>
                <w:szCs w:val="24"/>
              </w:rPr>
              <w:t>．支持查看管理部门提交并发布的各类政策法规、规章制度，</w:t>
            </w:r>
            <w:r>
              <w:rPr>
                <w:rFonts w:ascii="宋体" w:hAnsi="宋体" w:eastAsia="宋体" w:cs="宋体"/>
                <w:spacing w:val="52"/>
                <w:sz w:val="24"/>
                <w:szCs w:val="24"/>
              </w:rPr>
              <w:t xml:space="preserve"> </w:t>
            </w:r>
            <w:r>
              <w:rPr>
                <w:rFonts w:ascii="宋体" w:hAnsi="宋体" w:eastAsia="宋体" w:cs="宋体"/>
                <w:spacing w:val="-8"/>
                <w:sz w:val="24"/>
                <w:szCs w:val="24"/>
              </w:rPr>
              <w:t>在列表中</w:t>
            </w:r>
          </w:p>
          <w:p w14:paraId="54A62F71">
            <w:pPr>
              <w:spacing w:before="313" w:line="384" w:lineRule="auto"/>
              <w:ind w:left="128" w:right="101" w:hanging="12"/>
              <w:rPr>
                <w:rFonts w:ascii="宋体" w:hAnsi="宋体" w:eastAsia="宋体" w:cs="宋体"/>
                <w:sz w:val="24"/>
                <w:szCs w:val="24"/>
              </w:rPr>
            </w:pPr>
            <w:r>
              <w:rPr>
                <w:rFonts w:ascii="宋体" w:hAnsi="宋体" w:eastAsia="宋体" w:cs="宋体"/>
                <w:spacing w:val="-13"/>
                <w:sz w:val="24"/>
                <w:szCs w:val="24"/>
              </w:rPr>
              <w:t>显示文件名称、发文机构、日期，并可查看政策文件正文及附件，支持</w:t>
            </w:r>
            <w:r>
              <w:rPr>
                <w:rFonts w:ascii="宋体" w:hAnsi="宋体" w:eastAsia="宋体" w:cs="宋体"/>
                <w:spacing w:val="-45"/>
                <w:sz w:val="24"/>
                <w:szCs w:val="24"/>
              </w:rPr>
              <w:t xml:space="preserve"> </w:t>
            </w:r>
            <w:r>
              <w:rPr>
                <w:rFonts w:ascii="Times New Roman" w:hAnsi="Times New Roman" w:eastAsia="Times New Roman" w:cs="Times New Roman"/>
                <w:spacing w:val="-13"/>
                <w:sz w:val="24"/>
                <w:szCs w:val="24"/>
              </w:rPr>
              <w:t>PDF</w:t>
            </w:r>
            <w:r>
              <w:rPr>
                <w:rFonts w:ascii="Times New Roman" w:hAnsi="Times New Roman" w:eastAsia="Times New Roman" w:cs="Times New Roman"/>
                <w:sz w:val="24"/>
                <w:szCs w:val="24"/>
              </w:rPr>
              <w:t xml:space="preserve"> </w:t>
            </w:r>
            <w:r>
              <w:rPr>
                <w:rFonts w:ascii="宋体" w:hAnsi="宋体" w:eastAsia="宋体" w:cs="宋体"/>
                <w:spacing w:val="-6"/>
                <w:sz w:val="24"/>
                <w:szCs w:val="24"/>
              </w:rPr>
              <w:t>附件在线浏览和下载。</w:t>
            </w:r>
          </w:p>
        </w:tc>
      </w:tr>
      <w:tr w14:paraId="49610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3" w:hRule="atLeast"/>
        </w:trPr>
        <w:tc>
          <w:tcPr>
            <w:tcW w:w="783" w:type="dxa"/>
            <w:vAlign w:val="top"/>
          </w:tcPr>
          <w:p w14:paraId="09ECD72D">
            <w:pPr>
              <w:spacing w:line="266" w:lineRule="auto"/>
              <w:rPr>
                <w:rFonts w:ascii="Arial"/>
                <w:sz w:val="21"/>
              </w:rPr>
            </w:pPr>
          </w:p>
          <w:p w14:paraId="2B452DD3">
            <w:pPr>
              <w:spacing w:line="266" w:lineRule="auto"/>
              <w:rPr>
                <w:rFonts w:ascii="Arial"/>
                <w:sz w:val="21"/>
              </w:rPr>
            </w:pPr>
          </w:p>
          <w:p w14:paraId="5C6B61F1">
            <w:pPr>
              <w:spacing w:line="266" w:lineRule="auto"/>
              <w:rPr>
                <w:rFonts w:ascii="Arial"/>
                <w:sz w:val="21"/>
              </w:rPr>
            </w:pPr>
          </w:p>
          <w:p w14:paraId="0725025A">
            <w:pPr>
              <w:spacing w:before="78" w:line="181" w:lineRule="auto"/>
              <w:ind w:left="406"/>
              <w:rPr>
                <w:rFonts w:ascii="宋体" w:hAnsi="宋体" w:eastAsia="宋体" w:cs="宋体"/>
                <w:sz w:val="24"/>
                <w:szCs w:val="24"/>
              </w:rPr>
            </w:pPr>
            <w:r>
              <w:rPr>
                <w:rFonts w:ascii="宋体" w:hAnsi="宋体" w:eastAsia="宋体" w:cs="宋体"/>
                <w:sz w:val="24"/>
                <w:szCs w:val="24"/>
              </w:rPr>
              <w:t>4</w:t>
            </w:r>
          </w:p>
        </w:tc>
        <w:tc>
          <w:tcPr>
            <w:tcW w:w="1273" w:type="dxa"/>
            <w:vAlign w:val="top"/>
          </w:tcPr>
          <w:p w14:paraId="046DDFCB">
            <w:pPr>
              <w:spacing w:line="252" w:lineRule="auto"/>
              <w:rPr>
                <w:rFonts w:ascii="Arial"/>
                <w:sz w:val="21"/>
              </w:rPr>
            </w:pPr>
          </w:p>
          <w:p w14:paraId="7C4D89E0">
            <w:pPr>
              <w:spacing w:line="253" w:lineRule="auto"/>
              <w:rPr>
                <w:rFonts w:ascii="Arial"/>
                <w:sz w:val="21"/>
              </w:rPr>
            </w:pPr>
          </w:p>
          <w:p w14:paraId="5668AD6D">
            <w:pPr>
              <w:spacing w:line="253" w:lineRule="auto"/>
              <w:rPr>
                <w:rFonts w:ascii="Arial"/>
                <w:sz w:val="21"/>
              </w:rPr>
            </w:pPr>
          </w:p>
          <w:p w14:paraId="38425228">
            <w:pPr>
              <w:spacing w:before="78" w:line="220" w:lineRule="auto"/>
              <w:ind w:left="112"/>
              <w:rPr>
                <w:rFonts w:ascii="宋体" w:hAnsi="宋体" w:eastAsia="宋体" w:cs="宋体"/>
                <w:sz w:val="24"/>
                <w:szCs w:val="24"/>
              </w:rPr>
            </w:pPr>
            <w:r>
              <w:rPr>
                <w:rFonts w:ascii="宋体" w:hAnsi="宋体" w:eastAsia="宋体" w:cs="宋体"/>
                <w:spacing w:val="-3"/>
                <w:sz w:val="24"/>
                <w:szCs w:val="24"/>
              </w:rPr>
              <w:t>首页配置</w:t>
            </w:r>
          </w:p>
        </w:tc>
        <w:tc>
          <w:tcPr>
            <w:tcW w:w="7743" w:type="dxa"/>
            <w:vAlign w:val="top"/>
          </w:tcPr>
          <w:p w14:paraId="6D779FE9">
            <w:pPr>
              <w:spacing w:before="101" w:line="219" w:lineRule="auto"/>
              <w:ind w:left="129"/>
              <w:rPr>
                <w:rFonts w:ascii="宋体" w:hAnsi="宋体" w:eastAsia="宋体" w:cs="宋体"/>
                <w:sz w:val="24"/>
                <w:szCs w:val="24"/>
              </w:rPr>
            </w:pPr>
            <w:r>
              <w:rPr>
                <w:rFonts w:ascii="Times New Roman" w:hAnsi="Times New Roman" w:eastAsia="Times New Roman" w:cs="Times New Roman"/>
                <w:spacing w:val="-7"/>
                <w:sz w:val="24"/>
                <w:szCs w:val="24"/>
              </w:rPr>
              <w:t>1</w:t>
            </w:r>
            <w:r>
              <w:rPr>
                <w:rFonts w:ascii="Times New Roman" w:hAnsi="Times New Roman" w:eastAsia="Times New Roman" w:cs="Times New Roman"/>
                <w:spacing w:val="-29"/>
                <w:sz w:val="24"/>
                <w:szCs w:val="24"/>
              </w:rPr>
              <w:t xml:space="preserve"> </w:t>
            </w:r>
            <w:r>
              <w:rPr>
                <w:rFonts w:ascii="宋体" w:hAnsi="宋体" w:eastAsia="宋体" w:cs="宋体"/>
                <w:spacing w:val="-7"/>
                <w:sz w:val="24"/>
                <w:szCs w:val="24"/>
              </w:rPr>
              <w:t>．提供可选首页组件列表。</w:t>
            </w:r>
          </w:p>
          <w:p w14:paraId="08E0AFA9">
            <w:pPr>
              <w:spacing w:before="73" w:line="219" w:lineRule="auto"/>
              <w:ind w:left="106"/>
              <w:rPr>
                <w:rFonts w:ascii="宋体" w:hAnsi="宋体" w:eastAsia="宋体" w:cs="宋体"/>
                <w:sz w:val="24"/>
                <w:szCs w:val="24"/>
              </w:rPr>
            </w:pPr>
            <w:r>
              <w:rPr>
                <w:rFonts w:ascii="Times New Roman" w:hAnsi="Times New Roman" w:eastAsia="Times New Roman" w:cs="Times New Roman"/>
                <w:spacing w:val="-4"/>
                <w:sz w:val="24"/>
                <w:szCs w:val="24"/>
              </w:rPr>
              <w:t>2</w:t>
            </w:r>
            <w:r>
              <w:rPr>
                <w:rFonts w:ascii="Times New Roman" w:hAnsi="Times New Roman" w:eastAsia="Times New Roman" w:cs="Times New Roman"/>
                <w:spacing w:val="-27"/>
                <w:sz w:val="24"/>
                <w:szCs w:val="24"/>
              </w:rPr>
              <w:t xml:space="preserve"> </w:t>
            </w:r>
            <w:r>
              <w:rPr>
                <w:rFonts w:ascii="宋体" w:hAnsi="宋体" w:eastAsia="宋体" w:cs="宋体"/>
                <w:spacing w:val="-4"/>
                <w:sz w:val="24"/>
                <w:szCs w:val="24"/>
              </w:rPr>
              <w:t>．支持以鼠标拖拽方式调整组件布局。</w:t>
            </w:r>
          </w:p>
          <w:p w14:paraId="0CC4BF5A">
            <w:pPr>
              <w:spacing w:before="72" w:line="220" w:lineRule="auto"/>
              <w:ind w:left="115"/>
              <w:rPr>
                <w:rFonts w:ascii="宋体" w:hAnsi="宋体" w:eastAsia="宋体" w:cs="宋体"/>
                <w:sz w:val="24"/>
                <w:szCs w:val="24"/>
              </w:rPr>
            </w:pPr>
            <w:r>
              <w:rPr>
                <w:rFonts w:ascii="宋体" w:hAnsi="宋体" w:eastAsia="宋体" w:cs="宋体"/>
                <w:spacing w:val="-2"/>
                <w:sz w:val="24"/>
                <w:szCs w:val="24"/>
              </w:rPr>
              <w:t>3．可添加数据中心相关数据工具，包括系统内置的仪表盘组件和报表。</w:t>
            </w:r>
          </w:p>
          <w:p w14:paraId="473F5CB0">
            <w:pPr>
              <w:spacing w:before="71" w:line="220" w:lineRule="auto"/>
              <w:ind w:left="109"/>
              <w:rPr>
                <w:rFonts w:ascii="宋体" w:hAnsi="宋体" w:eastAsia="宋体" w:cs="宋体"/>
                <w:sz w:val="24"/>
                <w:szCs w:val="24"/>
              </w:rPr>
            </w:pPr>
            <w:r>
              <w:rPr>
                <w:rFonts w:ascii="宋体" w:hAnsi="宋体" w:eastAsia="宋体" w:cs="宋体"/>
                <w:spacing w:val="-2"/>
                <w:sz w:val="24"/>
                <w:szCs w:val="24"/>
              </w:rPr>
              <w:t>4．可选择系统内置的数据指标作为首页内容。</w:t>
            </w:r>
          </w:p>
          <w:p w14:paraId="38FEB144">
            <w:pPr>
              <w:spacing w:before="73" w:line="219" w:lineRule="auto"/>
              <w:ind w:left="115"/>
              <w:rPr>
                <w:rFonts w:ascii="宋体" w:hAnsi="宋体" w:eastAsia="宋体" w:cs="宋体"/>
                <w:sz w:val="24"/>
                <w:szCs w:val="24"/>
              </w:rPr>
            </w:pPr>
            <w:r>
              <w:rPr>
                <w:rFonts w:ascii="宋体" w:hAnsi="宋体" w:eastAsia="宋体" w:cs="宋体"/>
                <w:spacing w:val="-3"/>
                <w:sz w:val="24"/>
                <w:szCs w:val="24"/>
              </w:rPr>
              <w:t>5．支持按系统定义的角色配置首页模板。</w:t>
            </w:r>
          </w:p>
        </w:tc>
      </w:tr>
      <w:tr w14:paraId="4989A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799" w:type="dxa"/>
            <w:gridSpan w:val="3"/>
            <w:vAlign w:val="top"/>
          </w:tcPr>
          <w:p w14:paraId="7A28577E">
            <w:pPr>
              <w:spacing w:before="182" w:line="220" w:lineRule="auto"/>
              <w:ind w:left="4223"/>
              <w:rPr>
                <w:rFonts w:ascii="宋体" w:hAnsi="宋体" w:eastAsia="宋体" w:cs="宋体"/>
                <w:sz w:val="24"/>
                <w:szCs w:val="24"/>
              </w:rPr>
            </w:pPr>
            <w:r>
              <w:rPr>
                <w:rFonts w:ascii="宋体" w:hAnsi="宋体" w:eastAsia="宋体" w:cs="宋体"/>
                <w:b/>
                <w:bCs/>
                <w:spacing w:val="-10"/>
                <w:sz w:val="24"/>
                <w:szCs w:val="24"/>
              </w:rPr>
              <w:t>(二)档案管理</w:t>
            </w:r>
          </w:p>
        </w:tc>
      </w:tr>
      <w:tr w14:paraId="366CD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0" w:hRule="atLeast"/>
        </w:trPr>
        <w:tc>
          <w:tcPr>
            <w:tcW w:w="783" w:type="dxa"/>
            <w:vAlign w:val="top"/>
          </w:tcPr>
          <w:p w14:paraId="0F7C050D">
            <w:pPr>
              <w:spacing w:line="290" w:lineRule="auto"/>
              <w:rPr>
                <w:rFonts w:ascii="Arial"/>
                <w:sz w:val="21"/>
              </w:rPr>
            </w:pPr>
          </w:p>
          <w:p w14:paraId="7F4E6CE1">
            <w:pPr>
              <w:spacing w:line="291" w:lineRule="auto"/>
              <w:rPr>
                <w:rFonts w:ascii="Arial"/>
                <w:sz w:val="21"/>
              </w:rPr>
            </w:pPr>
          </w:p>
          <w:p w14:paraId="1ED9CF91">
            <w:pPr>
              <w:spacing w:line="291" w:lineRule="auto"/>
              <w:rPr>
                <w:rFonts w:ascii="Arial"/>
                <w:sz w:val="21"/>
              </w:rPr>
            </w:pPr>
          </w:p>
          <w:p w14:paraId="41B29AA4">
            <w:pPr>
              <w:spacing w:before="78" w:line="180" w:lineRule="auto"/>
              <w:ind w:left="412"/>
              <w:rPr>
                <w:rFonts w:ascii="宋体" w:hAnsi="宋体" w:eastAsia="宋体" w:cs="宋体"/>
                <w:sz w:val="24"/>
                <w:szCs w:val="24"/>
              </w:rPr>
            </w:pPr>
            <w:r>
              <w:rPr>
                <w:rFonts w:ascii="宋体" w:hAnsi="宋体" w:eastAsia="宋体" w:cs="宋体"/>
                <w:sz w:val="24"/>
                <w:szCs w:val="24"/>
              </w:rPr>
              <w:t>5</w:t>
            </w:r>
          </w:p>
        </w:tc>
        <w:tc>
          <w:tcPr>
            <w:tcW w:w="1273" w:type="dxa"/>
            <w:vAlign w:val="top"/>
          </w:tcPr>
          <w:p w14:paraId="7526E58A">
            <w:pPr>
              <w:spacing w:line="266" w:lineRule="auto"/>
              <w:rPr>
                <w:rFonts w:ascii="Arial"/>
                <w:sz w:val="21"/>
              </w:rPr>
            </w:pPr>
          </w:p>
          <w:p w14:paraId="2271C18B">
            <w:pPr>
              <w:spacing w:line="267" w:lineRule="auto"/>
              <w:rPr>
                <w:rFonts w:ascii="Arial"/>
                <w:sz w:val="21"/>
              </w:rPr>
            </w:pPr>
          </w:p>
          <w:p w14:paraId="068F23C9">
            <w:pPr>
              <w:spacing w:before="78" w:line="446" w:lineRule="auto"/>
              <w:ind w:left="110" w:right="105" w:firstLine="1"/>
              <w:rPr>
                <w:rFonts w:ascii="宋体" w:hAnsi="宋体" w:eastAsia="宋体" w:cs="宋体"/>
                <w:sz w:val="24"/>
                <w:szCs w:val="24"/>
              </w:rPr>
            </w:pPr>
            <w:r>
              <w:rPr>
                <w:rFonts w:ascii="宋体" w:hAnsi="宋体" w:eastAsia="宋体" w:cs="宋体"/>
                <w:spacing w:val="-3"/>
                <w:sz w:val="24"/>
                <w:szCs w:val="24"/>
              </w:rPr>
              <w:t>★</w:t>
            </w:r>
            <w:r>
              <w:rPr>
                <w:rFonts w:ascii="宋体" w:hAnsi="宋体" w:eastAsia="宋体" w:cs="宋体"/>
                <w:spacing w:val="-76"/>
                <w:sz w:val="24"/>
                <w:szCs w:val="24"/>
              </w:rPr>
              <w:t xml:space="preserve"> </w:t>
            </w:r>
            <w:r>
              <w:rPr>
                <w:rFonts w:ascii="宋体" w:hAnsi="宋体" w:eastAsia="宋体" w:cs="宋体"/>
                <w:spacing w:val="-3"/>
                <w:sz w:val="24"/>
                <w:szCs w:val="24"/>
              </w:rPr>
              <w:t>人</w:t>
            </w:r>
            <w:r>
              <w:rPr>
                <w:rFonts w:ascii="宋体" w:hAnsi="宋体" w:eastAsia="宋体" w:cs="宋体"/>
                <w:spacing w:val="-68"/>
                <w:sz w:val="24"/>
                <w:szCs w:val="24"/>
              </w:rPr>
              <w:t xml:space="preserve"> </w:t>
            </w:r>
            <w:r>
              <w:rPr>
                <w:rFonts w:ascii="宋体" w:hAnsi="宋体" w:eastAsia="宋体" w:cs="宋体"/>
                <w:spacing w:val="-3"/>
                <w:sz w:val="24"/>
                <w:szCs w:val="24"/>
              </w:rPr>
              <w:t>员档</w:t>
            </w:r>
            <w:r>
              <w:rPr>
                <w:rFonts w:ascii="宋体" w:hAnsi="宋体" w:eastAsia="宋体" w:cs="宋体"/>
                <w:sz w:val="24"/>
                <w:szCs w:val="24"/>
              </w:rPr>
              <w:t xml:space="preserve"> 案</w:t>
            </w:r>
          </w:p>
        </w:tc>
        <w:tc>
          <w:tcPr>
            <w:tcW w:w="7743" w:type="dxa"/>
            <w:vAlign w:val="top"/>
          </w:tcPr>
          <w:p w14:paraId="1591B677">
            <w:pPr>
              <w:spacing w:before="73" w:line="260" w:lineRule="auto"/>
              <w:ind w:left="110" w:right="102" w:firstLine="14"/>
              <w:rPr>
                <w:rFonts w:ascii="宋体" w:hAnsi="宋体" w:eastAsia="宋体" w:cs="宋体"/>
                <w:sz w:val="21"/>
                <w:szCs w:val="21"/>
              </w:rPr>
            </w:pPr>
            <w:r>
              <w:rPr>
                <w:rFonts w:ascii="宋体" w:hAnsi="宋体" w:eastAsia="宋体" w:cs="宋体"/>
                <w:spacing w:val="1"/>
                <w:sz w:val="21"/>
                <w:szCs w:val="21"/>
              </w:rPr>
              <w:t>1．按科室维护和查看全院医师及护理人员档案信息，包括姓名、性别、年龄、在</w:t>
            </w:r>
            <w:r>
              <w:rPr>
                <w:rFonts w:ascii="宋体" w:hAnsi="宋体" w:eastAsia="宋体" w:cs="宋体"/>
                <w:spacing w:val="13"/>
                <w:sz w:val="21"/>
                <w:szCs w:val="21"/>
              </w:rPr>
              <w:t xml:space="preserve"> </w:t>
            </w:r>
            <w:r>
              <w:rPr>
                <w:rFonts w:ascii="宋体" w:hAnsi="宋体" w:eastAsia="宋体" w:cs="宋体"/>
                <w:spacing w:val="-3"/>
                <w:sz w:val="21"/>
                <w:szCs w:val="21"/>
              </w:rPr>
              <w:t>职状态、学历、职称、编制状态。</w:t>
            </w:r>
          </w:p>
          <w:p w14:paraId="7C8EBE16">
            <w:pPr>
              <w:spacing w:before="93" w:line="260" w:lineRule="auto"/>
              <w:ind w:left="110" w:right="102"/>
              <w:rPr>
                <w:rFonts w:ascii="宋体" w:hAnsi="宋体" w:eastAsia="宋体" w:cs="宋体"/>
                <w:sz w:val="21"/>
                <w:szCs w:val="21"/>
              </w:rPr>
            </w:pPr>
            <w:r>
              <w:rPr>
                <w:rFonts w:ascii="宋体" w:hAnsi="宋体" w:eastAsia="宋体" w:cs="宋体"/>
                <w:spacing w:val="2"/>
                <w:sz w:val="21"/>
                <w:szCs w:val="21"/>
              </w:rPr>
              <w:t>2．支持按人员类型、归档状态、科室、职称、执业范围、</w:t>
            </w:r>
            <w:r>
              <w:rPr>
                <w:rFonts w:ascii="宋体" w:hAnsi="宋体" w:eastAsia="宋体" w:cs="宋体"/>
                <w:spacing w:val="1"/>
                <w:sz w:val="21"/>
                <w:szCs w:val="21"/>
              </w:rPr>
              <w:t>编制类型及证书到期情</w:t>
            </w:r>
            <w:r>
              <w:rPr>
                <w:rFonts w:ascii="宋体" w:hAnsi="宋体" w:eastAsia="宋体" w:cs="宋体"/>
                <w:sz w:val="21"/>
                <w:szCs w:val="21"/>
              </w:rPr>
              <w:t xml:space="preserve"> </w:t>
            </w:r>
            <w:r>
              <w:rPr>
                <w:rFonts w:ascii="宋体" w:hAnsi="宋体" w:eastAsia="宋体" w:cs="宋体"/>
                <w:spacing w:val="-4"/>
                <w:sz w:val="21"/>
                <w:szCs w:val="21"/>
              </w:rPr>
              <w:t>况、关键字检索人员档案。</w:t>
            </w:r>
          </w:p>
          <w:p w14:paraId="20D23A87">
            <w:pPr>
              <w:spacing w:before="93" w:line="260" w:lineRule="auto"/>
              <w:ind w:left="111" w:right="102" w:firstLine="1"/>
              <w:rPr>
                <w:rFonts w:ascii="宋体" w:hAnsi="宋体" w:eastAsia="宋体" w:cs="宋体"/>
                <w:sz w:val="21"/>
                <w:szCs w:val="21"/>
              </w:rPr>
            </w:pPr>
            <w:r>
              <w:rPr>
                <w:rFonts w:ascii="宋体" w:hAnsi="宋体" w:eastAsia="宋体" w:cs="宋体"/>
                <w:spacing w:val="2"/>
                <w:sz w:val="21"/>
                <w:szCs w:val="21"/>
              </w:rPr>
              <w:t>3．查看及管理各类资质证书，包含医师资格证书、医师</w:t>
            </w:r>
            <w:r>
              <w:rPr>
                <w:rFonts w:ascii="宋体" w:hAnsi="宋体" w:eastAsia="宋体" w:cs="宋体"/>
                <w:spacing w:val="1"/>
                <w:sz w:val="21"/>
                <w:szCs w:val="21"/>
              </w:rPr>
              <w:t>执业证书、规培证书，支</w:t>
            </w:r>
            <w:r>
              <w:rPr>
                <w:rFonts w:ascii="宋体" w:hAnsi="宋体" w:eastAsia="宋体" w:cs="宋体"/>
                <w:sz w:val="21"/>
                <w:szCs w:val="21"/>
              </w:rPr>
              <w:t xml:space="preserve"> </w:t>
            </w:r>
            <w:r>
              <w:rPr>
                <w:rFonts w:ascii="宋体" w:hAnsi="宋体" w:eastAsia="宋体" w:cs="宋体"/>
                <w:spacing w:val="-3"/>
                <w:sz w:val="21"/>
                <w:szCs w:val="21"/>
              </w:rPr>
              <w:t>持上传证书附件，图片及</w:t>
            </w:r>
            <w:r>
              <w:rPr>
                <w:rFonts w:ascii="宋体" w:hAnsi="宋体" w:eastAsia="宋体" w:cs="宋体"/>
                <w:spacing w:val="-48"/>
                <w:sz w:val="21"/>
                <w:szCs w:val="21"/>
              </w:rPr>
              <w:t xml:space="preserve"> </w:t>
            </w:r>
            <w:r>
              <w:rPr>
                <w:rFonts w:ascii="宋体" w:hAnsi="宋体" w:eastAsia="宋体" w:cs="宋体"/>
                <w:spacing w:val="-3"/>
                <w:sz w:val="21"/>
                <w:szCs w:val="21"/>
              </w:rPr>
              <w:t>PDF</w:t>
            </w:r>
            <w:r>
              <w:rPr>
                <w:rFonts w:ascii="宋体" w:hAnsi="宋体" w:eastAsia="宋体" w:cs="宋体"/>
                <w:spacing w:val="-28"/>
                <w:sz w:val="21"/>
                <w:szCs w:val="21"/>
              </w:rPr>
              <w:t xml:space="preserve"> </w:t>
            </w:r>
            <w:r>
              <w:rPr>
                <w:rFonts w:ascii="宋体" w:hAnsi="宋体" w:eastAsia="宋体" w:cs="宋体"/>
                <w:spacing w:val="-3"/>
                <w:sz w:val="21"/>
                <w:szCs w:val="21"/>
              </w:rPr>
              <w:t>附件支持预览。</w:t>
            </w:r>
          </w:p>
        </w:tc>
      </w:tr>
    </w:tbl>
    <w:p w14:paraId="76ECE41D">
      <w:pPr>
        <w:pStyle w:val="2"/>
        <w:spacing w:line="260" w:lineRule="auto"/>
      </w:pPr>
    </w:p>
    <w:p w14:paraId="789189B7">
      <w:pPr>
        <w:pStyle w:val="2"/>
        <w:spacing w:line="261" w:lineRule="auto"/>
      </w:pPr>
    </w:p>
    <w:p w14:paraId="56FA7110">
      <w:pPr>
        <w:spacing w:before="62" w:line="209" w:lineRule="auto"/>
        <w:ind w:left="148"/>
        <w:rPr>
          <w:rFonts w:ascii="宋体" w:hAnsi="宋体" w:eastAsia="宋体" w:cs="宋体"/>
          <w:sz w:val="19"/>
          <w:szCs w:val="19"/>
        </w:rPr>
      </w:pPr>
      <w:r>
        <w:pict>
          <v:shape id="_x0000_s1042" o:spid="_x0000_s1042" style="position:absolute;left:0pt;margin-left:1.95pt;margin-top:11.8pt;height:0.75pt;width:494pt;z-index:251686912;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2"/>
          <w:position w:val="1"/>
          <w:sz w:val="18"/>
          <w:szCs w:val="18"/>
        </w:rPr>
        <w:t xml:space="preserve">22                          </w:t>
      </w:r>
      <w:r>
        <w:rPr>
          <w:rFonts w:ascii="Times New Roman" w:hAnsi="Times New Roman" w:eastAsia="Times New Roman" w:cs="Times New Roman"/>
          <w:spacing w:val="-3"/>
          <w:position w:val="1"/>
          <w:sz w:val="18"/>
          <w:szCs w:val="18"/>
        </w:rPr>
        <w:t xml:space="preserve">     </w:t>
      </w:r>
      <w:r>
        <w:rPr>
          <w:rFonts w:ascii="宋体" w:hAnsi="宋体" w:eastAsia="宋体" w:cs="宋体"/>
          <w:b/>
          <w:bCs/>
          <w:i/>
          <w:iCs/>
          <w:spacing w:val="-3"/>
          <w:sz w:val="19"/>
          <w:szCs w:val="19"/>
        </w:rPr>
        <w:t>伊犁州公共资源交易中心</w:t>
      </w:r>
    </w:p>
    <w:p w14:paraId="2BFA1ABF">
      <w:pPr>
        <w:spacing w:line="209" w:lineRule="auto"/>
        <w:rPr>
          <w:rFonts w:ascii="宋体" w:hAnsi="宋体" w:eastAsia="宋体" w:cs="宋体"/>
          <w:sz w:val="19"/>
          <w:szCs w:val="19"/>
        </w:rPr>
        <w:sectPr>
          <w:pgSz w:w="11905" w:h="16839"/>
          <w:pgMar w:top="1136" w:right="830" w:bottom="400" w:left="1126" w:header="854" w:footer="0" w:gutter="0"/>
          <w:cols w:space="720" w:num="1"/>
        </w:sectPr>
      </w:pPr>
    </w:p>
    <w:p w14:paraId="0F415F29">
      <w:pPr>
        <w:spacing w:before="38"/>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3"/>
        <w:gridCol w:w="7743"/>
      </w:tblGrid>
      <w:tr w14:paraId="4345C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3" w:type="dxa"/>
            <w:vAlign w:val="top"/>
          </w:tcPr>
          <w:p w14:paraId="7F281202">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711D50F7">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083A8260">
            <w:pPr>
              <w:spacing w:before="179"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2E08A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0" w:hRule="atLeast"/>
        </w:trPr>
        <w:tc>
          <w:tcPr>
            <w:tcW w:w="783" w:type="dxa"/>
            <w:vAlign w:val="top"/>
          </w:tcPr>
          <w:p w14:paraId="2436349C">
            <w:pPr>
              <w:rPr>
                <w:rFonts w:ascii="Arial"/>
                <w:sz w:val="21"/>
              </w:rPr>
            </w:pPr>
          </w:p>
        </w:tc>
        <w:tc>
          <w:tcPr>
            <w:tcW w:w="1273" w:type="dxa"/>
            <w:vAlign w:val="top"/>
          </w:tcPr>
          <w:p w14:paraId="4F3543E6">
            <w:pPr>
              <w:rPr>
                <w:rFonts w:ascii="Arial"/>
                <w:sz w:val="21"/>
              </w:rPr>
            </w:pPr>
          </w:p>
        </w:tc>
        <w:tc>
          <w:tcPr>
            <w:tcW w:w="7743" w:type="dxa"/>
            <w:vAlign w:val="top"/>
          </w:tcPr>
          <w:p w14:paraId="642531AC">
            <w:pPr>
              <w:spacing w:before="64" w:line="260" w:lineRule="auto"/>
              <w:ind w:left="109" w:right="102" w:hanging="1"/>
              <w:rPr>
                <w:rFonts w:ascii="宋体" w:hAnsi="宋体" w:eastAsia="宋体" w:cs="宋体"/>
                <w:sz w:val="21"/>
                <w:szCs w:val="21"/>
              </w:rPr>
            </w:pPr>
            <w:r>
              <w:rPr>
                <w:rFonts w:ascii="宋体" w:hAnsi="宋体" w:eastAsia="宋体" w:cs="宋体"/>
                <w:spacing w:val="2"/>
                <w:sz w:val="21"/>
                <w:szCs w:val="21"/>
              </w:rPr>
              <w:t>4．查看及管理执业记录，包含执业类型（主执业地、副执业地、指</w:t>
            </w:r>
            <w:r>
              <w:rPr>
                <w:rFonts w:ascii="宋体" w:hAnsi="宋体" w:eastAsia="宋体" w:cs="宋体"/>
                <w:spacing w:val="1"/>
                <w:sz w:val="21"/>
                <w:szCs w:val="21"/>
              </w:rPr>
              <w:t>令性任务、合</w:t>
            </w:r>
            <w:r>
              <w:rPr>
                <w:rFonts w:ascii="宋体" w:hAnsi="宋体" w:eastAsia="宋体" w:cs="宋体"/>
                <w:sz w:val="21"/>
                <w:szCs w:val="21"/>
              </w:rPr>
              <w:t xml:space="preserve"> </w:t>
            </w:r>
            <w:r>
              <w:rPr>
                <w:rFonts w:ascii="宋体" w:hAnsi="宋体" w:eastAsia="宋体" w:cs="宋体"/>
                <w:spacing w:val="-2"/>
                <w:sz w:val="21"/>
                <w:szCs w:val="21"/>
              </w:rPr>
              <w:t>作单位）、执业医院、执业证书及执业期间，支持上传附件。</w:t>
            </w:r>
          </w:p>
          <w:p w14:paraId="25DC6DC1">
            <w:pPr>
              <w:spacing w:before="93" w:line="219" w:lineRule="auto"/>
              <w:ind w:left="113"/>
              <w:rPr>
                <w:rFonts w:ascii="宋体" w:hAnsi="宋体" w:eastAsia="宋体" w:cs="宋体"/>
                <w:sz w:val="21"/>
                <w:szCs w:val="21"/>
              </w:rPr>
            </w:pPr>
            <w:r>
              <w:rPr>
                <w:rFonts w:ascii="宋体" w:hAnsi="宋体" w:eastAsia="宋体" w:cs="宋体"/>
                <w:spacing w:val="-1"/>
                <w:sz w:val="21"/>
                <w:szCs w:val="21"/>
              </w:rPr>
              <w:t>5．查看及管理博士后记录，包含医院、学科专业、时间范围</w:t>
            </w:r>
            <w:r>
              <w:rPr>
                <w:rFonts w:ascii="宋体" w:hAnsi="宋体" w:eastAsia="宋体" w:cs="宋体"/>
                <w:spacing w:val="-2"/>
                <w:sz w:val="21"/>
                <w:szCs w:val="21"/>
              </w:rPr>
              <w:t>及主要研究方向。</w:t>
            </w:r>
          </w:p>
          <w:p w14:paraId="3157D2BD">
            <w:pPr>
              <w:spacing w:before="93" w:line="220" w:lineRule="auto"/>
              <w:ind w:left="110"/>
              <w:rPr>
                <w:rFonts w:ascii="宋体" w:hAnsi="宋体" w:eastAsia="宋体" w:cs="宋体"/>
                <w:sz w:val="21"/>
                <w:szCs w:val="21"/>
              </w:rPr>
            </w:pPr>
            <w:r>
              <w:rPr>
                <w:rFonts w:ascii="宋体" w:hAnsi="宋体" w:eastAsia="宋体" w:cs="宋体"/>
                <w:spacing w:val="-2"/>
                <w:sz w:val="21"/>
                <w:szCs w:val="21"/>
              </w:rPr>
              <w:t>6．查看及管理学历教育，包含院校、学制、获得学位。</w:t>
            </w:r>
          </w:p>
          <w:p w14:paraId="28A96D85">
            <w:pPr>
              <w:spacing w:before="92" w:line="219" w:lineRule="auto"/>
              <w:ind w:left="114"/>
              <w:rPr>
                <w:rFonts w:ascii="宋体" w:hAnsi="宋体" w:eastAsia="宋体" w:cs="宋体"/>
                <w:sz w:val="21"/>
                <w:szCs w:val="21"/>
              </w:rPr>
            </w:pPr>
            <w:r>
              <w:rPr>
                <w:rFonts w:ascii="宋体" w:hAnsi="宋体" w:eastAsia="宋体" w:cs="宋体"/>
                <w:spacing w:val="-1"/>
                <w:sz w:val="21"/>
                <w:szCs w:val="21"/>
              </w:rPr>
              <w:t>7．查看及管理进修记录，包含进修单位及科室、</w:t>
            </w:r>
            <w:r>
              <w:rPr>
                <w:rFonts w:ascii="宋体" w:hAnsi="宋体" w:eastAsia="宋体" w:cs="宋体"/>
                <w:spacing w:val="-2"/>
                <w:sz w:val="21"/>
                <w:szCs w:val="21"/>
              </w:rPr>
              <w:t>导师、专业、时间范围。</w:t>
            </w:r>
          </w:p>
          <w:p w14:paraId="6A54CE0D">
            <w:pPr>
              <w:spacing w:before="93" w:line="260" w:lineRule="auto"/>
              <w:ind w:left="128" w:right="102" w:hanging="18"/>
              <w:rPr>
                <w:rFonts w:ascii="宋体" w:hAnsi="宋体" w:eastAsia="宋体" w:cs="宋体"/>
                <w:sz w:val="21"/>
                <w:szCs w:val="21"/>
              </w:rPr>
            </w:pPr>
            <w:r>
              <w:rPr>
                <w:rFonts w:ascii="宋体" w:hAnsi="宋体" w:eastAsia="宋体" w:cs="宋体"/>
                <w:spacing w:val="2"/>
                <w:sz w:val="21"/>
                <w:szCs w:val="21"/>
              </w:rPr>
              <w:t>8．查看及管理继续教育，包含项目、主办机构、地点、学分类</w:t>
            </w:r>
            <w:r>
              <w:rPr>
                <w:rFonts w:ascii="宋体" w:hAnsi="宋体" w:eastAsia="宋体" w:cs="宋体"/>
                <w:spacing w:val="1"/>
                <w:sz w:val="21"/>
                <w:szCs w:val="21"/>
              </w:rPr>
              <w:t>型、学分及时间范</w:t>
            </w:r>
            <w:r>
              <w:rPr>
                <w:rFonts w:ascii="宋体" w:hAnsi="宋体" w:eastAsia="宋体" w:cs="宋体"/>
                <w:sz w:val="21"/>
                <w:szCs w:val="21"/>
              </w:rPr>
              <w:t xml:space="preserve"> </w:t>
            </w:r>
            <w:r>
              <w:rPr>
                <w:rFonts w:ascii="宋体" w:hAnsi="宋体" w:eastAsia="宋体" w:cs="宋体"/>
                <w:spacing w:val="-4"/>
                <w:sz w:val="21"/>
                <w:szCs w:val="21"/>
              </w:rPr>
              <w:t>围，可能上传学分证明等附件。</w:t>
            </w:r>
          </w:p>
          <w:p w14:paraId="3B0D1E4B">
            <w:pPr>
              <w:spacing w:before="95" w:line="260" w:lineRule="auto"/>
              <w:ind w:left="108" w:right="27" w:firstLine="1"/>
              <w:rPr>
                <w:rFonts w:ascii="宋体" w:hAnsi="宋体" w:eastAsia="宋体" w:cs="宋体"/>
                <w:sz w:val="21"/>
                <w:szCs w:val="21"/>
              </w:rPr>
            </w:pPr>
            <w:r>
              <w:rPr>
                <w:rFonts w:ascii="宋体" w:hAnsi="宋体" w:eastAsia="宋体" w:cs="宋体"/>
                <w:spacing w:val="-2"/>
                <w:sz w:val="21"/>
                <w:szCs w:val="21"/>
              </w:rPr>
              <w:t>9．查看及管理个人相关的科研课题，包含课题名称、担任角色、来源、主管部门、</w:t>
            </w:r>
            <w:r>
              <w:rPr>
                <w:rFonts w:ascii="宋体" w:hAnsi="宋体" w:eastAsia="宋体" w:cs="宋体"/>
                <w:spacing w:val="3"/>
                <w:sz w:val="21"/>
                <w:szCs w:val="21"/>
              </w:rPr>
              <w:t xml:space="preserve"> </w:t>
            </w:r>
            <w:r>
              <w:rPr>
                <w:rFonts w:ascii="宋体" w:hAnsi="宋体" w:eastAsia="宋体" w:cs="宋体"/>
                <w:spacing w:val="-3"/>
                <w:sz w:val="21"/>
                <w:szCs w:val="21"/>
              </w:rPr>
              <w:t>课题等级、起止时间、成果说明。</w:t>
            </w:r>
          </w:p>
          <w:p w14:paraId="5BF38492">
            <w:pPr>
              <w:spacing w:before="93" w:line="260" w:lineRule="auto"/>
              <w:ind w:left="109" w:right="102" w:firstLine="15"/>
              <w:rPr>
                <w:rFonts w:ascii="宋体" w:hAnsi="宋体" w:eastAsia="宋体" w:cs="宋体"/>
                <w:sz w:val="21"/>
                <w:szCs w:val="21"/>
              </w:rPr>
            </w:pPr>
            <w:r>
              <w:rPr>
                <w:rFonts w:ascii="宋体" w:hAnsi="宋体" w:eastAsia="宋体" w:cs="宋体"/>
                <w:spacing w:val="-2"/>
                <w:sz w:val="21"/>
                <w:szCs w:val="21"/>
              </w:rPr>
              <w:t>10．查看及管理个人发表的论文，包含论文标题、刊物及等级、发表时间、年度、</w:t>
            </w:r>
            <w:r>
              <w:rPr>
                <w:rFonts w:ascii="宋体" w:hAnsi="宋体" w:eastAsia="宋体" w:cs="宋体"/>
                <w:spacing w:val="18"/>
                <w:sz w:val="21"/>
                <w:szCs w:val="21"/>
              </w:rPr>
              <w:t xml:space="preserve"> </w:t>
            </w:r>
            <w:r>
              <w:rPr>
                <w:rFonts w:ascii="宋体" w:hAnsi="宋体" w:eastAsia="宋体" w:cs="宋体"/>
                <w:spacing w:val="-3"/>
                <w:sz w:val="21"/>
                <w:szCs w:val="21"/>
              </w:rPr>
              <w:t>影响因子及学分，可以上传论文附件。</w:t>
            </w:r>
          </w:p>
          <w:p w14:paraId="7A016FE2">
            <w:pPr>
              <w:spacing w:before="93" w:line="261" w:lineRule="auto"/>
              <w:ind w:left="110" w:right="102" w:firstLine="13"/>
              <w:rPr>
                <w:rFonts w:ascii="宋体" w:hAnsi="宋体" w:eastAsia="宋体" w:cs="宋体"/>
                <w:sz w:val="21"/>
                <w:szCs w:val="21"/>
              </w:rPr>
            </w:pPr>
            <w:r>
              <w:rPr>
                <w:rFonts w:ascii="宋体" w:hAnsi="宋体" w:eastAsia="宋体" w:cs="宋体"/>
                <w:spacing w:val="-1"/>
                <w:sz w:val="21"/>
                <w:szCs w:val="21"/>
              </w:rPr>
              <w:t>11．查看及管理考试记录，包含考试名称</w:t>
            </w:r>
            <w:r>
              <w:rPr>
                <w:rFonts w:ascii="宋体" w:hAnsi="宋体" w:eastAsia="宋体" w:cs="宋体"/>
                <w:spacing w:val="-2"/>
                <w:sz w:val="21"/>
                <w:szCs w:val="21"/>
              </w:rPr>
              <w:t>、类型、地点、日期、得分情况、相关政</w:t>
            </w:r>
            <w:r>
              <w:rPr>
                <w:rFonts w:ascii="宋体" w:hAnsi="宋体" w:eastAsia="宋体" w:cs="宋体"/>
                <w:sz w:val="21"/>
                <w:szCs w:val="21"/>
              </w:rPr>
              <w:t xml:space="preserve"> </w:t>
            </w:r>
            <w:r>
              <w:rPr>
                <w:rFonts w:ascii="宋体" w:hAnsi="宋体" w:eastAsia="宋体" w:cs="宋体"/>
                <w:spacing w:val="-6"/>
                <w:sz w:val="21"/>
                <w:szCs w:val="21"/>
              </w:rPr>
              <w:t>策及到期日。</w:t>
            </w:r>
          </w:p>
          <w:p w14:paraId="523BF8E6">
            <w:pPr>
              <w:spacing w:before="92" w:line="261" w:lineRule="auto"/>
              <w:ind w:left="110" w:right="102" w:firstLine="14"/>
              <w:rPr>
                <w:rFonts w:ascii="宋体" w:hAnsi="宋体" w:eastAsia="宋体" w:cs="宋体"/>
                <w:sz w:val="21"/>
                <w:szCs w:val="21"/>
              </w:rPr>
            </w:pPr>
            <w:r>
              <w:rPr>
                <w:rFonts w:ascii="宋体" w:hAnsi="宋体" w:eastAsia="宋体" w:cs="宋体"/>
                <w:spacing w:val="-1"/>
                <w:sz w:val="21"/>
                <w:szCs w:val="21"/>
              </w:rPr>
              <w:t>12．查看及管理个人相关的学术讲座，包</w:t>
            </w:r>
            <w:r>
              <w:rPr>
                <w:rFonts w:ascii="宋体" w:hAnsi="宋体" w:eastAsia="宋体" w:cs="宋体"/>
                <w:spacing w:val="-2"/>
                <w:sz w:val="21"/>
                <w:szCs w:val="21"/>
              </w:rPr>
              <w:t>含主讲人、讲座名称、主讲内容、参与人</w:t>
            </w:r>
            <w:r>
              <w:rPr>
                <w:rFonts w:ascii="宋体" w:hAnsi="宋体" w:eastAsia="宋体" w:cs="宋体"/>
                <w:sz w:val="21"/>
                <w:szCs w:val="21"/>
              </w:rPr>
              <w:t xml:space="preserve"> </w:t>
            </w:r>
            <w:r>
              <w:rPr>
                <w:rFonts w:ascii="宋体" w:hAnsi="宋体" w:eastAsia="宋体" w:cs="宋体"/>
                <w:spacing w:val="-9"/>
                <w:sz w:val="21"/>
                <w:szCs w:val="21"/>
              </w:rPr>
              <w:t>情况。</w:t>
            </w:r>
          </w:p>
          <w:p w14:paraId="17006827">
            <w:pPr>
              <w:spacing w:before="93" w:line="260" w:lineRule="auto"/>
              <w:ind w:left="116" w:right="102" w:firstLine="8"/>
              <w:rPr>
                <w:rFonts w:ascii="宋体" w:hAnsi="宋体" w:eastAsia="宋体" w:cs="宋体"/>
                <w:sz w:val="21"/>
                <w:szCs w:val="21"/>
              </w:rPr>
            </w:pPr>
            <w:r>
              <w:rPr>
                <w:rFonts w:ascii="宋体" w:hAnsi="宋体" w:eastAsia="宋体" w:cs="宋体"/>
                <w:spacing w:val="-1"/>
                <w:sz w:val="21"/>
                <w:szCs w:val="21"/>
              </w:rPr>
              <w:t>13．查看及管理教学记录，包含课程名称</w:t>
            </w:r>
            <w:r>
              <w:rPr>
                <w:rFonts w:ascii="宋体" w:hAnsi="宋体" w:eastAsia="宋体" w:cs="宋体"/>
                <w:spacing w:val="-2"/>
                <w:sz w:val="21"/>
                <w:szCs w:val="21"/>
              </w:rPr>
              <w:t>、任课班级、课时数、教学年度、带教对</w:t>
            </w:r>
            <w:r>
              <w:rPr>
                <w:rFonts w:ascii="宋体" w:hAnsi="宋体" w:eastAsia="宋体" w:cs="宋体"/>
                <w:sz w:val="21"/>
                <w:szCs w:val="21"/>
              </w:rPr>
              <w:t xml:space="preserve"> </w:t>
            </w:r>
            <w:r>
              <w:rPr>
                <w:rFonts w:ascii="宋体" w:hAnsi="宋体" w:eastAsia="宋体" w:cs="宋体"/>
                <w:spacing w:val="-6"/>
                <w:sz w:val="21"/>
                <w:szCs w:val="21"/>
              </w:rPr>
              <w:t>象及教学内容。</w:t>
            </w:r>
          </w:p>
          <w:p w14:paraId="54C57846">
            <w:pPr>
              <w:spacing w:before="93" w:line="260" w:lineRule="auto"/>
              <w:ind w:left="110" w:right="102" w:firstLine="14"/>
              <w:rPr>
                <w:rFonts w:ascii="宋体" w:hAnsi="宋体" w:eastAsia="宋体" w:cs="宋体"/>
                <w:sz w:val="21"/>
                <w:szCs w:val="21"/>
              </w:rPr>
            </w:pPr>
            <w:r>
              <w:rPr>
                <w:rFonts w:ascii="宋体" w:hAnsi="宋体" w:eastAsia="宋体" w:cs="宋体"/>
                <w:spacing w:val="-6"/>
                <w:sz w:val="21"/>
                <w:szCs w:val="21"/>
              </w:rPr>
              <w:t>14．查看及管理作品著作权、软件著作权、数字著作权，</w:t>
            </w:r>
            <w:r>
              <w:rPr>
                <w:rFonts w:ascii="宋体" w:hAnsi="宋体" w:eastAsia="宋体" w:cs="宋体"/>
                <w:spacing w:val="62"/>
                <w:sz w:val="21"/>
                <w:szCs w:val="21"/>
              </w:rPr>
              <w:t xml:space="preserve"> </w:t>
            </w:r>
            <w:r>
              <w:rPr>
                <w:rFonts w:ascii="宋体" w:hAnsi="宋体" w:eastAsia="宋体" w:cs="宋体"/>
                <w:spacing w:val="-6"/>
                <w:sz w:val="21"/>
                <w:szCs w:val="21"/>
              </w:rPr>
              <w:t>包含证书号、登记号、著</w:t>
            </w:r>
            <w:r>
              <w:rPr>
                <w:rFonts w:ascii="宋体" w:hAnsi="宋体" w:eastAsia="宋体" w:cs="宋体"/>
                <w:sz w:val="21"/>
                <w:szCs w:val="21"/>
              </w:rPr>
              <w:t xml:space="preserve"> </w:t>
            </w:r>
            <w:r>
              <w:rPr>
                <w:rFonts w:ascii="宋体" w:hAnsi="宋体" w:eastAsia="宋体" w:cs="宋体"/>
                <w:spacing w:val="-3"/>
                <w:sz w:val="21"/>
                <w:szCs w:val="21"/>
              </w:rPr>
              <w:t>作权名称、审核登记单位、获得方式。</w:t>
            </w:r>
          </w:p>
          <w:p w14:paraId="4DBF21DC">
            <w:pPr>
              <w:spacing w:before="94" w:line="260" w:lineRule="auto"/>
              <w:ind w:left="123" w:right="102"/>
              <w:rPr>
                <w:rFonts w:ascii="宋体" w:hAnsi="宋体" w:eastAsia="宋体" w:cs="宋体"/>
                <w:sz w:val="21"/>
                <w:szCs w:val="21"/>
              </w:rPr>
            </w:pPr>
            <w:r>
              <w:rPr>
                <w:rFonts w:ascii="宋体" w:hAnsi="宋体" w:eastAsia="宋体" w:cs="宋体"/>
                <w:spacing w:val="-1"/>
                <w:sz w:val="21"/>
                <w:szCs w:val="21"/>
              </w:rPr>
              <w:t>15．支持查看个人资质权限，包含处方权</w:t>
            </w:r>
            <w:r>
              <w:rPr>
                <w:rFonts w:ascii="宋体" w:hAnsi="宋体" w:eastAsia="宋体" w:cs="宋体"/>
                <w:spacing w:val="-2"/>
                <w:sz w:val="21"/>
                <w:szCs w:val="21"/>
              </w:rPr>
              <w:t>、手术等级、手术目录（手术术式）的权</w:t>
            </w:r>
            <w:r>
              <w:rPr>
                <w:rFonts w:ascii="宋体" w:hAnsi="宋体" w:eastAsia="宋体" w:cs="宋体"/>
                <w:sz w:val="21"/>
                <w:szCs w:val="21"/>
              </w:rPr>
              <w:t xml:space="preserve"> </w:t>
            </w:r>
            <w:r>
              <w:rPr>
                <w:rFonts w:ascii="宋体" w:hAnsi="宋体" w:eastAsia="宋体" w:cs="宋体"/>
                <w:spacing w:val="-1"/>
                <w:sz w:val="21"/>
                <w:szCs w:val="21"/>
              </w:rPr>
              <w:t>限；可以查询权限的具体授权日期；手术目录权限可区分开单、</w:t>
            </w:r>
            <w:r>
              <w:rPr>
                <w:rFonts w:ascii="宋体" w:hAnsi="宋体" w:eastAsia="宋体" w:cs="宋体"/>
                <w:spacing w:val="-2"/>
                <w:sz w:val="21"/>
                <w:szCs w:val="21"/>
              </w:rPr>
              <w:t>主刀及一助。</w:t>
            </w:r>
          </w:p>
          <w:p w14:paraId="64D65D54">
            <w:pPr>
              <w:spacing w:before="93" w:line="263" w:lineRule="auto"/>
              <w:ind w:left="109" w:right="102" w:firstLine="15"/>
              <w:rPr>
                <w:rFonts w:ascii="宋体" w:hAnsi="宋体" w:eastAsia="宋体" w:cs="宋体"/>
                <w:sz w:val="21"/>
                <w:szCs w:val="21"/>
              </w:rPr>
            </w:pPr>
            <w:r>
              <w:rPr>
                <w:rFonts w:ascii="宋体" w:hAnsi="宋体" w:eastAsia="宋体" w:cs="宋体"/>
                <w:spacing w:val="1"/>
                <w:sz w:val="21"/>
                <w:szCs w:val="21"/>
              </w:rPr>
              <w:t>16．支持查看医师个人的综合指标考核情况,查看系统内置指标的目标值及达标状</w:t>
            </w:r>
            <w:r>
              <w:rPr>
                <w:rFonts w:ascii="宋体" w:hAnsi="宋体" w:eastAsia="宋体" w:cs="宋体"/>
                <w:spacing w:val="13"/>
                <w:sz w:val="21"/>
                <w:szCs w:val="21"/>
              </w:rPr>
              <w:t xml:space="preserve"> </w:t>
            </w:r>
            <w:r>
              <w:rPr>
                <w:rFonts w:ascii="宋体" w:hAnsi="宋体" w:eastAsia="宋体" w:cs="宋体"/>
                <w:spacing w:val="-10"/>
                <w:sz w:val="21"/>
                <w:szCs w:val="21"/>
              </w:rPr>
              <w:t>态。</w:t>
            </w:r>
          </w:p>
          <w:p w14:paraId="5D62F87A">
            <w:pPr>
              <w:spacing w:before="88" w:line="260" w:lineRule="auto"/>
              <w:ind w:left="112" w:right="102" w:firstLine="12"/>
              <w:rPr>
                <w:rFonts w:ascii="宋体" w:hAnsi="宋体" w:eastAsia="宋体" w:cs="宋体"/>
                <w:sz w:val="21"/>
                <w:szCs w:val="21"/>
              </w:rPr>
            </w:pPr>
            <w:r>
              <w:rPr>
                <w:rFonts w:ascii="宋体" w:hAnsi="宋体" w:eastAsia="宋体" w:cs="宋体"/>
                <w:spacing w:val="-1"/>
                <w:sz w:val="21"/>
                <w:szCs w:val="21"/>
              </w:rPr>
              <w:t>17．支持查看医务督查过程中登记的与个</w:t>
            </w:r>
            <w:r>
              <w:rPr>
                <w:rFonts w:ascii="宋体" w:hAnsi="宋体" w:eastAsia="宋体" w:cs="宋体"/>
                <w:spacing w:val="-2"/>
                <w:sz w:val="21"/>
                <w:szCs w:val="21"/>
              </w:rPr>
              <w:t>人相关的问题清单，包含问题状态、督查</w:t>
            </w:r>
            <w:r>
              <w:rPr>
                <w:rFonts w:ascii="宋体" w:hAnsi="宋体" w:eastAsia="宋体" w:cs="宋体"/>
                <w:sz w:val="21"/>
                <w:szCs w:val="21"/>
              </w:rPr>
              <w:t xml:space="preserve"> </w:t>
            </w:r>
            <w:r>
              <w:rPr>
                <w:rFonts w:ascii="宋体" w:hAnsi="宋体" w:eastAsia="宋体" w:cs="宋体"/>
                <w:spacing w:val="-3"/>
                <w:sz w:val="21"/>
                <w:szCs w:val="21"/>
              </w:rPr>
              <w:t>项目、改进措施、督查期间及督查专家。</w:t>
            </w:r>
          </w:p>
          <w:p w14:paraId="4A7601D7">
            <w:pPr>
              <w:spacing w:before="93" w:line="260" w:lineRule="auto"/>
              <w:ind w:left="114" w:firstLine="10"/>
              <w:rPr>
                <w:rFonts w:ascii="宋体" w:hAnsi="宋体" w:eastAsia="宋体" w:cs="宋体"/>
                <w:sz w:val="21"/>
                <w:szCs w:val="21"/>
              </w:rPr>
            </w:pPr>
            <w:r>
              <w:rPr>
                <w:rFonts w:ascii="宋体" w:hAnsi="宋体" w:eastAsia="宋体" w:cs="宋体"/>
                <w:spacing w:val="-7"/>
                <w:sz w:val="21"/>
                <w:szCs w:val="21"/>
              </w:rPr>
              <w:t>18．支持查看及管理奖励、惩罚记录；奖励记录包含奖励名称、机构 、级别、原因、</w:t>
            </w:r>
            <w:r>
              <w:rPr>
                <w:rFonts w:ascii="宋体" w:hAnsi="宋体" w:eastAsia="宋体" w:cs="宋体"/>
                <w:spacing w:val="5"/>
                <w:sz w:val="21"/>
                <w:szCs w:val="21"/>
              </w:rPr>
              <w:t xml:space="preserve"> </w:t>
            </w:r>
            <w:r>
              <w:rPr>
                <w:rFonts w:ascii="宋体" w:hAnsi="宋体" w:eastAsia="宋体" w:cs="宋体"/>
                <w:spacing w:val="-4"/>
                <w:sz w:val="21"/>
                <w:szCs w:val="21"/>
              </w:rPr>
              <w:t>结果；惩罚记录包含机构及原因，可关联查看不良行为的记分记录。</w:t>
            </w:r>
          </w:p>
          <w:p w14:paraId="0251124C">
            <w:pPr>
              <w:spacing w:before="93" w:line="261" w:lineRule="auto"/>
              <w:ind w:left="108" w:right="102" w:firstLine="16"/>
              <w:rPr>
                <w:rFonts w:ascii="宋体" w:hAnsi="宋体" w:eastAsia="宋体" w:cs="宋体"/>
                <w:sz w:val="21"/>
                <w:szCs w:val="21"/>
              </w:rPr>
            </w:pPr>
            <w:r>
              <w:rPr>
                <w:rFonts w:ascii="宋体" w:hAnsi="宋体" w:eastAsia="宋体" w:cs="宋体"/>
                <w:spacing w:val="-1"/>
                <w:sz w:val="21"/>
                <w:szCs w:val="21"/>
              </w:rPr>
              <w:t>19．查看个人相关的投诉纠纷记录；包含</w:t>
            </w:r>
            <w:r>
              <w:rPr>
                <w:rFonts w:ascii="宋体" w:hAnsi="宋体" w:eastAsia="宋体" w:cs="宋体"/>
                <w:spacing w:val="-2"/>
                <w:sz w:val="21"/>
                <w:szCs w:val="21"/>
              </w:rPr>
              <w:t>单号、类别、来源渠道、科室、内容、投</w:t>
            </w:r>
            <w:r>
              <w:rPr>
                <w:rFonts w:ascii="宋体" w:hAnsi="宋体" w:eastAsia="宋体" w:cs="宋体"/>
                <w:sz w:val="21"/>
                <w:szCs w:val="21"/>
              </w:rPr>
              <w:t xml:space="preserve"> </w:t>
            </w:r>
            <w:r>
              <w:rPr>
                <w:rFonts w:ascii="宋体" w:hAnsi="宋体" w:eastAsia="宋体" w:cs="宋体"/>
                <w:spacing w:val="-4"/>
                <w:sz w:val="21"/>
                <w:szCs w:val="21"/>
              </w:rPr>
              <w:t>诉人或患者、处理结果。</w:t>
            </w:r>
          </w:p>
          <w:p w14:paraId="0B1D8B27">
            <w:pPr>
              <w:spacing w:before="94" w:line="260" w:lineRule="auto"/>
              <w:ind w:left="110" w:right="102" w:firstLine="1"/>
              <w:rPr>
                <w:rFonts w:ascii="宋体" w:hAnsi="宋体" w:eastAsia="宋体" w:cs="宋体"/>
                <w:sz w:val="21"/>
                <w:szCs w:val="21"/>
              </w:rPr>
            </w:pPr>
            <w:r>
              <w:rPr>
                <w:rFonts w:ascii="宋体" w:hAnsi="宋体" w:eastAsia="宋体" w:cs="宋体"/>
                <w:spacing w:val="-1"/>
                <w:sz w:val="21"/>
                <w:szCs w:val="21"/>
              </w:rPr>
              <w:t>20．查看个人参与或负责的新技术，包含角色、技术名称、状态、技</w:t>
            </w:r>
            <w:r>
              <w:rPr>
                <w:rFonts w:ascii="宋体" w:hAnsi="宋体" w:eastAsia="宋体" w:cs="宋体"/>
                <w:spacing w:val="-2"/>
                <w:sz w:val="21"/>
                <w:szCs w:val="21"/>
              </w:rPr>
              <w:t>术风险等级、</w:t>
            </w:r>
            <w:r>
              <w:rPr>
                <w:rFonts w:ascii="宋体" w:hAnsi="宋体" w:eastAsia="宋体" w:cs="宋体"/>
                <w:sz w:val="21"/>
                <w:szCs w:val="21"/>
              </w:rPr>
              <w:t xml:space="preserve"> </w:t>
            </w:r>
            <w:r>
              <w:rPr>
                <w:rFonts w:ascii="宋体" w:hAnsi="宋体" w:eastAsia="宋体" w:cs="宋体"/>
                <w:spacing w:val="-7"/>
                <w:sz w:val="21"/>
                <w:szCs w:val="21"/>
              </w:rPr>
              <w:t>技术类别。</w:t>
            </w:r>
          </w:p>
          <w:p w14:paraId="4AABB4EE">
            <w:pPr>
              <w:spacing w:before="93" w:line="260" w:lineRule="auto"/>
              <w:ind w:left="110" w:right="102" w:firstLine="1"/>
              <w:rPr>
                <w:rFonts w:ascii="宋体" w:hAnsi="宋体" w:eastAsia="宋体" w:cs="宋体"/>
                <w:sz w:val="21"/>
                <w:szCs w:val="21"/>
              </w:rPr>
            </w:pPr>
            <w:r>
              <w:rPr>
                <w:rFonts w:ascii="宋体" w:hAnsi="宋体" w:eastAsia="宋体" w:cs="宋体"/>
                <w:spacing w:val="-5"/>
                <w:sz w:val="21"/>
                <w:szCs w:val="21"/>
              </w:rPr>
              <w:t>21．查看个人的记分记录，包含记分周期、记分日期</w:t>
            </w:r>
            <w:r>
              <w:rPr>
                <w:rFonts w:ascii="宋体" w:hAnsi="宋体" w:eastAsia="宋体" w:cs="宋体"/>
                <w:spacing w:val="-6"/>
                <w:sz w:val="21"/>
                <w:szCs w:val="21"/>
              </w:rPr>
              <w:t>、记分项目及政策依据，</w:t>
            </w:r>
            <w:r>
              <w:rPr>
                <w:rFonts w:ascii="宋体" w:hAnsi="宋体" w:eastAsia="宋体" w:cs="宋体"/>
                <w:spacing w:val="51"/>
                <w:sz w:val="21"/>
                <w:szCs w:val="21"/>
              </w:rPr>
              <w:t xml:space="preserve"> </w:t>
            </w:r>
            <w:r>
              <w:rPr>
                <w:rFonts w:ascii="宋体" w:hAnsi="宋体" w:eastAsia="宋体" w:cs="宋体"/>
                <w:spacing w:val="-6"/>
                <w:sz w:val="21"/>
                <w:szCs w:val="21"/>
              </w:rPr>
              <w:t>可关</w:t>
            </w:r>
            <w:r>
              <w:rPr>
                <w:rFonts w:ascii="宋体" w:hAnsi="宋体" w:eastAsia="宋体" w:cs="宋体"/>
                <w:sz w:val="21"/>
                <w:szCs w:val="21"/>
              </w:rPr>
              <w:t xml:space="preserve"> </w:t>
            </w:r>
            <w:r>
              <w:rPr>
                <w:rFonts w:ascii="宋体" w:hAnsi="宋体" w:eastAsia="宋体" w:cs="宋体"/>
                <w:spacing w:val="-3"/>
                <w:sz w:val="21"/>
                <w:szCs w:val="21"/>
              </w:rPr>
              <w:t>联查看记分项目的惩罚记录。</w:t>
            </w:r>
          </w:p>
          <w:p w14:paraId="039E44BF">
            <w:pPr>
              <w:spacing w:before="93" w:line="219" w:lineRule="auto"/>
              <w:ind w:left="111"/>
              <w:rPr>
                <w:rFonts w:ascii="宋体" w:hAnsi="宋体" w:eastAsia="宋体" w:cs="宋体"/>
                <w:sz w:val="21"/>
                <w:szCs w:val="21"/>
              </w:rPr>
            </w:pPr>
            <w:r>
              <w:rPr>
                <w:rFonts w:ascii="宋体" w:hAnsi="宋体" w:eastAsia="宋体" w:cs="宋体"/>
                <w:spacing w:val="-1"/>
                <w:sz w:val="21"/>
                <w:szCs w:val="21"/>
              </w:rPr>
              <w:t>22．可集中查看个人相关的指令性任务，包含任务名称、相关政策、</w:t>
            </w:r>
            <w:r>
              <w:rPr>
                <w:rFonts w:ascii="宋体" w:hAnsi="宋体" w:eastAsia="宋体" w:cs="宋体"/>
                <w:spacing w:val="-2"/>
                <w:sz w:val="21"/>
                <w:szCs w:val="21"/>
              </w:rPr>
              <w:t>时间范围。</w:t>
            </w:r>
          </w:p>
          <w:p w14:paraId="0121DF5D">
            <w:pPr>
              <w:spacing w:before="93" w:line="281" w:lineRule="auto"/>
              <w:ind w:left="109" w:right="102" w:firstLine="2"/>
              <w:rPr>
                <w:rFonts w:ascii="宋体" w:hAnsi="宋体" w:eastAsia="宋体" w:cs="宋体"/>
                <w:sz w:val="21"/>
                <w:szCs w:val="21"/>
              </w:rPr>
            </w:pPr>
            <w:r>
              <w:rPr>
                <w:rFonts w:ascii="宋体" w:hAnsi="宋体" w:eastAsia="宋体" w:cs="宋体"/>
                <w:spacing w:val="-2"/>
                <w:sz w:val="21"/>
                <w:szCs w:val="21"/>
              </w:rPr>
              <w:t>23.</w:t>
            </w:r>
            <w:r>
              <w:rPr>
                <w:rFonts w:ascii="宋体" w:hAnsi="宋体" w:eastAsia="宋体" w:cs="宋体"/>
                <w:spacing w:val="59"/>
                <w:sz w:val="21"/>
                <w:szCs w:val="21"/>
              </w:rPr>
              <w:t xml:space="preserve"> </w:t>
            </w:r>
            <w:r>
              <w:rPr>
                <w:rFonts w:ascii="宋体" w:hAnsi="宋体" w:eastAsia="宋体" w:cs="宋体"/>
                <w:spacing w:val="-2"/>
                <w:sz w:val="21"/>
                <w:szCs w:val="21"/>
              </w:rPr>
              <w:t>★提供医师全景视图（360</w:t>
            </w:r>
            <w:r>
              <w:rPr>
                <w:rFonts w:ascii="宋体" w:hAnsi="宋体" w:eastAsia="宋体" w:cs="宋体"/>
                <w:spacing w:val="-43"/>
                <w:sz w:val="21"/>
                <w:szCs w:val="21"/>
              </w:rPr>
              <w:t xml:space="preserve"> </w:t>
            </w:r>
            <w:r>
              <w:rPr>
                <w:rFonts w:ascii="宋体" w:hAnsi="宋体" w:eastAsia="宋体" w:cs="宋体"/>
                <w:spacing w:val="-2"/>
                <w:sz w:val="21"/>
                <w:szCs w:val="21"/>
              </w:rPr>
              <w:t>视图</w:t>
            </w:r>
            <w:r>
              <w:rPr>
                <w:rFonts w:ascii="宋体" w:hAnsi="宋体" w:eastAsia="宋体" w:cs="宋体"/>
                <w:spacing w:val="7"/>
                <w:sz w:val="21"/>
                <w:szCs w:val="21"/>
              </w:rPr>
              <w:t>），</w:t>
            </w:r>
            <w:r>
              <w:rPr>
                <w:rFonts w:ascii="宋体" w:hAnsi="宋体" w:eastAsia="宋体" w:cs="宋体"/>
                <w:spacing w:val="-2"/>
                <w:sz w:val="21"/>
                <w:szCs w:val="21"/>
              </w:rPr>
              <w:t>展示医师科教研信息，支持查看由综合考</w:t>
            </w:r>
            <w:r>
              <w:rPr>
                <w:rFonts w:ascii="宋体" w:hAnsi="宋体" w:eastAsia="宋体" w:cs="宋体"/>
                <w:sz w:val="21"/>
                <w:szCs w:val="21"/>
              </w:rPr>
              <w:t xml:space="preserve"> </w:t>
            </w:r>
            <w:r>
              <w:rPr>
                <w:rFonts w:ascii="宋体" w:hAnsi="宋体" w:eastAsia="宋体" w:cs="宋体"/>
                <w:spacing w:val="-1"/>
                <w:sz w:val="21"/>
                <w:szCs w:val="21"/>
              </w:rPr>
              <w:t>核系统产生的指标数据；个人履历按时间轴方式显示职称提升、学历提升</w:t>
            </w:r>
            <w:r>
              <w:rPr>
                <w:rFonts w:ascii="宋体" w:hAnsi="宋体" w:eastAsia="宋体" w:cs="宋体"/>
                <w:spacing w:val="-2"/>
                <w:sz w:val="21"/>
                <w:szCs w:val="21"/>
              </w:rPr>
              <w:t>、外出进</w:t>
            </w:r>
            <w:r>
              <w:rPr>
                <w:rFonts w:ascii="宋体" w:hAnsi="宋体" w:eastAsia="宋体" w:cs="宋体"/>
                <w:sz w:val="21"/>
                <w:szCs w:val="21"/>
              </w:rPr>
              <w:t xml:space="preserve"> </w:t>
            </w:r>
            <w:r>
              <w:rPr>
                <w:rFonts w:ascii="宋体" w:hAnsi="宋体" w:eastAsia="宋体" w:cs="宋体"/>
                <w:spacing w:val="-1"/>
                <w:sz w:val="21"/>
                <w:szCs w:val="21"/>
              </w:rPr>
              <w:t>修及科研课题；医疗权限可显示处方权及手术等级，高风险及三四级手术</w:t>
            </w:r>
            <w:r>
              <w:rPr>
                <w:rFonts w:ascii="宋体" w:hAnsi="宋体" w:eastAsia="宋体" w:cs="宋体"/>
                <w:spacing w:val="-2"/>
                <w:sz w:val="21"/>
                <w:szCs w:val="21"/>
              </w:rPr>
              <w:t>权限可显</w:t>
            </w:r>
            <w:r>
              <w:rPr>
                <w:rFonts w:ascii="宋体" w:hAnsi="宋体" w:eastAsia="宋体" w:cs="宋体"/>
                <w:sz w:val="21"/>
                <w:szCs w:val="21"/>
              </w:rPr>
              <w:t xml:space="preserve"> </w:t>
            </w:r>
            <w:r>
              <w:rPr>
                <w:rFonts w:ascii="宋体" w:hAnsi="宋体" w:eastAsia="宋体" w:cs="宋体"/>
                <w:spacing w:val="-4"/>
                <w:sz w:val="21"/>
                <w:szCs w:val="21"/>
              </w:rPr>
              <w:t>示具体的医疗技术。</w:t>
            </w:r>
          </w:p>
          <w:p w14:paraId="741EF82F">
            <w:pPr>
              <w:spacing w:before="93" w:line="219" w:lineRule="auto"/>
              <w:ind w:left="111"/>
              <w:rPr>
                <w:rFonts w:ascii="宋体" w:hAnsi="宋体" w:eastAsia="宋体" w:cs="宋体"/>
                <w:sz w:val="21"/>
                <w:szCs w:val="21"/>
              </w:rPr>
            </w:pPr>
            <w:r>
              <w:rPr>
                <w:rFonts w:ascii="宋体" w:hAnsi="宋体" w:eastAsia="宋体" w:cs="宋体"/>
                <w:spacing w:val="-1"/>
                <w:sz w:val="21"/>
                <w:szCs w:val="21"/>
              </w:rPr>
              <w:t>24．可完成医师退休、返聘、进修、社会任职、借调、挂职的信息登</w:t>
            </w:r>
            <w:r>
              <w:rPr>
                <w:rFonts w:ascii="宋体" w:hAnsi="宋体" w:eastAsia="宋体" w:cs="宋体"/>
                <w:spacing w:val="-2"/>
                <w:sz w:val="21"/>
                <w:szCs w:val="21"/>
              </w:rPr>
              <w:t>记和查看。</w:t>
            </w:r>
          </w:p>
        </w:tc>
      </w:tr>
    </w:tbl>
    <w:p w14:paraId="319F545E">
      <w:pPr>
        <w:pStyle w:val="2"/>
        <w:spacing w:line="255" w:lineRule="auto"/>
      </w:pPr>
    </w:p>
    <w:p w14:paraId="66DF17EC">
      <w:pPr>
        <w:spacing w:before="61" w:line="209" w:lineRule="auto"/>
        <w:ind w:left="148"/>
        <w:rPr>
          <w:rFonts w:ascii="宋体" w:hAnsi="宋体" w:eastAsia="宋体" w:cs="宋体"/>
          <w:sz w:val="19"/>
          <w:szCs w:val="19"/>
        </w:rPr>
      </w:pPr>
      <w:r>
        <w:pict>
          <v:shape id="_x0000_s1043" o:spid="_x0000_s1043" style="position:absolute;left:0pt;margin-left:1.95pt;margin-top:11.8pt;height:0.75pt;width:494pt;z-index:251687936;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2"/>
          <w:position w:val="1"/>
          <w:sz w:val="18"/>
          <w:szCs w:val="18"/>
        </w:rPr>
        <w:t xml:space="preserve">23                          </w:t>
      </w:r>
      <w:r>
        <w:rPr>
          <w:rFonts w:ascii="Times New Roman" w:hAnsi="Times New Roman" w:eastAsia="Times New Roman" w:cs="Times New Roman"/>
          <w:spacing w:val="-3"/>
          <w:position w:val="1"/>
          <w:sz w:val="18"/>
          <w:szCs w:val="18"/>
        </w:rPr>
        <w:t xml:space="preserve">     </w:t>
      </w:r>
      <w:r>
        <w:rPr>
          <w:rFonts w:ascii="宋体" w:hAnsi="宋体" w:eastAsia="宋体" w:cs="宋体"/>
          <w:b/>
          <w:bCs/>
          <w:i/>
          <w:iCs/>
          <w:spacing w:val="-3"/>
          <w:sz w:val="19"/>
          <w:szCs w:val="19"/>
        </w:rPr>
        <w:t>伊犁州公共资源交易中心</w:t>
      </w:r>
    </w:p>
    <w:p w14:paraId="386775C1">
      <w:pPr>
        <w:spacing w:line="209" w:lineRule="auto"/>
        <w:rPr>
          <w:rFonts w:ascii="宋体" w:hAnsi="宋体" w:eastAsia="宋体" w:cs="宋体"/>
          <w:sz w:val="19"/>
          <w:szCs w:val="19"/>
        </w:rPr>
        <w:sectPr>
          <w:pgSz w:w="11905" w:h="16839"/>
          <w:pgMar w:top="1136" w:right="830" w:bottom="400" w:left="1126" w:header="854" w:footer="0" w:gutter="0"/>
          <w:cols w:space="720" w:num="1"/>
        </w:sectPr>
      </w:pPr>
    </w:p>
    <w:p w14:paraId="43264201">
      <w:pPr>
        <w:spacing w:before="38"/>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3"/>
        <w:gridCol w:w="7743"/>
      </w:tblGrid>
      <w:tr w14:paraId="407B2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3" w:type="dxa"/>
            <w:vAlign w:val="top"/>
          </w:tcPr>
          <w:p w14:paraId="5495F659">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5310922D">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207AEA3F">
            <w:pPr>
              <w:spacing w:before="179"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6D269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83" w:type="dxa"/>
            <w:vAlign w:val="top"/>
          </w:tcPr>
          <w:p w14:paraId="70EE331B">
            <w:pPr>
              <w:rPr>
                <w:rFonts w:ascii="Arial"/>
                <w:sz w:val="21"/>
              </w:rPr>
            </w:pPr>
          </w:p>
        </w:tc>
        <w:tc>
          <w:tcPr>
            <w:tcW w:w="1273" w:type="dxa"/>
            <w:vAlign w:val="top"/>
          </w:tcPr>
          <w:p w14:paraId="37607A2E">
            <w:pPr>
              <w:rPr>
                <w:rFonts w:ascii="Arial"/>
                <w:sz w:val="21"/>
              </w:rPr>
            </w:pPr>
          </w:p>
        </w:tc>
        <w:tc>
          <w:tcPr>
            <w:tcW w:w="7743" w:type="dxa"/>
            <w:vAlign w:val="top"/>
          </w:tcPr>
          <w:p w14:paraId="577C0500">
            <w:pPr>
              <w:spacing w:before="63" w:line="269" w:lineRule="auto"/>
              <w:ind w:left="108" w:right="102" w:firstLine="3"/>
              <w:rPr>
                <w:rFonts w:ascii="宋体" w:hAnsi="宋体" w:eastAsia="宋体" w:cs="宋体"/>
                <w:sz w:val="21"/>
                <w:szCs w:val="21"/>
              </w:rPr>
            </w:pPr>
            <w:r>
              <w:rPr>
                <w:rFonts w:ascii="宋体" w:hAnsi="宋体" w:eastAsia="宋体" w:cs="宋体"/>
                <w:spacing w:val="-1"/>
                <w:sz w:val="21"/>
                <w:szCs w:val="21"/>
              </w:rPr>
              <w:t>25．对各类资质证书可设置到期提醒时间，资质证书到期的人员可分别</w:t>
            </w:r>
            <w:r>
              <w:rPr>
                <w:rFonts w:ascii="宋体" w:hAnsi="宋体" w:eastAsia="宋体" w:cs="宋体"/>
                <w:spacing w:val="-2"/>
                <w:sz w:val="21"/>
                <w:szCs w:val="21"/>
              </w:rPr>
              <w:t>在医师首页</w:t>
            </w:r>
            <w:r>
              <w:rPr>
                <w:rFonts w:ascii="宋体" w:hAnsi="宋体" w:eastAsia="宋体" w:cs="宋体"/>
                <w:sz w:val="21"/>
                <w:szCs w:val="21"/>
              </w:rPr>
              <w:t xml:space="preserve"> </w:t>
            </w:r>
            <w:r>
              <w:rPr>
                <w:rFonts w:ascii="宋体" w:hAnsi="宋体" w:eastAsia="宋体" w:cs="宋体"/>
                <w:spacing w:val="-3"/>
                <w:sz w:val="21"/>
                <w:szCs w:val="21"/>
              </w:rPr>
              <w:t>及医务管理首页模块进行提醒。</w:t>
            </w:r>
          </w:p>
        </w:tc>
      </w:tr>
      <w:tr w14:paraId="0F342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5" w:hRule="atLeast"/>
        </w:trPr>
        <w:tc>
          <w:tcPr>
            <w:tcW w:w="783" w:type="dxa"/>
            <w:vAlign w:val="top"/>
          </w:tcPr>
          <w:p w14:paraId="3B252413">
            <w:pPr>
              <w:spacing w:line="242" w:lineRule="auto"/>
              <w:rPr>
                <w:rFonts w:ascii="Arial"/>
                <w:sz w:val="21"/>
              </w:rPr>
            </w:pPr>
          </w:p>
          <w:p w14:paraId="1CDA657F">
            <w:pPr>
              <w:spacing w:line="242" w:lineRule="auto"/>
              <w:rPr>
                <w:rFonts w:ascii="Arial"/>
                <w:sz w:val="21"/>
              </w:rPr>
            </w:pPr>
          </w:p>
          <w:p w14:paraId="163A37E2">
            <w:pPr>
              <w:spacing w:line="242" w:lineRule="auto"/>
              <w:rPr>
                <w:rFonts w:ascii="Arial"/>
                <w:sz w:val="21"/>
              </w:rPr>
            </w:pPr>
          </w:p>
          <w:p w14:paraId="21FC6635">
            <w:pPr>
              <w:spacing w:line="242" w:lineRule="auto"/>
              <w:rPr>
                <w:rFonts w:ascii="Arial"/>
                <w:sz w:val="21"/>
              </w:rPr>
            </w:pPr>
          </w:p>
          <w:p w14:paraId="56115790">
            <w:pPr>
              <w:spacing w:line="242" w:lineRule="auto"/>
              <w:rPr>
                <w:rFonts w:ascii="Arial"/>
                <w:sz w:val="21"/>
              </w:rPr>
            </w:pPr>
          </w:p>
          <w:p w14:paraId="7AB0219B">
            <w:pPr>
              <w:spacing w:line="242" w:lineRule="auto"/>
              <w:rPr>
                <w:rFonts w:ascii="Arial"/>
                <w:sz w:val="21"/>
              </w:rPr>
            </w:pPr>
          </w:p>
          <w:p w14:paraId="05E7181D">
            <w:pPr>
              <w:spacing w:line="242" w:lineRule="auto"/>
              <w:rPr>
                <w:rFonts w:ascii="Arial"/>
                <w:sz w:val="21"/>
              </w:rPr>
            </w:pPr>
          </w:p>
          <w:p w14:paraId="2C9603FA">
            <w:pPr>
              <w:spacing w:line="243" w:lineRule="auto"/>
              <w:rPr>
                <w:rFonts w:ascii="Arial"/>
                <w:sz w:val="21"/>
              </w:rPr>
            </w:pPr>
          </w:p>
          <w:p w14:paraId="3782E880">
            <w:pPr>
              <w:spacing w:before="78" w:line="181" w:lineRule="auto"/>
              <w:ind w:left="409"/>
              <w:rPr>
                <w:rFonts w:ascii="宋体" w:hAnsi="宋体" w:eastAsia="宋体" w:cs="宋体"/>
                <w:sz w:val="24"/>
                <w:szCs w:val="24"/>
              </w:rPr>
            </w:pPr>
            <w:r>
              <w:rPr>
                <w:rFonts w:ascii="宋体" w:hAnsi="宋体" w:eastAsia="宋体" w:cs="宋体"/>
                <w:sz w:val="24"/>
                <w:szCs w:val="24"/>
              </w:rPr>
              <w:t>6</w:t>
            </w:r>
          </w:p>
        </w:tc>
        <w:tc>
          <w:tcPr>
            <w:tcW w:w="1273" w:type="dxa"/>
            <w:vAlign w:val="top"/>
          </w:tcPr>
          <w:p w14:paraId="1AC3F5DB">
            <w:pPr>
              <w:spacing w:line="271" w:lineRule="auto"/>
              <w:rPr>
                <w:rFonts w:ascii="Arial"/>
                <w:sz w:val="21"/>
              </w:rPr>
            </w:pPr>
          </w:p>
          <w:p w14:paraId="4FB32A37">
            <w:pPr>
              <w:spacing w:line="271" w:lineRule="auto"/>
              <w:rPr>
                <w:rFonts w:ascii="Arial"/>
                <w:sz w:val="21"/>
              </w:rPr>
            </w:pPr>
          </w:p>
          <w:p w14:paraId="588DA181">
            <w:pPr>
              <w:spacing w:line="271" w:lineRule="auto"/>
              <w:rPr>
                <w:rFonts w:ascii="Arial"/>
                <w:sz w:val="21"/>
              </w:rPr>
            </w:pPr>
          </w:p>
          <w:p w14:paraId="19B6C67E">
            <w:pPr>
              <w:spacing w:line="271" w:lineRule="auto"/>
              <w:rPr>
                <w:rFonts w:ascii="Arial"/>
                <w:sz w:val="21"/>
              </w:rPr>
            </w:pPr>
          </w:p>
          <w:p w14:paraId="1A893168">
            <w:pPr>
              <w:spacing w:line="271" w:lineRule="auto"/>
              <w:rPr>
                <w:rFonts w:ascii="Arial"/>
                <w:sz w:val="21"/>
              </w:rPr>
            </w:pPr>
          </w:p>
          <w:p w14:paraId="47E1C2A0">
            <w:pPr>
              <w:spacing w:line="271" w:lineRule="auto"/>
              <w:rPr>
                <w:rFonts w:ascii="Arial"/>
                <w:sz w:val="21"/>
              </w:rPr>
            </w:pPr>
          </w:p>
          <w:p w14:paraId="64EE59EE">
            <w:pPr>
              <w:spacing w:line="271" w:lineRule="auto"/>
              <w:rPr>
                <w:rFonts w:ascii="Arial"/>
                <w:sz w:val="21"/>
              </w:rPr>
            </w:pPr>
          </w:p>
          <w:p w14:paraId="06661E56">
            <w:pPr>
              <w:spacing w:before="78" w:line="220" w:lineRule="auto"/>
              <w:ind w:left="108"/>
              <w:rPr>
                <w:rFonts w:ascii="宋体" w:hAnsi="宋体" w:eastAsia="宋体" w:cs="宋体"/>
                <w:sz w:val="24"/>
                <w:szCs w:val="24"/>
              </w:rPr>
            </w:pPr>
            <w:r>
              <w:rPr>
                <w:rFonts w:ascii="宋体" w:hAnsi="宋体" w:eastAsia="宋体" w:cs="宋体"/>
                <w:spacing w:val="-2"/>
                <w:sz w:val="24"/>
                <w:szCs w:val="24"/>
              </w:rPr>
              <w:t>放射人员</w:t>
            </w:r>
          </w:p>
        </w:tc>
        <w:tc>
          <w:tcPr>
            <w:tcW w:w="7743" w:type="dxa"/>
            <w:vAlign w:val="top"/>
          </w:tcPr>
          <w:p w14:paraId="2EB9B766">
            <w:pPr>
              <w:spacing w:before="116" w:line="220" w:lineRule="auto"/>
              <w:ind w:left="124"/>
              <w:rPr>
                <w:rFonts w:ascii="宋体" w:hAnsi="宋体" w:eastAsia="宋体" w:cs="宋体"/>
                <w:sz w:val="21"/>
                <w:szCs w:val="21"/>
              </w:rPr>
            </w:pPr>
            <w:r>
              <w:rPr>
                <w:rFonts w:ascii="宋体" w:hAnsi="宋体" w:eastAsia="宋体" w:cs="宋体"/>
                <w:spacing w:val="-3"/>
                <w:sz w:val="21"/>
                <w:szCs w:val="21"/>
              </w:rPr>
              <w:t>1．集中查询及管理全院的放射人员档案。</w:t>
            </w:r>
          </w:p>
          <w:p w14:paraId="401F3F83">
            <w:pPr>
              <w:spacing w:before="92" w:line="261" w:lineRule="auto"/>
              <w:ind w:left="110" w:right="102"/>
              <w:rPr>
                <w:rFonts w:ascii="宋体" w:hAnsi="宋体" w:eastAsia="宋体" w:cs="宋体"/>
                <w:sz w:val="21"/>
                <w:szCs w:val="21"/>
              </w:rPr>
            </w:pPr>
            <w:r>
              <w:rPr>
                <w:rFonts w:ascii="宋体" w:hAnsi="宋体" w:eastAsia="宋体" w:cs="宋体"/>
                <w:spacing w:val="2"/>
                <w:sz w:val="21"/>
                <w:szCs w:val="21"/>
              </w:rPr>
              <w:t>2．可按照放射岗状态、科室、职称、证书到期情况、剂量</w:t>
            </w:r>
            <w:r>
              <w:rPr>
                <w:rFonts w:ascii="宋体" w:hAnsi="宋体" w:eastAsia="宋体" w:cs="宋体"/>
                <w:spacing w:val="1"/>
                <w:sz w:val="21"/>
                <w:szCs w:val="21"/>
              </w:rPr>
              <w:t>计更换情况检索人员档</w:t>
            </w:r>
            <w:r>
              <w:rPr>
                <w:rFonts w:ascii="宋体" w:hAnsi="宋体" w:eastAsia="宋体" w:cs="宋体"/>
                <w:sz w:val="21"/>
                <w:szCs w:val="21"/>
              </w:rPr>
              <w:t xml:space="preserve"> </w:t>
            </w:r>
            <w:r>
              <w:rPr>
                <w:rFonts w:ascii="宋体" w:hAnsi="宋体" w:eastAsia="宋体" w:cs="宋体"/>
                <w:spacing w:val="-4"/>
                <w:sz w:val="21"/>
                <w:szCs w:val="21"/>
              </w:rPr>
              <w:t>案 。</w:t>
            </w:r>
          </w:p>
          <w:p w14:paraId="03D56411">
            <w:pPr>
              <w:spacing w:before="91" w:line="219" w:lineRule="auto"/>
              <w:ind w:left="113"/>
              <w:rPr>
                <w:rFonts w:ascii="宋体" w:hAnsi="宋体" w:eastAsia="宋体" w:cs="宋体"/>
                <w:sz w:val="21"/>
                <w:szCs w:val="21"/>
              </w:rPr>
            </w:pPr>
            <w:r>
              <w:rPr>
                <w:rFonts w:ascii="宋体" w:hAnsi="宋体" w:eastAsia="宋体" w:cs="宋体"/>
                <w:spacing w:val="-3"/>
                <w:sz w:val="21"/>
                <w:szCs w:val="21"/>
              </w:rPr>
              <w:t>3．可批量导入</w:t>
            </w:r>
            <w:r>
              <w:rPr>
                <w:rFonts w:ascii="宋体" w:hAnsi="宋体" w:eastAsia="宋体" w:cs="宋体"/>
                <w:spacing w:val="-30"/>
                <w:sz w:val="21"/>
                <w:szCs w:val="21"/>
              </w:rPr>
              <w:t xml:space="preserve"> </w:t>
            </w:r>
            <w:r>
              <w:rPr>
                <w:rFonts w:ascii="宋体" w:hAnsi="宋体" w:eastAsia="宋体" w:cs="宋体"/>
                <w:spacing w:val="-3"/>
                <w:sz w:val="21"/>
                <w:szCs w:val="21"/>
              </w:rPr>
              <w:t>EXCEL</w:t>
            </w:r>
            <w:r>
              <w:rPr>
                <w:rFonts w:ascii="宋体" w:hAnsi="宋体" w:eastAsia="宋体" w:cs="宋体"/>
                <w:spacing w:val="-44"/>
                <w:sz w:val="21"/>
                <w:szCs w:val="21"/>
              </w:rPr>
              <w:t xml:space="preserve"> </w:t>
            </w:r>
            <w:r>
              <w:rPr>
                <w:rFonts w:ascii="宋体" w:hAnsi="宋体" w:eastAsia="宋体" w:cs="宋体"/>
                <w:spacing w:val="-3"/>
                <w:sz w:val="21"/>
                <w:szCs w:val="21"/>
              </w:rPr>
              <w:t>格式的体检及剂量计记录。</w:t>
            </w:r>
          </w:p>
          <w:p w14:paraId="63A0E489">
            <w:pPr>
              <w:spacing w:before="93" w:line="220" w:lineRule="auto"/>
              <w:ind w:left="108"/>
              <w:rPr>
                <w:rFonts w:ascii="宋体" w:hAnsi="宋体" w:eastAsia="宋体" w:cs="宋体"/>
                <w:sz w:val="21"/>
                <w:szCs w:val="21"/>
              </w:rPr>
            </w:pPr>
            <w:r>
              <w:rPr>
                <w:rFonts w:ascii="宋体" w:hAnsi="宋体" w:eastAsia="宋体" w:cs="宋体"/>
                <w:spacing w:val="-2"/>
                <w:sz w:val="21"/>
                <w:szCs w:val="21"/>
              </w:rPr>
              <w:t>4．包含放射人员姓名、管理职务、专业信息。</w:t>
            </w:r>
          </w:p>
          <w:p w14:paraId="2A9C2913">
            <w:pPr>
              <w:spacing w:before="93" w:line="260" w:lineRule="auto"/>
              <w:ind w:left="110" w:right="102" w:firstLine="3"/>
              <w:rPr>
                <w:rFonts w:ascii="宋体" w:hAnsi="宋体" w:eastAsia="宋体" w:cs="宋体"/>
                <w:sz w:val="21"/>
                <w:szCs w:val="21"/>
              </w:rPr>
            </w:pPr>
            <w:r>
              <w:rPr>
                <w:rFonts w:ascii="宋体" w:hAnsi="宋体" w:eastAsia="宋体" w:cs="宋体"/>
                <w:spacing w:val="2"/>
                <w:sz w:val="21"/>
                <w:szCs w:val="21"/>
              </w:rPr>
              <w:t>5．支持放射专业资质证书的上传，包括辐射安全与防护</w:t>
            </w:r>
            <w:r>
              <w:rPr>
                <w:rFonts w:ascii="宋体" w:hAnsi="宋体" w:eastAsia="宋体" w:cs="宋体"/>
                <w:spacing w:val="1"/>
                <w:sz w:val="21"/>
                <w:szCs w:val="21"/>
              </w:rPr>
              <w:t>培训合格证、放射人员工</w:t>
            </w:r>
            <w:r>
              <w:rPr>
                <w:rFonts w:ascii="宋体" w:hAnsi="宋体" w:eastAsia="宋体" w:cs="宋体"/>
                <w:sz w:val="21"/>
                <w:szCs w:val="21"/>
              </w:rPr>
              <w:t xml:space="preserve"> </w:t>
            </w:r>
            <w:r>
              <w:rPr>
                <w:rFonts w:ascii="宋体" w:hAnsi="宋体" w:eastAsia="宋体" w:cs="宋体"/>
                <w:spacing w:val="-3"/>
                <w:sz w:val="21"/>
                <w:szCs w:val="21"/>
              </w:rPr>
              <w:t>作证，支持附件上传及</w:t>
            </w:r>
            <w:r>
              <w:rPr>
                <w:rFonts w:ascii="宋体" w:hAnsi="宋体" w:eastAsia="宋体" w:cs="宋体"/>
                <w:spacing w:val="-41"/>
                <w:sz w:val="21"/>
                <w:szCs w:val="21"/>
              </w:rPr>
              <w:t xml:space="preserve"> </w:t>
            </w:r>
            <w:r>
              <w:rPr>
                <w:rFonts w:ascii="宋体" w:hAnsi="宋体" w:eastAsia="宋体" w:cs="宋体"/>
                <w:spacing w:val="-3"/>
                <w:sz w:val="21"/>
                <w:szCs w:val="21"/>
              </w:rPr>
              <w:t>PDF</w:t>
            </w:r>
            <w:r>
              <w:rPr>
                <w:rFonts w:ascii="宋体" w:hAnsi="宋体" w:eastAsia="宋体" w:cs="宋体"/>
                <w:spacing w:val="-43"/>
                <w:sz w:val="21"/>
                <w:szCs w:val="21"/>
              </w:rPr>
              <w:t xml:space="preserve"> </w:t>
            </w:r>
            <w:r>
              <w:rPr>
                <w:rFonts w:ascii="宋体" w:hAnsi="宋体" w:eastAsia="宋体" w:cs="宋体"/>
                <w:spacing w:val="-3"/>
                <w:sz w:val="21"/>
                <w:szCs w:val="21"/>
              </w:rPr>
              <w:t>文件预览。</w:t>
            </w:r>
          </w:p>
          <w:p w14:paraId="0F4721C4">
            <w:pPr>
              <w:spacing w:before="93" w:line="219" w:lineRule="auto"/>
              <w:ind w:left="110"/>
              <w:rPr>
                <w:rFonts w:ascii="宋体" w:hAnsi="宋体" w:eastAsia="宋体" w:cs="宋体"/>
                <w:sz w:val="21"/>
                <w:szCs w:val="21"/>
              </w:rPr>
            </w:pPr>
            <w:r>
              <w:rPr>
                <w:rFonts w:ascii="宋体" w:hAnsi="宋体" w:eastAsia="宋体" w:cs="宋体"/>
                <w:spacing w:val="-1"/>
                <w:sz w:val="21"/>
                <w:szCs w:val="21"/>
              </w:rPr>
              <w:t>6．支持剂量计发放与回收登记，包含剂量计编号、剂量</w:t>
            </w:r>
            <w:r>
              <w:rPr>
                <w:rFonts w:ascii="宋体" w:hAnsi="宋体" w:eastAsia="宋体" w:cs="宋体"/>
                <w:spacing w:val="-2"/>
                <w:sz w:val="21"/>
                <w:szCs w:val="21"/>
              </w:rPr>
              <w:t>当量、回收时间。</w:t>
            </w:r>
          </w:p>
          <w:p w14:paraId="2D103A71">
            <w:pPr>
              <w:spacing w:before="95" w:line="260" w:lineRule="auto"/>
              <w:ind w:left="109" w:right="102" w:firstLine="5"/>
              <w:rPr>
                <w:rFonts w:ascii="宋体" w:hAnsi="宋体" w:eastAsia="宋体" w:cs="宋体"/>
                <w:sz w:val="21"/>
                <w:szCs w:val="21"/>
              </w:rPr>
            </w:pPr>
            <w:r>
              <w:rPr>
                <w:rFonts w:ascii="宋体" w:hAnsi="宋体" w:eastAsia="宋体" w:cs="宋体"/>
                <w:spacing w:val="2"/>
                <w:sz w:val="21"/>
                <w:szCs w:val="21"/>
              </w:rPr>
              <w:t>7．系统支持绘制指定时间范围的剂量监测图表，可绘</w:t>
            </w:r>
            <w:r>
              <w:rPr>
                <w:rFonts w:ascii="宋体" w:hAnsi="宋体" w:eastAsia="宋体" w:cs="宋体"/>
                <w:spacing w:val="1"/>
                <w:sz w:val="21"/>
                <w:szCs w:val="21"/>
              </w:rPr>
              <w:t>制系统设置的异常剂量值参</w:t>
            </w:r>
            <w:r>
              <w:rPr>
                <w:rFonts w:ascii="宋体" w:hAnsi="宋体" w:eastAsia="宋体" w:cs="宋体"/>
                <w:sz w:val="21"/>
                <w:szCs w:val="21"/>
              </w:rPr>
              <w:t xml:space="preserve"> </w:t>
            </w:r>
            <w:r>
              <w:rPr>
                <w:rFonts w:ascii="宋体" w:hAnsi="宋体" w:eastAsia="宋体" w:cs="宋体"/>
                <w:spacing w:val="-9"/>
                <w:sz w:val="21"/>
                <w:szCs w:val="21"/>
              </w:rPr>
              <w:t>考线。</w:t>
            </w:r>
          </w:p>
          <w:p w14:paraId="0AA7EFD0">
            <w:pPr>
              <w:spacing w:before="93" w:line="220" w:lineRule="auto"/>
              <w:ind w:left="110"/>
              <w:rPr>
                <w:rFonts w:ascii="宋体" w:hAnsi="宋体" w:eastAsia="宋体" w:cs="宋体"/>
                <w:sz w:val="21"/>
                <w:szCs w:val="21"/>
              </w:rPr>
            </w:pPr>
            <w:r>
              <w:rPr>
                <w:rFonts w:ascii="宋体" w:hAnsi="宋体" w:eastAsia="宋体" w:cs="宋体"/>
                <w:sz w:val="21"/>
                <w:szCs w:val="21"/>
              </w:rPr>
              <w:t>8．系统支持登记体检记录，包含血常规、尿常规、心电图</w:t>
            </w:r>
            <w:r>
              <w:rPr>
                <w:rFonts w:ascii="宋体" w:hAnsi="宋体" w:eastAsia="宋体" w:cs="宋体"/>
                <w:spacing w:val="-1"/>
                <w:sz w:val="21"/>
                <w:szCs w:val="21"/>
              </w:rPr>
              <w:t>检查等体检结果值 。</w:t>
            </w:r>
          </w:p>
          <w:p w14:paraId="22ED5C6F">
            <w:pPr>
              <w:spacing w:before="92" w:line="220" w:lineRule="auto"/>
              <w:ind w:left="110"/>
              <w:rPr>
                <w:rFonts w:ascii="宋体" w:hAnsi="宋体" w:eastAsia="宋体" w:cs="宋体"/>
                <w:sz w:val="21"/>
                <w:szCs w:val="21"/>
              </w:rPr>
            </w:pPr>
            <w:r>
              <w:rPr>
                <w:rFonts w:ascii="宋体" w:hAnsi="宋体" w:eastAsia="宋体" w:cs="宋体"/>
                <w:spacing w:val="-1"/>
                <w:sz w:val="21"/>
                <w:szCs w:val="21"/>
              </w:rPr>
              <w:t>9．对符合离职条件的人员支持离岗记录登记，包</w:t>
            </w:r>
            <w:r>
              <w:rPr>
                <w:rFonts w:ascii="宋体" w:hAnsi="宋体" w:eastAsia="宋体" w:cs="宋体"/>
                <w:spacing w:val="-2"/>
                <w:sz w:val="21"/>
                <w:szCs w:val="21"/>
              </w:rPr>
              <w:t>含离岗原因及去向。</w:t>
            </w:r>
          </w:p>
        </w:tc>
      </w:tr>
      <w:tr w14:paraId="41181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783" w:type="dxa"/>
            <w:vAlign w:val="top"/>
          </w:tcPr>
          <w:p w14:paraId="3553E344">
            <w:pPr>
              <w:spacing w:line="259" w:lineRule="auto"/>
              <w:rPr>
                <w:rFonts w:ascii="Arial"/>
                <w:sz w:val="21"/>
              </w:rPr>
            </w:pPr>
          </w:p>
          <w:p w14:paraId="7351FE64">
            <w:pPr>
              <w:spacing w:line="259" w:lineRule="auto"/>
              <w:rPr>
                <w:rFonts w:ascii="Arial"/>
                <w:sz w:val="21"/>
              </w:rPr>
            </w:pPr>
          </w:p>
          <w:p w14:paraId="0BC25B19">
            <w:pPr>
              <w:spacing w:line="260" w:lineRule="auto"/>
              <w:rPr>
                <w:rFonts w:ascii="Arial"/>
                <w:sz w:val="21"/>
              </w:rPr>
            </w:pPr>
          </w:p>
          <w:p w14:paraId="489274F4">
            <w:pPr>
              <w:spacing w:line="260" w:lineRule="auto"/>
              <w:rPr>
                <w:rFonts w:ascii="Arial"/>
                <w:sz w:val="21"/>
              </w:rPr>
            </w:pPr>
          </w:p>
          <w:p w14:paraId="52F99674">
            <w:pPr>
              <w:spacing w:before="78" w:line="180" w:lineRule="auto"/>
              <w:ind w:left="342"/>
              <w:rPr>
                <w:rFonts w:ascii="宋体" w:hAnsi="宋体" w:eastAsia="宋体" w:cs="宋体"/>
                <w:sz w:val="24"/>
                <w:szCs w:val="24"/>
              </w:rPr>
            </w:pPr>
            <w:r>
              <w:rPr>
                <w:rFonts w:ascii="宋体" w:hAnsi="宋体" w:eastAsia="宋体" w:cs="宋体"/>
                <w:sz w:val="24"/>
                <w:szCs w:val="24"/>
              </w:rPr>
              <w:t>7</w:t>
            </w:r>
          </w:p>
        </w:tc>
        <w:tc>
          <w:tcPr>
            <w:tcW w:w="1273" w:type="dxa"/>
            <w:vAlign w:val="top"/>
          </w:tcPr>
          <w:p w14:paraId="61B558D8">
            <w:pPr>
              <w:spacing w:line="249" w:lineRule="auto"/>
              <w:rPr>
                <w:rFonts w:ascii="Arial"/>
                <w:sz w:val="21"/>
              </w:rPr>
            </w:pPr>
          </w:p>
          <w:p w14:paraId="4BB9F40E">
            <w:pPr>
              <w:spacing w:line="249" w:lineRule="auto"/>
              <w:rPr>
                <w:rFonts w:ascii="Arial"/>
                <w:sz w:val="21"/>
              </w:rPr>
            </w:pPr>
          </w:p>
          <w:p w14:paraId="78139910">
            <w:pPr>
              <w:spacing w:line="249" w:lineRule="auto"/>
              <w:rPr>
                <w:rFonts w:ascii="Arial"/>
                <w:sz w:val="21"/>
              </w:rPr>
            </w:pPr>
          </w:p>
          <w:p w14:paraId="5C6C3453">
            <w:pPr>
              <w:spacing w:line="249" w:lineRule="auto"/>
              <w:rPr>
                <w:rFonts w:ascii="Arial"/>
                <w:sz w:val="21"/>
              </w:rPr>
            </w:pPr>
          </w:p>
          <w:p w14:paraId="6055AFB9">
            <w:pPr>
              <w:spacing w:before="78" w:line="220" w:lineRule="auto"/>
              <w:ind w:left="107"/>
              <w:rPr>
                <w:rFonts w:ascii="宋体" w:hAnsi="宋体" w:eastAsia="宋体" w:cs="宋体"/>
                <w:sz w:val="24"/>
                <w:szCs w:val="24"/>
              </w:rPr>
            </w:pPr>
            <w:r>
              <w:rPr>
                <w:rFonts w:ascii="宋体" w:hAnsi="宋体" w:eastAsia="宋体" w:cs="宋体"/>
                <w:spacing w:val="-2"/>
                <w:sz w:val="24"/>
                <w:szCs w:val="24"/>
              </w:rPr>
              <w:t>记分记录</w:t>
            </w:r>
          </w:p>
        </w:tc>
        <w:tc>
          <w:tcPr>
            <w:tcW w:w="7743" w:type="dxa"/>
            <w:vAlign w:val="top"/>
          </w:tcPr>
          <w:p w14:paraId="5FA2B090">
            <w:pPr>
              <w:spacing w:before="66" w:line="220" w:lineRule="auto"/>
              <w:ind w:left="124"/>
              <w:rPr>
                <w:rFonts w:ascii="宋体" w:hAnsi="宋体" w:eastAsia="宋体" w:cs="宋体"/>
                <w:sz w:val="21"/>
                <w:szCs w:val="21"/>
              </w:rPr>
            </w:pPr>
            <w:r>
              <w:rPr>
                <w:rFonts w:ascii="宋体" w:hAnsi="宋体" w:eastAsia="宋体" w:cs="宋体"/>
                <w:spacing w:val="-2"/>
                <w:sz w:val="21"/>
                <w:szCs w:val="21"/>
              </w:rPr>
              <w:t>1．集中统一管理各项记分（积分）事项的登记</w:t>
            </w:r>
            <w:r>
              <w:rPr>
                <w:rFonts w:ascii="宋体" w:hAnsi="宋体" w:eastAsia="宋体" w:cs="宋体"/>
                <w:spacing w:val="-3"/>
                <w:sz w:val="21"/>
                <w:szCs w:val="21"/>
              </w:rPr>
              <w:t>与查询。</w:t>
            </w:r>
          </w:p>
          <w:p w14:paraId="26BCEADF">
            <w:pPr>
              <w:spacing w:before="92" w:line="220" w:lineRule="auto"/>
              <w:ind w:left="111"/>
              <w:rPr>
                <w:rFonts w:ascii="宋体" w:hAnsi="宋体" w:eastAsia="宋体" w:cs="宋体"/>
                <w:sz w:val="21"/>
                <w:szCs w:val="21"/>
              </w:rPr>
            </w:pPr>
            <w:r>
              <w:rPr>
                <w:rFonts w:ascii="宋体" w:hAnsi="宋体" w:eastAsia="宋体" w:cs="宋体"/>
                <w:spacing w:val="-2"/>
                <w:sz w:val="21"/>
                <w:szCs w:val="21"/>
              </w:rPr>
              <w:t>2．支持多种类型指标项目提交上报操作，删除操作等。</w:t>
            </w:r>
          </w:p>
          <w:p w14:paraId="7273D370">
            <w:pPr>
              <w:spacing w:before="92" w:line="261" w:lineRule="auto"/>
              <w:ind w:left="110" w:right="102" w:firstLine="3"/>
              <w:rPr>
                <w:rFonts w:ascii="宋体" w:hAnsi="宋体" w:eastAsia="宋体" w:cs="宋体"/>
                <w:sz w:val="21"/>
                <w:szCs w:val="21"/>
              </w:rPr>
            </w:pPr>
            <w:r>
              <w:rPr>
                <w:rFonts w:ascii="宋体" w:hAnsi="宋体" w:eastAsia="宋体" w:cs="宋体"/>
                <w:spacing w:val="2"/>
                <w:sz w:val="21"/>
                <w:szCs w:val="21"/>
              </w:rPr>
              <w:t>3．可按记分方案、时间范围、记分人员查询记分记录，</w:t>
            </w:r>
            <w:r>
              <w:rPr>
                <w:rFonts w:ascii="宋体" w:hAnsi="宋体" w:eastAsia="宋体" w:cs="宋体"/>
                <w:spacing w:val="1"/>
                <w:sz w:val="21"/>
                <w:szCs w:val="21"/>
              </w:rPr>
              <w:t>支持按年度查询人员排名</w:t>
            </w:r>
            <w:r>
              <w:rPr>
                <w:rFonts w:ascii="宋体" w:hAnsi="宋体" w:eastAsia="宋体" w:cs="宋体"/>
                <w:sz w:val="21"/>
                <w:szCs w:val="21"/>
              </w:rPr>
              <w:t xml:space="preserve"> </w:t>
            </w:r>
            <w:r>
              <w:rPr>
                <w:rFonts w:ascii="宋体" w:hAnsi="宋体" w:eastAsia="宋体" w:cs="宋体"/>
                <w:spacing w:val="-9"/>
                <w:sz w:val="21"/>
                <w:szCs w:val="21"/>
              </w:rPr>
              <w:t>情况。</w:t>
            </w:r>
          </w:p>
          <w:p w14:paraId="46932DAB">
            <w:pPr>
              <w:spacing w:before="91" w:line="219" w:lineRule="auto"/>
              <w:ind w:left="108"/>
              <w:rPr>
                <w:rFonts w:ascii="宋体" w:hAnsi="宋体" w:eastAsia="宋体" w:cs="宋体"/>
                <w:sz w:val="21"/>
                <w:szCs w:val="21"/>
              </w:rPr>
            </w:pPr>
            <w:r>
              <w:rPr>
                <w:rFonts w:ascii="宋体" w:hAnsi="宋体" w:eastAsia="宋体" w:cs="宋体"/>
                <w:spacing w:val="-1"/>
                <w:sz w:val="21"/>
                <w:szCs w:val="21"/>
              </w:rPr>
              <w:t>4．记分记录包括记分方案、记分项目、分值</w:t>
            </w:r>
            <w:r>
              <w:rPr>
                <w:rFonts w:ascii="宋体" w:hAnsi="宋体" w:eastAsia="宋体" w:cs="宋体"/>
                <w:spacing w:val="-2"/>
                <w:sz w:val="21"/>
                <w:szCs w:val="21"/>
              </w:rPr>
              <w:t>、记分科室、来源。</w:t>
            </w:r>
          </w:p>
          <w:p w14:paraId="1914772F">
            <w:pPr>
              <w:spacing w:before="93" w:line="220" w:lineRule="auto"/>
              <w:ind w:left="113"/>
              <w:rPr>
                <w:rFonts w:ascii="宋体" w:hAnsi="宋体" w:eastAsia="宋体" w:cs="宋体"/>
                <w:sz w:val="21"/>
                <w:szCs w:val="21"/>
              </w:rPr>
            </w:pPr>
            <w:r>
              <w:rPr>
                <w:rFonts w:ascii="宋体" w:hAnsi="宋体" w:eastAsia="宋体" w:cs="宋体"/>
                <w:spacing w:val="-3"/>
                <w:sz w:val="21"/>
                <w:szCs w:val="21"/>
              </w:rPr>
              <w:t>5．记分记录可自动集成到医师档案中。</w:t>
            </w:r>
          </w:p>
          <w:p w14:paraId="7E257C39">
            <w:pPr>
              <w:spacing w:before="93" w:line="220" w:lineRule="auto"/>
              <w:ind w:left="110"/>
              <w:rPr>
                <w:rFonts w:ascii="宋体" w:hAnsi="宋体" w:eastAsia="宋体" w:cs="宋体"/>
                <w:sz w:val="21"/>
                <w:szCs w:val="21"/>
              </w:rPr>
            </w:pPr>
            <w:r>
              <w:rPr>
                <w:rFonts w:ascii="宋体" w:hAnsi="宋体" w:eastAsia="宋体" w:cs="宋体"/>
                <w:spacing w:val="-4"/>
                <w:sz w:val="21"/>
                <w:szCs w:val="21"/>
              </w:rPr>
              <w:t>6．支持查询结果导出。</w:t>
            </w:r>
          </w:p>
        </w:tc>
      </w:tr>
      <w:tr w14:paraId="71553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trPr>
        <w:tc>
          <w:tcPr>
            <w:tcW w:w="783" w:type="dxa"/>
            <w:vAlign w:val="top"/>
          </w:tcPr>
          <w:p w14:paraId="5AA4F2EF">
            <w:pPr>
              <w:spacing w:line="263" w:lineRule="auto"/>
              <w:rPr>
                <w:rFonts w:ascii="Arial"/>
                <w:sz w:val="21"/>
              </w:rPr>
            </w:pPr>
          </w:p>
          <w:p w14:paraId="1F359B5E">
            <w:pPr>
              <w:spacing w:line="264" w:lineRule="auto"/>
              <w:rPr>
                <w:rFonts w:ascii="Arial"/>
                <w:sz w:val="21"/>
              </w:rPr>
            </w:pPr>
          </w:p>
          <w:p w14:paraId="032BE6AD">
            <w:pPr>
              <w:spacing w:before="78" w:line="181" w:lineRule="auto"/>
              <w:ind w:left="337"/>
              <w:rPr>
                <w:rFonts w:ascii="宋体" w:hAnsi="宋体" w:eastAsia="宋体" w:cs="宋体"/>
                <w:sz w:val="24"/>
                <w:szCs w:val="24"/>
              </w:rPr>
            </w:pPr>
            <w:r>
              <w:rPr>
                <w:rFonts w:ascii="宋体" w:hAnsi="宋体" w:eastAsia="宋体" w:cs="宋体"/>
                <w:sz w:val="24"/>
                <w:szCs w:val="24"/>
              </w:rPr>
              <w:t>8</w:t>
            </w:r>
          </w:p>
        </w:tc>
        <w:tc>
          <w:tcPr>
            <w:tcW w:w="1273" w:type="dxa"/>
            <w:vAlign w:val="top"/>
          </w:tcPr>
          <w:p w14:paraId="02B8AA4C">
            <w:pPr>
              <w:spacing w:line="243" w:lineRule="auto"/>
              <w:rPr>
                <w:rFonts w:ascii="Arial"/>
                <w:sz w:val="21"/>
              </w:rPr>
            </w:pPr>
          </w:p>
          <w:p w14:paraId="4989CB65">
            <w:pPr>
              <w:spacing w:line="243" w:lineRule="auto"/>
              <w:rPr>
                <w:rFonts w:ascii="Arial"/>
                <w:sz w:val="21"/>
              </w:rPr>
            </w:pPr>
          </w:p>
          <w:p w14:paraId="530022C6">
            <w:pPr>
              <w:spacing w:before="78" w:line="220" w:lineRule="auto"/>
              <w:ind w:left="108"/>
              <w:rPr>
                <w:rFonts w:ascii="宋体" w:hAnsi="宋体" w:eastAsia="宋体" w:cs="宋体"/>
                <w:sz w:val="24"/>
                <w:szCs w:val="24"/>
              </w:rPr>
            </w:pPr>
            <w:r>
              <w:rPr>
                <w:rFonts w:ascii="宋体" w:hAnsi="宋体" w:eastAsia="宋体" w:cs="宋体"/>
                <w:spacing w:val="-2"/>
                <w:sz w:val="24"/>
                <w:szCs w:val="24"/>
              </w:rPr>
              <w:t>考试管理</w:t>
            </w:r>
          </w:p>
        </w:tc>
        <w:tc>
          <w:tcPr>
            <w:tcW w:w="7743" w:type="dxa"/>
            <w:vAlign w:val="top"/>
          </w:tcPr>
          <w:p w14:paraId="0E59D3C1">
            <w:pPr>
              <w:spacing w:before="68" w:line="220" w:lineRule="auto"/>
              <w:ind w:left="124"/>
              <w:rPr>
                <w:rFonts w:ascii="宋体" w:hAnsi="宋体" w:eastAsia="宋体" w:cs="宋体"/>
                <w:sz w:val="21"/>
                <w:szCs w:val="21"/>
              </w:rPr>
            </w:pPr>
            <w:r>
              <w:rPr>
                <w:rFonts w:ascii="宋体" w:hAnsi="宋体" w:eastAsia="宋体" w:cs="宋体"/>
                <w:spacing w:val="-2"/>
                <w:sz w:val="21"/>
                <w:szCs w:val="21"/>
              </w:rPr>
              <w:t>1．支持自定义考试类型，考试类型可作为资质权限的约束条件。</w:t>
            </w:r>
          </w:p>
          <w:p w14:paraId="6C291586">
            <w:pPr>
              <w:spacing w:before="92" w:line="261" w:lineRule="auto"/>
              <w:ind w:left="119" w:right="102" w:hanging="8"/>
              <w:rPr>
                <w:rFonts w:ascii="宋体" w:hAnsi="宋体" w:eastAsia="宋体" w:cs="宋体"/>
                <w:sz w:val="21"/>
                <w:szCs w:val="21"/>
              </w:rPr>
            </w:pPr>
            <w:r>
              <w:rPr>
                <w:rFonts w:ascii="宋体" w:hAnsi="宋体" w:eastAsia="宋体" w:cs="宋体"/>
                <w:spacing w:val="2"/>
                <w:sz w:val="21"/>
                <w:szCs w:val="21"/>
              </w:rPr>
              <w:t>2．特定考试类型下，支持设置考试场次，包括考试时间、</w:t>
            </w:r>
            <w:r>
              <w:rPr>
                <w:rFonts w:ascii="宋体" w:hAnsi="宋体" w:eastAsia="宋体" w:cs="宋体"/>
                <w:spacing w:val="1"/>
                <w:sz w:val="21"/>
                <w:szCs w:val="21"/>
              </w:rPr>
              <w:t>合格判定方式、考试地</w:t>
            </w:r>
            <w:r>
              <w:rPr>
                <w:rFonts w:ascii="宋体" w:hAnsi="宋体" w:eastAsia="宋体" w:cs="宋体"/>
                <w:sz w:val="21"/>
                <w:szCs w:val="21"/>
              </w:rPr>
              <w:t xml:space="preserve"> </w:t>
            </w:r>
            <w:r>
              <w:rPr>
                <w:rFonts w:ascii="宋体" w:hAnsi="宋体" w:eastAsia="宋体" w:cs="宋体"/>
                <w:spacing w:val="-7"/>
                <w:sz w:val="21"/>
                <w:szCs w:val="21"/>
              </w:rPr>
              <w:t>点、组织单位。</w:t>
            </w:r>
          </w:p>
          <w:p w14:paraId="53626CC8">
            <w:pPr>
              <w:spacing w:before="91" w:line="220" w:lineRule="auto"/>
              <w:ind w:left="113"/>
              <w:rPr>
                <w:rFonts w:ascii="宋体" w:hAnsi="宋体" w:eastAsia="宋体" w:cs="宋体"/>
                <w:sz w:val="21"/>
                <w:szCs w:val="21"/>
              </w:rPr>
            </w:pPr>
            <w:r>
              <w:rPr>
                <w:rFonts w:ascii="宋体" w:hAnsi="宋体" w:eastAsia="宋体" w:cs="宋体"/>
                <w:spacing w:val="-2"/>
                <w:sz w:val="21"/>
                <w:szCs w:val="21"/>
              </w:rPr>
              <w:t>3．集中查询及登记考试记录，包括参考人员、考试名称、得分。</w:t>
            </w:r>
          </w:p>
        </w:tc>
      </w:tr>
      <w:tr w14:paraId="3959B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5" w:hRule="atLeast"/>
        </w:trPr>
        <w:tc>
          <w:tcPr>
            <w:tcW w:w="783" w:type="dxa"/>
            <w:vAlign w:val="top"/>
          </w:tcPr>
          <w:p w14:paraId="6A956E56">
            <w:pPr>
              <w:spacing w:line="289" w:lineRule="auto"/>
              <w:rPr>
                <w:rFonts w:ascii="Arial"/>
                <w:sz w:val="21"/>
              </w:rPr>
            </w:pPr>
          </w:p>
          <w:p w14:paraId="07B64927">
            <w:pPr>
              <w:spacing w:line="290" w:lineRule="auto"/>
              <w:rPr>
                <w:rFonts w:ascii="Arial"/>
                <w:sz w:val="21"/>
              </w:rPr>
            </w:pPr>
          </w:p>
          <w:p w14:paraId="11ECB230">
            <w:pPr>
              <w:spacing w:line="290" w:lineRule="auto"/>
              <w:rPr>
                <w:rFonts w:ascii="Arial"/>
                <w:sz w:val="21"/>
              </w:rPr>
            </w:pPr>
          </w:p>
          <w:p w14:paraId="373C3237">
            <w:pPr>
              <w:spacing w:before="78" w:line="181" w:lineRule="auto"/>
              <w:ind w:left="337"/>
              <w:rPr>
                <w:rFonts w:ascii="宋体" w:hAnsi="宋体" w:eastAsia="宋体" w:cs="宋体"/>
                <w:sz w:val="24"/>
                <w:szCs w:val="24"/>
              </w:rPr>
            </w:pPr>
            <w:r>
              <w:rPr>
                <w:rFonts w:ascii="宋体" w:hAnsi="宋体" w:eastAsia="宋体" w:cs="宋体"/>
                <w:sz w:val="24"/>
                <w:szCs w:val="24"/>
              </w:rPr>
              <w:t>9</w:t>
            </w:r>
          </w:p>
        </w:tc>
        <w:tc>
          <w:tcPr>
            <w:tcW w:w="1273" w:type="dxa"/>
            <w:vAlign w:val="top"/>
          </w:tcPr>
          <w:p w14:paraId="0ED194AC">
            <w:pPr>
              <w:spacing w:line="276" w:lineRule="auto"/>
              <w:rPr>
                <w:rFonts w:ascii="Arial"/>
                <w:sz w:val="21"/>
              </w:rPr>
            </w:pPr>
          </w:p>
          <w:p w14:paraId="031DDFF3">
            <w:pPr>
              <w:spacing w:line="276" w:lineRule="auto"/>
              <w:rPr>
                <w:rFonts w:ascii="Arial"/>
                <w:sz w:val="21"/>
              </w:rPr>
            </w:pPr>
          </w:p>
          <w:p w14:paraId="19E34CC4">
            <w:pPr>
              <w:spacing w:line="276" w:lineRule="auto"/>
              <w:rPr>
                <w:rFonts w:ascii="Arial"/>
                <w:sz w:val="21"/>
              </w:rPr>
            </w:pPr>
          </w:p>
          <w:p w14:paraId="1143DDE6">
            <w:pPr>
              <w:spacing w:before="78" w:line="220" w:lineRule="auto"/>
              <w:ind w:left="109"/>
              <w:rPr>
                <w:rFonts w:ascii="宋体" w:hAnsi="宋体" w:eastAsia="宋体" w:cs="宋体"/>
                <w:sz w:val="24"/>
                <w:szCs w:val="24"/>
              </w:rPr>
            </w:pPr>
            <w:r>
              <w:rPr>
                <w:rFonts w:ascii="宋体" w:hAnsi="宋体" w:eastAsia="宋体" w:cs="宋体"/>
                <w:spacing w:val="-2"/>
                <w:sz w:val="24"/>
                <w:szCs w:val="24"/>
              </w:rPr>
              <w:t>档案分析</w:t>
            </w:r>
          </w:p>
        </w:tc>
        <w:tc>
          <w:tcPr>
            <w:tcW w:w="7743" w:type="dxa"/>
            <w:vAlign w:val="top"/>
          </w:tcPr>
          <w:p w14:paraId="4C5A629C">
            <w:pPr>
              <w:spacing w:before="69" w:line="274" w:lineRule="auto"/>
              <w:ind w:left="110" w:right="102" w:firstLine="14"/>
              <w:rPr>
                <w:rFonts w:ascii="宋体" w:hAnsi="宋体" w:eastAsia="宋体" w:cs="宋体"/>
                <w:sz w:val="21"/>
                <w:szCs w:val="21"/>
              </w:rPr>
            </w:pPr>
            <w:r>
              <w:rPr>
                <w:rFonts w:ascii="宋体" w:hAnsi="宋体" w:eastAsia="宋体" w:cs="宋体"/>
                <w:spacing w:val="1"/>
                <w:sz w:val="21"/>
                <w:szCs w:val="21"/>
              </w:rPr>
              <w:t>1．分院区统计医院人力资源相关情况，包括医疗技术人员数量、副高以上职称人</w:t>
            </w:r>
            <w:r>
              <w:rPr>
                <w:rFonts w:ascii="宋体" w:hAnsi="宋体" w:eastAsia="宋体" w:cs="宋体"/>
                <w:spacing w:val="13"/>
                <w:sz w:val="21"/>
                <w:szCs w:val="21"/>
              </w:rPr>
              <w:t xml:space="preserve"> </w:t>
            </w:r>
            <w:r>
              <w:rPr>
                <w:rFonts w:ascii="宋体" w:hAnsi="宋体" w:eastAsia="宋体" w:cs="宋体"/>
                <w:spacing w:val="-1"/>
                <w:sz w:val="21"/>
                <w:szCs w:val="21"/>
              </w:rPr>
              <w:t>数、论文数、外出进修人数、外聘专家人数、人员性质分布、人员科室</w:t>
            </w:r>
            <w:r>
              <w:rPr>
                <w:rFonts w:ascii="宋体" w:hAnsi="宋体" w:eastAsia="宋体" w:cs="宋体"/>
                <w:spacing w:val="-2"/>
                <w:sz w:val="21"/>
                <w:szCs w:val="21"/>
              </w:rPr>
              <w:t>分布、医师</w:t>
            </w:r>
            <w:r>
              <w:rPr>
                <w:rFonts w:ascii="宋体" w:hAnsi="宋体" w:eastAsia="宋体" w:cs="宋体"/>
                <w:sz w:val="21"/>
                <w:szCs w:val="21"/>
              </w:rPr>
              <w:t xml:space="preserve"> </w:t>
            </w:r>
            <w:r>
              <w:rPr>
                <w:rFonts w:ascii="宋体" w:hAnsi="宋体" w:eastAsia="宋体" w:cs="宋体"/>
                <w:spacing w:val="-4"/>
                <w:sz w:val="21"/>
                <w:szCs w:val="21"/>
              </w:rPr>
              <w:t>职称构成、医师年龄构成。</w:t>
            </w:r>
          </w:p>
          <w:p w14:paraId="5DD060DB">
            <w:pPr>
              <w:spacing w:before="94" w:line="274" w:lineRule="auto"/>
              <w:ind w:left="109" w:right="102" w:firstLine="2"/>
              <w:rPr>
                <w:rFonts w:ascii="宋体" w:hAnsi="宋体" w:eastAsia="宋体" w:cs="宋体"/>
                <w:sz w:val="21"/>
                <w:szCs w:val="21"/>
              </w:rPr>
            </w:pPr>
            <w:r>
              <w:rPr>
                <w:rFonts w:ascii="宋体" w:hAnsi="宋体" w:eastAsia="宋体" w:cs="宋体"/>
                <w:spacing w:val="2"/>
                <w:sz w:val="21"/>
                <w:szCs w:val="21"/>
              </w:rPr>
              <w:t>2．放射人员分析包含放射工作人员人数、体检人次、剂量</w:t>
            </w:r>
            <w:r>
              <w:rPr>
                <w:rFonts w:ascii="宋体" w:hAnsi="宋体" w:eastAsia="宋体" w:cs="宋体"/>
                <w:spacing w:val="1"/>
                <w:sz w:val="21"/>
                <w:szCs w:val="21"/>
              </w:rPr>
              <w:t>计登记人次、异常剂量</w:t>
            </w:r>
            <w:r>
              <w:rPr>
                <w:rFonts w:ascii="宋体" w:hAnsi="宋体" w:eastAsia="宋体" w:cs="宋体"/>
                <w:sz w:val="21"/>
                <w:szCs w:val="21"/>
              </w:rPr>
              <w:t xml:space="preserve"> </w:t>
            </w:r>
            <w:r>
              <w:rPr>
                <w:rFonts w:ascii="宋体" w:hAnsi="宋体" w:eastAsia="宋体" w:cs="宋体"/>
                <w:spacing w:val="-1"/>
                <w:sz w:val="21"/>
                <w:szCs w:val="21"/>
              </w:rPr>
              <w:t>人员数、放射工作人员科室分布、从事放射工作时长分布、照射种类、累</w:t>
            </w:r>
            <w:r>
              <w:rPr>
                <w:rFonts w:ascii="宋体" w:hAnsi="宋体" w:eastAsia="宋体" w:cs="宋体"/>
                <w:spacing w:val="-2"/>
                <w:sz w:val="21"/>
                <w:szCs w:val="21"/>
              </w:rPr>
              <w:t>计受照剂</w:t>
            </w:r>
            <w:r>
              <w:rPr>
                <w:rFonts w:ascii="宋体" w:hAnsi="宋体" w:eastAsia="宋体" w:cs="宋体"/>
                <w:sz w:val="21"/>
                <w:szCs w:val="21"/>
              </w:rPr>
              <w:t xml:space="preserve"> </w:t>
            </w:r>
            <w:r>
              <w:rPr>
                <w:rFonts w:ascii="宋体" w:hAnsi="宋体" w:eastAsia="宋体" w:cs="宋体"/>
                <w:spacing w:val="-4"/>
                <w:sz w:val="21"/>
                <w:szCs w:val="21"/>
              </w:rPr>
              <w:t>量人员</w:t>
            </w:r>
            <w:r>
              <w:rPr>
                <w:rFonts w:ascii="宋体" w:hAnsi="宋体" w:eastAsia="宋体" w:cs="宋体"/>
                <w:spacing w:val="-46"/>
                <w:sz w:val="21"/>
                <w:szCs w:val="21"/>
              </w:rPr>
              <w:t xml:space="preserve"> </w:t>
            </w:r>
            <w:r>
              <w:rPr>
                <w:rFonts w:ascii="宋体" w:hAnsi="宋体" w:eastAsia="宋体" w:cs="宋体"/>
                <w:spacing w:val="-4"/>
                <w:sz w:val="21"/>
                <w:szCs w:val="21"/>
              </w:rPr>
              <w:t>TOP10。</w:t>
            </w:r>
          </w:p>
        </w:tc>
      </w:tr>
      <w:tr w14:paraId="120F5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799" w:type="dxa"/>
            <w:gridSpan w:val="3"/>
            <w:vAlign w:val="top"/>
          </w:tcPr>
          <w:p w14:paraId="5E58D83E">
            <w:pPr>
              <w:spacing w:before="182" w:line="220" w:lineRule="auto"/>
              <w:ind w:left="4223"/>
              <w:rPr>
                <w:rFonts w:ascii="宋体" w:hAnsi="宋体" w:eastAsia="宋体" w:cs="宋体"/>
                <w:sz w:val="24"/>
                <w:szCs w:val="24"/>
              </w:rPr>
            </w:pPr>
            <w:r>
              <w:rPr>
                <w:rFonts w:ascii="宋体" w:hAnsi="宋体" w:eastAsia="宋体" w:cs="宋体"/>
                <w:b/>
                <w:bCs/>
                <w:spacing w:val="-10"/>
                <w:sz w:val="24"/>
                <w:szCs w:val="24"/>
              </w:rPr>
              <w:t>(三)医务督查</w:t>
            </w:r>
          </w:p>
        </w:tc>
      </w:tr>
      <w:tr w14:paraId="350A5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783" w:type="dxa"/>
            <w:vAlign w:val="top"/>
          </w:tcPr>
          <w:p w14:paraId="2264CB5D">
            <w:pPr>
              <w:spacing w:line="245" w:lineRule="auto"/>
              <w:rPr>
                <w:rFonts w:ascii="Arial"/>
                <w:sz w:val="21"/>
              </w:rPr>
            </w:pPr>
          </w:p>
          <w:p w14:paraId="323B740D">
            <w:pPr>
              <w:spacing w:line="246" w:lineRule="auto"/>
              <w:rPr>
                <w:rFonts w:ascii="Arial"/>
                <w:sz w:val="21"/>
              </w:rPr>
            </w:pPr>
          </w:p>
          <w:p w14:paraId="60E8B3DA">
            <w:pPr>
              <w:spacing w:line="246" w:lineRule="auto"/>
              <w:rPr>
                <w:rFonts w:ascii="Arial"/>
                <w:sz w:val="21"/>
              </w:rPr>
            </w:pPr>
          </w:p>
          <w:p w14:paraId="0A99164E">
            <w:pPr>
              <w:spacing w:before="78" w:line="182" w:lineRule="auto"/>
              <w:ind w:left="354"/>
              <w:rPr>
                <w:rFonts w:ascii="宋体" w:hAnsi="宋体" w:eastAsia="宋体" w:cs="宋体"/>
                <w:sz w:val="24"/>
                <w:szCs w:val="24"/>
              </w:rPr>
            </w:pPr>
            <w:r>
              <w:rPr>
                <w:rFonts w:ascii="宋体" w:hAnsi="宋体" w:eastAsia="宋体" w:cs="宋体"/>
                <w:sz w:val="24"/>
                <w:szCs w:val="24"/>
              </w:rPr>
              <w:t>1</w:t>
            </w:r>
          </w:p>
        </w:tc>
        <w:tc>
          <w:tcPr>
            <w:tcW w:w="1273" w:type="dxa"/>
            <w:vAlign w:val="top"/>
          </w:tcPr>
          <w:p w14:paraId="497B2CFA">
            <w:pPr>
              <w:spacing w:line="349" w:lineRule="auto"/>
              <w:rPr>
                <w:rFonts w:ascii="Arial"/>
                <w:sz w:val="21"/>
              </w:rPr>
            </w:pPr>
          </w:p>
          <w:p w14:paraId="13E2093E">
            <w:pPr>
              <w:spacing w:line="349" w:lineRule="auto"/>
              <w:rPr>
                <w:rFonts w:ascii="Arial"/>
                <w:sz w:val="21"/>
              </w:rPr>
            </w:pPr>
          </w:p>
          <w:p w14:paraId="29873716">
            <w:pPr>
              <w:spacing w:before="78" w:line="220" w:lineRule="auto"/>
              <w:ind w:left="113"/>
              <w:rPr>
                <w:rFonts w:ascii="宋体" w:hAnsi="宋体" w:eastAsia="宋体" w:cs="宋体"/>
                <w:sz w:val="24"/>
                <w:szCs w:val="24"/>
              </w:rPr>
            </w:pPr>
            <w:r>
              <w:rPr>
                <w:rFonts w:ascii="宋体" w:hAnsi="宋体" w:eastAsia="宋体" w:cs="宋体"/>
                <w:spacing w:val="-3"/>
                <w:sz w:val="24"/>
                <w:szCs w:val="24"/>
              </w:rPr>
              <w:t>督查表单</w:t>
            </w:r>
          </w:p>
        </w:tc>
        <w:tc>
          <w:tcPr>
            <w:tcW w:w="7743" w:type="dxa"/>
            <w:vAlign w:val="top"/>
          </w:tcPr>
          <w:p w14:paraId="65628142">
            <w:pPr>
              <w:spacing w:before="40" w:line="220" w:lineRule="auto"/>
              <w:ind w:left="128"/>
              <w:rPr>
                <w:rFonts w:ascii="宋体" w:hAnsi="宋体" w:eastAsia="宋体" w:cs="宋体"/>
                <w:sz w:val="24"/>
                <w:szCs w:val="24"/>
              </w:rPr>
            </w:pPr>
            <w:r>
              <w:rPr>
                <w:rFonts w:ascii="宋体" w:hAnsi="宋体" w:eastAsia="宋体" w:cs="宋体"/>
                <w:spacing w:val="-3"/>
                <w:sz w:val="24"/>
                <w:szCs w:val="24"/>
              </w:rPr>
              <w:t>1．支持集中统一设计、审核及查询督查表单。</w:t>
            </w:r>
          </w:p>
          <w:p w14:paraId="5D477957">
            <w:pPr>
              <w:spacing w:before="71" w:line="248" w:lineRule="auto"/>
              <w:ind w:left="113" w:right="101"/>
              <w:rPr>
                <w:rFonts w:ascii="宋体" w:hAnsi="宋体" w:eastAsia="宋体" w:cs="宋体"/>
                <w:sz w:val="24"/>
                <w:szCs w:val="24"/>
              </w:rPr>
            </w:pPr>
            <w:r>
              <w:rPr>
                <w:rFonts w:ascii="宋体" w:hAnsi="宋体" w:eastAsia="宋体" w:cs="宋体"/>
                <w:spacing w:val="-1"/>
                <w:sz w:val="24"/>
                <w:szCs w:val="24"/>
              </w:rPr>
              <w:t>2．根据医院需求自行定义本院使用的督查表</w:t>
            </w:r>
            <w:r>
              <w:rPr>
                <w:rFonts w:ascii="宋体" w:hAnsi="宋体" w:eastAsia="宋体" w:cs="宋体"/>
                <w:spacing w:val="-2"/>
                <w:sz w:val="24"/>
                <w:szCs w:val="24"/>
              </w:rPr>
              <w:t>单格式，支持使用指标库管</w:t>
            </w:r>
            <w:r>
              <w:rPr>
                <w:rFonts w:ascii="宋体" w:hAnsi="宋体" w:eastAsia="宋体" w:cs="宋体"/>
                <w:sz w:val="24"/>
                <w:szCs w:val="24"/>
              </w:rPr>
              <w:t xml:space="preserve"> </w:t>
            </w:r>
            <w:r>
              <w:rPr>
                <w:rFonts w:ascii="宋体" w:hAnsi="宋体" w:eastAsia="宋体" w:cs="宋体"/>
                <w:spacing w:val="-3"/>
                <w:sz w:val="24"/>
                <w:szCs w:val="24"/>
              </w:rPr>
              <w:t>理系统中定义的指标作为表单项目。</w:t>
            </w:r>
          </w:p>
          <w:p w14:paraId="7B7922DA">
            <w:pPr>
              <w:spacing w:before="70" w:line="220" w:lineRule="auto"/>
              <w:ind w:left="115"/>
              <w:rPr>
                <w:rFonts w:ascii="宋体" w:hAnsi="宋体" w:eastAsia="宋体" w:cs="宋体"/>
                <w:sz w:val="24"/>
                <w:szCs w:val="24"/>
              </w:rPr>
            </w:pPr>
            <w:r>
              <w:rPr>
                <w:rFonts w:ascii="宋体" w:hAnsi="宋体" w:eastAsia="宋体" w:cs="宋体"/>
                <w:spacing w:val="-2"/>
                <w:sz w:val="24"/>
                <w:szCs w:val="24"/>
              </w:rPr>
              <w:t>3．督查表单项目可支持后台设计的其他自定义表单嵌入作为督查项目。</w:t>
            </w:r>
          </w:p>
          <w:p w14:paraId="45BD48CE">
            <w:pPr>
              <w:spacing w:before="72" w:line="220" w:lineRule="auto"/>
              <w:ind w:left="109"/>
              <w:rPr>
                <w:rFonts w:ascii="宋体" w:hAnsi="宋体" w:eastAsia="宋体" w:cs="宋体"/>
                <w:sz w:val="24"/>
                <w:szCs w:val="24"/>
              </w:rPr>
            </w:pPr>
            <w:r>
              <w:rPr>
                <w:rFonts w:ascii="宋体" w:hAnsi="宋体" w:eastAsia="宋体" w:cs="宋体"/>
                <w:spacing w:val="-1"/>
                <w:sz w:val="24"/>
                <w:szCs w:val="24"/>
              </w:rPr>
              <w:t>4．督查表单位项目可定义结果判断方式、分值计算方</w:t>
            </w:r>
            <w:r>
              <w:rPr>
                <w:rFonts w:ascii="宋体" w:hAnsi="宋体" w:eastAsia="宋体" w:cs="宋体"/>
                <w:spacing w:val="-2"/>
                <w:sz w:val="24"/>
                <w:szCs w:val="24"/>
              </w:rPr>
              <w:t>式、项目总分、得</w:t>
            </w:r>
          </w:p>
        </w:tc>
      </w:tr>
    </w:tbl>
    <w:p w14:paraId="6502179F">
      <w:pPr>
        <w:pStyle w:val="2"/>
        <w:spacing w:line="443" w:lineRule="auto"/>
      </w:pPr>
    </w:p>
    <w:p w14:paraId="46EE7C09">
      <w:pPr>
        <w:spacing w:before="62" w:line="209" w:lineRule="auto"/>
        <w:ind w:left="148"/>
        <w:rPr>
          <w:rFonts w:ascii="宋体" w:hAnsi="宋体" w:eastAsia="宋体" w:cs="宋体"/>
          <w:sz w:val="19"/>
          <w:szCs w:val="19"/>
        </w:rPr>
      </w:pPr>
      <w:r>
        <w:pict>
          <v:shape id="_x0000_s1044" o:spid="_x0000_s1044" style="position:absolute;left:0pt;margin-left:1.95pt;margin-top:11.85pt;height:0.75pt;width:494pt;z-index:251688960;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2"/>
          <w:position w:val="1"/>
          <w:sz w:val="18"/>
          <w:szCs w:val="18"/>
        </w:rPr>
        <w:t xml:space="preserve">24                          </w:t>
      </w:r>
      <w:r>
        <w:rPr>
          <w:rFonts w:ascii="Times New Roman" w:hAnsi="Times New Roman" w:eastAsia="Times New Roman" w:cs="Times New Roman"/>
          <w:spacing w:val="-3"/>
          <w:position w:val="1"/>
          <w:sz w:val="18"/>
          <w:szCs w:val="18"/>
        </w:rPr>
        <w:t xml:space="preserve">     </w:t>
      </w:r>
      <w:r>
        <w:rPr>
          <w:rFonts w:ascii="宋体" w:hAnsi="宋体" w:eastAsia="宋体" w:cs="宋体"/>
          <w:b/>
          <w:bCs/>
          <w:i/>
          <w:iCs/>
          <w:spacing w:val="-3"/>
          <w:sz w:val="19"/>
          <w:szCs w:val="19"/>
        </w:rPr>
        <w:t>伊犁州公共资源交易中心</w:t>
      </w:r>
    </w:p>
    <w:p w14:paraId="422E2819">
      <w:pPr>
        <w:spacing w:line="209" w:lineRule="auto"/>
        <w:rPr>
          <w:rFonts w:ascii="宋体" w:hAnsi="宋体" w:eastAsia="宋体" w:cs="宋体"/>
          <w:sz w:val="19"/>
          <w:szCs w:val="19"/>
        </w:rPr>
        <w:sectPr>
          <w:pgSz w:w="11905" w:h="16839"/>
          <w:pgMar w:top="1136" w:right="830" w:bottom="400" w:left="1126" w:header="854" w:footer="0" w:gutter="0"/>
          <w:cols w:space="720" w:num="1"/>
        </w:sectPr>
      </w:pPr>
    </w:p>
    <w:p w14:paraId="285FF73E">
      <w:pPr>
        <w:spacing w:before="38"/>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3"/>
        <w:gridCol w:w="7743"/>
      </w:tblGrid>
      <w:tr w14:paraId="183BC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3" w:type="dxa"/>
            <w:vAlign w:val="top"/>
          </w:tcPr>
          <w:p w14:paraId="1566932B">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1F5C82E0">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1006F96E">
            <w:pPr>
              <w:spacing w:before="179"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25507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1" w:hRule="atLeast"/>
        </w:trPr>
        <w:tc>
          <w:tcPr>
            <w:tcW w:w="783" w:type="dxa"/>
            <w:vAlign w:val="top"/>
          </w:tcPr>
          <w:p w14:paraId="2D9E55AD">
            <w:pPr>
              <w:rPr>
                <w:rFonts w:ascii="Arial"/>
                <w:sz w:val="21"/>
              </w:rPr>
            </w:pPr>
          </w:p>
        </w:tc>
        <w:tc>
          <w:tcPr>
            <w:tcW w:w="1273" w:type="dxa"/>
            <w:vAlign w:val="top"/>
          </w:tcPr>
          <w:p w14:paraId="1D711C09">
            <w:pPr>
              <w:rPr>
                <w:rFonts w:ascii="Arial"/>
                <w:sz w:val="21"/>
              </w:rPr>
            </w:pPr>
          </w:p>
        </w:tc>
        <w:tc>
          <w:tcPr>
            <w:tcW w:w="7743" w:type="dxa"/>
            <w:vAlign w:val="top"/>
          </w:tcPr>
          <w:p w14:paraId="506C8E3B">
            <w:pPr>
              <w:spacing w:before="32" w:line="220" w:lineRule="auto"/>
              <w:ind w:left="113"/>
              <w:rPr>
                <w:rFonts w:ascii="宋体" w:hAnsi="宋体" w:eastAsia="宋体" w:cs="宋体"/>
                <w:sz w:val="24"/>
                <w:szCs w:val="24"/>
              </w:rPr>
            </w:pPr>
            <w:r>
              <w:rPr>
                <w:rFonts w:ascii="宋体" w:hAnsi="宋体" w:eastAsia="宋体" w:cs="宋体"/>
                <w:spacing w:val="-12"/>
                <w:sz w:val="24"/>
                <w:szCs w:val="24"/>
              </w:rPr>
              <w:t>分。</w:t>
            </w:r>
          </w:p>
          <w:p w14:paraId="7A3744F3">
            <w:pPr>
              <w:spacing w:before="70" w:line="220" w:lineRule="auto"/>
              <w:ind w:left="115"/>
              <w:rPr>
                <w:rFonts w:ascii="宋体" w:hAnsi="宋体" w:eastAsia="宋体" w:cs="宋体"/>
                <w:sz w:val="24"/>
                <w:szCs w:val="24"/>
              </w:rPr>
            </w:pPr>
            <w:r>
              <w:rPr>
                <w:rFonts w:ascii="宋体" w:hAnsi="宋体" w:eastAsia="宋体" w:cs="宋体"/>
                <w:spacing w:val="-3"/>
                <w:sz w:val="24"/>
                <w:szCs w:val="24"/>
              </w:rPr>
              <w:t>5．支持自定义督查项目与子项目的分值。</w:t>
            </w:r>
          </w:p>
          <w:p w14:paraId="43C968CA">
            <w:pPr>
              <w:spacing w:before="71" w:line="220" w:lineRule="auto"/>
              <w:ind w:left="112"/>
              <w:rPr>
                <w:rFonts w:ascii="宋体" w:hAnsi="宋体" w:eastAsia="宋体" w:cs="宋体"/>
                <w:sz w:val="24"/>
                <w:szCs w:val="24"/>
              </w:rPr>
            </w:pPr>
            <w:r>
              <w:rPr>
                <w:rFonts w:ascii="宋体" w:hAnsi="宋体" w:eastAsia="宋体" w:cs="宋体"/>
                <w:spacing w:val="-3"/>
                <w:sz w:val="24"/>
                <w:szCs w:val="24"/>
              </w:rPr>
              <w:t>6．支持指定子项目是否为必须达标项。</w:t>
            </w:r>
          </w:p>
          <w:p w14:paraId="1D7424D7">
            <w:pPr>
              <w:spacing w:before="74" w:line="247" w:lineRule="auto"/>
              <w:ind w:left="114" w:right="102" w:firstLine="1"/>
              <w:rPr>
                <w:rFonts w:ascii="宋体" w:hAnsi="宋体" w:eastAsia="宋体" w:cs="宋体"/>
                <w:sz w:val="24"/>
                <w:szCs w:val="24"/>
              </w:rPr>
            </w:pPr>
            <w:r>
              <w:rPr>
                <w:rFonts w:ascii="宋体" w:hAnsi="宋体" w:eastAsia="宋体" w:cs="宋体"/>
                <w:spacing w:val="-2"/>
                <w:sz w:val="24"/>
                <w:szCs w:val="24"/>
              </w:rPr>
              <w:t>7．支持定义多种督查项目计分方式，支持合格项累积计分、不合格项逐</w:t>
            </w:r>
            <w:r>
              <w:rPr>
                <w:rFonts w:ascii="宋体" w:hAnsi="宋体" w:eastAsia="宋体" w:cs="宋体"/>
                <w:spacing w:val="17"/>
                <w:sz w:val="24"/>
                <w:szCs w:val="24"/>
              </w:rPr>
              <w:t xml:space="preserve"> </w:t>
            </w:r>
            <w:r>
              <w:rPr>
                <w:rFonts w:ascii="宋体" w:hAnsi="宋体" w:eastAsia="宋体" w:cs="宋体"/>
                <w:spacing w:val="-5"/>
                <w:sz w:val="24"/>
                <w:szCs w:val="24"/>
              </w:rPr>
              <w:t>项扣减的计算方式。</w:t>
            </w:r>
          </w:p>
          <w:p w14:paraId="4734DBF0">
            <w:pPr>
              <w:spacing w:before="72" w:line="248" w:lineRule="auto"/>
              <w:ind w:left="111" w:right="101"/>
              <w:rPr>
                <w:rFonts w:ascii="宋体" w:hAnsi="宋体" w:eastAsia="宋体" w:cs="宋体"/>
                <w:sz w:val="24"/>
                <w:szCs w:val="24"/>
              </w:rPr>
            </w:pPr>
            <w:r>
              <w:rPr>
                <w:rFonts w:ascii="宋体" w:hAnsi="宋体" w:eastAsia="宋体" w:cs="宋体"/>
                <w:spacing w:val="-1"/>
                <w:sz w:val="24"/>
                <w:szCs w:val="24"/>
              </w:rPr>
              <w:t>8．设计状态下支持树形模式分组显示各表单项目</w:t>
            </w:r>
            <w:r>
              <w:rPr>
                <w:rFonts w:ascii="宋体" w:hAnsi="宋体" w:eastAsia="宋体" w:cs="宋体"/>
                <w:spacing w:val="-2"/>
                <w:sz w:val="24"/>
                <w:szCs w:val="24"/>
              </w:rPr>
              <w:t>，可调整各表单项目的</w:t>
            </w:r>
            <w:r>
              <w:rPr>
                <w:rFonts w:ascii="宋体" w:hAnsi="宋体" w:eastAsia="宋体" w:cs="宋体"/>
                <w:sz w:val="24"/>
                <w:szCs w:val="24"/>
              </w:rPr>
              <w:t xml:space="preserve"> </w:t>
            </w:r>
            <w:r>
              <w:rPr>
                <w:rFonts w:ascii="宋体" w:hAnsi="宋体" w:eastAsia="宋体" w:cs="宋体"/>
                <w:spacing w:val="-3"/>
                <w:sz w:val="24"/>
                <w:szCs w:val="24"/>
              </w:rPr>
              <w:t>顺序 。</w:t>
            </w:r>
          </w:p>
          <w:p w14:paraId="1DCABE8E">
            <w:pPr>
              <w:spacing w:before="71" w:line="220" w:lineRule="auto"/>
              <w:ind w:left="111"/>
              <w:rPr>
                <w:rFonts w:ascii="宋体" w:hAnsi="宋体" w:eastAsia="宋体" w:cs="宋体"/>
                <w:sz w:val="24"/>
                <w:szCs w:val="24"/>
              </w:rPr>
            </w:pPr>
            <w:r>
              <w:rPr>
                <w:rFonts w:ascii="宋体" w:hAnsi="宋体" w:eastAsia="宋体" w:cs="宋体"/>
                <w:spacing w:val="-2"/>
                <w:sz w:val="24"/>
                <w:szCs w:val="24"/>
              </w:rPr>
              <w:t>9．设计状态下支持还原（放弃）保存之前的所有修改操作。</w:t>
            </w:r>
          </w:p>
        </w:tc>
      </w:tr>
      <w:tr w14:paraId="55F3E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783" w:type="dxa"/>
            <w:vAlign w:val="top"/>
          </w:tcPr>
          <w:p w14:paraId="50747EA7">
            <w:pPr>
              <w:spacing w:before="277" w:line="181" w:lineRule="auto"/>
              <w:ind w:left="339"/>
              <w:rPr>
                <w:rFonts w:ascii="宋体" w:hAnsi="宋体" w:eastAsia="宋体" w:cs="宋体"/>
                <w:sz w:val="24"/>
                <w:szCs w:val="24"/>
              </w:rPr>
            </w:pPr>
            <w:r>
              <w:rPr>
                <w:rFonts w:ascii="宋体" w:hAnsi="宋体" w:eastAsia="宋体" w:cs="宋体"/>
                <w:sz w:val="24"/>
                <w:szCs w:val="24"/>
              </w:rPr>
              <w:t>2</w:t>
            </w:r>
          </w:p>
        </w:tc>
        <w:tc>
          <w:tcPr>
            <w:tcW w:w="1273" w:type="dxa"/>
            <w:vAlign w:val="top"/>
          </w:tcPr>
          <w:p w14:paraId="318505AD">
            <w:pPr>
              <w:spacing w:before="237" w:line="221" w:lineRule="auto"/>
              <w:ind w:left="113"/>
              <w:rPr>
                <w:rFonts w:ascii="宋体" w:hAnsi="宋体" w:eastAsia="宋体" w:cs="宋体"/>
                <w:sz w:val="24"/>
                <w:szCs w:val="24"/>
              </w:rPr>
            </w:pPr>
            <w:r>
              <w:rPr>
                <w:rFonts w:ascii="宋体" w:hAnsi="宋体" w:eastAsia="宋体" w:cs="宋体"/>
                <w:spacing w:val="-3"/>
                <w:sz w:val="24"/>
                <w:szCs w:val="24"/>
              </w:rPr>
              <w:t>督查小组</w:t>
            </w:r>
          </w:p>
        </w:tc>
        <w:tc>
          <w:tcPr>
            <w:tcW w:w="7743" w:type="dxa"/>
            <w:vAlign w:val="top"/>
          </w:tcPr>
          <w:p w14:paraId="520C8E6D">
            <w:pPr>
              <w:spacing w:before="34" w:line="220" w:lineRule="auto"/>
              <w:ind w:left="128"/>
              <w:rPr>
                <w:rFonts w:ascii="宋体" w:hAnsi="宋体" w:eastAsia="宋体" w:cs="宋体"/>
                <w:sz w:val="24"/>
                <w:szCs w:val="24"/>
              </w:rPr>
            </w:pPr>
            <w:r>
              <w:rPr>
                <w:rFonts w:ascii="宋体" w:hAnsi="宋体" w:eastAsia="宋体" w:cs="宋体"/>
                <w:spacing w:val="-3"/>
                <w:sz w:val="24"/>
                <w:szCs w:val="24"/>
              </w:rPr>
              <w:t>1．集中统一管理督查专家小组，可添加或移除小组成员。</w:t>
            </w:r>
          </w:p>
          <w:p w14:paraId="7B61BC0A">
            <w:pPr>
              <w:spacing w:before="71" w:line="220" w:lineRule="auto"/>
              <w:ind w:left="113"/>
              <w:rPr>
                <w:rFonts w:ascii="宋体" w:hAnsi="宋体" w:eastAsia="宋体" w:cs="宋体"/>
                <w:sz w:val="24"/>
                <w:szCs w:val="24"/>
              </w:rPr>
            </w:pPr>
            <w:r>
              <w:rPr>
                <w:rFonts w:ascii="宋体" w:hAnsi="宋体" w:eastAsia="宋体" w:cs="宋体"/>
                <w:spacing w:val="-4"/>
                <w:sz w:val="24"/>
                <w:szCs w:val="24"/>
              </w:rPr>
              <w:t>2．支持批量移除小组成员。</w:t>
            </w:r>
          </w:p>
        </w:tc>
      </w:tr>
      <w:tr w14:paraId="029F0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4" w:hRule="atLeast"/>
        </w:trPr>
        <w:tc>
          <w:tcPr>
            <w:tcW w:w="783" w:type="dxa"/>
            <w:vAlign w:val="top"/>
          </w:tcPr>
          <w:p w14:paraId="32AB08CE">
            <w:pPr>
              <w:spacing w:line="257" w:lineRule="auto"/>
              <w:rPr>
                <w:rFonts w:ascii="Arial"/>
                <w:sz w:val="21"/>
              </w:rPr>
            </w:pPr>
          </w:p>
          <w:p w14:paraId="67995FD9">
            <w:pPr>
              <w:spacing w:line="257" w:lineRule="auto"/>
              <w:rPr>
                <w:rFonts w:ascii="Arial"/>
                <w:sz w:val="21"/>
              </w:rPr>
            </w:pPr>
          </w:p>
          <w:p w14:paraId="084794AB">
            <w:pPr>
              <w:spacing w:line="257" w:lineRule="auto"/>
              <w:rPr>
                <w:rFonts w:ascii="Arial"/>
                <w:sz w:val="21"/>
              </w:rPr>
            </w:pPr>
          </w:p>
          <w:p w14:paraId="419F3894">
            <w:pPr>
              <w:spacing w:line="257" w:lineRule="auto"/>
              <w:rPr>
                <w:rFonts w:ascii="Arial"/>
                <w:sz w:val="21"/>
              </w:rPr>
            </w:pPr>
          </w:p>
          <w:p w14:paraId="697B1240">
            <w:pPr>
              <w:spacing w:line="257" w:lineRule="auto"/>
              <w:rPr>
                <w:rFonts w:ascii="Arial"/>
                <w:sz w:val="21"/>
              </w:rPr>
            </w:pPr>
          </w:p>
          <w:p w14:paraId="5EDA3EAE">
            <w:pPr>
              <w:spacing w:line="257" w:lineRule="auto"/>
              <w:rPr>
                <w:rFonts w:ascii="Arial"/>
                <w:sz w:val="21"/>
              </w:rPr>
            </w:pPr>
          </w:p>
          <w:p w14:paraId="0BA7D2FE">
            <w:pPr>
              <w:spacing w:line="257" w:lineRule="auto"/>
              <w:rPr>
                <w:rFonts w:ascii="Arial"/>
                <w:sz w:val="21"/>
              </w:rPr>
            </w:pPr>
          </w:p>
          <w:p w14:paraId="1C9D0595">
            <w:pPr>
              <w:spacing w:before="78" w:line="181" w:lineRule="auto"/>
              <w:ind w:left="341"/>
              <w:rPr>
                <w:rFonts w:ascii="宋体" w:hAnsi="宋体" w:eastAsia="宋体" w:cs="宋体"/>
                <w:sz w:val="24"/>
                <w:szCs w:val="24"/>
              </w:rPr>
            </w:pPr>
            <w:r>
              <w:rPr>
                <w:rFonts w:ascii="宋体" w:hAnsi="宋体" w:eastAsia="宋体" w:cs="宋体"/>
                <w:sz w:val="24"/>
                <w:szCs w:val="24"/>
              </w:rPr>
              <w:t>3</w:t>
            </w:r>
          </w:p>
        </w:tc>
        <w:tc>
          <w:tcPr>
            <w:tcW w:w="1273" w:type="dxa"/>
            <w:vAlign w:val="top"/>
          </w:tcPr>
          <w:p w14:paraId="0E7B0C5B">
            <w:pPr>
              <w:spacing w:line="251" w:lineRule="auto"/>
              <w:rPr>
                <w:rFonts w:ascii="Arial"/>
                <w:sz w:val="21"/>
              </w:rPr>
            </w:pPr>
          </w:p>
          <w:p w14:paraId="2E5412E6">
            <w:pPr>
              <w:spacing w:line="251" w:lineRule="auto"/>
              <w:rPr>
                <w:rFonts w:ascii="Arial"/>
                <w:sz w:val="21"/>
              </w:rPr>
            </w:pPr>
          </w:p>
          <w:p w14:paraId="2B1693A7">
            <w:pPr>
              <w:spacing w:line="251" w:lineRule="auto"/>
              <w:rPr>
                <w:rFonts w:ascii="Arial"/>
                <w:sz w:val="21"/>
              </w:rPr>
            </w:pPr>
          </w:p>
          <w:p w14:paraId="35E89AA1">
            <w:pPr>
              <w:spacing w:line="251" w:lineRule="auto"/>
              <w:rPr>
                <w:rFonts w:ascii="Arial"/>
                <w:sz w:val="21"/>
              </w:rPr>
            </w:pPr>
          </w:p>
          <w:p w14:paraId="638185AF">
            <w:pPr>
              <w:spacing w:line="251" w:lineRule="auto"/>
              <w:rPr>
                <w:rFonts w:ascii="Arial"/>
                <w:sz w:val="21"/>
              </w:rPr>
            </w:pPr>
          </w:p>
          <w:p w14:paraId="3773AA0A">
            <w:pPr>
              <w:spacing w:line="251" w:lineRule="auto"/>
              <w:rPr>
                <w:rFonts w:ascii="Arial"/>
                <w:sz w:val="21"/>
              </w:rPr>
            </w:pPr>
          </w:p>
          <w:p w14:paraId="2A43B64B">
            <w:pPr>
              <w:spacing w:line="252" w:lineRule="auto"/>
              <w:rPr>
                <w:rFonts w:ascii="Arial"/>
                <w:sz w:val="21"/>
              </w:rPr>
            </w:pPr>
          </w:p>
          <w:p w14:paraId="577B757C">
            <w:pPr>
              <w:spacing w:before="78" w:line="220" w:lineRule="auto"/>
              <w:ind w:left="113"/>
              <w:rPr>
                <w:rFonts w:ascii="宋体" w:hAnsi="宋体" w:eastAsia="宋体" w:cs="宋体"/>
                <w:sz w:val="24"/>
                <w:szCs w:val="24"/>
              </w:rPr>
            </w:pPr>
            <w:r>
              <w:rPr>
                <w:rFonts w:ascii="宋体" w:hAnsi="宋体" w:eastAsia="宋体" w:cs="宋体"/>
                <w:spacing w:val="-3"/>
                <w:sz w:val="24"/>
                <w:szCs w:val="24"/>
              </w:rPr>
              <w:t>督查任务</w:t>
            </w:r>
          </w:p>
        </w:tc>
        <w:tc>
          <w:tcPr>
            <w:tcW w:w="7743" w:type="dxa"/>
            <w:vAlign w:val="top"/>
          </w:tcPr>
          <w:p w14:paraId="0CDC05C6">
            <w:pPr>
              <w:spacing w:before="34" w:line="220" w:lineRule="auto"/>
              <w:ind w:left="128"/>
              <w:rPr>
                <w:rFonts w:ascii="宋体" w:hAnsi="宋体" w:eastAsia="宋体" w:cs="宋体"/>
                <w:sz w:val="24"/>
                <w:szCs w:val="24"/>
              </w:rPr>
            </w:pPr>
            <w:r>
              <w:rPr>
                <w:rFonts w:ascii="宋体" w:hAnsi="宋体" w:eastAsia="宋体" w:cs="宋体"/>
                <w:spacing w:val="-2"/>
                <w:sz w:val="24"/>
                <w:szCs w:val="24"/>
              </w:rPr>
              <w:t>1．可新增、修改、查看督查任务，可删除未执行</w:t>
            </w:r>
            <w:r>
              <w:rPr>
                <w:rFonts w:ascii="宋体" w:hAnsi="宋体" w:eastAsia="宋体" w:cs="宋体"/>
                <w:spacing w:val="-3"/>
                <w:sz w:val="24"/>
                <w:szCs w:val="24"/>
              </w:rPr>
              <w:t>的督查任务。</w:t>
            </w:r>
          </w:p>
          <w:p w14:paraId="1C3C2327">
            <w:pPr>
              <w:spacing w:before="71" w:line="220" w:lineRule="auto"/>
              <w:ind w:left="113"/>
              <w:rPr>
                <w:rFonts w:ascii="宋体" w:hAnsi="宋体" w:eastAsia="宋体" w:cs="宋体"/>
                <w:sz w:val="24"/>
                <w:szCs w:val="24"/>
              </w:rPr>
            </w:pPr>
            <w:r>
              <w:rPr>
                <w:rFonts w:ascii="宋体" w:hAnsi="宋体" w:eastAsia="宋体" w:cs="宋体"/>
                <w:spacing w:val="-2"/>
                <w:sz w:val="24"/>
                <w:szCs w:val="24"/>
              </w:rPr>
              <w:t>2．支持病历督查，可以提前指定专家须督查的病历住院号列表。</w:t>
            </w:r>
          </w:p>
          <w:p w14:paraId="079D8EBF">
            <w:pPr>
              <w:spacing w:before="72" w:line="219" w:lineRule="auto"/>
              <w:ind w:left="115"/>
              <w:rPr>
                <w:rFonts w:ascii="宋体" w:hAnsi="宋体" w:eastAsia="宋体" w:cs="宋体"/>
                <w:sz w:val="24"/>
                <w:szCs w:val="24"/>
              </w:rPr>
            </w:pPr>
            <w:r>
              <w:rPr>
                <w:rFonts w:ascii="宋体" w:hAnsi="宋体" w:eastAsia="宋体" w:cs="宋体"/>
                <w:spacing w:val="-4"/>
                <w:sz w:val="24"/>
                <w:szCs w:val="24"/>
              </w:rPr>
              <w:t>3．支持设置科室自查。</w:t>
            </w:r>
          </w:p>
          <w:p w14:paraId="0FA3B8E9">
            <w:pPr>
              <w:spacing w:before="72" w:line="220" w:lineRule="auto"/>
              <w:ind w:left="109"/>
              <w:rPr>
                <w:rFonts w:ascii="宋体" w:hAnsi="宋体" w:eastAsia="宋体" w:cs="宋体"/>
                <w:sz w:val="24"/>
                <w:szCs w:val="24"/>
              </w:rPr>
            </w:pPr>
            <w:r>
              <w:rPr>
                <w:rFonts w:ascii="宋体" w:hAnsi="宋体" w:eastAsia="宋体" w:cs="宋体"/>
                <w:spacing w:val="-2"/>
                <w:sz w:val="24"/>
                <w:szCs w:val="24"/>
              </w:rPr>
              <w:t>4．可按生效日期、创建日期及状态检索督查任务。</w:t>
            </w:r>
          </w:p>
          <w:p w14:paraId="5D2E9DB2">
            <w:pPr>
              <w:spacing w:before="72" w:line="220" w:lineRule="auto"/>
              <w:ind w:left="115"/>
              <w:rPr>
                <w:rFonts w:ascii="宋体" w:hAnsi="宋体" w:eastAsia="宋体" w:cs="宋体"/>
                <w:sz w:val="24"/>
                <w:szCs w:val="24"/>
              </w:rPr>
            </w:pPr>
            <w:r>
              <w:rPr>
                <w:rFonts w:ascii="宋体" w:hAnsi="宋体" w:eastAsia="宋体" w:cs="宋体"/>
                <w:spacing w:val="-2"/>
                <w:sz w:val="24"/>
                <w:szCs w:val="24"/>
              </w:rPr>
              <w:t>5．例行督查任务可指定督查频次，包含周、月、季度及年度督查。</w:t>
            </w:r>
          </w:p>
          <w:p w14:paraId="21CCE31B">
            <w:pPr>
              <w:spacing w:before="72" w:line="220" w:lineRule="auto"/>
              <w:ind w:left="112"/>
              <w:rPr>
                <w:rFonts w:ascii="宋体" w:hAnsi="宋体" w:eastAsia="宋体" w:cs="宋体"/>
                <w:sz w:val="24"/>
                <w:szCs w:val="24"/>
              </w:rPr>
            </w:pPr>
            <w:r>
              <w:rPr>
                <w:rFonts w:ascii="宋体" w:hAnsi="宋体" w:eastAsia="宋体" w:cs="宋体"/>
                <w:spacing w:val="-2"/>
                <w:sz w:val="24"/>
                <w:szCs w:val="24"/>
              </w:rPr>
              <w:t>6．支持突击督查任务创建，包含执行时间、督查专家、督查表单。</w:t>
            </w:r>
          </w:p>
          <w:p w14:paraId="129F7288">
            <w:pPr>
              <w:spacing w:before="71" w:line="220" w:lineRule="auto"/>
              <w:ind w:left="116"/>
              <w:rPr>
                <w:rFonts w:ascii="宋体" w:hAnsi="宋体" w:eastAsia="宋体" w:cs="宋体"/>
                <w:sz w:val="24"/>
                <w:szCs w:val="24"/>
              </w:rPr>
            </w:pPr>
            <w:r>
              <w:rPr>
                <w:rFonts w:ascii="宋体" w:hAnsi="宋体" w:eastAsia="宋体" w:cs="宋体"/>
                <w:spacing w:val="-4"/>
                <w:sz w:val="24"/>
                <w:szCs w:val="24"/>
              </w:rPr>
              <w:t>7．督查任务支持专家匿名功能。</w:t>
            </w:r>
          </w:p>
          <w:p w14:paraId="0536C988">
            <w:pPr>
              <w:spacing w:before="73" w:line="219" w:lineRule="auto"/>
              <w:ind w:left="111"/>
              <w:rPr>
                <w:rFonts w:ascii="宋体" w:hAnsi="宋体" w:eastAsia="宋体" w:cs="宋体"/>
                <w:sz w:val="24"/>
                <w:szCs w:val="24"/>
              </w:rPr>
            </w:pPr>
            <w:r>
              <w:rPr>
                <w:rFonts w:ascii="宋体" w:hAnsi="宋体" w:eastAsia="宋体" w:cs="宋体"/>
                <w:spacing w:val="-2"/>
                <w:sz w:val="24"/>
                <w:szCs w:val="24"/>
              </w:rPr>
              <w:t>8．督查任务支持按督查表单指定督查专家并按日期指定督查科室。</w:t>
            </w:r>
          </w:p>
          <w:p w14:paraId="2A2247A3">
            <w:pPr>
              <w:spacing w:before="73" w:line="220" w:lineRule="auto"/>
              <w:ind w:left="111"/>
              <w:rPr>
                <w:rFonts w:ascii="宋体" w:hAnsi="宋体" w:eastAsia="宋体" w:cs="宋体"/>
                <w:sz w:val="24"/>
                <w:szCs w:val="24"/>
              </w:rPr>
            </w:pPr>
            <w:r>
              <w:rPr>
                <w:rFonts w:ascii="宋体" w:hAnsi="宋体" w:eastAsia="宋体" w:cs="宋体"/>
                <w:spacing w:val="-2"/>
                <w:sz w:val="24"/>
                <w:szCs w:val="24"/>
              </w:rPr>
              <w:t>9．督查任务可按日历方式、上下午查看督查任务安排。</w:t>
            </w:r>
          </w:p>
          <w:p w14:paraId="204BBF50">
            <w:pPr>
              <w:spacing w:before="72" w:line="248" w:lineRule="auto"/>
              <w:ind w:left="111" w:right="432" w:firstLine="16"/>
              <w:rPr>
                <w:rFonts w:ascii="宋体" w:hAnsi="宋体" w:eastAsia="宋体" w:cs="宋体"/>
                <w:sz w:val="24"/>
                <w:szCs w:val="24"/>
              </w:rPr>
            </w:pPr>
            <w:r>
              <w:rPr>
                <w:rFonts w:ascii="宋体" w:hAnsi="宋体" w:eastAsia="宋体" w:cs="宋体"/>
                <w:spacing w:val="-1"/>
                <w:sz w:val="24"/>
                <w:szCs w:val="24"/>
              </w:rPr>
              <w:t>10．对已结束的督查任务可直接查看各科室的督查结果（表单项目详</w:t>
            </w:r>
            <w:r>
              <w:rPr>
                <w:rFonts w:ascii="宋体" w:hAnsi="宋体" w:eastAsia="宋体" w:cs="宋体"/>
                <w:spacing w:val="2"/>
                <w:sz w:val="24"/>
                <w:szCs w:val="24"/>
              </w:rPr>
              <w:t xml:space="preserve"> </w:t>
            </w:r>
            <w:r>
              <w:rPr>
                <w:rFonts w:ascii="宋体" w:hAnsi="宋体" w:eastAsia="宋体" w:cs="宋体"/>
                <w:spacing w:val="-11"/>
                <w:sz w:val="24"/>
                <w:szCs w:val="24"/>
              </w:rPr>
              <w:t>情）。</w:t>
            </w:r>
          </w:p>
        </w:tc>
      </w:tr>
      <w:tr w14:paraId="2FEA6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7" w:hRule="atLeast"/>
        </w:trPr>
        <w:tc>
          <w:tcPr>
            <w:tcW w:w="783" w:type="dxa"/>
            <w:vAlign w:val="top"/>
          </w:tcPr>
          <w:p w14:paraId="1C9AB2F7">
            <w:pPr>
              <w:spacing w:line="259" w:lineRule="auto"/>
              <w:rPr>
                <w:rFonts w:ascii="Arial"/>
                <w:sz w:val="21"/>
              </w:rPr>
            </w:pPr>
          </w:p>
          <w:p w14:paraId="4C905F2A">
            <w:pPr>
              <w:spacing w:line="259" w:lineRule="auto"/>
              <w:rPr>
                <w:rFonts w:ascii="Arial"/>
                <w:sz w:val="21"/>
              </w:rPr>
            </w:pPr>
          </w:p>
          <w:p w14:paraId="0EEF9BC4">
            <w:pPr>
              <w:spacing w:line="259" w:lineRule="auto"/>
              <w:rPr>
                <w:rFonts w:ascii="Arial"/>
                <w:sz w:val="21"/>
              </w:rPr>
            </w:pPr>
          </w:p>
          <w:p w14:paraId="413943D5">
            <w:pPr>
              <w:spacing w:line="259" w:lineRule="auto"/>
              <w:rPr>
                <w:rFonts w:ascii="Arial"/>
                <w:sz w:val="21"/>
              </w:rPr>
            </w:pPr>
          </w:p>
          <w:p w14:paraId="5B038206">
            <w:pPr>
              <w:spacing w:line="259" w:lineRule="auto"/>
              <w:rPr>
                <w:rFonts w:ascii="Arial"/>
                <w:sz w:val="21"/>
              </w:rPr>
            </w:pPr>
          </w:p>
          <w:p w14:paraId="599251DB">
            <w:pPr>
              <w:spacing w:line="260" w:lineRule="auto"/>
              <w:rPr>
                <w:rFonts w:ascii="Arial"/>
                <w:sz w:val="21"/>
              </w:rPr>
            </w:pPr>
          </w:p>
          <w:p w14:paraId="4F4E1109">
            <w:pPr>
              <w:spacing w:line="260" w:lineRule="auto"/>
              <w:rPr>
                <w:rFonts w:ascii="Arial"/>
                <w:sz w:val="21"/>
              </w:rPr>
            </w:pPr>
          </w:p>
          <w:p w14:paraId="69AC4F11">
            <w:pPr>
              <w:spacing w:line="260" w:lineRule="auto"/>
              <w:rPr>
                <w:rFonts w:ascii="Arial"/>
                <w:sz w:val="21"/>
              </w:rPr>
            </w:pPr>
          </w:p>
          <w:p w14:paraId="3B0F48AC">
            <w:pPr>
              <w:spacing w:line="260" w:lineRule="auto"/>
              <w:rPr>
                <w:rFonts w:ascii="Arial"/>
                <w:sz w:val="21"/>
              </w:rPr>
            </w:pPr>
          </w:p>
          <w:p w14:paraId="0245073C">
            <w:pPr>
              <w:spacing w:before="78" w:line="181" w:lineRule="auto"/>
              <w:ind w:left="335"/>
              <w:rPr>
                <w:rFonts w:ascii="宋体" w:hAnsi="宋体" w:eastAsia="宋体" w:cs="宋体"/>
                <w:sz w:val="24"/>
                <w:szCs w:val="24"/>
              </w:rPr>
            </w:pPr>
            <w:r>
              <w:rPr>
                <w:rFonts w:ascii="宋体" w:hAnsi="宋体" w:eastAsia="宋体" w:cs="宋体"/>
                <w:sz w:val="24"/>
                <w:szCs w:val="24"/>
              </w:rPr>
              <w:t>4</w:t>
            </w:r>
          </w:p>
        </w:tc>
        <w:tc>
          <w:tcPr>
            <w:tcW w:w="1273" w:type="dxa"/>
            <w:vAlign w:val="top"/>
          </w:tcPr>
          <w:p w14:paraId="092B04EB">
            <w:pPr>
              <w:spacing w:line="254" w:lineRule="auto"/>
              <w:rPr>
                <w:rFonts w:ascii="Arial"/>
                <w:sz w:val="21"/>
              </w:rPr>
            </w:pPr>
          </w:p>
          <w:p w14:paraId="54CB3A86">
            <w:pPr>
              <w:spacing w:line="255" w:lineRule="auto"/>
              <w:rPr>
                <w:rFonts w:ascii="Arial"/>
                <w:sz w:val="21"/>
              </w:rPr>
            </w:pPr>
          </w:p>
          <w:p w14:paraId="5505677C">
            <w:pPr>
              <w:spacing w:line="255" w:lineRule="auto"/>
              <w:rPr>
                <w:rFonts w:ascii="Arial"/>
                <w:sz w:val="21"/>
              </w:rPr>
            </w:pPr>
          </w:p>
          <w:p w14:paraId="72112143">
            <w:pPr>
              <w:spacing w:line="255" w:lineRule="auto"/>
              <w:rPr>
                <w:rFonts w:ascii="Arial"/>
                <w:sz w:val="21"/>
              </w:rPr>
            </w:pPr>
          </w:p>
          <w:p w14:paraId="48E75680">
            <w:pPr>
              <w:spacing w:line="255" w:lineRule="auto"/>
              <w:rPr>
                <w:rFonts w:ascii="Arial"/>
                <w:sz w:val="21"/>
              </w:rPr>
            </w:pPr>
          </w:p>
          <w:p w14:paraId="20FB226D">
            <w:pPr>
              <w:spacing w:line="255" w:lineRule="auto"/>
              <w:rPr>
                <w:rFonts w:ascii="Arial"/>
                <w:sz w:val="21"/>
              </w:rPr>
            </w:pPr>
          </w:p>
          <w:p w14:paraId="61C6756C">
            <w:pPr>
              <w:spacing w:line="255" w:lineRule="auto"/>
              <w:rPr>
                <w:rFonts w:ascii="Arial"/>
                <w:sz w:val="21"/>
              </w:rPr>
            </w:pPr>
          </w:p>
          <w:p w14:paraId="2CABC96E">
            <w:pPr>
              <w:spacing w:line="255" w:lineRule="auto"/>
              <w:rPr>
                <w:rFonts w:ascii="Arial"/>
                <w:sz w:val="21"/>
              </w:rPr>
            </w:pPr>
          </w:p>
          <w:p w14:paraId="1641CF2A">
            <w:pPr>
              <w:spacing w:line="255" w:lineRule="auto"/>
              <w:rPr>
                <w:rFonts w:ascii="Arial"/>
                <w:sz w:val="21"/>
              </w:rPr>
            </w:pPr>
          </w:p>
          <w:p w14:paraId="727E2C3A">
            <w:pPr>
              <w:spacing w:before="78" w:line="220" w:lineRule="auto"/>
              <w:ind w:left="113"/>
              <w:rPr>
                <w:rFonts w:ascii="宋体" w:hAnsi="宋体" w:eastAsia="宋体" w:cs="宋体"/>
                <w:sz w:val="24"/>
                <w:szCs w:val="24"/>
              </w:rPr>
            </w:pPr>
            <w:r>
              <w:rPr>
                <w:rFonts w:ascii="宋体" w:hAnsi="宋体" w:eastAsia="宋体" w:cs="宋体"/>
                <w:spacing w:val="-3"/>
                <w:sz w:val="24"/>
                <w:szCs w:val="24"/>
              </w:rPr>
              <w:t>督查执行</w:t>
            </w:r>
          </w:p>
        </w:tc>
        <w:tc>
          <w:tcPr>
            <w:tcW w:w="7743" w:type="dxa"/>
            <w:vAlign w:val="top"/>
          </w:tcPr>
          <w:p w14:paraId="6BF9FB43">
            <w:pPr>
              <w:spacing w:before="37" w:line="220" w:lineRule="auto"/>
              <w:ind w:left="128"/>
              <w:rPr>
                <w:rFonts w:ascii="宋体" w:hAnsi="宋体" w:eastAsia="宋体" w:cs="宋体"/>
                <w:sz w:val="24"/>
                <w:szCs w:val="24"/>
              </w:rPr>
            </w:pPr>
            <w:r>
              <w:rPr>
                <w:rFonts w:ascii="宋体" w:hAnsi="宋体" w:eastAsia="宋体" w:cs="宋体"/>
                <w:spacing w:val="-4"/>
                <w:sz w:val="24"/>
                <w:szCs w:val="24"/>
              </w:rPr>
              <w:t>1．集中管理各督查任务的执行记录。</w:t>
            </w:r>
          </w:p>
          <w:p w14:paraId="3458B357">
            <w:pPr>
              <w:spacing w:before="71" w:line="220" w:lineRule="auto"/>
              <w:ind w:left="113"/>
              <w:rPr>
                <w:rFonts w:ascii="宋体" w:hAnsi="宋体" w:eastAsia="宋体" w:cs="宋体"/>
                <w:sz w:val="24"/>
                <w:szCs w:val="24"/>
              </w:rPr>
            </w:pPr>
            <w:r>
              <w:rPr>
                <w:rFonts w:ascii="宋体" w:hAnsi="宋体" w:eastAsia="宋体" w:cs="宋体"/>
                <w:spacing w:val="-2"/>
                <w:sz w:val="24"/>
                <w:szCs w:val="24"/>
              </w:rPr>
              <w:t>2．按任务状态、督查任务及督查期间检索相关的督查执行记录。</w:t>
            </w:r>
          </w:p>
          <w:p w14:paraId="25D56CCB">
            <w:pPr>
              <w:spacing w:before="73" w:line="247" w:lineRule="auto"/>
              <w:ind w:left="110" w:right="102" w:firstLine="4"/>
              <w:rPr>
                <w:rFonts w:ascii="宋体" w:hAnsi="宋体" w:eastAsia="宋体" w:cs="宋体"/>
                <w:sz w:val="24"/>
                <w:szCs w:val="24"/>
              </w:rPr>
            </w:pPr>
            <w:r>
              <w:rPr>
                <w:rFonts w:ascii="宋体" w:hAnsi="宋体" w:eastAsia="宋体" w:cs="宋体"/>
                <w:spacing w:val="-2"/>
                <w:sz w:val="24"/>
                <w:szCs w:val="24"/>
              </w:rPr>
              <w:t>3．支持查看督查执行记录的科室、期间、督查状态、专家、表单及不合</w:t>
            </w:r>
            <w:r>
              <w:rPr>
                <w:rFonts w:ascii="宋体" w:hAnsi="宋体" w:eastAsia="宋体" w:cs="宋体"/>
                <w:spacing w:val="18"/>
                <w:sz w:val="24"/>
                <w:szCs w:val="24"/>
              </w:rPr>
              <w:t xml:space="preserve"> </w:t>
            </w:r>
            <w:r>
              <w:rPr>
                <w:rFonts w:ascii="宋体" w:hAnsi="宋体" w:eastAsia="宋体" w:cs="宋体"/>
                <w:spacing w:val="-8"/>
                <w:sz w:val="24"/>
                <w:szCs w:val="24"/>
              </w:rPr>
              <w:t>格项目数。</w:t>
            </w:r>
          </w:p>
          <w:p w14:paraId="6A69139B">
            <w:pPr>
              <w:spacing w:before="72" w:line="219" w:lineRule="auto"/>
              <w:ind w:left="109"/>
              <w:rPr>
                <w:rFonts w:ascii="宋体" w:hAnsi="宋体" w:eastAsia="宋体" w:cs="宋体"/>
                <w:sz w:val="24"/>
                <w:szCs w:val="24"/>
              </w:rPr>
            </w:pPr>
            <w:r>
              <w:rPr>
                <w:rFonts w:ascii="宋体" w:hAnsi="宋体" w:eastAsia="宋体" w:cs="宋体"/>
                <w:spacing w:val="-3"/>
                <w:sz w:val="24"/>
                <w:szCs w:val="24"/>
              </w:rPr>
              <w:t>4．支持查看被督查科室的资料准备情况。</w:t>
            </w:r>
          </w:p>
          <w:p w14:paraId="5CA4DC89">
            <w:pPr>
              <w:spacing w:before="72" w:line="220" w:lineRule="auto"/>
              <w:ind w:left="115"/>
              <w:rPr>
                <w:rFonts w:ascii="宋体" w:hAnsi="宋体" w:eastAsia="宋体" w:cs="宋体"/>
                <w:sz w:val="24"/>
                <w:szCs w:val="24"/>
              </w:rPr>
            </w:pPr>
            <w:r>
              <w:rPr>
                <w:rFonts w:ascii="宋体" w:hAnsi="宋体" w:eastAsia="宋体" w:cs="宋体"/>
                <w:spacing w:val="-2"/>
                <w:sz w:val="24"/>
                <w:szCs w:val="24"/>
              </w:rPr>
              <w:t>5．集中查看督查发现的问题清单，包含问题的状态、内容、改进情况。</w:t>
            </w:r>
          </w:p>
          <w:p w14:paraId="4374D61B">
            <w:pPr>
              <w:spacing w:before="72" w:line="220" w:lineRule="auto"/>
              <w:ind w:left="112"/>
              <w:rPr>
                <w:rFonts w:ascii="宋体" w:hAnsi="宋体" w:eastAsia="宋体" w:cs="宋体"/>
                <w:sz w:val="24"/>
                <w:szCs w:val="24"/>
              </w:rPr>
            </w:pPr>
            <w:r>
              <w:rPr>
                <w:rFonts w:ascii="宋体" w:hAnsi="宋体" w:eastAsia="宋体" w:cs="宋体"/>
                <w:spacing w:val="-3"/>
                <w:sz w:val="24"/>
                <w:szCs w:val="24"/>
              </w:rPr>
              <w:t>6．支持由专家登记各表单的项目结果及得分。</w:t>
            </w:r>
          </w:p>
          <w:p w14:paraId="73CB46CF">
            <w:pPr>
              <w:spacing w:before="73" w:line="219" w:lineRule="auto"/>
              <w:ind w:left="116"/>
              <w:rPr>
                <w:rFonts w:ascii="宋体" w:hAnsi="宋体" w:eastAsia="宋体" w:cs="宋体"/>
                <w:sz w:val="24"/>
                <w:szCs w:val="24"/>
              </w:rPr>
            </w:pPr>
            <w:r>
              <w:rPr>
                <w:rFonts w:ascii="宋体" w:hAnsi="宋体" w:eastAsia="宋体" w:cs="宋体"/>
                <w:spacing w:val="-3"/>
                <w:sz w:val="24"/>
                <w:szCs w:val="24"/>
              </w:rPr>
              <w:t>7．支持按表单项目上传佐证材料。</w:t>
            </w:r>
          </w:p>
          <w:p w14:paraId="7F89FB9C">
            <w:pPr>
              <w:spacing w:before="73" w:line="219" w:lineRule="auto"/>
              <w:ind w:left="111"/>
              <w:rPr>
                <w:rFonts w:ascii="宋体" w:hAnsi="宋体" w:eastAsia="宋体" w:cs="宋体"/>
                <w:sz w:val="24"/>
                <w:szCs w:val="24"/>
              </w:rPr>
            </w:pPr>
            <w:r>
              <w:rPr>
                <w:rFonts w:ascii="宋体" w:hAnsi="宋体" w:eastAsia="宋体" w:cs="宋体"/>
                <w:spacing w:val="-3"/>
                <w:sz w:val="24"/>
                <w:szCs w:val="24"/>
              </w:rPr>
              <w:t>8．移动端支持拍照上传佐证材料。</w:t>
            </w:r>
          </w:p>
          <w:p w14:paraId="5FF92FA1">
            <w:pPr>
              <w:spacing w:before="73" w:line="220" w:lineRule="auto"/>
              <w:ind w:left="111"/>
              <w:rPr>
                <w:rFonts w:ascii="宋体" w:hAnsi="宋体" w:eastAsia="宋体" w:cs="宋体"/>
                <w:sz w:val="24"/>
                <w:szCs w:val="24"/>
              </w:rPr>
            </w:pPr>
            <w:r>
              <w:rPr>
                <w:rFonts w:ascii="宋体" w:hAnsi="宋体" w:eastAsia="宋体" w:cs="宋体"/>
                <w:spacing w:val="-2"/>
                <w:sz w:val="24"/>
                <w:szCs w:val="24"/>
              </w:rPr>
              <w:t>9．支持专家在督查执行过程中针对扣分项登记存在的问题。</w:t>
            </w:r>
          </w:p>
          <w:p w14:paraId="4FB18969">
            <w:pPr>
              <w:spacing w:before="72" w:line="220" w:lineRule="auto"/>
              <w:ind w:left="128"/>
              <w:rPr>
                <w:rFonts w:ascii="宋体" w:hAnsi="宋体" w:eastAsia="宋体" w:cs="宋体"/>
                <w:sz w:val="24"/>
                <w:szCs w:val="24"/>
              </w:rPr>
            </w:pPr>
            <w:r>
              <w:rPr>
                <w:rFonts w:ascii="宋体" w:hAnsi="宋体" w:eastAsia="宋体" w:cs="宋体"/>
                <w:spacing w:val="-3"/>
                <w:sz w:val="24"/>
                <w:szCs w:val="24"/>
              </w:rPr>
              <w:t>10．专家登记问题时可选择常见问题以减少录入工作量。</w:t>
            </w:r>
          </w:p>
          <w:p w14:paraId="16B14892">
            <w:pPr>
              <w:spacing w:before="72" w:line="219" w:lineRule="auto"/>
              <w:ind w:left="128"/>
              <w:rPr>
                <w:rFonts w:ascii="宋体" w:hAnsi="宋体" w:eastAsia="宋体" w:cs="宋体"/>
                <w:sz w:val="24"/>
                <w:szCs w:val="24"/>
              </w:rPr>
            </w:pPr>
            <w:r>
              <w:rPr>
                <w:rFonts w:ascii="宋体" w:hAnsi="宋体" w:eastAsia="宋体" w:cs="宋体"/>
                <w:spacing w:val="-2"/>
                <w:sz w:val="24"/>
                <w:szCs w:val="24"/>
              </w:rPr>
              <w:t>11．督查科室可对问题进行确认或申诉，可查看问题的改进措</w:t>
            </w:r>
            <w:r>
              <w:rPr>
                <w:rFonts w:ascii="宋体" w:hAnsi="宋体" w:eastAsia="宋体" w:cs="宋体"/>
                <w:spacing w:val="-3"/>
                <w:sz w:val="24"/>
                <w:szCs w:val="24"/>
              </w:rPr>
              <w:t>施。</w:t>
            </w:r>
          </w:p>
          <w:p w14:paraId="7A39503A">
            <w:pPr>
              <w:spacing w:before="75" w:line="247" w:lineRule="auto"/>
              <w:ind w:left="113" w:right="192" w:firstLine="14"/>
              <w:rPr>
                <w:rFonts w:ascii="宋体" w:hAnsi="宋体" w:eastAsia="宋体" w:cs="宋体"/>
                <w:sz w:val="24"/>
                <w:szCs w:val="24"/>
              </w:rPr>
            </w:pPr>
            <w:r>
              <w:rPr>
                <w:rFonts w:ascii="宋体" w:hAnsi="宋体" w:eastAsia="宋体" w:cs="宋体"/>
                <w:spacing w:val="-1"/>
                <w:sz w:val="24"/>
                <w:szCs w:val="24"/>
              </w:rPr>
              <w:t>12．系统支持来自于指标库管理系统定义的采集指标可自动生成相应的</w:t>
            </w:r>
            <w:r>
              <w:rPr>
                <w:rFonts w:ascii="宋体" w:hAnsi="宋体" w:eastAsia="宋体" w:cs="宋体"/>
                <w:spacing w:val="3"/>
                <w:sz w:val="24"/>
                <w:szCs w:val="24"/>
              </w:rPr>
              <w:t xml:space="preserve"> </w:t>
            </w:r>
            <w:r>
              <w:rPr>
                <w:rFonts w:ascii="宋体" w:hAnsi="宋体" w:eastAsia="宋体" w:cs="宋体"/>
                <w:spacing w:val="-9"/>
                <w:sz w:val="24"/>
                <w:szCs w:val="24"/>
              </w:rPr>
              <w:t>指标值。</w:t>
            </w:r>
          </w:p>
        </w:tc>
      </w:tr>
      <w:tr w14:paraId="6F9AA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83" w:type="dxa"/>
            <w:vAlign w:val="top"/>
          </w:tcPr>
          <w:p w14:paraId="4A143E73">
            <w:pPr>
              <w:spacing w:before="285" w:line="180" w:lineRule="auto"/>
              <w:ind w:left="341"/>
              <w:rPr>
                <w:rFonts w:ascii="宋体" w:hAnsi="宋体" w:eastAsia="宋体" w:cs="宋体"/>
                <w:sz w:val="24"/>
                <w:szCs w:val="24"/>
              </w:rPr>
            </w:pPr>
            <w:r>
              <w:rPr>
                <w:rFonts w:ascii="宋体" w:hAnsi="宋体" w:eastAsia="宋体" w:cs="宋体"/>
                <w:sz w:val="24"/>
                <w:szCs w:val="24"/>
              </w:rPr>
              <w:t>5</w:t>
            </w:r>
          </w:p>
        </w:tc>
        <w:tc>
          <w:tcPr>
            <w:tcW w:w="1273" w:type="dxa"/>
            <w:vAlign w:val="top"/>
          </w:tcPr>
          <w:p w14:paraId="3FDB7B6B">
            <w:pPr>
              <w:spacing w:before="244" w:line="220" w:lineRule="auto"/>
              <w:ind w:left="113"/>
              <w:rPr>
                <w:rFonts w:ascii="宋体" w:hAnsi="宋体" w:eastAsia="宋体" w:cs="宋体"/>
                <w:sz w:val="24"/>
                <w:szCs w:val="24"/>
              </w:rPr>
            </w:pPr>
            <w:r>
              <w:rPr>
                <w:rFonts w:ascii="宋体" w:hAnsi="宋体" w:eastAsia="宋体" w:cs="宋体"/>
                <w:spacing w:val="-3"/>
                <w:sz w:val="24"/>
                <w:szCs w:val="24"/>
              </w:rPr>
              <w:t>督查分析</w:t>
            </w:r>
          </w:p>
        </w:tc>
        <w:tc>
          <w:tcPr>
            <w:tcW w:w="7743" w:type="dxa"/>
            <w:vAlign w:val="top"/>
          </w:tcPr>
          <w:p w14:paraId="35B4A2EB">
            <w:pPr>
              <w:spacing w:before="41" w:line="257" w:lineRule="auto"/>
              <w:ind w:left="112" w:right="102" w:firstLine="15"/>
              <w:rPr>
                <w:rFonts w:ascii="宋体" w:hAnsi="宋体" w:eastAsia="宋体" w:cs="宋体"/>
                <w:sz w:val="24"/>
                <w:szCs w:val="24"/>
              </w:rPr>
            </w:pPr>
            <w:r>
              <w:rPr>
                <w:rFonts w:ascii="宋体" w:hAnsi="宋体" w:eastAsia="宋体" w:cs="宋体"/>
                <w:spacing w:val="-2"/>
                <w:sz w:val="24"/>
                <w:szCs w:val="24"/>
              </w:rPr>
              <w:t>1．按时间和督查类型统计督查次数、专家出勤人次、督查科室数、问题</w:t>
            </w:r>
            <w:r>
              <w:rPr>
                <w:rFonts w:ascii="宋体" w:hAnsi="宋体" w:eastAsia="宋体" w:cs="宋体"/>
                <w:spacing w:val="5"/>
                <w:sz w:val="24"/>
                <w:szCs w:val="24"/>
              </w:rPr>
              <w:t xml:space="preserve"> </w:t>
            </w:r>
            <w:r>
              <w:rPr>
                <w:rFonts w:ascii="宋体" w:hAnsi="宋体" w:eastAsia="宋体" w:cs="宋体"/>
                <w:spacing w:val="-4"/>
                <w:sz w:val="24"/>
                <w:szCs w:val="24"/>
              </w:rPr>
              <w:t>数、问题科室分布、问题趋势。</w:t>
            </w:r>
          </w:p>
        </w:tc>
      </w:tr>
    </w:tbl>
    <w:p w14:paraId="7ADEAF94">
      <w:pPr>
        <w:pStyle w:val="2"/>
        <w:spacing w:line="335" w:lineRule="auto"/>
      </w:pPr>
    </w:p>
    <w:p w14:paraId="05C80CDC">
      <w:pPr>
        <w:spacing w:before="62" w:line="209" w:lineRule="auto"/>
        <w:ind w:left="148"/>
        <w:rPr>
          <w:rFonts w:ascii="宋体" w:hAnsi="宋体" w:eastAsia="宋体" w:cs="宋体"/>
          <w:sz w:val="19"/>
          <w:szCs w:val="19"/>
        </w:rPr>
      </w:pPr>
      <w:r>
        <w:pict>
          <v:shape id="_x0000_s1045" o:spid="_x0000_s1045" style="position:absolute;left:0pt;margin-left:1.95pt;margin-top:11.85pt;height:0.75pt;width:494pt;z-index:251689984;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2"/>
          <w:position w:val="1"/>
          <w:sz w:val="18"/>
          <w:szCs w:val="18"/>
        </w:rPr>
        <w:t xml:space="preserve">25                          </w:t>
      </w:r>
      <w:r>
        <w:rPr>
          <w:rFonts w:ascii="Times New Roman" w:hAnsi="Times New Roman" w:eastAsia="Times New Roman" w:cs="Times New Roman"/>
          <w:spacing w:val="-3"/>
          <w:position w:val="1"/>
          <w:sz w:val="18"/>
          <w:szCs w:val="18"/>
        </w:rPr>
        <w:t xml:space="preserve">     </w:t>
      </w:r>
      <w:r>
        <w:rPr>
          <w:rFonts w:ascii="宋体" w:hAnsi="宋体" w:eastAsia="宋体" w:cs="宋体"/>
          <w:b/>
          <w:bCs/>
          <w:i/>
          <w:iCs/>
          <w:spacing w:val="-3"/>
          <w:sz w:val="19"/>
          <w:szCs w:val="19"/>
        </w:rPr>
        <w:t>伊犁州公共资源交易中心</w:t>
      </w:r>
    </w:p>
    <w:p w14:paraId="74A7280F">
      <w:pPr>
        <w:spacing w:line="209" w:lineRule="auto"/>
        <w:rPr>
          <w:rFonts w:ascii="宋体" w:hAnsi="宋体" w:eastAsia="宋体" w:cs="宋体"/>
          <w:sz w:val="19"/>
          <w:szCs w:val="19"/>
        </w:rPr>
        <w:sectPr>
          <w:pgSz w:w="11905" w:h="16839"/>
          <w:pgMar w:top="1136" w:right="830" w:bottom="400" w:left="1126" w:header="854" w:footer="0" w:gutter="0"/>
          <w:cols w:space="720" w:num="1"/>
        </w:sectPr>
      </w:pPr>
    </w:p>
    <w:p w14:paraId="02285DC6">
      <w:pPr>
        <w:spacing w:before="38"/>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3"/>
        <w:gridCol w:w="7743"/>
      </w:tblGrid>
      <w:tr w14:paraId="792A9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3" w:type="dxa"/>
            <w:vAlign w:val="top"/>
          </w:tcPr>
          <w:p w14:paraId="74421E29">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3D0FB9C9">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7C07BC6B">
            <w:pPr>
              <w:spacing w:before="179"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34A10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783" w:type="dxa"/>
            <w:vAlign w:val="top"/>
          </w:tcPr>
          <w:p w14:paraId="52314CA1">
            <w:pPr>
              <w:rPr>
                <w:rFonts w:ascii="Arial"/>
                <w:sz w:val="21"/>
              </w:rPr>
            </w:pPr>
          </w:p>
        </w:tc>
        <w:tc>
          <w:tcPr>
            <w:tcW w:w="1273" w:type="dxa"/>
            <w:vAlign w:val="top"/>
          </w:tcPr>
          <w:p w14:paraId="042AA6DF">
            <w:pPr>
              <w:rPr>
                <w:rFonts w:ascii="Arial"/>
                <w:sz w:val="21"/>
              </w:rPr>
            </w:pPr>
          </w:p>
        </w:tc>
        <w:tc>
          <w:tcPr>
            <w:tcW w:w="7743" w:type="dxa"/>
            <w:vAlign w:val="top"/>
          </w:tcPr>
          <w:p w14:paraId="6C5298B2">
            <w:pPr>
              <w:spacing w:before="33" w:line="219" w:lineRule="auto"/>
              <w:ind w:left="113"/>
              <w:rPr>
                <w:rFonts w:ascii="宋体" w:hAnsi="宋体" w:eastAsia="宋体" w:cs="宋体"/>
                <w:sz w:val="24"/>
                <w:szCs w:val="24"/>
              </w:rPr>
            </w:pPr>
            <w:r>
              <w:rPr>
                <w:rFonts w:ascii="宋体" w:hAnsi="宋体" w:eastAsia="宋体" w:cs="宋体"/>
                <w:spacing w:val="-3"/>
                <w:sz w:val="24"/>
                <w:szCs w:val="24"/>
              </w:rPr>
              <w:t>2．督查结果可进行科室间对比分析。</w:t>
            </w:r>
          </w:p>
          <w:p w14:paraId="050DCA43">
            <w:pPr>
              <w:spacing w:before="73" w:line="247" w:lineRule="auto"/>
              <w:ind w:left="115" w:right="16"/>
              <w:rPr>
                <w:rFonts w:ascii="宋体" w:hAnsi="宋体" w:eastAsia="宋体" w:cs="宋体"/>
                <w:sz w:val="24"/>
                <w:szCs w:val="24"/>
              </w:rPr>
            </w:pPr>
            <w:r>
              <w:rPr>
                <w:rFonts w:ascii="宋体" w:hAnsi="宋体" w:eastAsia="宋体" w:cs="宋体"/>
                <w:spacing w:val="-6"/>
                <w:sz w:val="24"/>
                <w:szCs w:val="24"/>
              </w:rPr>
              <w:t>3．可按问题类型查看督查问题统计结果，包含问题科室分布、问题趋</w:t>
            </w:r>
            <w:r>
              <w:rPr>
                <w:rFonts w:ascii="宋体" w:hAnsi="宋体" w:eastAsia="宋体" w:cs="宋体"/>
                <w:spacing w:val="-7"/>
                <w:sz w:val="24"/>
                <w:szCs w:val="24"/>
              </w:rPr>
              <w:t>势、</w:t>
            </w:r>
            <w:r>
              <w:rPr>
                <w:rFonts w:ascii="宋体" w:hAnsi="宋体" w:eastAsia="宋体" w:cs="宋体"/>
                <w:sz w:val="24"/>
                <w:szCs w:val="24"/>
              </w:rPr>
              <w:t xml:space="preserve"> </w:t>
            </w:r>
            <w:r>
              <w:rPr>
                <w:rFonts w:ascii="宋体" w:hAnsi="宋体" w:eastAsia="宋体" w:cs="宋体"/>
                <w:spacing w:val="-6"/>
                <w:sz w:val="24"/>
                <w:szCs w:val="24"/>
              </w:rPr>
              <w:t>督查项目分布。</w:t>
            </w:r>
          </w:p>
          <w:p w14:paraId="3AD46288">
            <w:pPr>
              <w:spacing w:before="73" w:line="219" w:lineRule="auto"/>
              <w:ind w:right="13"/>
              <w:jc w:val="right"/>
              <w:rPr>
                <w:rFonts w:ascii="宋体" w:hAnsi="宋体" w:eastAsia="宋体" w:cs="宋体"/>
                <w:sz w:val="24"/>
                <w:szCs w:val="24"/>
              </w:rPr>
            </w:pPr>
            <w:r>
              <w:rPr>
                <w:rFonts w:ascii="宋体" w:hAnsi="宋体" w:eastAsia="宋体" w:cs="宋体"/>
                <w:spacing w:val="-6"/>
                <w:sz w:val="24"/>
                <w:szCs w:val="24"/>
              </w:rPr>
              <w:t>4．支持按督查项目追踪问题发生情况，包含问题的科室分布及发生趋势。</w:t>
            </w:r>
          </w:p>
        </w:tc>
      </w:tr>
      <w:tr w14:paraId="35250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0" w:hRule="atLeast"/>
        </w:trPr>
        <w:tc>
          <w:tcPr>
            <w:tcW w:w="783" w:type="dxa"/>
            <w:vAlign w:val="top"/>
          </w:tcPr>
          <w:p w14:paraId="02DB8970">
            <w:pPr>
              <w:spacing w:line="269" w:lineRule="auto"/>
              <w:rPr>
                <w:rFonts w:ascii="Arial"/>
                <w:sz w:val="21"/>
              </w:rPr>
            </w:pPr>
          </w:p>
          <w:p w14:paraId="712783A7">
            <w:pPr>
              <w:spacing w:line="269" w:lineRule="auto"/>
              <w:rPr>
                <w:rFonts w:ascii="Arial"/>
                <w:sz w:val="21"/>
              </w:rPr>
            </w:pPr>
          </w:p>
          <w:p w14:paraId="5A1E327B">
            <w:pPr>
              <w:spacing w:line="269" w:lineRule="auto"/>
              <w:rPr>
                <w:rFonts w:ascii="Arial"/>
                <w:sz w:val="21"/>
              </w:rPr>
            </w:pPr>
          </w:p>
          <w:p w14:paraId="68F63E5C">
            <w:pPr>
              <w:spacing w:line="269" w:lineRule="auto"/>
              <w:rPr>
                <w:rFonts w:ascii="Arial"/>
                <w:sz w:val="21"/>
              </w:rPr>
            </w:pPr>
          </w:p>
          <w:p w14:paraId="71F704AA">
            <w:pPr>
              <w:spacing w:line="269" w:lineRule="auto"/>
              <w:rPr>
                <w:rFonts w:ascii="Arial"/>
                <w:sz w:val="21"/>
              </w:rPr>
            </w:pPr>
          </w:p>
          <w:p w14:paraId="152DFC5A">
            <w:pPr>
              <w:spacing w:line="269" w:lineRule="auto"/>
              <w:rPr>
                <w:rFonts w:ascii="Arial"/>
                <w:sz w:val="21"/>
              </w:rPr>
            </w:pPr>
          </w:p>
          <w:p w14:paraId="166EFFAE">
            <w:pPr>
              <w:spacing w:line="270" w:lineRule="auto"/>
              <w:rPr>
                <w:rFonts w:ascii="Arial"/>
                <w:sz w:val="21"/>
              </w:rPr>
            </w:pPr>
          </w:p>
          <w:p w14:paraId="26B91A37">
            <w:pPr>
              <w:spacing w:line="270" w:lineRule="auto"/>
              <w:rPr>
                <w:rFonts w:ascii="Arial"/>
                <w:sz w:val="21"/>
              </w:rPr>
            </w:pPr>
          </w:p>
          <w:p w14:paraId="6015B69A">
            <w:pPr>
              <w:spacing w:before="78" w:line="181" w:lineRule="auto"/>
              <w:ind w:left="338"/>
              <w:rPr>
                <w:rFonts w:ascii="宋体" w:hAnsi="宋体" w:eastAsia="宋体" w:cs="宋体"/>
                <w:sz w:val="24"/>
                <w:szCs w:val="24"/>
              </w:rPr>
            </w:pPr>
            <w:r>
              <w:rPr>
                <w:rFonts w:ascii="宋体" w:hAnsi="宋体" w:eastAsia="宋体" w:cs="宋体"/>
                <w:sz w:val="24"/>
                <w:szCs w:val="24"/>
              </w:rPr>
              <w:t>6</w:t>
            </w:r>
          </w:p>
        </w:tc>
        <w:tc>
          <w:tcPr>
            <w:tcW w:w="1273" w:type="dxa"/>
            <w:vAlign w:val="top"/>
          </w:tcPr>
          <w:p w14:paraId="3EE9CD89">
            <w:pPr>
              <w:spacing w:line="253" w:lineRule="auto"/>
              <w:rPr>
                <w:rFonts w:ascii="Arial"/>
                <w:sz w:val="21"/>
              </w:rPr>
            </w:pPr>
          </w:p>
          <w:p w14:paraId="360A32E9">
            <w:pPr>
              <w:spacing w:line="254" w:lineRule="auto"/>
              <w:rPr>
                <w:rFonts w:ascii="Arial"/>
                <w:sz w:val="21"/>
              </w:rPr>
            </w:pPr>
          </w:p>
          <w:p w14:paraId="0E1AF290">
            <w:pPr>
              <w:spacing w:line="254" w:lineRule="auto"/>
              <w:rPr>
                <w:rFonts w:ascii="Arial"/>
                <w:sz w:val="21"/>
              </w:rPr>
            </w:pPr>
          </w:p>
          <w:p w14:paraId="69F28409">
            <w:pPr>
              <w:spacing w:line="254" w:lineRule="auto"/>
              <w:rPr>
                <w:rFonts w:ascii="Arial"/>
                <w:sz w:val="21"/>
              </w:rPr>
            </w:pPr>
          </w:p>
          <w:p w14:paraId="1026D2CE">
            <w:pPr>
              <w:spacing w:line="254" w:lineRule="auto"/>
              <w:rPr>
                <w:rFonts w:ascii="Arial"/>
                <w:sz w:val="21"/>
              </w:rPr>
            </w:pPr>
          </w:p>
          <w:p w14:paraId="6C26B476">
            <w:pPr>
              <w:spacing w:line="254" w:lineRule="auto"/>
              <w:rPr>
                <w:rFonts w:ascii="Arial"/>
                <w:sz w:val="21"/>
              </w:rPr>
            </w:pPr>
          </w:p>
          <w:p w14:paraId="5DFCC0A3">
            <w:pPr>
              <w:spacing w:before="78" w:line="449" w:lineRule="auto"/>
              <w:ind w:left="109" w:right="105" w:firstLine="38"/>
              <w:jc w:val="both"/>
              <w:rPr>
                <w:rFonts w:ascii="宋体" w:hAnsi="宋体" w:eastAsia="宋体" w:cs="宋体"/>
                <w:sz w:val="24"/>
                <w:szCs w:val="24"/>
              </w:rPr>
            </w:pPr>
            <w:r>
              <w:rPr>
                <w:rFonts w:ascii="宋体" w:hAnsi="宋体" w:eastAsia="宋体" w:cs="宋体"/>
                <w:spacing w:val="12"/>
                <w:sz w:val="24"/>
                <w:szCs w:val="24"/>
              </w:rPr>
              <w:t>自动化督</w:t>
            </w:r>
            <w:r>
              <w:rPr>
                <w:rFonts w:ascii="宋体" w:hAnsi="宋体" w:eastAsia="宋体" w:cs="宋体"/>
                <w:spacing w:val="1"/>
                <w:sz w:val="24"/>
                <w:szCs w:val="24"/>
              </w:rPr>
              <w:t xml:space="preserve"> </w:t>
            </w:r>
            <w:r>
              <w:rPr>
                <w:rFonts w:ascii="宋体" w:hAnsi="宋体" w:eastAsia="宋体" w:cs="宋体"/>
                <w:spacing w:val="22"/>
                <w:sz w:val="24"/>
                <w:szCs w:val="24"/>
              </w:rPr>
              <w:t>查报告模</w:t>
            </w:r>
            <w:r>
              <w:rPr>
                <w:rFonts w:ascii="宋体" w:hAnsi="宋体" w:eastAsia="宋体" w:cs="宋体"/>
                <w:sz w:val="24"/>
                <w:szCs w:val="24"/>
              </w:rPr>
              <w:t xml:space="preserve"> 板</w:t>
            </w:r>
          </w:p>
        </w:tc>
        <w:tc>
          <w:tcPr>
            <w:tcW w:w="7743" w:type="dxa"/>
            <w:vAlign w:val="top"/>
          </w:tcPr>
          <w:p w14:paraId="62674E53">
            <w:pPr>
              <w:spacing w:before="33" w:line="247" w:lineRule="auto"/>
              <w:ind w:left="111" w:right="102" w:firstLine="16"/>
              <w:rPr>
                <w:rFonts w:ascii="宋体" w:hAnsi="宋体" w:eastAsia="宋体" w:cs="宋体"/>
                <w:sz w:val="24"/>
                <w:szCs w:val="24"/>
              </w:rPr>
            </w:pPr>
            <w:r>
              <w:rPr>
                <w:rFonts w:ascii="宋体" w:hAnsi="宋体" w:eastAsia="宋体" w:cs="宋体"/>
                <w:spacing w:val="-2"/>
                <w:sz w:val="24"/>
                <w:szCs w:val="24"/>
              </w:rPr>
              <w:t>1．可自定义医务督查报告模板，模板要素包括报告标题、段落结构、自</w:t>
            </w:r>
            <w:r>
              <w:rPr>
                <w:rFonts w:ascii="宋体" w:hAnsi="宋体" w:eastAsia="宋体" w:cs="宋体"/>
                <w:spacing w:val="5"/>
                <w:sz w:val="24"/>
                <w:szCs w:val="24"/>
              </w:rPr>
              <w:t xml:space="preserve"> </w:t>
            </w:r>
            <w:r>
              <w:rPr>
                <w:rFonts w:ascii="宋体" w:hAnsi="宋体" w:eastAsia="宋体" w:cs="宋体"/>
                <w:spacing w:val="-2"/>
                <w:sz w:val="24"/>
                <w:szCs w:val="24"/>
              </w:rPr>
              <w:t>动取数项目，根据督查结果自动生成督查报</w:t>
            </w:r>
            <w:r>
              <w:rPr>
                <w:rFonts w:ascii="宋体" w:hAnsi="宋体" w:eastAsia="宋体" w:cs="宋体"/>
                <w:spacing w:val="-3"/>
                <w:sz w:val="24"/>
                <w:szCs w:val="24"/>
              </w:rPr>
              <w:t>告。</w:t>
            </w:r>
          </w:p>
          <w:p w14:paraId="45702F1D">
            <w:pPr>
              <w:spacing w:before="75" w:line="247" w:lineRule="auto"/>
              <w:ind w:left="112" w:right="102"/>
              <w:rPr>
                <w:rFonts w:ascii="宋体" w:hAnsi="宋体" w:eastAsia="宋体" w:cs="宋体"/>
                <w:sz w:val="24"/>
                <w:szCs w:val="24"/>
              </w:rPr>
            </w:pPr>
            <w:r>
              <w:rPr>
                <w:rFonts w:ascii="宋体" w:hAnsi="宋体" w:eastAsia="宋体" w:cs="宋体"/>
                <w:spacing w:val="-1"/>
                <w:sz w:val="24"/>
                <w:szCs w:val="24"/>
              </w:rPr>
              <w:t>2．报告模板要素可引用督查表单的项目、督</w:t>
            </w:r>
            <w:r>
              <w:rPr>
                <w:rFonts w:ascii="宋体" w:hAnsi="宋体" w:eastAsia="宋体" w:cs="宋体"/>
                <w:spacing w:val="-2"/>
                <w:sz w:val="24"/>
                <w:szCs w:val="24"/>
              </w:rPr>
              <w:t>查小组、督查对象、督查专</w:t>
            </w:r>
            <w:r>
              <w:rPr>
                <w:rFonts w:ascii="宋体" w:hAnsi="宋体" w:eastAsia="宋体" w:cs="宋体"/>
                <w:sz w:val="24"/>
                <w:szCs w:val="24"/>
              </w:rPr>
              <w:t xml:space="preserve"> </w:t>
            </w:r>
            <w:r>
              <w:rPr>
                <w:rFonts w:ascii="宋体" w:hAnsi="宋体" w:eastAsia="宋体" w:cs="宋体"/>
                <w:spacing w:val="-3"/>
                <w:sz w:val="24"/>
                <w:szCs w:val="24"/>
              </w:rPr>
              <w:t>家，可引用表单项目的得分情况及问题情况。</w:t>
            </w:r>
          </w:p>
          <w:p w14:paraId="03A6A219">
            <w:pPr>
              <w:spacing w:before="72" w:line="218" w:lineRule="auto"/>
              <w:ind w:left="115"/>
              <w:rPr>
                <w:rFonts w:ascii="宋体" w:hAnsi="宋体" w:eastAsia="宋体" w:cs="宋体"/>
                <w:sz w:val="24"/>
                <w:szCs w:val="24"/>
              </w:rPr>
            </w:pPr>
            <w:r>
              <w:rPr>
                <w:rFonts w:ascii="宋体" w:hAnsi="宋体" w:eastAsia="宋体" w:cs="宋体"/>
                <w:spacing w:val="-2"/>
                <w:sz w:val="24"/>
                <w:szCs w:val="24"/>
              </w:rPr>
              <w:t>3．报告模板支持定义变量引用来源于数据中心或</w:t>
            </w:r>
            <w:r>
              <w:rPr>
                <w:rFonts w:ascii="宋体" w:hAnsi="宋体" w:eastAsia="宋体" w:cs="宋体"/>
                <w:spacing w:val="-54"/>
                <w:sz w:val="24"/>
                <w:szCs w:val="24"/>
              </w:rPr>
              <w:t xml:space="preserve"> </w:t>
            </w:r>
            <w:r>
              <w:rPr>
                <w:rFonts w:ascii="宋体" w:hAnsi="宋体" w:eastAsia="宋体" w:cs="宋体"/>
                <w:spacing w:val="-2"/>
                <w:sz w:val="24"/>
                <w:szCs w:val="24"/>
              </w:rPr>
              <w:t>HIS</w:t>
            </w:r>
            <w:r>
              <w:rPr>
                <w:rFonts w:ascii="宋体" w:hAnsi="宋体" w:eastAsia="宋体" w:cs="宋体"/>
                <w:spacing w:val="-46"/>
                <w:sz w:val="24"/>
                <w:szCs w:val="24"/>
              </w:rPr>
              <w:t xml:space="preserve"> </w:t>
            </w:r>
            <w:r>
              <w:rPr>
                <w:rFonts w:ascii="宋体" w:hAnsi="宋体" w:eastAsia="宋体" w:cs="宋体"/>
                <w:spacing w:val="-2"/>
                <w:sz w:val="24"/>
                <w:szCs w:val="24"/>
              </w:rPr>
              <w:t>系统的数据。</w:t>
            </w:r>
          </w:p>
          <w:p w14:paraId="63496140">
            <w:pPr>
              <w:spacing w:before="73" w:line="248" w:lineRule="auto"/>
              <w:ind w:left="112" w:right="102" w:hanging="3"/>
              <w:rPr>
                <w:rFonts w:ascii="宋体" w:hAnsi="宋体" w:eastAsia="宋体" w:cs="宋体"/>
                <w:sz w:val="24"/>
                <w:szCs w:val="24"/>
              </w:rPr>
            </w:pPr>
            <w:r>
              <w:rPr>
                <w:rFonts w:ascii="宋体" w:hAnsi="宋体" w:eastAsia="宋体" w:cs="宋体"/>
                <w:spacing w:val="-1"/>
                <w:sz w:val="24"/>
                <w:szCs w:val="24"/>
              </w:rPr>
              <w:t>4．报告模板可引用督查的各项统计数据，包括问题统</w:t>
            </w:r>
            <w:r>
              <w:rPr>
                <w:rFonts w:ascii="宋体" w:hAnsi="宋体" w:eastAsia="宋体" w:cs="宋体"/>
                <w:spacing w:val="-2"/>
                <w:sz w:val="24"/>
                <w:szCs w:val="24"/>
              </w:rPr>
              <w:t>计、科室分布、得</w:t>
            </w:r>
            <w:r>
              <w:rPr>
                <w:rFonts w:ascii="宋体" w:hAnsi="宋体" w:eastAsia="宋体" w:cs="宋体"/>
                <w:sz w:val="24"/>
                <w:szCs w:val="24"/>
              </w:rPr>
              <w:t xml:space="preserve"> </w:t>
            </w:r>
            <w:r>
              <w:rPr>
                <w:rFonts w:ascii="宋体" w:hAnsi="宋体" w:eastAsia="宋体" w:cs="宋体"/>
                <w:spacing w:val="-9"/>
                <w:sz w:val="24"/>
                <w:szCs w:val="24"/>
              </w:rPr>
              <w:t>分情况。</w:t>
            </w:r>
          </w:p>
          <w:p w14:paraId="6EB2769D">
            <w:pPr>
              <w:spacing w:before="72" w:line="218" w:lineRule="auto"/>
              <w:ind w:left="115"/>
              <w:rPr>
                <w:rFonts w:ascii="宋体" w:hAnsi="宋体" w:eastAsia="宋体" w:cs="宋体"/>
                <w:sz w:val="24"/>
                <w:szCs w:val="24"/>
              </w:rPr>
            </w:pPr>
            <w:r>
              <w:rPr>
                <w:rFonts w:ascii="宋体" w:hAnsi="宋体" w:eastAsia="宋体" w:cs="宋体"/>
                <w:spacing w:val="-2"/>
                <w:sz w:val="24"/>
                <w:szCs w:val="24"/>
              </w:rPr>
              <w:t>5．报告模板支持字体、对齐方式等文本设置选</w:t>
            </w:r>
            <w:r>
              <w:rPr>
                <w:rFonts w:ascii="宋体" w:hAnsi="宋体" w:eastAsia="宋体" w:cs="宋体"/>
                <w:spacing w:val="-3"/>
                <w:sz w:val="24"/>
                <w:szCs w:val="24"/>
              </w:rPr>
              <w:t>项。</w:t>
            </w:r>
          </w:p>
          <w:p w14:paraId="79CE0228">
            <w:pPr>
              <w:spacing w:before="74" w:line="218" w:lineRule="auto"/>
              <w:ind w:left="112"/>
              <w:rPr>
                <w:rFonts w:ascii="宋体" w:hAnsi="宋体" w:eastAsia="宋体" w:cs="宋体"/>
                <w:sz w:val="24"/>
                <w:szCs w:val="24"/>
              </w:rPr>
            </w:pPr>
            <w:r>
              <w:rPr>
                <w:rFonts w:ascii="宋体" w:hAnsi="宋体" w:eastAsia="宋体" w:cs="宋体"/>
                <w:spacing w:val="-3"/>
                <w:sz w:val="24"/>
                <w:szCs w:val="24"/>
              </w:rPr>
              <w:t>6．报告模板可插入图片、表格、超链接。</w:t>
            </w:r>
          </w:p>
          <w:p w14:paraId="0291BA3B">
            <w:pPr>
              <w:spacing w:before="75" w:line="218" w:lineRule="auto"/>
              <w:ind w:left="116"/>
              <w:rPr>
                <w:rFonts w:ascii="宋体" w:hAnsi="宋体" w:eastAsia="宋体" w:cs="宋体"/>
                <w:sz w:val="24"/>
                <w:szCs w:val="24"/>
              </w:rPr>
            </w:pPr>
            <w:r>
              <w:rPr>
                <w:rFonts w:ascii="宋体" w:hAnsi="宋体" w:eastAsia="宋体" w:cs="宋体"/>
                <w:spacing w:val="-2"/>
                <w:sz w:val="24"/>
                <w:szCs w:val="24"/>
              </w:rPr>
              <w:t>7．支持对已保存的报告模板进行修改和删除</w:t>
            </w:r>
            <w:r>
              <w:rPr>
                <w:rFonts w:ascii="宋体" w:hAnsi="宋体" w:eastAsia="宋体" w:cs="宋体"/>
                <w:spacing w:val="-3"/>
                <w:sz w:val="24"/>
                <w:szCs w:val="24"/>
              </w:rPr>
              <w:t>操作。</w:t>
            </w:r>
          </w:p>
          <w:p w14:paraId="28DFE61C">
            <w:pPr>
              <w:spacing w:before="74" w:line="218" w:lineRule="auto"/>
              <w:ind w:left="111"/>
              <w:rPr>
                <w:rFonts w:ascii="宋体" w:hAnsi="宋体" w:eastAsia="宋体" w:cs="宋体"/>
                <w:sz w:val="24"/>
                <w:szCs w:val="24"/>
              </w:rPr>
            </w:pPr>
            <w:r>
              <w:rPr>
                <w:rFonts w:ascii="宋体" w:hAnsi="宋体" w:eastAsia="宋体" w:cs="宋体"/>
                <w:spacing w:val="-3"/>
                <w:sz w:val="24"/>
                <w:szCs w:val="24"/>
              </w:rPr>
              <w:t>8．支持停用、启用已保存的报告模板。</w:t>
            </w:r>
          </w:p>
          <w:p w14:paraId="6572C9E6">
            <w:pPr>
              <w:spacing w:before="75" w:line="218" w:lineRule="auto"/>
              <w:ind w:left="111"/>
              <w:rPr>
                <w:rFonts w:ascii="宋体" w:hAnsi="宋体" w:eastAsia="宋体" w:cs="宋体"/>
                <w:sz w:val="24"/>
                <w:szCs w:val="24"/>
              </w:rPr>
            </w:pPr>
            <w:r>
              <w:rPr>
                <w:rFonts w:ascii="宋体" w:hAnsi="宋体" w:eastAsia="宋体" w:cs="宋体"/>
                <w:spacing w:val="-3"/>
                <w:sz w:val="24"/>
                <w:szCs w:val="24"/>
              </w:rPr>
              <w:t>9．支持根据关键字检索报告模板。</w:t>
            </w:r>
          </w:p>
          <w:p w14:paraId="6E9D7045">
            <w:pPr>
              <w:spacing w:before="74" w:line="219" w:lineRule="auto"/>
              <w:ind w:left="128"/>
              <w:rPr>
                <w:rFonts w:ascii="宋体" w:hAnsi="宋体" w:eastAsia="宋体" w:cs="宋体"/>
                <w:sz w:val="24"/>
                <w:szCs w:val="24"/>
              </w:rPr>
            </w:pPr>
            <w:r>
              <w:rPr>
                <w:rFonts w:ascii="宋体" w:hAnsi="宋体" w:eastAsia="宋体" w:cs="宋体"/>
                <w:spacing w:val="-3"/>
                <w:sz w:val="24"/>
                <w:szCs w:val="24"/>
              </w:rPr>
              <w:t>10．支持导出为</w:t>
            </w:r>
            <w:r>
              <w:rPr>
                <w:rFonts w:ascii="宋体" w:hAnsi="宋体" w:eastAsia="宋体" w:cs="宋体"/>
                <w:spacing w:val="-48"/>
                <w:sz w:val="24"/>
                <w:szCs w:val="24"/>
              </w:rPr>
              <w:t xml:space="preserve"> </w:t>
            </w:r>
            <w:r>
              <w:rPr>
                <w:rFonts w:ascii="宋体" w:hAnsi="宋体" w:eastAsia="宋体" w:cs="宋体"/>
                <w:spacing w:val="-3"/>
                <w:sz w:val="24"/>
                <w:szCs w:val="24"/>
              </w:rPr>
              <w:t>WORD</w:t>
            </w:r>
            <w:r>
              <w:rPr>
                <w:rFonts w:ascii="宋体" w:hAnsi="宋体" w:eastAsia="宋体" w:cs="宋体"/>
                <w:spacing w:val="-49"/>
                <w:sz w:val="24"/>
                <w:szCs w:val="24"/>
              </w:rPr>
              <w:t xml:space="preserve"> </w:t>
            </w:r>
            <w:r>
              <w:rPr>
                <w:rFonts w:ascii="宋体" w:hAnsi="宋体" w:eastAsia="宋体" w:cs="宋体"/>
                <w:spacing w:val="-3"/>
                <w:sz w:val="24"/>
                <w:szCs w:val="24"/>
              </w:rPr>
              <w:t>文档以供管理人员进一步修订。</w:t>
            </w:r>
          </w:p>
        </w:tc>
      </w:tr>
      <w:tr w14:paraId="48793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783" w:type="dxa"/>
            <w:vAlign w:val="top"/>
          </w:tcPr>
          <w:p w14:paraId="489F53B8">
            <w:pPr>
              <w:spacing w:line="278" w:lineRule="auto"/>
              <w:rPr>
                <w:rFonts w:ascii="Arial"/>
                <w:sz w:val="21"/>
              </w:rPr>
            </w:pPr>
          </w:p>
          <w:p w14:paraId="0E16264A">
            <w:pPr>
              <w:spacing w:line="279" w:lineRule="auto"/>
              <w:rPr>
                <w:rFonts w:ascii="Arial"/>
                <w:sz w:val="21"/>
              </w:rPr>
            </w:pPr>
          </w:p>
          <w:p w14:paraId="13C6537B">
            <w:pPr>
              <w:spacing w:before="78" w:line="180" w:lineRule="auto"/>
              <w:ind w:left="342"/>
              <w:rPr>
                <w:rFonts w:ascii="宋体" w:hAnsi="宋体" w:eastAsia="宋体" w:cs="宋体"/>
                <w:sz w:val="24"/>
                <w:szCs w:val="24"/>
              </w:rPr>
            </w:pPr>
            <w:r>
              <w:rPr>
                <w:rFonts w:ascii="宋体" w:hAnsi="宋体" w:eastAsia="宋体" w:cs="宋体"/>
                <w:sz w:val="24"/>
                <w:szCs w:val="24"/>
              </w:rPr>
              <w:t>7</w:t>
            </w:r>
          </w:p>
        </w:tc>
        <w:tc>
          <w:tcPr>
            <w:tcW w:w="1273" w:type="dxa"/>
            <w:vAlign w:val="top"/>
          </w:tcPr>
          <w:p w14:paraId="57BEDA4B">
            <w:pPr>
              <w:spacing w:line="258" w:lineRule="auto"/>
              <w:rPr>
                <w:rFonts w:ascii="Arial"/>
                <w:sz w:val="21"/>
              </w:rPr>
            </w:pPr>
          </w:p>
          <w:p w14:paraId="2B1CB2ED">
            <w:pPr>
              <w:spacing w:line="258" w:lineRule="auto"/>
              <w:rPr>
                <w:rFonts w:ascii="Arial"/>
                <w:sz w:val="21"/>
              </w:rPr>
            </w:pPr>
          </w:p>
          <w:p w14:paraId="0BFFB6C0">
            <w:pPr>
              <w:spacing w:before="78" w:line="218" w:lineRule="auto"/>
              <w:ind w:left="106"/>
              <w:rPr>
                <w:rFonts w:ascii="宋体" w:hAnsi="宋体" w:eastAsia="宋体" w:cs="宋体"/>
                <w:sz w:val="24"/>
                <w:szCs w:val="24"/>
              </w:rPr>
            </w:pPr>
            <w:r>
              <w:rPr>
                <w:rFonts w:ascii="宋体" w:hAnsi="宋体" w:eastAsia="宋体" w:cs="宋体"/>
                <w:spacing w:val="-2"/>
                <w:sz w:val="24"/>
                <w:szCs w:val="24"/>
              </w:rPr>
              <w:t>报告管理</w:t>
            </w:r>
          </w:p>
        </w:tc>
        <w:tc>
          <w:tcPr>
            <w:tcW w:w="7743" w:type="dxa"/>
            <w:vAlign w:val="top"/>
          </w:tcPr>
          <w:p w14:paraId="650DC6D0">
            <w:pPr>
              <w:spacing w:before="37" w:line="218" w:lineRule="auto"/>
              <w:ind w:left="128"/>
              <w:rPr>
                <w:rFonts w:ascii="宋体" w:hAnsi="宋体" w:eastAsia="宋体" w:cs="宋体"/>
                <w:sz w:val="24"/>
                <w:szCs w:val="24"/>
              </w:rPr>
            </w:pPr>
            <w:r>
              <w:rPr>
                <w:rFonts w:ascii="宋体" w:hAnsi="宋体" w:eastAsia="宋体" w:cs="宋体"/>
                <w:spacing w:val="-3"/>
                <w:sz w:val="24"/>
                <w:szCs w:val="24"/>
              </w:rPr>
              <w:t>1．可按督查任务及期间生成相关的自动化报告。</w:t>
            </w:r>
          </w:p>
          <w:p w14:paraId="667F7992">
            <w:pPr>
              <w:spacing w:before="74" w:line="218" w:lineRule="auto"/>
              <w:ind w:left="113"/>
              <w:rPr>
                <w:rFonts w:ascii="宋体" w:hAnsi="宋体" w:eastAsia="宋体" w:cs="宋体"/>
                <w:sz w:val="24"/>
                <w:szCs w:val="24"/>
              </w:rPr>
            </w:pPr>
            <w:r>
              <w:rPr>
                <w:rFonts w:ascii="宋体" w:hAnsi="宋体" w:eastAsia="宋体" w:cs="宋体"/>
                <w:spacing w:val="-2"/>
                <w:sz w:val="24"/>
                <w:szCs w:val="24"/>
              </w:rPr>
              <w:t>2．可在生成的督查报告中直接编辑报告并保</w:t>
            </w:r>
            <w:r>
              <w:rPr>
                <w:rFonts w:ascii="宋体" w:hAnsi="宋体" w:eastAsia="宋体" w:cs="宋体"/>
                <w:spacing w:val="-3"/>
                <w:sz w:val="24"/>
                <w:szCs w:val="24"/>
              </w:rPr>
              <w:t>存。</w:t>
            </w:r>
          </w:p>
          <w:p w14:paraId="4A10FAE1">
            <w:pPr>
              <w:spacing w:before="74" w:line="218" w:lineRule="auto"/>
              <w:ind w:left="115"/>
              <w:rPr>
                <w:rFonts w:ascii="宋体" w:hAnsi="宋体" w:eastAsia="宋体" w:cs="宋体"/>
                <w:sz w:val="24"/>
                <w:szCs w:val="24"/>
              </w:rPr>
            </w:pPr>
            <w:r>
              <w:rPr>
                <w:rFonts w:ascii="宋体" w:hAnsi="宋体" w:eastAsia="宋体" w:cs="宋体"/>
                <w:spacing w:val="-2"/>
                <w:sz w:val="24"/>
                <w:szCs w:val="24"/>
              </w:rPr>
              <w:t>3．报告可导出为</w:t>
            </w:r>
            <w:r>
              <w:rPr>
                <w:rFonts w:ascii="宋体" w:hAnsi="宋体" w:eastAsia="宋体" w:cs="宋体"/>
                <w:spacing w:val="-58"/>
                <w:sz w:val="24"/>
                <w:szCs w:val="24"/>
              </w:rPr>
              <w:t xml:space="preserve"> </w:t>
            </w:r>
            <w:r>
              <w:rPr>
                <w:rFonts w:ascii="宋体" w:hAnsi="宋体" w:eastAsia="宋体" w:cs="宋体"/>
                <w:spacing w:val="-2"/>
                <w:sz w:val="24"/>
                <w:szCs w:val="24"/>
              </w:rPr>
              <w:t>WORD，便于管理人员二次编</w:t>
            </w:r>
            <w:r>
              <w:rPr>
                <w:rFonts w:ascii="宋体" w:hAnsi="宋体" w:eastAsia="宋体" w:cs="宋体"/>
                <w:spacing w:val="-3"/>
                <w:sz w:val="24"/>
                <w:szCs w:val="24"/>
              </w:rPr>
              <w:t>辑。</w:t>
            </w:r>
          </w:p>
          <w:p w14:paraId="7FD68265">
            <w:pPr>
              <w:spacing w:before="74" w:line="218" w:lineRule="auto"/>
              <w:ind w:left="109"/>
              <w:rPr>
                <w:rFonts w:ascii="宋体" w:hAnsi="宋体" w:eastAsia="宋体" w:cs="宋体"/>
                <w:sz w:val="24"/>
                <w:szCs w:val="24"/>
              </w:rPr>
            </w:pPr>
            <w:r>
              <w:rPr>
                <w:rFonts w:ascii="宋体" w:hAnsi="宋体" w:eastAsia="宋体" w:cs="宋体"/>
                <w:spacing w:val="-3"/>
                <w:sz w:val="24"/>
                <w:szCs w:val="24"/>
              </w:rPr>
              <w:t>4．已经定稿的报告可发布到指定角色。</w:t>
            </w:r>
          </w:p>
        </w:tc>
      </w:tr>
      <w:tr w14:paraId="215C9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799" w:type="dxa"/>
            <w:gridSpan w:val="3"/>
            <w:vAlign w:val="top"/>
          </w:tcPr>
          <w:p w14:paraId="2B5B571A">
            <w:pPr>
              <w:spacing w:before="179" w:line="220" w:lineRule="auto"/>
              <w:ind w:left="3982"/>
              <w:rPr>
                <w:rFonts w:ascii="宋体" w:hAnsi="宋体" w:eastAsia="宋体" w:cs="宋体"/>
                <w:sz w:val="24"/>
                <w:szCs w:val="24"/>
              </w:rPr>
            </w:pPr>
            <w:r>
              <w:rPr>
                <w:rFonts w:ascii="宋体" w:hAnsi="宋体" w:eastAsia="宋体" w:cs="宋体"/>
                <w:b/>
                <w:bCs/>
                <w:spacing w:val="-8"/>
                <w:sz w:val="24"/>
                <w:szCs w:val="24"/>
              </w:rPr>
              <w:t>(四)资质权限管理</w:t>
            </w:r>
          </w:p>
        </w:tc>
      </w:tr>
      <w:tr w14:paraId="357BB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2" w:hRule="atLeast"/>
        </w:trPr>
        <w:tc>
          <w:tcPr>
            <w:tcW w:w="783" w:type="dxa"/>
            <w:vAlign w:val="top"/>
          </w:tcPr>
          <w:p w14:paraId="7F931C36">
            <w:pPr>
              <w:spacing w:line="259" w:lineRule="auto"/>
              <w:rPr>
                <w:rFonts w:ascii="Arial"/>
                <w:sz w:val="21"/>
              </w:rPr>
            </w:pPr>
          </w:p>
          <w:p w14:paraId="05C91FCE">
            <w:pPr>
              <w:spacing w:line="259" w:lineRule="auto"/>
              <w:rPr>
                <w:rFonts w:ascii="Arial"/>
                <w:sz w:val="21"/>
              </w:rPr>
            </w:pPr>
          </w:p>
          <w:p w14:paraId="571AC01D">
            <w:pPr>
              <w:spacing w:line="259" w:lineRule="auto"/>
              <w:rPr>
                <w:rFonts w:ascii="Arial"/>
                <w:sz w:val="21"/>
              </w:rPr>
            </w:pPr>
          </w:p>
          <w:p w14:paraId="49992AB4">
            <w:pPr>
              <w:spacing w:line="259" w:lineRule="auto"/>
              <w:rPr>
                <w:rFonts w:ascii="Arial"/>
                <w:sz w:val="21"/>
              </w:rPr>
            </w:pPr>
          </w:p>
          <w:p w14:paraId="42E0A40F">
            <w:pPr>
              <w:spacing w:line="259" w:lineRule="auto"/>
              <w:rPr>
                <w:rFonts w:ascii="Arial"/>
                <w:sz w:val="21"/>
              </w:rPr>
            </w:pPr>
          </w:p>
          <w:p w14:paraId="691A78C2">
            <w:pPr>
              <w:spacing w:line="260" w:lineRule="auto"/>
              <w:rPr>
                <w:rFonts w:ascii="Arial"/>
                <w:sz w:val="21"/>
              </w:rPr>
            </w:pPr>
          </w:p>
          <w:p w14:paraId="3E67E3A3">
            <w:pPr>
              <w:spacing w:line="260" w:lineRule="auto"/>
              <w:rPr>
                <w:rFonts w:ascii="Arial"/>
                <w:sz w:val="21"/>
              </w:rPr>
            </w:pPr>
          </w:p>
          <w:p w14:paraId="19C50209">
            <w:pPr>
              <w:spacing w:line="260" w:lineRule="auto"/>
              <w:rPr>
                <w:rFonts w:ascii="Arial"/>
                <w:sz w:val="21"/>
              </w:rPr>
            </w:pPr>
          </w:p>
          <w:p w14:paraId="4ADE30FA">
            <w:pPr>
              <w:spacing w:line="260" w:lineRule="auto"/>
              <w:rPr>
                <w:rFonts w:ascii="Arial"/>
                <w:sz w:val="21"/>
              </w:rPr>
            </w:pPr>
          </w:p>
          <w:p w14:paraId="40F26A36">
            <w:pPr>
              <w:spacing w:before="78" w:line="182" w:lineRule="auto"/>
              <w:ind w:left="354"/>
              <w:rPr>
                <w:rFonts w:ascii="宋体" w:hAnsi="宋体" w:eastAsia="宋体" w:cs="宋体"/>
                <w:sz w:val="24"/>
                <w:szCs w:val="24"/>
              </w:rPr>
            </w:pPr>
            <w:r>
              <w:rPr>
                <w:rFonts w:ascii="宋体" w:hAnsi="宋体" w:eastAsia="宋体" w:cs="宋体"/>
                <w:sz w:val="24"/>
                <w:szCs w:val="24"/>
              </w:rPr>
              <w:t>1</w:t>
            </w:r>
          </w:p>
        </w:tc>
        <w:tc>
          <w:tcPr>
            <w:tcW w:w="1273" w:type="dxa"/>
            <w:vAlign w:val="top"/>
          </w:tcPr>
          <w:p w14:paraId="39B7AD91">
            <w:pPr>
              <w:spacing w:line="255" w:lineRule="auto"/>
              <w:rPr>
                <w:rFonts w:ascii="Arial"/>
                <w:sz w:val="21"/>
              </w:rPr>
            </w:pPr>
          </w:p>
          <w:p w14:paraId="0BD91635">
            <w:pPr>
              <w:spacing w:line="255" w:lineRule="auto"/>
              <w:rPr>
                <w:rFonts w:ascii="Arial"/>
                <w:sz w:val="21"/>
              </w:rPr>
            </w:pPr>
          </w:p>
          <w:p w14:paraId="2339C8BF">
            <w:pPr>
              <w:spacing w:line="255" w:lineRule="auto"/>
              <w:rPr>
                <w:rFonts w:ascii="Arial"/>
                <w:sz w:val="21"/>
              </w:rPr>
            </w:pPr>
          </w:p>
          <w:p w14:paraId="3AE417F7">
            <w:pPr>
              <w:spacing w:line="255" w:lineRule="auto"/>
              <w:rPr>
                <w:rFonts w:ascii="Arial"/>
                <w:sz w:val="21"/>
              </w:rPr>
            </w:pPr>
          </w:p>
          <w:p w14:paraId="34BB4E46">
            <w:pPr>
              <w:spacing w:line="255" w:lineRule="auto"/>
              <w:rPr>
                <w:rFonts w:ascii="Arial"/>
                <w:sz w:val="21"/>
              </w:rPr>
            </w:pPr>
          </w:p>
          <w:p w14:paraId="62C16693">
            <w:pPr>
              <w:spacing w:line="255" w:lineRule="auto"/>
              <w:rPr>
                <w:rFonts w:ascii="Arial"/>
                <w:sz w:val="21"/>
              </w:rPr>
            </w:pPr>
          </w:p>
          <w:p w14:paraId="5BAD499C">
            <w:pPr>
              <w:spacing w:line="255" w:lineRule="auto"/>
              <w:rPr>
                <w:rFonts w:ascii="Arial"/>
                <w:sz w:val="21"/>
              </w:rPr>
            </w:pPr>
          </w:p>
          <w:p w14:paraId="5C2862D2">
            <w:pPr>
              <w:spacing w:line="255" w:lineRule="auto"/>
              <w:rPr>
                <w:rFonts w:ascii="Arial"/>
                <w:sz w:val="21"/>
              </w:rPr>
            </w:pPr>
          </w:p>
          <w:p w14:paraId="4AA44A2D">
            <w:pPr>
              <w:spacing w:line="255" w:lineRule="auto"/>
              <w:rPr>
                <w:rFonts w:ascii="Arial"/>
                <w:sz w:val="21"/>
              </w:rPr>
            </w:pPr>
          </w:p>
          <w:p w14:paraId="742D7152">
            <w:pPr>
              <w:spacing w:before="78" w:line="220" w:lineRule="auto"/>
              <w:ind w:left="107"/>
              <w:rPr>
                <w:rFonts w:ascii="宋体" w:hAnsi="宋体" w:eastAsia="宋体" w:cs="宋体"/>
                <w:sz w:val="24"/>
                <w:szCs w:val="24"/>
              </w:rPr>
            </w:pPr>
            <w:r>
              <w:rPr>
                <w:rFonts w:ascii="宋体" w:hAnsi="宋体" w:eastAsia="宋体" w:cs="宋体"/>
                <w:spacing w:val="-2"/>
                <w:sz w:val="24"/>
                <w:szCs w:val="24"/>
              </w:rPr>
              <w:t>权限目录</w:t>
            </w:r>
          </w:p>
        </w:tc>
        <w:tc>
          <w:tcPr>
            <w:tcW w:w="7743" w:type="dxa"/>
            <w:vAlign w:val="top"/>
          </w:tcPr>
          <w:p w14:paraId="5F848EED">
            <w:pPr>
              <w:spacing w:before="38" w:line="247" w:lineRule="auto"/>
              <w:ind w:left="111" w:right="106" w:firstLine="16"/>
              <w:rPr>
                <w:rFonts w:ascii="宋体" w:hAnsi="宋体" w:eastAsia="宋体" w:cs="宋体"/>
                <w:sz w:val="24"/>
                <w:szCs w:val="24"/>
              </w:rPr>
            </w:pPr>
            <w:r>
              <w:rPr>
                <w:rFonts w:ascii="宋体" w:hAnsi="宋体" w:eastAsia="宋体" w:cs="宋体"/>
                <w:spacing w:val="-2"/>
                <w:sz w:val="24"/>
                <w:szCs w:val="24"/>
              </w:rPr>
              <w:t>1．支持以下类别的权限：处方权、手术等级、手术目录（手术术式）、</w:t>
            </w:r>
            <w:r>
              <w:rPr>
                <w:rFonts w:ascii="宋体" w:hAnsi="宋体" w:eastAsia="宋体" w:cs="宋体"/>
                <w:spacing w:val="1"/>
                <w:sz w:val="24"/>
                <w:szCs w:val="24"/>
              </w:rPr>
              <w:t xml:space="preserve"> </w:t>
            </w:r>
            <w:r>
              <w:rPr>
                <w:rFonts w:ascii="宋体" w:hAnsi="宋体" w:eastAsia="宋体" w:cs="宋体"/>
                <w:spacing w:val="-2"/>
                <w:sz w:val="24"/>
                <w:szCs w:val="24"/>
              </w:rPr>
              <w:t>麻醉、操作、报告、设备、病理、外部系统权限。</w:t>
            </w:r>
          </w:p>
          <w:p w14:paraId="52C837E6">
            <w:pPr>
              <w:spacing w:before="75" w:line="247" w:lineRule="auto"/>
              <w:ind w:left="112" w:right="102"/>
              <w:rPr>
                <w:rFonts w:ascii="宋体" w:hAnsi="宋体" w:eastAsia="宋体" w:cs="宋体"/>
                <w:sz w:val="24"/>
                <w:szCs w:val="24"/>
              </w:rPr>
            </w:pPr>
            <w:r>
              <w:rPr>
                <w:rFonts w:ascii="宋体" w:hAnsi="宋体" w:eastAsia="宋体" w:cs="宋体"/>
                <w:spacing w:val="-1"/>
                <w:sz w:val="24"/>
                <w:szCs w:val="24"/>
              </w:rPr>
              <w:t>2．支持基本处方权、精麻毒药品、中成药、</w:t>
            </w:r>
            <w:r>
              <w:rPr>
                <w:rFonts w:ascii="宋体" w:hAnsi="宋体" w:eastAsia="宋体" w:cs="宋体"/>
                <w:spacing w:val="-2"/>
                <w:sz w:val="24"/>
                <w:szCs w:val="24"/>
              </w:rPr>
              <w:t>中药饮片及抗菌药物等级的</w:t>
            </w:r>
            <w:r>
              <w:rPr>
                <w:rFonts w:ascii="宋体" w:hAnsi="宋体" w:eastAsia="宋体" w:cs="宋体"/>
                <w:sz w:val="24"/>
                <w:szCs w:val="24"/>
              </w:rPr>
              <w:t xml:space="preserve"> </w:t>
            </w:r>
            <w:r>
              <w:rPr>
                <w:rFonts w:ascii="宋体" w:hAnsi="宋体" w:eastAsia="宋体" w:cs="宋体"/>
                <w:spacing w:val="-6"/>
                <w:sz w:val="24"/>
                <w:szCs w:val="24"/>
              </w:rPr>
              <w:t>准入条件设置。</w:t>
            </w:r>
          </w:p>
          <w:p w14:paraId="57DE1C54">
            <w:pPr>
              <w:spacing w:before="72" w:line="218" w:lineRule="auto"/>
              <w:ind w:left="115"/>
              <w:rPr>
                <w:rFonts w:ascii="宋体" w:hAnsi="宋体" w:eastAsia="宋体" w:cs="宋体"/>
                <w:sz w:val="24"/>
                <w:szCs w:val="24"/>
              </w:rPr>
            </w:pPr>
            <w:r>
              <w:rPr>
                <w:rFonts w:ascii="宋体" w:hAnsi="宋体" w:eastAsia="宋体" w:cs="宋体"/>
                <w:spacing w:val="-2"/>
                <w:sz w:val="24"/>
                <w:szCs w:val="24"/>
              </w:rPr>
              <w:t>3．权限点可配置有效期，有效期作为阶段性权限评价的依据。</w:t>
            </w:r>
          </w:p>
          <w:p w14:paraId="7347FBEC">
            <w:pPr>
              <w:spacing w:before="75" w:line="247" w:lineRule="auto"/>
              <w:ind w:left="126" w:right="102" w:hanging="17"/>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58"/>
                <w:sz w:val="24"/>
                <w:szCs w:val="24"/>
              </w:rPr>
              <w:t xml:space="preserve"> </w:t>
            </w:r>
            <w:r>
              <w:rPr>
                <w:rFonts w:ascii="宋体" w:hAnsi="宋体" w:eastAsia="宋体" w:cs="宋体"/>
                <w:spacing w:val="-3"/>
                <w:sz w:val="24"/>
                <w:szCs w:val="24"/>
              </w:rPr>
              <w:t>★在提供常规处方权限的基础上，支持基于药品分类、药品标签</w:t>
            </w:r>
            <w:r>
              <w:rPr>
                <w:rFonts w:ascii="宋体" w:hAnsi="宋体" w:eastAsia="宋体" w:cs="宋体"/>
                <w:spacing w:val="-4"/>
                <w:sz w:val="24"/>
                <w:szCs w:val="24"/>
              </w:rPr>
              <w:t>的权</w:t>
            </w:r>
            <w:r>
              <w:rPr>
                <w:rFonts w:ascii="宋体" w:hAnsi="宋体" w:eastAsia="宋体" w:cs="宋体"/>
                <w:sz w:val="24"/>
                <w:szCs w:val="24"/>
              </w:rPr>
              <w:t xml:space="preserve"> </w:t>
            </w:r>
            <w:r>
              <w:rPr>
                <w:rFonts w:ascii="宋体" w:hAnsi="宋体" w:eastAsia="宋体" w:cs="宋体"/>
                <w:spacing w:val="-3"/>
                <w:sz w:val="24"/>
                <w:szCs w:val="24"/>
              </w:rPr>
              <w:t>限点定义准入条件；可自定义药品分类；支持对药品打上自定义标签，</w:t>
            </w:r>
          </w:p>
          <w:p w14:paraId="20A63253">
            <w:pPr>
              <w:spacing w:before="72" w:line="262" w:lineRule="auto"/>
              <w:ind w:left="112" w:right="72" w:firstLine="21"/>
              <w:rPr>
                <w:rFonts w:ascii="宋体" w:hAnsi="宋体" w:eastAsia="宋体" w:cs="宋体"/>
                <w:sz w:val="24"/>
                <w:szCs w:val="24"/>
              </w:rPr>
            </w:pPr>
            <w:r>
              <w:rPr>
                <w:rFonts w:ascii="宋体" w:hAnsi="宋体" w:eastAsia="宋体" w:cs="宋体"/>
                <w:spacing w:val="3"/>
                <w:sz w:val="24"/>
                <w:szCs w:val="24"/>
              </w:rPr>
              <w:t>同一药品支持多个标签，如“老年人慎用药品”、“儿</w:t>
            </w:r>
            <w:r>
              <w:rPr>
                <w:rFonts w:ascii="宋体" w:hAnsi="宋体" w:eastAsia="宋体" w:cs="宋体"/>
                <w:spacing w:val="2"/>
                <w:sz w:val="24"/>
                <w:szCs w:val="24"/>
              </w:rPr>
              <w:t>童易过敏用药”</w:t>
            </w:r>
            <w:r>
              <w:rPr>
                <w:rFonts w:ascii="宋体" w:hAnsi="宋体" w:eastAsia="宋体" w:cs="宋体"/>
                <w:sz w:val="24"/>
                <w:szCs w:val="24"/>
              </w:rPr>
              <w:t xml:space="preserve"> </w:t>
            </w:r>
            <w:r>
              <w:rPr>
                <w:rFonts w:ascii="宋体" w:hAnsi="宋体" w:eastAsia="宋体" w:cs="宋体"/>
                <w:spacing w:val="-12"/>
                <w:sz w:val="24"/>
                <w:szCs w:val="24"/>
              </w:rPr>
              <w:t>等。</w:t>
            </w:r>
          </w:p>
          <w:p w14:paraId="74FBD0F2">
            <w:pPr>
              <w:spacing w:before="34" w:line="257" w:lineRule="auto"/>
              <w:ind w:left="111" w:right="16" w:firstLine="3"/>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spacing w:val="54"/>
                <w:sz w:val="24"/>
                <w:szCs w:val="24"/>
              </w:rPr>
              <w:t xml:space="preserve"> </w:t>
            </w:r>
            <w:r>
              <w:rPr>
                <w:rFonts w:ascii="宋体" w:hAnsi="宋体" w:eastAsia="宋体" w:cs="宋体"/>
                <w:spacing w:val="-3"/>
                <w:sz w:val="24"/>
                <w:szCs w:val="24"/>
              </w:rPr>
              <w:t>★满足《国家卫生健康委办公厅关于印发</w:t>
            </w:r>
            <w:r>
              <w:rPr>
                <w:rFonts w:ascii="宋体" w:hAnsi="宋体" w:eastAsia="宋体" w:cs="宋体"/>
                <w:spacing w:val="-4"/>
                <w:sz w:val="24"/>
                <w:szCs w:val="24"/>
              </w:rPr>
              <w:t>医疗机构手术分级管理办法</w:t>
            </w:r>
            <w:r>
              <w:rPr>
                <w:rFonts w:ascii="宋体" w:hAnsi="宋体" w:eastAsia="宋体" w:cs="宋体"/>
                <w:sz w:val="24"/>
                <w:szCs w:val="24"/>
              </w:rPr>
              <w:t xml:space="preserve"> </w:t>
            </w:r>
            <w:r>
              <w:rPr>
                <w:rFonts w:ascii="宋体" w:hAnsi="宋体" w:eastAsia="宋体" w:cs="宋体"/>
                <w:spacing w:val="-4"/>
                <w:sz w:val="24"/>
                <w:szCs w:val="24"/>
              </w:rPr>
              <w:t>的通知（国卫办医政发〔2022〕18</w:t>
            </w:r>
            <w:r>
              <w:rPr>
                <w:rFonts w:ascii="宋体" w:hAnsi="宋体" w:eastAsia="宋体" w:cs="宋体"/>
                <w:spacing w:val="-45"/>
                <w:sz w:val="24"/>
                <w:szCs w:val="24"/>
              </w:rPr>
              <w:t xml:space="preserve"> </w:t>
            </w:r>
            <w:r>
              <w:rPr>
                <w:rFonts w:ascii="宋体" w:hAnsi="宋体" w:eastAsia="宋体" w:cs="宋体"/>
                <w:spacing w:val="-4"/>
                <w:sz w:val="24"/>
                <w:szCs w:val="24"/>
              </w:rPr>
              <w:t>号）》的要</w:t>
            </w:r>
            <w:r>
              <w:rPr>
                <w:rFonts w:ascii="宋体" w:hAnsi="宋体" w:eastAsia="宋体" w:cs="宋体"/>
                <w:spacing w:val="-5"/>
                <w:sz w:val="24"/>
                <w:szCs w:val="24"/>
              </w:rPr>
              <w:t>求，手术权限须区分主刀、</w:t>
            </w:r>
            <w:r>
              <w:rPr>
                <w:rFonts w:ascii="宋体" w:hAnsi="宋体" w:eastAsia="宋体" w:cs="宋体"/>
                <w:sz w:val="24"/>
                <w:szCs w:val="24"/>
              </w:rPr>
              <w:t xml:space="preserve"> </w:t>
            </w:r>
            <w:r>
              <w:rPr>
                <w:rFonts w:ascii="宋体" w:hAnsi="宋体" w:eastAsia="宋体" w:cs="宋体"/>
                <w:spacing w:val="-5"/>
                <w:sz w:val="24"/>
                <w:szCs w:val="24"/>
              </w:rPr>
              <w:t>开单与一助。</w:t>
            </w:r>
          </w:p>
          <w:p w14:paraId="39575739">
            <w:pPr>
              <w:spacing w:before="72" w:line="218" w:lineRule="auto"/>
              <w:ind w:left="112"/>
              <w:rPr>
                <w:rFonts w:ascii="宋体" w:hAnsi="宋体" w:eastAsia="宋体" w:cs="宋体"/>
                <w:sz w:val="24"/>
                <w:szCs w:val="24"/>
              </w:rPr>
            </w:pPr>
            <w:r>
              <w:rPr>
                <w:rFonts w:ascii="宋体" w:hAnsi="宋体" w:eastAsia="宋体" w:cs="宋体"/>
                <w:spacing w:val="-3"/>
                <w:sz w:val="24"/>
                <w:szCs w:val="24"/>
              </w:rPr>
              <w:t>6．报告类权限分别设置签发与初审子权限。</w:t>
            </w:r>
          </w:p>
          <w:p w14:paraId="3C504F4F">
            <w:pPr>
              <w:spacing w:before="74" w:line="220" w:lineRule="auto"/>
              <w:ind w:left="116"/>
              <w:rPr>
                <w:rFonts w:ascii="宋体" w:hAnsi="宋体" w:eastAsia="宋体" w:cs="宋体"/>
                <w:sz w:val="24"/>
                <w:szCs w:val="24"/>
              </w:rPr>
            </w:pPr>
            <w:r>
              <w:rPr>
                <w:rFonts w:ascii="宋体" w:hAnsi="宋体" w:eastAsia="宋体" w:cs="宋体"/>
                <w:spacing w:val="-2"/>
                <w:sz w:val="24"/>
                <w:szCs w:val="24"/>
              </w:rPr>
              <w:t>7．权限点可将职称、职务、学历及执业年资作为准入条件。</w:t>
            </w:r>
          </w:p>
        </w:tc>
      </w:tr>
    </w:tbl>
    <w:p w14:paraId="719525F8">
      <w:pPr>
        <w:pStyle w:val="2"/>
        <w:spacing w:line="455" w:lineRule="auto"/>
      </w:pPr>
    </w:p>
    <w:p w14:paraId="5FB4BDA0">
      <w:pPr>
        <w:spacing w:before="61" w:line="209" w:lineRule="auto"/>
        <w:ind w:left="148"/>
        <w:rPr>
          <w:rFonts w:ascii="宋体" w:hAnsi="宋体" w:eastAsia="宋体" w:cs="宋体"/>
          <w:sz w:val="19"/>
          <w:szCs w:val="19"/>
        </w:rPr>
      </w:pPr>
      <w:r>
        <w:pict>
          <v:shape id="_x0000_s1046" o:spid="_x0000_s1046" style="position:absolute;left:0pt;margin-left:1.95pt;margin-top:11.8pt;height:0.75pt;width:494pt;z-index:251691008;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2"/>
          <w:position w:val="1"/>
          <w:sz w:val="18"/>
          <w:szCs w:val="18"/>
        </w:rPr>
        <w:t xml:space="preserve">26                          </w:t>
      </w:r>
      <w:r>
        <w:rPr>
          <w:rFonts w:ascii="Times New Roman" w:hAnsi="Times New Roman" w:eastAsia="Times New Roman" w:cs="Times New Roman"/>
          <w:spacing w:val="-3"/>
          <w:position w:val="1"/>
          <w:sz w:val="18"/>
          <w:szCs w:val="18"/>
        </w:rPr>
        <w:t xml:space="preserve">     </w:t>
      </w:r>
      <w:r>
        <w:rPr>
          <w:rFonts w:ascii="宋体" w:hAnsi="宋体" w:eastAsia="宋体" w:cs="宋体"/>
          <w:b/>
          <w:bCs/>
          <w:i/>
          <w:iCs/>
          <w:spacing w:val="-3"/>
          <w:sz w:val="19"/>
          <w:szCs w:val="19"/>
        </w:rPr>
        <w:t>伊犁州公共资源交易中心</w:t>
      </w:r>
    </w:p>
    <w:p w14:paraId="06248661">
      <w:pPr>
        <w:spacing w:line="209" w:lineRule="auto"/>
        <w:rPr>
          <w:rFonts w:ascii="宋体" w:hAnsi="宋体" w:eastAsia="宋体" w:cs="宋体"/>
          <w:sz w:val="19"/>
          <w:szCs w:val="19"/>
        </w:rPr>
        <w:sectPr>
          <w:pgSz w:w="11905" w:h="16839"/>
          <w:pgMar w:top="1136" w:right="830" w:bottom="400" w:left="1126" w:header="854" w:footer="0" w:gutter="0"/>
          <w:cols w:space="720" w:num="1"/>
        </w:sectPr>
      </w:pPr>
    </w:p>
    <w:p w14:paraId="18C3046C">
      <w:pPr>
        <w:spacing w:before="38"/>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3"/>
        <w:gridCol w:w="7743"/>
      </w:tblGrid>
      <w:tr w14:paraId="61C23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3" w:type="dxa"/>
            <w:vAlign w:val="top"/>
          </w:tcPr>
          <w:p w14:paraId="1512F3B3">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4DF5A27A">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5C494396">
            <w:pPr>
              <w:spacing w:before="179"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587DD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783" w:type="dxa"/>
            <w:vAlign w:val="top"/>
          </w:tcPr>
          <w:p w14:paraId="1F7E07A9">
            <w:pPr>
              <w:rPr>
                <w:rFonts w:ascii="Arial"/>
                <w:sz w:val="21"/>
              </w:rPr>
            </w:pPr>
          </w:p>
        </w:tc>
        <w:tc>
          <w:tcPr>
            <w:tcW w:w="1273" w:type="dxa"/>
            <w:vAlign w:val="top"/>
          </w:tcPr>
          <w:p w14:paraId="6BAEEAD3">
            <w:pPr>
              <w:rPr>
                <w:rFonts w:ascii="Arial"/>
                <w:sz w:val="21"/>
              </w:rPr>
            </w:pPr>
          </w:p>
        </w:tc>
        <w:tc>
          <w:tcPr>
            <w:tcW w:w="7743" w:type="dxa"/>
            <w:vAlign w:val="top"/>
          </w:tcPr>
          <w:p w14:paraId="3079B5AD">
            <w:pPr>
              <w:spacing w:before="32" w:line="220" w:lineRule="auto"/>
              <w:ind w:left="111"/>
              <w:rPr>
                <w:rFonts w:ascii="宋体" w:hAnsi="宋体" w:eastAsia="宋体" w:cs="宋体"/>
                <w:sz w:val="24"/>
                <w:szCs w:val="24"/>
              </w:rPr>
            </w:pPr>
            <w:r>
              <w:rPr>
                <w:rFonts w:ascii="宋体" w:hAnsi="宋体" w:eastAsia="宋体" w:cs="宋体"/>
                <w:spacing w:val="-2"/>
                <w:sz w:val="24"/>
                <w:szCs w:val="24"/>
              </w:rPr>
              <w:t>8．支持将医师个人相关的考核指标数据作为权限准入条件。</w:t>
            </w:r>
          </w:p>
          <w:p w14:paraId="390D0BC0">
            <w:pPr>
              <w:spacing w:before="71" w:line="220" w:lineRule="auto"/>
              <w:ind w:left="111"/>
              <w:rPr>
                <w:rFonts w:ascii="宋体" w:hAnsi="宋体" w:eastAsia="宋体" w:cs="宋体"/>
                <w:sz w:val="24"/>
                <w:szCs w:val="24"/>
              </w:rPr>
            </w:pPr>
            <w:r>
              <w:rPr>
                <w:rFonts w:ascii="宋体" w:hAnsi="宋体" w:eastAsia="宋体" w:cs="宋体"/>
                <w:spacing w:val="-3"/>
                <w:sz w:val="24"/>
                <w:szCs w:val="24"/>
              </w:rPr>
              <w:t>9．可将考试结果作为权限准入条件。</w:t>
            </w:r>
          </w:p>
          <w:p w14:paraId="536ECC2E">
            <w:pPr>
              <w:spacing w:before="72" w:line="219" w:lineRule="auto"/>
              <w:ind w:left="128"/>
              <w:rPr>
                <w:rFonts w:ascii="宋体" w:hAnsi="宋体" w:eastAsia="宋体" w:cs="宋体"/>
                <w:sz w:val="24"/>
                <w:szCs w:val="24"/>
              </w:rPr>
            </w:pPr>
            <w:r>
              <w:rPr>
                <w:rFonts w:ascii="宋体" w:hAnsi="宋体" w:eastAsia="宋体" w:cs="宋体"/>
                <w:spacing w:val="-4"/>
                <w:sz w:val="24"/>
                <w:szCs w:val="24"/>
              </w:rPr>
              <w:t>10．可将资质证书作为权限准入条件。</w:t>
            </w:r>
          </w:p>
          <w:p w14:paraId="2486435A">
            <w:pPr>
              <w:spacing w:before="73" w:line="220" w:lineRule="auto"/>
              <w:ind w:left="128"/>
              <w:rPr>
                <w:rFonts w:ascii="宋体" w:hAnsi="宋体" w:eastAsia="宋体" w:cs="宋体"/>
                <w:sz w:val="24"/>
                <w:szCs w:val="24"/>
              </w:rPr>
            </w:pPr>
            <w:r>
              <w:rPr>
                <w:rFonts w:ascii="宋体" w:hAnsi="宋体" w:eastAsia="宋体" w:cs="宋体"/>
                <w:spacing w:val="-3"/>
                <w:sz w:val="24"/>
                <w:szCs w:val="24"/>
              </w:rPr>
              <w:t>11．支持按手术等级、技术类型检索权限点。</w:t>
            </w:r>
          </w:p>
        </w:tc>
      </w:tr>
      <w:tr w14:paraId="2102E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783" w:type="dxa"/>
            <w:vAlign w:val="top"/>
          </w:tcPr>
          <w:p w14:paraId="260C0556">
            <w:pPr>
              <w:spacing w:line="276" w:lineRule="auto"/>
              <w:rPr>
                <w:rFonts w:ascii="Arial"/>
                <w:sz w:val="21"/>
              </w:rPr>
            </w:pPr>
          </w:p>
          <w:p w14:paraId="0FE20C48">
            <w:pPr>
              <w:spacing w:line="277" w:lineRule="auto"/>
              <w:rPr>
                <w:rFonts w:ascii="Arial"/>
                <w:sz w:val="21"/>
              </w:rPr>
            </w:pPr>
          </w:p>
          <w:p w14:paraId="5586AF4A">
            <w:pPr>
              <w:spacing w:before="78" w:line="181" w:lineRule="auto"/>
              <w:ind w:left="339"/>
              <w:rPr>
                <w:rFonts w:ascii="宋体" w:hAnsi="宋体" w:eastAsia="宋体" w:cs="宋体"/>
                <w:sz w:val="24"/>
                <w:szCs w:val="24"/>
              </w:rPr>
            </w:pPr>
            <w:r>
              <w:rPr>
                <w:rFonts w:ascii="宋体" w:hAnsi="宋体" w:eastAsia="宋体" w:cs="宋体"/>
                <w:sz w:val="24"/>
                <w:szCs w:val="24"/>
              </w:rPr>
              <w:t>2</w:t>
            </w:r>
          </w:p>
        </w:tc>
        <w:tc>
          <w:tcPr>
            <w:tcW w:w="1273" w:type="dxa"/>
            <w:vAlign w:val="top"/>
          </w:tcPr>
          <w:p w14:paraId="0C70779D">
            <w:pPr>
              <w:spacing w:line="256" w:lineRule="auto"/>
              <w:rPr>
                <w:rFonts w:ascii="Arial"/>
                <w:sz w:val="21"/>
              </w:rPr>
            </w:pPr>
          </w:p>
          <w:p w14:paraId="68562634">
            <w:pPr>
              <w:spacing w:line="256" w:lineRule="auto"/>
              <w:rPr>
                <w:rFonts w:ascii="Arial"/>
                <w:sz w:val="21"/>
              </w:rPr>
            </w:pPr>
          </w:p>
          <w:p w14:paraId="241CB027">
            <w:pPr>
              <w:spacing w:before="78" w:line="220" w:lineRule="auto"/>
              <w:ind w:left="107"/>
              <w:rPr>
                <w:rFonts w:ascii="宋体" w:hAnsi="宋体" w:eastAsia="宋体" w:cs="宋体"/>
                <w:sz w:val="24"/>
                <w:szCs w:val="24"/>
              </w:rPr>
            </w:pPr>
            <w:r>
              <w:rPr>
                <w:rFonts w:ascii="宋体" w:hAnsi="宋体" w:eastAsia="宋体" w:cs="宋体"/>
                <w:spacing w:val="-2"/>
                <w:sz w:val="24"/>
                <w:szCs w:val="24"/>
              </w:rPr>
              <w:t>权限组</w:t>
            </w:r>
          </w:p>
        </w:tc>
        <w:tc>
          <w:tcPr>
            <w:tcW w:w="7743" w:type="dxa"/>
            <w:vAlign w:val="top"/>
          </w:tcPr>
          <w:p w14:paraId="3C7F0F8C">
            <w:pPr>
              <w:spacing w:before="33" w:line="220" w:lineRule="auto"/>
              <w:ind w:left="128"/>
              <w:rPr>
                <w:rFonts w:ascii="宋体" w:hAnsi="宋体" w:eastAsia="宋体" w:cs="宋体"/>
                <w:sz w:val="24"/>
                <w:szCs w:val="24"/>
              </w:rPr>
            </w:pPr>
            <w:r>
              <w:rPr>
                <w:rFonts w:ascii="宋体" w:hAnsi="宋体" w:eastAsia="宋体" w:cs="宋体"/>
                <w:spacing w:val="-3"/>
                <w:sz w:val="24"/>
                <w:szCs w:val="24"/>
              </w:rPr>
              <w:t>1．新建、修改权限组，可删除未定义权限的权限组。</w:t>
            </w:r>
          </w:p>
          <w:p w14:paraId="2588C3EE">
            <w:pPr>
              <w:spacing w:before="71" w:line="247" w:lineRule="auto"/>
              <w:ind w:left="111" w:right="102" w:firstLine="1"/>
              <w:rPr>
                <w:rFonts w:ascii="宋体" w:hAnsi="宋体" w:eastAsia="宋体" w:cs="宋体"/>
                <w:sz w:val="24"/>
                <w:szCs w:val="24"/>
              </w:rPr>
            </w:pPr>
            <w:r>
              <w:rPr>
                <w:rFonts w:ascii="宋体" w:hAnsi="宋体" w:eastAsia="宋体" w:cs="宋体"/>
                <w:spacing w:val="-1"/>
                <w:sz w:val="24"/>
                <w:szCs w:val="24"/>
              </w:rPr>
              <w:t>2．为权限组配置专家门诊、互联网医师、处</w:t>
            </w:r>
            <w:r>
              <w:rPr>
                <w:rFonts w:ascii="宋体" w:hAnsi="宋体" w:eastAsia="宋体" w:cs="宋体"/>
                <w:spacing w:val="-2"/>
                <w:sz w:val="24"/>
                <w:szCs w:val="24"/>
              </w:rPr>
              <w:t>方权、手术权、麻醉权、操</w:t>
            </w:r>
            <w:r>
              <w:rPr>
                <w:rFonts w:ascii="宋体" w:hAnsi="宋体" w:eastAsia="宋体" w:cs="宋体"/>
                <w:sz w:val="24"/>
                <w:szCs w:val="24"/>
              </w:rPr>
              <w:t xml:space="preserve"> </w:t>
            </w:r>
            <w:r>
              <w:rPr>
                <w:rFonts w:ascii="宋体" w:hAnsi="宋体" w:eastAsia="宋体" w:cs="宋体"/>
                <w:spacing w:val="-2"/>
                <w:sz w:val="24"/>
                <w:szCs w:val="24"/>
              </w:rPr>
              <w:t>作权、报告权（含病理、影像）和特种设备操作权。</w:t>
            </w:r>
          </w:p>
          <w:p w14:paraId="16DBFBAA">
            <w:pPr>
              <w:spacing w:before="74" w:line="219" w:lineRule="auto"/>
              <w:ind w:left="115"/>
              <w:rPr>
                <w:rFonts w:ascii="宋体" w:hAnsi="宋体" w:eastAsia="宋体" w:cs="宋体"/>
                <w:sz w:val="24"/>
                <w:szCs w:val="24"/>
              </w:rPr>
            </w:pPr>
            <w:r>
              <w:rPr>
                <w:rFonts w:ascii="宋体" w:hAnsi="宋体" w:eastAsia="宋体" w:cs="宋体"/>
                <w:spacing w:val="-4"/>
                <w:sz w:val="24"/>
                <w:szCs w:val="24"/>
              </w:rPr>
              <w:t>3．支持指定权限组的适用科室。</w:t>
            </w:r>
          </w:p>
        </w:tc>
      </w:tr>
      <w:tr w14:paraId="38F61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9" w:hRule="atLeast"/>
        </w:trPr>
        <w:tc>
          <w:tcPr>
            <w:tcW w:w="783" w:type="dxa"/>
            <w:vAlign w:val="top"/>
          </w:tcPr>
          <w:p w14:paraId="57D2CCD6">
            <w:pPr>
              <w:spacing w:line="269" w:lineRule="auto"/>
              <w:rPr>
                <w:rFonts w:ascii="Arial"/>
                <w:sz w:val="21"/>
              </w:rPr>
            </w:pPr>
          </w:p>
          <w:p w14:paraId="1E3B6086">
            <w:pPr>
              <w:spacing w:line="269" w:lineRule="auto"/>
              <w:rPr>
                <w:rFonts w:ascii="Arial"/>
                <w:sz w:val="21"/>
              </w:rPr>
            </w:pPr>
          </w:p>
          <w:p w14:paraId="7D3D46B8">
            <w:pPr>
              <w:spacing w:line="269" w:lineRule="auto"/>
              <w:rPr>
                <w:rFonts w:ascii="Arial"/>
                <w:sz w:val="21"/>
              </w:rPr>
            </w:pPr>
          </w:p>
          <w:p w14:paraId="2F865C75">
            <w:pPr>
              <w:spacing w:line="269" w:lineRule="auto"/>
              <w:rPr>
                <w:rFonts w:ascii="Arial"/>
                <w:sz w:val="21"/>
              </w:rPr>
            </w:pPr>
          </w:p>
          <w:p w14:paraId="44D1E8DC">
            <w:pPr>
              <w:spacing w:line="269" w:lineRule="auto"/>
              <w:rPr>
                <w:rFonts w:ascii="Arial"/>
                <w:sz w:val="21"/>
              </w:rPr>
            </w:pPr>
          </w:p>
          <w:p w14:paraId="33EB9FFF">
            <w:pPr>
              <w:spacing w:line="270" w:lineRule="auto"/>
              <w:rPr>
                <w:rFonts w:ascii="Arial"/>
                <w:sz w:val="21"/>
              </w:rPr>
            </w:pPr>
          </w:p>
          <w:p w14:paraId="5FD381B7">
            <w:pPr>
              <w:spacing w:line="270" w:lineRule="auto"/>
              <w:rPr>
                <w:rFonts w:ascii="Arial"/>
                <w:sz w:val="21"/>
              </w:rPr>
            </w:pPr>
          </w:p>
          <w:p w14:paraId="6809E597">
            <w:pPr>
              <w:spacing w:line="270" w:lineRule="auto"/>
              <w:rPr>
                <w:rFonts w:ascii="Arial"/>
                <w:sz w:val="21"/>
              </w:rPr>
            </w:pPr>
          </w:p>
          <w:p w14:paraId="5AD8A9D8">
            <w:pPr>
              <w:spacing w:before="78" w:line="181" w:lineRule="auto"/>
              <w:ind w:left="341"/>
              <w:rPr>
                <w:rFonts w:ascii="宋体" w:hAnsi="宋体" w:eastAsia="宋体" w:cs="宋体"/>
                <w:sz w:val="24"/>
                <w:szCs w:val="24"/>
              </w:rPr>
            </w:pPr>
            <w:r>
              <w:rPr>
                <w:rFonts w:ascii="宋体" w:hAnsi="宋体" w:eastAsia="宋体" w:cs="宋体"/>
                <w:sz w:val="24"/>
                <w:szCs w:val="24"/>
              </w:rPr>
              <w:t>3</w:t>
            </w:r>
          </w:p>
        </w:tc>
        <w:tc>
          <w:tcPr>
            <w:tcW w:w="1273" w:type="dxa"/>
            <w:vAlign w:val="top"/>
          </w:tcPr>
          <w:p w14:paraId="4F37EEC2">
            <w:pPr>
              <w:spacing w:line="264" w:lineRule="auto"/>
              <w:rPr>
                <w:rFonts w:ascii="Arial"/>
                <w:sz w:val="21"/>
              </w:rPr>
            </w:pPr>
          </w:p>
          <w:p w14:paraId="7825CF78">
            <w:pPr>
              <w:spacing w:line="264" w:lineRule="auto"/>
              <w:rPr>
                <w:rFonts w:ascii="Arial"/>
                <w:sz w:val="21"/>
              </w:rPr>
            </w:pPr>
          </w:p>
          <w:p w14:paraId="4D90B7EF">
            <w:pPr>
              <w:spacing w:line="264" w:lineRule="auto"/>
              <w:rPr>
                <w:rFonts w:ascii="Arial"/>
                <w:sz w:val="21"/>
              </w:rPr>
            </w:pPr>
          </w:p>
          <w:p w14:paraId="2F46D867">
            <w:pPr>
              <w:spacing w:line="264" w:lineRule="auto"/>
              <w:rPr>
                <w:rFonts w:ascii="Arial"/>
                <w:sz w:val="21"/>
              </w:rPr>
            </w:pPr>
          </w:p>
          <w:p w14:paraId="3BA52F56">
            <w:pPr>
              <w:spacing w:line="264" w:lineRule="auto"/>
              <w:rPr>
                <w:rFonts w:ascii="Arial"/>
                <w:sz w:val="21"/>
              </w:rPr>
            </w:pPr>
          </w:p>
          <w:p w14:paraId="672B816B">
            <w:pPr>
              <w:spacing w:line="264" w:lineRule="auto"/>
              <w:rPr>
                <w:rFonts w:ascii="Arial"/>
                <w:sz w:val="21"/>
              </w:rPr>
            </w:pPr>
          </w:p>
          <w:p w14:paraId="368A1B1E">
            <w:pPr>
              <w:spacing w:line="265" w:lineRule="auto"/>
              <w:rPr>
                <w:rFonts w:ascii="Arial"/>
                <w:sz w:val="21"/>
              </w:rPr>
            </w:pPr>
          </w:p>
          <w:p w14:paraId="7570A61C">
            <w:pPr>
              <w:spacing w:line="265" w:lineRule="auto"/>
              <w:rPr>
                <w:rFonts w:ascii="Arial"/>
                <w:sz w:val="21"/>
              </w:rPr>
            </w:pPr>
          </w:p>
          <w:p w14:paraId="6EBDC374">
            <w:pPr>
              <w:spacing w:before="78" w:line="220" w:lineRule="auto"/>
              <w:ind w:left="107"/>
              <w:rPr>
                <w:rFonts w:ascii="宋体" w:hAnsi="宋体" w:eastAsia="宋体" w:cs="宋体"/>
                <w:sz w:val="24"/>
                <w:szCs w:val="24"/>
              </w:rPr>
            </w:pPr>
            <w:r>
              <w:rPr>
                <w:rFonts w:ascii="宋体" w:hAnsi="宋体" w:eastAsia="宋体" w:cs="宋体"/>
                <w:spacing w:val="-2"/>
                <w:sz w:val="24"/>
                <w:szCs w:val="24"/>
              </w:rPr>
              <w:t>权限申请</w:t>
            </w:r>
          </w:p>
        </w:tc>
        <w:tc>
          <w:tcPr>
            <w:tcW w:w="7743" w:type="dxa"/>
            <w:vAlign w:val="top"/>
          </w:tcPr>
          <w:p w14:paraId="1C3C7997">
            <w:pPr>
              <w:spacing w:before="34" w:line="247" w:lineRule="auto"/>
              <w:ind w:left="111" w:right="106" w:firstLine="16"/>
              <w:rPr>
                <w:rFonts w:ascii="宋体" w:hAnsi="宋体" w:eastAsia="宋体" w:cs="宋体"/>
                <w:sz w:val="24"/>
                <w:szCs w:val="24"/>
              </w:rPr>
            </w:pPr>
            <w:r>
              <w:rPr>
                <w:rFonts w:ascii="宋体" w:hAnsi="宋体" w:eastAsia="宋体" w:cs="宋体"/>
                <w:spacing w:val="-2"/>
                <w:sz w:val="24"/>
                <w:szCs w:val="24"/>
              </w:rPr>
              <w:t>1．医师可申请专家门诊、互联网医师、处方权、手术等级、手术目录、</w:t>
            </w:r>
            <w:r>
              <w:rPr>
                <w:rFonts w:ascii="宋体" w:hAnsi="宋体" w:eastAsia="宋体" w:cs="宋体"/>
                <w:spacing w:val="1"/>
                <w:sz w:val="24"/>
                <w:szCs w:val="24"/>
              </w:rPr>
              <w:t xml:space="preserve"> </w:t>
            </w:r>
            <w:r>
              <w:rPr>
                <w:rFonts w:ascii="宋体" w:hAnsi="宋体" w:eastAsia="宋体" w:cs="宋体"/>
                <w:spacing w:val="-2"/>
                <w:sz w:val="24"/>
                <w:szCs w:val="24"/>
              </w:rPr>
              <w:t>麻醉权、操作权、报告权（含病理、影像）和特种设备操作权。</w:t>
            </w:r>
          </w:p>
          <w:p w14:paraId="5B3A9E29">
            <w:pPr>
              <w:spacing w:before="73" w:line="220" w:lineRule="auto"/>
              <w:ind w:left="113"/>
              <w:rPr>
                <w:rFonts w:ascii="宋体" w:hAnsi="宋体" w:eastAsia="宋体" w:cs="宋体"/>
                <w:sz w:val="24"/>
                <w:szCs w:val="24"/>
              </w:rPr>
            </w:pPr>
            <w:r>
              <w:rPr>
                <w:rFonts w:ascii="宋体" w:hAnsi="宋体" w:eastAsia="宋体" w:cs="宋体"/>
                <w:spacing w:val="-2"/>
                <w:sz w:val="24"/>
                <w:szCs w:val="24"/>
              </w:rPr>
              <w:t>2．权限申请时填写权限点、生效日期、申请理由。</w:t>
            </w:r>
          </w:p>
          <w:p w14:paraId="4C8208B9">
            <w:pPr>
              <w:spacing w:before="71" w:line="220" w:lineRule="auto"/>
              <w:ind w:left="115"/>
              <w:rPr>
                <w:rFonts w:ascii="宋体" w:hAnsi="宋体" w:eastAsia="宋体" w:cs="宋体"/>
                <w:sz w:val="24"/>
                <w:szCs w:val="24"/>
              </w:rPr>
            </w:pPr>
            <w:r>
              <w:rPr>
                <w:rFonts w:ascii="宋体" w:hAnsi="宋体" w:eastAsia="宋体" w:cs="宋体"/>
                <w:spacing w:val="-2"/>
                <w:sz w:val="24"/>
                <w:szCs w:val="24"/>
              </w:rPr>
              <w:t>3．支持医师在移动端发起手术目录（手术术式）权限申请。</w:t>
            </w:r>
          </w:p>
          <w:p w14:paraId="5E85E80A">
            <w:pPr>
              <w:spacing w:before="71" w:line="248" w:lineRule="auto"/>
              <w:ind w:left="126" w:right="102" w:hanging="17"/>
              <w:rPr>
                <w:rFonts w:ascii="宋体" w:hAnsi="宋体" w:eastAsia="宋体" w:cs="宋体"/>
                <w:sz w:val="24"/>
                <w:szCs w:val="24"/>
              </w:rPr>
            </w:pPr>
            <w:r>
              <w:rPr>
                <w:rFonts w:ascii="宋体" w:hAnsi="宋体" w:eastAsia="宋体" w:cs="宋体"/>
                <w:spacing w:val="-1"/>
                <w:sz w:val="24"/>
                <w:szCs w:val="24"/>
              </w:rPr>
              <w:t>4．支持临时权限申请，临时申请有时限要求，审批人</w:t>
            </w:r>
            <w:r>
              <w:rPr>
                <w:rFonts w:ascii="宋体" w:hAnsi="宋体" w:eastAsia="宋体" w:cs="宋体"/>
                <w:spacing w:val="-2"/>
                <w:sz w:val="24"/>
                <w:szCs w:val="24"/>
              </w:rPr>
              <w:t>员有权限修改有权</w:t>
            </w:r>
            <w:r>
              <w:rPr>
                <w:rFonts w:ascii="宋体" w:hAnsi="宋体" w:eastAsia="宋体" w:cs="宋体"/>
                <w:sz w:val="24"/>
                <w:szCs w:val="24"/>
              </w:rPr>
              <w:t xml:space="preserve"> </w:t>
            </w:r>
            <w:r>
              <w:rPr>
                <w:rFonts w:ascii="宋体" w:hAnsi="宋体" w:eastAsia="宋体" w:cs="宋体"/>
                <w:spacing w:val="-10"/>
                <w:sz w:val="24"/>
                <w:szCs w:val="24"/>
              </w:rPr>
              <w:t>限到期日。</w:t>
            </w:r>
          </w:p>
          <w:p w14:paraId="37EEFFF4">
            <w:pPr>
              <w:spacing w:before="71" w:line="220" w:lineRule="auto"/>
              <w:ind w:left="115"/>
              <w:rPr>
                <w:rFonts w:ascii="宋体" w:hAnsi="宋体" w:eastAsia="宋体" w:cs="宋体"/>
                <w:sz w:val="24"/>
                <w:szCs w:val="24"/>
              </w:rPr>
            </w:pPr>
            <w:r>
              <w:rPr>
                <w:rFonts w:ascii="宋体" w:hAnsi="宋体" w:eastAsia="宋体" w:cs="宋体"/>
                <w:spacing w:val="-2"/>
                <w:sz w:val="24"/>
                <w:szCs w:val="24"/>
              </w:rPr>
              <w:t>5．支持代理院外专家申请授权，申请时需要登记被代理人。</w:t>
            </w:r>
          </w:p>
          <w:p w14:paraId="3502D0D4">
            <w:pPr>
              <w:spacing w:before="72" w:line="220" w:lineRule="auto"/>
              <w:ind w:left="112"/>
              <w:rPr>
                <w:rFonts w:ascii="宋体" w:hAnsi="宋体" w:eastAsia="宋体" w:cs="宋体"/>
                <w:sz w:val="24"/>
                <w:szCs w:val="24"/>
              </w:rPr>
            </w:pPr>
            <w:r>
              <w:rPr>
                <w:rFonts w:ascii="宋体" w:hAnsi="宋体" w:eastAsia="宋体" w:cs="宋体"/>
                <w:spacing w:val="-3"/>
                <w:sz w:val="24"/>
                <w:szCs w:val="24"/>
              </w:rPr>
              <w:t>6．权限申请时可选择加载权限组。</w:t>
            </w:r>
          </w:p>
          <w:p w14:paraId="62B2BF70">
            <w:pPr>
              <w:spacing w:before="74" w:line="247" w:lineRule="auto"/>
              <w:ind w:left="133" w:right="102" w:hanging="17"/>
              <w:rPr>
                <w:rFonts w:ascii="宋体" w:hAnsi="宋体" w:eastAsia="宋体" w:cs="宋体"/>
                <w:sz w:val="24"/>
                <w:szCs w:val="24"/>
              </w:rPr>
            </w:pPr>
            <w:r>
              <w:rPr>
                <w:rFonts w:ascii="宋体" w:hAnsi="宋体" w:eastAsia="宋体" w:cs="宋体"/>
                <w:spacing w:val="-2"/>
                <w:sz w:val="24"/>
                <w:szCs w:val="24"/>
              </w:rPr>
              <w:t>7．可通过状态查看权限申请单与</w:t>
            </w:r>
            <w:r>
              <w:rPr>
                <w:rFonts w:ascii="宋体" w:hAnsi="宋体" w:eastAsia="宋体" w:cs="宋体"/>
                <w:spacing w:val="-53"/>
                <w:sz w:val="24"/>
                <w:szCs w:val="24"/>
              </w:rPr>
              <w:t xml:space="preserve"> </w:t>
            </w:r>
            <w:r>
              <w:rPr>
                <w:rFonts w:ascii="宋体" w:hAnsi="宋体" w:eastAsia="宋体" w:cs="宋体"/>
                <w:spacing w:val="-2"/>
                <w:sz w:val="24"/>
                <w:szCs w:val="24"/>
              </w:rPr>
              <w:t>HIS</w:t>
            </w:r>
            <w:r>
              <w:rPr>
                <w:rFonts w:ascii="宋体" w:hAnsi="宋体" w:eastAsia="宋体" w:cs="宋体"/>
                <w:spacing w:val="-48"/>
                <w:sz w:val="24"/>
                <w:szCs w:val="24"/>
              </w:rPr>
              <w:t xml:space="preserve"> </w:t>
            </w:r>
            <w:r>
              <w:rPr>
                <w:rFonts w:ascii="宋体" w:hAnsi="宋体" w:eastAsia="宋体" w:cs="宋体"/>
                <w:spacing w:val="-2"/>
                <w:sz w:val="24"/>
                <w:szCs w:val="24"/>
              </w:rPr>
              <w:t>或电子病历系统的同步状态，对于</w:t>
            </w:r>
            <w:r>
              <w:rPr>
                <w:rFonts w:ascii="宋体" w:hAnsi="宋体" w:eastAsia="宋体" w:cs="宋体"/>
                <w:sz w:val="24"/>
                <w:szCs w:val="24"/>
              </w:rPr>
              <w:t xml:space="preserve"> </w:t>
            </w:r>
            <w:r>
              <w:rPr>
                <w:rFonts w:ascii="宋体" w:hAnsi="宋体" w:eastAsia="宋体" w:cs="宋体"/>
                <w:spacing w:val="-4"/>
                <w:sz w:val="24"/>
                <w:szCs w:val="24"/>
              </w:rPr>
              <w:t>同步失败的单据可再次发起同步操作。</w:t>
            </w:r>
          </w:p>
          <w:p w14:paraId="4720D293">
            <w:pPr>
              <w:spacing w:before="72" w:line="220" w:lineRule="auto"/>
              <w:ind w:left="111"/>
              <w:rPr>
                <w:rFonts w:ascii="宋体" w:hAnsi="宋体" w:eastAsia="宋体" w:cs="宋体"/>
                <w:sz w:val="24"/>
                <w:szCs w:val="24"/>
              </w:rPr>
            </w:pPr>
            <w:r>
              <w:rPr>
                <w:rFonts w:ascii="宋体" w:hAnsi="宋体" w:eastAsia="宋体" w:cs="宋体"/>
                <w:spacing w:val="-2"/>
                <w:sz w:val="24"/>
                <w:szCs w:val="24"/>
              </w:rPr>
              <w:t>8．可打印权限申请单，申请单格式及内容可自定义。</w:t>
            </w:r>
          </w:p>
          <w:p w14:paraId="4749FD53">
            <w:pPr>
              <w:spacing w:before="72" w:line="219" w:lineRule="auto"/>
              <w:ind w:left="111"/>
              <w:rPr>
                <w:rFonts w:ascii="宋体" w:hAnsi="宋体" w:eastAsia="宋体" w:cs="宋体"/>
                <w:sz w:val="24"/>
                <w:szCs w:val="24"/>
              </w:rPr>
            </w:pPr>
            <w:r>
              <w:rPr>
                <w:rFonts w:ascii="宋体" w:hAnsi="宋体" w:eastAsia="宋体" w:cs="宋体"/>
                <w:spacing w:val="-2"/>
                <w:sz w:val="24"/>
                <w:szCs w:val="24"/>
              </w:rPr>
              <w:t>9．权限申请可上传图片及</w:t>
            </w:r>
            <w:r>
              <w:rPr>
                <w:rFonts w:ascii="宋体" w:hAnsi="宋体" w:eastAsia="宋体" w:cs="宋体"/>
                <w:spacing w:val="-53"/>
                <w:sz w:val="24"/>
                <w:szCs w:val="24"/>
              </w:rPr>
              <w:t xml:space="preserve"> </w:t>
            </w:r>
            <w:r>
              <w:rPr>
                <w:rFonts w:ascii="宋体" w:hAnsi="宋体" w:eastAsia="宋体" w:cs="宋体"/>
                <w:spacing w:val="-2"/>
                <w:sz w:val="24"/>
                <w:szCs w:val="24"/>
              </w:rPr>
              <w:t>PDF</w:t>
            </w:r>
            <w:r>
              <w:rPr>
                <w:rFonts w:ascii="宋体" w:hAnsi="宋体" w:eastAsia="宋体" w:cs="宋体"/>
                <w:spacing w:val="-49"/>
                <w:sz w:val="24"/>
                <w:szCs w:val="24"/>
              </w:rPr>
              <w:t xml:space="preserve"> </w:t>
            </w:r>
            <w:r>
              <w:rPr>
                <w:rFonts w:ascii="宋体" w:hAnsi="宋体" w:eastAsia="宋体" w:cs="宋体"/>
                <w:spacing w:val="-2"/>
                <w:sz w:val="24"/>
                <w:szCs w:val="24"/>
              </w:rPr>
              <w:t>文件作为附件，用于支撑申请理由。</w:t>
            </w:r>
          </w:p>
          <w:p w14:paraId="3A3869C0">
            <w:pPr>
              <w:spacing w:before="73" w:line="219" w:lineRule="auto"/>
              <w:ind w:left="128"/>
              <w:rPr>
                <w:rFonts w:ascii="宋体" w:hAnsi="宋体" w:eastAsia="宋体" w:cs="宋体"/>
                <w:sz w:val="24"/>
                <w:szCs w:val="24"/>
              </w:rPr>
            </w:pPr>
            <w:r>
              <w:rPr>
                <w:rFonts w:ascii="宋体" w:hAnsi="宋体" w:eastAsia="宋体" w:cs="宋体"/>
                <w:spacing w:val="-3"/>
                <w:sz w:val="24"/>
                <w:szCs w:val="24"/>
              </w:rPr>
              <w:t>10．可按时间范围、科室及审批状态查询权限申请。</w:t>
            </w:r>
          </w:p>
        </w:tc>
      </w:tr>
      <w:tr w14:paraId="384FA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783" w:type="dxa"/>
            <w:vAlign w:val="top"/>
          </w:tcPr>
          <w:p w14:paraId="60656000">
            <w:pPr>
              <w:spacing w:line="259" w:lineRule="auto"/>
              <w:rPr>
                <w:rFonts w:ascii="Arial"/>
                <w:sz w:val="21"/>
              </w:rPr>
            </w:pPr>
          </w:p>
          <w:p w14:paraId="073144DA">
            <w:pPr>
              <w:spacing w:line="259" w:lineRule="auto"/>
              <w:rPr>
                <w:rFonts w:ascii="Arial"/>
                <w:sz w:val="21"/>
              </w:rPr>
            </w:pPr>
          </w:p>
          <w:p w14:paraId="18C426F4">
            <w:pPr>
              <w:spacing w:line="260" w:lineRule="auto"/>
              <w:rPr>
                <w:rFonts w:ascii="Arial"/>
                <w:sz w:val="21"/>
              </w:rPr>
            </w:pPr>
          </w:p>
          <w:p w14:paraId="18A371BF">
            <w:pPr>
              <w:spacing w:line="260" w:lineRule="auto"/>
              <w:rPr>
                <w:rFonts w:ascii="Arial"/>
                <w:sz w:val="21"/>
              </w:rPr>
            </w:pPr>
          </w:p>
          <w:p w14:paraId="0FBF0147">
            <w:pPr>
              <w:spacing w:before="78" w:line="181" w:lineRule="auto"/>
              <w:ind w:left="335"/>
              <w:rPr>
                <w:rFonts w:ascii="宋体" w:hAnsi="宋体" w:eastAsia="宋体" w:cs="宋体"/>
                <w:sz w:val="24"/>
                <w:szCs w:val="24"/>
              </w:rPr>
            </w:pPr>
            <w:r>
              <w:rPr>
                <w:rFonts w:ascii="宋体" w:hAnsi="宋体" w:eastAsia="宋体" w:cs="宋体"/>
                <w:sz w:val="24"/>
                <w:szCs w:val="24"/>
              </w:rPr>
              <w:t>4</w:t>
            </w:r>
          </w:p>
        </w:tc>
        <w:tc>
          <w:tcPr>
            <w:tcW w:w="1273" w:type="dxa"/>
            <w:vAlign w:val="top"/>
          </w:tcPr>
          <w:p w14:paraId="2CC157A7">
            <w:pPr>
              <w:spacing w:line="249" w:lineRule="auto"/>
              <w:rPr>
                <w:rFonts w:ascii="Arial"/>
                <w:sz w:val="21"/>
              </w:rPr>
            </w:pPr>
          </w:p>
          <w:p w14:paraId="7FA27F64">
            <w:pPr>
              <w:spacing w:line="249" w:lineRule="auto"/>
              <w:rPr>
                <w:rFonts w:ascii="Arial"/>
                <w:sz w:val="21"/>
              </w:rPr>
            </w:pPr>
          </w:p>
          <w:p w14:paraId="55894F17">
            <w:pPr>
              <w:spacing w:line="249" w:lineRule="auto"/>
              <w:rPr>
                <w:rFonts w:ascii="Arial"/>
                <w:sz w:val="21"/>
              </w:rPr>
            </w:pPr>
          </w:p>
          <w:p w14:paraId="721B66DB">
            <w:pPr>
              <w:spacing w:line="250" w:lineRule="auto"/>
              <w:rPr>
                <w:rFonts w:ascii="Arial"/>
                <w:sz w:val="21"/>
              </w:rPr>
            </w:pPr>
          </w:p>
          <w:p w14:paraId="62D7577B">
            <w:pPr>
              <w:spacing w:before="78" w:line="220" w:lineRule="auto"/>
              <w:ind w:left="107"/>
              <w:rPr>
                <w:rFonts w:ascii="宋体" w:hAnsi="宋体" w:eastAsia="宋体" w:cs="宋体"/>
                <w:sz w:val="24"/>
                <w:szCs w:val="24"/>
              </w:rPr>
            </w:pPr>
            <w:r>
              <w:rPr>
                <w:rFonts w:ascii="宋体" w:hAnsi="宋体" w:eastAsia="宋体" w:cs="宋体"/>
                <w:spacing w:val="-2"/>
                <w:sz w:val="24"/>
                <w:szCs w:val="24"/>
              </w:rPr>
              <w:t>权限审批</w:t>
            </w:r>
          </w:p>
        </w:tc>
        <w:tc>
          <w:tcPr>
            <w:tcW w:w="7743" w:type="dxa"/>
            <w:vAlign w:val="top"/>
          </w:tcPr>
          <w:p w14:paraId="13197681">
            <w:pPr>
              <w:spacing w:before="68" w:line="220" w:lineRule="auto"/>
              <w:ind w:left="124"/>
              <w:rPr>
                <w:rFonts w:ascii="宋体" w:hAnsi="宋体" w:eastAsia="宋体" w:cs="宋体"/>
                <w:sz w:val="21"/>
                <w:szCs w:val="21"/>
              </w:rPr>
            </w:pPr>
            <w:r>
              <w:rPr>
                <w:rFonts w:ascii="宋体" w:hAnsi="宋体" w:eastAsia="宋体" w:cs="宋体"/>
                <w:spacing w:val="-2"/>
                <w:sz w:val="21"/>
                <w:szCs w:val="21"/>
              </w:rPr>
              <w:t>1．系统支持在提交审核之前设置资质审查环节；可录入资质审查意见。</w:t>
            </w:r>
          </w:p>
          <w:p w14:paraId="67E82D59">
            <w:pPr>
              <w:spacing w:before="93" w:line="274" w:lineRule="auto"/>
              <w:ind w:left="110" w:right="102"/>
              <w:rPr>
                <w:rFonts w:ascii="宋体" w:hAnsi="宋体" w:eastAsia="宋体" w:cs="宋体"/>
                <w:sz w:val="21"/>
                <w:szCs w:val="21"/>
              </w:rPr>
            </w:pPr>
            <w:r>
              <w:rPr>
                <w:rFonts w:ascii="宋体" w:hAnsi="宋体" w:eastAsia="宋体" w:cs="宋体"/>
                <w:spacing w:val="2"/>
                <w:sz w:val="21"/>
                <w:szCs w:val="21"/>
              </w:rPr>
              <w:t>2．资质审查环节系统可自动审查人员资质，包括指标达成</w:t>
            </w:r>
            <w:r>
              <w:rPr>
                <w:rFonts w:ascii="宋体" w:hAnsi="宋体" w:eastAsia="宋体" w:cs="宋体"/>
                <w:spacing w:val="1"/>
                <w:sz w:val="21"/>
                <w:szCs w:val="21"/>
              </w:rPr>
              <w:t>、考试结果、资质证书</w:t>
            </w:r>
            <w:r>
              <w:rPr>
                <w:rFonts w:ascii="宋体" w:hAnsi="宋体" w:eastAsia="宋体" w:cs="宋体"/>
                <w:sz w:val="21"/>
                <w:szCs w:val="21"/>
              </w:rPr>
              <w:t xml:space="preserve"> </w:t>
            </w:r>
            <w:r>
              <w:rPr>
                <w:rFonts w:ascii="宋体" w:hAnsi="宋体" w:eastAsia="宋体" w:cs="宋体"/>
                <w:spacing w:val="-1"/>
                <w:sz w:val="21"/>
                <w:szCs w:val="21"/>
              </w:rPr>
              <w:t>等准备入条件的结果查看，支持审查结果详情；可查看指标达成情况的</w:t>
            </w:r>
            <w:r>
              <w:rPr>
                <w:rFonts w:ascii="宋体" w:hAnsi="宋体" w:eastAsia="宋体" w:cs="宋体"/>
                <w:spacing w:val="-2"/>
                <w:sz w:val="21"/>
                <w:szCs w:val="21"/>
              </w:rPr>
              <w:t>详情，包含</w:t>
            </w:r>
            <w:r>
              <w:rPr>
                <w:rFonts w:ascii="宋体" w:hAnsi="宋体" w:eastAsia="宋体" w:cs="宋体"/>
                <w:sz w:val="21"/>
                <w:szCs w:val="21"/>
              </w:rPr>
              <w:t xml:space="preserve"> </w:t>
            </w:r>
            <w:r>
              <w:rPr>
                <w:rFonts w:ascii="宋体" w:hAnsi="宋体" w:eastAsia="宋体" w:cs="宋体"/>
                <w:spacing w:val="-4"/>
                <w:sz w:val="21"/>
                <w:szCs w:val="21"/>
              </w:rPr>
              <w:t>指标值、目标值及近期值。</w:t>
            </w:r>
          </w:p>
          <w:p w14:paraId="020E732C">
            <w:pPr>
              <w:spacing w:before="92" w:line="220" w:lineRule="auto"/>
              <w:ind w:left="113"/>
              <w:rPr>
                <w:rFonts w:ascii="宋体" w:hAnsi="宋体" w:eastAsia="宋体" w:cs="宋体"/>
                <w:sz w:val="21"/>
                <w:szCs w:val="21"/>
              </w:rPr>
            </w:pPr>
            <w:r>
              <w:rPr>
                <w:rFonts w:ascii="宋体" w:hAnsi="宋体" w:eastAsia="宋体" w:cs="宋体"/>
                <w:spacing w:val="-2"/>
                <w:sz w:val="21"/>
                <w:szCs w:val="21"/>
              </w:rPr>
              <w:t>3．对医师权限申请、批量授申请单据进行审批。</w:t>
            </w:r>
          </w:p>
          <w:p w14:paraId="7E65C7BA">
            <w:pPr>
              <w:spacing w:before="92" w:line="220" w:lineRule="auto"/>
              <w:ind w:left="108"/>
              <w:rPr>
                <w:rFonts w:ascii="宋体" w:hAnsi="宋体" w:eastAsia="宋体" w:cs="宋体"/>
                <w:sz w:val="21"/>
                <w:szCs w:val="21"/>
              </w:rPr>
            </w:pPr>
            <w:r>
              <w:rPr>
                <w:rFonts w:ascii="宋体" w:hAnsi="宋体" w:eastAsia="宋体" w:cs="宋体"/>
                <w:spacing w:val="-2"/>
                <w:sz w:val="21"/>
                <w:szCs w:val="21"/>
              </w:rPr>
              <w:t>4．权限审批过程中可查看医师的完整档案。</w:t>
            </w:r>
          </w:p>
          <w:p w14:paraId="1B151F7A">
            <w:pPr>
              <w:spacing w:before="92" w:line="220" w:lineRule="auto"/>
              <w:ind w:left="113"/>
              <w:rPr>
                <w:rFonts w:ascii="宋体" w:hAnsi="宋体" w:eastAsia="宋体" w:cs="宋体"/>
                <w:sz w:val="21"/>
                <w:szCs w:val="21"/>
              </w:rPr>
            </w:pPr>
            <w:r>
              <w:rPr>
                <w:rFonts w:ascii="宋体" w:hAnsi="宋体" w:eastAsia="宋体" w:cs="宋体"/>
                <w:spacing w:val="-3"/>
                <w:sz w:val="21"/>
                <w:szCs w:val="21"/>
              </w:rPr>
              <w:t>5．审批环节支持个性化设定。</w:t>
            </w:r>
          </w:p>
        </w:tc>
      </w:tr>
      <w:tr w14:paraId="3D673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783" w:type="dxa"/>
            <w:vAlign w:val="top"/>
          </w:tcPr>
          <w:p w14:paraId="0A368E86">
            <w:pPr>
              <w:spacing w:line="350" w:lineRule="auto"/>
              <w:rPr>
                <w:rFonts w:ascii="Arial"/>
                <w:sz w:val="21"/>
              </w:rPr>
            </w:pPr>
          </w:p>
          <w:p w14:paraId="4ECBCA29">
            <w:pPr>
              <w:spacing w:line="351" w:lineRule="auto"/>
              <w:rPr>
                <w:rFonts w:ascii="Arial"/>
                <w:sz w:val="21"/>
              </w:rPr>
            </w:pPr>
          </w:p>
          <w:p w14:paraId="396DDBA1">
            <w:pPr>
              <w:spacing w:before="78" w:line="180" w:lineRule="auto"/>
              <w:ind w:left="341"/>
              <w:rPr>
                <w:rFonts w:ascii="宋体" w:hAnsi="宋体" w:eastAsia="宋体" w:cs="宋体"/>
                <w:sz w:val="24"/>
                <w:szCs w:val="24"/>
              </w:rPr>
            </w:pPr>
            <w:r>
              <w:rPr>
                <w:rFonts w:ascii="宋体" w:hAnsi="宋体" w:eastAsia="宋体" w:cs="宋体"/>
                <w:sz w:val="24"/>
                <w:szCs w:val="24"/>
              </w:rPr>
              <w:t>5</w:t>
            </w:r>
          </w:p>
        </w:tc>
        <w:tc>
          <w:tcPr>
            <w:tcW w:w="1273" w:type="dxa"/>
            <w:vAlign w:val="top"/>
          </w:tcPr>
          <w:p w14:paraId="60DD71A6">
            <w:pPr>
              <w:spacing w:line="329" w:lineRule="auto"/>
              <w:rPr>
                <w:rFonts w:ascii="Arial"/>
                <w:sz w:val="21"/>
              </w:rPr>
            </w:pPr>
          </w:p>
          <w:p w14:paraId="364D0AEE">
            <w:pPr>
              <w:spacing w:line="330" w:lineRule="auto"/>
              <w:rPr>
                <w:rFonts w:ascii="Arial"/>
                <w:sz w:val="21"/>
              </w:rPr>
            </w:pPr>
          </w:p>
          <w:p w14:paraId="6FD414BE">
            <w:pPr>
              <w:spacing w:before="78" w:line="220" w:lineRule="auto"/>
              <w:ind w:left="107"/>
              <w:rPr>
                <w:rFonts w:ascii="宋体" w:hAnsi="宋体" w:eastAsia="宋体" w:cs="宋体"/>
                <w:sz w:val="24"/>
                <w:szCs w:val="24"/>
              </w:rPr>
            </w:pPr>
            <w:r>
              <w:rPr>
                <w:rFonts w:ascii="宋体" w:hAnsi="宋体" w:eastAsia="宋体" w:cs="宋体"/>
                <w:spacing w:val="-2"/>
                <w:sz w:val="24"/>
                <w:szCs w:val="24"/>
              </w:rPr>
              <w:t>批量授权</w:t>
            </w:r>
          </w:p>
        </w:tc>
        <w:tc>
          <w:tcPr>
            <w:tcW w:w="7743" w:type="dxa"/>
            <w:vAlign w:val="top"/>
          </w:tcPr>
          <w:p w14:paraId="06A21CF5">
            <w:pPr>
              <w:spacing w:before="70" w:line="220" w:lineRule="auto"/>
              <w:ind w:left="124"/>
              <w:rPr>
                <w:rFonts w:ascii="宋体" w:hAnsi="宋体" w:eastAsia="宋体" w:cs="宋体"/>
                <w:sz w:val="21"/>
                <w:szCs w:val="21"/>
              </w:rPr>
            </w:pPr>
            <w:r>
              <w:rPr>
                <w:rFonts w:ascii="宋体" w:hAnsi="宋体" w:eastAsia="宋体" w:cs="宋体"/>
                <w:spacing w:val="-4"/>
                <w:sz w:val="21"/>
                <w:szCs w:val="21"/>
              </w:rPr>
              <w:t>1．支持对多人同时进行授权。</w:t>
            </w:r>
          </w:p>
          <w:p w14:paraId="777F6103">
            <w:pPr>
              <w:spacing w:before="92" w:line="220" w:lineRule="auto"/>
              <w:ind w:left="111"/>
              <w:rPr>
                <w:rFonts w:ascii="宋体" w:hAnsi="宋体" w:eastAsia="宋体" w:cs="宋体"/>
                <w:sz w:val="21"/>
                <w:szCs w:val="21"/>
              </w:rPr>
            </w:pPr>
            <w:r>
              <w:rPr>
                <w:rFonts w:ascii="宋体" w:hAnsi="宋体" w:eastAsia="宋体" w:cs="宋体"/>
                <w:spacing w:val="-3"/>
                <w:sz w:val="21"/>
                <w:szCs w:val="21"/>
              </w:rPr>
              <w:t>2．可查看每位被授权人员的档案。</w:t>
            </w:r>
          </w:p>
          <w:p w14:paraId="134C58E0">
            <w:pPr>
              <w:spacing w:before="92" w:line="220" w:lineRule="auto"/>
              <w:ind w:left="113"/>
              <w:rPr>
                <w:rFonts w:ascii="宋体" w:hAnsi="宋体" w:eastAsia="宋体" w:cs="宋体"/>
                <w:sz w:val="21"/>
                <w:szCs w:val="21"/>
              </w:rPr>
            </w:pPr>
            <w:r>
              <w:rPr>
                <w:rFonts w:ascii="宋体" w:hAnsi="宋体" w:eastAsia="宋体" w:cs="宋体"/>
                <w:spacing w:val="-2"/>
                <w:sz w:val="21"/>
                <w:szCs w:val="21"/>
              </w:rPr>
              <w:t>3．可按时间范围及审批状态查询批量权限申请。</w:t>
            </w:r>
          </w:p>
          <w:p w14:paraId="0879423A">
            <w:pPr>
              <w:spacing w:before="92" w:line="220" w:lineRule="auto"/>
              <w:ind w:left="108"/>
              <w:rPr>
                <w:rFonts w:ascii="宋体" w:hAnsi="宋体" w:eastAsia="宋体" w:cs="宋体"/>
                <w:sz w:val="21"/>
                <w:szCs w:val="21"/>
              </w:rPr>
            </w:pPr>
            <w:r>
              <w:rPr>
                <w:rFonts w:ascii="宋体" w:hAnsi="宋体" w:eastAsia="宋体" w:cs="宋体"/>
                <w:spacing w:val="-3"/>
                <w:sz w:val="21"/>
                <w:szCs w:val="21"/>
              </w:rPr>
              <w:t>4．申请时可选择加载权限组。</w:t>
            </w:r>
          </w:p>
          <w:p w14:paraId="0FDD35FE">
            <w:pPr>
              <w:spacing w:before="92" w:line="220" w:lineRule="auto"/>
              <w:ind w:left="113"/>
              <w:rPr>
                <w:rFonts w:ascii="宋体" w:hAnsi="宋体" w:eastAsia="宋体" w:cs="宋体"/>
                <w:sz w:val="21"/>
                <w:szCs w:val="21"/>
              </w:rPr>
            </w:pPr>
            <w:r>
              <w:rPr>
                <w:rFonts w:ascii="宋体" w:hAnsi="宋体" w:eastAsia="宋体" w:cs="宋体"/>
                <w:spacing w:val="-2"/>
                <w:sz w:val="21"/>
                <w:szCs w:val="21"/>
              </w:rPr>
              <w:t>5．批量授权单据可查看每位被授权人员的资质审查结果。</w:t>
            </w:r>
          </w:p>
        </w:tc>
      </w:tr>
      <w:tr w14:paraId="01E84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trPr>
        <w:tc>
          <w:tcPr>
            <w:tcW w:w="783" w:type="dxa"/>
            <w:vAlign w:val="top"/>
          </w:tcPr>
          <w:p w14:paraId="2506C3A4">
            <w:pPr>
              <w:spacing w:line="265" w:lineRule="auto"/>
              <w:rPr>
                <w:rFonts w:ascii="Arial"/>
                <w:sz w:val="21"/>
              </w:rPr>
            </w:pPr>
          </w:p>
          <w:p w14:paraId="6C426480">
            <w:pPr>
              <w:spacing w:line="266" w:lineRule="auto"/>
              <w:rPr>
                <w:rFonts w:ascii="Arial"/>
                <w:sz w:val="21"/>
              </w:rPr>
            </w:pPr>
          </w:p>
          <w:p w14:paraId="184961FF">
            <w:pPr>
              <w:spacing w:before="78" w:line="181" w:lineRule="auto"/>
              <w:ind w:left="338"/>
              <w:rPr>
                <w:rFonts w:ascii="宋体" w:hAnsi="宋体" w:eastAsia="宋体" w:cs="宋体"/>
                <w:sz w:val="24"/>
                <w:szCs w:val="24"/>
              </w:rPr>
            </w:pPr>
            <w:r>
              <w:rPr>
                <w:rFonts w:ascii="宋体" w:hAnsi="宋体" w:eastAsia="宋体" w:cs="宋体"/>
                <w:sz w:val="24"/>
                <w:szCs w:val="24"/>
              </w:rPr>
              <w:t>6</w:t>
            </w:r>
          </w:p>
        </w:tc>
        <w:tc>
          <w:tcPr>
            <w:tcW w:w="1273" w:type="dxa"/>
            <w:vAlign w:val="top"/>
          </w:tcPr>
          <w:p w14:paraId="57DEE718">
            <w:pPr>
              <w:spacing w:line="245" w:lineRule="auto"/>
              <w:rPr>
                <w:rFonts w:ascii="Arial"/>
                <w:sz w:val="21"/>
              </w:rPr>
            </w:pPr>
          </w:p>
          <w:p w14:paraId="280E5F59">
            <w:pPr>
              <w:spacing w:line="245" w:lineRule="auto"/>
              <w:rPr>
                <w:rFonts w:ascii="Arial"/>
                <w:sz w:val="21"/>
              </w:rPr>
            </w:pPr>
          </w:p>
          <w:p w14:paraId="3EF25018">
            <w:pPr>
              <w:spacing w:before="78" w:line="220" w:lineRule="auto"/>
              <w:ind w:left="107"/>
              <w:rPr>
                <w:rFonts w:ascii="宋体" w:hAnsi="宋体" w:eastAsia="宋体" w:cs="宋体"/>
                <w:sz w:val="24"/>
                <w:szCs w:val="24"/>
              </w:rPr>
            </w:pPr>
            <w:r>
              <w:rPr>
                <w:rFonts w:ascii="宋体" w:hAnsi="宋体" w:eastAsia="宋体" w:cs="宋体"/>
                <w:spacing w:val="-2"/>
                <w:sz w:val="24"/>
                <w:szCs w:val="24"/>
              </w:rPr>
              <w:t>权限延期</w:t>
            </w:r>
          </w:p>
        </w:tc>
        <w:tc>
          <w:tcPr>
            <w:tcW w:w="7743" w:type="dxa"/>
            <w:vAlign w:val="top"/>
          </w:tcPr>
          <w:p w14:paraId="654C888E">
            <w:pPr>
              <w:spacing w:before="72" w:line="260" w:lineRule="auto"/>
              <w:ind w:left="112" w:right="102" w:firstLine="12"/>
              <w:rPr>
                <w:rFonts w:ascii="宋体" w:hAnsi="宋体" w:eastAsia="宋体" w:cs="宋体"/>
                <w:sz w:val="21"/>
                <w:szCs w:val="21"/>
              </w:rPr>
            </w:pPr>
            <w:r>
              <w:rPr>
                <w:rFonts w:ascii="宋体" w:hAnsi="宋体" w:eastAsia="宋体" w:cs="宋体"/>
                <w:spacing w:val="1"/>
                <w:sz w:val="21"/>
                <w:szCs w:val="21"/>
              </w:rPr>
              <w:t>1．对于设置了到期时间的权限点，可在到期前的指定天数内自动推送到医务管理</w:t>
            </w:r>
            <w:r>
              <w:rPr>
                <w:rFonts w:ascii="宋体" w:hAnsi="宋体" w:eastAsia="宋体" w:cs="宋体"/>
                <w:spacing w:val="13"/>
                <w:sz w:val="21"/>
                <w:szCs w:val="21"/>
              </w:rPr>
              <w:t xml:space="preserve"> </w:t>
            </w:r>
            <w:r>
              <w:rPr>
                <w:rFonts w:ascii="宋体" w:hAnsi="宋体" w:eastAsia="宋体" w:cs="宋体"/>
                <w:spacing w:val="-3"/>
                <w:sz w:val="21"/>
                <w:szCs w:val="21"/>
              </w:rPr>
              <w:t>首页，供管理人员查询与处理。</w:t>
            </w:r>
          </w:p>
          <w:p w14:paraId="5984EA2A">
            <w:pPr>
              <w:spacing w:before="93" w:line="220" w:lineRule="auto"/>
              <w:ind w:left="111"/>
              <w:rPr>
                <w:rFonts w:ascii="宋体" w:hAnsi="宋体" w:eastAsia="宋体" w:cs="宋体"/>
                <w:sz w:val="21"/>
                <w:szCs w:val="21"/>
              </w:rPr>
            </w:pPr>
            <w:r>
              <w:rPr>
                <w:rFonts w:ascii="宋体" w:hAnsi="宋体" w:eastAsia="宋体" w:cs="宋体"/>
                <w:spacing w:val="-2"/>
                <w:sz w:val="21"/>
                <w:szCs w:val="21"/>
              </w:rPr>
              <w:t>2．对到期的权限可延长到指定日期，同一权限可多次延长。</w:t>
            </w:r>
          </w:p>
          <w:p w14:paraId="0B58BB0A">
            <w:pPr>
              <w:spacing w:before="92" w:line="220" w:lineRule="auto"/>
              <w:ind w:left="113"/>
              <w:rPr>
                <w:rFonts w:ascii="宋体" w:hAnsi="宋体" w:eastAsia="宋体" w:cs="宋体"/>
                <w:sz w:val="21"/>
                <w:szCs w:val="21"/>
              </w:rPr>
            </w:pPr>
            <w:r>
              <w:rPr>
                <w:rFonts w:ascii="宋体" w:hAnsi="宋体" w:eastAsia="宋体" w:cs="宋体"/>
                <w:spacing w:val="-2"/>
                <w:sz w:val="21"/>
                <w:szCs w:val="21"/>
              </w:rPr>
              <w:t>3．支持按时间范围及审批状态查询批量权限延期记录。</w:t>
            </w:r>
          </w:p>
        </w:tc>
      </w:tr>
    </w:tbl>
    <w:p w14:paraId="28B8C449">
      <w:pPr>
        <w:pStyle w:val="2"/>
        <w:spacing w:line="284" w:lineRule="auto"/>
      </w:pPr>
    </w:p>
    <w:p w14:paraId="50037F1F">
      <w:pPr>
        <w:pStyle w:val="2"/>
        <w:spacing w:line="284" w:lineRule="auto"/>
      </w:pPr>
    </w:p>
    <w:p w14:paraId="65C5DCCB">
      <w:pPr>
        <w:spacing w:before="62" w:line="209" w:lineRule="auto"/>
        <w:ind w:left="148"/>
        <w:rPr>
          <w:rFonts w:ascii="宋体" w:hAnsi="宋体" w:eastAsia="宋体" w:cs="宋体"/>
          <w:sz w:val="19"/>
          <w:szCs w:val="19"/>
        </w:rPr>
      </w:pPr>
      <w:r>
        <w:pict>
          <v:shape id="_x0000_s1047" o:spid="_x0000_s1047" style="position:absolute;left:0pt;margin-left:1.95pt;margin-top:11.8pt;height:0.75pt;width:494pt;z-index:251692032;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2"/>
          <w:position w:val="1"/>
          <w:sz w:val="18"/>
          <w:szCs w:val="18"/>
        </w:rPr>
        <w:t xml:space="preserve">27                          </w:t>
      </w:r>
      <w:r>
        <w:rPr>
          <w:rFonts w:ascii="Times New Roman" w:hAnsi="Times New Roman" w:eastAsia="Times New Roman" w:cs="Times New Roman"/>
          <w:spacing w:val="-3"/>
          <w:position w:val="1"/>
          <w:sz w:val="18"/>
          <w:szCs w:val="18"/>
        </w:rPr>
        <w:t xml:space="preserve">     </w:t>
      </w:r>
      <w:r>
        <w:rPr>
          <w:rFonts w:ascii="宋体" w:hAnsi="宋体" w:eastAsia="宋体" w:cs="宋体"/>
          <w:b/>
          <w:bCs/>
          <w:i/>
          <w:iCs/>
          <w:spacing w:val="-3"/>
          <w:sz w:val="19"/>
          <w:szCs w:val="19"/>
        </w:rPr>
        <w:t>伊犁州公共资源交易中心</w:t>
      </w:r>
    </w:p>
    <w:p w14:paraId="3F1E7279">
      <w:pPr>
        <w:spacing w:line="209" w:lineRule="auto"/>
        <w:rPr>
          <w:rFonts w:ascii="宋体" w:hAnsi="宋体" w:eastAsia="宋体" w:cs="宋体"/>
          <w:sz w:val="19"/>
          <w:szCs w:val="19"/>
        </w:rPr>
        <w:sectPr>
          <w:pgSz w:w="11905" w:h="16839"/>
          <w:pgMar w:top="1136" w:right="830" w:bottom="400" w:left="1126" w:header="854" w:footer="0" w:gutter="0"/>
          <w:cols w:space="720" w:num="1"/>
        </w:sectPr>
      </w:pPr>
    </w:p>
    <w:p w14:paraId="1E9D6A44">
      <w:pPr>
        <w:spacing w:before="38"/>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3"/>
        <w:gridCol w:w="7743"/>
      </w:tblGrid>
      <w:tr w14:paraId="112E8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3" w:type="dxa"/>
            <w:vAlign w:val="top"/>
          </w:tcPr>
          <w:p w14:paraId="4CB32A41">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4981BD37">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35B22582">
            <w:pPr>
              <w:spacing w:before="179"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13947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783" w:type="dxa"/>
            <w:vAlign w:val="top"/>
          </w:tcPr>
          <w:p w14:paraId="4E724FE6">
            <w:pPr>
              <w:spacing w:line="353" w:lineRule="auto"/>
              <w:rPr>
                <w:rFonts w:ascii="Arial"/>
                <w:sz w:val="21"/>
              </w:rPr>
            </w:pPr>
          </w:p>
          <w:p w14:paraId="3C99ECBF">
            <w:pPr>
              <w:spacing w:before="78" w:line="180" w:lineRule="auto"/>
              <w:ind w:left="342"/>
              <w:rPr>
                <w:rFonts w:ascii="宋体" w:hAnsi="宋体" w:eastAsia="宋体" w:cs="宋体"/>
                <w:sz w:val="24"/>
                <w:szCs w:val="24"/>
              </w:rPr>
            </w:pPr>
            <w:r>
              <w:rPr>
                <w:rFonts w:ascii="宋体" w:hAnsi="宋体" w:eastAsia="宋体" w:cs="宋体"/>
                <w:sz w:val="24"/>
                <w:szCs w:val="24"/>
              </w:rPr>
              <w:t>7</w:t>
            </w:r>
          </w:p>
        </w:tc>
        <w:tc>
          <w:tcPr>
            <w:tcW w:w="1273" w:type="dxa"/>
            <w:vAlign w:val="top"/>
          </w:tcPr>
          <w:p w14:paraId="5E875499">
            <w:pPr>
              <w:spacing w:line="311" w:lineRule="auto"/>
              <w:rPr>
                <w:rFonts w:ascii="Arial"/>
                <w:sz w:val="21"/>
              </w:rPr>
            </w:pPr>
          </w:p>
          <w:p w14:paraId="68DEC7E0">
            <w:pPr>
              <w:spacing w:before="78" w:line="220" w:lineRule="auto"/>
              <w:ind w:left="107"/>
              <w:rPr>
                <w:rFonts w:ascii="宋体" w:hAnsi="宋体" w:eastAsia="宋体" w:cs="宋体"/>
                <w:sz w:val="24"/>
                <w:szCs w:val="24"/>
              </w:rPr>
            </w:pPr>
            <w:r>
              <w:rPr>
                <w:rFonts w:ascii="宋体" w:hAnsi="宋体" w:eastAsia="宋体" w:cs="宋体"/>
                <w:spacing w:val="-2"/>
                <w:sz w:val="24"/>
                <w:szCs w:val="24"/>
              </w:rPr>
              <w:t>权限回收</w:t>
            </w:r>
          </w:p>
        </w:tc>
        <w:tc>
          <w:tcPr>
            <w:tcW w:w="7743" w:type="dxa"/>
            <w:vAlign w:val="top"/>
          </w:tcPr>
          <w:p w14:paraId="786B3FF7">
            <w:pPr>
              <w:spacing w:before="63" w:line="220" w:lineRule="auto"/>
              <w:ind w:left="124"/>
              <w:rPr>
                <w:rFonts w:ascii="宋体" w:hAnsi="宋体" w:eastAsia="宋体" w:cs="宋体"/>
                <w:sz w:val="21"/>
                <w:szCs w:val="21"/>
              </w:rPr>
            </w:pPr>
            <w:r>
              <w:rPr>
                <w:rFonts w:ascii="宋体" w:hAnsi="宋体" w:eastAsia="宋体" w:cs="宋体"/>
                <w:spacing w:val="-3"/>
                <w:sz w:val="21"/>
                <w:szCs w:val="21"/>
              </w:rPr>
              <w:t>1．支持在特定情况下收回医师权限或调低权限等级。</w:t>
            </w:r>
          </w:p>
          <w:p w14:paraId="17F5537B">
            <w:pPr>
              <w:spacing w:before="92" w:line="219" w:lineRule="auto"/>
              <w:ind w:left="111"/>
              <w:rPr>
                <w:rFonts w:ascii="宋体" w:hAnsi="宋体" w:eastAsia="宋体" w:cs="宋体"/>
                <w:sz w:val="21"/>
                <w:szCs w:val="21"/>
              </w:rPr>
            </w:pPr>
            <w:r>
              <w:rPr>
                <w:rFonts w:ascii="宋体" w:hAnsi="宋体" w:eastAsia="宋体" w:cs="宋体"/>
                <w:spacing w:val="-3"/>
                <w:sz w:val="21"/>
                <w:szCs w:val="21"/>
              </w:rPr>
              <w:t>2．支持填写调整理由，可上传相关附件。</w:t>
            </w:r>
          </w:p>
          <w:p w14:paraId="5CF038FE">
            <w:pPr>
              <w:spacing w:before="93" w:line="219" w:lineRule="auto"/>
              <w:ind w:left="113"/>
              <w:rPr>
                <w:rFonts w:ascii="宋体" w:hAnsi="宋体" w:eastAsia="宋体" w:cs="宋体"/>
                <w:sz w:val="21"/>
                <w:szCs w:val="21"/>
              </w:rPr>
            </w:pPr>
            <w:r>
              <w:rPr>
                <w:rFonts w:ascii="宋体" w:hAnsi="宋体" w:eastAsia="宋体" w:cs="宋体"/>
                <w:spacing w:val="-2"/>
                <w:sz w:val="21"/>
                <w:szCs w:val="21"/>
              </w:rPr>
              <w:t>3．支持按时间范围、科室及审批状态查询回收操作记录。</w:t>
            </w:r>
          </w:p>
        </w:tc>
      </w:tr>
      <w:tr w14:paraId="74560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783" w:type="dxa"/>
            <w:vAlign w:val="top"/>
          </w:tcPr>
          <w:p w14:paraId="27265941">
            <w:pPr>
              <w:spacing w:line="258" w:lineRule="auto"/>
              <w:rPr>
                <w:rFonts w:ascii="Arial"/>
                <w:sz w:val="21"/>
              </w:rPr>
            </w:pPr>
          </w:p>
          <w:p w14:paraId="0BB496D5">
            <w:pPr>
              <w:spacing w:line="258" w:lineRule="auto"/>
              <w:rPr>
                <w:rFonts w:ascii="Arial"/>
                <w:sz w:val="21"/>
              </w:rPr>
            </w:pPr>
          </w:p>
          <w:p w14:paraId="27D68473">
            <w:pPr>
              <w:spacing w:line="259" w:lineRule="auto"/>
              <w:rPr>
                <w:rFonts w:ascii="Arial"/>
                <w:sz w:val="21"/>
              </w:rPr>
            </w:pPr>
          </w:p>
          <w:p w14:paraId="0DD2B97B">
            <w:pPr>
              <w:spacing w:line="259" w:lineRule="auto"/>
              <w:rPr>
                <w:rFonts w:ascii="Arial"/>
                <w:sz w:val="21"/>
              </w:rPr>
            </w:pPr>
          </w:p>
          <w:p w14:paraId="23FF1AEE">
            <w:pPr>
              <w:spacing w:before="78" w:line="181" w:lineRule="auto"/>
              <w:ind w:left="337"/>
              <w:rPr>
                <w:rFonts w:ascii="宋体" w:hAnsi="宋体" w:eastAsia="宋体" w:cs="宋体"/>
                <w:sz w:val="24"/>
                <w:szCs w:val="24"/>
              </w:rPr>
            </w:pPr>
            <w:r>
              <w:rPr>
                <w:rFonts w:ascii="宋体" w:hAnsi="宋体" w:eastAsia="宋体" w:cs="宋体"/>
                <w:sz w:val="24"/>
                <w:szCs w:val="24"/>
              </w:rPr>
              <w:t>8</w:t>
            </w:r>
          </w:p>
        </w:tc>
        <w:tc>
          <w:tcPr>
            <w:tcW w:w="1273" w:type="dxa"/>
            <w:vAlign w:val="top"/>
          </w:tcPr>
          <w:p w14:paraId="0E041F69">
            <w:pPr>
              <w:spacing w:line="349" w:lineRule="auto"/>
              <w:rPr>
                <w:rFonts w:ascii="Arial"/>
                <w:sz w:val="21"/>
              </w:rPr>
            </w:pPr>
          </w:p>
          <w:p w14:paraId="32B98326">
            <w:pPr>
              <w:spacing w:line="350" w:lineRule="auto"/>
              <w:rPr>
                <w:rFonts w:ascii="Arial"/>
                <w:sz w:val="21"/>
              </w:rPr>
            </w:pPr>
          </w:p>
          <w:p w14:paraId="44688FFA">
            <w:pPr>
              <w:spacing w:before="78" w:line="444" w:lineRule="auto"/>
              <w:ind w:left="107" w:right="105"/>
              <w:rPr>
                <w:rFonts w:ascii="宋体" w:hAnsi="宋体" w:eastAsia="宋体" w:cs="宋体"/>
                <w:sz w:val="24"/>
                <w:szCs w:val="24"/>
              </w:rPr>
            </w:pPr>
            <w:r>
              <w:rPr>
                <w:rFonts w:ascii="宋体" w:hAnsi="宋体" w:eastAsia="宋体" w:cs="宋体"/>
                <w:spacing w:val="22"/>
                <w:sz w:val="24"/>
                <w:szCs w:val="24"/>
              </w:rPr>
              <w:t>权限定期</w:t>
            </w:r>
            <w:r>
              <w:rPr>
                <w:rFonts w:ascii="宋体" w:hAnsi="宋体" w:eastAsia="宋体" w:cs="宋体"/>
                <w:spacing w:val="1"/>
                <w:sz w:val="24"/>
                <w:szCs w:val="24"/>
              </w:rPr>
              <w:t xml:space="preserve"> </w:t>
            </w:r>
            <w:r>
              <w:rPr>
                <w:rFonts w:ascii="宋体" w:hAnsi="宋体" w:eastAsia="宋体" w:cs="宋体"/>
                <w:spacing w:val="-3"/>
                <w:sz w:val="24"/>
                <w:szCs w:val="24"/>
              </w:rPr>
              <w:t>评价</w:t>
            </w:r>
          </w:p>
        </w:tc>
        <w:tc>
          <w:tcPr>
            <w:tcW w:w="7743" w:type="dxa"/>
            <w:vAlign w:val="top"/>
          </w:tcPr>
          <w:p w14:paraId="3C7DAAF5">
            <w:pPr>
              <w:spacing w:before="65" w:line="260" w:lineRule="auto"/>
              <w:ind w:left="111" w:right="102" w:firstLine="13"/>
              <w:rPr>
                <w:rFonts w:ascii="宋体" w:hAnsi="宋体" w:eastAsia="宋体" w:cs="宋体"/>
                <w:sz w:val="21"/>
                <w:szCs w:val="21"/>
              </w:rPr>
            </w:pPr>
            <w:r>
              <w:rPr>
                <w:rFonts w:ascii="宋体" w:hAnsi="宋体" w:eastAsia="宋体" w:cs="宋体"/>
                <w:spacing w:val="-6"/>
                <w:sz w:val="21"/>
                <w:szCs w:val="21"/>
              </w:rPr>
              <w:t>1．授权考核 有医疗技术、高风险手术等的授权考核内容，</w:t>
            </w:r>
            <w:r>
              <w:rPr>
                <w:rFonts w:ascii="宋体" w:hAnsi="宋体" w:eastAsia="宋体" w:cs="宋体"/>
                <w:spacing w:val="62"/>
                <w:sz w:val="21"/>
                <w:szCs w:val="21"/>
              </w:rPr>
              <w:t xml:space="preserve"> </w:t>
            </w:r>
            <w:r>
              <w:rPr>
                <w:rFonts w:ascii="宋体" w:hAnsi="宋体" w:eastAsia="宋体" w:cs="宋体"/>
                <w:spacing w:val="-6"/>
                <w:sz w:val="21"/>
                <w:szCs w:val="21"/>
              </w:rPr>
              <w:t>包括日常考核、终期考</w:t>
            </w:r>
            <w:r>
              <w:rPr>
                <w:rFonts w:ascii="宋体" w:hAnsi="宋体" w:eastAsia="宋体" w:cs="宋体"/>
                <w:sz w:val="21"/>
                <w:szCs w:val="21"/>
              </w:rPr>
              <w:t xml:space="preserve"> </w:t>
            </w:r>
            <w:r>
              <w:rPr>
                <w:rFonts w:ascii="宋体" w:hAnsi="宋体" w:eastAsia="宋体" w:cs="宋体"/>
                <w:spacing w:val="-2"/>
                <w:sz w:val="21"/>
                <w:szCs w:val="21"/>
              </w:rPr>
              <w:t>核、越级授权考核的标准，便于定期再授权。</w:t>
            </w:r>
          </w:p>
          <w:p w14:paraId="08E2DF54">
            <w:pPr>
              <w:spacing w:before="92" w:line="220" w:lineRule="auto"/>
              <w:ind w:left="111"/>
              <w:rPr>
                <w:rFonts w:ascii="宋体" w:hAnsi="宋体" w:eastAsia="宋体" w:cs="宋体"/>
                <w:sz w:val="21"/>
                <w:szCs w:val="21"/>
              </w:rPr>
            </w:pPr>
            <w:r>
              <w:rPr>
                <w:rFonts w:ascii="宋体" w:hAnsi="宋体" w:eastAsia="宋体" w:cs="宋体"/>
                <w:spacing w:val="-1"/>
                <w:sz w:val="21"/>
                <w:szCs w:val="21"/>
              </w:rPr>
              <w:t>2．有降级授权/取消资质的标准，以及降级时限，</w:t>
            </w:r>
            <w:r>
              <w:rPr>
                <w:rFonts w:ascii="宋体" w:hAnsi="宋体" w:eastAsia="宋体" w:cs="宋体"/>
                <w:spacing w:val="-2"/>
                <w:sz w:val="21"/>
                <w:szCs w:val="21"/>
              </w:rPr>
              <w:t>降级后再授权程序。</w:t>
            </w:r>
          </w:p>
          <w:p w14:paraId="2F918D89">
            <w:pPr>
              <w:spacing w:before="93" w:line="218" w:lineRule="auto"/>
              <w:ind w:left="113"/>
              <w:rPr>
                <w:rFonts w:ascii="宋体" w:hAnsi="宋体" w:eastAsia="宋体" w:cs="宋体"/>
                <w:sz w:val="21"/>
                <w:szCs w:val="21"/>
              </w:rPr>
            </w:pPr>
            <w:r>
              <w:rPr>
                <w:rFonts w:ascii="宋体" w:hAnsi="宋体" w:eastAsia="宋体" w:cs="宋体"/>
                <w:spacing w:val="-2"/>
                <w:sz w:val="21"/>
                <w:szCs w:val="21"/>
              </w:rPr>
              <w:t>3．支持就权限项目进行周期性评价，可按时间范围及审批状态查看定期评价单据。</w:t>
            </w:r>
          </w:p>
          <w:p w14:paraId="4DDFABDD">
            <w:pPr>
              <w:spacing w:before="94" w:line="218" w:lineRule="auto"/>
              <w:ind w:left="108"/>
              <w:rPr>
                <w:rFonts w:ascii="宋体" w:hAnsi="宋体" w:eastAsia="宋体" w:cs="宋体"/>
                <w:sz w:val="21"/>
                <w:szCs w:val="21"/>
              </w:rPr>
            </w:pPr>
            <w:r>
              <w:rPr>
                <w:rFonts w:ascii="宋体" w:hAnsi="宋体" w:eastAsia="宋体" w:cs="宋体"/>
                <w:spacing w:val="-2"/>
                <w:sz w:val="21"/>
                <w:szCs w:val="21"/>
              </w:rPr>
              <w:t>4．按人员显示待评价权限，支持查看权限相关的指标数据，包括当前值、目标值。</w:t>
            </w:r>
          </w:p>
          <w:p w14:paraId="7B47C667">
            <w:pPr>
              <w:spacing w:before="94" w:line="218" w:lineRule="auto"/>
              <w:ind w:left="113"/>
              <w:rPr>
                <w:rFonts w:ascii="宋体" w:hAnsi="宋体" w:eastAsia="宋体" w:cs="宋体"/>
                <w:sz w:val="21"/>
                <w:szCs w:val="21"/>
              </w:rPr>
            </w:pPr>
            <w:r>
              <w:rPr>
                <w:rFonts w:ascii="宋体" w:hAnsi="宋体" w:eastAsia="宋体" w:cs="宋体"/>
                <w:spacing w:val="-2"/>
                <w:sz w:val="21"/>
                <w:szCs w:val="21"/>
              </w:rPr>
              <w:t>5．定期评价按照权限评价周期自动设定新的权限到期日。</w:t>
            </w:r>
          </w:p>
          <w:p w14:paraId="0F325DBA">
            <w:pPr>
              <w:spacing w:before="95" w:line="218" w:lineRule="auto"/>
              <w:ind w:left="110"/>
              <w:rPr>
                <w:rFonts w:ascii="宋体" w:hAnsi="宋体" w:eastAsia="宋体" w:cs="宋体"/>
                <w:sz w:val="21"/>
                <w:szCs w:val="21"/>
              </w:rPr>
            </w:pPr>
            <w:r>
              <w:rPr>
                <w:rFonts w:ascii="宋体" w:hAnsi="宋体" w:eastAsia="宋体" w:cs="宋体"/>
                <w:spacing w:val="-2"/>
                <w:sz w:val="21"/>
                <w:szCs w:val="21"/>
              </w:rPr>
              <w:t>6．定期评价支持查看被评价人员的技术档案。</w:t>
            </w:r>
          </w:p>
        </w:tc>
      </w:tr>
      <w:tr w14:paraId="27286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5" w:hRule="atLeast"/>
        </w:trPr>
        <w:tc>
          <w:tcPr>
            <w:tcW w:w="783" w:type="dxa"/>
            <w:vAlign w:val="top"/>
          </w:tcPr>
          <w:p w14:paraId="16AE4FA9">
            <w:pPr>
              <w:spacing w:line="288" w:lineRule="auto"/>
              <w:rPr>
                <w:rFonts w:ascii="Arial"/>
                <w:sz w:val="21"/>
              </w:rPr>
            </w:pPr>
          </w:p>
          <w:p w14:paraId="138A05FE">
            <w:pPr>
              <w:spacing w:line="289" w:lineRule="auto"/>
              <w:rPr>
                <w:rFonts w:ascii="Arial"/>
                <w:sz w:val="21"/>
              </w:rPr>
            </w:pPr>
          </w:p>
          <w:p w14:paraId="5D67D08E">
            <w:pPr>
              <w:spacing w:line="289" w:lineRule="auto"/>
              <w:rPr>
                <w:rFonts w:ascii="Arial"/>
                <w:sz w:val="21"/>
              </w:rPr>
            </w:pPr>
          </w:p>
          <w:p w14:paraId="7866131C">
            <w:pPr>
              <w:spacing w:before="78" w:line="181" w:lineRule="auto"/>
              <w:ind w:left="337"/>
              <w:rPr>
                <w:rFonts w:ascii="宋体" w:hAnsi="宋体" w:eastAsia="宋体" w:cs="宋体"/>
                <w:sz w:val="24"/>
                <w:szCs w:val="24"/>
              </w:rPr>
            </w:pPr>
            <w:r>
              <w:rPr>
                <w:rFonts w:ascii="宋体" w:hAnsi="宋体" w:eastAsia="宋体" w:cs="宋体"/>
                <w:sz w:val="24"/>
                <w:szCs w:val="24"/>
              </w:rPr>
              <w:t>9</w:t>
            </w:r>
          </w:p>
        </w:tc>
        <w:tc>
          <w:tcPr>
            <w:tcW w:w="1273" w:type="dxa"/>
            <w:vAlign w:val="top"/>
          </w:tcPr>
          <w:p w14:paraId="63048BCB">
            <w:pPr>
              <w:spacing w:line="275" w:lineRule="auto"/>
              <w:rPr>
                <w:rFonts w:ascii="Arial"/>
                <w:sz w:val="21"/>
              </w:rPr>
            </w:pPr>
          </w:p>
          <w:p w14:paraId="04AD8530">
            <w:pPr>
              <w:spacing w:line="275" w:lineRule="auto"/>
              <w:rPr>
                <w:rFonts w:ascii="Arial"/>
                <w:sz w:val="21"/>
              </w:rPr>
            </w:pPr>
          </w:p>
          <w:p w14:paraId="3C09FB88">
            <w:pPr>
              <w:spacing w:line="275" w:lineRule="auto"/>
              <w:rPr>
                <w:rFonts w:ascii="Arial"/>
                <w:sz w:val="21"/>
              </w:rPr>
            </w:pPr>
          </w:p>
          <w:p w14:paraId="0F39D717">
            <w:pPr>
              <w:spacing w:before="78" w:line="220" w:lineRule="auto"/>
              <w:ind w:left="107"/>
              <w:rPr>
                <w:rFonts w:ascii="宋体" w:hAnsi="宋体" w:eastAsia="宋体" w:cs="宋体"/>
                <w:sz w:val="24"/>
                <w:szCs w:val="24"/>
              </w:rPr>
            </w:pPr>
            <w:r>
              <w:rPr>
                <w:rFonts w:ascii="宋体" w:hAnsi="宋体" w:eastAsia="宋体" w:cs="宋体"/>
                <w:spacing w:val="-2"/>
                <w:sz w:val="24"/>
                <w:szCs w:val="24"/>
              </w:rPr>
              <w:t>权限查询</w:t>
            </w:r>
          </w:p>
        </w:tc>
        <w:tc>
          <w:tcPr>
            <w:tcW w:w="7743" w:type="dxa"/>
            <w:vAlign w:val="top"/>
          </w:tcPr>
          <w:p w14:paraId="56C7A023">
            <w:pPr>
              <w:spacing w:before="66" w:line="219" w:lineRule="auto"/>
              <w:ind w:left="124"/>
              <w:rPr>
                <w:rFonts w:ascii="宋体" w:hAnsi="宋体" w:eastAsia="宋体" w:cs="宋体"/>
                <w:sz w:val="21"/>
                <w:szCs w:val="21"/>
              </w:rPr>
            </w:pPr>
            <w:r>
              <w:rPr>
                <w:rFonts w:ascii="宋体" w:hAnsi="宋体" w:eastAsia="宋体" w:cs="宋体"/>
                <w:spacing w:val="-2"/>
                <w:sz w:val="21"/>
                <w:szCs w:val="21"/>
              </w:rPr>
              <w:t>1．支持按人员类型、科室、职称、执业范围及权限到期情况查询医师列表。</w:t>
            </w:r>
          </w:p>
          <w:p w14:paraId="718B855A">
            <w:pPr>
              <w:spacing w:before="93" w:line="220" w:lineRule="auto"/>
              <w:ind w:left="111"/>
              <w:rPr>
                <w:rFonts w:ascii="宋体" w:hAnsi="宋体" w:eastAsia="宋体" w:cs="宋体"/>
                <w:sz w:val="21"/>
                <w:szCs w:val="21"/>
              </w:rPr>
            </w:pPr>
            <w:r>
              <w:rPr>
                <w:rFonts w:ascii="宋体" w:hAnsi="宋体" w:eastAsia="宋体" w:cs="宋体"/>
                <w:spacing w:val="-3"/>
                <w:sz w:val="21"/>
                <w:szCs w:val="21"/>
              </w:rPr>
              <w:t>2．支持查看医师的完整档案。</w:t>
            </w:r>
          </w:p>
          <w:p w14:paraId="571B153E">
            <w:pPr>
              <w:spacing w:before="93" w:line="260" w:lineRule="auto"/>
              <w:ind w:left="108" w:right="102" w:firstLine="5"/>
              <w:rPr>
                <w:rFonts w:ascii="宋体" w:hAnsi="宋体" w:eastAsia="宋体" w:cs="宋体"/>
                <w:sz w:val="21"/>
                <w:szCs w:val="21"/>
              </w:rPr>
            </w:pPr>
            <w:r>
              <w:rPr>
                <w:rFonts w:ascii="宋体" w:hAnsi="宋体" w:eastAsia="宋体" w:cs="宋体"/>
                <w:spacing w:val="2"/>
                <w:sz w:val="21"/>
                <w:szCs w:val="21"/>
              </w:rPr>
              <w:t>3．支持授权日历功能，按照时间节点查看医师的历次授</w:t>
            </w:r>
            <w:r>
              <w:rPr>
                <w:rFonts w:ascii="宋体" w:hAnsi="宋体" w:eastAsia="宋体" w:cs="宋体"/>
                <w:spacing w:val="1"/>
                <w:sz w:val="21"/>
                <w:szCs w:val="21"/>
              </w:rPr>
              <w:t>权情况，包含权限点、授</w:t>
            </w:r>
            <w:r>
              <w:rPr>
                <w:rFonts w:ascii="宋体" w:hAnsi="宋体" w:eastAsia="宋体" w:cs="宋体"/>
                <w:sz w:val="21"/>
                <w:szCs w:val="21"/>
              </w:rPr>
              <w:t xml:space="preserve"> </w:t>
            </w:r>
            <w:r>
              <w:rPr>
                <w:rFonts w:ascii="宋体" w:hAnsi="宋体" w:eastAsia="宋体" w:cs="宋体"/>
                <w:spacing w:val="-5"/>
                <w:sz w:val="21"/>
                <w:szCs w:val="21"/>
              </w:rPr>
              <w:t>权日期等内容。</w:t>
            </w:r>
          </w:p>
          <w:p w14:paraId="50E4C33C">
            <w:pPr>
              <w:spacing w:before="92" w:line="220" w:lineRule="auto"/>
              <w:ind w:left="108"/>
              <w:rPr>
                <w:rFonts w:ascii="宋体" w:hAnsi="宋体" w:eastAsia="宋体" w:cs="宋体"/>
                <w:sz w:val="21"/>
                <w:szCs w:val="21"/>
              </w:rPr>
            </w:pPr>
            <w:r>
              <w:rPr>
                <w:rFonts w:ascii="宋体" w:hAnsi="宋体" w:eastAsia="宋体" w:cs="宋体"/>
                <w:spacing w:val="-3"/>
                <w:sz w:val="21"/>
                <w:szCs w:val="21"/>
              </w:rPr>
              <w:t>4．支持查看医师个人的所有权限点。</w:t>
            </w:r>
          </w:p>
          <w:p w14:paraId="65B4B5EA">
            <w:pPr>
              <w:spacing w:before="92" w:line="220" w:lineRule="auto"/>
              <w:ind w:left="113"/>
              <w:rPr>
                <w:rFonts w:ascii="宋体" w:hAnsi="宋体" w:eastAsia="宋体" w:cs="宋体"/>
                <w:sz w:val="21"/>
                <w:szCs w:val="21"/>
              </w:rPr>
            </w:pPr>
            <w:r>
              <w:rPr>
                <w:rFonts w:ascii="宋体" w:hAnsi="宋体" w:eastAsia="宋体" w:cs="宋体"/>
                <w:spacing w:val="-2"/>
                <w:sz w:val="21"/>
                <w:szCs w:val="21"/>
              </w:rPr>
              <w:t>5．支持收回医师当前的特定权限并生成相应单据。</w:t>
            </w:r>
          </w:p>
        </w:tc>
      </w:tr>
      <w:tr w14:paraId="36824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4" w:hRule="atLeast"/>
        </w:trPr>
        <w:tc>
          <w:tcPr>
            <w:tcW w:w="783" w:type="dxa"/>
            <w:vAlign w:val="top"/>
          </w:tcPr>
          <w:p w14:paraId="5E812B2E">
            <w:pPr>
              <w:spacing w:line="257" w:lineRule="auto"/>
              <w:rPr>
                <w:rFonts w:ascii="Arial"/>
                <w:sz w:val="21"/>
              </w:rPr>
            </w:pPr>
          </w:p>
          <w:p w14:paraId="1FB7BF65">
            <w:pPr>
              <w:spacing w:line="257" w:lineRule="auto"/>
              <w:rPr>
                <w:rFonts w:ascii="Arial"/>
                <w:sz w:val="21"/>
              </w:rPr>
            </w:pPr>
          </w:p>
          <w:p w14:paraId="7871946D">
            <w:pPr>
              <w:spacing w:line="258" w:lineRule="auto"/>
              <w:rPr>
                <w:rFonts w:ascii="Arial"/>
                <w:sz w:val="21"/>
              </w:rPr>
            </w:pPr>
          </w:p>
          <w:p w14:paraId="6D15A6C3">
            <w:pPr>
              <w:spacing w:line="258" w:lineRule="auto"/>
              <w:rPr>
                <w:rFonts w:ascii="Arial"/>
                <w:sz w:val="21"/>
              </w:rPr>
            </w:pPr>
          </w:p>
          <w:p w14:paraId="73E8CADB">
            <w:pPr>
              <w:spacing w:line="258" w:lineRule="auto"/>
              <w:rPr>
                <w:rFonts w:ascii="Arial"/>
                <w:sz w:val="21"/>
              </w:rPr>
            </w:pPr>
          </w:p>
          <w:p w14:paraId="3329C8A7">
            <w:pPr>
              <w:spacing w:line="258" w:lineRule="auto"/>
              <w:rPr>
                <w:rFonts w:ascii="Arial"/>
                <w:sz w:val="21"/>
              </w:rPr>
            </w:pPr>
          </w:p>
          <w:p w14:paraId="7EBA18B2">
            <w:pPr>
              <w:spacing w:before="78" w:line="182" w:lineRule="auto"/>
              <w:ind w:left="294"/>
              <w:rPr>
                <w:rFonts w:ascii="宋体" w:hAnsi="宋体" w:eastAsia="宋体" w:cs="宋体"/>
                <w:sz w:val="24"/>
                <w:szCs w:val="24"/>
              </w:rPr>
            </w:pPr>
            <w:r>
              <w:rPr>
                <w:rFonts w:ascii="宋体" w:hAnsi="宋体" w:eastAsia="宋体" w:cs="宋体"/>
                <w:spacing w:val="-7"/>
                <w:sz w:val="24"/>
                <w:szCs w:val="24"/>
              </w:rPr>
              <w:t>10</w:t>
            </w:r>
          </w:p>
        </w:tc>
        <w:tc>
          <w:tcPr>
            <w:tcW w:w="1273" w:type="dxa"/>
            <w:vAlign w:val="top"/>
          </w:tcPr>
          <w:p w14:paraId="71E9F20E">
            <w:pPr>
              <w:spacing w:line="251" w:lineRule="auto"/>
              <w:rPr>
                <w:rFonts w:ascii="Arial"/>
                <w:sz w:val="21"/>
              </w:rPr>
            </w:pPr>
          </w:p>
          <w:p w14:paraId="5090EB66">
            <w:pPr>
              <w:spacing w:line="251" w:lineRule="auto"/>
              <w:rPr>
                <w:rFonts w:ascii="Arial"/>
                <w:sz w:val="21"/>
              </w:rPr>
            </w:pPr>
          </w:p>
          <w:p w14:paraId="22A68FDC">
            <w:pPr>
              <w:spacing w:line="251" w:lineRule="auto"/>
              <w:rPr>
                <w:rFonts w:ascii="Arial"/>
                <w:sz w:val="21"/>
              </w:rPr>
            </w:pPr>
          </w:p>
          <w:p w14:paraId="039AE4C9">
            <w:pPr>
              <w:spacing w:line="251" w:lineRule="auto"/>
              <w:rPr>
                <w:rFonts w:ascii="Arial"/>
                <w:sz w:val="21"/>
              </w:rPr>
            </w:pPr>
          </w:p>
          <w:p w14:paraId="5BFE4BA8">
            <w:pPr>
              <w:spacing w:line="251" w:lineRule="auto"/>
              <w:rPr>
                <w:rFonts w:ascii="Arial"/>
                <w:sz w:val="21"/>
              </w:rPr>
            </w:pPr>
          </w:p>
          <w:p w14:paraId="736D9E4F">
            <w:pPr>
              <w:spacing w:line="252" w:lineRule="auto"/>
              <w:rPr>
                <w:rFonts w:ascii="Arial"/>
                <w:sz w:val="21"/>
              </w:rPr>
            </w:pPr>
          </w:p>
          <w:p w14:paraId="305D2044">
            <w:pPr>
              <w:spacing w:before="78" w:line="220" w:lineRule="auto"/>
              <w:ind w:left="107"/>
              <w:rPr>
                <w:rFonts w:ascii="宋体" w:hAnsi="宋体" w:eastAsia="宋体" w:cs="宋体"/>
                <w:sz w:val="24"/>
                <w:szCs w:val="24"/>
              </w:rPr>
            </w:pPr>
            <w:r>
              <w:rPr>
                <w:rFonts w:ascii="宋体" w:hAnsi="宋体" w:eastAsia="宋体" w:cs="宋体"/>
                <w:spacing w:val="-2"/>
                <w:sz w:val="24"/>
                <w:szCs w:val="24"/>
              </w:rPr>
              <w:t>权限分析</w:t>
            </w:r>
          </w:p>
        </w:tc>
        <w:tc>
          <w:tcPr>
            <w:tcW w:w="7743" w:type="dxa"/>
            <w:vAlign w:val="top"/>
          </w:tcPr>
          <w:p w14:paraId="66F1D20C">
            <w:pPr>
              <w:spacing w:before="67" w:line="220" w:lineRule="auto"/>
              <w:ind w:left="124"/>
              <w:rPr>
                <w:rFonts w:ascii="宋体" w:hAnsi="宋体" w:eastAsia="宋体" w:cs="宋体"/>
                <w:sz w:val="21"/>
                <w:szCs w:val="21"/>
              </w:rPr>
            </w:pPr>
            <w:r>
              <w:rPr>
                <w:rFonts w:ascii="宋体" w:hAnsi="宋体" w:eastAsia="宋体" w:cs="宋体"/>
                <w:spacing w:val="-4"/>
                <w:sz w:val="21"/>
                <w:szCs w:val="21"/>
              </w:rPr>
              <w:t>1．支持按院区查看授权情况。</w:t>
            </w:r>
          </w:p>
          <w:p w14:paraId="5A92FFB9">
            <w:pPr>
              <w:spacing w:before="92" w:line="220" w:lineRule="auto"/>
              <w:ind w:left="111"/>
              <w:rPr>
                <w:rFonts w:ascii="宋体" w:hAnsi="宋体" w:eastAsia="宋体" w:cs="宋体"/>
                <w:sz w:val="21"/>
                <w:szCs w:val="21"/>
              </w:rPr>
            </w:pPr>
            <w:r>
              <w:rPr>
                <w:rFonts w:ascii="宋体" w:hAnsi="宋体" w:eastAsia="宋体" w:cs="宋体"/>
                <w:spacing w:val="-3"/>
                <w:sz w:val="21"/>
                <w:szCs w:val="21"/>
              </w:rPr>
              <w:t>2．可按授权时间查看授权情况。</w:t>
            </w:r>
          </w:p>
          <w:p w14:paraId="3BA49411">
            <w:pPr>
              <w:spacing w:before="93" w:line="260" w:lineRule="auto"/>
              <w:ind w:left="109" w:right="102" w:firstLine="4"/>
              <w:rPr>
                <w:rFonts w:ascii="宋体" w:hAnsi="宋体" w:eastAsia="宋体" w:cs="宋体"/>
                <w:sz w:val="21"/>
                <w:szCs w:val="21"/>
              </w:rPr>
            </w:pPr>
            <w:r>
              <w:rPr>
                <w:rFonts w:ascii="宋体" w:hAnsi="宋体" w:eastAsia="宋体" w:cs="宋体"/>
                <w:spacing w:val="2"/>
                <w:sz w:val="21"/>
                <w:szCs w:val="21"/>
              </w:rPr>
              <w:t>3．可按处方权、手术等级及手术目录、麻醉等级、操作</w:t>
            </w:r>
            <w:r>
              <w:rPr>
                <w:rFonts w:ascii="宋体" w:hAnsi="宋体" w:eastAsia="宋体" w:cs="宋体"/>
                <w:spacing w:val="1"/>
                <w:sz w:val="21"/>
                <w:szCs w:val="21"/>
              </w:rPr>
              <w:t>、报告、特种设备操作分</w:t>
            </w:r>
            <w:r>
              <w:rPr>
                <w:rFonts w:ascii="宋体" w:hAnsi="宋体" w:eastAsia="宋体" w:cs="宋体"/>
                <w:sz w:val="21"/>
                <w:szCs w:val="21"/>
              </w:rPr>
              <w:t xml:space="preserve"> </w:t>
            </w:r>
            <w:r>
              <w:rPr>
                <w:rFonts w:ascii="宋体" w:hAnsi="宋体" w:eastAsia="宋体" w:cs="宋体"/>
                <w:spacing w:val="-5"/>
                <w:sz w:val="21"/>
                <w:szCs w:val="21"/>
              </w:rPr>
              <w:t>类查看授权情况。</w:t>
            </w:r>
          </w:p>
          <w:p w14:paraId="61D37F44">
            <w:pPr>
              <w:spacing w:before="92" w:line="220" w:lineRule="auto"/>
              <w:ind w:left="108"/>
              <w:rPr>
                <w:rFonts w:ascii="宋体" w:hAnsi="宋体" w:eastAsia="宋体" w:cs="宋体"/>
                <w:sz w:val="21"/>
                <w:szCs w:val="21"/>
              </w:rPr>
            </w:pPr>
            <w:r>
              <w:rPr>
                <w:rFonts w:ascii="宋体" w:hAnsi="宋体" w:eastAsia="宋体" w:cs="宋体"/>
                <w:spacing w:val="-3"/>
                <w:sz w:val="21"/>
                <w:szCs w:val="21"/>
              </w:rPr>
              <w:t>4．可按名称检索权限点。</w:t>
            </w:r>
          </w:p>
          <w:p w14:paraId="2CDB8761">
            <w:pPr>
              <w:spacing w:before="92" w:line="220" w:lineRule="auto"/>
              <w:ind w:left="113"/>
              <w:rPr>
                <w:rFonts w:ascii="宋体" w:hAnsi="宋体" w:eastAsia="宋体" w:cs="宋体"/>
                <w:sz w:val="21"/>
                <w:szCs w:val="21"/>
              </w:rPr>
            </w:pPr>
            <w:r>
              <w:rPr>
                <w:rFonts w:ascii="宋体" w:hAnsi="宋体" w:eastAsia="宋体" w:cs="宋体"/>
                <w:spacing w:val="-4"/>
                <w:sz w:val="21"/>
                <w:szCs w:val="21"/>
              </w:rPr>
              <w:t>5．可查询当前权限情况。</w:t>
            </w:r>
          </w:p>
          <w:p w14:paraId="6A769AD1">
            <w:pPr>
              <w:spacing w:before="92" w:line="220" w:lineRule="auto"/>
              <w:ind w:left="110"/>
              <w:rPr>
                <w:rFonts w:ascii="宋体" w:hAnsi="宋体" w:eastAsia="宋体" w:cs="宋体"/>
                <w:sz w:val="21"/>
                <w:szCs w:val="21"/>
              </w:rPr>
            </w:pPr>
            <w:r>
              <w:rPr>
                <w:rFonts w:ascii="宋体" w:hAnsi="宋体" w:eastAsia="宋体" w:cs="宋体"/>
                <w:spacing w:val="-3"/>
                <w:sz w:val="21"/>
                <w:szCs w:val="21"/>
              </w:rPr>
              <w:t>6．可查询指定时间范围内的授权情况。</w:t>
            </w:r>
          </w:p>
          <w:p w14:paraId="74554825">
            <w:pPr>
              <w:spacing w:before="94" w:line="260" w:lineRule="auto"/>
              <w:ind w:left="129" w:right="132" w:hanging="15"/>
              <w:rPr>
                <w:rFonts w:ascii="宋体" w:hAnsi="宋体" w:eastAsia="宋体" w:cs="宋体"/>
                <w:sz w:val="21"/>
                <w:szCs w:val="21"/>
              </w:rPr>
            </w:pPr>
            <w:r>
              <w:rPr>
                <w:rFonts w:ascii="宋体" w:hAnsi="宋体" w:eastAsia="宋体" w:cs="宋体"/>
                <w:spacing w:val="1"/>
                <w:sz w:val="21"/>
                <w:szCs w:val="21"/>
              </w:rPr>
              <w:t>7．可查询每一个权限的授权详情，包括已授权人数、权限次数、</w:t>
            </w:r>
            <w:r>
              <w:rPr>
                <w:rFonts w:ascii="宋体" w:hAnsi="宋体" w:eastAsia="宋体" w:cs="宋体"/>
                <w:sz w:val="21"/>
                <w:szCs w:val="21"/>
              </w:rPr>
              <w:t xml:space="preserve">批量授权次数、 </w:t>
            </w:r>
            <w:r>
              <w:rPr>
                <w:rFonts w:ascii="宋体" w:hAnsi="宋体" w:eastAsia="宋体" w:cs="宋体"/>
                <w:spacing w:val="-3"/>
                <w:sz w:val="21"/>
                <w:szCs w:val="21"/>
              </w:rPr>
              <w:t>回收权限人数、人员职称构成、权限科室分布。</w:t>
            </w:r>
          </w:p>
          <w:p w14:paraId="0E68363D">
            <w:pPr>
              <w:spacing w:before="93" w:line="220" w:lineRule="auto"/>
              <w:ind w:left="110"/>
              <w:rPr>
                <w:rFonts w:ascii="宋体" w:hAnsi="宋体" w:eastAsia="宋体" w:cs="宋体"/>
                <w:sz w:val="21"/>
                <w:szCs w:val="21"/>
              </w:rPr>
            </w:pPr>
            <w:r>
              <w:rPr>
                <w:rFonts w:ascii="宋体" w:hAnsi="宋体" w:eastAsia="宋体" w:cs="宋体"/>
                <w:spacing w:val="-2"/>
                <w:sz w:val="21"/>
                <w:szCs w:val="21"/>
              </w:rPr>
              <w:t>8．授权查询结果支持可以图形方式展现。</w:t>
            </w:r>
          </w:p>
        </w:tc>
      </w:tr>
      <w:tr w14:paraId="119A9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799" w:type="dxa"/>
            <w:gridSpan w:val="3"/>
            <w:vAlign w:val="top"/>
          </w:tcPr>
          <w:p w14:paraId="02FA3DC5">
            <w:pPr>
              <w:spacing w:before="186" w:line="222" w:lineRule="auto"/>
              <w:ind w:left="4283"/>
              <w:rPr>
                <w:rFonts w:ascii="宋体" w:hAnsi="宋体" w:eastAsia="宋体" w:cs="宋体"/>
                <w:sz w:val="21"/>
                <w:szCs w:val="21"/>
              </w:rPr>
            </w:pPr>
            <w:r>
              <w:rPr>
                <w:rFonts w:ascii="宋体" w:hAnsi="宋体" w:eastAsia="宋体" w:cs="宋体"/>
                <w:b/>
                <w:bCs/>
                <w:spacing w:val="-9"/>
                <w:sz w:val="24"/>
                <w:szCs w:val="24"/>
              </w:rPr>
              <w:t>(五)</w:t>
            </w:r>
            <w:r>
              <w:rPr>
                <w:rFonts w:ascii="宋体" w:hAnsi="宋体" w:eastAsia="宋体" w:cs="宋体"/>
                <w:b/>
                <w:bCs/>
                <w:spacing w:val="-9"/>
                <w:sz w:val="21"/>
                <w:szCs w:val="21"/>
              </w:rPr>
              <w:t>技术管理</w:t>
            </w:r>
          </w:p>
        </w:tc>
      </w:tr>
      <w:tr w14:paraId="5F3EE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2" w:hRule="atLeast"/>
        </w:trPr>
        <w:tc>
          <w:tcPr>
            <w:tcW w:w="783" w:type="dxa"/>
            <w:vAlign w:val="top"/>
          </w:tcPr>
          <w:p w14:paraId="1A5D0E99">
            <w:pPr>
              <w:spacing w:line="245" w:lineRule="auto"/>
              <w:rPr>
                <w:rFonts w:ascii="Arial"/>
                <w:sz w:val="21"/>
              </w:rPr>
            </w:pPr>
          </w:p>
          <w:p w14:paraId="53E1D0EB">
            <w:pPr>
              <w:spacing w:line="245" w:lineRule="auto"/>
              <w:rPr>
                <w:rFonts w:ascii="Arial"/>
                <w:sz w:val="21"/>
              </w:rPr>
            </w:pPr>
          </w:p>
          <w:p w14:paraId="3A5AFD78">
            <w:pPr>
              <w:spacing w:line="245" w:lineRule="auto"/>
              <w:rPr>
                <w:rFonts w:ascii="Arial"/>
                <w:sz w:val="21"/>
              </w:rPr>
            </w:pPr>
          </w:p>
          <w:p w14:paraId="7C7476A0">
            <w:pPr>
              <w:spacing w:line="246" w:lineRule="auto"/>
              <w:rPr>
                <w:rFonts w:ascii="Arial"/>
                <w:sz w:val="21"/>
              </w:rPr>
            </w:pPr>
          </w:p>
          <w:p w14:paraId="12354EAB">
            <w:pPr>
              <w:spacing w:line="246" w:lineRule="auto"/>
              <w:rPr>
                <w:rFonts w:ascii="Arial"/>
                <w:sz w:val="21"/>
              </w:rPr>
            </w:pPr>
          </w:p>
          <w:p w14:paraId="0C1F9801">
            <w:pPr>
              <w:spacing w:line="246" w:lineRule="auto"/>
              <w:rPr>
                <w:rFonts w:ascii="Arial"/>
                <w:sz w:val="21"/>
              </w:rPr>
            </w:pPr>
          </w:p>
          <w:p w14:paraId="429818EA">
            <w:pPr>
              <w:spacing w:line="246" w:lineRule="auto"/>
              <w:rPr>
                <w:rFonts w:ascii="Arial"/>
                <w:sz w:val="21"/>
              </w:rPr>
            </w:pPr>
          </w:p>
          <w:p w14:paraId="0740FC72">
            <w:pPr>
              <w:spacing w:before="79" w:line="182" w:lineRule="auto"/>
              <w:ind w:left="354"/>
              <w:rPr>
                <w:rFonts w:ascii="宋体" w:hAnsi="宋体" w:eastAsia="宋体" w:cs="宋体"/>
                <w:sz w:val="24"/>
                <w:szCs w:val="24"/>
              </w:rPr>
            </w:pPr>
            <w:r>
              <w:rPr>
                <w:rFonts w:ascii="宋体" w:hAnsi="宋体" w:eastAsia="宋体" w:cs="宋体"/>
                <w:sz w:val="24"/>
                <w:szCs w:val="24"/>
              </w:rPr>
              <w:t>1</w:t>
            </w:r>
          </w:p>
        </w:tc>
        <w:tc>
          <w:tcPr>
            <w:tcW w:w="1273" w:type="dxa"/>
            <w:vAlign w:val="top"/>
          </w:tcPr>
          <w:p w14:paraId="2F74E8A1">
            <w:pPr>
              <w:rPr>
                <w:rFonts w:ascii="Arial"/>
                <w:sz w:val="21"/>
              </w:rPr>
            </w:pPr>
          </w:p>
          <w:p w14:paraId="6DBCF3F2">
            <w:pPr>
              <w:rPr>
                <w:rFonts w:ascii="Arial"/>
                <w:sz w:val="21"/>
              </w:rPr>
            </w:pPr>
          </w:p>
          <w:p w14:paraId="4869F212">
            <w:pPr>
              <w:rPr>
                <w:rFonts w:ascii="Arial"/>
                <w:sz w:val="21"/>
              </w:rPr>
            </w:pPr>
          </w:p>
          <w:p w14:paraId="2BD06874">
            <w:pPr>
              <w:rPr>
                <w:rFonts w:ascii="Arial"/>
                <w:sz w:val="21"/>
              </w:rPr>
            </w:pPr>
          </w:p>
          <w:p w14:paraId="3FB3638A">
            <w:pPr>
              <w:rPr>
                <w:rFonts w:ascii="Arial"/>
                <w:sz w:val="21"/>
              </w:rPr>
            </w:pPr>
          </w:p>
          <w:p w14:paraId="5764A1E3">
            <w:pPr>
              <w:rPr>
                <w:rFonts w:ascii="Arial"/>
                <w:sz w:val="21"/>
              </w:rPr>
            </w:pPr>
          </w:p>
          <w:p w14:paraId="3FC39E8D">
            <w:pPr>
              <w:rPr>
                <w:rFonts w:ascii="Arial"/>
                <w:sz w:val="21"/>
              </w:rPr>
            </w:pPr>
          </w:p>
          <w:p w14:paraId="773737E3">
            <w:pPr>
              <w:spacing w:before="78" w:line="220" w:lineRule="auto"/>
              <w:ind w:left="109"/>
              <w:rPr>
                <w:rFonts w:ascii="宋体" w:hAnsi="宋体" w:eastAsia="宋体" w:cs="宋体"/>
                <w:sz w:val="24"/>
                <w:szCs w:val="24"/>
              </w:rPr>
            </w:pPr>
            <w:r>
              <w:rPr>
                <w:rFonts w:ascii="宋体" w:hAnsi="宋体" w:eastAsia="宋体" w:cs="宋体"/>
                <w:spacing w:val="-2"/>
                <w:sz w:val="24"/>
                <w:szCs w:val="24"/>
              </w:rPr>
              <w:t>技术目录</w:t>
            </w:r>
          </w:p>
        </w:tc>
        <w:tc>
          <w:tcPr>
            <w:tcW w:w="7743" w:type="dxa"/>
            <w:vAlign w:val="top"/>
          </w:tcPr>
          <w:p w14:paraId="7DA0C894">
            <w:pPr>
              <w:spacing w:before="71" w:line="260" w:lineRule="auto"/>
              <w:ind w:left="112" w:right="102" w:firstLine="13"/>
              <w:rPr>
                <w:rFonts w:ascii="宋体" w:hAnsi="宋体" w:eastAsia="宋体" w:cs="宋体"/>
                <w:sz w:val="21"/>
                <w:szCs w:val="21"/>
              </w:rPr>
            </w:pPr>
            <w:r>
              <w:rPr>
                <w:rFonts w:ascii="Times New Roman" w:hAnsi="Times New Roman" w:eastAsia="Times New Roman" w:cs="Times New Roman"/>
                <w:spacing w:val="1"/>
                <w:sz w:val="21"/>
                <w:szCs w:val="21"/>
              </w:rPr>
              <w:t>1</w:t>
            </w:r>
            <w:r>
              <w:rPr>
                <w:rFonts w:ascii="Times New Roman" w:hAnsi="Times New Roman" w:eastAsia="Times New Roman" w:cs="Times New Roman"/>
                <w:spacing w:val="-25"/>
                <w:sz w:val="21"/>
                <w:szCs w:val="21"/>
              </w:rPr>
              <w:t xml:space="preserve"> </w:t>
            </w:r>
            <w:r>
              <w:rPr>
                <w:rFonts w:ascii="宋体" w:hAnsi="宋体" w:eastAsia="宋体" w:cs="宋体"/>
                <w:spacing w:val="1"/>
                <w:sz w:val="21"/>
                <w:szCs w:val="21"/>
              </w:rPr>
              <w:t>．可在技术目录列表中查看各项医疗技术应用</w:t>
            </w:r>
            <w:r>
              <w:rPr>
                <w:rFonts w:ascii="宋体" w:hAnsi="宋体" w:eastAsia="宋体" w:cs="宋体"/>
                <w:sz w:val="21"/>
                <w:szCs w:val="21"/>
              </w:rPr>
              <w:t xml:space="preserve">状态，包括常规、已转常规、试运 </w:t>
            </w:r>
            <w:r>
              <w:rPr>
                <w:rFonts w:ascii="宋体" w:hAnsi="宋体" w:eastAsia="宋体" w:cs="宋体"/>
                <w:spacing w:val="-8"/>
                <w:sz w:val="21"/>
                <w:szCs w:val="21"/>
              </w:rPr>
              <w:t>行状态。</w:t>
            </w:r>
          </w:p>
          <w:p w14:paraId="30EFB204">
            <w:pPr>
              <w:spacing w:before="90" w:line="285" w:lineRule="auto"/>
              <w:ind w:left="105" w:right="27"/>
              <w:rPr>
                <w:rFonts w:ascii="宋体" w:hAnsi="宋体" w:eastAsia="宋体" w:cs="宋体"/>
                <w:sz w:val="21"/>
                <w:szCs w:val="21"/>
              </w:rPr>
            </w:pPr>
            <w:r>
              <w:rPr>
                <w:rFonts w:ascii="Times New Roman" w:hAnsi="Times New Roman" w:eastAsia="Times New Roman" w:cs="Times New Roman"/>
                <w:spacing w:val="-3"/>
                <w:sz w:val="21"/>
                <w:szCs w:val="21"/>
              </w:rPr>
              <w:t>2</w:t>
            </w:r>
            <w:r>
              <w:rPr>
                <w:rFonts w:ascii="Times New Roman" w:hAnsi="Times New Roman" w:eastAsia="Times New Roman" w:cs="Times New Roman"/>
                <w:spacing w:val="-8"/>
                <w:sz w:val="21"/>
                <w:szCs w:val="21"/>
              </w:rPr>
              <w:t xml:space="preserve"> </w:t>
            </w:r>
            <w:r>
              <w:rPr>
                <w:rFonts w:ascii="宋体" w:hAnsi="宋体" w:eastAsia="宋体" w:cs="宋体"/>
                <w:spacing w:val="-3"/>
                <w:sz w:val="21"/>
                <w:szCs w:val="21"/>
              </w:rPr>
              <w:t>．技术目录内容包括技术基本信息和相关信息，基本信息包括分类、编码、名称、</w:t>
            </w:r>
            <w:r>
              <w:rPr>
                <w:rFonts w:ascii="宋体" w:hAnsi="宋体" w:eastAsia="宋体" w:cs="宋体"/>
                <w:sz w:val="21"/>
                <w:szCs w:val="21"/>
              </w:rPr>
              <w:t xml:space="preserve"> </w:t>
            </w:r>
            <w:r>
              <w:rPr>
                <w:rFonts w:ascii="Times New Roman" w:hAnsi="Times New Roman" w:eastAsia="Times New Roman" w:cs="Times New Roman"/>
                <w:sz w:val="21"/>
                <w:szCs w:val="21"/>
              </w:rPr>
              <w:t xml:space="preserve">ICD </w:t>
            </w:r>
            <w:r>
              <w:rPr>
                <w:rFonts w:ascii="宋体" w:hAnsi="宋体" w:eastAsia="宋体" w:cs="宋体"/>
                <w:sz w:val="21"/>
                <w:szCs w:val="21"/>
              </w:rPr>
              <w:t>编码、状态、别名、拼音简码、英文名称、技术类型、技术类别、风险等级、</w:t>
            </w:r>
            <w:r>
              <w:rPr>
                <w:rFonts w:ascii="宋体" w:hAnsi="宋体" w:eastAsia="宋体" w:cs="宋体"/>
                <w:spacing w:val="3"/>
                <w:sz w:val="21"/>
                <w:szCs w:val="21"/>
              </w:rPr>
              <w:t xml:space="preserve"> </w:t>
            </w:r>
            <w:r>
              <w:rPr>
                <w:rFonts w:ascii="宋体" w:hAnsi="宋体" w:eastAsia="宋体" w:cs="宋体"/>
                <w:sz w:val="21"/>
                <w:szCs w:val="21"/>
              </w:rPr>
              <w:t xml:space="preserve">技术定性、可开展范围、外部标识、描述，支持配置医疗技术的开展范围（科室、 专业）。相关信息用于记录医疗技术应用相关情况，包括团队、开展科室、设备、 </w:t>
            </w:r>
            <w:r>
              <w:rPr>
                <w:rFonts w:ascii="宋体" w:hAnsi="宋体" w:eastAsia="宋体" w:cs="宋体"/>
                <w:spacing w:val="-2"/>
                <w:sz w:val="21"/>
                <w:szCs w:val="21"/>
              </w:rPr>
              <w:t>相关技术、授权情况、开展病例、阶段评价情况。</w:t>
            </w:r>
          </w:p>
          <w:p w14:paraId="4DAD7758">
            <w:pPr>
              <w:spacing w:before="94" w:line="220" w:lineRule="auto"/>
              <w:ind w:left="109"/>
              <w:rPr>
                <w:rFonts w:ascii="宋体" w:hAnsi="宋体" w:eastAsia="宋体" w:cs="宋体"/>
                <w:sz w:val="21"/>
                <w:szCs w:val="21"/>
              </w:rPr>
            </w:pPr>
            <w:r>
              <w:rPr>
                <w:rFonts w:ascii="Times New Roman" w:hAnsi="Times New Roman" w:eastAsia="Times New Roman" w:cs="Times New Roman"/>
                <w:spacing w:val="-2"/>
                <w:sz w:val="21"/>
                <w:szCs w:val="21"/>
              </w:rPr>
              <w:t>3</w:t>
            </w:r>
            <w:r>
              <w:rPr>
                <w:rFonts w:ascii="Times New Roman" w:hAnsi="Times New Roman" w:eastAsia="Times New Roman" w:cs="Times New Roman"/>
                <w:spacing w:val="-25"/>
                <w:sz w:val="21"/>
                <w:szCs w:val="21"/>
              </w:rPr>
              <w:t xml:space="preserve"> </w:t>
            </w:r>
            <w:r>
              <w:rPr>
                <w:rFonts w:ascii="宋体" w:hAnsi="宋体" w:eastAsia="宋体" w:cs="宋体"/>
                <w:spacing w:val="-2"/>
                <w:sz w:val="21"/>
                <w:szCs w:val="21"/>
              </w:rPr>
              <w:t>．支持在技术目录中查看授权情况，授权信息来自医师权限管理</w:t>
            </w:r>
            <w:r>
              <w:rPr>
                <w:rFonts w:ascii="宋体" w:hAnsi="宋体" w:eastAsia="宋体" w:cs="宋体"/>
                <w:spacing w:val="-3"/>
                <w:sz w:val="21"/>
                <w:szCs w:val="21"/>
              </w:rPr>
              <w:t>模块。</w:t>
            </w:r>
          </w:p>
          <w:p w14:paraId="41B0DA45">
            <w:pPr>
              <w:spacing w:before="92" w:line="261" w:lineRule="auto"/>
              <w:ind w:left="109" w:right="102" w:hanging="1"/>
              <w:rPr>
                <w:rFonts w:ascii="宋体" w:hAnsi="宋体" w:eastAsia="宋体" w:cs="宋体"/>
                <w:sz w:val="21"/>
                <w:szCs w:val="21"/>
              </w:rPr>
            </w:pPr>
            <w:r>
              <w:rPr>
                <w:rFonts w:ascii="宋体" w:hAnsi="宋体" w:eastAsia="宋体" w:cs="宋体"/>
                <w:spacing w:val="-2"/>
                <w:sz w:val="21"/>
                <w:szCs w:val="21"/>
              </w:rPr>
              <w:t>4．提供技术全景视图（360</w:t>
            </w:r>
            <w:r>
              <w:rPr>
                <w:rFonts w:ascii="宋体" w:hAnsi="宋体" w:eastAsia="宋体" w:cs="宋体"/>
                <w:spacing w:val="-34"/>
                <w:sz w:val="21"/>
                <w:szCs w:val="21"/>
              </w:rPr>
              <w:t xml:space="preserve"> </w:t>
            </w:r>
            <w:r>
              <w:rPr>
                <w:rFonts w:ascii="宋体" w:hAnsi="宋体" w:eastAsia="宋体" w:cs="宋体"/>
                <w:spacing w:val="-2"/>
                <w:sz w:val="21"/>
                <w:szCs w:val="21"/>
              </w:rPr>
              <w:t>视图</w:t>
            </w:r>
            <w:r>
              <w:rPr>
                <w:rFonts w:ascii="宋体" w:hAnsi="宋体" w:eastAsia="宋体" w:cs="宋体"/>
                <w:spacing w:val="-19"/>
                <w:sz w:val="21"/>
                <w:szCs w:val="21"/>
              </w:rPr>
              <w:t>），</w:t>
            </w:r>
            <w:r>
              <w:rPr>
                <w:rFonts w:ascii="宋体" w:hAnsi="宋体" w:eastAsia="宋体" w:cs="宋体"/>
                <w:spacing w:val="-2"/>
                <w:sz w:val="21"/>
                <w:szCs w:val="21"/>
              </w:rPr>
              <w:t>在视图中可集中展示某项技术主要信息及开展</w:t>
            </w:r>
            <w:r>
              <w:rPr>
                <w:rFonts w:ascii="宋体" w:hAnsi="宋体" w:eastAsia="宋体" w:cs="宋体"/>
                <w:sz w:val="21"/>
                <w:szCs w:val="21"/>
              </w:rPr>
              <w:t xml:space="preserve"> </w:t>
            </w:r>
            <w:r>
              <w:rPr>
                <w:rFonts w:ascii="宋体" w:hAnsi="宋体" w:eastAsia="宋体" w:cs="宋体"/>
                <w:spacing w:val="-9"/>
                <w:sz w:val="21"/>
                <w:szCs w:val="21"/>
              </w:rPr>
              <w:t>情况。</w:t>
            </w:r>
          </w:p>
          <w:p w14:paraId="09D087B3">
            <w:pPr>
              <w:spacing w:before="91" w:line="219" w:lineRule="auto"/>
              <w:ind w:left="113"/>
              <w:rPr>
                <w:rFonts w:ascii="宋体" w:hAnsi="宋体" w:eastAsia="宋体" w:cs="宋体"/>
                <w:sz w:val="21"/>
                <w:szCs w:val="21"/>
              </w:rPr>
            </w:pPr>
            <w:r>
              <w:rPr>
                <w:rFonts w:ascii="宋体" w:hAnsi="宋体" w:eastAsia="宋体" w:cs="宋体"/>
                <w:spacing w:val="2"/>
                <w:sz w:val="21"/>
                <w:szCs w:val="21"/>
              </w:rPr>
              <w:t>5．支持技术停用功能，停用操作可填写停用理由、说明</w:t>
            </w:r>
            <w:r>
              <w:rPr>
                <w:rFonts w:ascii="宋体" w:hAnsi="宋体" w:eastAsia="宋体" w:cs="宋体"/>
                <w:spacing w:val="1"/>
                <w:sz w:val="21"/>
                <w:szCs w:val="21"/>
              </w:rPr>
              <w:t>及相关附件；支持技术停</w:t>
            </w:r>
          </w:p>
        </w:tc>
      </w:tr>
    </w:tbl>
    <w:p w14:paraId="501C3359">
      <w:pPr>
        <w:pStyle w:val="2"/>
        <w:spacing w:line="294" w:lineRule="auto"/>
      </w:pPr>
    </w:p>
    <w:p w14:paraId="234DCD27">
      <w:pPr>
        <w:spacing w:before="61" w:line="209" w:lineRule="auto"/>
        <w:ind w:left="148"/>
        <w:rPr>
          <w:rFonts w:ascii="宋体" w:hAnsi="宋体" w:eastAsia="宋体" w:cs="宋体"/>
          <w:sz w:val="19"/>
          <w:szCs w:val="19"/>
        </w:rPr>
      </w:pPr>
      <w:r>
        <w:pict>
          <v:shape id="_x0000_s1048" o:spid="_x0000_s1048" style="position:absolute;left:0pt;margin-left:1.95pt;margin-top:11.8pt;height:0.75pt;width:494pt;z-index:251693056;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2"/>
          <w:position w:val="1"/>
          <w:sz w:val="18"/>
          <w:szCs w:val="18"/>
        </w:rPr>
        <w:t xml:space="preserve">28                          </w:t>
      </w:r>
      <w:r>
        <w:rPr>
          <w:rFonts w:ascii="Times New Roman" w:hAnsi="Times New Roman" w:eastAsia="Times New Roman" w:cs="Times New Roman"/>
          <w:spacing w:val="-3"/>
          <w:position w:val="1"/>
          <w:sz w:val="18"/>
          <w:szCs w:val="18"/>
        </w:rPr>
        <w:t xml:space="preserve">     </w:t>
      </w:r>
      <w:r>
        <w:rPr>
          <w:rFonts w:ascii="宋体" w:hAnsi="宋体" w:eastAsia="宋体" w:cs="宋体"/>
          <w:b/>
          <w:bCs/>
          <w:i/>
          <w:iCs/>
          <w:spacing w:val="-3"/>
          <w:sz w:val="19"/>
          <w:szCs w:val="19"/>
        </w:rPr>
        <w:t>伊犁州公共资源交易中心</w:t>
      </w:r>
    </w:p>
    <w:p w14:paraId="25D562C8">
      <w:pPr>
        <w:spacing w:line="209" w:lineRule="auto"/>
        <w:rPr>
          <w:rFonts w:ascii="宋体" w:hAnsi="宋体" w:eastAsia="宋体" w:cs="宋体"/>
          <w:sz w:val="19"/>
          <w:szCs w:val="19"/>
        </w:rPr>
        <w:sectPr>
          <w:pgSz w:w="11905" w:h="16839"/>
          <w:pgMar w:top="1136" w:right="830" w:bottom="400" w:left="1126" w:header="854" w:footer="0" w:gutter="0"/>
          <w:cols w:space="720" w:num="1"/>
        </w:sectPr>
      </w:pPr>
    </w:p>
    <w:p w14:paraId="2B65E976">
      <w:pPr>
        <w:spacing w:before="38"/>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3"/>
        <w:gridCol w:w="7743"/>
      </w:tblGrid>
      <w:tr w14:paraId="7A573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3" w:type="dxa"/>
            <w:vAlign w:val="top"/>
          </w:tcPr>
          <w:p w14:paraId="3913F05F">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55FAD939">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7A0A06D5">
            <w:pPr>
              <w:spacing w:before="179"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7A362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783" w:type="dxa"/>
            <w:vAlign w:val="top"/>
          </w:tcPr>
          <w:p w14:paraId="500E6CBB">
            <w:pPr>
              <w:rPr>
                <w:rFonts w:ascii="Arial"/>
                <w:sz w:val="21"/>
              </w:rPr>
            </w:pPr>
          </w:p>
        </w:tc>
        <w:tc>
          <w:tcPr>
            <w:tcW w:w="1273" w:type="dxa"/>
            <w:vAlign w:val="top"/>
          </w:tcPr>
          <w:p w14:paraId="33D84FCF">
            <w:pPr>
              <w:rPr>
                <w:rFonts w:ascii="Arial"/>
                <w:sz w:val="21"/>
              </w:rPr>
            </w:pPr>
          </w:p>
        </w:tc>
        <w:tc>
          <w:tcPr>
            <w:tcW w:w="7743" w:type="dxa"/>
            <w:vAlign w:val="top"/>
          </w:tcPr>
          <w:p w14:paraId="5B953470">
            <w:pPr>
              <w:spacing w:before="63" w:line="220" w:lineRule="auto"/>
              <w:ind w:left="110"/>
              <w:rPr>
                <w:rFonts w:ascii="宋体" w:hAnsi="宋体" w:eastAsia="宋体" w:cs="宋体"/>
                <w:sz w:val="21"/>
                <w:szCs w:val="21"/>
              </w:rPr>
            </w:pPr>
            <w:r>
              <w:rPr>
                <w:rFonts w:ascii="宋体" w:hAnsi="宋体" w:eastAsia="宋体" w:cs="宋体"/>
                <w:spacing w:val="-4"/>
                <w:sz w:val="21"/>
                <w:szCs w:val="21"/>
              </w:rPr>
              <w:t>用后自动回收医师权限。</w:t>
            </w:r>
          </w:p>
          <w:p w14:paraId="320CE07E">
            <w:pPr>
              <w:spacing w:before="93" w:line="268" w:lineRule="auto"/>
              <w:ind w:left="110" w:right="102"/>
              <w:rPr>
                <w:rFonts w:ascii="宋体" w:hAnsi="宋体" w:eastAsia="宋体" w:cs="宋体"/>
                <w:sz w:val="21"/>
                <w:szCs w:val="21"/>
              </w:rPr>
            </w:pPr>
            <w:r>
              <w:rPr>
                <w:rFonts w:ascii="宋体" w:hAnsi="宋体" w:eastAsia="宋体" w:cs="宋体"/>
                <w:spacing w:val="2"/>
                <w:sz w:val="21"/>
                <w:szCs w:val="21"/>
              </w:rPr>
              <w:t>6．支持医疗技术标签化功能，一项医疗技术可有多个标签；</w:t>
            </w:r>
            <w:r>
              <w:rPr>
                <w:rFonts w:ascii="宋体" w:hAnsi="宋体" w:eastAsia="宋体" w:cs="宋体"/>
                <w:spacing w:val="1"/>
                <w:sz w:val="21"/>
                <w:szCs w:val="21"/>
              </w:rPr>
              <w:t>支持按标签过滤医疗</w:t>
            </w:r>
            <w:r>
              <w:rPr>
                <w:rFonts w:ascii="宋体" w:hAnsi="宋体" w:eastAsia="宋体" w:cs="宋体"/>
                <w:sz w:val="21"/>
                <w:szCs w:val="21"/>
              </w:rPr>
              <w:t xml:space="preserve"> </w:t>
            </w:r>
            <w:r>
              <w:rPr>
                <w:rFonts w:ascii="宋体" w:hAnsi="宋体" w:eastAsia="宋体" w:cs="宋体"/>
                <w:spacing w:val="-9"/>
                <w:sz w:val="21"/>
                <w:szCs w:val="21"/>
              </w:rPr>
              <w:t>技术。</w:t>
            </w:r>
          </w:p>
        </w:tc>
      </w:tr>
      <w:tr w14:paraId="2DC45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9" w:hRule="atLeast"/>
        </w:trPr>
        <w:tc>
          <w:tcPr>
            <w:tcW w:w="783" w:type="dxa"/>
            <w:vAlign w:val="top"/>
          </w:tcPr>
          <w:p w14:paraId="5F6A7D13">
            <w:pPr>
              <w:spacing w:line="242" w:lineRule="auto"/>
              <w:rPr>
                <w:rFonts w:ascii="Arial"/>
                <w:sz w:val="21"/>
              </w:rPr>
            </w:pPr>
          </w:p>
          <w:p w14:paraId="66D98EC7">
            <w:pPr>
              <w:spacing w:line="242" w:lineRule="auto"/>
              <w:rPr>
                <w:rFonts w:ascii="Arial"/>
                <w:sz w:val="21"/>
              </w:rPr>
            </w:pPr>
          </w:p>
          <w:p w14:paraId="475CD92F">
            <w:pPr>
              <w:spacing w:line="242" w:lineRule="auto"/>
              <w:rPr>
                <w:rFonts w:ascii="Arial"/>
                <w:sz w:val="21"/>
              </w:rPr>
            </w:pPr>
          </w:p>
          <w:p w14:paraId="65F59098">
            <w:pPr>
              <w:spacing w:line="243" w:lineRule="auto"/>
              <w:rPr>
                <w:rFonts w:ascii="Arial"/>
                <w:sz w:val="21"/>
              </w:rPr>
            </w:pPr>
          </w:p>
          <w:p w14:paraId="64F68B32">
            <w:pPr>
              <w:spacing w:line="243" w:lineRule="auto"/>
              <w:rPr>
                <w:rFonts w:ascii="Arial"/>
                <w:sz w:val="21"/>
              </w:rPr>
            </w:pPr>
          </w:p>
          <w:p w14:paraId="0504D785">
            <w:pPr>
              <w:spacing w:line="243" w:lineRule="auto"/>
              <w:rPr>
                <w:rFonts w:ascii="Arial"/>
                <w:sz w:val="21"/>
              </w:rPr>
            </w:pPr>
          </w:p>
          <w:p w14:paraId="318ADE3D">
            <w:pPr>
              <w:spacing w:line="243" w:lineRule="auto"/>
              <w:rPr>
                <w:rFonts w:ascii="Arial"/>
                <w:sz w:val="21"/>
              </w:rPr>
            </w:pPr>
          </w:p>
          <w:p w14:paraId="1EC55682">
            <w:pPr>
              <w:spacing w:line="243" w:lineRule="auto"/>
              <w:rPr>
                <w:rFonts w:ascii="Arial"/>
                <w:sz w:val="21"/>
              </w:rPr>
            </w:pPr>
          </w:p>
          <w:p w14:paraId="59A74A69">
            <w:pPr>
              <w:spacing w:line="243" w:lineRule="auto"/>
              <w:rPr>
                <w:rFonts w:ascii="Arial"/>
                <w:sz w:val="21"/>
              </w:rPr>
            </w:pPr>
          </w:p>
          <w:p w14:paraId="48AD53AD">
            <w:pPr>
              <w:spacing w:line="243" w:lineRule="auto"/>
              <w:rPr>
                <w:rFonts w:ascii="Arial"/>
                <w:sz w:val="21"/>
              </w:rPr>
            </w:pPr>
          </w:p>
          <w:p w14:paraId="597C8A4C">
            <w:pPr>
              <w:spacing w:line="243" w:lineRule="auto"/>
              <w:rPr>
                <w:rFonts w:ascii="Arial"/>
                <w:sz w:val="21"/>
              </w:rPr>
            </w:pPr>
          </w:p>
          <w:p w14:paraId="2586A6A5">
            <w:pPr>
              <w:spacing w:line="243" w:lineRule="auto"/>
              <w:rPr>
                <w:rFonts w:ascii="Arial"/>
                <w:sz w:val="21"/>
              </w:rPr>
            </w:pPr>
          </w:p>
          <w:p w14:paraId="1A20058A">
            <w:pPr>
              <w:spacing w:line="243" w:lineRule="auto"/>
              <w:rPr>
                <w:rFonts w:ascii="Arial"/>
                <w:sz w:val="21"/>
              </w:rPr>
            </w:pPr>
          </w:p>
          <w:p w14:paraId="74C87217">
            <w:pPr>
              <w:spacing w:line="243" w:lineRule="auto"/>
              <w:rPr>
                <w:rFonts w:ascii="Arial"/>
                <w:sz w:val="21"/>
              </w:rPr>
            </w:pPr>
          </w:p>
          <w:p w14:paraId="4C5C5ABA">
            <w:pPr>
              <w:spacing w:line="243" w:lineRule="auto"/>
              <w:rPr>
                <w:rFonts w:ascii="Arial"/>
                <w:sz w:val="21"/>
              </w:rPr>
            </w:pPr>
          </w:p>
          <w:p w14:paraId="6D2E8D8E">
            <w:pPr>
              <w:spacing w:line="243" w:lineRule="auto"/>
              <w:rPr>
                <w:rFonts w:ascii="Arial"/>
                <w:sz w:val="21"/>
              </w:rPr>
            </w:pPr>
          </w:p>
          <w:p w14:paraId="379BFBCE">
            <w:pPr>
              <w:spacing w:before="78" w:line="181" w:lineRule="auto"/>
              <w:ind w:left="339"/>
              <w:rPr>
                <w:rFonts w:ascii="宋体" w:hAnsi="宋体" w:eastAsia="宋体" w:cs="宋体"/>
                <w:sz w:val="24"/>
                <w:szCs w:val="24"/>
              </w:rPr>
            </w:pPr>
            <w:r>
              <w:rPr>
                <w:rFonts w:ascii="宋体" w:hAnsi="宋体" w:eastAsia="宋体" w:cs="宋体"/>
                <w:sz w:val="24"/>
                <w:szCs w:val="24"/>
              </w:rPr>
              <w:t>2</w:t>
            </w:r>
          </w:p>
        </w:tc>
        <w:tc>
          <w:tcPr>
            <w:tcW w:w="1273" w:type="dxa"/>
            <w:vAlign w:val="top"/>
          </w:tcPr>
          <w:p w14:paraId="47A30AAC">
            <w:pPr>
              <w:spacing w:line="253" w:lineRule="auto"/>
              <w:rPr>
                <w:rFonts w:ascii="Arial"/>
                <w:sz w:val="21"/>
              </w:rPr>
            </w:pPr>
          </w:p>
          <w:p w14:paraId="6731E8C1">
            <w:pPr>
              <w:spacing w:line="253" w:lineRule="auto"/>
              <w:rPr>
                <w:rFonts w:ascii="Arial"/>
                <w:sz w:val="21"/>
              </w:rPr>
            </w:pPr>
          </w:p>
          <w:p w14:paraId="68F5BE7A">
            <w:pPr>
              <w:spacing w:line="253" w:lineRule="auto"/>
              <w:rPr>
                <w:rFonts w:ascii="Arial"/>
                <w:sz w:val="21"/>
              </w:rPr>
            </w:pPr>
          </w:p>
          <w:p w14:paraId="51864D60">
            <w:pPr>
              <w:spacing w:line="253" w:lineRule="auto"/>
              <w:rPr>
                <w:rFonts w:ascii="Arial"/>
                <w:sz w:val="21"/>
              </w:rPr>
            </w:pPr>
          </w:p>
          <w:p w14:paraId="06546925">
            <w:pPr>
              <w:spacing w:line="253" w:lineRule="auto"/>
              <w:rPr>
                <w:rFonts w:ascii="Arial"/>
                <w:sz w:val="21"/>
              </w:rPr>
            </w:pPr>
          </w:p>
          <w:p w14:paraId="4AFDE403">
            <w:pPr>
              <w:spacing w:line="253" w:lineRule="auto"/>
              <w:rPr>
                <w:rFonts w:ascii="Arial"/>
                <w:sz w:val="21"/>
              </w:rPr>
            </w:pPr>
          </w:p>
          <w:p w14:paraId="54364790">
            <w:pPr>
              <w:spacing w:line="253" w:lineRule="auto"/>
              <w:rPr>
                <w:rFonts w:ascii="Arial"/>
                <w:sz w:val="21"/>
              </w:rPr>
            </w:pPr>
          </w:p>
          <w:p w14:paraId="7D0AA1FE">
            <w:pPr>
              <w:spacing w:line="254" w:lineRule="auto"/>
              <w:rPr>
                <w:rFonts w:ascii="Arial"/>
                <w:sz w:val="21"/>
              </w:rPr>
            </w:pPr>
          </w:p>
          <w:p w14:paraId="79AB23EB">
            <w:pPr>
              <w:spacing w:line="254" w:lineRule="auto"/>
              <w:rPr>
                <w:rFonts w:ascii="Arial"/>
                <w:sz w:val="21"/>
              </w:rPr>
            </w:pPr>
          </w:p>
          <w:p w14:paraId="48AF99BE">
            <w:pPr>
              <w:spacing w:line="254" w:lineRule="auto"/>
              <w:rPr>
                <w:rFonts w:ascii="Arial"/>
                <w:sz w:val="21"/>
              </w:rPr>
            </w:pPr>
          </w:p>
          <w:p w14:paraId="1FD86D49">
            <w:pPr>
              <w:spacing w:line="254" w:lineRule="auto"/>
              <w:rPr>
                <w:rFonts w:ascii="Arial"/>
                <w:sz w:val="21"/>
              </w:rPr>
            </w:pPr>
          </w:p>
          <w:p w14:paraId="72446893">
            <w:pPr>
              <w:spacing w:line="254" w:lineRule="auto"/>
              <w:rPr>
                <w:rFonts w:ascii="Arial"/>
                <w:sz w:val="21"/>
              </w:rPr>
            </w:pPr>
          </w:p>
          <w:p w14:paraId="6544F6CC">
            <w:pPr>
              <w:spacing w:line="254" w:lineRule="auto"/>
              <w:rPr>
                <w:rFonts w:ascii="Arial"/>
                <w:sz w:val="21"/>
              </w:rPr>
            </w:pPr>
          </w:p>
          <w:p w14:paraId="26487ECE">
            <w:pPr>
              <w:spacing w:line="254" w:lineRule="auto"/>
              <w:rPr>
                <w:rFonts w:ascii="Arial"/>
                <w:sz w:val="21"/>
              </w:rPr>
            </w:pPr>
          </w:p>
          <w:p w14:paraId="3B3F32E6">
            <w:pPr>
              <w:spacing w:before="78" w:line="450" w:lineRule="auto"/>
              <w:ind w:left="110" w:right="105" w:hanging="1"/>
              <w:rPr>
                <w:rFonts w:ascii="宋体" w:hAnsi="宋体" w:eastAsia="宋体" w:cs="宋体"/>
                <w:sz w:val="24"/>
                <w:szCs w:val="24"/>
              </w:rPr>
            </w:pPr>
            <w:r>
              <w:rPr>
                <w:rFonts w:ascii="宋体" w:hAnsi="宋体" w:eastAsia="宋体" w:cs="宋体"/>
                <w:spacing w:val="22"/>
                <w:sz w:val="24"/>
                <w:szCs w:val="24"/>
              </w:rPr>
              <w:t>新技术管</w:t>
            </w:r>
            <w:r>
              <w:rPr>
                <w:rFonts w:ascii="宋体" w:hAnsi="宋体" w:eastAsia="宋体" w:cs="宋体"/>
                <w:sz w:val="24"/>
                <w:szCs w:val="24"/>
              </w:rPr>
              <w:t xml:space="preserve"> 理</w:t>
            </w:r>
          </w:p>
        </w:tc>
        <w:tc>
          <w:tcPr>
            <w:tcW w:w="7743" w:type="dxa"/>
            <w:vAlign w:val="top"/>
          </w:tcPr>
          <w:p w14:paraId="1DFBC204">
            <w:pPr>
              <w:spacing w:before="64" w:line="220" w:lineRule="auto"/>
              <w:ind w:left="125"/>
              <w:rPr>
                <w:rFonts w:ascii="宋体" w:hAnsi="宋体" w:eastAsia="宋体" w:cs="宋体"/>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10"/>
                <w:sz w:val="21"/>
                <w:szCs w:val="21"/>
              </w:rPr>
              <w:t xml:space="preserve"> </w:t>
            </w:r>
            <w:r>
              <w:rPr>
                <w:rFonts w:ascii="宋体" w:hAnsi="宋体" w:eastAsia="宋体" w:cs="宋体"/>
                <w:spacing w:val="-6"/>
                <w:sz w:val="21"/>
                <w:szCs w:val="21"/>
              </w:rPr>
              <w:t>．支持新技术申请、新项目申请。</w:t>
            </w:r>
          </w:p>
          <w:p w14:paraId="1B7C8DD0">
            <w:pPr>
              <w:spacing w:before="92" w:line="260" w:lineRule="auto"/>
              <w:ind w:left="108" w:right="102" w:hanging="3"/>
              <w:rPr>
                <w:rFonts w:ascii="宋体" w:hAnsi="宋体" w:eastAsia="宋体" w:cs="宋体"/>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pacing w:val="-20"/>
                <w:sz w:val="21"/>
                <w:szCs w:val="21"/>
              </w:rPr>
              <w:t xml:space="preserve"> </w:t>
            </w:r>
            <w:r>
              <w:rPr>
                <w:rFonts w:ascii="宋体" w:hAnsi="宋体" w:eastAsia="宋体" w:cs="宋体"/>
                <w:spacing w:val="1"/>
                <w:sz w:val="21"/>
                <w:szCs w:val="21"/>
              </w:rPr>
              <w:t>．新技术、新项目申请单包括基本情况、目的与意义、适应症与禁忌症、技术评</w:t>
            </w:r>
            <w:r>
              <w:rPr>
                <w:rFonts w:ascii="宋体" w:hAnsi="宋体" w:eastAsia="宋体" w:cs="宋体"/>
                <w:sz w:val="21"/>
                <w:szCs w:val="21"/>
              </w:rPr>
              <w:t xml:space="preserve"> </w:t>
            </w:r>
            <w:r>
              <w:rPr>
                <w:rFonts w:ascii="宋体" w:hAnsi="宋体" w:eastAsia="宋体" w:cs="宋体"/>
                <w:spacing w:val="-1"/>
                <w:sz w:val="21"/>
                <w:szCs w:val="21"/>
              </w:rPr>
              <w:t>估、团队情况、设备、配套设施、相关技术、实施方案，支持上传附件</w:t>
            </w:r>
            <w:r>
              <w:rPr>
                <w:rFonts w:ascii="宋体" w:hAnsi="宋体" w:eastAsia="宋体" w:cs="宋体"/>
                <w:spacing w:val="-2"/>
                <w:sz w:val="21"/>
                <w:szCs w:val="21"/>
              </w:rPr>
              <w:t>及预览。</w:t>
            </w:r>
          </w:p>
          <w:p w14:paraId="09050F04">
            <w:pPr>
              <w:spacing w:before="94" w:line="220" w:lineRule="auto"/>
              <w:ind w:left="109"/>
              <w:rPr>
                <w:rFonts w:ascii="宋体" w:hAnsi="宋体" w:eastAsia="宋体" w:cs="宋体"/>
                <w:sz w:val="21"/>
                <w:szCs w:val="21"/>
              </w:rPr>
            </w:pPr>
            <w:r>
              <w:rPr>
                <w:rFonts w:ascii="Times New Roman" w:hAnsi="Times New Roman" w:eastAsia="Times New Roman" w:cs="Times New Roman"/>
                <w:spacing w:val="-2"/>
                <w:sz w:val="21"/>
                <w:szCs w:val="21"/>
              </w:rPr>
              <w:t>3</w:t>
            </w:r>
            <w:r>
              <w:rPr>
                <w:rFonts w:ascii="Times New Roman" w:hAnsi="Times New Roman" w:eastAsia="Times New Roman" w:cs="Times New Roman"/>
                <w:spacing w:val="-25"/>
                <w:sz w:val="21"/>
                <w:szCs w:val="21"/>
              </w:rPr>
              <w:t xml:space="preserve"> </w:t>
            </w:r>
            <w:r>
              <w:rPr>
                <w:rFonts w:ascii="宋体" w:hAnsi="宋体" w:eastAsia="宋体" w:cs="宋体"/>
                <w:spacing w:val="-2"/>
                <w:sz w:val="21"/>
                <w:szCs w:val="21"/>
              </w:rPr>
              <w:t>．新技术、新项目申请单支持根据新技术级别，自动展示其管理</w:t>
            </w:r>
            <w:r>
              <w:rPr>
                <w:rFonts w:ascii="宋体" w:hAnsi="宋体" w:eastAsia="宋体" w:cs="宋体"/>
                <w:spacing w:val="-3"/>
                <w:sz w:val="21"/>
                <w:szCs w:val="21"/>
              </w:rPr>
              <w:t>期限。</w:t>
            </w:r>
          </w:p>
          <w:p w14:paraId="07E509F4">
            <w:pPr>
              <w:spacing w:before="93" w:line="260" w:lineRule="auto"/>
              <w:ind w:left="109" w:right="102" w:hanging="5"/>
              <w:rPr>
                <w:rFonts w:ascii="宋体" w:hAnsi="宋体" w:eastAsia="宋体" w:cs="宋体"/>
                <w:sz w:val="21"/>
                <w:szCs w:val="21"/>
              </w:rPr>
            </w:pPr>
            <w:r>
              <w:rPr>
                <w:rFonts w:ascii="Times New Roman" w:hAnsi="Times New Roman" w:eastAsia="Times New Roman" w:cs="Times New Roman"/>
                <w:spacing w:val="1"/>
                <w:sz w:val="21"/>
                <w:szCs w:val="21"/>
              </w:rPr>
              <w:t>4</w:t>
            </w:r>
            <w:r>
              <w:rPr>
                <w:rFonts w:ascii="Times New Roman" w:hAnsi="Times New Roman" w:eastAsia="Times New Roman" w:cs="Times New Roman"/>
                <w:spacing w:val="-19"/>
                <w:sz w:val="21"/>
                <w:szCs w:val="21"/>
              </w:rPr>
              <w:t xml:space="preserve"> </w:t>
            </w:r>
            <w:r>
              <w:rPr>
                <w:rFonts w:ascii="宋体" w:hAnsi="宋体" w:eastAsia="宋体" w:cs="宋体"/>
                <w:spacing w:val="1"/>
                <w:sz w:val="21"/>
                <w:szCs w:val="21"/>
              </w:rPr>
              <w:t>．新技术新项目申请单中团队情况信息引用于医师档案信息，包括基本信息、在</w:t>
            </w:r>
            <w:r>
              <w:rPr>
                <w:rFonts w:ascii="宋体" w:hAnsi="宋体" w:eastAsia="宋体" w:cs="宋体"/>
                <w:sz w:val="21"/>
                <w:szCs w:val="21"/>
              </w:rPr>
              <w:t xml:space="preserve"> </w:t>
            </w:r>
            <w:r>
              <w:rPr>
                <w:rFonts w:ascii="宋体" w:hAnsi="宋体" w:eastAsia="宋体" w:cs="宋体"/>
                <w:spacing w:val="-4"/>
                <w:sz w:val="21"/>
                <w:szCs w:val="21"/>
              </w:rPr>
              <w:t>职学习和进修培训情况。</w:t>
            </w:r>
          </w:p>
          <w:p w14:paraId="37E17D24">
            <w:pPr>
              <w:spacing w:before="93" w:line="218" w:lineRule="auto"/>
              <w:ind w:left="111"/>
              <w:rPr>
                <w:rFonts w:ascii="宋体" w:hAnsi="宋体" w:eastAsia="宋体" w:cs="宋体"/>
                <w:sz w:val="21"/>
                <w:szCs w:val="21"/>
              </w:rPr>
            </w:pPr>
            <w:r>
              <w:rPr>
                <w:rFonts w:ascii="Times New Roman" w:hAnsi="Times New Roman" w:eastAsia="Times New Roman" w:cs="Times New Roman"/>
                <w:spacing w:val="-3"/>
                <w:sz w:val="21"/>
                <w:szCs w:val="21"/>
              </w:rPr>
              <w:t>5</w:t>
            </w:r>
            <w:r>
              <w:rPr>
                <w:rFonts w:ascii="Times New Roman" w:hAnsi="Times New Roman" w:eastAsia="Times New Roman" w:cs="Times New Roman"/>
                <w:spacing w:val="-21"/>
                <w:sz w:val="21"/>
                <w:szCs w:val="21"/>
              </w:rPr>
              <w:t xml:space="preserve"> </w:t>
            </w:r>
            <w:r>
              <w:rPr>
                <w:rFonts w:ascii="宋体" w:hAnsi="宋体" w:eastAsia="宋体" w:cs="宋体"/>
                <w:spacing w:val="-3"/>
                <w:sz w:val="21"/>
                <w:szCs w:val="21"/>
              </w:rPr>
              <w:t>．新技术、新项目在试运行期间支持阶段评价申请。</w:t>
            </w:r>
          </w:p>
          <w:p w14:paraId="7FD7F5E2">
            <w:pPr>
              <w:spacing w:before="93" w:line="260" w:lineRule="auto"/>
              <w:ind w:left="108" w:right="102" w:firstLine="1"/>
              <w:rPr>
                <w:rFonts w:ascii="宋体" w:hAnsi="宋体" w:eastAsia="宋体" w:cs="宋体"/>
                <w:sz w:val="21"/>
                <w:szCs w:val="21"/>
              </w:rPr>
            </w:pPr>
            <w:r>
              <w:rPr>
                <w:rFonts w:ascii="Times New Roman" w:hAnsi="Times New Roman" w:eastAsia="Times New Roman" w:cs="Times New Roman"/>
                <w:spacing w:val="1"/>
                <w:sz w:val="21"/>
                <w:szCs w:val="21"/>
              </w:rPr>
              <w:t>6</w:t>
            </w:r>
            <w:r>
              <w:rPr>
                <w:rFonts w:ascii="Times New Roman" w:hAnsi="Times New Roman" w:eastAsia="Times New Roman" w:cs="Times New Roman"/>
                <w:spacing w:val="-24"/>
                <w:sz w:val="21"/>
                <w:szCs w:val="21"/>
              </w:rPr>
              <w:t xml:space="preserve"> </w:t>
            </w:r>
            <w:r>
              <w:rPr>
                <w:rFonts w:ascii="宋体" w:hAnsi="宋体" w:eastAsia="宋体" w:cs="宋体"/>
                <w:spacing w:val="1"/>
                <w:sz w:val="21"/>
                <w:szCs w:val="21"/>
              </w:rPr>
              <w:t>．阶段评估申请单包括申请日期、获批日期、实际开展日期、自评日期、安全性</w:t>
            </w:r>
            <w:r>
              <w:rPr>
                <w:rFonts w:ascii="宋体" w:hAnsi="宋体" w:eastAsia="宋体" w:cs="宋体"/>
                <w:sz w:val="21"/>
                <w:szCs w:val="21"/>
              </w:rPr>
              <w:t xml:space="preserve"> </w:t>
            </w:r>
            <w:r>
              <w:rPr>
                <w:rFonts w:ascii="宋体" w:hAnsi="宋体" w:eastAsia="宋体" w:cs="宋体"/>
                <w:spacing w:val="-1"/>
                <w:sz w:val="21"/>
                <w:szCs w:val="21"/>
              </w:rPr>
              <w:t>评价等级、医疗质量评价等级、社会效益、阶段总结、存在问题、改</w:t>
            </w:r>
            <w:r>
              <w:rPr>
                <w:rFonts w:ascii="宋体" w:hAnsi="宋体" w:eastAsia="宋体" w:cs="宋体"/>
                <w:spacing w:val="-2"/>
                <w:sz w:val="21"/>
                <w:szCs w:val="21"/>
              </w:rPr>
              <w:t>进措施。</w:t>
            </w:r>
          </w:p>
          <w:p w14:paraId="5B91ABA1">
            <w:pPr>
              <w:spacing w:before="96" w:line="260" w:lineRule="auto"/>
              <w:ind w:left="144" w:right="102" w:hanging="36"/>
              <w:rPr>
                <w:rFonts w:ascii="宋体" w:hAnsi="宋体" w:eastAsia="宋体" w:cs="宋体"/>
                <w:sz w:val="21"/>
                <w:szCs w:val="21"/>
              </w:rPr>
            </w:pPr>
            <w:r>
              <w:rPr>
                <w:rFonts w:ascii="Times New Roman" w:hAnsi="Times New Roman" w:eastAsia="Times New Roman" w:cs="Times New Roman"/>
                <w:spacing w:val="1"/>
                <w:sz w:val="21"/>
                <w:szCs w:val="21"/>
              </w:rPr>
              <w:t>7</w:t>
            </w:r>
            <w:r>
              <w:rPr>
                <w:rFonts w:ascii="Times New Roman" w:hAnsi="Times New Roman" w:eastAsia="Times New Roman" w:cs="Times New Roman"/>
                <w:spacing w:val="-23"/>
                <w:sz w:val="21"/>
                <w:szCs w:val="21"/>
              </w:rPr>
              <w:t xml:space="preserve"> </w:t>
            </w:r>
            <w:r>
              <w:rPr>
                <w:rFonts w:ascii="宋体" w:hAnsi="宋体" w:eastAsia="宋体" w:cs="宋体"/>
                <w:spacing w:val="1"/>
                <w:sz w:val="21"/>
                <w:szCs w:val="21"/>
              </w:rPr>
              <w:t>．新技术、新项目管理期结束后可进行转常规申请，转常规申请单包括试用结束</w:t>
            </w:r>
            <w:r>
              <w:rPr>
                <w:rFonts w:ascii="宋体" w:hAnsi="宋体" w:eastAsia="宋体" w:cs="宋体"/>
                <w:sz w:val="21"/>
                <w:szCs w:val="21"/>
              </w:rPr>
              <w:t xml:space="preserve"> </w:t>
            </w:r>
            <w:r>
              <w:rPr>
                <w:rFonts w:ascii="宋体" w:hAnsi="宋体" w:eastAsia="宋体" w:cs="宋体"/>
                <w:spacing w:val="-3"/>
                <w:sz w:val="21"/>
                <w:szCs w:val="21"/>
              </w:rPr>
              <w:t>日期、临床应用效果、应用情况、适应症、</w:t>
            </w:r>
            <w:r>
              <w:rPr>
                <w:rFonts w:ascii="宋体" w:hAnsi="宋体" w:eastAsia="宋体" w:cs="宋体"/>
                <w:spacing w:val="-4"/>
                <w:sz w:val="21"/>
                <w:szCs w:val="21"/>
              </w:rPr>
              <w:t>禁忌症。</w:t>
            </w:r>
          </w:p>
          <w:p w14:paraId="35E8DB75">
            <w:pPr>
              <w:spacing w:before="93" w:line="218" w:lineRule="auto"/>
              <w:ind w:left="113"/>
              <w:rPr>
                <w:rFonts w:ascii="宋体" w:hAnsi="宋体" w:eastAsia="宋体" w:cs="宋体"/>
                <w:sz w:val="21"/>
                <w:szCs w:val="21"/>
              </w:rPr>
            </w:pPr>
            <w:r>
              <w:rPr>
                <w:rFonts w:ascii="Times New Roman" w:hAnsi="Times New Roman" w:eastAsia="Times New Roman" w:cs="Times New Roman"/>
                <w:spacing w:val="-4"/>
                <w:sz w:val="21"/>
                <w:szCs w:val="21"/>
              </w:rPr>
              <w:t>8</w:t>
            </w:r>
            <w:r>
              <w:rPr>
                <w:rFonts w:ascii="Times New Roman" w:hAnsi="Times New Roman" w:eastAsia="Times New Roman" w:cs="Times New Roman"/>
                <w:spacing w:val="-8"/>
                <w:sz w:val="21"/>
                <w:szCs w:val="21"/>
              </w:rPr>
              <w:t xml:space="preserve"> </w:t>
            </w:r>
            <w:r>
              <w:rPr>
                <w:rFonts w:ascii="宋体" w:hAnsi="宋体" w:eastAsia="宋体" w:cs="宋体"/>
                <w:spacing w:val="-4"/>
                <w:sz w:val="21"/>
                <w:szCs w:val="21"/>
              </w:rPr>
              <w:t>.</w:t>
            </w:r>
            <w:r>
              <w:rPr>
                <w:rFonts w:ascii="宋体" w:hAnsi="宋体" w:eastAsia="宋体" w:cs="宋体"/>
                <w:spacing w:val="30"/>
                <w:sz w:val="21"/>
                <w:szCs w:val="21"/>
              </w:rPr>
              <w:t xml:space="preserve"> </w:t>
            </w:r>
            <w:r>
              <w:rPr>
                <w:rFonts w:ascii="宋体" w:hAnsi="宋体" w:eastAsia="宋体" w:cs="宋体"/>
                <w:spacing w:val="-4"/>
                <w:sz w:val="21"/>
                <w:szCs w:val="21"/>
              </w:rPr>
              <w:t>★支持阶段评估和转常规操作引用来自于数据中心或病案首页系统的评价指标。</w:t>
            </w:r>
          </w:p>
          <w:p w14:paraId="33AE5684">
            <w:pPr>
              <w:spacing w:before="95" w:line="260" w:lineRule="auto"/>
              <w:ind w:left="128" w:right="102" w:hanging="19"/>
              <w:rPr>
                <w:rFonts w:ascii="宋体" w:hAnsi="宋体" w:eastAsia="宋体" w:cs="宋体"/>
                <w:sz w:val="21"/>
                <w:szCs w:val="21"/>
              </w:rPr>
            </w:pPr>
            <w:r>
              <w:rPr>
                <w:rFonts w:ascii="Times New Roman" w:hAnsi="Times New Roman" w:eastAsia="Times New Roman" w:cs="Times New Roman"/>
                <w:spacing w:val="1"/>
                <w:sz w:val="21"/>
                <w:szCs w:val="21"/>
              </w:rPr>
              <w:t>9</w:t>
            </w:r>
            <w:r>
              <w:rPr>
                <w:rFonts w:ascii="Times New Roman" w:hAnsi="Times New Roman" w:eastAsia="Times New Roman" w:cs="Times New Roman"/>
                <w:spacing w:val="-24"/>
                <w:sz w:val="21"/>
                <w:szCs w:val="21"/>
              </w:rPr>
              <w:t xml:space="preserve"> </w:t>
            </w:r>
            <w:r>
              <w:rPr>
                <w:rFonts w:ascii="宋体" w:hAnsi="宋体" w:eastAsia="宋体" w:cs="宋体"/>
                <w:spacing w:val="1"/>
                <w:sz w:val="21"/>
                <w:szCs w:val="21"/>
              </w:rPr>
              <w:t>．已提交审批的新技术、新项目申请、阶段评价申请、转常规申请，可在申请单</w:t>
            </w:r>
            <w:r>
              <w:rPr>
                <w:rFonts w:ascii="宋体" w:hAnsi="宋体" w:eastAsia="宋体" w:cs="宋体"/>
                <w:sz w:val="21"/>
                <w:szCs w:val="21"/>
              </w:rPr>
              <w:t xml:space="preserve"> </w:t>
            </w:r>
            <w:r>
              <w:rPr>
                <w:rFonts w:ascii="宋体" w:hAnsi="宋体" w:eastAsia="宋体" w:cs="宋体"/>
                <w:spacing w:val="-2"/>
                <w:sz w:val="21"/>
                <w:szCs w:val="21"/>
              </w:rPr>
              <w:t>中查看审批信息，包括审批环节、各环节审批人、审批结果、审批意见。</w:t>
            </w:r>
          </w:p>
          <w:p w14:paraId="5EBD14C4">
            <w:pPr>
              <w:spacing w:before="93" w:line="220" w:lineRule="auto"/>
              <w:ind w:left="125"/>
              <w:rPr>
                <w:rFonts w:ascii="宋体" w:hAnsi="宋体" w:eastAsia="宋体" w:cs="宋体"/>
                <w:sz w:val="21"/>
                <w:szCs w:val="21"/>
              </w:rPr>
            </w:pPr>
            <w:r>
              <w:rPr>
                <w:rFonts w:ascii="Times New Roman" w:hAnsi="Times New Roman" w:eastAsia="Times New Roman" w:cs="Times New Roman"/>
                <w:spacing w:val="-5"/>
                <w:sz w:val="21"/>
                <w:szCs w:val="21"/>
              </w:rPr>
              <w:t>10</w:t>
            </w:r>
            <w:r>
              <w:rPr>
                <w:rFonts w:ascii="Times New Roman" w:hAnsi="Times New Roman" w:eastAsia="Times New Roman" w:cs="Times New Roman"/>
                <w:spacing w:val="-7"/>
                <w:sz w:val="21"/>
                <w:szCs w:val="21"/>
              </w:rPr>
              <w:t xml:space="preserve"> </w:t>
            </w:r>
            <w:r>
              <w:rPr>
                <w:rFonts w:ascii="宋体" w:hAnsi="宋体" w:eastAsia="宋体" w:cs="宋体"/>
                <w:spacing w:val="-5"/>
                <w:sz w:val="21"/>
                <w:szCs w:val="21"/>
              </w:rPr>
              <w:t>．支持新技术的暂停、延期、终止操作。</w:t>
            </w:r>
          </w:p>
          <w:p w14:paraId="48BB2648">
            <w:pPr>
              <w:spacing w:before="92" w:line="220" w:lineRule="auto"/>
              <w:ind w:left="125"/>
              <w:rPr>
                <w:rFonts w:ascii="宋体" w:hAnsi="宋体" w:eastAsia="宋体" w:cs="宋体"/>
                <w:sz w:val="21"/>
                <w:szCs w:val="21"/>
              </w:rPr>
            </w:pPr>
            <w:r>
              <w:rPr>
                <w:rFonts w:ascii="Times New Roman" w:hAnsi="Times New Roman" w:eastAsia="Times New Roman" w:cs="Times New Roman"/>
                <w:spacing w:val="-3"/>
                <w:sz w:val="21"/>
                <w:szCs w:val="21"/>
              </w:rPr>
              <w:t>11</w:t>
            </w:r>
            <w:r>
              <w:rPr>
                <w:rFonts w:ascii="Times New Roman" w:hAnsi="Times New Roman" w:eastAsia="Times New Roman" w:cs="Times New Roman"/>
                <w:spacing w:val="-24"/>
                <w:sz w:val="21"/>
                <w:szCs w:val="21"/>
              </w:rPr>
              <w:t xml:space="preserve"> </w:t>
            </w:r>
            <w:r>
              <w:rPr>
                <w:rFonts w:ascii="宋体" w:hAnsi="宋体" w:eastAsia="宋体" w:cs="宋体"/>
                <w:spacing w:val="-3"/>
                <w:sz w:val="21"/>
                <w:szCs w:val="21"/>
              </w:rPr>
              <w:t>．支持变更新技术的团队、设备、配套设施、相关技</w:t>
            </w:r>
            <w:r>
              <w:rPr>
                <w:rFonts w:ascii="宋体" w:hAnsi="宋体" w:eastAsia="宋体" w:cs="宋体"/>
                <w:spacing w:val="-4"/>
                <w:sz w:val="21"/>
                <w:szCs w:val="21"/>
              </w:rPr>
              <w:t>术。</w:t>
            </w:r>
          </w:p>
          <w:p w14:paraId="6E9BBDCA">
            <w:pPr>
              <w:spacing w:before="93" w:line="219" w:lineRule="auto"/>
              <w:ind w:left="125"/>
              <w:rPr>
                <w:rFonts w:ascii="宋体" w:hAnsi="宋体" w:eastAsia="宋体" w:cs="宋体"/>
                <w:sz w:val="21"/>
                <w:szCs w:val="21"/>
              </w:rPr>
            </w:pPr>
            <w:r>
              <w:rPr>
                <w:rFonts w:ascii="Times New Roman" w:hAnsi="Times New Roman" w:eastAsia="Times New Roman" w:cs="Times New Roman"/>
                <w:spacing w:val="-3"/>
                <w:sz w:val="21"/>
                <w:szCs w:val="21"/>
              </w:rPr>
              <w:t>12</w:t>
            </w:r>
            <w:r>
              <w:rPr>
                <w:rFonts w:ascii="Times New Roman" w:hAnsi="Times New Roman" w:eastAsia="Times New Roman" w:cs="Times New Roman"/>
                <w:spacing w:val="-23"/>
                <w:sz w:val="21"/>
                <w:szCs w:val="21"/>
              </w:rPr>
              <w:t xml:space="preserve"> </w:t>
            </w:r>
            <w:r>
              <w:rPr>
                <w:rFonts w:ascii="宋体" w:hAnsi="宋体" w:eastAsia="宋体" w:cs="宋体"/>
                <w:spacing w:val="-3"/>
                <w:sz w:val="21"/>
                <w:szCs w:val="21"/>
              </w:rPr>
              <w:t>．审批新技术时可查看原始申请单，包括查看及预览附件。</w:t>
            </w:r>
          </w:p>
          <w:p w14:paraId="7642C6AC">
            <w:pPr>
              <w:spacing w:before="93" w:line="220" w:lineRule="auto"/>
              <w:ind w:left="124"/>
              <w:rPr>
                <w:rFonts w:ascii="宋体" w:hAnsi="宋体" w:eastAsia="宋体" w:cs="宋体"/>
                <w:sz w:val="21"/>
                <w:szCs w:val="21"/>
              </w:rPr>
            </w:pPr>
            <w:r>
              <w:rPr>
                <w:rFonts w:ascii="宋体" w:hAnsi="宋体" w:eastAsia="宋体" w:cs="宋体"/>
                <w:spacing w:val="-2"/>
                <w:sz w:val="21"/>
                <w:szCs w:val="21"/>
              </w:rPr>
              <w:t>13．支持查看新技术的审批状态，包括审核中、审核不通过、审核通过等状态。</w:t>
            </w:r>
          </w:p>
          <w:p w14:paraId="4A8EAD67">
            <w:pPr>
              <w:spacing w:before="92" w:line="220" w:lineRule="auto"/>
              <w:ind w:left="124"/>
              <w:rPr>
                <w:rFonts w:ascii="宋体" w:hAnsi="宋体" w:eastAsia="宋体" w:cs="宋体"/>
                <w:sz w:val="21"/>
                <w:szCs w:val="21"/>
              </w:rPr>
            </w:pPr>
            <w:r>
              <w:rPr>
                <w:rFonts w:ascii="宋体" w:hAnsi="宋体" w:eastAsia="宋体" w:cs="宋体"/>
                <w:spacing w:val="-2"/>
                <w:sz w:val="21"/>
                <w:szCs w:val="21"/>
              </w:rPr>
              <w:t>14．支持配置申请单的字段是否可见、显示名称、提示文字。</w:t>
            </w:r>
          </w:p>
          <w:p w14:paraId="1B6398A8">
            <w:pPr>
              <w:spacing w:before="93" w:line="220" w:lineRule="auto"/>
              <w:ind w:left="124"/>
              <w:rPr>
                <w:rFonts w:ascii="宋体" w:hAnsi="宋体" w:eastAsia="宋体" w:cs="宋体"/>
                <w:sz w:val="21"/>
                <w:szCs w:val="21"/>
              </w:rPr>
            </w:pPr>
            <w:r>
              <w:rPr>
                <w:rFonts w:ascii="宋体" w:hAnsi="宋体" w:eastAsia="宋体" w:cs="宋体"/>
                <w:spacing w:val="-2"/>
                <w:sz w:val="21"/>
                <w:szCs w:val="21"/>
              </w:rPr>
              <w:t>15．支持配置申请单的扩展字段，扩展字段支持自定义名称。</w:t>
            </w:r>
          </w:p>
          <w:p w14:paraId="29B20388">
            <w:pPr>
              <w:spacing w:before="93" w:line="219" w:lineRule="auto"/>
              <w:ind w:right="7"/>
              <w:jc w:val="right"/>
              <w:rPr>
                <w:rFonts w:ascii="宋体" w:hAnsi="宋体" w:eastAsia="宋体" w:cs="宋体"/>
                <w:sz w:val="21"/>
                <w:szCs w:val="21"/>
              </w:rPr>
            </w:pPr>
            <w:r>
              <w:rPr>
                <w:rFonts w:ascii="宋体" w:hAnsi="宋体" w:eastAsia="宋体" w:cs="宋体"/>
                <w:spacing w:val="-6"/>
                <w:sz w:val="21"/>
                <w:szCs w:val="21"/>
              </w:rPr>
              <w:t>16．新技术审批过程中，可由技术委员会</w:t>
            </w:r>
            <w:r>
              <w:rPr>
                <w:rFonts w:ascii="宋体" w:hAnsi="宋体" w:eastAsia="宋体" w:cs="宋体"/>
                <w:spacing w:val="-7"/>
                <w:sz w:val="21"/>
                <w:szCs w:val="21"/>
              </w:rPr>
              <w:t>专家改变技术类型（改进型、创新型）</w:t>
            </w:r>
            <w:r>
              <w:rPr>
                <w:rFonts w:ascii="宋体" w:hAnsi="宋体" w:eastAsia="宋体" w:cs="宋体"/>
                <w:spacing w:val="-29"/>
                <w:sz w:val="21"/>
                <w:szCs w:val="21"/>
              </w:rPr>
              <w:t xml:space="preserve"> </w:t>
            </w:r>
            <w:r>
              <w:rPr>
                <w:rFonts w:ascii="宋体" w:hAnsi="宋体" w:eastAsia="宋体" w:cs="宋体"/>
                <w:spacing w:val="-7"/>
                <w:sz w:val="21"/>
                <w:szCs w:val="21"/>
              </w:rPr>
              <w:t>等。</w:t>
            </w:r>
          </w:p>
          <w:p w14:paraId="139E5395">
            <w:pPr>
              <w:spacing w:before="93" w:line="220" w:lineRule="auto"/>
              <w:ind w:left="124"/>
              <w:rPr>
                <w:rFonts w:ascii="宋体" w:hAnsi="宋体" w:eastAsia="宋体" w:cs="宋体"/>
                <w:sz w:val="21"/>
                <w:szCs w:val="21"/>
              </w:rPr>
            </w:pPr>
            <w:r>
              <w:rPr>
                <w:rFonts w:ascii="宋体" w:hAnsi="宋体" w:eastAsia="宋体" w:cs="宋体"/>
                <w:spacing w:val="-3"/>
                <w:sz w:val="21"/>
                <w:szCs w:val="21"/>
              </w:rPr>
              <w:t>17．系统支持新技术申请单与伦理申请单合并提交。</w:t>
            </w:r>
          </w:p>
          <w:p w14:paraId="4ADEEB45">
            <w:pPr>
              <w:spacing w:before="234" w:line="198" w:lineRule="auto"/>
              <w:ind w:left="128"/>
              <w:rPr>
                <w:rFonts w:ascii="宋体" w:hAnsi="宋体" w:eastAsia="宋体" w:cs="宋体"/>
                <w:sz w:val="21"/>
                <w:szCs w:val="21"/>
              </w:rPr>
            </w:pPr>
            <w:r>
              <w:rPr>
                <w:rFonts w:ascii="宋体" w:hAnsi="宋体" w:eastAsia="宋体" w:cs="宋体"/>
                <w:spacing w:val="-3"/>
                <w:sz w:val="24"/>
                <w:szCs w:val="24"/>
              </w:rPr>
              <w:t>18．</w:t>
            </w:r>
            <w:r>
              <w:rPr>
                <w:rFonts w:ascii="宋体" w:hAnsi="宋体" w:eastAsia="宋体" w:cs="宋体"/>
                <w:spacing w:val="-3"/>
                <w:sz w:val="21"/>
                <w:szCs w:val="21"/>
              </w:rPr>
              <w:t>系统支持新技术公示功能，打印新技术公示公告。</w:t>
            </w:r>
          </w:p>
        </w:tc>
      </w:tr>
      <w:tr w14:paraId="37BEC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trPr>
        <w:tc>
          <w:tcPr>
            <w:tcW w:w="783" w:type="dxa"/>
            <w:vAlign w:val="top"/>
          </w:tcPr>
          <w:p w14:paraId="3B6AB38C">
            <w:pPr>
              <w:spacing w:line="264" w:lineRule="auto"/>
              <w:rPr>
                <w:rFonts w:ascii="Arial"/>
                <w:sz w:val="21"/>
              </w:rPr>
            </w:pPr>
          </w:p>
          <w:p w14:paraId="080C68A5">
            <w:pPr>
              <w:spacing w:line="265" w:lineRule="auto"/>
              <w:rPr>
                <w:rFonts w:ascii="Arial"/>
                <w:sz w:val="21"/>
              </w:rPr>
            </w:pPr>
          </w:p>
          <w:p w14:paraId="5FEC0DBF">
            <w:pPr>
              <w:spacing w:before="78" w:line="181" w:lineRule="auto"/>
              <w:ind w:left="341"/>
              <w:rPr>
                <w:rFonts w:ascii="宋体" w:hAnsi="宋体" w:eastAsia="宋体" w:cs="宋体"/>
                <w:sz w:val="24"/>
                <w:szCs w:val="24"/>
              </w:rPr>
            </w:pPr>
            <w:r>
              <w:rPr>
                <w:rFonts w:ascii="宋体" w:hAnsi="宋体" w:eastAsia="宋体" w:cs="宋体"/>
                <w:sz w:val="24"/>
                <w:szCs w:val="24"/>
              </w:rPr>
              <w:t>3</w:t>
            </w:r>
          </w:p>
        </w:tc>
        <w:tc>
          <w:tcPr>
            <w:tcW w:w="1273" w:type="dxa"/>
            <w:vAlign w:val="top"/>
          </w:tcPr>
          <w:p w14:paraId="11AA07CC">
            <w:pPr>
              <w:spacing w:before="273" w:line="418" w:lineRule="auto"/>
              <w:ind w:left="110" w:right="105" w:hanging="1"/>
              <w:rPr>
                <w:rFonts w:ascii="宋体" w:hAnsi="宋体" w:eastAsia="宋体" w:cs="宋体"/>
                <w:sz w:val="24"/>
                <w:szCs w:val="24"/>
              </w:rPr>
            </w:pPr>
            <w:r>
              <w:rPr>
                <w:rFonts w:ascii="宋体" w:hAnsi="宋体" w:eastAsia="宋体" w:cs="宋体"/>
                <w:spacing w:val="22"/>
                <w:sz w:val="24"/>
                <w:szCs w:val="24"/>
              </w:rPr>
              <w:t>新技术级</w:t>
            </w:r>
            <w:r>
              <w:rPr>
                <w:rFonts w:ascii="宋体" w:hAnsi="宋体" w:eastAsia="宋体" w:cs="宋体"/>
                <w:sz w:val="24"/>
                <w:szCs w:val="24"/>
              </w:rPr>
              <w:t xml:space="preserve"> 别</w:t>
            </w:r>
          </w:p>
        </w:tc>
        <w:tc>
          <w:tcPr>
            <w:tcW w:w="7743" w:type="dxa"/>
            <w:vAlign w:val="top"/>
          </w:tcPr>
          <w:p w14:paraId="5DC823B4">
            <w:pPr>
              <w:spacing w:before="72" w:line="261" w:lineRule="auto"/>
              <w:ind w:left="110" w:right="132" w:firstLine="13"/>
              <w:rPr>
                <w:rFonts w:ascii="宋体" w:hAnsi="宋体" w:eastAsia="宋体" w:cs="宋体"/>
                <w:sz w:val="21"/>
                <w:szCs w:val="21"/>
              </w:rPr>
            </w:pPr>
            <w:r>
              <w:rPr>
                <w:rFonts w:ascii="宋体" w:hAnsi="宋体" w:eastAsia="宋体" w:cs="宋体"/>
                <w:spacing w:val="1"/>
                <w:sz w:val="21"/>
                <w:szCs w:val="21"/>
              </w:rPr>
              <w:t>1．根据医院管理要求定义新技术级别，级</w:t>
            </w:r>
            <w:r>
              <w:rPr>
                <w:rFonts w:ascii="宋体" w:hAnsi="宋体" w:eastAsia="宋体" w:cs="宋体"/>
                <w:sz w:val="21"/>
                <w:szCs w:val="21"/>
              </w:rPr>
              <w:t xml:space="preserve">别的内容包括编码、名称、管理期限、 </w:t>
            </w:r>
            <w:r>
              <w:rPr>
                <w:rFonts w:ascii="宋体" w:hAnsi="宋体" w:eastAsia="宋体" w:cs="宋体"/>
                <w:spacing w:val="-9"/>
                <w:sz w:val="21"/>
                <w:szCs w:val="21"/>
              </w:rPr>
              <w:t>描述。</w:t>
            </w:r>
          </w:p>
          <w:p w14:paraId="5969B1EC">
            <w:pPr>
              <w:spacing w:before="91" w:line="260" w:lineRule="auto"/>
              <w:ind w:left="107" w:right="102" w:firstLine="4"/>
              <w:rPr>
                <w:rFonts w:ascii="宋体" w:hAnsi="宋体" w:eastAsia="宋体" w:cs="宋体"/>
                <w:sz w:val="21"/>
                <w:szCs w:val="21"/>
              </w:rPr>
            </w:pPr>
            <w:r>
              <w:rPr>
                <w:rFonts w:ascii="宋体" w:hAnsi="宋体" w:eastAsia="宋体" w:cs="宋体"/>
                <w:spacing w:val="2"/>
                <w:sz w:val="21"/>
                <w:szCs w:val="21"/>
              </w:rPr>
              <w:t>2．支持通过参数设置是否要求同步提交伦理申请材料，支</w:t>
            </w:r>
            <w:r>
              <w:rPr>
                <w:rFonts w:ascii="宋体" w:hAnsi="宋体" w:eastAsia="宋体" w:cs="宋体"/>
                <w:spacing w:val="1"/>
                <w:sz w:val="21"/>
                <w:szCs w:val="21"/>
              </w:rPr>
              <w:t>持上传材料模板，供申</w:t>
            </w:r>
            <w:r>
              <w:rPr>
                <w:rFonts w:ascii="宋体" w:hAnsi="宋体" w:eastAsia="宋体" w:cs="宋体"/>
                <w:sz w:val="21"/>
                <w:szCs w:val="21"/>
              </w:rPr>
              <w:t xml:space="preserve"> </w:t>
            </w:r>
            <w:r>
              <w:rPr>
                <w:rFonts w:ascii="宋体" w:hAnsi="宋体" w:eastAsia="宋体" w:cs="宋体"/>
                <w:spacing w:val="-6"/>
                <w:sz w:val="21"/>
                <w:szCs w:val="21"/>
              </w:rPr>
              <w:t>请人参考。</w:t>
            </w:r>
          </w:p>
        </w:tc>
      </w:tr>
      <w:tr w14:paraId="5A37C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trPr>
        <w:tc>
          <w:tcPr>
            <w:tcW w:w="783" w:type="dxa"/>
            <w:vAlign w:val="top"/>
          </w:tcPr>
          <w:p w14:paraId="7BFFDF8A">
            <w:pPr>
              <w:spacing w:line="304" w:lineRule="auto"/>
              <w:rPr>
                <w:rFonts w:ascii="Arial"/>
                <w:sz w:val="21"/>
              </w:rPr>
            </w:pPr>
          </w:p>
          <w:p w14:paraId="075F8260">
            <w:pPr>
              <w:spacing w:line="305" w:lineRule="auto"/>
              <w:rPr>
                <w:rFonts w:ascii="Arial"/>
                <w:sz w:val="21"/>
              </w:rPr>
            </w:pPr>
          </w:p>
          <w:p w14:paraId="01E917D5">
            <w:pPr>
              <w:spacing w:before="78" w:line="181" w:lineRule="auto"/>
              <w:ind w:left="335"/>
              <w:rPr>
                <w:rFonts w:ascii="宋体" w:hAnsi="宋体" w:eastAsia="宋体" w:cs="宋体"/>
                <w:sz w:val="24"/>
                <w:szCs w:val="24"/>
              </w:rPr>
            </w:pPr>
            <w:r>
              <w:rPr>
                <w:rFonts w:ascii="宋体" w:hAnsi="宋体" w:eastAsia="宋体" w:cs="宋体"/>
                <w:sz w:val="24"/>
                <w:szCs w:val="24"/>
              </w:rPr>
              <w:t>4</w:t>
            </w:r>
          </w:p>
        </w:tc>
        <w:tc>
          <w:tcPr>
            <w:tcW w:w="1273" w:type="dxa"/>
            <w:vAlign w:val="top"/>
          </w:tcPr>
          <w:p w14:paraId="52459DC5">
            <w:pPr>
              <w:spacing w:line="284" w:lineRule="auto"/>
              <w:rPr>
                <w:rFonts w:ascii="Arial"/>
                <w:sz w:val="21"/>
              </w:rPr>
            </w:pPr>
          </w:p>
          <w:p w14:paraId="42631F35">
            <w:pPr>
              <w:spacing w:line="285" w:lineRule="auto"/>
              <w:rPr>
                <w:rFonts w:ascii="Arial"/>
                <w:sz w:val="21"/>
              </w:rPr>
            </w:pPr>
          </w:p>
          <w:p w14:paraId="55F3648B">
            <w:pPr>
              <w:spacing w:before="78" w:line="220" w:lineRule="auto"/>
              <w:ind w:left="109"/>
              <w:rPr>
                <w:rFonts w:ascii="宋体" w:hAnsi="宋体" w:eastAsia="宋体" w:cs="宋体"/>
                <w:sz w:val="24"/>
                <w:szCs w:val="24"/>
              </w:rPr>
            </w:pPr>
            <w:r>
              <w:rPr>
                <w:rFonts w:ascii="宋体" w:hAnsi="宋体" w:eastAsia="宋体" w:cs="宋体"/>
                <w:spacing w:val="-2"/>
                <w:sz w:val="24"/>
                <w:szCs w:val="24"/>
              </w:rPr>
              <w:t>技术对码</w:t>
            </w:r>
          </w:p>
        </w:tc>
        <w:tc>
          <w:tcPr>
            <w:tcW w:w="7743" w:type="dxa"/>
            <w:vAlign w:val="top"/>
          </w:tcPr>
          <w:p w14:paraId="2577D514">
            <w:pPr>
              <w:spacing w:line="252" w:lineRule="auto"/>
              <w:rPr>
                <w:rFonts w:ascii="Arial"/>
                <w:sz w:val="21"/>
              </w:rPr>
            </w:pPr>
          </w:p>
          <w:p w14:paraId="06E4A280">
            <w:pPr>
              <w:spacing w:before="69" w:line="220" w:lineRule="auto"/>
              <w:ind w:left="125"/>
              <w:rPr>
                <w:rFonts w:ascii="宋体" w:hAnsi="宋体" w:eastAsia="宋体" w:cs="宋体"/>
                <w:sz w:val="21"/>
                <w:szCs w:val="21"/>
              </w:rPr>
            </w:pPr>
            <w:r>
              <w:rPr>
                <w:rFonts w:ascii="Times New Roman" w:hAnsi="Times New Roman" w:eastAsia="Times New Roman" w:cs="Times New Roman"/>
                <w:spacing w:val="-2"/>
                <w:sz w:val="21"/>
                <w:szCs w:val="21"/>
              </w:rPr>
              <w:t>1</w:t>
            </w:r>
            <w:r>
              <w:rPr>
                <w:rFonts w:ascii="Times New Roman" w:hAnsi="Times New Roman" w:eastAsia="Times New Roman" w:cs="Times New Roman"/>
                <w:spacing w:val="-24"/>
                <w:sz w:val="21"/>
                <w:szCs w:val="21"/>
              </w:rPr>
              <w:t xml:space="preserve"> </w:t>
            </w:r>
            <w:r>
              <w:rPr>
                <w:rFonts w:ascii="宋体" w:hAnsi="宋体" w:eastAsia="宋体" w:cs="宋体"/>
                <w:spacing w:val="-2"/>
                <w:sz w:val="21"/>
                <w:szCs w:val="21"/>
              </w:rPr>
              <w:t>．将医务管理系统中技术目录与</w:t>
            </w:r>
            <w:r>
              <w:rPr>
                <w:rFonts w:ascii="宋体" w:hAnsi="宋体" w:eastAsia="宋体" w:cs="宋体"/>
                <w:spacing w:val="-49"/>
                <w:sz w:val="21"/>
                <w:szCs w:val="21"/>
              </w:rPr>
              <w:t xml:space="preserve"> </w:t>
            </w:r>
            <w:r>
              <w:rPr>
                <w:rFonts w:ascii="Times New Roman" w:hAnsi="Times New Roman" w:eastAsia="Times New Roman" w:cs="Times New Roman"/>
                <w:spacing w:val="-2"/>
                <w:sz w:val="21"/>
                <w:szCs w:val="21"/>
              </w:rPr>
              <w:t xml:space="preserve">HIS\EMR </w:t>
            </w:r>
            <w:r>
              <w:rPr>
                <w:rFonts w:ascii="宋体" w:hAnsi="宋体" w:eastAsia="宋体" w:cs="宋体"/>
                <w:spacing w:val="-2"/>
                <w:sz w:val="21"/>
                <w:szCs w:val="21"/>
              </w:rPr>
              <w:t>系统的诊疗项目、收费项</w:t>
            </w:r>
            <w:r>
              <w:rPr>
                <w:rFonts w:ascii="宋体" w:hAnsi="宋体" w:eastAsia="宋体" w:cs="宋体"/>
                <w:spacing w:val="-3"/>
                <w:sz w:val="21"/>
                <w:szCs w:val="21"/>
              </w:rPr>
              <w:t>目进行对照。</w:t>
            </w:r>
          </w:p>
          <w:p w14:paraId="0820E50C">
            <w:pPr>
              <w:spacing w:before="92" w:line="220" w:lineRule="auto"/>
              <w:ind w:left="105"/>
              <w:rPr>
                <w:rFonts w:ascii="宋体" w:hAnsi="宋体" w:eastAsia="宋体" w:cs="宋体"/>
                <w:sz w:val="21"/>
                <w:szCs w:val="21"/>
              </w:rPr>
            </w:pPr>
            <w:r>
              <w:rPr>
                <w:rFonts w:ascii="Times New Roman" w:hAnsi="Times New Roman" w:eastAsia="Times New Roman" w:cs="Times New Roman"/>
                <w:spacing w:val="-4"/>
                <w:sz w:val="21"/>
                <w:szCs w:val="21"/>
              </w:rPr>
              <w:t>2</w:t>
            </w:r>
            <w:r>
              <w:rPr>
                <w:rFonts w:ascii="Times New Roman" w:hAnsi="Times New Roman" w:eastAsia="Times New Roman" w:cs="Times New Roman"/>
                <w:spacing w:val="-14"/>
                <w:sz w:val="21"/>
                <w:szCs w:val="21"/>
              </w:rPr>
              <w:t xml:space="preserve"> </w:t>
            </w:r>
            <w:r>
              <w:rPr>
                <w:rFonts w:ascii="宋体" w:hAnsi="宋体" w:eastAsia="宋体" w:cs="宋体"/>
                <w:spacing w:val="-4"/>
                <w:sz w:val="21"/>
                <w:szCs w:val="21"/>
              </w:rPr>
              <w:t>．医疗技术支持与</w:t>
            </w:r>
            <w:r>
              <w:rPr>
                <w:rFonts w:ascii="宋体" w:hAnsi="宋体" w:eastAsia="宋体" w:cs="宋体"/>
                <w:spacing w:val="-47"/>
                <w:sz w:val="21"/>
                <w:szCs w:val="21"/>
              </w:rPr>
              <w:t xml:space="preserve"> </w:t>
            </w:r>
            <w:r>
              <w:rPr>
                <w:rFonts w:ascii="Times New Roman" w:hAnsi="Times New Roman" w:eastAsia="Times New Roman" w:cs="Times New Roman"/>
                <w:spacing w:val="-4"/>
                <w:sz w:val="21"/>
                <w:szCs w:val="21"/>
              </w:rPr>
              <w:t xml:space="preserve">ICD </w:t>
            </w:r>
            <w:r>
              <w:rPr>
                <w:rFonts w:ascii="宋体" w:hAnsi="宋体" w:eastAsia="宋体" w:cs="宋体"/>
                <w:spacing w:val="-4"/>
                <w:sz w:val="21"/>
                <w:szCs w:val="21"/>
              </w:rPr>
              <w:t>编码对照。</w:t>
            </w:r>
          </w:p>
          <w:p w14:paraId="3475770E">
            <w:pPr>
              <w:spacing w:before="92" w:line="220" w:lineRule="auto"/>
              <w:ind w:left="109"/>
              <w:rPr>
                <w:rFonts w:ascii="宋体" w:hAnsi="宋体" w:eastAsia="宋体" w:cs="宋体"/>
                <w:sz w:val="21"/>
                <w:szCs w:val="21"/>
              </w:rPr>
            </w:pPr>
            <w:r>
              <w:rPr>
                <w:rFonts w:ascii="Times New Roman" w:hAnsi="Times New Roman" w:eastAsia="Times New Roman" w:cs="Times New Roman"/>
                <w:spacing w:val="-4"/>
                <w:sz w:val="21"/>
                <w:szCs w:val="21"/>
              </w:rPr>
              <w:t>3</w:t>
            </w:r>
            <w:r>
              <w:rPr>
                <w:rFonts w:ascii="Times New Roman" w:hAnsi="Times New Roman" w:eastAsia="Times New Roman" w:cs="Times New Roman"/>
                <w:spacing w:val="-19"/>
                <w:sz w:val="21"/>
                <w:szCs w:val="21"/>
              </w:rPr>
              <w:t xml:space="preserve"> </w:t>
            </w:r>
            <w:r>
              <w:rPr>
                <w:rFonts w:ascii="宋体" w:hAnsi="宋体" w:eastAsia="宋体" w:cs="宋体"/>
                <w:spacing w:val="-4"/>
                <w:sz w:val="21"/>
                <w:szCs w:val="21"/>
              </w:rPr>
              <w:t>．支持通过编码或名称检索对码结果。</w:t>
            </w:r>
          </w:p>
        </w:tc>
      </w:tr>
      <w:tr w14:paraId="75183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99" w:type="dxa"/>
            <w:gridSpan w:val="3"/>
            <w:vAlign w:val="top"/>
          </w:tcPr>
          <w:p w14:paraId="7B5955BC">
            <w:pPr>
              <w:spacing w:before="184" w:line="220" w:lineRule="auto"/>
              <w:ind w:left="4223"/>
              <w:rPr>
                <w:rFonts w:ascii="宋体" w:hAnsi="宋体" w:eastAsia="宋体" w:cs="宋体"/>
                <w:sz w:val="24"/>
                <w:szCs w:val="24"/>
              </w:rPr>
            </w:pPr>
            <w:r>
              <w:rPr>
                <w:rFonts w:ascii="宋体" w:hAnsi="宋体" w:eastAsia="宋体" w:cs="宋体"/>
                <w:b/>
                <w:bCs/>
                <w:spacing w:val="-10"/>
                <w:sz w:val="24"/>
                <w:szCs w:val="24"/>
              </w:rPr>
              <w:t>(六)政策制度</w:t>
            </w:r>
          </w:p>
        </w:tc>
      </w:tr>
    </w:tbl>
    <w:p w14:paraId="0380A3F6">
      <w:pPr>
        <w:pStyle w:val="2"/>
        <w:spacing w:line="304" w:lineRule="auto"/>
      </w:pPr>
    </w:p>
    <w:p w14:paraId="46788F02">
      <w:pPr>
        <w:pStyle w:val="2"/>
        <w:spacing w:line="305" w:lineRule="auto"/>
      </w:pPr>
    </w:p>
    <w:p w14:paraId="5F4B0FC0">
      <w:pPr>
        <w:pStyle w:val="2"/>
        <w:spacing w:line="305" w:lineRule="auto"/>
      </w:pPr>
    </w:p>
    <w:p w14:paraId="5B893178">
      <w:pPr>
        <w:spacing w:before="62" w:line="209" w:lineRule="auto"/>
        <w:ind w:left="148"/>
        <w:rPr>
          <w:rFonts w:ascii="宋体" w:hAnsi="宋体" w:eastAsia="宋体" w:cs="宋体"/>
          <w:sz w:val="19"/>
          <w:szCs w:val="19"/>
        </w:rPr>
      </w:pPr>
      <w:r>
        <w:pict>
          <v:shape id="_x0000_s1049" o:spid="_x0000_s1049" style="position:absolute;left:0pt;margin-left:1.95pt;margin-top:11.8pt;height:0.75pt;width:494pt;z-index:251694080;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2"/>
          <w:position w:val="1"/>
          <w:sz w:val="18"/>
          <w:szCs w:val="18"/>
        </w:rPr>
        <w:t xml:space="preserve">29                          </w:t>
      </w:r>
      <w:r>
        <w:rPr>
          <w:rFonts w:ascii="Times New Roman" w:hAnsi="Times New Roman" w:eastAsia="Times New Roman" w:cs="Times New Roman"/>
          <w:spacing w:val="-3"/>
          <w:position w:val="1"/>
          <w:sz w:val="18"/>
          <w:szCs w:val="18"/>
        </w:rPr>
        <w:t xml:space="preserve">     </w:t>
      </w:r>
      <w:r>
        <w:rPr>
          <w:rFonts w:ascii="宋体" w:hAnsi="宋体" w:eastAsia="宋体" w:cs="宋体"/>
          <w:b/>
          <w:bCs/>
          <w:i/>
          <w:iCs/>
          <w:spacing w:val="-3"/>
          <w:sz w:val="19"/>
          <w:szCs w:val="19"/>
        </w:rPr>
        <w:t>伊犁州公共资源交易中心</w:t>
      </w:r>
    </w:p>
    <w:p w14:paraId="7E7DDE63">
      <w:pPr>
        <w:spacing w:line="209" w:lineRule="auto"/>
        <w:rPr>
          <w:rFonts w:ascii="宋体" w:hAnsi="宋体" w:eastAsia="宋体" w:cs="宋体"/>
          <w:sz w:val="19"/>
          <w:szCs w:val="19"/>
        </w:rPr>
        <w:sectPr>
          <w:pgSz w:w="11905" w:h="16839"/>
          <w:pgMar w:top="1136" w:right="830" w:bottom="400" w:left="1126" w:header="854" w:footer="0" w:gutter="0"/>
          <w:cols w:space="720" w:num="1"/>
        </w:sectPr>
      </w:pPr>
    </w:p>
    <w:p w14:paraId="0CF1427D">
      <w:pPr>
        <w:spacing w:before="38"/>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3"/>
        <w:gridCol w:w="7743"/>
      </w:tblGrid>
      <w:tr w14:paraId="446B5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3" w:type="dxa"/>
            <w:vAlign w:val="top"/>
          </w:tcPr>
          <w:p w14:paraId="2AA660E3">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39D49F69">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33B6CEFC">
            <w:pPr>
              <w:spacing w:before="179"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6D163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5" w:hRule="atLeast"/>
        </w:trPr>
        <w:tc>
          <w:tcPr>
            <w:tcW w:w="783" w:type="dxa"/>
            <w:vAlign w:val="top"/>
          </w:tcPr>
          <w:p w14:paraId="5B5C94FC">
            <w:pPr>
              <w:spacing w:line="244" w:lineRule="auto"/>
              <w:rPr>
                <w:rFonts w:ascii="Arial"/>
                <w:sz w:val="21"/>
              </w:rPr>
            </w:pPr>
          </w:p>
          <w:p w14:paraId="474A3F76">
            <w:pPr>
              <w:spacing w:line="244" w:lineRule="auto"/>
              <w:rPr>
                <w:rFonts w:ascii="Arial"/>
                <w:sz w:val="21"/>
              </w:rPr>
            </w:pPr>
          </w:p>
          <w:p w14:paraId="7E5987F3">
            <w:pPr>
              <w:spacing w:line="244" w:lineRule="auto"/>
              <w:rPr>
                <w:rFonts w:ascii="Arial"/>
                <w:sz w:val="21"/>
              </w:rPr>
            </w:pPr>
          </w:p>
          <w:p w14:paraId="0BCF78E5">
            <w:pPr>
              <w:spacing w:line="244" w:lineRule="auto"/>
              <w:rPr>
                <w:rFonts w:ascii="Arial"/>
                <w:sz w:val="21"/>
              </w:rPr>
            </w:pPr>
          </w:p>
          <w:p w14:paraId="26E2A653">
            <w:pPr>
              <w:spacing w:before="78" w:line="182" w:lineRule="auto"/>
              <w:ind w:left="354"/>
              <w:rPr>
                <w:rFonts w:ascii="宋体" w:hAnsi="宋体" w:eastAsia="宋体" w:cs="宋体"/>
                <w:sz w:val="24"/>
                <w:szCs w:val="24"/>
              </w:rPr>
            </w:pPr>
            <w:r>
              <w:rPr>
                <w:rFonts w:ascii="宋体" w:hAnsi="宋体" w:eastAsia="宋体" w:cs="宋体"/>
                <w:sz w:val="24"/>
                <w:szCs w:val="24"/>
              </w:rPr>
              <w:t>1</w:t>
            </w:r>
          </w:p>
        </w:tc>
        <w:tc>
          <w:tcPr>
            <w:tcW w:w="1273" w:type="dxa"/>
            <w:vAlign w:val="top"/>
          </w:tcPr>
          <w:p w14:paraId="60C69BEE">
            <w:pPr>
              <w:spacing w:line="320" w:lineRule="auto"/>
              <w:rPr>
                <w:rFonts w:ascii="Arial"/>
                <w:sz w:val="21"/>
              </w:rPr>
            </w:pPr>
          </w:p>
          <w:p w14:paraId="73A79B43">
            <w:pPr>
              <w:spacing w:line="321" w:lineRule="auto"/>
              <w:rPr>
                <w:rFonts w:ascii="Arial"/>
                <w:sz w:val="21"/>
              </w:rPr>
            </w:pPr>
          </w:p>
          <w:p w14:paraId="75115E0B">
            <w:pPr>
              <w:spacing w:before="78" w:line="445" w:lineRule="auto"/>
              <w:ind w:left="113" w:right="105" w:hanging="6"/>
              <w:rPr>
                <w:rFonts w:ascii="宋体" w:hAnsi="宋体" w:eastAsia="宋体" w:cs="宋体"/>
                <w:sz w:val="24"/>
                <w:szCs w:val="24"/>
              </w:rPr>
            </w:pPr>
            <w:r>
              <w:rPr>
                <w:rFonts w:ascii="宋体" w:hAnsi="宋体" w:eastAsia="宋体" w:cs="宋体"/>
                <w:spacing w:val="22"/>
                <w:sz w:val="24"/>
                <w:szCs w:val="24"/>
              </w:rPr>
              <w:t>政策法规</w:t>
            </w:r>
            <w:r>
              <w:rPr>
                <w:rFonts w:ascii="宋体" w:hAnsi="宋体" w:eastAsia="宋体" w:cs="宋体"/>
                <w:spacing w:val="1"/>
                <w:sz w:val="24"/>
                <w:szCs w:val="24"/>
              </w:rPr>
              <w:t xml:space="preserve"> </w:t>
            </w:r>
            <w:r>
              <w:rPr>
                <w:rFonts w:ascii="宋体" w:hAnsi="宋体" w:eastAsia="宋体" w:cs="宋体"/>
                <w:spacing w:val="-4"/>
                <w:sz w:val="24"/>
                <w:szCs w:val="24"/>
              </w:rPr>
              <w:t>管理</w:t>
            </w:r>
          </w:p>
        </w:tc>
        <w:tc>
          <w:tcPr>
            <w:tcW w:w="7743" w:type="dxa"/>
            <w:vAlign w:val="top"/>
          </w:tcPr>
          <w:p w14:paraId="5D8A47A7">
            <w:pPr>
              <w:spacing w:before="179" w:line="219" w:lineRule="auto"/>
              <w:ind w:left="124"/>
              <w:rPr>
                <w:rFonts w:ascii="宋体" w:hAnsi="宋体" w:eastAsia="宋体" w:cs="宋体"/>
                <w:sz w:val="21"/>
                <w:szCs w:val="21"/>
              </w:rPr>
            </w:pPr>
            <w:r>
              <w:rPr>
                <w:rFonts w:ascii="宋体" w:hAnsi="宋体" w:eastAsia="宋体" w:cs="宋体"/>
                <w:spacing w:val="-4"/>
                <w:sz w:val="21"/>
                <w:szCs w:val="21"/>
              </w:rPr>
              <w:t>1．支持指定格式文档的上传。</w:t>
            </w:r>
          </w:p>
          <w:p w14:paraId="3E906E68">
            <w:pPr>
              <w:spacing w:before="93" w:line="219" w:lineRule="auto"/>
              <w:ind w:left="111"/>
              <w:rPr>
                <w:rFonts w:ascii="宋体" w:hAnsi="宋体" w:eastAsia="宋体" w:cs="宋体"/>
                <w:sz w:val="21"/>
                <w:szCs w:val="21"/>
              </w:rPr>
            </w:pPr>
            <w:r>
              <w:rPr>
                <w:rFonts w:ascii="宋体" w:hAnsi="宋体" w:eastAsia="宋体" w:cs="宋体"/>
                <w:spacing w:val="-2"/>
                <w:sz w:val="21"/>
                <w:szCs w:val="21"/>
              </w:rPr>
              <w:t>2．支持结构化文档上传与管理，新增、删除等。</w:t>
            </w:r>
          </w:p>
          <w:p w14:paraId="19F76E09">
            <w:pPr>
              <w:spacing w:before="93" w:line="220" w:lineRule="auto"/>
              <w:ind w:left="113"/>
              <w:rPr>
                <w:rFonts w:ascii="宋体" w:hAnsi="宋体" w:eastAsia="宋体" w:cs="宋体"/>
                <w:sz w:val="21"/>
                <w:szCs w:val="21"/>
              </w:rPr>
            </w:pPr>
            <w:r>
              <w:rPr>
                <w:rFonts w:ascii="宋体" w:hAnsi="宋体" w:eastAsia="宋体" w:cs="宋体"/>
                <w:spacing w:val="-3"/>
                <w:sz w:val="21"/>
                <w:szCs w:val="21"/>
              </w:rPr>
              <w:t>3．结构化文档目录项可配置系统模块。</w:t>
            </w:r>
          </w:p>
          <w:p w14:paraId="25EAE48A">
            <w:pPr>
              <w:spacing w:before="92" w:line="220" w:lineRule="auto"/>
              <w:ind w:left="108"/>
              <w:rPr>
                <w:rFonts w:ascii="宋体" w:hAnsi="宋体" w:eastAsia="宋体" w:cs="宋体"/>
                <w:sz w:val="21"/>
                <w:szCs w:val="21"/>
              </w:rPr>
            </w:pPr>
            <w:r>
              <w:rPr>
                <w:rFonts w:ascii="宋体" w:hAnsi="宋体" w:eastAsia="宋体" w:cs="宋体"/>
                <w:spacing w:val="-2"/>
                <w:sz w:val="21"/>
                <w:szCs w:val="21"/>
              </w:rPr>
              <w:t>4．结构化文档可配置原始文档的页码。</w:t>
            </w:r>
          </w:p>
          <w:p w14:paraId="4698D417">
            <w:pPr>
              <w:spacing w:before="92" w:line="220" w:lineRule="auto"/>
              <w:ind w:left="113"/>
              <w:rPr>
                <w:rFonts w:ascii="宋体" w:hAnsi="宋体" w:eastAsia="宋体" w:cs="宋体"/>
                <w:sz w:val="21"/>
                <w:szCs w:val="21"/>
              </w:rPr>
            </w:pPr>
            <w:r>
              <w:rPr>
                <w:rFonts w:ascii="宋体" w:hAnsi="宋体" w:eastAsia="宋体" w:cs="宋体"/>
                <w:spacing w:val="-2"/>
                <w:sz w:val="21"/>
                <w:szCs w:val="21"/>
              </w:rPr>
              <w:t>5．支持对文档作标签，支持多标签；并可按标签进行分类管理。</w:t>
            </w:r>
          </w:p>
          <w:p w14:paraId="55F4CBA8">
            <w:pPr>
              <w:spacing w:before="92" w:line="220" w:lineRule="auto"/>
              <w:ind w:left="110"/>
              <w:rPr>
                <w:rFonts w:ascii="宋体" w:hAnsi="宋体" w:eastAsia="宋体" w:cs="宋体"/>
                <w:sz w:val="21"/>
                <w:szCs w:val="21"/>
              </w:rPr>
            </w:pPr>
            <w:r>
              <w:rPr>
                <w:rFonts w:ascii="宋体" w:hAnsi="宋体" w:eastAsia="宋体" w:cs="宋体"/>
                <w:spacing w:val="-3"/>
                <w:sz w:val="21"/>
                <w:szCs w:val="21"/>
              </w:rPr>
              <w:t>6．法规政策文档可自定义树型目录。</w:t>
            </w:r>
          </w:p>
        </w:tc>
      </w:tr>
      <w:tr w14:paraId="3F1D5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3" w:hRule="atLeast"/>
        </w:trPr>
        <w:tc>
          <w:tcPr>
            <w:tcW w:w="783" w:type="dxa"/>
            <w:vAlign w:val="top"/>
          </w:tcPr>
          <w:p w14:paraId="3181319D">
            <w:pPr>
              <w:spacing w:line="289" w:lineRule="auto"/>
              <w:rPr>
                <w:rFonts w:ascii="Arial"/>
                <w:sz w:val="21"/>
              </w:rPr>
            </w:pPr>
          </w:p>
          <w:p w14:paraId="16026DCB">
            <w:pPr>
              <w:spacing w:line="290" w:lineRule="auto"/>
              <w:rPr>
                <w:rFonts w:ascii="Arial"/>
                <w:sz w:val="21"/>
              </w:rPr>
            </w:pPr>
          </w:p>
          <w:p w14:paraId="6C6DD376">
            <w:pPr>
              <w:spacing w:line="290" w:lineRule="auto"/>
              <w:rPr>
                <w:rFonts w:ascii="Arial"/>
                <w:sz w:val="21"/>
              </w:rPr>
            </w:pPr>
          </w:p>
          <w:p w14:paraId="3120E32A">
            <w:pPr>
              <w:spacing w:before="78" w:line="181" w:lineRule="auto"/>
              <w:ind w:left="339"/>
              <w:rPr>
                <w:rFonts w:ascii="宋体" w:hAnsi="宋体" w:eastAsia="宋体" w:cs="宋体"/>
                <w:sz w:val="24"/>
                <w:szCs w:val="24"/>
              </w:rPr>
            </w:pPr>
            <w:r>
              <w:rPr>
                <w:rFonts w:ascii="宋体" w:hAnsi="宋体" w:eastAsia="宋体" w:cs="宋体"/>
                <w:sz w:val="24"/>
                <w:szCs w:val="24"/>
              </w:rPr>
              <w:t>2</w:t>
            </w:r>
          </w:p>
        </w:tc>
        <w:tc>
          <w:tcPr>
            <w:tcW w:w="1273" w:type="dxa"/>
            <w:vAlign w:val="top"/>
          </w:tcPr>
          <w:p w14:paraId="2E266938">
            <w:pPr>
              <w:spacing w:line="266" w:lineRule="auto"/>
              <w:rPr>
                <w:rFonts w:ascii="Arial"/>
                <w:sz w:val="21"/>
              </w:rPr>
            </w:pPr>
          </w:p>
          <w:p w14:paraId="442C21AD">
            <w:pPr>
              <w:spacing w:line="267" w:lineRule="auto"/>
              <w:rPr>
                <w:rFonts w:ascii="Arial"/>
                <w:sz w:val="21"/>
              </w:rPr>
            </w:pPr>
          </w:p>
          <w:p w14:paraId="19B66998">
            <w:pPr>
              <w:spacing w:before="78" w:line="450" w:lineRule="auto"/>
              <w:ind w:left="110" w:right="105"/>
              <w:rPr>
                <w:rFonts w:ascii="宋体" w:hAnsi="宋体" w:eastAsia="宋体" w:cs="宋体"/>
                <w:sz w:val="24"/>
                <w:szCs w:val="24"/>
              </w:rPr>
            </w:pPr>
            <w:r>
              <w:rPr>
                <w:rFonts w:ascii="宋体" w:hAnsi="宋体" w:eastAsia="宋体" w:cs="宋体"/>
                <w:spacing w:val="21"/>
                <w:sz w:val="24"/>
                <w:szCs w:val="24"/>
              </w:rPr>
              <w:t>文件库管</w:t>
            </w:r>
            <w:r>
              <w:rPr>
                <w:rFonts w:ascii="宋体" w:hAnsi="宋体" w:eastAsia="宋体" w:cs="宋体"/>
                <w:spacing w:val="2"/>
                <w:sz w:val="24"/>
                <w:szCs w:val="24"/>
              </w:rPr>
              <w:t xml:space="preserve"> </w:t>
            </w:r>
            <w:r>
              <w:rPr>
                <w:rFonts w:ascii="宋体" w:hAnsi="宋体" w:eastAsia="宋体" w:cs="宋体"/>
                <w:sz w:val="24"/>
                <w:szCs w:val="24"/>
              </w:rPr>
              <w:t>理</w:t>
            </w:r>
          </w:p>
        </w:tc>
        <w:tc>
          <w:tcPr>
            <w:tcW w:w="7743" w:type="dxa"/>
            <w:vAlign w:val="top"/>
          </w:tcPr>
          <w:p w14:paraId="61B202F4">
            <w:pPr>
              <w:spacing w:before="241" w:line="219" w:lineRule="auto"/>
              <w:ind w:left="124"/>
              <w:rPr>
                <w:rFonts w:ascii="宋体" w:hAnsi="宋体" w:eastAsia="宋体" w:cs="宋体"/>
                <w:sz w:val="21"/>
                <w:szCs w:val="21"/>
              </w:rPr>
            </w:pPr>
            <w:r>
              <w:rPr>
                <w:rFonts w:ascii="宋体" w:hAnsi="宋体" w:eastAsia="宋体" w:cs="宋体"/>
                <w:spacing w:val="-2"/>
                <w:sz w:val="21"/>
                <w:szCs w:val="21"/>
              </w:rPr>
              <w:t>1．系统支持多套文件库，并支持为文件库指定可查阅的角色。</w:t>
            </w:r>
          </w:p>
          <w:p w14:paraId="01251671">
            <w:pPr>
              <w:spacing w:before="93" w:line="219" w:lineRule="auto"/>
              <w:ind w:left="111"/>
              <w:rPr>
                <w:rFonts w:ascii="宋体" w:hAnsi="宋体" w:eastAsia="宋体" w:cs="宋体"/>
                <w:sz w:val="21"/>
                <w:szCs w:val="21"/>
              </w:rPr>
            </w:pPr>
            <w:r>
              <w:rPr>
                <w:rFonts w:ascii="宋体" w:hAnsi="宋体" w:eastAsia="宋体" w:cs="宋体"/>
                <w:spacing w:val="-1"/>
                <w:sz w:val="21"/>
                <w:szCs w:val="21"/>
              </w:rPr>
              <w:t>2．文件库中可自定义树型目录，并可按目录分配不同角色的查询</w:t>
            </w:r>
            <w:r>
              <w:rPr>
                <w:rFonts w:ascii="宋体" w:hAnsi="宋体" w:eastAsia="宋体" w:cs="宋体"/>
                <w:spacing w:val="-2"/>
                <w:sz w:val="21"/>
                <w:szCs w:val="21"/>
              </w:rPr>
              <w:t>、删除权限。</w:t>
            </w:r>
          </w:p>
          <w:p w14:paraId="425E2782">
            <w:pPr>
              <w:spacing w:before="93" w:line="219" w:lineRule="auto"/>
              <w:ind w:left="113"/>
              <w:rPr>
                <w:rFonts w:ascii="宋体" w:hAnsi="宋体" w:eastAsia="宋体" w:cs="宋体"/>
                <w:sz w:val="21"/>
                <w:szCs w:val="21"/>
              </w:rPr>
            </w:pPr>
            <w:r>
              <w:rPr>
                <w:rFonts w:ascii="宋体" w:hAnsi="宋体" w:eastAsia="宋体" w:cs="宋体"/>
                <w:spacing w:val="-1"/>
                <w:sz w:val="21"/>
                <w:szCs w:val="21"/>
              </w:rPr>
              <w:t>3．提供文件汇编功能，支持将指定目录下的文档合并为</w:t>
            </w:r>
            <w:r>
              <w:rPr>
                <w:rFonts w:ascii="宋体" w:hAnsi="宋体" w:eastAsia="宋体" w:cs="宋体"/>
                <w:spacing w:val="-47"/>
                <w:sz w:val="21"/>
                <w:szCs w:val="21"/>
              </w:rPr>
              <w:t xml:space="preserve"> </w:t>
            </w:r>
            <w:r>
              <w:rPr>
                <w:rFonts w:ascii="宋体" w:hAnsi="宋体" w:eastAsia="宋体" w:cs="宋体"/>
                <w:spacing w:val="-1"/>
                <w:sz w:val="21"/>
                <w:szCs w:val="21"/>
              </w:rPr>
              <w:t>P</w:t>
            </w:r>
            <w:r>
              <w:rPr>
                <w:rFonts w:ascii="宋体" w:hAnsi="宋体" w:eastAsia="宋体" w:cs="宋体"/>
                <w:spacing w:val="-2"/>
                <w:sz w:val="21"/>
                <w:szCs w:val="21"/>
              </w:rPr>
              <w:t>DF、WORD</w:t>
            </w:r>
            <w:r>
              <w:rPr>
                <w:rFonts w:ascii="宋体" w:hAnsi="宋体" w:eastAsia="宋体" w:cs="宋体"/>
                <w:spacing w:val="-43"/>
                <w:sz w:val="21"/>
                <w:szCs w:val="21"/>
              </w:rPr>
              <w:t xml:space="preserve"> </w:t>
            </w:r>
            <w:r>
              <w:rPr>
                <w:rFonts w:ascii="宋体" w:hAnsi="宋体" w:eastAsia="宋体" w:cs="宋体"/>
                <w:spacing w:val="-2"/>
                <w:sz w:val="21"/>
                <w:szCs w:val="21"/>
              </w:rPr>
              <w:t>文件。</w:t>
            </w:r>
          </w:p>
          <w:p w14:paraId="4EAC2AB9">
            <w:pPr>
              <w:spacing w:before="93" w:line="261" w:lineRule="auto"/>
              <w:ind w:left="108" w:right="102"/>
              <w:rPr>
                <w:rFonts w:ascii="宋体" w:hAnsi="宋体" w:eastAsia="宋体" w:cs="宋体"/>
                <w:sz w:val="21"/>
                <w:szCs w:val="21"/>
              </w:rPr>
            </w:pPr>
            <w:r>
              <w:rPr>
                <w:rFonts w:ascii="宋体" w:hAnsi="宋体" w:eastAsia="宋体" w:cs="宋体"/>
                <w:spacing w:val="-3"/>
                <w:sz w:val="21"/>
                <w:szCs w:val="21"/>
              </w:rPr>
              <w:t>4．支持通过系统上传各科室自己的诊疗指南文本（SOP</w:t>
            </w:r>
            <w:r>
              <w:rPr>
                <w:rFonts w:ascii="宋体" w:hAnsi="宋体" w:eastAsia="宋体" w:cs="宋体"/>
                <w:spacing w:val="-30"/>
                <w:sz w:val="21"/>
                <w:szCs w:val="21"/>
              </w:rPr>
              <w:t xml:space="preserve"> </w:t>
            </w:r>
            <w:r>
              <w:rPr>
                <w:rFonts w:ascii="宋体" w:hAnsi="宋体" w:eastAsia="宋体" w:cs="宋体"/>
                <w:spacing w:val="-3"/>
                <w:sz w:val="21"/>
                <w:szCs w:val="21"/>
              </w:rPr>
              <w:t>文件）、临床路径文本等供</w:t>
            </w:r>
            <w:r>
              <w:rPr>
                <w:rFonts w:ascii="宋体" w:hAnsi="宋体" w:eastAsia="宋体" w:cs="宋体"/>
                <w:sz w:val="21"/>
                <w:szCs w:val="21"/>
              </w:rPr>
              <w:t xml:space="preserve"> </w:t>
            </w:r>
            <w:r>
              <w:rPr>
                <w:rFonts w:ascii="宋体" w:hAnsi="宋体" w:eastAsia="宋体" w:cs="宋体"/>
                <w:spacing w:val="-7"/>
                <w:sz w:val="21"/>
                <w:szCs w:val="21"/>
              </w:rPr>
              <w:t>全院查阅。</w:t>
            </w:r>
          </w:p>
        </w:tc>
      </w:tr>
      <w:tr w14:paraId="195D5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83" w:type="dxa"/>
            <w:vAlign w:val="top"/>
          </w:tcPr>
          <w:p w14:paraId="4D506E82">
            <w:pPr>
              <w:spacing w:before="265" w:line="181" w:lineRule="auto"/>
              <w:ind w:left="341"/>
              <w:rPr>
                <w:rFonts w:ascii="宋体" w:hAnsi="宋体" w:eastAsia="宋体" w:cs="宋体"/>
                <w:sz w:val="24"/>
                <w:szCs w:val="24"/>
              </w:rPr>
            </w:pPr>
            <w:r>
              <w:rPr>
                <w:rFonts w:ascii="宋体" w:hAnsi="宋体" w:eastAsia="宋体" w:cs="宋体"/>
                <w:sz w:val="24"/>
                <w:szCs w:val="24"/>
              </w:rPr>
              <w:t>3</w:t>
            </w:r>
          </w:p>
        </w:tc>
        <w:tc>
          <w:tcPr>
            <w:tcW w:w="1273" w:type="dxa"/>
            <w:vAlign w:val="top"/>
          </w:tcPr>
          <w:p w14:paraId="326CADAC">
            <w:pPr>
              <w:spacing w:before="224" w:line="220" w:lineRule="auto"/>
              <w:ind w:left="110"/>
              <w:rPr>
                <w:rFonts w:ascii="宋体" w:hAnsi="宋体" w:eastAsia="宋体" w:cs="宋体"/>
                <w:sz w:val="24"/>
                <w:szCs w:val="24"/>
              </w:rPr>
            </w:pPr>
            <w:r>
              <w:rPr>
                <w:rFonts w:ascii="宋体" w:hAnsi="宋体" w:eastAsia="宋体" w:cs="宋体"/>
                <w:spacing w:val="-3"/>
                <w:sz w:val="24"/>
                <w:szCs w:val="24"/>
              </w:rPr>
              <w:t>文档检索</w:t>
            </w:r>
          </w:p>
        </w:tc>
        <w:tc>
          <w:tcPr>
            <w:tcW w:w="7743" w:type="dxa"/>
            <w:vAlign w:val="top"/>
          </w:tcPr>
          <w:p w14:paraId="1B4F06AB">
            <w:pPr>
              <w:spacing w:before="67" w:line="219" w:lineRule="auto"/>
              <w:ind w:left="124"/>
              <w:rPr>
                <w:rFonts w:ascii="宋体" w:hAnsi="宋体" w:eastAsia="宋体" w:cs="宋体"/>
                <w:sz w:val="21"/>
                <w:szCs w:val="21"/>
              </w:rPr>
            </w:pPr>
            <w:r>
              <w:rPr>
                <w:rFonts w:ascii="宋体" w:hAnsi="宋体" w:eastAsia="宋体" w:cs="宋体"/>
                <w:spacing w:val="-4"/>
                <w:sz w:val="21"/>
                <w:szCs w:val="21"/>
              </w:rPr>
              <w:t>1．通过关键字检索已上传文档。</w:t>
            </w:r>
          </w:p>
          <w:p w14:paraId="59A12DC7">
            <w:pPr>
              <w:spacing w:before="93" w:line="219" w:lineRule="auto"/>
              <w:ind w:left="111"/>
              <w:rPr>
                <w:rFonts w:ascii="宋体" w:hAnsi="宋体" w:eastAsia="宋体" w:cs="宋体"/>
                <w:sz w:val="21"/>
                <w:szCs w:val="21"/>
              </w:rPr>
            </w:pPr>
            <w:r>
              <w:rPr>
                <w:rFonts w:ascii="宋体" w:hAnsi="宋体" w:eastAsia="宋体" w:cs="宋体"/>
                <w:spacing w:val="-2"/>
                <w:sz w:val="21"/>
                <w:szCs w:val="21"/>
              </w:rPr>
              <w:t>2．按文档名称、关键字、发文机关检索文档。</w:t>
            </w:r>
          </w:p>
        </w:tc>
      </w:tr>
      <w:tr w14:paraId="4DDF1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799" w:type="dxa"/>
            <w:gridSpan w:val="3"/>
            <w:vAlign w:val="top"/>
          </w:tcPr>
          <w:p w14:paraId="64D3E760">
            <w:pPr>
              <w:spacing w:before="180" w:line="212" w:lineRule="auto"/>
              <w:ind w:left="4222"/>
              <w:rPr>
                <w:rFonts w:ascii="宋体" w:hAnsi="宋体" w:eastAsia="宋体" w:cs="宋体"/>
                <w:sz w:val="24"/>
                <w:szCs w:val="24"/>
              </w:rPr>
            </w:pPr>
            <w:r>
              <w:rPr>
                <w:rFonts w:ascii="Times New Roman" w:hAnsi="Times New Roman" w:eastAsia="Times New Roman" w:cs="Times New Roman"/>
                <w:b/>
                <w:bCs/>
                <w:spacing w:val="-3"/>
                <w:sz w:val="24"/>
                <w:szCs w:val="24"/>
              </w:rPr>
              <w:t>(</w:t>
            </w:r>
            <w:r>
              <w:rPr>
                <w:rFonts w:ascii="宋体" w:hAnsi="宋体" w:eastAsia="宋体" w:cs="宋体"/>
                <w:b/>
                <w:bCs/>
                <w:spacing w:val="-3"/>
                <w:sz w:val="24"/>
                <w:szCs w:val="24"/>
              </w:rPr>
              <w:t>七</w:t>
            </w:r>
            <w:r>
              <w:rPr>
                <w:rFonts w:ascii="Times New Roman" w:hAnsi="Times New Roman" w:eastAsia="Times New Roman" w:cs="Times New Roman"/>
                <w:b/>
                <w:bCs/>
                <w:spacing w:val="-3"/>
                <w:sz w:val="24"/>
                <w:szCs w:val="24"/>
              </w:rPr>
              <w:t>)</w:t>
            </w:r>
            <w:r>
              <w:rPr>
                <w:rFonts w:ascii="宋体" w:hAnsi="宋体" w:eastAsia="宋体" w:cs="宋体"/>
                <w:b/>
                <w:bCs/>
                <w:spacing w:val="-3"/>
                <w:sz w:val="24"/>
                <w:szCs w:val="24"/>
              </w:rPr>
              <w:t>综合排班</w:t>
            </w:r>
          </w:p>
        </w:tc>
      </w:tr>
      <w:tr w14:paraId="0F3D6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83" w:type="dxa"/>
            <w:vAlign w:val="top"/>
          </w:tcPr>
          <w:p w14:paraId="0F1CC18D">
            <w:pPr>
              <w:spacing w:before="265" w:line="182" w:lineRule="auto"/>
              <w:ind w:left="297"/>
              <w:rPr>
                <w:rFonts w:ascii="宋体" w:hAnsi="宋体" w:eastAsia="宋体" w:cs="宋体"/>
                <w:sz w:val="24"/>
                <w:szCs w:val="24"/>
              </w:rPr>
            </w:pPr>
            <w:r>
              <w:rPr>
                <w:rFonts w:ascii="宋体" w:hAnsi="宋体" w:eastAsia="宋体" w:cs="宋体"/>
                <w:sz w:val="24"/>
                <w:szCs w:val="24"/>
              </w:rPr>
              <w:t>1</w:t>
            </w:r>
          </w:p>
        </w:tc>
        <w:tc>
          <w:tcPr>
            <w:tcW w:w="1273" w:type="dxa"/>
            <w:vAlign w:val="top"/>
          </w:tcPr>
          <w:p w14:paraId="27D2A052">
            <w:pPr>
              <w:spacing w:before="225" w:line="220" w:lineRule="auto"/>
              <w:ind w:left="107"/>
              <w:rPr>
                <w:rFonts w:ascii="宋体" w:hAnsi="宋体" w:eastAsia="宋体" w:cs="宋体"/>
                <w:sz w:val="24"/>
                <w:szCs w:val="24"/>
              </w:rPr>
            </w:pPr>
            <w:r>
              <w:rPr>
                <w:rFonts w:ascii="宋体" w:hAnsi="宋体" w:eastAsia="宋体" w:cs="宋体"/>
                <w:spacing w:val="-2"/>
                <w:sz w:val="24"/>
                <w:szCs w:val="24"/>
              </w:rPr>
              <w:t>班次管理</w:t>
            </w:r>
          </w:p>
        </w:tc>
        <w:tc>
          <w:tcPr>
            <w:tcW w:w="7743" w:type="dxa"/>
            <w:vAlign w:val="top"/>
          </w:tcPr>
          <w:p w14:paraId="0125962D">
            <w:pPr>
              <w:spacing w:before="69" w:line="266" w:lineRule="auto"/>
              <w:ind w:left="119" w:right="27" w:firstLine="5"/>
              <w:rPr>
                <w:rFonts w:ascii="宋体" w:hAnsi="宋体" w:eastAsia="宋体" w:cs="宋体"/>
                <w:sz w:val="21"/>
                <w:szCs w:val="21"/>
              </w:rPr>
            </w:pPr>
            <w:r>
              <w:rPr>
                <w:rFonts w:ascii="宋体" w:hAnsi="宋体" w:eastAsia="宋体" w:cs="宋体"/>
                <w:spacing w:val="-7"/>
                <w:sz w:val="21"/>
                <w:szCs w:val="21"/>
              </w:rPr>
              <w:t>1．支持对班次进行配置，比如正常班、白班、备班等，</w:t>
            </w:r>
            <w:r>
              <w:rPr>
                <w:rFonts w:ascii="宋体" w:hAnsi="宋体" w:eastAsia="宋体" w:cs="宋体"/>
                <w:spacing w:val="68"/>
                <w:sz w:val="21"/>
                <w:szCs w:val="21"/>
              </w:rPr>
              <w:t xml:space="preserve"> </w:t>
            </w:r>
            <w:r>
              <w:rPr>
                <w:rFonts w:ascii="宋体" w:hAnsi="宋体" w:eastAsia="宋体" w:cs="宋体"/>
                <w:spacing w:val="-7"/>
                <w:sz w:val="21"/>
                <w:szCs w:val="21"/>
              </w:rPr>
              <w:t>配置内容包括编号、名称、</w:t>
            </w:r>
            <w:r>
              <w:rPr>
                <w:rFonts w:ascii="宋体" w:hAnsi="宋体" w:eastAsia="宋体" w:cs="宋体"/>
                <w:sz w:val="21"/>
                <w:szCs w:val="21"/>
              </w:rPr>
              <w:t xml:space="preserve"> </w:t>
            </w:r>
            <w:r>
              <w:rPr>
                <w:rFonts w:ascii="宋体" w:hAnsi="宋体" w:eastAsia="宋体" w:cs="宋体"/>
                <w:spacing w:val="-5"/>
                <w:sz w:val="21"/>
                <w:szCs w:val="21"/>
              </w:rPr>
              <w:t>时段、描述、班次颜色。</w:t>
            </w:r>
          </w:p>
        </w:tc>
      </w:tr>
      <w:tr w14:paraId="5B6DB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783" w:type="dxa"/>
            <w:vAlign w:val="top"/>
          </w:tcPr>
          <w:p w14:paraId="20C5913E">
            <w:pPr>
              <w:spacing w:line="358" w:lineRule="auto"/>
              <w:rPr>
                <w:rFonts w:ascii="Arial"/>
                <w:sz w:val="21"/>
              </w:rPr>
            </w:pPr>
          </w:p>
          <w:p w14:paraId="4BEC03BF">
            <w:pPr>
              <w:spacing w:before="78" w:line="181" w:lineRule="auto"/>
              <w:ind w:left="282"/>
              <w:rPr>
                <w:rFonts w:ascii="宋体" w:hAnsi="宋体" w:eastAsia="宋体" w:cs="宋体"/>
                <w:sz w:val="24"/>
                <w:szCs w:val="24"/>
              </w:rPr>
            </w:pPr>
            <w:r>
              <w:rPr>
                <w:rFonts w:ascii="宋体" w:hAnsi="宋体" w:eastAsia="宋体" w:cs="宋体"/>
                <w:sz w:val="24"/>
                <w:szCs w:val="24"/>
              </w:rPr>
              <w:t>2</w:t>
            </w:r>
          </w:p>
        </w:tc>
        <w:tc>
          <w:tcPr>
            <w:tcW w:w="1273" w:type="dxa"/>
            <w:vAlign w:val="top"/>
          </w:tcPr>
          <w:p w14:paraId="0735C5D7">
            <w:pPr>
              <w:spacing w:line="317" w:lineRule="auto"/>
              <w:rPr>
                <w:rFonts w:ascii="Arial"/>
                <w:sz w:val="21"/>
              </w:rPr>
            </w:pPr>
          </w:p>
          <w:p w14:paraId="2E9527BE">
            <w:pPr>
              <w:spacing w:before="78" w:line="219" w:lineRule="auto"/>
              <w:ind w:left="108"/>
              <w:rPr>
                <w:rFonts w:ascii="宋体" w:hAnsi="宋体" w:eastAsia="宋体" w:cs="宋体"/>
                <w:sz w:val="24"/>
                <w:szCs w:val="24"/>
              </w:rPr>
            </w:pPr>
            <w:r>
              <w:rPr>
                <w:rFonts w:ascii="宋体" w:hAnsi="宋体" w:eastAsia="宋体" w:cs="宋体"/>
                <w:spacing w:val="-2"/>
                <w:sz w:val="24"/>
                <w:szCs w:val="24"/>
              </w:rPr>
              <w:t>排班角色</w:t>
            </w:r>
          </w:p>
        </w:tc>
        <w:tc>
          <w:tcPr>
            <w:tcW w:w="7743" w:type="dxa"/>
            <w:vAlign w:val="top"/>
          </w:tcPr>
          <w:p w14:paraId="179B0051">
            <w:pPr>
              <w:spacing w:before="70" w:line="260" w:lineRule="auto"/>
              <w:ind w:left="111" w:right="102" w:firstLine="13"/>
              <w:rPr>
                <w:rFonts w:ascii="宋体" w:hAnsi="宋体" w:eastAsia="宋体" w:cs="宋体"/>
                <w:sz w:val="21"/>
                <w:szCs w:val="21"/>
              </w:rPr>
            </w:pPr>
            <w:r>
              <w:rPr>
                <w:rFonts w:ascii="宋体" w:hAnsi="宋体" w:eastAsia="宋体" w:cs="宋体"/>
                <w:spacing w:val="1"/>
                <w:sz w:val="21"/>
                <w:szCs w:val="21"/>
              </w:rPr>
              <w:t>1．支持对排班角色进行配置，比如一线班、二线班等，配置内容包括名称、角色</w:t>
            </w:r>
            <w:r>
              <w:rPr>
                <w:rFonts w:ascii="宋体" w:hAnsi="宋体" w:eastAsia="宋体" w:cs="宋体"/>
                <w:spacing w:val="13"/>
                <w:sz w:val="21"/>
                <w:szCs w:val="21"/>
              </w:rPr>
              <w:t xml:space="preserve"> </w:t>
            </w:r>
            <w:r>
              <w:rPr>
                <w:rFonts w:ascii="宋体" w:hAnsi="宋体" w:eastAsia="宋体" w:cs="宋体"/>
                <w:spacing w:val="-3"/>
                <w:sz w:val="21"/>
                <w:szCs w:val="21"/>
              </w:rPr>
              <w:t>性质、职称要求、年资要求。</w:t>
            </w:r>
          </w:p>
          <w:p w14:paraId="3B8D3932">
            <w:pPr>
              <w:spacing w:before="92" w:line="219" w:lineRule="auto"/>
              <w:ind w:left="111"/>
              <w:rPr>
                <w:rFonts w:ascii="宋体" w:hAnsi="宋体" w:eastAsia="宋体" w:cs="宋体"/>
                <w:sz w:val="21"/>
                <w:szCs w:val="21"/>
              </w:rPr>
            </w:pPr>
            <w:r>
              <w:rPr>
                <w:rFonts w:ascii="宋体" w:hAnsi="宋体" w:eastAsia="宋体" w:cs="宋体"/>
                <w:spacing w:val="-2"/>
                <w:sz w:val="21"/>
                <w:szCs w:val="21"/>
              </w:rPr>
              <w:t>2．排班角色包括卫生技术人员和行政后勤人员。</w:t>
            </w:r>
          </w:p>
        </w:tc>
      </w:tr>
      <w:tr w14:paraId="4C946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83" w:type="dxa"/>
            <w:vAlign w:val="top"/>
          </w:tcPr>
          <w:p w14:paraId="37A7E5F6">
            <w:pPr>
              <w:spacing w:before="267" w:line="181" w:lineRule="auto"/>
              <w:ind w:left="284"/>
              <w:rPr>
                <w:rFonts w:ascii="宋体" w:hAnsi="宋体" w:eastAsia="宋体" w:cs="宋体"/>
                <w:sz w:val="24"/>
                <w:szCs w:val="24"/>
              </w:rPr>
            </w:pPr>
            <w:r>
              <w:rPr>
                <w:rFonts w:ascii="宋体" w:hAnsi="宋体" w:eastAsia="宋体" w:cs="宋体"/>
                <w:sz w:val="24"/>
                <w:szCs w:val="24"/>
              </w:rPr>
              <w:t>3</w:t>
            </w:r>
          </w:p>
        </w:tc>
        <w:tc>
          <w:tcPr>
            <w:tcW w:w="1273" w:type="dxa"/>
            <w:vAlign w:val="top"/>
          </w:tcPr>
          <w:p w14:paraId="727F4CB8">
            <w:pPr>
              <w:spacing w:before="227" w:line="221" w:lineRule="auto"/>
              <w:ind w:left="108"/>
              <w:rPr>
                <w:rFonts w:ascii="宋体" w:hAnsi="宋体" w:eastAsia="宋体" w:cs="宋体"/>
                <w:sz w:val="24"/>
                <w:szCs w:val="24"/>
              </w:rPr>
            </w:pPr>
            <w:r>
              <w:rPr>
                <w:rFonts w:ascii="宋体" w:hAnsi="宋体" w:eastAsia="宋体" w:cs="宋体"/>
                <w:spacing w:val="-2"/>
                <w:sz w:val="24"/>
                <w:szCs w:val="24"/>
              </w:rPr>
              <w:t>排班配置</w:t>
            </w:r>
          </w:p>
        </w:tc>
        <w:tc>
          <w:tcPr>
            <w:tcW w:w="7743" w:type="dxa"/>
            <w:vAlign w:val="top"/>
          </w:tcPr>
          <w:p w14:paraId="19BC8DF5">
            <w:pPr>
              <w:spacing w:before="69" w:line="266" w:lineRule="auto"/>
              <w:ind w:left="144" w:right="102" w:hanging="20"/>
              <w:rPr>
                <w:rFonts w:ascii="宋体" w:hAnsi="宋体" w:eastAsia="宋体" w:cs="宋体"/>
                <w:sz w:val="21"/>
                <w:szCs w:val="21"/>
              </w:rPr>
            </w:pPr>
            <w:r>
              <w:rPr>
                <w:rFonts w:ascii="宋体" w:hAnsi="宋体" w:eastAsia="宋体" w:cs="宋体"/>
                <w:spacing w:val="1"/>
                <w:sz w:val="21"/>
                <w:szCs w:val="21"/>
              </w:rPr>
              <w:t>1．各科室可根据实际情况配置本科室排班模式，排班配置由班次、工作日、节假</w:t>
            </w:r>
            <w:r>
              <w:rPr>
                <w:rFonts w:ascii="宋体" w:hAnsi="宋体" w:eastAsia="宋体" w:cs="宋体"/>
                <w:spacing w:val="13"/>
                <w:sz w:val="21"/>
                <w:szCs w:val="21"/>
              </w:rPr>
              <w:t xml:space="preserve"> </w:t>
            </w:r>
            <w:r>
              <w:rPr>
                <w:rFonts w:ascii="宋体" w:hAnsi="宋体" w:eastAsia="宋体" w:cs="宋体"/>
                <w:spacing w:val="-9"/>
                <w:sz w:val="21"/>
                <w:szCs w:val="21"/>
              </w:rPr>
              <w:t>日排班角色构成。</w:t>
            </w:r>
          </w:p>
        </w:tc>
      </w:tr>
      <w:tr w14:paraId="70784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5" w:hRule="atLeast"/>
        </w:trPr>
        <w:tc>
          <w:tcPr>
            <w:tcW w:w="783" w:type="dxa"/>
            <w:vAlign w:val="top"/>
          </w:tcPr>
          <w:p w14:paraId="1800BCDD">
            <w:pPr>
              <w:spacing w:line="290" w:lineRule="auto"/>
              <w:rPr>
                <w:rFonts w:ascii="Arial"/>
                <w:sz w:val="21"/>
              </w:rPr>
            </w:pPr>
          </w:p>
          <w:p w14:paraId="48EB8111">
            <w:pPr>
              <w:spacing w:line="290" w:lineRule="auto"/>
              <w:rPr>
                <w:rFonts w:ascii="Arial"/>
                <w:sz w:val="21"/>
              </w:rPr>
            </w:pPr>
          </w:p>
          <w:p w14:paraId="72944DB5">
            <w:pPr>
              <w:spacing w:line="290" w:lineRule="auto"/>
              <w:rPr>
                <w:rFonts w:ascii="Arial"/>
                <w:sz w:val="21"/>
              </w:rPr>
            </w:pPr>
          </w:p>
          <w:p w14:paraId="5CB910DE">
            <w:pPr>
              <w:spacing w:before="78" w:line="181" w:lineRule="auto"/>
              <w:ind w:left="278"/>
              <w:rPr>
                <w:rFonts w:ascii="宋体" w:hAnsi="宋体" w:eastAsia="宋体" w:cs="宋体"/>
                <w:sz w:val="24"/>
                <w:szCs w:val="24"/>
              </w:rPr>
            </w:pPr>
            <w:r>
              <w:rPr>
                <w:rFonts w:ascii="宋体" w:hAnsi="宋体" w:eastAsia="宋体" w:cs="宋体"/>
                <w:sz w:val="24"/>
                <w:szCs w:val="24"/>
              </w:rPr>
              <w:t>4</w:t>
            </w:r>
          </w:p>
        </w:tc>
        <w:tc>
          <w:tcPr>
            <w:tcW w:w="1273" w:type="dxa"/>
            <w:vAlign w:val="top"/>
          </w:tcPr>
          <w:p w14:paraId="11A1A1CD">
            <w:pPr>
              <w:spacing w:line="276" w:lineRule="auto"/>
              <w:rPr>
                <w:rFonts w:ascii="Arial"/>
                <w:sz w:val="21"/>
              </w:rPr>
            </w:pPr>
          </w:p>
          <w:p w14:paraId="5A8DAD42">
            <w:pPr>
              <w:spacing w:line="277" w:lineRule="auto"/>
              <w:rPr>
                <w:rFonts w:ascii="Arial"/>
                <w:sz w:val="21"/>
              </w:rPr>
            </w:pPr>
          </w:p>
          <w:p w14:paraId="62AF0585">
            <w:pPr>
              <w:spacing w:line="277" w:lineRule="auto"/>
              <w:rPr>
                <w:rFonts w:ascii="Arial"/>
                <w:sz w:val="21"/>
              </w:rPr>
            </w:pPr>
          </w:p>
          <w:p w14:paraId="378E48A3">
            <w:pPr>
              <w:spacing w:before="78" w:line="220" w:lineRule="auto"/>
              <w:ind w:left="111"/>
              <w:rPr>
                <w:rFonts w:ascii="宋体" w:hAnsi="宋体" w:eastAsia="宋体" w:cs="宋体"/>
                <w:sz w:val="24"/>
                <w:szCs w:val="24"/>
              </w:rPr>
            </w:pPr>
            <w:r>
              <w:rPr>
                <w:rFonts w:ascii="宋体" w:hAnsi="宋体" w:eastAsia="宋体" w:cs="宋体"/>
                <w:spacing w:val="-3"/>
                <w:sz w:val="24"/>
                <w:szCs w:val="24"/>
              </w:rPr>
              <w:t>综合排班</w:t>
            </w:r>
          </w:p>
        </w:tc>
        <w:tc>
          <w:tcPr>
            <w:tcW w:w="7743" w:type="dxa"/>
            <w:vAlign w:val="top"/>
          </w:tcPr>
          <w:p w14:paraId="7CADE285">
            <w:pPr>
              <w:spacing w:before="72" w:line="260" w:lineRule="auto"/>
              <w:ind w:left="122" w:right="102" w:firstLine="2"/>
              <w:rPr>
                <w:rFonts w:ascii="宋体" w:hAnsi="宋体" w:eastAsia="宋体" w:cs="宋体"/>
                <w:sz w:val="21"/>
                <w:szCs w:val="21"/>
              </w:rPr>
            </w:pPr>
            <w:r>
              <w:rPr>
                <w:rFonts w:ascii="宋体" w:hAnsi="宋体" w:eastAsia="宋体" w:cs="宋体"/>
                <w:spacing w:val="1"/>
                <w:sz w:val="21"/>
                <w:szCs w:val="21"/>
              </w:rPr>
              <w:t>1．根据排班配置完成本科室排班，排班表结构包括角色、人员、工作日、工作日</w:t>
            </w:r>
            <w:r>
              <w:rPr>
                <w:rFonts w:ascii="宋体" w:hAnsi="宋体" w:eastAsia="宋体" w:cs="宋体"/>
                <w:spacing w:val="13"/>
                <w:sz w:val="21"/>
                <w:szCs w:val="21"/>
              </w:rPr>
              <w:t xml:space="preserve"> </w:t>
            </w:r>
            <w:r>
              <w:rPr>
                <w:rFonts w:ascii="宋体" w:hAnsi="宋体" w:eastAsia="宋体" w:cs="宋体"/>
                <w:spacing w:val="-6"/>
                <w:sz w:val="21"/>
                <w:szCs w:val="21"/>
              </w:rPr>
              <w:t>当前人员的班次。</w:t>
            </w:r>
          </w:p>
          <w:p w14:paraId="7B3A1DB5">
            <w:pPr>
              <w:spacing w:before="93" w:line="260" w:lineRule="auto"/>
              <w:ind w:left="109" w:right="102" w:firstLine="2"/>
              <w:rPr>
                <w:rFonts w:ascii="宋体" w:hAnsi="宋体" w:eastAsia="宋体" w:cs="宋体"/>
                <w:sz w:val="21"/>
                <w:szCs w:val="21"/>
              </w:rPr>
            </w:pPr>
            <w:r>
              <w:rPr>
                <w:rFonts w:ascii="宋体" w:hAnsi="宋体" w:eastAsia="宋体" w:cs="宋体"/>
                <w:spacing w:val="2"/>
                <w:sz w:val="21"/>
                <w:szCs w:val="21"/>
              </w:rPr>
              <w:t>2．已提交审批的科室排班表，可在排班表中查看审批信息</w:t>
            </w:r>
            <w:r>
              <w:rPr>
                <w:rFonts w:ascii="宋体" w:hAnsi="宋体" w:eastAsia="宋体" w:cs="宋体"/>
                <w:spacing w:val="1"/>
                <w:sz w:val="21"/>
                <w:szCs w:val="21"/>
              </w:rPr>
              <w:t>，包括审批环节、各环</w:t>
            </w:r>
            <w:r>
              <w:rPr>
                <w:rFonts w:ascii="宋体" w:hAnsi="宋体" w:eastAsia="宋体" w:cs="宋体"/>
                <w:sz w:val="21"/>
                <w:szCs w:val="21"/>
              </w:rPr>
              <w:t xml:space="preserve"> </w:t>
            </w:r>
            <w:r>
              <w:rPr>
                <w:rFonts w:ascii="宋体" w:hAnsi="宋体" w:eastAsia="宋体" w:cs="宋体"/>
                <w:spacing w:val="-3"/>
                <w:sz w:val="21"/>
                <w:szCs w:val="21"/>
              </w:rPr>
              <w:t>节审批人、审批结果、审批意见。</w:t>
            </w:r>
          </w:p>
          <w:p w14:paraId="47948F82">
            <w:pPr>
              <w:spacing w:before="92" w:line="219" w:lineRule="auto"/>
              <w:ind w:left="113"/>
              <w:rPr>
                <w:rFonts w:ascii="宋体" w:hAnsi="宋体" w:eastAsia="宋体" w:cs="宋体"/>
                <w:sz w:val="21"/>
                <w:szCs w:val="21"/>
              </w:rPr>
            </w:pPr>
            <w:r>
              <w:rPr>
                <w:rFonts w:ascii="宋体" w:hAnsi="宋体" w:eastAsia="宋体" w:cs="宋体"/>
                <w:spacing w:val="-2"/>
                <w:sz w:val="21"/>
                <w:szCs w:val="21"/>
              </w:rPr>
              <w:t>3．排班记录列表中可查看全院排班进度，已排班科室占比。</w:t>
            </w:r>
          </w:p>
          <w:p w14:paraId="3A814F78">
            <w:pPr>
              <w:spacing w:before="93" w:line="219" w:lineRule="auto"/>
              <w:ind w:left="108"/>
              <w:rPr>
                <w:rFonts w:ascii="宋体" w:hAnsi="宋体" w:eastAsia="宋体" w:cs="宋体"/>
                <w:sz w:val="21"/>
                <w:szCs w:val="21"/>
              </w:rPr>
            </w:pPr>
            <w:r>
              <w:rPr>
                <w:rFonts w:ascii="宋体" w:hAnsi="宋体" w:eastAsia="宋体" w:cs="宋体"/>
                <w:spacing w:val="-2"/>
                <w:sz w:val="21"/>
                <w:szCs w:val="21"/>
              </w:rPr>
              <w:t>4．支持按科室、期间、班次、人员条件查询排班记录。</w:t>
            </w:r>
          </w:p>
        </w:tc>
      </w:tr>
      <w:tr w14:paraId="3AAE0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799" w:type="dxa"/>
            <w:gridSpan w:val="3"/>
            <w:vAlign w:val="top"/>
          </w:tcPr>
          <w:p w14:paraId="66FC5149">
            <w:pPr>
              <w:spacing w:before="183" w:line="220" w:lineRule="auto"/>
              <w:ind w:left="4223"/>
              <w:rPr>
                <w:rFonts w:ascii="宋体" w:hAnsi="宋体" w:eastAsia="宋体" w:cs="宋体"/>
                <w:sz w:val="24"/>
                <w:szCs w:val="24"/>
              </w:rPr>
            </w:pPr>
            <w:r>
              <w:rPr>
                <w:rFonts w:ascii="宋体" w:hAnsi="宋体" w:eastAsia="宋体" w:cs="宋体"/>
                <w:b/>
                <w:bCs/>
                <w:spacing w:val="-10"/>
                <w:sz w:val="24"/>
                <w:szCs w:val="24"/>
              </w:rPr>
              <w:t>(八)医务政务</w:t>
            </w:r>
          </w:p>
        </w:tc>
      </w:tr>
      <w:tr w14:paraId="68452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trPr>
        <w:tc>
          <w:tcPr>
            <w:tcW w:w="783" w:type="dxa"/>
            <w:vAlign w:val="top"/>
          </w:tcPr>
          <w:p w14:paraId="109C761D">
            <w:pPr>
              <w:spacing w:line="260" w:lineRule="auto"/>
              <w:rPr>
                <w:rFonts w:ascii="Arial"/>
                <w:sz w:val="21"/>
              </w:rPr>
            </w:pPr>
          </w:p>
          <w:p w14:paraId="1F59E7D3">
            <w:pPr>
              <w:spacing w:line="260" w:lineRule="auto"/>
              <w:rPr>
                <w:rFonts w:ascii="Arial"/>
                <w:sz w:val="21"/>
              </w:rPr>
            </w:pPr>
          </w:p>
          <w:p w14:paraId="2A88337D">
            <w:pPr>
              <w:spacing w:line="260" w:lineRule="auto"/>
              <w:rPr>
                <w:rFonts w:ascii="Arial"/>
                <w:sz w:val="21"/>
              </w:rPr>
            </w:pPr>
          </w:p>
          <w:p w14:paraId="6781D05F">
            <w:pPr>
              <w:spacing w:line="260" w:lineRule="auto"/>
              <w:rPr>
                <w:rFonts w:ascii="Arial"/>
                <w:sz w:val="21"/>
              </w:rPr>
            </w:pPr>
          </w:p>
          <w:p w14:paraId="39BB9860">
            <w:pPr>
              <w:spacing w:before="78" w:line="182" w:lineRule="auto"/>
              <w:ind w:left="297"/>
              <w:rPr>
                <w:rFonts w:ascii="宋体" w:hAnsi="宋体" w:eastAsia="宋体" w:cs="宋体"/>
                <w:sz w:val="24"/>
                <w:szCs w:val="24"/>
              </w:rPr>
            </w:pPr>
            <w:r>
              <w:rPr>
                <w:rFonts w:ascii="宋体" w:hAnsi="宋体" w:eastAsia="宋体" w:cs="宋体"/>
                <w:sz w:val="24"/>
                <w:szCs w:val="24"/>
              </w:rPr>
              <w:t>1</w:t>
            </w:r>
          </w:p>
        </w:tc>
        <w:tc>
          <w:tcPr>
            <w:tcW w:w="1273" w:type="dxa"/>
            <w:vAlign w:val="top"/>
          </w:tcPr>
          <w:p w14:paraId="3AF970B3">
            <w:pPr>
              <w:spacing w:line="352" w:lineRule="auto"/>
              <w:rPr>
                <w:rFonts w:ascii="Arial"/>
                <w:sz w:val="21"/>
              </w:rPr>
            </w:pPr>
          </w:p>
          <w:p w14:paraId="743527C5">
            <w:pPr>
              <w:spacing w:line="353" w:lineRule="auto"/>
              <w:rPr>
                <w:rFonts w:ascii="Arial"/>
                <w:sz w:val="21"/>
              </w:rPr>
            </w:pPr>
          </w:p>
          <w:p w14:paraId="11532950">
            <w:pPr>
              <w:spacing w:before="78" w:line="450" w:lineRule="auto"/>
              <w:ind w:left="111" w:right="105"/>
              <w:rPr>
                <w:rFonts w:ascii="宋体" w:hAnsi="宋体" w:eastAsia="宋体" w:cs="宋体"/>
                <w:sz w:val="24"/>
                <w:szCs w:val="24"/>
              </w:rPr>
            </w:pPr>
            <w:r>
              <w:rPr>
                <w:rFonts w:ascii="宋体" w:hAnsi="宋体" w:eastAsia="宋体" w:cs="宋体"/>
                <w:spacing w:val="-1"/>
                <w:sz w:val="24"/>
                <w:szCs w:val="24"/>
              </w:rPr>
              <w:t>★</w:t>
            </w:r>
            <w:r>
              <w:rPr>
                <w:rFonts w:ascii="宋体" w:hAnsi="宋体" w:eastAsia="宋体" w:cs="宋体"/>
                <w:spacing w:val="-79"/>
                <w:sz w:val="24"/>
                <w:szCs w:val="24"/>
              </w:rPr>
              <w:t xml:space="preserve"> </w:t>
            </w:r>
            <w:r>
              <w:rPr>
                <w:rFonts w:ascii="宋体" w:hAnsi="宋体" w:eastAsia="宋体" w:cs="宋体"/>
                <w:spacing w:val="-1"/>
                <w:sz w:val="24"/>
                <w:szCs w:val="24"/>
              </w:rPr>
              <w:t>会诊</w:t>
            </w:r>
            <w:r>
              <w:rPr>
                <w:rFonts w:ascii="宋体" w:hAnsi="宋体" w:eastAsia="宋体" w:cs="宋体"/>
                <w:spacing w:val="-72"/>
                <w:sz w:val="24"/>
                <w:szCs w:val="24"/>
              </w:rPr>
              <w:t xml:space="preserve"> </w:t>
            </w:r>
            <w:r>
              <w:rPr>
                <w:rFonts w:ascii="宋体" w:hAnsi="宋体" w:eastAsia="宋体" w:cs="宋体"/>
                <w:spacing w:val="-1"/>
                <w:sz w:val="24"/>
                <w:szCs w:val="24"/>
              </w:rPr>
              <w:t>管</w:t>
            </w:r>
            <w:r>
              <w:rPr>
                <w:rFonts w:ascii="宋体" w:hAnsi="宋体" w:eastAsia="宋体" w:cs="宋体"/>
                <w:sz w:val="24"/>
                <w:szCs w:val="24"/>
              </w:rPr>
              <w:t xml:space="preserve"> 理</w:t>
            </w:r>
          </w:p>
        </w:tc>
        <w:tc>
          <w:tcPr>
            <w:tcW w:w="7743" w:type="dxa"/>
            <w:vAlign w:val="top"/>
          </w:tcPr>
          <w:p w14:paraId="0C90172F">
            <w:pPr>
              <w:spacing w:before="72" w:line="219" w:lineRule="auto"/>
              <w:ind w:left="124"/>
              <w:rPr>
                <w:rFonts w:ascii="宋体" w:hAnsi="宋体" w:eastAsia="宋体" w:cs="宋体"/>
                <w:sz w:val="21"/>
                <w:szCs w:val="21"/>
              </w:rPr>
            </w:pPr>
            <w:r>
              <w:rPr>
                <w:rFonts w:ascii="宋体" w:hAnsi="宋体" w:eastAsia="宋体" w:cs="宋体"/>
                <w:spacing w:val="-2"/>
                <w:sz w:val="21"/>
                <w:szCs w:val="21"/>
              </w:rPr>
              <w:t>1．支持院外专家来院会诊、本院会诊、本院专家外出会诊的管理。</w:t>
            </w:r>
          </w:p>
          <w:p w14:paraId="4EF2F708">
            <w:pPr>
              <w:spacing w:before="93" w:line="260" w:lineRule="auto"/>
              <w:ind w:left="110" w:right="132" w:firstLine="1"/>
              <w:rPr>
                <w:rFonts w:ascii="宋体" w:hAnsi="宋体" w:eastAsia="宋体" w:cs="宋体"/>
                <w:sz w:val="21"/>
                <w:szCs w:val="21"/>
              </w:rPr>
            </w:pPr>
            <w:r>
              <w:rPr>
                <w:rFonts w:ascii="宋体" w:hAnsi="宋体" w:eastAsia="宋体" w:cs="宋体"/>
                <w:spacing w:val="1"/>
                <w:sz w:val="21"/>
                <w:szCs w:val="21"/>
              </w:rPr>
              <w:t>2．院外专家来本院会诊申请单包括申请科室、会诊时间、会诊方式、专</w:t>
            </w:r>
            <w:r>
              <w:rPr>
                <w:rFonts w:ascii="宋体" w:hAnsi="宋体" w:eastAsia="宋体" w:cs="宋体"/>
                <w:sz w:val="21"/>
                <w:szCs w:val="21"/>
              </w:rPr>
              <w:t xml:space="preserve">家姓名、 </w:t>
            </w:r>
            <w:r>
              <w:rPr>
                <w:rFonts w:ascii="宋体" w:hAnsi="宋体" w:eastAsia="宋体" w:cs="宋体"/>
                <w:spacing w:val="-2"/>
                <w:sz w:val="21"/>
                <w:szCs w:val="21"/>
              </w:rPr>
              <w:t>专家单位、专家职称、病历摘要、说明，支持上传附件。</w:t>
            </w:r>
          </w:p>
          <w:p w14:paraId="671BD7E0">
            <w:pPr>
              <w:spacing w:before="93" w:line="260" w:lineRule="auto"/>
              <w:ind w:left="110" w:right="102" w:firstLine="3"/>
              <w:rPr>
                <w:rFonts w:ascii="宋体" w:hAnsi="宋体" w:eastAsia="宋体" w:cs="宋体"/>
                <w:sz w:val="21"/>
                <w:szCs w:val="21"/>
              </w:rPr>
            </w:pPr>
            <w:r>
              <w:rPr>
                <w:rFonts w:ascii="宋体" w:hAnsi="宋体" w:eastAsia="宋体" w:cs="宋体"/>
                <w:spacing w:val="-3"/>
                <w:sz w:val="21"/>
                <w:szCs w:val="21"/>
              </w:rPr>
              <w:t>3．本院会诊应用于院内大会诊、MDT</w:t>
            </w:r>
            <w:r>
              <w:rPr>
                <w:rFonts w:ascii="宋体" w:hAnsi="宋体" w:eastAsia="宋体" w:cs="宋体"/>
                <w:spacing w:val="-35"/>
                <w:sz w:val="21"/>
                <w:szCs w:val="21"/>
              </w:rPr>
              <w:t xml:space="preserve"> </w:t>
            </w:r>
            <w:r>
              <w:rPr>
                <w:rFonts w:ascii="宋体" w:hAnsi="宋体" w:eastAsia="宋体" w:cs="宋体"/>
                <w:spacing w:val="-3"/>
                <w:sz w:val="21"/>
                <w:szCs w:val="21"/>
              </w:rPr>
              <w:t>会诊，申请单包括申请科室、会诊时间、会诊</w:t>
            </w:r>
            <w:r>
              <w:rPr>
                <w:rFonts w:ascii="宋体" w:hAnsi="宋体" w:eastAsia="宋体" w:cs="宋体"/>
                <w:sz w:val="21"/>
                <w:szCs w:val="21"/>
              </w:rPr>
              <w:t xml:space="preserve"> </w:t>
            </w:r>
            <w:r>
              <w:rPr>
                <w:rFonts w:ascii="宋体" w:hAnsi="宋体" w:eastAsia="宋体" w:cs="宋体"/>
                <w:spacing w:val="-2"/>
                <w:sz w:val="21"/>
                <w:szCs w:val="21"/>
              </w:rPr>
              <w:t>方式、会诊科室、参与医师、说明，支持上传附件。</w:t>
            </w:r>
          </w:p>
          <w:p w14:paraId="498EE8B6">
            <w:pPr>
              <w:spacing w:before="93" w:line="260" w:lineRule="auto"/>
              <w:ind w:left="126" w:right="102" w:hanging="18"/>
              <w:rPr>
                <w:rFonts w:ascii="宋体" w:hAnsi="宋体" w:eastAsia="宋体" w:cs="宋体"/>
                <w:sz w:val="21"/>
                <w:szCs w:val="21"/>
              </w:rPr>
            </w:pPr>
            <w:r>
              <w:rPr>
                <w:rFonts w:ascii="宋体" w:hAnsi="宋体" w:eastAsia="宋体" w:cs="宋体"/>
                <w:spacing w:val="2"/>
                <w:sz w:val="21"/>
                <w:szCs w:val="21"/>
              </w:rPr>
              <w:t>4．本院专家外了会诊申请单包括申请科室、会诊时间、会诊方式、</w:t>
            </w:r>
            <w:r>
              <w:rPr>
                <w:rFonts w:ascii="宋体" w:hAnsi="宋体" w:eastAsia="宋体" w:cs="宋体"/>
                <w:spacing w:val="1"/>
                <w:sz w:val="21"/>
                <w:szCs w:val="21"/>
              </w:rPr>
              <w:t>外出专家、外</w:t>
            </w:r>
            <w:r>
              <w:rPr>
                <w:rFonts w:ascii="宋体" w:hAnsi="宋体" w:eastAsia="宋体" w:cs="宋体"/>
                <w:sz w:val="21"/>
                <w:szCs w:val="21"/>
              </w:rPr>
              <w:t xml:space="preserve"> </w:t>
            </w:r>
            <w:r>
              <w:rPr>
                <w:rFonts w:ascii="宋体" w:hAnsi="宋体" w:eastAsia="宋体" w:cs="宋体"/>
                <w:spacing w:val="-3"/>
                <w:sz w:val="21"/>
                <w:szCs w:val="21"/>
              </w:rPr>
              <w:t>出单位、专家职称、说明，支持上传附件。</w:t>
            </w:r>
          </w:p>
        </w:tc>
      </w:tr>
    </w:tbl>
    <w:p w14:paraId="2B4BDF56">
      <w:pPr>
        <w:pStyle w:val="2"/>
        <w:spacing w:line="445" w:lineRule="auto"/>
      </w:pPr>
    </w:p>
    <w:p w14:paraId="0AB94993">
      <w:pPr>
        <w:spacing w:before="62" w:line="209" w:lineRule="auto"/>
        <w:ind w:left="148"/>
        <w:rPr>
          <w:rFonts w:ascii="宋体" w:hAnsi="宋体" w:eastAsia="宋体" w:cs="宋体"/>
          <w:sz w:val="19"/>
          <w:szCs w:val="19"/>
        </w:rPr>
      </w:pPr>
      <w:r>
        <w:pict>
          <v:shape id="_x0000_s1050" o:spid="_x0000_s1050" style="position:absolute;left:0pt;margin-left:1.95pt;margin-top:11.8pt;height:0.75pt;width:494pt;z-index:251695104;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30                                </w:t>
      </w:r>
      <w:r>
        <w:rPr>
          <w:rFonts w:ascii="宋体" w:hAnsi="宋体" w:eastAsia="宋体" w:cs="宋体"/>
          <w:b/>
          <w:bCs/>
          <w:i/>
          <w:iCs/>
          <w:spacing w:val="-3"/>
          <w:sz w:val="19"/>
          <w:szCs w:val="19"/>
        </w:rPr>
        <w:t>伊犁州公共资源交易中心</w:t>
      </w:r>
    </w:p>
    <w:p w14:paraId="71C78CEE">
      <w:pPr>
        <w:spacing w:line="209" w:lineRule="auto"/>
        <w:rPr>
          <w:rFonts w:ascii="宋体" w:hAnsi="宋体" w:eastAsia="宋体" w:cs="宋体"/>
          <w:sz w:val="19"/>
          <w:szCs w:val="19"/>
        </w:rPr>
        <w:sectPr>
          <w:pgSz w:w="11905" w:h="16839"/>
          <w:pgMar w:top="1136" w:right="830" w:bottom="400" w:left="1126" w:header="854" w:footer="0" w:gutter="0"/>
          <w:cols w:space="720" w:num="1"/>
        </w:sectPr>
      </w:pPr>
    </w:p>
    <w:p w14:paraId="1F36CD05">
      <w:pPr>
        <w:spacing w:before="38"/>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3"/>
        <w:gridCol w:w="7743"/>
      </w:tblGrid>
      <w:tr w14:paraId="529FF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3" w:type="dxa"/>
            <w:vAlign w:val="top"/>
          </w:tcPr>
          <w:p w14:paraId="4F716E44">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3D9271F3">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07020357">
            <w:pPr>
              <w:spacing w:before="179"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08F4A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3" w:hRule="atLeast"/>
        </w:trPr>
        <w:tc>
          <w:tcPr>
            <w:tcW w:w="783" w:type="dxa"/>
            <w:vAlign w:val="top"/>
          </w:tcPr>
          <w:p w14:paraId="48DD085F">
            <w:pPr>
              <w:rPr>
                <w:rFonts w:ascii="Arial"/>
                <w:sz w:val="21"/>
              </w:rPr>
            </w:pPr>
          </w:p>
        </w:tc>
        <w:tc>
          <w:tcPr>
            <w:tcW w:w="1273" w:type="dxa"/>
            <w:vAlign w:val="top"/>
          </w:tcPr>
          <w:p w14:paraId="4CB520C1">
            <w:pPr>
              <w:rPr>
                <w:rFonts w:ascii="Arial"/>
                <w:sz w:val="21"/>
              </w:rPr>
            </w:pPr>
          </w:p>
        </w:tc>
        <w:tc>
          <w:tcPr>
            <w:tcW w:w="7743" w:type="dxa"/>
            <w:vAlign w:val="top"/>
          </w:tcPr>
          <w:p w14:paraId="194295C8">
            <w:pPr>
              <w:spacing w:before="64" w:line="260" w:lineRule="auto"/>
              <w:ind w:left="111" w:right="102" w:firstLine="1"/>
              <w:rPr>
                <w:rFonts w:ascii="宋体" w:hAnsi="宋体" w:eastAsia="宋体" w:cs="宋体"/>
                <w:sz w:val="21"/>
                <w:szCs w:val="21"/>
              </w:rPr>
            </w:pPr>
            <w:r>
              <w:rPr>
                <w:rFonts w:ascii="宋体" w:hAnsi="宋体" w:eastAsia="宋体" w:cs="宋体"/>
                <w:spacing w:val="2"/>
                <w:sz w:val="21"/>
                <w:szCs w:val="21"/>
              </w:rPr>
              <w:t>5．院外专家来院会诊和本院会诊申请单可通过接口调用</w:t>
            </w:r>
            <w:r>
              <w:rPr>
                <w:rFonts w:ascii="宋体" w:hAnsi="宋体" w:eastAsia="宋体" w:cs="宋体"/>
                <w:spacing w:val="1"/>
                <w:sz w:val="21"/>
                <w:szCs w:val="21"/>
              </w:rPr>
              <w:t>病人信息，包括姓名、性</w:t>
            </w:r>
            <w:r>
              <w:rPr>
                <w:rFonts w:ascii="宋体" w:hAnsi="宋体" w:eastAsia="宋体" w:cs="宋体"/>
                <w:sz w:val="21"/>
                <w:szCs w:val="21"/>
              </w:rPr>
              <w:t xml:space="preserve"> </w:t>
            </w:r>
            <w:r>
              <w:rPr>
                <w:rFonts w:ascii="宋体" w:hAnsi="宋体" w:eastAsia="宋体" w:cs="宋体"/>
                <w:spacing w:val="-2"/>
                <w:sz w:val="21"/>
                <w:szCs w:val="21"/>
              </w:rPr>
              <w:t>别、年龄、住院号、入院科室、入院诊断、拟行手术、手术时间。</w:t>
            </w:r>
          </w:p>
          <w:p w14:paraId="43C9723F">
            <w:pPr>
              <w:spacing w:before="235" w:line="289" w:lineRule="auto"/>
              <w:ind w:left="119" w:right="102" w:hanging="7"/>
              <w:rPr>
                <w:rFonts w:ascii="宋体" w:hAnsi="宋体" w:eastAsia="宋体" w:cs="宋体"/>
                <w:sz w:val="21"/>
                <w:szCs w:val="21"/>
              </w:rPr>
            </w:pPr>
            <w:r>
              <w:rPr>
                <w:rFonts w:ascii="宋体" w:hAnsi="宋体" w:eastAsia="宋体" w:cs="宋体"/>
                <w:sz w:val="24"/>
                <w:szCs w:val="24"/>
              </w:rPr>
              <w:t>6．</w:t>
            </w:r>
            <w:r>
              <w:rPr>
                <w:rFonts w:ascii="宋体" w:hAnsi="宋体" w:eastAsia="宋体" w:cs="宋体"/>
                <w:sz w:val="21"/>
                <w:szCs w:val="21"/>
              </w:rPr>
              <w:t>已提交审批的会诊申请，可在申请单中查看审批信息，包括审批环节、各环节</w:t>
            </w:r>
            <w:r>
              <w:rPr>
                <w:rFonts w:ascii="宋体" w:hAnsi="宋体" w:eastAsia="宋体" w:cs="宋体"/>
                <w:spacing w:val="17"/>
                <w:sz w:val="21"/>
                <w:szCs w:val="21"/>
              </w:rPr>
              <w:t xml:space="preserve"> </w:t>
            </w:r>
            <w:r>
              <w:rPr>
                <w:rFonts w:ascii="宋体" w:hAnsi="宋体" w:eastAsia="宋体" w:cs="宋体"/>
                <w:spacing w:val="-4"/>
                <w:sz w:val="21"/>
                <w:szCs w:val="21"/>
              </w:rPr>
              <w:t>审批人、审批结果、审批意见。</w:t>
            </w:r>
          </w:p>
        </w:tc>
      </w:tr>
      <w:tr w14:paraId="57F5F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4" w:hRule="atLeast"/>
        </w:trPr>
        <w:tc>
          <w:tcPr>
            <w:tcW w:w="783" w:type="dxa"/>
            <w:vAlign w:val="top"/>
          </w:tcPr>
          <w:p w14:paraId="6AE49626">
            <w:pPr>
              <w:spacing w:line="247" w:lineRule="auto"/>
              <w:rPr>
                <w:rFonts w:ascii="Arial"/>
                <w:sz w:val="21"/>
              </w:rPr>
            </w:pPr>
          </w:p>
          <w:p w14:paraId="5242E97D">
            <w:pPr>
              <w:spacing w:line="247" w:lineRule="auto"/>
              <w:rPr>
                <w:rFonts w:ascii="Arial"/>
                <w:sz w:val="21"/>
              </w:rPr>
            </w:pPr>
          </w:p>
          <w:p w14:paraId="556C3265">
            <w:pPr>
              <w:spacing w:line="247" w:lineRule="auto"/>
              <w:rPr>
                <w:rFonts w:ascii="Arial"/>
                <w:sz w:val="21"/>
              </w:rPr>
            </w:pPr>
          </w:p>
          <w:p w14:paraId="2BC2BEBF">
            <w:pPr>
              <w:spacing w:line="247" w:lineRule="auto"/>
              <w:rPr>
                <w:rFonts w:ascii="Arial"/>
                <w:sz w:val="21"/>
              </w:rPr>
            </w:pPr>
          </w:p>
          <w:p w14:paraId="0C6C5DCC">
            <w:pPr>
              <w:spacing w:line="247" w:lineRule="auto"/>
              <w:rPr>
                <w:rFonts w:ascii="Arial"/>
                <w:sz w:val="21"/>
              </w:rPr>
            </w:pPr>
          </w:p>
          <w:p w14:paraId="450AADA8">
            <w:pPr>
              <w:spacing w:line="247" w:lineRule="auto"/>
              <w:rPr>
                <w:rFonts w:ascii="Arial"/>
                <w:sz w:val="21"/>
              </w:rPr>
            </w:pPr>
          </w:p>
          <w:p w14:paraId="10AD92D1">
            <w:pPr>
              <w:spacing w:line="248" w:lineRule="auto"/>
              <w:rPr>
                <w:rFonts w:ascii="Arial"/>
                <w:sz w:val="21"/>
              </w:rPr>
            </w:pPr>
          </w:p>
          <w:p w14:paraId="4885D3B9">
            <w:pPr>
              <w:spacing w:line="248" w:lineRule="auto"/>
              <w:rPr>
                <w:rFonts w:ascii="Arial"/>
                <w:sz w:val="21"/>
              </w:rPr>
            </w:pPr>
          </w:p>
          <w:p w14:paraId="488F88F3">
            <w:pPr>
              <w:spacing w:line="248" w:lineRule="auto"/>
              <w:rPr>
                <w:rFonts w:ascii="Arial"/>
                <w:sz w:val="21"/>
              </w:rPr>
            </w:pPr>
          </w:p>
          <w:p w14:paraId="0E9BE14D">
            <w:pPr>
              <w:spacing w:before="78" w:line="181" w:lineRule="auto"/>
              <w:ind w:left="282"/>
              <w:rPr>
                <w:rFonts w:ascii="宋体" w:hAnsi="宋体" w:eastAsia="宋体" w:cs="宋体"/>
                <w:sz w:val="24"/>
                <w:szCs w:val="24"/>
              </w:rPr>
            </w:pPr>
            <w:r>
              <w:rPr>
                <w:rFonts w:ascii="宋体" w:hAnsi="宋体" w:eastAsia="宋体" w:cs="宋体"/>
                <w:sz w:val="24"/>
                <w:szCs w:val="24"/>
              </w:rPr>
              <w:t>2</w:t>
            </w:r>
          </w:p>
        </w:tc>
        <w:tc>
          <w:tcPr>
            <w:tcW w:w="1273" w:type="dxa"/>
            <w:vAlign w:val="top"/>
          </w:tcPr>
          <w:p w14:paraId="02EC930A">
            <w:pPr>
              <w:spacing w:line="242" w:lineRule="auto"/>
              <w:rPr>
                <w:rFonts w:ascii="Arial"/>
                <w:sz w:val="21"/>
              </w:rPr>
            </w:pPr>
          </w:p>
          <w:p w14:paraId="406A8F42">
            <w:pPr>
              <w:spacing w:line="242" w:lineRule="auto"/>
              <w:rPr>
                <w:rFonts w:ascii="Arial"/>
                <w:sz w:val="21"/>
              </w:rPr>
            </w:pPr>
          </w:p>
          <w:p w14:paraId="1F98BBE2">
            <w:pPr>
              <w:spacing w:line="243" w:lineRule="auto"/>
              <w:rPr>
                <w:rFonts w:ascii="Arial"/>
                <w:sz w:val="21"/>
              </w:rPr>
            </w:pPr>
          </w:p>
          <w:p w14:paraId="49A0A383">
            <w:pPr>
              <w:spacing w:line="243" w:lineRule="auto"/>
              <w:rPr>
                <w:rFonts w:ascii="Arial"/>
                <w:sz w:val="21"/>
              </w:rPr>
            </w:pPr>
          </w:p>
          <w:p w14:paraId="0054252B">
            <w:pPr>
              <w:spacing w:line="243" w:lineRule="auto"/>
              <w:rPr>
                <w:rFonts w:ascii="Arial"/>
                <w:sz w:val="21"/>
              </w:rPr>
            </w:pPr>
          </w:p>
          <w:p w14:paraId="45187E4C">
            <w:pPr>
              <w:spacing w:line="243" w:lineRule="auto"/>
              <w:rPr>
                <w:rFonts w:ascii="Arial"/>
                <w:sz w:val="21"/>
              </w:rPr>
            </w:pPr>
          </w:p>
          <w:p w14:paraId="4BD2F0E6">
            <w:pPr>
              <w:spacing w:line="243" w:lineRule="auto"/>
              <w:rPr>
                <w:rFonts w:ascii="Arial"/>
                <w:sz w:val="21"/>
              </w:rPr>
            </w:pPr>
          </w:p>
          <w:p w14:paraId="6562EFA0">
            <w:pPr>
              <w:spacing w:line="243" w:lineRule="auto"/>
              <w:rPr>
                <w:rFonts w:ascii="Arial"/>
                <w:sz w:val="21"/>
              </w:rPr>
            </w:pPr>
          </w:p>
          <w:p w14:paraId="2F19C8F2">
            <w:pPr>
              <w:spacing w:line="243" w:lineRule="auto"/>
              <w:rPr>
                <w:rFonts w:ascii="Arial"/>
                <w:sz w:val="21"/>
              </w:rPr>
            </w:pPr>
          </w:p>
          <w:p w14:paraId="460202A8">
            <w:pPr>
              <w:spacing w:before="78" w:line="220" w:lineRule="auto"/>
              <w:ind w:left="113"/>
              <w:rPr>
                <w:rFonts w:ascii="宋体" w:hAnsi="宋体" w:eastAsia="宋体" w:cs="宋体"/>
                <w:sz w:val="24"/>
                <w:szCs w:val="24"/>
              </w:rPr>
            </w:pPr>
            <w:r>
              <w:rPr>
                <w:rFonts w:ascii="宋体" w:hAnsi="宋体" w:eastAsia="宋体" w:cs="宋体"/>
                <w:spacing w:val="-3"/>
                <w:sz w:val="24"/>
                <w:szCs w:val="24"/>
              </w:rPr>
              <w:t>外出进修</w:t>
            </w:r>
          </w:p>
        </w:tc>
        <w:tc>
          <w:tcPr>
            <w:tcW w:w="7743" w:type="dxa"/>
            <w:vAlign w:val="top"/>
          </w:tcPr>
          <w:p w14:paraId="734E369B">
            <w:pPr>
              <w:spacing w:before="65" w:line="260" w:lineRule="auto"/>
              <w:ind w:left="123" w:right="81" w:firstLine="1"/>
              <w:rPr>
                <w:rFonts w:ascii="宋体" w:hAnsi="宋体" w:eastAsia="宋体" w:cs="宋体"/>
                <w:sz w:val="21"/>
                <w:szCs w:val="21"/>
              </w:rPr>
            </w:pPr>
            <w:r>
              <w:rPr>
                <w:rFonts w:ascii="宋体" w:hAnsi="宋体" w:eastAsia="宋体" w:cs="宋体"/>
                <w:spacing w:val="-1"/>
                <w:sz w:val="21"/>
                <w:szCs w:val="21"/>
              </w:rPr>
              <w:t>1．支持科室编制进修计划，包括工号、姓名、申报科室、性别、年龄 、职称、本</w:t>
            </w:r>
            <w:r>
              <w:rPr>
                <w:rFonts w:ascii="宋体" w:hAnsi="宋体" w:eastAsia="宋体" w:cs="宋体"/>
                <w:spacing w:val="2"/>
                <w:sz w:val="21"/>
                <w:szCs w:val="21"/>
              </w:rPr>
              <w:t xml:space="preserve"> </w:t>
            </w:r>
            <w:r>
              <w:rPr>
                <w:rFonts w:ascii="宋体" w:hAnsi="宋体" w:eastAsia="宋体" w:cs="宋体"/>
                <w:spacing w:val="-2"/>
                <w:sz w:val="21"/>
                <w:szCs w:val="21"/>
              </w:rPr>
              <w:t>院工作时长、进修单位、进修专业、时间、预</w:t>
            </w:r>
            <w:r>
              <w:rPr>
                <w:rFonts w:ascii="宋体" w:hAnsi="宋体" w:eastAsia="宋体" w:cs="宋体"/>
                <w:spacing w:val="-3"/>
                <w:sz w:val="21"/>
                <w:szCs w:val="21"/>
              </w:rPr>
              <w:t>算费用。</w:t>
            </w:r>
          </w:p>
          <w:p w14:paraId="14D7E61A">
            <w:pPr>
              <w:spacing w:before="92" w:line="219" w:lineRule="auto"/>
              <w:ind w:left="111"/>
              <w:rPr>
                <w:rFonts w:ascii="宋体" w:hAnsi="宋体" w:eastAsia="宋体" w:cs="宋体"/>
                <w:sz w:val="21"/>
                <w:szCs w:val="21"/>
              </w:rPr>
            </w:pPr>
            <w:r>
              <w:rPr>
                <w:rFonts w:ascii="宋体" w:hAnsi="宋体" w:eastAsia="宋体" w:cs="宋体"/>
                <w:spacing w:val="-3"/>
                <w:sz w:val="21"/>
                <w:szCs w:val="21"/>
              </w:rPr>
              <w:t>2．支持汇总审核各科室提交的进修计划。</w:t>
            </w:r>
          </w:p>
          <w:p w14:paraId="583F398C">
            <w:pPr>
              <w:spacing w:before="93" w:line="285" w:lineRule="auto"/>
              <w:ind w:left="108" w:right="102" w:firstLine="5"/>
              <w:rPr>
                <w:rFonts w:ascii="宋体" w:hAnsi="宋体" w:eastAsia="宋体" w:cs="宋体"/>
                <w:sz w:val="21"/>
                <w:szCs w:val="21"/>
              </w:rPr>
            </w:pPr>
            <w:r>
              <w:rPr>
                <w:rFonts w:ascii="宋体" w:hAnsi="宋体" w:eastAsia="宋体" w:cs="宋体"/>
                <w:spacing w:val="2"/>
                <w:sz w:val="21"/>
                <w:szCs w:val="21"/>
              </w:rPr>
              <w:t>3．已提交审批的外出进修申请，可在申请单中查看审批</w:t>
            </w:r>
            <w:r>
              <w:rPr>
                <w:rFonts w:ascii="宋体" w:hAnsi="宋体" w:eastAsia="宋体" w:cs="宋体"/>
                <w:spacing w:val="1"/>
                <w:sz w:val="21"/>
                <w:szCs w:val="21"/>
              </w:rPr>
              <w:t>信息，包括审批环节、各</w:t>
            </w:r>
            <w:r>
              <w:rPr>
                <w:rFonts w:ascii="宋体" w:hAnsi="宋体" w:eastAsia="宋体" w:cs="宋体"/>
                <w:sz w:val="21"/>
                <w:szCs w:val="21"/>
              </w:rPr>
              <w:t xml:space="preserve"> </w:t>
            </w:r>
            <w:r>
              <w:rPr>
                <w:rFonts w:ascii="宋体" w:hAnsi="宋体" w:eastAsia="宋体" w:cs="宋体"/>
                <w:spacing w:val="-6"/>
                <w:sz w:val="21"/>
                <w:szCs w:val="21"/>
              </w:rPr>
              <w:t>环节审批人、审批结果、审批意见，</w:t>
            </w:r>
            <w:r>
              <w:rPr>
                <w:rFonts w:ascii="宋体" w:hAnsi="宋体" w:eastAsia="宋体" w:cs="宋体"/>
                <w:spacing w:val="72"/>
                <w:sz w:val="21"/>
                <w:szCs w:val="21"/>
              </w:rPr>
              <w:t xml:space="preserve"> </w:t>
            </w:r>
            <w:r>
              <w:rPr>
                <w:rFonts w:ascii="宋体" w:hAnsi="宋体" w:eastAsia="宋体" w:cs="宋体"/>
                <w:spacing w:val="-6"/>
                <w:sz w:val="21"/>
                <w:szCs w:val="21"/>
              </w:rPr>
              <w:t>医师可发起个人进修申请，支持计划内和非计</w:t>
            </w:r>
            <w:r>
              <w:rPr>
                <w:rFonts w:ascii="宋体" w:hAnsi="宋体" w:eastAsia="宋体" w:cs="宋体"/>
                <w:sz w:val="21"/>
                <w:szCs w:val="21"/>
              </w:rPr>
              <w:t xml:space="preserve"> </w:t>
            </w:r>
            <w:r>
              <w:rPr>
                <w:rFonts w:ascii="宋体" w:hAnsi="宋体" w:eastAsia="宋体" w:cs="宋体"/>
                <w:spacing w:val="-1"/>
                <w:sz w:val="21"/>
                <w:szCs w:val="21"/>
              </w:rPr>
              <w:t>划内进修申请，申请单包括填制人、申请科室、填制时间、进修人、计划状</w:t>
            </w:r>
            <w:r>
              <w:rPr>
                <w:rFonts w:ascii="宋体" w:hAnsi="宋体" w:eastAsia="宋体" w:cs="宋体"/>
                <w:spacing w:val="-2"/>
                <w:sz w:val="21"/>
                <w:szCs w:val="21"/>
              </w:rPr>
              <w:t>态、计</w:t>
            </w:r>
            <w:r>
              <w:rPr>
                <w:rFonts w:ascii="宋体" w:hAnsi="宋体" w:eastAsia="宋体" w:cs="宋体"/>
                <w:sz w:val="21"/>
                <w:szCs w:val="21"/>
              </w:rPr>
              <w:t xml:space="preserve"> </w:t>
            </w:r>
            <w:r>
              <w:rPr>
                <w:rFonts w:ascii="宋体" w:hAnsi="宋体" w:eastAsia="宋体" w:cs="宋体"/>
                <w:spacing w:val="-1"/>
                <w:sz w:val="21"/>
                <w:szCs w:val="21"/>
              </w:rPr>
              <w:t>划单号、进修单位、进修科室、进修专业、导师、专业全国排名、进修单位</w:t>
            </w:r>
            <w:r>
              <w:rPr>
                <w:rFonts w:ascii="宋体" w:hAnsi="宋体" w:eastAsia="宋体" w:cs="宋体"/>
                <w:spacing w:val="-2"/>
                <w:sz w:val="21"/>
                <w:szCs w:val="21"/>
              </w:rPr>
              <w:t>区域、</w:t>
            </w:r>
            <w:r>
              <w:rPr>
                <w:rFonts w:ascii="宋体" w:hAnsi="宋体" w:eastAsia="宋体" w:cs="宋体"/>
                <w:sz w:val="21"/>
                <w:szCs w:val="21"/>
              </w:rPr>
              <w:t xml:space="preserve"> </w:t>
            </w:r>
            <w:r>
              <w:rPr>
                <w:rFonts w:ascii="宋体" w:hAnsi="宋体" w:eastAsia="宋体" w:cs="宋体"/>
                <w:spacing w:val="-2"/>
                <w:sz w:val="21"/>
                <w:szCs w:val="21"/>
              </w:rPr>
              <w:t>专业区域内排班、进修时间、经费来源、费用预算。</w:t>
            </w:r>
          </w:p>
          <w:p w14:paraId="422D84A3">
            <w:pPr>
              <w:spacing w:before="92" w:line="219" w:lineRule="auto"/>
              <w:ind w:left="108"/>
              <w:rPr>
                <w:rFonts w:ascii="宋体" w:hAnsi="宋体" w:eastAsia="宋体" w:cs="宋体"/>
                <w:sz w:val="21"/>
                <w:szCs w:val="21"/>
              </w:rPr>
            </w:pPr>
            <w:r>
              <w:rPr>
                <w:rFonts w:ascii="宋体" w:hAnsi="宋体" w:eastAsia="宋体" w:cs="宋体"/>
                <w:spacing w:val="-2"/>
                <w:sz w:val="21"/>
                <w:szCs w:val="21"/>
              </w:rPr>
              <w:t>4．医师在进修期间可登记学习情况、上传相应佐证材料。</w:t>
            </w:r>
          </w:p>
          <w:p w14:paraId="625C73A1">
            <w:pPr>
              <w:spacing w:before="93" w:line="220" w:lineRule="auto"/>
              <w:ind w:left="113"/>
              <w:rPr>
                <w:rFonts w:ascii="宋体" w:hAnsi="宋体" w:eastAsia="宋体" w:cs="宋体"/>
                <w:sz w:val="21"/>
                <w:szCs w:val="21"/>
              </w:rPr>
            </w:pPr>
            <w:r>
              <w:rPr>
                <w:rFonts w:ascii="宋体" w:hAnsi="宋体" w:eastAsia="宋体" w:cs="宋体"/>
                <w:spacing w:val="-2"/>
                <w:sz w:val="21"/>
                <w:szCs w:val="21"/>
              </w:rPr>
              <w:t>5．医师在进修过程中可申请中止进修或延期进修。</w:t>
            </w:r>
          </w:p>
          <w:p w14:paraId="6F1F85B0">
            <w:pPr>
              <w:spacing w:before="94" w:line="260" w:lineRule="auto"/>
              <w:ind w:left="110" w:right="102"/>
              <w:rPr>
                <w:rFonts w:ascii="宋体" w:hAnsi="宋体" w:eastAsia="宋体" w:cs="宋体"/>
                <w:sz w:val="21"/>
                <w:szCs w:val="21"/>
              </w:rPr>
            </w:pPr>
            <w:r>
              <w:rPr>
                <w:rFonts w:ascii="宋体" w:hAnsi="宋体" w:eastAsia="宋体" w:cs="宋体"/>
                <w:spacing w:val="2"/>
                <w:sz w:val="21"/>
                <w:szCs w:val="21"/>
              </w:rPr>
              <w:t>6．医师进修结束，可登记结业情况，包括医师姓名、登记时</w:t>
            </w:r>
            <w:r>
              <w:rPr>
                <w:rFonts w:ascii="宋体" w:hAnsi="宋体" w:eastAsia="宋体" w:cs="宋体"/>
                <w:spacing w:val="1"/>
                <w:sz w:val="21"/>
                <w:szCs w:val="21"/>
              </w:rPr>
              <w:t>间、结业时间、到场</w:t>
            </w:r>
            <w:r>
              <w:rPr>
                <w:rFonts w:ascii="宋体" w:hAnsi="宋体" w:eastAsia="宋体" w:cs="宋体"/>
                <w:sz w:val="21"/>
                <w:szCs w:val="21"/>
              </w:rPr>
              <w:t xml:space="preserve"> </w:t>
            </w:r>
            <w:r>
              <w:rPr>
                <w:rFonts w:ascii="宋体" w:hAnsi="宋体" w:eastAsia="宋体" w:cs="宋体"/>
                <w:spacing w:val="-2"/>
                <w:sz w:val="21"/>
                <w:szCs w:val="21"/>
              </w:rPr>
              <w:t>情况、教学活动和临床诊疗情况，支持登记进修相关费用。</w:t>
            </w:r>
          </w:p>
          <w:p w14:paraId="7A3C4F32">
            <w:pPr>
              <w:spacing w:before="94" w:line="260" w:lineRule="auto"/>
              <w:ind w:left="108" w:right="102" w:firstLine="5"/>
              <w:rPr>
                <w:rFonts w:ascii="宋体" w:hAnsi="宋体" w:eastAsia="宋体" w:cs="宋体"/>
                <w:sz w:val="21"/>
                <w:szCs w:val="21"/>
              </w:rPr>
            </w:pPr>
            <w:r>
              <w:rPr>
                <w:rFonts w:ascii="宋体" w:hAnsi="宋体" w:eastAsia="宋体" w:cs="宋体"/>
                <w:spacing w:val="2"/>
                <w:sz w:val="21"/>
                <w:szCs w:val="21"/>
              </w:rPr>
              <w:t>7．已提交审批的进修计划和个人进修申请，可在申请</w:t>
            </w:r>
            <w:r>
              <w:rPr>
                <w:rFonts w:ascii="宋体" w:hAnsi="宋体" w:eastAsia="宋体" w:cs="宋体"/>
                <w:spacing w:val="1"/>
                <w:sz w:val="21"/>
                <w:szCs w:val="21"/>
              </w:rPr>
              <w:t>单中查看审批信息，包括审</w:t>
            </w:r>
            <w:r>
              <w:rPr>
                <w:rFonts w:ascii="宋体" w:hAnsi="宋体" w:eastAsia="宋体" w:cs="宋体"/>
                <w:sz w:val="21"/>
                <w:szCs w:val="21"/>
              </w:rPr>
              <w:t xml:space="preserve"> </w:t>
            </w:r>
            <w:r>
              <w:rPr>
                <w:rFonts w:ascii="宋体" w:hAnsi="宋体" w:eastAsia="宋体" w:cs="宋体"/>
                <w:spacing w:val="-2"/>
                <w:sz w:val="21"/>
                <w:szCs w:val="21"/>
              </w:rPr>
              <w:t>批环节、各环节审批人、审批结果、审批意见。</w:t>
            </w:r>
          </w:p>
        </w:tc>
      </w:tr>
      <w:tr w14:paraId="6AEAE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4" w:hRule="atLeast"/>
        </w:trPr>
        <w:tc>
          <w:tcPr>
            <w:tcW w:w="783" w:type="dxa"/>
            <w:vAlign w:val="top"/>
          </w:tcPr>
          <w:p w14:paraId="3C96BD2E">
            <w:pPr>
              <w:spacing w:line="248" w:lineRule="auto"/>
              <w:rPr>
                <w:rFonts w:ascii="Arial"/>
                <w:sz w:val="21"/>
              </w:rPr>
            </w:pPr>
          </w:p>
          <w:p w14:paraId="241264AC">
            <w:pPr>
              <w:spacing w:line="249" w:lineRule="auto"/>
              <w:rPr>
                <w:rFonts w:ascii="Arial"/>
                <w:sz w:val="21"/>
              </w:rPr>
            </w:pPr>
          </w:p>
          <w:p w14:paraId="021BAD24">
            <w:pPr>
              <w:spacing w:line="249" w:lineRule="auto"/>
              <w:rPr>
                <w:rFonts w:ascii="Arial"/>
                <w:sz w:val="21"/>
              </w:rPr>
            </w:pPr>
          </w:p>
          <w:p w14:paraId="02B9CCDE">
            <w:pPr>
              <w:spacing w:line="249" w:lineRule="auto"/>
              <w:rPr>
                <w:rFonts w:ascii="Arial"/>
                <w:sz w:val="21"/>
              </w:rPr>
            </w:pPr>
          </w:p>
          <w:p w14:paraId="565160DF">
            <w:pPr>
              <w:spacing w:line="249" w:lineRule="auto"/>
              <w:rPr>
                <w:rFonts w:ascii="Arial"/>
                <w:sz w:val="21"/>
              </w:rPr>
            </w:pPr>
          </w:p>
          <w:p w14:paraId="7108A739">
            <w:pPr>
              <w:spacing w:line="249" w:lineRule="auto"/>
              <w:rPr>
                <w:rFonts w:ascii="Arial"/>
                <w:sz w:val="21"/>
              </w:rPr>
            </w:pPr>
          </w:p>
          <w:p w14:paraId="62FAC626">
            <w:pPr>
              <w:spacing w:line="249" w:lineRule="auto"/>
              <w:rPr>
                <w:rFonts w:ascii="Arial"/>
                <w:sz w:val="21"/>
              </w:rPr>
            </w:pPr>
          </w:p>
          <w:p w14:paraId="13B2A61C">
            <w:pPr>
              <w:spacing w:line="249" w:lineRule="auto"/>
              <w:rPr>
                <w:rFonts w:ascii="Arial"/>
                <w:sz w:val="21"/>
              </w:rPr>
            </w:pPr>
          </w:p>
          <w:p w14:paraId="0217139F">
            <w:pPr>
              <w:spacing w:line="249" w:lineRule="auto"/>
              <w:rPr>
                <w:rFonts w:ascii="Arial"/>
                <w:sz w:val="21"/>
              </w:rPr>
            </w:pPr>
          </w:p>
          <w:p w14:paraId="1636F837">
            <w:pPr>
              <w:spacing w:before="69" w:line="186" w:lineRule="auto"/>
              <w:ind w:left="27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3" w:type="dxa"/>
            <w:vAlign w:val="top"/>
          </w:tcPr>
          <w:p w14:paraId="5A886BF5">
            <w:pPr>
              <w:spacing w:line="243" w:lineRule="auto"/>
              <w:rPr>
                <w:rFonts w:ascii="Arial"/>
                <w:sz w:val="21"/>
              </w:rPr>
            </w:pPr>
          </w:p>
          <w:p w14:paraId="05DABD0E">
            <w:pPr>
              <w:spacing w:line="243" w:lineRule="auto"/>
              <w:rPr>
                <w:rFonts w:ascii="Arial"/>
                <w:sz w:val="21"/>
              </w:rPr>
            </w:pPr>
          </w:p>
          <w:p w14:paraId="55637F5C">
            <w:pPr>
              <w:spacing w:line="243" w:lineRule="auto"/>
              <w:rPr>
                <w:rFonts w:ascii="Arial"/>
                <w:sz w:val="21"/>
              </w:rPr>
            </w:pPr>
          </w:p>
          <w:p w14:paraId="7C0C0F99">
            <w:pPr>
              <w:spacing w:line="243" w:lineRule="auto"/>
              <w:rPr>
                <w:rFonts w:ascii="Arial"/>
                <w:sz w:val="21"/>
              </w:rPr>
            </w:pPr>
          </w:p>
          <w:p w14:paraId="5F3DAF90">
            <w:pPr>
              <w:spacing w:line="243" w:lineRule="auto"/>
              <w:rPr>
                <w:rFonts w:ascii="Arial"/>
                <w:sz w:val="21"/>
              </w:rPr>
            </w:pPr>
          </w:p>
          <w:p w14:paraId="24082E73">
            <w:pPr>
              <w:spacing w:line="243" w:lineRule="auto"/>
              <w:rPr>
                <w:rFonts w:ascii="Arial"/>
                <w:sz w:val="21"/>
              </w:rPr>
            </w:pPr>
          </w:p>
          <w:p w14:paraId="3E0C52D7">
            <w:pPr>
              <w:spacing w:line="243" w:lineRule="auto"/>
              <w:rPr>
                <w:rFonts w:ascii="Arial"/>
                <w:sz w:val="21"/>
              </w:rPr>
            </w:pPr>
          </w:p>
          <w:p w14:paraId="41569DC9">
            <w:pPr>
              <w:spacing w:line="244" w:lineRule="auto"/>
              <w:rPr>
                <w:rFonts w:ascii="Arial"/>
                <w:sz w:val="21"/>
              </w:rPr>
            </w:pPr>
          </w:p>
          <w:p w14:paraId="7DA86B8D">
            <w:pPr>
              <w:spacing w:line="244" w:lineRule="auto"/>
              <w:rPr>
                <w:rFonts w:ascii="Arial"/>
                <w:sz w:val="21"/>
              </w:rPr>
            </w:pPr>
          </w:p>
          <w:p w14:paraId="03B6F890">
            <w:pPr>
              <w:spacing w:before="78" w:line="220" w:lineRule="auto"/>
              <w:ind w:left="108"/>
              <w:rPr>
                <w:rFonts w:ascii="宋体" w:hAnsi="宋体" w:eastAsia="宋体" w:cs="宋体"/>
                <w:sz w:val="24"/>
                <w:szCs w:val="24"/>
              </w:rPr>
            </w:pPr>
            <w:r>
              <w:rPr>
                <w:rFonts w:ascii="宋体" w:hAnsi="宋体" w:eastAsia="宋体" w:cs="宋体"/>
                <w:spacing w:val="-2"/>
                <w:sz w:val="24"/>
                <w:szCs w:val="24"/>
              </w:rPr>
              <w:t>伦理管理</w:t>
            </w:r>
          </w:p>
        </w:tc>
        <w:tc>
          <w:tcPr>
            <w:tcW w:w="7743" w:type="dxa"/>
            <w:vAlign w:val="top"/>
          </w:tcPr>
          <w:p w14:paraId="3509B72C">
            <w:pPr>
              <w:spacing w:before="70" w:line="280" w:lineRule="auto"/>
              <w:ind w:left="110" w:right="102" w:firstLine="13"/>
              <w:rPr>
                <w:rFonts w:ascii="宋体" w:hAnsi="宋体" w:eastAsia="宋体" w:cs="宋体"/>
                <w:sz w:val="21"/>
                <w:szCs w:val="21"/>
              </w:rPr>
            </w:pPr>
            <w:r>
              <w:rPr>
                <w:rFonts w:ascii="宋体" w:hAnsi="宋体" w:eastAsia="宋体" w:cs="宋体"/>
                <w:spacing w:val="1"/>
                <w:sz w:val="21"/>
                <w:szCs w:val="21"/>
              </w:rPr>
              <w:t>1．伦理审查申请包括项目来源、项目名称、申请科室、主管部门、课题等级、资</w:t>
            </w:r>
            <w:r>
              <w:rPr>
                <w:rFonts w:ascii="宋体" w:hAnsi="宋体" w:eastAsia="宋体" w:cs="宋体"/>
                <w:spacing w:val="13"/>
                <w:sz w:val="21"/>
                <w:szCs w:val="21"/>
              </w:rPr>
              <w:t xml:space="preserve"> </w:t>
            </w:r>
            <w:r>
              <w:rPr>
                <w:rFonts w:ascii="宋体" w:hAnsi="宋体" w:eastAsia="宋体" w:cs="宋体"/>
                <w:spacing w:val="-1"/>
                <w:sz w:val="21"/>
                <w:szCs w:val="21"/>
              </w:rPr>
              <w:t>金来源、研究对象、生物样本、联系人、联系电话、举办单位、研究方</w:t>
            </w:r>
            <w:r>
              <w:rPr>
                <w:rFonts w:ascii="宋体" w:hAnsi="宋体" w:eastAsia="宋体" w:cs="宋体"/>
                <w:spacing w:val="-2"/>
                <w:sz w:val="21"/>
                <w:szCs w:val="21"/>
              </w:rPr>
              <w:t>案类型、研</w:t>
            </w:r>
            <w:r>
              <w:rPr>
                <w:rFonts w:ascii="宋体" w:hAnsi="宋体" w:eastAsia="宋体" w:cs="宋体"/>
                <w:sz w:val="21"/>
                <w:szCs w:val="21"/>
              </w:rPr>
              <w:t xml:space="preserve"> </w:t>
            </w:r>
            <w:r>
              <w:rPr>
                <w:rFonts w:ascii="宋体" w:hAnsi="宋体" w:eastAsia="宋体" w:cs="宋体"/>
                <w:spacing w:val="-1"/>
                <w:sz w:val="21"/>
                <w:szCs w:val="21"/>
              </w:rPr>
              <w:t>究版本日期、研究版本号、知情同意书版本、知情同意书日期、广告类</w:t>
            </w:r>
            <w:r>
              <w:rPr>
                <w:rFonts w:ascii="宋体" w:hAnsi="宋体" w:eastAsia="宋体" w:cs="宋体"/>
                <w:spacing w:val="-2"/>
                <w:sz w:val="21"/>
                <w:szCs w:val="21"/>
              </w:rPr>
              <w:t>型、招募广</w:t>
            </w:r>
            <w:r>
              <w:rPr>
                <w:rFonts w:ascii="宋体" w:hAnsi="宋体" w:eastAsia="宋体" w:cs="宋体"/>
                <w:sz w:val="21"/>
                <w:szCs w:val="21"/>
              </w:rPr>
              <w:t xml:space="preserve"> </w:t>
            </w:r>
            <w:r>
              <w:rPr>
                <w:rFonts w:ascii="宋体" w:hAnsi="宋体" w:eastAsia="宋体" w:cs="宋体"/>
                <w:spacing w:val="-4"/>
                <w:sz w:val="21"/>
                <w:szCs w:val="21"/>
              </w:rPr>
              <w:t>告和成果发布说明。</w:t>
            </w:r>
          </w:p>
          <w:p w14:paraId="0D64B808">
            <w:pPr>
              <w:spacing w:before="94" w:line="219" w:lineRule="auto"/>
              <w:ind w:left="111"/>
              <w:rPr>
                <w:rFonts w:ascii="宋体" w:hAnsi="宋体" w:eastAsia="宋体" w:cs="宋体"/>
                <w:sz w:val="21"/>
                <w:szCs w:val="21"/>
              </w:rPr>
            </w:pPr>
            <w:r>
              <w:rPr>
                <w:rFonts w:ascii="宋体" w:hAnsi="宋体" w:eastAsia="宋体" w:cs="宋体"/>
                <w:spacing w:val="-1"/>
                <w:sz w:val="21"/>
                <w:szCs w:val="21"/>
              </w:rPr>
              <w:t>2．在伦理审查申请单中，展示团队人员基本信</w:t>
            </w:r>
            <w:r>
              <w:rPr>
                <w:rFonts w:ascii="宋体" w:hAnsi="宋体" w:eastAsia="宋体" w:cs="宋体"/>
                <w:spacing w:val="-2"/>
                <w:sz w:val="21"/>
                <w:szCs w:val="21"/>
              </w:rPr>
              <w:t>息、PI</w:t>
            </w:r>
            <w:r>
              <w:rPr>
                <w:rFonts w:ascii="宋体" w:hAnsi="宋体" w:eastAsia="宋体" w:cs="宋体"/>
                <w:spacing w:val="-44"/>
                <w:sz w:val="21"/>
                <w:szCs w:val="21"/>
              </w:rPr>
              <w:t xml:space="preserve"> </w:t>
            </w:r>
            <w:r>
              <w:rPr>
                <w:rFonts w:ascii="宋体" w:hAnsi="宋体" w:eastAsia="宋体" w:cs="宋体"/>
                <w:spacing w:val="-2"/>
                <w:sz w:val="21"/>
                <w:szCs w:val="21"/>
              </w:rPr>
              <w:t>标志、负责人标志。</w:t>
            </w:r>
          </w:p>
          <w:p w14:paraId="798DF3C0">
            <w:pPr>
              <w:spacing w:before="94" w:line="260" w:lineRule="auto"/>
              <w:ind w:left="109" w:right="102" w:firstLine="4"/>
              <w:rPr>
                <w:rFonts w:ascii="宋体" w:hAnsi="宋体" w:eastAsia="宋体" w:cs="宋体"/>
                <w:sz w:val="21"/>
                <w:szCs w:val="21"/>
              </w:rPr>
            </w:pPr>
            <w:r>
              <w:rPr>
                <w:rFonts w:ascii="宋体" w:hAnsi="宋体" w:eastAsia="宋体" w:cs="宋体"/>
                <w:spacing w:val="2"/>
                <w:sz w:val="21"/>
                <w:szCs w:val="21"/>
              </w:rPr>
              <w:t>3．已提交审批的伦理审查申请，可在申请单中查看审批</w:t>
            </w:r>
            <w:r>
              <w:rPr>
                <w:rFonts w:ascii="宋体" w:hAnsi="宋体" w:eastAsia="宋体" w:cs="宋体"/>
                <w:spacing w:val="1"/>
                <w:sz w:val="21"/>
                <w:szCs w:val="21"/>
              </w:rPr>
              <w:t>信息，包括审批环节、各</w:t>
            </w:r>
            <w:r>
              <w:rPr>
                <w:rFonts w:ascii="宋体" w:hAnsi="宋体" w:eastAsia="宋体" w:cs="宋体"/>
                <w:sz w:val="21"/>
                <w:szCs w:val="21"/>
              </w:rPr>
              <w:t xml:space="preserve"> </w:t>
            </w:r>
            <w:r>
              <w:rPr>
                <w:rFonts w:ascii="宋体" w:hAnsi="宋体" w:eastAsia="宋体" w:cs="宋体"/>
                <w:spacing w:val="-3"/>
                <w:sz w:val="21"/>
                <w:szCs w:val="21"/>
              </w:rPr>
              <w:t>环节审批人、审批结果、审批意见。</w:t>
            </w:r>
          </w:p>
          <w:p w14:paraId="4856F48A">
            <w:pPr>
              <w:spacing w:before="92" w:line="281" w:lineRule="auto"/>
              <w:ind w:left="108" w:right="102"/>
              <w:rPr>
                <w:rFonts w:ascii="宋体" w:hAnsi="宋体" w:eastAsia="宋体" w:cs="宋体"/>
                <w:sz w:val="21"/>
                <w:szCs w:val="21"/>
              </w:rPr>
            </w:pPr>
            <w:r>
              <w:rPr>
                <w:rFonts w:ascii="宋体" w:hAnsi="宋体" w:eastAsia="宋体" w:cs="宋体"/>
                <w:spacing w:val="2"/>
                <w:sz w:val="21"/>
                <w:szCs w:val="21"/>
              </w:rPr>
              <w:t>4．在伦理审查申请单中，支持分类上传附件，包括项目材料诚信承</w:t>
            </w:r>
            <w:r>
              <w:rPr>
                <w:rFonts w:ascii="宋体" w:hAnsi="宋体" w:eastAsia="宋体" w:cs="宋体"/>
                <w:spacing w:val="1"/>
                <w:sz w:val="21"/>
                <w:szCs w:val="21"/>
              </w:rPr>
              <w:t>诺书、项目涉</w:t>
            </w:r>
            <w:r>
              <w:rPr>
                <w:rFonts w:ascii="宋体" w:hAnsi="宋体" w:eastAsia="宋体" w:cs="宋体"/>
                <w:sz w:val="21"/>
                <w:szCs w:val="21"/>
              </w:rPr>
              <w:t xml:space="preserve"> </w:t>
            </w:r>
            <w:r>
              <w:rPr>
                <w:rFonts w:ascii="宋体" w:hAnsi="宋体" w:eastAsia="宋体" w:cs="宋体"/>
                <w:spacing w:val="-1"/>
                <w:sz w:val="21"/>
                <w:szCs w:val="21"/>
              </w:rPr>
              <w:t>及机构的资质证明、研究项目方案、文献综述、临床前研究、动物实验数据</w:t>
            </w:r>
            <w:r>
              <w:rPr>
                <w:rFonts w:ascii="宋体" w:hAnsi="宋体" w:eastAsia="宋体" w:cs="宋体"/>
                <w:spacing w:val="-2"/>
                <w:sz w:val="21"/>
                <w:szCs w:val="21"/>
              </w:rPr>
              <w:t>、受试</w:t>
            </w:r>
            <w:r>
              <w:rPr>
                <w:rFonts w:ascii="宋体" w:hAnsi="宋体" w:eastAsia="宋体" w:cs="宋体"/>
                <w:sz w:val="21"/>
                <w:szCs w:val="21"/>
              </w:rPr>
              <w:t xml:space="preserve"> </w:t>
            </w:r>
            <w:r>
              <w:rPr>
                <w:rFonts w:ascii="宋体" w:hAnsi="宋体" w:eastAsia="宋体" w:cs="宋体"/>
                <w:spacing w:val="-1"/>
                <w:sz w:val="21"/>
                <w:szCs w:val="21"/>
              </w:rPr>
              <w:t>者知情同意书、风险控制预算、样本（信息）来源证明、科学论证意见、利</w:t>
            </w:r>
            <w:r>
              <w:rPr>
                <w:rFonts w:ascii="宋体" w:hAnsi="宋体" w:eastAsia="宋体" w:cs="宋体"/>
                <w:spacing w:val="-2"/>
                <w:sz w:val="21"/>
                <w:szCs w:val="21"/>
              </w:rPr>
              <w:t>益冲突</w:t>
            </w:r>
            <w:r>
              <w:rPr>
                <w:rFonts w:ascii="宋体" w:hAnsi="宋体" w:eastAsia="宋体" w:cs="宋体"/>
                <w:sz w:val="21"/>
                <w:szCs w:val="21"/>
              </w:rPr>
              <w:t xml:space="preserve"> </w:t>
            </w:r>
            <w:r>
              <w:rPr>
                <w:rFonts w:ascii="宋体" w:hAnsi="宋体" w:eastAsia="宋体" w:cs="宋体"/>
                <w:spacing w:val="-9"/>
                <w:sz w:val="21"/>
                <w:szCs w:val="21"/>
              </w:rPr>
              <w:t>声明。</w:t>
            </w:r>
          </w:p>
          <w:p w14:paraId="306077BF">
            <w:pPr>
              <w:spacing w:before="93" w:line="274" w:lineRule="auto"/>
              <w:ind w:left="109" w:right="102" w:firstLine="4"/>
              <w:rPr>
                <w:rFonts w:ascii="宋体" w:hAnsi="宋体" w:eastAsia="宋体" w:cs="宋体"/>
                <w:sz w:val="21"/>
                <w:szCs w:val="21"/>
              </w:rPr>
            </w:pPr>
            <w:r>
              <w:rPr>
                <w:rFonts w:ascii="宋体" w:hAnsi="宋体" w:eastAsia="宋体" w:cs="宋体"/>
                <w:spacing w:val="1"/>
                <w:sz w:val="21"/>
                <w:szCs w:val="21"/>
              </w:rPr>
              <w:t>5．支持对项目成果发表情况进行审核，成果发表内容包括论文标题</w:t>
            </w:r>
            <w:r>
              <w:rPr>
                <w:rFonts w:ascii="宋体" w:hAnsi="宋体" w:eastAsia="宋体" w:cs="宋体"/>
                <w:sz w:val="21"/>
                <w:szCs w:val="21"/>
              </w:rPr>
              <w:t xml:space="preserve">、通讯作者、 </w:t>
            </w:r>
            <w:r>
              <w:rPr>
                <w:rFonts w:ascii="宋体" w:hAnsi="宋体" w:eastAsia="宋体" w:cs="宋体"/>
                <w:spacing w:val="-5"/>
                <w:sz w:val="21"/>
                <w:szCs w:val="21"/>
              </w:rPr>
              <w:t>署名顺序、刊物、刊物等级、发表日期、提交</w:t>
            </w:r>
            <w:r>
              <w:rPr>
                <w:rFonts w:ascii="宋体" w:hAnsi="宋体" w:eastAsia="宋体" w:cs="宋体"/>
                <w:spacing w:val="-6"/>
                <w:sz w:val="21"/>
                <w:szCs w:val="21"/>
              </w:rPr>
              <w:t>年度、说明，</w:t>
            </w:r>
            <w:r>
              <w:rPr>
                <w:rFonts w:ascii="宋体" w:hAnsi="宋体" w:eastAsia="宋体" w:cs="宋体"/>
                <w:spacing w:val="51"/>
                <w:sz w:val="21"/>
                <w:szCs w:val="21"/>
              </w:rPr>
              <w:t xml:space="preserve"> </w:t>
            </w:r>
            <w:r>
              <w:rPr>
                <w:rFonts w:ascii="宋体" w:hAnsi="宋体" w:eastAsia="宋体" w:cs="宋体"/>
                <w:spacing w:val="-6"/>
                <w:sz w:val="21"/>
                <w:szCs w:val="21"/>
              </w:rPr>
              <w:t>支持上传附件及预览图</w:t>
            </w:r>
            <w:r>
              <w:rPr>
                <w:rFonts w:ascii="宋体" w:hAnsi="宋体" w:eastAsia="宋体" w:cs="宋体"/>
                <w:sz w:val="21"/>
                <w:szCs w:val="21"/>
              </w:rPr>
              <w:t xml:space="preserve"> </w:t>
            </w:r>
            <w:r>
              <w:rPr>
                <w:rFonts w:ascii="宋体" w:hAnsi="宋体" w:eastAsia="宋体" w:cs="宋体"/>
                <w:spacing w:val="-5"/>
                <w:sz w:val="21"/>
                <w:szCs w:val="21"/>
              </w:rPr>
              <w:t>片、PDF</w:t>
            </w:r>
            <w:r>
              <w:rPr>
                <w:rFonts w:ascii="宋体" w:hAnsi="宋体" w:eastAsia="宋体" w:cs="宋体"/>
                <w:spacing w:val="-39"/>
                <w:sz w:val="21"/>
                <w:szCs w:val="21"/>
              </w:rPr>
              <w:t xml:space="preserve"> </w:t>
            </w:r>
            <w:r>
              <w:rPr>
                <w:rFonts w:ascii="宋体" w:hAnsi="宋体" w:eastAsia="宋体" w:cs="宋体"/>
                <w:spacing w:val="-5"/>
                <w:sz w:val="21"/>
                <w:szCs w:val="21"/>
              </w:rPr>
              <w:t>文件。</w:t>
            </w:r>
          </w:p>
        </w:tc>
      </w:tr>
      <w:tr w14:paraId="1879B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0" w:hRule="atLeast"/>
        </w:trPr>
        <w:tc>
          <w:tcPr>
            <w:tcW w:w="783" w:type="dxa"/>
            <w:vAlign w:val="top"/>
          </w:tcPr>
          <w:p w14:paraId="2E9018DA">
            <w:pPr>
              <w:spacing w:line="293" w:lineRule="auto"/>
              <w:rPr>
                <w:rFonts w:ascii="Arial"/>
                <w:sz w:val="21"/>
              </w:rPr>
            </w:pPr>
          </w:p>
          <w:p w14:paraId="13CEB578">
            <w:pPr>
              <w:spacing w:line="294" w:lineRule="auto"/>
              <w:rPr>
                <w:rFonts w:ascii="Arial"/>
                <w:sz w:val="21"/>
              </w:rPr>
            </w:pPr>
          </w:p>
          <w:p w14:paraId="5D666EA3">
            <w:pPr>
              <w:spacing w:line="294" w:lineRule="auto"/>
              <w:rPr>
                <w:rFonts w:ascii="Arial"/>
                <w:sz w:val="21"/>
              </w:rPr>
            </w:pPr>
          </w:p>
          <w:p w14:paraId="01B6BCFD">
            <w:pPr>
              <w:spacing w:before="69" w:line="186" w:lineRule="auto"/>
              <w:ind w:left="273"/>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273" w:type="dxa"/>
            <w:vAlign w:val="top"/>
          </w:tcPr>
          <w:p w14:paraId="3E90830F">
            <w:pPr>
              <w:spacing w:line="276" w:lineRule="auto"/>
              <w:rPr>
                <w:rFonts w:ascii="Arial"/>
                <w:sz w:val="21"/>
              </w:rPr>
            </w:pPr>
          </w:p>
          <w:p w14:paraId="0DB03E03">
            <w:pPr>
              <w:spacing w:line="277" w:lineRule="auto"/>
              <w:rPr>
                <w:rFonts w:ascii="Arial"/>
                <w:sz w:val="21"/>
              </w:rPr>
            </w:pPr>
          </w:p>
          <w:p w14:paraId="5A064366">
            <w:pPr>
              <w:spacing w:line="277" w:lineRule="auto"/>
              <w:rPr>
                <w:rFonts w:ascii="Arial"/>
                <w:sz w:val="21"/>
              </w:rPr>
            </w:pPr>
          </w:p>
          <w:p w14:paraId="0DE4E054">
            <w:pPr>
              <w:spacing w:before="78" w:line="219" w:lineRule="auto"/>
              <w:ind w:left="107"/>
              <w:rPr>
                <w:rFonts w:ascii="宋体" w:hAnsi="宋体" w:eastAsia="宋体" w:cs="宋体"/>
                <w:sz w:val="24"/>
                <w:szCs w:val="24"/>
              </w:rPr>
            </w:pPr>
            <w:r>
              <w:rPr>
                <w:rFonts w:ascii="宋体" w:hAnsi="宋体" w:eastAsia="宋体" w:cs="宋体"/>
                <w:spacing w:val="-2"/>
                <w:sz w:val="24"/>
                <w:szCs w:val="24"/>
              </w:rPr>
              <w:t>会议管理</w:t>
            </w:r>
          </w:p>
        </w:tc>
        <w:tc>
          <w:tcPr>
            <w:tcW w:w="7743" w:type="dxa"/>
            <w:vAlign w:val="top"/>
          </w:tcPr>
          <w:p w14:paraId="699442B3">
            <w:pPr>
              <w:spacing w:before="73" w:line="260" w:lineRule="auto"/>
              <w:ind w:left="110" w:right="132" w:firstLine="13"/>
              <w:rPr>
                <w:rFonts w:ascii="宋体" w:hAnsi="宋体" w:eastAsia="宋体" w:cs="宋体"/>
                <w:sz w:val="21"/>
                <w:szCs w:val="21"/>
              </w:rPr>
            </w:pPr>
            <w:r>
              <w:rPr>
                <w:rFonts w:ascii="宋体" w:hAnsi="宋体" w:eastAsia="宋体" w:cs="宋体"/>
                <w:spacing w:val="1"/>
                <w:sz w:val="21"/>
                <w:szCs w:val="21"/>
              </w:rPr>
              <w:t>1．可登记医务或质控部门发起的各类会议</w:t>
            </w:r>
            <w:r>
              <w:rPr>
                <w:rFonts w:ascii="宋体" w:hAnsi="宋体" w:eastAsia="宋体" w:cs="宋体"/>
                <w:sz w:val="21"/>
                <w:szCs w:val="21"/>
              </w:rPr>
              <w:t xml:space="preserve">，可登记会议名称、时间、参会人员、 </w:t>
            </w:r>
            <w:r>
              <w:rPr>
                <w:rFonts w:ascii="宋体" w:hAnsi="宋体" w:eastAsia="宋体" w:cs="宋体"/>
                <w:spacing w:val="-8"/>
                <w:sz w:val="21"/>
                <w:szCs w:val="21"/>
              </w:rPr>
              <w:t>议题等。</w:t>
            </w:r>
          </w:p>
          <w:p w14:paraId="4EB2FC56">
            <w:pPr>
              <w:spacing w:before="93" w:line="260" w:lineRule="auto"/>
              <w:ind w:left="109" w:right="102" w:firstLine="2"/>
              <w:rPr>
                <w:rFonts w:ascii="宋体" w:hAnsi="宋体" w:eastAsia="宋体" w:cs="宋体"/>
                <w:sz w:val="21"/>
                <w:szCs w:val="21"/>
              </w:rPr>
            </w:pPr>
            <w:r>
              <w:rPr>
                <w:rFonts w:ascii="宋体" w:hAnsi="宋体" w:eastAsia="宋体" w:cs="宋体"/>
                <w:spacing w:val="2"/>
                <w:sz w:val="21"/>
                <w:szCs w:val="21"/>
              </w:rPr>
              <w:t>2．支持新技术审核、伦理审查等专项会议，支持与会专家</w:t>
            </w:r>
            <w:r>
              <w:rPr>
                <w:rFonts w:ascii="宋体" w:hAnsi="宋体" w:eastAsia="宋体" w:cs="宋体"/>
                <w:spacing w:val="1"/>
                <w:sz w:val="21"/>
                <w:szCs w:val="21"/>
              </w:rPr>
              <w:t>批量审查新技术申请及</w:t>
            </w:r>
            <w:r>
              <w:rPr>
                <w:rFonts w:ascii="宋体" w:hAnsi="宋体" w:eastAsia="宋体" w:cs="宋体"/>
                <w:sz w:val="21"/>
                <w:szCs w:val="21"/>
              </w:rPr>
              <w:t xml:space="preserve"> </w:t>
            </w:r>
            <w:r>
              <w:rPr>
                <w:rFonts w:ascii="宋体" w:hAnsi="宋体" w:eastAsia="宋体" w:cs="宋体"/>
                <w:spacing w:val="-7"/>
                <w:sz w:val="21"/>
                <w:szCs w:val="21"/>
              </w:rPr>
              <w:t>伦理申请。</w:t>
            </w:r>
          </w:p>
          <w:p w14:paraId="57DD4226">
            <w:pPr>
              <w:spacing w:before="92" w:line="219" w:lineRule="auto"/>
              <w:ind w:left="113"/>
              <w:rPr>
                <w:rFonts w:ascii="宋体" w:hAnsi="宋体" w:eastAsia="宋体" w:cs="宋体"/>
                <w:sz w:val="21"/>
                <w:szCs w:val="21"/>
              </w:rPr>
            </w:pPr>
            <w:r>
              <w:rPr>
                <w:rFonts w:ascii="宋体" w:hAnsi="宋体" w:eastAsia="宋体" w:cs="宋体"/>
                <w:spacing w:val="-2"/>
                <w:sz w:val="21"/>
                <w:szCs w:val="21"/>
              </w:rPr>
              <w:t>3．支持手动签到及手机扫码（企业微信、钉钉等）签到。</w:t>
            </w:r>
          </w:p>
          <w:p w14:paraId="3BA72D3E">
            <w:pPr>
              <w:spacing w:before="93" w:line="219" w:lineRule="auto"/>
              <w:ind w:left="108"/>
              <w:rPr>
                <w:rFonts w:ascii="宋体" w:hAnsi="宋体" w:eastAsia="宋体" w:cs="宋体"/>
                <w:sz w:val="21"/>
                <w:szCs w:val="21"/>
              </w:rPr>
            </w:pPr>
            <w:r>
              <w:rPr>
                <w:rFonts w:ascii="宋体" w:hAnsi="宋体" w:eastAsia="宋体" w:cs="宋体"/>
                <w:spacing w:val="-2"/>
                <w:sz w:val="21"/>
                <w:szCs w:val="21"/>
              </w:rPr>
              <w:t>4．支持由委员会秘书集中录入新技术申请专家审批意见。</w:t>
            </w:r>
          </w:p>
        </w:tc>
      </w:tr>
    </w:tbl>
    <w:p w14:paraId="6C798D8D">
      <w:pPr>
        <w:pStyle w:val="2"/>
        <w:spacing w:line="313" w:lineRule="auto"/>
      </w:pPr>
    </w:p>
    <w:p w14:paraId="6CD696C7">
      <w:pPr>
        <w:spacing w:before="62" w:line="209" w:lineRule="auto"/>
        <w:ind w:left="148"/>
        <w:rPr>
          <w:rFonts w:ascii="宋体" w:hAnsi="宋体" w:eastAsia="宋体" w:cs="宋体"/>
          <w:sz w:val="19"/>
          <w:szCs w:val="19"/>
        </w:rPr>
      </w:pPr>
      <w:r>
        <w:pict>
          <v:shape id="_x0000_s1051" o:spid="_x0000_s1051" style="position:absolute;left:0pt;margin-left:1.95pt;margin-top:11.85pt;height:0.75pt;width:494pt;z-index:251696128;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31                                </w:t>
      </w:r>
      <w:r>
        <w:rPr>
          <w:rFonts w:ascii="宋体" w:hAnsi="宋体" w:eastAsia="宋体" w:cs="宋体"/>
          <w:b/>
          <w:bCs/>
          <w:i/>
          <w:iCs/>
          <w:spacing w:val="-3"/>
          <w:sz w:val="19"/>
          <w:szCs w:val="19"/>
        </w:rPr>
        <w:t>伊犁州公共资源交易中心</w:t>
      </w:r>
    </w:p>
    <w:p w14:paraId="7E5626F5">
      <w:pPr>
        <w:spacing w:line="209" w:lineRule="auto"/>
        <w:rPr>
          <w:rFonts w:ascii="宋体" w:hAnsi="宋体" w:eastAsia="宋体" w:cs="宋体"/>
          <w:sz w:val="19"/>
          <w:szCs w:val="19"/>
        </w:rPr>
        <w:sectPr>
          <w:pgSz w:w="11905" w:h="16839"/>
          <w:pgMar w:top="1136" w:right="830" w:bottom="400" w:left="1126" w:header="854" w:footer="0" w:gutter="0"/>
          <w:cols w:space="720" w:num="1"/>
        </w:sectPr>
      </w:pPr>
    </w:p>
    <w:p w14:paraId="081462FB">
      <w:pPr>
        <w:spacing w:before="38"/>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3"/>
        <w:gridCol w:w="7743"/>
      </w:tblGrid>
      <w:tr w14:paraId="4F1AF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3" w:type="dxa"/>
            <w:vAlign w:val="top"/>
          </w:tcPr>
          <w:p w14:paraId="4A8778A6">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6EAB63AD">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720E1D36">
            <w:pPr>
              <w:spacing w:before="179"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40B01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83" w:type="dxa"/>
            <w:vAlign w:val="top"/>
          </w:tcPr>
          <w:p w14:paraId="07DB88EB">
            <w:pPr>
              <w:rPr>
                <w:rFonts w:ascii="Arial"/>
                <w:sz w:val="21"/>
              </w:rPr>
            </w:pPr>
          </w:p>
        </w:tc>
        <w:tc>
          <w:tcPr>
            <w:tcW w:w="1273" w:type="dxa"/>
            <w:vAlign w:val="top"/>
          </w:tcPr>
          <w:p w14:paraId="16E5B793">
            <w:pPr>
              <w:rPr>
                <w:rFonts w:ascii="Arial"/>
                <w:sz w:val="21"/>
              </w:rPr>
            </w:pPr>
          </w:p>
        </w:tc>
        <w:tc>
          <w:tcPr>
            <w:tcW w:w="7743" w:type="dxa"/>
            <w:vAlign w:val="top"/>
          </w:tcPr>
          <w:p w14:paraId="21AF21DA">
            <w:pPr>
              <w:spacing w:before="63" w:line="219" w:lineRule="auto"/>
              <w:ind w:left="113"/>
              <w:rPr>
                <w:rFonts w:ascii="宋体" w:hAnsi="宋体" w:eastAsia="宋体" w:cs="宋体"/>
                <w:sz w:val="21"/>
                <w:szCs w:val="21"/>
              </w:rPr>
            </w:pPr>
            <w:r>
              <w:rPr>
                <w:rFonts w:ascii="宋体" w:hAnsi="宋体" w:eastAsia="宋体" w:cs="宋体"/>
                <w:spacing w:val="-1"/>
                <w:sz w:val="21"/>
                <w:szCs w:val="21"/>
              </w:rPr>
              <w:t>5．支持委员会专家手机扫码（企业微信、钉钉等）审批新技术，</w:t>
            </w:r>
            <w:r>
              <w:rPr>
                <w:rFonts w:ascii="宋体" w:hAnsi="宋体" w:eastAsia="宋体" w:cs="宋体"/>
                <w:spacing w:val="-2"/>
                <w:sz w:val="21"/>
                <w:szCs w:val="21"/>
              </w:rPr>
              <w:t>给出审批意见。</w:t>
            </w:r>
          </w:p>
          <w:p w14:paraId="0E297C8A">
            <w:pPr>
              <w:spacing w:before="93" w:line="220" w:lineRule="auto"/>
              <w:ind w:left="110"/>
              <w:rPr>
                <w:rFonts w:ascii="宋体" w:hAnsi="宋体" w:eastAsia="宋体" w:cs="宋体"/>
                <w:sz w:val="21"/>
                <w:szCs w:val="21"/>
              </w:rPr>
            </w:pPr>
            <w:r>
              <w:rPr>
                <w:rFonts w:ascii="宋体" w:hAnsi="宋体" w:eastAsia="宋体" w:cs="宋体"/>
                <w:spacing w:val="-2"/>
                <w:sz w:val="21"/>
                <w:szCs w:val="21"/>
              </w:rPr>
              <w:t>6．支持根据签到人员数自动判断是否符合出席规定人数。</w:t>
            </w:r>
          </w:p>
        </w:tc>
      </w:tr>
      <w:tr w14:paraId="51A94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799" w:type="dxa"/>
            <w:gridSpan w:val="3"/>
            <w:vAlign w:val="top"/>
          </w:tcPr>
          <w:p w14:paraId="3C7CF0E1">
            <w:pPr>
              <w:spacing w:before="175" w:line="220" w:lineRule="auto"/>
              <w:ind w:left="3982"/>
              <w:rPr>
                <w:rFonts w:ascii="宋体" w:hAnsi="宋体" w:eastAsia="宋体" w:cs="宋体"/>
                <w:sz w:val="24"/>
                <w:szCs w:val="24"/>
              </w:rPr>
            </w:pPr>
            <w:r>
              <w:rPr>
                <w:rFonts w:ascii="宋体" w:hAnsi="宋体" w:eastAsia="宋体" w:cs="宋体"/>
                <w:b/>
                <w:bCs/>
                <w:spacing w:val="-8"/>
                <w:sz w:val="24"/>
                <w:szCs w:val="24"/>
              </w:rPr>
              <w:t>(九)投诉纠纷管理</w:t>
            </w:r>
          </w:p>
        </w:tc>
      </w:tr>
      <w:tr w14:paraId="46817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7" w:hRule="atLeast"/>
        </w:trPr>
        <w:tc>
          <w:tcPr>
            <w:tcW w:w="783" w:type="dxa"/>
            <w:vAlign w:val="top"/>
          </w:tcPr>
          <w:p w14:paraId="0D777DD4">
            <w:pPr>
              <w:spacing w:line="244" w:lineRule="auto"/>
              <w:rPr>
                <w:rFonts w:ascii="Arial"/>
                <w:sz w:val="21"/>
              </w:rPr>
            </w:pPr>
          </w:p>
          <w:p w14:paraId="1671A01F">
            <w:pPr>
              <w:spacing w:line="245" w:lineRule="auto"/>
              <w:rPr>
                <w:rFonts w:ascii="Arial"/>
                <w:sz w:val="21"/>
              </w:rPr>
            </w:pPr>
          </w:p>
          <w:p w14:paraId="25903711">
            <w:pPr>
              <w:spacing w:line="245" w:lineRule="auto"/>
              <w:rPr>
                <w:rFonts w:ascii="Arial"/>
                <w:sz w:val="21"/>
              </w:rPr>
            </w:pPr>
          </w:p>
          <w:p w14:paraId="68CAB02F">
            <w:pPr>
              <w:spacing w:line="245" w:lineRule="auto"/>
              <w:rPr>
                <w:rFonts w:ascii="Arial"/>
                <w:sz w:val="21"/>
              </w:rPr>
            </w:pPr>
          </w:p>
          <w:p w14:paraId="18047381">
            <w:pPr>
              <w:spacing w:line="245" w:lineRule="auto"/>
              <w:rPr>
                <w:rFonts w:ascii="Arial"/>
                <w:sz w:val="21"/>
              </w:rPr>
            </w:pPr>
          </w:p>
          <w:p w14:paraId="369C9392">
            <w:pPr>
              <w:spacing w:line="245" w:lineRule="auto"/>
              <w:rPr>
                <w:rFonts w:ascii="Arial"/>
                <w:sz w:val="21"/>
              </w:rPr>
            </w:pPr>
          </w:p>
          <w:p w14:paraId="2DBCFA7F">
            <w:pPr>
              <w:spacing w:line="245" w:lineRule="auto"/>
              <w:rPr>
                <w:rFonts w:ascii="Arial"/>
                <w:sz w:val="21"/>
              </w:rPr>
            </w:pPr>
          </w:p>
          <w:p w14:paraId="0B4E5009">
            <w:pPr>
              <w:spacing w:before="78" w:line="182" w:lineRule="auto"/>
              <w:ind w:left="297"/>
              <w:rPr>
                <w:rFonts w:ascii="宋体" w:hAnsi="宋体" w:eastAsia="宋体" w:cs="宋体"/>
                <w:sz w:val="24"/>
                <w:szCs w:val="24"/>
              </w:rPr>
            </w:pPr>
            <w:r>
              <w:rPr>
                <w:rFonts w:ascii="宋体" w:hAnsi="宋体" w:eastAsia="宋体" w:cs="宋体"/>
                <w:sz w:val="24"/>
                <w:szCs w:val="24"/>
              </w:rPr>
              <w:t>1</w:t>
            </w:r>
          </w:p>
        </w:tc>
        <w:tc>
          <w:tcPr>
            <w:tcW w:w="1273" w:type="dxa"/>
            <w:vAlign w:val="top"/>
          </w:tcPr>
          <w:p w14:paraId="055724DA">
            <w:pPr>
              <w:spacing w:line="279" w:lineRule="auto"/>
              <w:rPr>
                <w:rFonts w:ascii="Arial"/>
                <w:sz w:val="21"/>
              </w:rPr>
            </w:pPr>
          </w:p>
          <w:p w14:paraId="248ADE3A">
            <w:pPr>
              <w:spacing w:line="279" w:lineRule="auto"/>
              <w:rPr>
                <w:rFonts w:ascii="Arial"/>
                <w:sz w:val="21"/>
              </w:rPr>
            </w:pPr>
          </w:p>
          <w:p w14:paraId="33D58912">
            <w:pPr>
              <w:spacing w:line="279" w:lineRule="auto"/>
              <w:rPr>
                <w:rFonts w:ascii="Arial"/>
                <w:sz w:val="21"/>
              </w:rPr>
            </w:pPr>
          </w:p>
          <w:p w14:paraId="7813A6AE">
            <w:pPr>
              <w:spacing w:line="279" w:lineRule="auto"/>
              <w:rPr>
                <w:rFonts w:ascii="Arial"/>
                <w:sz w:val="21"/>
              </w:rPr>
            </w:pPr>
          </w:p>
          <w:p w14:paraId="7DE61C31">
            <w:pPr>
              <w:spacing w:line="279" w:lineRule="auto"/>
              <w:rPr>
                <w:rFonts w:ascii="Arial"/>
                <w:sz w:val="21"/>
              </w:rPr>
            </w:pPr>
          </w:p>
          <w:p w14:paraId="6FAF574A">
            <w:pPr>
              <w:spacing w:line="280" w:lineRule="auto"/>
              <w:rPr>
                <w:rFonts w:ascii="Arial"/>
                <w:sz w:val="21"/>
              </w:rPr>
            </w:pPr>
          </w:p>
          <w:p w14:paraId="252507DD">
            <w:pPr>
              <w:spacing w:before="78" w:line="220" w:lineRule="auto"/>
              <w:ind w:left="111"/>
              <w:rPr>
                <w:rFonts w:ascii="宋体" w:hAnsi="宋体" w:eastAsia="宋体" w:cs="宋体"/>
                <w:sz w:val="24"/>
                <w:szCs w:val="24"/>
              </w:rPr>
            </w:pPr>
            <w:r>
              <w:rPr>
                <w:rFonts w:ascii="宋体" w:hAnsi="宋体" w:eastAsia="宋体" w:cs="宋体"/>
                <w:spacing w:val="-3"/>
                <w:sz w:val="24"/>
                <w:szCs w:val="24"/>
              </w:rPr>
              <w:t>投诉管理</w:t>
            </w:r>
          </w:p>
        </w:tc>
        <w:tc>
          <w:tcPr>
            <w:tcW w:w="7743" w:type="dxa"/>
            <w:vAlign w:val="top"/>
          </w:tcPr>
          <w:p w14:paraId="5770603D">
            <w:pPr>
              <w:spacing w:before="65" w:line="260" w:lineRule="auto"/>
              <w:ind w:left="109" w:right="27" w:firstLine="15"/>
              <w:rPr>
                <w:rFonts w:ascii="宋体" w:hAnsi="宋体" w:eastAsia="宋体" w:cs="宋体"/>
                <w:sz w:val="21"/>
                <w:szCs w:val="21"/>
              </w:rPr>
            </w:pPr>
            <w:r>
              <w:rPr>
                <w:rFonts w:ascii="宋体" w:hAnsi="宋体" w:eastAsia="宋体" w:cs="宋体"/>
                <w:spacing w:val="-2"/>
                <w:sz w:val="21"/>
                <w:szCs w:val="21"/>
              </w:rPr>
              <w:t>1．投诉记录登记，包含基本信息及各环节处理结果，其</w:t>
            </w:r>
            <w:r>
              <w:rPr>
                <w:rFonts w:ascii="宋体" w:hAnsi="宋体" w:eastAsia="宋体" w:cs="宋体"/>
                <w:spacing w:val="-3"/>
                <w:sz w:val="21"/>
                <w:szCs w:val="21"/>
              </w:rPr>
              <w:t>中处理环节包括科室调查、</w:t>
            </w:r>
            <w:r>
              <w:rPr>
                <w:rFonts w:ascii="宋体" w:hAnsi="宋体" w:eastAsia="宋体" w:cs="宋体"/>
                <w:sz w:val="21"/>
                <w:szCs w:val="21"/>
              </w:rPr>
              <w:t xml:space="preserve"> </w:t>
            </w:r>
            <w:r>
              <w:rPr>
                <w:rFonts w:ascii="宋体" w:hAnsi="宋体" w:eastAsia="宋体" w:cs="宋体"/>
                <w:spacing w:val="-2"/>
                <w:sz w:val="21"/>
                <w:szCs w:val="21"/>
              </w:rPr>
              <w:t>科室调解、医院调查、医院调解、行政调解和法律诉讼阶段。</w:t>
            </w:r>
          </w:p>
          <w:p w14:paraId="4D0BD865">
            <w:pPr>
              <w:spacing w:before="92" w:line="285" w:lineRule="auto"/>
              <w:ind w:left="108" w:right="101" w:firstLine="3"/>
              <w:rPr>
                <w:rFonts w:ascii="宋体" w:hAnsi="宋体" w:eastAsia="宋体" w:cs="宋体"/>
                <w:sz w:val="21"/>
                <w:szCs w:val="21"/>
              </w:rPr>
            </w:pPr>
            <w:r>
              <w:rPr>
                <w:rFonts w:ascii="宋体" w:hAnsi="宋体" w:eastAsia="宋体" w:cs="宋体"/>
                <w:spacing w:val="2"/>
                <w:sz w:val="21"/>
                <w:szCs w:val="21"/>
              </w:rPr>
              <w:t>2．投诉登记包括类型、流程类型、响应级别、响应天数、</w:t>
            </w:r>
            <w:r>
              <w:rPr>
                <w:rFonts w:ascii="宋体" w:hAnsi="宋体" w:eastAsia="宋体" w:cs="宋体"/>
                <w:spacing w:val="1"/>
                <w:sz w:val="21"/>
                <w:szCs w:val="21"/>
              </w:rPr>
              <w:t>投诉对象类型、投诉科</w:t>
            </w:r>
            <w:r>
              <w:rPr>
                <w:rFonts w:ascii="宋体" w:hAnsi="宋体" w:eastAsia="宋体" w:cs="宋体"/>
                <w:sz w:val="21"/>
                <w:szCs w:val="21"/>
              </w:rPr>
              <w:t xml:space="preserve"> </w:t>
            </w:r>
            <w:r>
              <w:rPr>
                <w:rFonts w:ascii="宋体" w:hAnsi="宋体" w:eastAsia="宋体" w:cs="宋体"/>
                <w:spacing w:val="-1"/>
                <w:sz w:val="21"/>
                <w:szCs w:val="21"/>
              </w:rPr>
              <w:t>室、被投诉个人、受理人、投诉渠道、投诉人、投诉人性别、职业、气质类</w:t>
            </w:r>
            <w:r>
              <w:rPr>
                <w:rFonts w:ascii="宋体" w:hAnsi="宋体" w:eastAsia="宋体" w:cs="宋体"/>
                <w:spacing w:val="-2"/>
                <w:sz w:val="21"/>
                <w:szCs w:val="21"/>
              </w:rPr>
              <w:t>型、年</w:t>
            </w:r>
            <w:r>
              <w:rPr>
                <w:rFonts w:ascii="宋体" w:hAnsi="宋体" w:eastAsia="宋体" w:cs="宋体"/>
                <w:sz w:val="21"/>
                <w:szCs w:val="21"/>
              </w:rPr>
              <w:t xml:space="preserve"> </w:t>
            </w:r>
            <w:r>
              <w:rPr>
                <w:rFonts w:ascii="宋体" w:hAnsi="宋体" w:eastAsia="宋体" w:cs="宋体"/>
                <w:spacing w:val="-1"/>
                <w:sz w:val="21"/>
                <w:szCs w:val="21"/>
              </w:rPr>
              <w:t>龄、投诉时间、联系电话、与患者关系、投诉人备注、患者姓名、患者性别</w:t>
            </w:r>
            <w:r>
              <w:rPr>
                <w:rFonts w:ascii="宋体" w:hAnsi="宋体" w:eastAsia="宋体" w:cs="宋体"/>
                <w:spacing w:val="-2"/>
                <w:sz w:val="21"/>
                <w:szCs w:val="21"/>
              </w:rPr>
              <w:t>、住院</w:t>
            </w:r>
            <w:r>
              <w:rPr>
                <w:rFonts w:ascii="宋体" w:hAnsi="宋体" w:eastAsia="宋体" w:cs="宋体"/>
                <w:sz w:val="21"/>
                <w:szCs w:val="21"/>
              </w:rPr>
              <w:t xml:space="preserve"> </w:t>
            </w:r>
            <w:r>
              <w:rPr>
                <w:rFonts w:ascii="宋体" w:hAnsi="宋体" w:eastAsia="宋体" w:cs="宋体"/>
                <w:spacing w:val="-1"/>
                <w:sz w:val="21"/>
                <w:szCs w:val="21"/>
              </w:rPr>
              <w:t>号、入院时间、住院天数、费用总额、主要诊断、手术与操作、出院方式、</w:t>
            </w:r>
            <w:r>
              <w:rPr>
                <w:rFonts w:ascii="宋体" w:hAnsi="宋体" w:eastAsia="宋体" w:cs="宋体"/>
                <w:spacing w:val="-2"/>
                <w:sz w:val="21"/>
                <w:szCs w:val="21"/>
              </w:rPr>
              <w:t>事发时</w:t>
            </w:r>
            <w:r>
              <w:rPr>
                <w:rFonts w:ascii="宋体" w:hAnsi="宋体" w:eastAsia="宋体" w:cs="宋体"/>
                <w:sz w:val="21"/>
                <w:szCs w:val="21"/>
              </w:rPr>
              <w:t xml:space="preserve"> </w:t>
            </w:r>
            <w:r>
              <w:rPr>
                <w:rFonts w:ascii="宋体" w:hAnsi="宋体" w:eastAsia="宋体" w:cs="宋体"/>
                <w:spacing w:val="-2"/>
                <w:sz w:val="21"/>
                <w:szCs w:val="21"/>
              </w:rPr>
              <w:t>间、诉求类型、具体诉求、投诉内容，支持上传佐证材料。</w:t>
            </w:r>
          </w:p>
          <w:p w14:paraId="3402CA7E">
            <w:pPr>
              <w:spacing w:before="93" w:line="260" w:lineRule="auto"/>
              <w:ind w:left="118" w:right="132" w:hanging="5"/>
              <w:rPr>
                <w:rFonts w:ascii="宋体" w:hAnsi="宋体" w:eastAsia="宋体" w:cs="宋体"/>
                <w:sz w:val="21"/>
                <w:szCs w:val="21"/>
              </w:rPr>
            </w:pPr>
            <w:r>
              <w:rPr>
                <w:rFonts w:ascii="宋体" w:hAnsi="宋体" w:eastAsia="宋体" w:cs="宋体"/>
                <w:spacing w:val="1"/>
                <w:sz w:val="21"/>
                <w:szCs w:val="21"/>
              </w:rPr>
              <w:t>3．登记各处理环节具体情况包括调查时间、事件调查、调查结论、</w:t>
            </w:r>
            <w:r>
              <w:rPr>
                <w:rFonts w:ascii="宋体" w:hAnsi="宋体" w:eastAsia="宋体" w:cs="宋体"/>
                <w:sz w:val="21"/>
                <w:szCs w:val="21"/>
              </w:rPr>
              <w:t xml:space="preserve">责任人意见、 </w:t>
            </w:r>
            <w:r>
              <w:rPr>
                <w:rFonts w:ascii="宋体" w:hAnsi="宋体" w:eastAsia="宋体" w:cs="宋体"/>
                <w:spacing w:val="-2"/>
                <w:sz w:val="21"/>
                <w:szCs w:val="21"/>
              </w:rPr>
              <w:t>患者意见、调解结果、处理方式、调解日期、调解机构、调解结论。</w:t>
            </w:r>
          </w:p>
          <w:p w14:paraId="0DF2D868">
            <w:pPr>
              <w:spacing w:before="93" w:line="220" w:lineRule="auto"/>
              <w:ind w:left="108"/>
              <w:rPr>
                <w:rFonts w:ascii="宋体" w:hAnsi="宋体" w:eastAsia="宋体" w:cs="宋体"/>
                <w:sz w:val="21"/>
                <w:szCs w:val="21"/>
              </w:rPr>
            </w:pPr>
            <w:r>
              <w:rPr>
                <w:rFonts w:ascii="宋体" w:hAnsi="宋体" w:eastAsia="宋体" w:cs="宋体"/>
                <w:spacing w:val="-2"/>
                <w:sz w:val="21"/>
                <w:szCs w:val="21"/>
              </w:rPr>
              <w:t>4．可将某一条投诉记录设置为典型案例。</w:t>
            </w:r>
          </w:p>
          <w:p w14:paraId="6C8F9768">
            <w:pPr>
              <w:spacing w:before="92" w:line="220" w:lineRule="auto"/>
              <w:ind w:left="113"/>
              <w:rPr>
                <w:rFonts w:ascii="宋体" w:hAnsi="宋体" w:eastAsia="宋体" w:cs="宋体"/>
                <w:sz w:val="21"/>
                <w:szCs w:val="21"/>
              </w:rPr>
            </w:pPr>
            <w:r>
              <w:rPr>
                <w:rFonts w:ascii="宋体" w:hAnsi="宋体" w:eastAsia="宋体" w:cs="宋体"/>
                <w:spacing w:val="-3"/>
                <w:sz w:val="21"/>
                <w:szCs w:val="21"/>
              </w:rPr>
              <w:t>5．支持把投诉事件转为纠纷事件。</w:t>
            </w:r>
          </w:p>
        </w:tc>
      </w:tr>
      <w:tr w14:paraId="59C3E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2" w:hRule="atLeast"/>
        </w:trPr>
        <w:tc>
          <w:tcPr>
            <w:tcW w:w="783" w:type="dxa"/>
            <w:vAlign w:val="top"/>
          </w:tcPr>
          <w:p w14:paraId="1B515120">
            <w:pPr>
              <w:spacing w:line="257" w:lineRule="auto"/>
              <w:rPr>
                <w:rFonts w:ascii="Arial"/>
                <w:sz w:val="21"/>
              </w:rPr>
            </w:pPr>
          </w:p>
          <w:p w14:paraId="0F55C6E9">
            <w:pPr>
              <w:spacing w:line="257" w:lineRule="auto"/>
              <w:rPr>
                <w:rFonts w:ascii="Arial"/>
                <w:sz w:val="21"/>
              </w:rPr>
            </w:pPr>
          </w:p>
          <w:p w14:paraId="4B7404CC">
            <w:pPr>
              <w:spacing w:line="257" w:lineRule="auto"/>
              <w:rPr>
                <w:rFonts w:ascii="Arial"/>
                <w:sz w:val="21"/>
              </w:rPr>
            </w:pPr>
          </w:p>
          <w:p w14:paraId="4A8A3B8E">
            <w:pPr>
              <w:spacing w:line="257" w:lineRule="auto"/>
              <w:rPr>
                <w:rFonts w:ascii="Arial"/>
                <w:sz w:val="21"/>
              </w:rPr>
            </w:pPr>
          </w:p>
          <w:p w14:paraId="07BF2C2E">
            <w:pPr>
              <w:spacing w:line="257" w:lineRule="auto"/>
              <w:rPr>
                <w:rFonts w:ascii="Arial"/>
                <w:sz w:val="21"/>
              </w:rPr>
            </w:pPr>
          </w:p>
          <w:p w14:paraId="4144CDBE">
            <w:pPr>
              <w:spacing w:line="258" w:lineRule="auto"/>
              <w:rPr>
                <w:rFonts w:ascii="Arial"/>
                <w:sz w:val="21"/>
              </w:rPr>
            </w:pPr>
          </w:p>
          <w:p w14:paraId="4B3AFD01">
            <w:pPr>
              <w:spacing w:line="258" w:lineRule="auto"/>
              <w:rPr>
                <w:rFonts w:ascii="Arial"/>
                <w:sz w:val="21"/>
              </w:rPr>
            </w:pPr>
          </w:p>
          <w:p w14:paraId="714499A9">
            <w:pPr>
              <w:spacing w:line="258" w:lineRule="auto"/>
              <w:rPr>
                <w:rFonts w:ascii="Arial"/>
                <w:sz w:val="21"/>
              </w:rPr>
            </w:pPr>
          </w:p>
          <w:p w14:paraId="6E9CC773">
            <w:pPr>
              <w:spacing w:before="78" w:line="181" w:lineRule="auto"/>
              <w:ind w:left="282"/>
              <w:rPr>
                <w:rFonts w:ascii="宋体" w:hAnsi="宋体" w:eastAsia="宋体" w:cs="宋体"/>
                <w:sz w:val="24"/>
                <w:szCs w:val="24"/>
              </w:rPr>
            </w:pPr>
            <w:r>
              <w:rPr>
                <w:rFonts w:ascii="宋体" w:hAnsi="宋体" w:eastAsia="宋体" w:cs="宋体"/>
                <w:sz w:val="24"/>
                <w:szCs w:val="24"/>
              </w:rPr>
              <w:t>2</w:t>
            </w:r>
          </w:p>
        </w:tc>
        <w:tc>
          <w:tcPr>
            <w:tcW w:w="1273" w:type="dxa"/>
            <w:vAlign w:val="top"/>
          </w:tcPr>
          <w:p w14:paraId="5ACC9211">
            <w:pPr>
              <w:spacing w:line="246" w:lineRule="auto"/>
              <w:rPr>
                <w:rFonts w:ascii="Arial"/>
                <w:sz w:val="21"/>
              </w:rPr>
            </w:pPr>
          </w:p>
          <w:p w14:paraId="0C94015D">
            <w:pPr>
              <w:spacing w:line="246" w:lineRule="auto"/>
              <w:rPr>
                <w:rFonts w:ascii="Arial"/>
                <w:sz w:val="21"/>
              </w:rPr>
            </w:pPr>
          </w:p>
          <w:p w14:paraId="6C05331D">
            <w:pPr>
              <w:spacing w:line="246" w:lineRule="auto"/>
              <w:rPr>
                <w:rFonts w:ascii="Arial"/>
                <w:sz w:val="21"/>
              </w:rPr>
            </w:pPr>
          </w:p>
          <w:p w14:paraId="2BA8F510">
            <w:pPr>
              <w:spacing w:line="246" w:lineRule="auto"/>
              <w:rPr>
                <w:rFonts w:ascii="Arial"/>
                <w:sz w:val="21"/>
              </w:rPr>
            </w:pPr>
          </w:p>
          <w:p w14:paraId="5E0B36D9">
            <w:pPr>
              <w:spacing w:line="246" w:lineRule="auto"/>
              <w:rPr>
                <w:rFonts w:ascii="Arial"/>
                <w:sz w:val="21"/>
              </w:rPr>
            </w:pPr>
          </w:p>
          <w:p w14:paraId="59FCA28B">
            <w:pPr>
              <w:spacing w:line="246" w:lineRule="auto"/>
              <w:rPr>
                <w:rFonts w:ascii="Arial"/>
                <w:sz w:val="21"/>
              </w:rPr>
            </w:pPr>
          </w:p>
          <w:p w14:paraId="4D4832B1">
            <w:pPr>
              <w:spacing w:line="247" w:lineRule="auto"/>
              <w:rPr>
                <w:rFonts w:ascii="Arial"/>
                <w:sz w:val="21"/>
              </w:rPr>
            </w:pPr>
          </w:p>
          <w:p w14:paraId="70FBFA1C">
            <w:pPr>
              <w:spacing w:before="78" w:line="450" w:lineRule="auto"/>
              <w:ind w:left="111" w:right="105"/>
              <w:rPr>
                <w:rFonts w:ascii="宋体" w:hAnsi="宋体" w:eastAsia="宋体" w:cs="宋体"/>
                <w:sz w:val="24"/>
                <w:szCs w:val="24"/>
              </w:rPr>
            </w:pPr>
            <w:r>
              <w:rPr>
                <w:rFonts w:ascii="宋体" w:hAnsi="宋体" w:eastAsia="宋体" w:cs="宋体"/>
                <w:spacing w:val="-3"/>
                <w:sz w:val="24"/>
                <w:szCs w:val="24"/>
              </w:rPr>
              <w:t>★</w:t>
            </w:r>
            <w:r>
              <w:rPr>
                <w:rFonts w:ascii="宋体" w:hAnsi="宋体" w:eastAsia="宋体" w:cs="宋体"/>
                <w:spacing w:val="-72"/>
                <w:sz w:val="24"/>
                <w:szCs w:val="24"/>
              </w:rPr>
              <w:t xml:space="preserve"> </w:t>
            </w:r>
            <w:r>
              <w:rPr>
                <w:rFonts w:ascii="宋体" w:hAnsi="宋体" w:eastAsia="宋体" w:cs="宋体"/>
                <w:spacing w:val="-3"/>
                <w:sz w:val="24"/>
                <w:szCs w:val="24"/>
              </w:rPr>
              <w:t>纠纷</w:t>
            </w:r>
            <w:r>
              <w:rPr>
                <w:rFonts w:ascii="宋体" w:hAnsi="宋体" w:eastAsia="宋体" w:cs="宋体"/>
                <w:spacing w:val="-72"/>
                <w:sz w:val="24"/>
                <w:szCs w:val="24"/>
              </w:rPr>
              <w:t xml:space="preserve"> </w:t>
            </w:r>
            <w:r>
              <w:rPr>
                <w:rFonts w:ascii="宋体" w:hAnsi="宋体" w:eastAsia="宋体" w:cs="宋体"/>
                <w:spacing w:val="-3"/>
                <w:sz w:val="24"/>
                <w:szCs w:val="24"/>
              </w:rPr>
              <w:t>管</w:t>
            </w:r>
            <w:r>
              <w:rPr>
                <w:rFonts w:ascii="宋体" w:hAnsi="宋体" w:eastAsia="宋体" w:cs="宋体"/>
                <w:sz w:val="24"/>
                <w:szCs w:val="24"/>
              </w:rPr>
              <w:t xml:space="preserve"> 理</w:t>
            </w:r>
          </w:p>
        </w:tc>
        <w:tc>
          <w:tcPr>
            <w:tcW w:w="7743" w:type="dxa"/>
            <w:vAlign w:val="top"/>
          </w:tcPr>
          <w:p w14:paraId="31110267">
            <w:pPr>
              <w:spacing w:before="66" w:line="285" w:lineRule="auto"/>
              <w:ind w:left="108" w:right="101" w:firstLine="16"/>
              <w:rPr>
                <w:rFonts w:ascii="宋体" w:hAnsi="宋体" w:eastAsia="宋体" w:cs="宋体"/>
                <w:sz w:val="21"/>
                <w:szCs w:val="21"/>
              </w:rPr>
            </w:pPr>
            <w:r>
              <w:rPr>
                <w:rFonts w:ascii="宋体" w:hAnsi="宋体" w:eastAsia="宋体" w:cs="宋体"/>
                <w:spacing w:val="1"/>
                <w:sz w:val="21"/>
                <w:szCs w:val="21"/>
              </w:rPr>
              <w:t>1．纠纷登记包括类型、流程类型、响应级别、响应天数、投诉对象类型、投诉科</w:t>
            </w:r>
            <w:r>
              <w:rPr>
                <w:rFonts w:ascii="宋体" w:hAnsi="宋体" w:eastAsia="宋体" w:cs="宋体"/>
                <w:spacing w:val="13"/>
                <w:sz w:val="21"/>
                <w:szCs w:val="21"/>
              </w:rPr>
              <w:t xml:space="preserve"> </w:t>
            </w:r>
            <w:r>
              <w:rPr>
                <w:rFonts w:ascii="宋体" w:hAnsi="宋体" w:eastAsia="宋体" w:cs="宋体"/>
                <w:spacing w:val="-1"/>
                <w:sz w:val="21"/>
                <w:szCs w:val="21"/>
              </w:rPr>
              <w:t>室、被投诉个人、受理人、投诉渠道、投诉人、投诉人性别、职业、气质类</w:t>
            </w:r>
            <w:r>
              <w:rPr>
                <w:rFonts w:ascii="宋体" w:hAnsi="宋体" w:eastAsia="宋体" w:cs="宋体"/>
                <w:spacing w:val="-2"/>
                <w:sz w:val="21"/>
                <w:szCs w:val="21"/>
              </w:rPr>
              <w:t>型、年</w:t>
            </w:r>
            <w:r>
              <w:rPr>
                <w:rFonts w:ascii="宋体" w:hAnsi="宋体" w:eastAsia="宋体" w:cs="宋体"/>
                <w:sz w:val="21"/>
                <w:szCs w:val="21"/>
              </w:rPr>
              <w:t xml:space="preserve"> </w:t>
            </w:r>
            <w:r>
              <w:rPr>
                <w:rFonts w:ascii="宋体" w:hAnsi="宋体" w:eastAsia="宋体" w:cs="宋体"/>
                <w:spacing w:val="-1"/>
                <w:sz w:val="21"/>
                <w:szCs w:val="21"/>
              </w:rPr>
              <w:t>龄、投诉时间、联系电话、与患者关系、投诉人备注、患者姓名、患者性别</w:t>
            </w:r>
            <w:r>
              <w:rPr>
                <w:rFonts w:ascii="宋体" w:hAnsi="宋体" w:eastAsia="宋体" w:cs="宋体"/>
                <w:spacing w:val="-2"/>
                <w:sz w:val="21"/>
                <w:szCs w:val="21"/>
              </w:rPr>
              <w:t>、住院</w:t>
            </w:r>
            <w:r>
              <w:rPr>
                <w:rFonts w:ascii="宋体" w:hAnsi="宋体" w:eastAsia="宋体" w:cs="宋体"/>
                <w:sz w:val="21"/>
                <w:szCs w:val="21"/>
              </w:rPr>
              <w:t xml:space="preserve"> </w:t>
            </w:r>
            <w:r>
              <w:rPr>
                <w:rFonts w:ascii="宋体" w:hAnsi="宋体" w:eastAsia="宋体" w:cs="宋体"/>
                <w:spacing w:val="-1"/>
                <w:sz w:val="21"/>
                <w:szCs w:val="21"/>
              </w:rPr>
              <w:t>号、入院时间、住院天数、费用总额、主要诊断、手术与操作、出院方式、</w:t>
            </w:r>
            <w:r>
              <w:rPr>
                <w:rFonts w:ascii="宋体" w:hAnsi="宋体" w:eastAsia="宋体" w:cs="宋体"/>
                <w:spacing w:val="-2"/>
                <w:sz w:val="21"/>
                <w:szCs w:val="21"/>
              </w:rPr>
              <w:t>事发时</w:t>
            </w:r>
            <w:r>
              <w:rPr>
                <w:rFonts w:ascii="宋体" w:hAnsi="宋体" w:eastAsia="宋体" w:cs="宋体"/>
                <w:sz w:val="21"/>
                <w:szCs w:val="21"/>
              </w:rPr>
              <w:t xml:space="preserve"> </w:t>
            </w:r>
            <w:r>
              <w:rPr>
                <w:rFonts w:ascii="宋体" w:hAnsi="宋体" w:eastAsia="宋体" w:cs="宋体"/>
                <w:spacing w:val="-2"/>
                <w:sz w:val="21"/>
                <w:szCs w:val="21"/>
              </w:rPr>
              <w:t>间、诉求类型、具体诉求、投诉内容，支持上传佐证材料。</w:t>
            </w:r>
          </w:p>
          <w:p w14:paraId="67371B6C">
            <w:pPr>
              <w:spacing w:before="93" w:line="274" w:lineRule="auto"/>
              <w:ind w:left="109" w:right="27" w:firstLine="2"/>
              <w:rPr>
                <w:rFonts w:ascii="宋体" w:hAnsi="宋体" w:eastAsia="宋体" w:cs="宋体"/>
                <w:sz w:val="21"/>
                <w:szCs w:val="21"/>
              </w:rPr>
            </w:pPr>
            <w:r>
              <w:rPr>
                <w:rFonts w:ascii="宋体" w:hAnsi="宋体" w:eastAsia="宋体" w:cs="宋体"/>
                <w:spacing w:val="-2"/>
                <w:sz w:val="21"/>
                <w:szCs w:val="21"/>
              </w:rPr>
              <w:t>2．登记各处理环节具体情况在科室调解至医院调解阶段，登记内容包括调查时间、</w:t>
            </w:r>
            <w:r>
              <w:rPr>
                <w:rFonts w:ascii="宋体" w:hAnsi="宋体" w:eastAsia="宋体" w:cs="宋体"/>
                <w:spacing w:val="1"/>
                <w:sz w:val="21"/>
                <w:szCs w:val="21"/>
              </w:rPr>
              <w:t xml:space="preserve"> </w:t>
            </w:r>
            <w:r>
              <w:rPr>
                <w:rFonts w:ascii="宋体" w:hAnsi="宋体" w:eastAsia="宋体" w:cs="宋体"/>
                <w:sz w:val="21"/>
                <w:szCs w:val="21"/>
              </w:rPr>
              <w:t xml:space="preserve">事件调查、调查结论、责任人意见、患者意见、调解结果、处理方式、调解日期、 </w:t>
            </w:r>
            <w:r>
              <w:rPr>
                <w:rFonts w:ascii="宋体" w:hAnsi="宋体" w:eastAsia="宋体" w:cs="宋体"/>
                <w:spacing w:val="-4"/>
                <w:sz w:val="21"/>
                <w:szCs w:val="21"/>
              </w:rPr>
              <w:t>调解机构、调解结论。</w:t>
            </w:r>
          </w:p>
          <w:p w14:paraId="32D21B92">
            <w:pPr>
              <w:spacing w:before="93" w:line="274" w:lineRule="auto"/>
              <w:ind w:left="108" w:right="102" w:firstLine="5"/>
              <w:rPr>
                <w:rFonts w:ascii="宋体" w:hAnsi="宋体" w:eastAsia="宋体" w:cs="宋体"/>
                <w:sz w:val="21"/>
                <w:szCs w:val="21"/>
              </w:rPr>
            </w:pPr>
            <w:r>
              <w:rPr>
                <w:rFonts w:ascii="宋体" w:hAnsi="宋体" w:eastAsia="宋体" w:cs="宋体"/>
                <w:spacing w:val="2"/>
                <w:sz w:val="21"/>
                <w:szCs w:val="21"/>
              </w:rPr>
              <w:t>3．如进入法律诉讼环节，支持登记调解协议，包括处理</w:t>
            </w:r>
            <w:r>
              <w:rPr>
                <w:rFonts w:ascii="宋体" w:hAnsi="宋体" w:eastAsia="宋体" w:cs="宋体"/>
                <w:spacing w:val="1"/>
                <w:sz w:val="21"/>
                <w:szCs w:val="21"/>
              </w:rPr>
              <w:t>阶段、提案日期、法院名</w:t>
            </w:r>
            <w:r>
              <w:rPr>
                <w:rFonts w:ascii="宋体" w:hAnsi="宋体" w:eastAsia="宋体" w:cs="宋体"/>
                <w:sz w:val="21"/>
                <w:szCs w:val="21"/>
              </w:rPr>
              <w:t xml:space="preserve"> </w:t>
            </w:r>
            <w:r>
              <w:rPr>
                <w:rFonts w:ascii="宋体" w:hAnsi="宋体" w:eastAsia="宋体" w:cs="宋体"/>
                <w:spacing w:val="-1"/>
                <w:sz w:val="21"/>
                <w:szCs w:val="21"/>
              </w:rPr>
              <w:t>称、法官、患方律师、患方律师电话、院方律师、院方律师电话、诉讼费、</w:t>
            </w:r>
            <w:r>
              <w:rPr>
                <w:rFonts w:ascii="宋体" w:hAnsi="宋体" w:eastAsia="宋体" w:cs="宋体"/>
                <w:spacing w:val="-2"/>
                <w:sz w:val="21"/>
                <w:szCs w:val="21"/>
              </w:rPr>
              <w:t>科室确</w:t>
            </w:r>
            <w:r>
              <w:rPr>
                <w:rFonts w:ascii="宋体" w:hAnsi="宋体" w:eastAsia="宋体" w:cs="宋体"/>
                <w:sz w:val="21"/>
                <w:szCs w:val="21"/>
              </w:rPr>
              <w:t xml:space="preserve"> </w:t>
            </w:r>
            <w:r>
              <w:rPr>
                <w:rFonts w:ascii="宋体" w:hAnsi="宋体" w:eastAsia="宋体" w:cs="宋体"/>
                <w:spacing w:val="-1"/>
                <w:sz w:val="21"/>
                <w:szCs w:val="21"/>
              </w:rPr>
              <w:t>认信息、保险信息、司法鉴定信息、裁决信息、科室改进意见，支持上传</w:t>
            </w:r>
            <w:r>
              <w:rPr>
                <w:rFonts w:ascii="宋体" w:hAnsi="宋体" w:eastAsia="宋体" w:cs="宋体"/>
                <w:spacing w:val="-2"/>
                <w:sz w:val="21"/>
                <w:szCs w:val="21"/>
              </w:rPr>
              <w:t>附件。</w:t>
            </w:r>
          </w:p>
          <w:p w14:paraId="1C22B147">
            <w:pPr>
              <w:spacing w:before="93" w:line="220" w:lineRule="auto"/>
              <w:ind w:left="108"/>
              <w:rPr>
                <w:rFonts w:ascii="宋体" w:hAnsi="宋体" w:eastAsia="宋体" w:cs="宋体"/>
                <w:sz w:val="21"/>
                <w:szCs w:val="21"/>
              </w:rPr>
            </w:pPr>
            <w:r>
              <w:rPr>
                <w:rFonts w:ascii="宋体" w:hAnsi="宋体" w:eastAsia="宋体" w:cs="宋体"/>
                <w:spacing w:val="-2"/>
                <w:sz w:val="21"/>
                <w:szCs w:val="21"/>
              </w:rPr>
              <w:t>4．可将某一条诉讼记录设置为典型案例。</w:t>
            </w:r>
          </w:p>
          <w:p w14:paraId="684A385C">
            <w:pPr>
              <w:spacing w:before="92" w:line="220" w:lineRule="auto"/>
              <w:ind w:left="113"/>
              <w:rPr>
                <w:rFonts w:ascii="宋体" w:hAnsi="宋体" w:eastAsia="宋体" w:cs="宋体"/>
                <w:sz w:val="21"/>
                <w:szCs w:val="21"/>
              </w:rPr>
            </w:pPr>
            <w:r>
              <w:rPr>
                <w:rFonts w:ascii="宋体" w:hAnsi="宋体" w:eastAsia="宋体" w:cs="宋体"/>
                <w:spacing w:val="-2"/>
                <w:sz w:val="21"/>
                <w:szCs w:val="21"/>
              </w:rPr>
              <w:t>5．支持登记对当事医生的惩罚措施，并自动写入医师档案。</w:t>
            </w:r>
          </w:p>
        </w:tc>
      </w:tr>
      <w:tr w14:paraId="2F6E0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83" w:type="dxa"/>
            <w:vAlign w:val="top"/>
          </w:tcPr>
          <w:p w14:paraId="03D12013">
            <w:pPr>
              <w:spacing w:before="267" w:line="181" w:lineRule="auto"/>
              <w:ind w:left="284"/>
              <w:rPr>
                <w:rFonts w:ascii="宋体" w:hAnsi="宋体" w:eastAsia="宋体" w:cs="宋体"/>
                <w:sz w:val="24"/>
                <w:szCs w:val="24"/>
              </w:rPr>
            </w:pPr>
            <w:r>
              <w:rPr>
                <w:rFonts w:ascii="宋体" w:hAnsi="宋体" w:eastAsia="宋体" w:cs="宋体"/>
                <w:sz w:val="24"/>
                <w:szCs w:val="24"/>
              </w:rPr>
              <w:t>3</w:t>
            </w:r>
          </w:p>
        </w:tc>
        <w:tc>
          <w:tcPr>
            <w:tcW w:w="1273" w:type="dxa"/>
            <w:vAlign w:val="top"/>
          </w:tcPr>
          <w:p w14:paraId="44A26A45">
            <w:pPr>
              <w:spacing w:before="227" w:line="220" w:lineRule="auto"/>
              <w:ind w:left="110"/>
              <w:rPr>
                <w:rFonts w:ascii="宋体" w:hAnsi="宋体" w:eastAsia="宋体" w:cs="宋体"/>
                <w:sz w:val="24"/>
                <w:szCs w:val="24"/>
              </w:rPr>
            </w:pPr>
            <w:r>
              <w:rPr>
                <w:rFonts w:ascii="宋体" w:hAnsi="宋体" w:eastAsia="宋体" w:cs="宋体"/>
                <w:spacing w:val="-3"/>
                <w:sz w:val="24"/>
                <w:szCs w:val="24"/>
              </w:rPr>
              <w:t>案例分析</w:t>
            </w:r>
          </w:p>
        </w:tc>
        <w:tc>
          <w:tcPr>
            <w:tcW w:w="7743" w:type="dxa"/>
            <w:vAlign w:val="top"/>
          </w:tcPr>
          <w:p w14:paraId="06FB6504">
            <w:pPr>
              <w:spacing w:before="70" w:line="220" w:lineRule="auto"/>
              <w:ind w:left="124"/>
              <w:rPr>
                <w:rFonts w:ascii="宋体" w:hAnsi="宋体" w:eastAsia="宋体" w:cs="宋体"/>
                <w:sz w:val="21"/>
                <w:szCs w:val="21"/>
              </w:rPr>
            </w:pPr>
            <w:r>
              <w:rPr>
                <w:rFonts w:ascii="宋体" w:hAnsi="宋体" w:eastAsia="宋体" w:cs="宋体"/>
                <w:spacing w:val="-3"/>
                <w:sz w:val="21"/>
                <w:szCs w:val="21"/>
              </w:rPr>
              <w:t>1．支持使用鱼骨图、树图对典型案例进行根因分析。</w:t>
            </w:r>
          </w:p>
          <w:p w14:paraId="4767B839">
            <w:pPr>
              <w:spacing w:before="92" w:line="220" w:lineRule="auto"/>
              <w:ind w:left="111"/>
              <w:rPr>
                <w:rFonts w:ascii="宋体" w:hAnsi="宋体" w:eastAsia="宋体" w:cs="宋体"/>
                <w:sz w:val="21"/>
                <w:szCs w:val="21"/>
              </w:rPr>
            </w:pPr>
            <w:r>
              <w:rPr>
                <w:rFonts w:ascii="宋体" w:hAnsi="宋体" w:eastAsia="宋体" w:cs="宋体"/>
                <w:spacing w:val="-3"/>
                <w:sz w:val="21"/>
                <w:szCs w:val="21"/>
              </w:rPr>
              <w:t>2．鱼骨图分析结果可保存。</w:t>
            </w:r>
          </w:p>
        </w:tc>
      </w:tr>
      <w:tr w14:paraId="21DE2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83" w:type="dxa"/>
            <w:vAlign w:val="top"/>
          </w:tcPr>
          <w:p w14:paraId="64243AE2">
            <w:pPr>
              <w:spacing w:before="268" w:line="181" w:lineRule="auto"/>
              <w:ind w:left="278"/>
              <w:rPr>
                <w:rFonts w:ascii="宋体" w:hAnsi="宋体" w:eastAsia="宋体" w:cs="宋体"/>
                <w:sz w:val="24"/>
                <w:szCs w:val="24"/>
              </w:rPr>
            </w:pPr>
            <w:r>
              <w:rPr>
                <w:rFonts w:ascii="宋体" w:hAnsi="宋体" w:eastAsia="宋体" w:cs="宋体"/>
                <w:sz w:val="24"/>
                <w:szCs w:val="24"/>
              </w:rPr>
              <w:t>4</w:t>
            </w:r>
          </w:p>
        </w:tc>
        <w:tc>
          <w:tcPr>
            <w:tcW w:w="1273" w:type="dxa"/>
            <w:vAlign w:val="top"/>
          </w:tcPr>
          <w:p w14:paraId="444C1E74">
            <w:pPr>
              <w:spacing w:before="227" w:line="220" w:lineRule="auto"/>
              <w:ind w:left="114"/>
              <w:rPr>
                <w:rFonts w:ascii="宋体" w:hAnsi="宋体" w:eastAsia="宋体" w:cs="宋体"/>
                <w:sz w:val="24"/>
                <w:szCs w:val="24"/>
              </w:rPr>
            </w:pPr>
            <w:r>
              <w:rPr>
                <w:rFonts w:ascii="宋体" w:hAnsi="宋体" w:eastAsia="宋体" w:cs="宋体"/>
                <w:spacing w:val="-3"/>
                <w:sz w:val="24"/>
                <w:szCs w:val="24"/>
              </w:rPr>
              <w:t>统计分析</w:t>
            </w:r>
          </w:p>
        </w:tc>
        <w:tc>
          <w:tcPr>
            <w:tcW w:w="7743" w:type="dxa"/>
            <w:vAlign w:val="top"/>
          </w:tcPr>
          <w:p w14:paraId="34128B23">
            <w:pPr>
              <w:spacing w:before="70" w:line="220" w:lineRule="auto"/>
              <w:ind w:left="124"/>
              <w:rPr>
                <w:rFonts w:ascii="宋体" w:hAnsi="宋体" w:eastAsia="宋体" w:cs="宋体"/>
                <w:sz w:val="21"/>
                <w:szCs w:val="21"/>
              </w:rPr>
            </w:pPr>
            <w:r>
              <w:rPr>
                <w:rFonts w:ascii="宋体" w:hAnsi="宋体" w:eastAsia="宋体" w:cs="宋体"/>
                <w:spacing w:val="-2"/>
                <w:sz w:val="21"/>
                <w:szCs w:val="21"/>
              </w:rPr>
              <w:t>1．统计投诉纠纷总人次、院内调解成功率、行政调解次数、法律诉讼案件数。</w:t>
            </w:r>
          </w:p>
          <w:p w14:paraId="0567F12F">
            <w:pPr>
              <w:spacing w:before="92" w:line="219" w:lineRule="auto"/>
              <w:ind w:left="111"/>
              <w:rPr>
                <w:rFonts w:ascii="宋体" w:hAnsi="宋体" w:eastAsia="宋体" w:cs="宋体"/>
                <w:sz w:val="21"/>
                <w:szCs w:val="21"/>
              </w:rPr>
            </w:pPr>
            <w:r>
              <w:rPr>
                <w:rFonts w:ascii="宋体" w:hAnsi="宋体" w:eastAsia="宋体" w:cs="宋体"/>
                <w:spacing w:val="-1"/>
                <w:sz w:val="21"/>
                <w:szCs w:val="21"/>
              </w:rPr>
              <w:t>2．统计投诉纠纷事件科室分布、等级分布</w:t>
            </w:r>
            <w:r>
              <w:rPr>
                <w:rFonts w:ascii="宋体" w:hAnsi="宋体" w:eastAsia="宋体" w:cs="宋体"/>
                <w:spacing w:val="-2"/>
                <w:sz w:val="21"/>
                <w:szCs w:val="21"/>
              </w:rPr>
              <w:t>、发生趋势、处理结果。</w:t>
            </w:r>
          </w:p>
        </w:tc>
      </w:tr>
      <w:tr w14:paraId="2E517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799" w:type="dxa"/>
            <w:gridSpan w:val="3"/>
            <w:vAlign w:val="top"/>
          </w:tcPr>
          <w:p w14:paraId="0B925479">
            <w:pPr>
              <w:spacing w:before="183" w:line="221" w:lineRule="auto"/>
              <w:ind w:left="4223"/>
              <w:rPr>
                <w:rFonts w:ascii="宋体" w:hAnsi="宋体" w:eastAsia="宋体" w:cs="宋体"/>
                <w:sz w:val="24"/>
                <w:szCs w:val="24"/>
              </w:rPr>
            </w:pPr>
            <w:r>
              <w:rPr>
                <w:rFonts w:ascii="宋体" w:hAnsi="宋体" w:eastAsia="宋体" w:cs="宋体"/>
                <w:b/>
                <w:bCs/>
                <w:spacing w:val="-10"/>
                <w:sz w:val="24"/>
                <w:szCs w:val="24"/>
              </w:rPr>
              <w:t>(十)系统配置</w:t>
            </w:r>
          </w:p>
        </w:tc>
      </w:tr>
      <w:tr w14:paraId="2C05C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83" w:type="dxa"/>
            <w:vAlign w:val="top"/>
          </w:tcPr>
          <w:p w14:paraId="70C2E989">
            <w:pPr>
              <w:spacing w:before="223" w:line="182" w:lineRule="auto"/>
              <w:ind w:left="297"/>
              <w:rPr>
                <w:rFonts w:ascii="宋体" w:hAnsi="宋体" w:eastAsia="宋体" w:cs="宋体"/>
                <w:sz w:val="24"/>
                <w:szCs w:val="24"/>
              </w:rPr>
            </w:pPr>
            <w:r>
              <w:rPr>
                <w:rFonts w:ascii="宋体" w:hAnsi="宋体" w:eastAsia="宋体" w:cs="宋体"/>
                <w:sz w:val="24"/>
                <w:szCs w:val="24"/>
              </w:rPr>
              <w:t>1</w:t>
            </w:r>
          </w:p>
        </w:tc>
        <w:tc>
          <w:tcPr>
            <w:tcW w:w="1273" w:type="dxa"/>
            <w:vAlign w:val="top"/>
          </w:tcPr>
          <w:p w14:paraId="7799F83B">
            <w:pPr>
              <w:spacing w:before="184" w:line="220" w:lineRule="auto"/>
              <w:ind w:left="109"/>
              <w:rPr>
                <w:rFonts w:ascii="宋体" w:hAnsi="宋体" w:eastAsia="宋体" w:cs="宋体"/>
                <w:sz w:val="24"/>
                <w:szCs w:val="24"/>
              </w:rPr>
            </w:pPr>
            <w:r>
              <w:rPr>
                <w:rFonts w:ascii="宋体" w:hAnsi="宋体" w:eastAsia="宋体" w:cs="宋体"/>
                <w:spacing w:val="-2"/>
                <w:sz w:val="24"/>
                <w:szCs w:val="24"/>
              </w:rPr>
              <w:t>整体架构</w:t>
            </w:r>
          </w:p>
        </w:tc>
        <w:tc>
          <w:tcPr>
            <w:tcW w:w="7743" w:type="dxa"/>
            <w:vAlign w:val="top"/>
          </w:tcPr>
          <w:p w14:paraId="00D2B3C7">
            <w:pPr>
              <w:spacing w:before="178" w:line="219" w:lineRule="auto"/>
              <w:ind w:left="124"/>
              <w:rPr>
                <w:rFonts w:ascii="宋体" w:hAnsi="宋体" w:eastAsia="宋体" w:cs="宋体"/>
                <w:sz w:val="21"/>
                <w:szCs w:val="21"/>
              </w:rPr>
            </w:pPr>
            <w:r>
              <w:rPr>
                <w:rFonts w:ascii="宋体" w:hAnsi="宋体" w:eastAsia="宋体" w:cs="宋体"/>
                <w:spacing w:val="-3"/>
                <w:sz w:val="21"/>
                <w:szCs w:val="21"/>
              </w:rPr>
              <w:t>1．系统采用</w:t>
            </w:r>
            <w:r>
              <w:rPr>
                <w:rFonts w:ascii="宋体" w:hAnsi="宋体" w:eastAsia="宋体" w:cs="宋体"/>
                <w:spacing w:val="-40"/>
                <w:sz w:val="21"/>
                <w:szCs w:val="21"/>
              </w:rPr>
              <w:t xml:space="preserve"> </w:t>
            </w:r>
            <w:r>
              <w:rPr>
                <w:rFonts w:ascii="宋体" w:hAnsi="宋体" w:eastAsia="宋体" w:cs="宋体"/>
                <w:spacing w:val="-3"/>
                <w:sz w:val="21"/>
                <w:szCs w:val="21"/>
              </w:rPr>
              <w:t>B/S</w:t>
            </w:r>
            <w:r>
              <w:rPr>
                <w:rFonts w:ascii="宋体" w:hAnsi="宋体" w:eastAsia="宋体" w:cs="宋体"/>
                <w:spacing w:val="-43"/>
                <w:sz w:val="21"/>
                <w:szCs w:val="21"/>
              </w:rPr>
              <w:t xml:space="preserve"> </w:t>
            </w:r>
            <w:r>
              <w:rPr>
                <w:rFonts w:ascii="宋体" w:hAnsi="宋体" w:eastAsia="宋体" w:cs="宋体"/>
                <w:spacing w:val="-3"/>
                <w:sz w:val="21"/>
                <w:szCs w:val="21"/>
              </w:rPr>
              <w:t>架构，无需下载任何控件即可使用。</w:t>
            </w:r>
          </w:p>
        </w:tc>
      </w:tr>
      <w:tr w14:paraId="0C12D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783" w:type="dxa"/>
            <w:vAlign w:val="top"/>
          </w:tcPr>
          <w:p w14:paraId="0F5E3C25">
            <w:pPr>
              <w:spacing w:line="317" w:lineRule="auto"/>
              <w:rPr>
                <w:rFonts w:ascii="Arial"/>
                <w:sz w:val="21"/>
              </w:rPr>
            </w:pPr>
          </w:p>
          <w:p w14:paraId="4F1874A5">
            <w:pPr>
              <w:spacing w:before="78" w:line="181" w:lineRule="auto"/>
              <w:ind w:left="282"/>
              <w:rPr>
                <w:rFonts w:ascii="宋体" w:hAnsi="宋体" w:eastAsia="宋体" w:cs="宋体"/>
                <w:sz w:val="24"/>
                <w:szCs w:val="24"/>
              </w:rPr>
            </w:pPr>
            <w:r>
              <w:rPr>
                <w:rFonts w:ascii="宋体" w:hAnsi="宋体" w:eastAsia="宋体" w:cs="宋体"/>
                <w:sz w:val="24"/>
                <w:szCs w:val="24"/>
              </w:rPr>
              <w:t>2</w:t>
            </w:r>
          </w:p>
        </w:tc>
        <w:tc>
          <w:tcPr>
            <w:tcW w:w="1273" w:type="dxa"/>
            <w:vAlign w:val="top"/>
          </w:tcPr>
          <w:p w14:paraId="494062F8">
            <w:pPr>
              <w:spacing w:line="277" w:lineRule="auto"/>
              <w:rPr>
                <w:rFonts w:ascii="Arial"/>
                <w:sz w:val="21"/>
              </w:rPr>
            </w:pPr>
          </w:p>
          <w:p w14:paraId="02F3C223">
            <w:pPr>
              <w:spacing w:before="78" w:line="218" w:lineRule="auto"/>
              <w:ind w:left="115"/>
              <w:rPr>
                <w:rFonts w:ascii="宋体" w:hAnsi="宋体" w:eastAsia="宋体" w:cs="宋体"/>
                <w:sz w:val="24"/>
                <w:szCs w:val="24"/>
              </w:rPr>
            </w:pPr>
            <w:r>
              <w:rPr>
                <w:rFonts w:ascii="宋体" w:hAnsi="宋体" w:eastAsia="宋体" w:cs="宋体"/>
                <w:spacing w:val="-4"/>
                <w:sz w:val="24"/>
                <w:szCs w:val="24"/>
              </w:rPr>
              <w:t>公告管理</w:t>
            </w:r>
          </w:p>
        </w:tc>
        <w:tc>
          <w:tcPr>
            <w:tcW w:w="7743" w:type="dxa"/>
            <w:vAlign w:val="top"/>
          </w:tcPr>
          <w:p w14:paraId="26DF1A80">
            <w:pPr>
              <w:spacing w:before="38" w:line="219" w:lineRule="auto"/>
              <w:ind w:left="124"/>
              <w:rPr>
                <w:rFonts w:ascii="宋体" w:hAnsi="宋体" w:eastAsia="宋体" w:cs="宋体"/>
                <w:sz w:val="21"/>
                <w:szCs w:val="21"/>
              </w:rPr>
            </w:pPr>
            <w:r>
              <w:rPr>
                <w:rFonts w:ascii="宋体" w:hAnsi="宋体" w:eastAsia="宋体" w:cs="宋体"/>
                <w:spacing w:val="-2"/>
                <w:sz w:val="21"/>
                <w:szCs w:val="21"/>
              </w:rPr>
              <w:t>1．在政策发布、新技术申请文档时可自动产生站内消息并推送给指定人员。</w:t>
            </w:r>
          </w:p>
          <w:p w14:paraId="52DAA322">
            <w:pPr>
              <w:spacing w:before="64" w:line="219" w:lineRule="auto"/>
              <w:ind w:left="111"/>
              <w:rPr>
                <w:rFonts w:ascii="宋体" w:hAnsi="宋体" w:eastAsia="宋体" w:cs="宋体"/>
                <w:sz w:val="21"/>
                <w:szCs w:val="21"/>
              </w:rPr>
            </w:pPr>
            <w:r>
              <w:rPr>
                <w:rFonts w:ascii="宋体" w:hAnsi="宋体" w:eastAsia="宋体" w:cs="宋体"/>
                <w:spacing w:val="-1"/>
                <w:sz w:val="21"/>
                <w:szCs w:val="21"/>
              </w:rPr>
              <w:t>2．消息定义支持附件上传，查看消息可预览</w:t>
            </w:r>
            <w:r>
              <w:rPr>
                <w:rFonts w:ascii="宋体" w:hAnsi="宋体" w:eastAsia="宋体" w:cs="宋体"/>
                <w:spacing w:val="-48"/>
                <w:sz w:val="21"/>
                <w:szCs w:val="21"/>
              </w:rPr>
              <w:t xml:space="preserve"> </w:t>
            </w:r>
            <w:r>
              <w:rPr>
                <w:rFonts w:ascii="宋体" w:hAnsi="宋体" w:eastAsia="宋体" w:cs="宋体"/>
                <w:spacing w:val="-1"/>
                <w:sz w:val="21"/>
                <w:szCs w:val="21"/>
              </w:rPr>
              <w:t>PD</w:t>
            </w:r>
            <w:r>
              <w:rPr>
                <w:rFonts w:ascii="宋体" w:hAnsi="宋体" w:eastAsia="宋体" w:cs="宋体"/>
                <w:spacing w:val="-2"/>
                <w:sz w:val="21"/>
                <w:szCs w:val="21"/>
              </w:rPr>
              <w:t>F、图片等格式的附件。</w:t>
            </w:r>
          </w:p>
          <w:p w14:paraId="0051BE96">
            <w:pPr>
              <w:spacing w:before="64" w:line="219" w:lineRule="auto"/>
              <w:ind w:left="113"/>
              <w:rPr>
                <w:rFonts w:ascii="宋体" w:hAnsi="宋体" w:eastAsia="宋体" w:cs="宋体"/>
                <w:sz w:val="21"/>
                <w:szCs w:val="21"/>
              </w:rPr>
            </w:pPr>
            <w:r>
              <w:rPr>
                <w:rFonts w:ascii="宋体" w:hAnsi="宋体" w:eastAsia="宋体" w:cs="宋体"/>
                <w:spacing w:val="-3"/>
                <w:sz w:val="21"/>
                <w:szCs w:val="21"/>
              </w:rPr>
              <w:t>3．消息定义时可按角色指定发送对象。</w:t>
            </w:r>
          </w:p>
        </w:tc>
      </w:tr>
    </w:tbl>
    <w:p w14:paraId="24A5C417">
      <w:pPr>
        <w:pStyle w:val="2"/>
        <w:spacing w:line="264" w:lineRule="auto"/>
      </w:pPr>
    </w:p>
    <w:p w14:paraId="58C1D12A">
      <w:pPr>
        <w:pStyle w:val="2"/>
        <w:spacing w:line="265" w:lineRule="auto"/>
      </w:pPr>
    </w:p>
    <w:p w14:paraId="4E6F84DD">
      <w:pPr>
        <w:spacing w:before="62" w:line="209" w:lineRule="auto"/>
        <w:ind w:left="148"/>
        <w:rPr>
          <w:rFonts w:ascii="宋体" w:hAnsi="宋体" w:eastAsia="宋体" w:cs="宋体"/>
          <w:sz w:val="19"/>
          <w:szCs w:val="19"/>
        </w:rPr>
      </w:pPr>
      <w:r>
        <w:pict>
          <v:shape id="_x0000_s1052" o:spid="_x0000_s1052" style="position:absolute;left:0pt;margin-left:1.95pt;margin-top:11.85pt;height:0.75pt;width:494pt;z-index:251697152;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32                                </w:t>
      </w:r>
      <w:r>
        <w:rPr>
          <w:rFonts w:ascii="宋体" w:hAnsi="宋体" w:eastAsia="宋体" w:cs="宋体"/>
          <w:b/>
          <w:bCs/>
          <w:i/>
          <w:iCs/>
          <w:spacing w:val="-3"/>
          <w:sz w:val="19"/>
          <w:szCs w:val="19"/>
        </w:rPr>
        <w:t>伊犁州公共资源交易中心</w:t>
      </w:r>
    </w:p>
    <w:p w14:paraId="1B7C6080">
      <w:pPr>
        <w:spacing w:line="209" w:lineRule="auto"/>
        <w:rPr>
          <w:rFonts w:ascii="宋体" w:hAnsi="宋体" w:eastAsia="宋体" w:cs="宋体"/>
          <w:sz w:val="19"/>
          <w:szCs w:val="19"/>
        </w:rPr>
        <w:sectPr>
          <w:pgSz w:w="11905" w:h="16839"/>
          <w:pgMar w:top="1136" w:right="830" w:bottom="400" w:left="1126" w:header="854" w:footer="0" w:gutter="0"/>
          <w:cols w:space="720" w:num="1"/>
        </w:sectPr>
      </w:pPr>
    </w:p>
    <w:p w14:paraId="69546E5B">
      <w:pPr>
        <w:spacing w:before="38"/>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3"/>
        <w:gridCol w:w="7743"/>
      </w:tblGrid>
      <w:tr w14:paraId="62D1F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3" w:type="dxa"/>
            <w:vAlign w:val="top"/>
          </w:tcPr>
          <w:p w14:paraId="284ADD36">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6A19912B">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08466780">
            <w:pPr>
              <w:spacing w:before="179"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570FA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1" w:hRule="atLeast"/>
        </w:trPr>
        <w:tc>
          <w:tcPr>
            <w:tcW w:w="783" w:type="dxa"/>
            <w:vAlign w:val="top"/>
          </w:tcPr>
          <w:p w14:paraId="5BD64699">
            <w:pPr>
              <w:spacing w:line="252" w:lineRule="auto"/>
              <w:rPr>
                <w:rFonts w:ascii="Arial"/>
                <w:sz w:val="21"/>
              </w:rPr>
            </w:pPr>
          </w:p>
          <w:p w14:paraId="6B5CA230">
            <w:pPr>
              <w:spacing w:line="252" w:lineRule="auto"/>
              <w:rPr>
                <w:rFonts w:ascii="Arial"/>
                <w:sz w:val="21"/>
              </w:rPr>
            </w:pPr>
          </w:p>
          <w:p w14:paraId="2D3E60E2">
            <w:pPr>
              <w:spacing w:line="252" w:lineRule="auto"/>
              <w:rPr>
                <w:rFonts w:ascii="Arial"/>
                <w:sz w:val="21"/>
              </w:rPr>
            </w:pPr>
          </w:p>
          <w:p w14:paraId="2B018099">
            <w:pPr>
              <w:spacing w:line="252" w:lineRule="auto"/>
              <w:rPr>
                <w:rFonts w:ascii="Arial"/>
                <w:sz w:val="21"/>
              </w:rPr>
            </w:pPr>
          </w:p>
          <w:p w14:paraId="4DBF51C2">
            <w:pPr>
              <w:spacing w:line="253" w:lineRule="auto"/>
              <w:rPr>
                <w:rFonts w:ascii="Arial"/>
                <w:sz w:val="21"/>
              </w:rPr>
            </w:pPr>
          </w:p>
          <w:p w14:paraId="15D2BE9C">
            <w:pPr>
              <w:spacing w:line="253" w:lineRule="auto"/>
              <w:rPr>
                <w:rFonts w:ascii="Arial"/>
                <w:sz w:val="21"/>
              </w:rPr>
            </w:pPr>
          </w:p>
          <w:p w14:paraId="5A821677">
            <w:pPr>
              <w:spacing w:line="253" w:lineRule="auto"/>
              <w:rPr>
                <w:rFonts w:ascii="Arial"/>
                <w:sz w:val="21"/>
              </w:rPr>
            </w:pPr>
          </w:p>
          <w:p w14:paraId="675D8AF8">
            <w:pPr>
              <w:spacing w:line="253" w:lineRule="auto"/>
              <w:rPr>
                <w:rFonts w:ascii="Arial"/>
                <w:sz w:val="21"/>
              </w:rPr>
            </w:pPr>
          </w:p>
          <w:p w14:paraId="7C9C1F08">
            <w:pPr>
              <w:spacing w:before="78" w:line="181" w:lineRule="auto"/>
              <w:ind w:left="284"/>
              <w:rPr>
                <w:rFonts w:ascii="宋体" w:hAnsi="宋体" w:eastAsia="宋体" w:cs="宋体"/>
                <w:sz w:val="24"/>
                <w:szCs w:val="24"/>
              </w:rPr>
            </w:pPr>
            <w:r>
              <w:rPr>
                <w:rFonts w:ascii="宋体" w:hAnsi="宋体" w:eastAsia="宋体" w:cs="宋体"/>
                <w:sz w:val="24"/>
                <w:szCs w:val="24"/>
              </w:rPr>
              <w:t>3</w:t>
            </w:r>
          </w:p>
        </w:tc>
        <w:tc>
          <w:tcPr>
            <w:tcW w:w="1273" w:type="dxa"/>
            <w:vAlign w:val="top"/>
          </w:tcPr>
          <w:p w14:paraId="25F5E899">
            <w:pPr>
              <w:rPr>
                <w:rFonts w:ascii="Arial"/>
                <w:sz w:val="21"/>
              </w:rPr>
            </w:pPr>
          </w:p>
          <w:p w14:paraId="79A4D1B1">
            <w:pPr>
              <w:rPr>
                <w:rFonts w:ascii="Arial"/>
                <w:sz w:val="21"/>
              </w:rPr>
            </w:pPr>
          </w:p>
          <w:p w14:paraId="4B02C746">
            <w:pPr>
              <w:rPr>
                <w:rFonts w:ascii="Arial"/>
                <w:sz w:val="21"/>
              </w:rPr>
            </w:pPr>
          </w:p>
          <w:p w14:paraId="7066C922">
            <w:pPr>
              <w:spacing w:line="241" w:lineRule="auto"/>
              <w:rPr>
                <w:rFonts w:ascii="Arial"/>
                <w:sz w:val="21"/>
              </w:rPr>
            </w:pPr>
          </w:p>
          <w:p w14:paraId="691B69C2">
            <w:pPr>
              <w:spacing w:line="241" w:lineRule="auto"/>
              <w:rPr>
                <w:rFonts w:ascii="Arial"/>
                <w:sz w:val="21"/>
              </w:rPr>
            </w:pPr>
          </w:p>
          <w:p w14:paraId="3DB0B94F">
            <w:pPr>
              <w:spacing w:line="241" w:lineRule="auto"/>
              <w:rPr>
                <w:rFonts w:ascii="Arial"/>
                <w:sz w:val="21"/>
              </w:rPr>
            </w:pPr>
          </w:p>
          <w:p w14:paraId="7F5EAAA6">
            <w:pPr>
              <w:spacing w:line="241" w:lineRule="auto"/>
              <w:rPr>
                <w:rFonts w:ascii="Arial"/>
                <w:sz w:val="21"/>
              </w:rPr>
            </w:pPr>
          </w:p>
          <w:p w14:paraId="3673BB09">
            <w:pPr>
              <w:spacing w:before="78" w:line="450" w:lineRule="auto"/>
              <w:ind w:left="111" w:right="105"/>
              <w:rPr>
                <w:rFonts w:ascii="宋体" w:hAnsi="宋体" w:eastAsia="宋体" w:cs="宋体"/>
                <w:sz w:val="24"/>
                <w:szCs w:val="24"/>
              </w:rPr>
            </w:pPr>
            <w:r>
              <w:rPr>
                <w:rFonts w:ascii="宋体" w:hAnsi="宋体" w:eastAsia="宋体" w:cs="宋体"/>
                <w:spacing w:val="21"/>
                <w:sz w:val="24"/>
                <w:szCs w:val="24"/>
              </w:rPr>
              <w:t>工作流管</w:t>
            </w:r>
            <w:r>
              <w:rPr>
                <w:rFonts w:ascii="宋体" w:hAnsi="宋体" w:eastAsia="宋体" w:cs="宋体"/>
                <w:spacing w:val="1"/>
                <w:sz w:val="24"/>
                <w:szCs w:val="24"/>
              </w:rPr>
              <w:t xml:space="preserve"> </w:t>
            </w:r>
            <w:r>
              <w:rPr>
                <w:rFonts w:ascii="宋体" w:hAnsi="宋体" w:eastAsia="宋体" w:cs="宋体"/>
                <w:sz w:val="24"/>
                <w:szCs w:val="24"/>
              </w:rPr>
              <w:t>理</w:t>
            </w:r>
          </w:p>
        </w:tc>
        <w:tc>
          <w:tcPr>
            <w:tcW w:w="7743" w:type="dxa"/>
            <w:vAlign w:val="top"/>
          </w:tcPr>
          <w:p w14:paraId="12B60E5E">
            <w:pPr>
              <w:spacing w:before="28" w:line="248" w:lineRule="auto"/>
              <w:ind w:left="111" w:right="177" w:firstLine="13"/>
              <w:rPr>
                <w:rFonts w:ascii="宋体" w:hAnsi="宋体" w:eastAsia="宋体" w:cs="宋体"/>
                <w:sz w:val="21"/>
                <w:szCs w:val="21"/>
              </w:rPr>
            </w:pPr>
            <w:r>
              <w:rPr>
                <w:rFonts w:ascii="宋体" w:hAnsi="宋体" w:eastAsia="宋体" w:cs="宋体"/>
                <w:spacing w:val="-1"/>
                <w:sz w:val="21"/>
                <w:szCs w:val="21"/>
              </w:rPr>
              <w:t>1．支持根据业务单据类型（新技术管理、医师管理、医政管理、权限审批）定义</w:t>
            </w:r>
            <w:r>
              <w:rPr>
                <w:rFonts w:ascii="宋体" w:hAnsi="宋体" w:eastAsia="宋体" w:cs="宋体"/>
                <w:spacing w:val="11"/>
                <w:sz w:val="21"/>
                <w:szCs w:val="21"/>
              </w:rPr>
              <w:t xml:space="preserve"> </w:t>
            </w:r>
            <w:r>
              <w:rPr>
                <w:rFonts w:ascii="宋体" w:hAnsi="宋体" w:eastAsia="宋体" w:cs="宋体"/>
                <w:spacing w:val="-8"/>
                <w:sz w:val="21"/>
                <w:szCs w:val="21"/>
              </w:rPr>
              <w:t>工作流。</w:t>
            </w:r>
          </w:p>
          <w:p w14:paraId="159B2D74">
            <w:pPr>
              <w:spacing w:before="62" w:line="220" w:lineRule="auto"/>
              <w:ind w:left="111"/>
              <w:rPr>
                <w:rFonts w:ascii="宋体" w:hAnsi="宋体" w:eastAsia="宋体" w:cs="宋体"/>
                <w:sz w:val="21"/>
                <w:szCs w:val="21"/>
              </w:rPr>
            </w:pPr>
            <w:r>
              <w:rPr>
                <w:rFonts w:ascii="宋体" w:hAnsi="宋体" w:eastAsia="宋体" w:cs="宋体"/>
                <w:spacing w:val="-3"/>
                <w:sz w:val="21"/>
                <w:szCs w:val="21"/>
              </w:rPr>
              <w:t>2．工作流支持条件节点设置。</w:t>
            </w:r>
          </w:p>
          <w:p w14:paraId="604815EB">
            <w:pPr>
              <w:spacing w:before="63" w:line="219" w:lineRule="auto"/>
              <w:ind w:left="113"/>
              <w:rPr>
                <w:rFonts w:ascii="宋体" w:hAnsi="宋体" w:eastAsia="宋体" w:cs="宋体"/>
                <w:sz w:val="21"/>
                <w:szCs w:val="21"/>
              </w:rPr>
            </w:pPr>
            <w:r>
              <w:rPr>
                <w:rFonts w:ascii="宋体" w:hAnsi="宋体" w:eastAsia="宋体" w:cs="宋体"/>
                <w:spacing w:val="-2"/>
                <w:sz w:val="21"/>
                <w:szCs w:val="21"/>
              </w:rPr>
              <w:t>3．工作流支持按科室、人员、专家组指定审批权限。</w:t>
            </w:r>
          </w:p>
          <w:p w14:paraId="14E9BC90">
            <w:pPr>
              <w:spacing w:before="64" w:line="219" w:lineRule="auto"/>
              <w:ind w:left="108"/>
              <w:rPr>
                <w:rFonts w:ascii="宋体" w:hAnsi="宋体" w:eastAsia="宋体" w:cs="宋体"/>
                <w:sz w:val="21"/>
                <w:szCs w:val="21"/>
              </w:rPr>
            </w:pPr>
            <w:r>
              <w:rPr>
                <w:rFonts w:ascii="宋体" w:hAnsi="宋体" w:eastAsia="宋体" w:cs="宋体"/>
                <w:spacing w:val="-3"/>
                <w:sz w:val="21"/>
                <w:szCs w:val="21"/>
              </w:rPr>
              <w:t>4．工作流审批时可上传附件。</w:t>
            </w:r>
          </w:p>
          <w:p w14:paraId="3A454518">
            <w:pPr>
              <w:spacing w:before="64" w:line="219" w:lineRule="auto"/>
              <w:ind w:left="111"/>
              <w:rPr>
                <w:rFonts w:ascii="宋体" w:hAnsi="宋体" w:eastAsia="宋体" w:cs="宋体"/>
                <w:sz w:val="21"/>
                <w:szCs w:val="21"/>
              </w:rPr>
            </w:pPr>
            <w:r>
              <w:rPr>
                <w:rFonts w:ascii="Times New Roman" w:hAnsi="Times New Roman" w:eastAsia="Times New Roman" w:cs="Times New Roman"/>
                <w:spacing w:val="-4"/>
                <w:sz w:val="21"/>
                <w:szCs w:val="21"/>
              </w:rPr>
              <w:t>5</w:t>
            </w:r>
            <w:r>
              <w:rPr>
                <w:rFonts w:ascii="Times New Roman" w:hAnsi="Times New Roman" w:eastAsia="Times New Roman" w:cs="Times New Roman"/>
                <w:spacing w:val="-20"/>
                <w:sz w:val="21"/>
                <w:szCs w:val="21"/>
              </w:rPr>
              <w:t xml:space="preserve"> </w:t>
            </w:r>
            <w:r>
              <w:rPr>
                <w:rFonts w:ascii="宋体" w:hAnsi="宋体" w:eastAsia="宋体" w:cs="宋体"/>
                <w:spacing w:val="-4"/>
                <w:sz w:val="21"/>
                <w:szCs w:val="21"/>
              </w:rPr>
              <w:t>．支持为自定义表单提供工作流配置。</w:t>
            </w:r>
          </w:p>
          <w:p w14:paraId="45A4B82C">
            <w:pPr>
              <w:spacing w:before="63" w:line="220" w:lineRule="auto"/>
              <w:ind w:left="110"/>
              <w:rPr>
                <w:rFonts w:ascii="宋体" w:hAnsi="宋体" w:eastAsia="宋体" w:cs="宋体"/>
                <w:sz w:val="21"/>
                <w:szCs w:val="21"/>
              </w:rPr>
            </w:pPr>
            <w:r>
              <w:rPr>
                <w:rFonts w:ascii="宋体" w:hAnsi="宋体" w:eastAsia="宋体" w:cs="宋体"/>
                <w:spacing w:val="-2"/>
                <w:sz w:val="21"/>
                <w:szCs w:val="21"/>
              </w:rPr>
              <w:t>6．审批流程由开始、步骤、条件、结束等节点构成。</w:t>
            </w:r>
          </w:p>
          <w:p w14:paraId="29A4666E">
            <w:pPr>
              <w:spacing w:before="64" w:line="247" w:lineRule="auto"/>
              <w:ind w:left="111" w:right="177" w:firstLine="2"/>
              <w:rPr>
                <w:rFonts w:ascii="宋体" w:hAnsi="宋体" w:eastAsia="宋体" w:cs="宋体"/>
                <w:sz w:val="21"/>
                <w:szCs w:val="21"/>
              </w:rPr>
            </w:pPr>
            <w:r>
              <w:rPr>
                <w:rFonts w:ascii="宋体" w:hAnsi="宋体" w:eastAsia="宋体" w:cs="宋体"/>
                <w:sz w:val="21"/>
                <w:szCs w:val="21"/>
              </w:rPr>
              <w:t>7．步骤节点可配置步骤类型、名称、审核人类</w:t>
            </w:r>
            <w:r>
              <w:rPr>
                <w:rFonts w:ascii="宋体" w:hAnsi="宋体" w:eastAsia="宋体" w:cs="宋体"/>
                <w:spacing w:val="-1"/>
                <w:sz w:val="21"/>
                <w:szCs w:val="21"/>
              </w:rPr>
              <w:t>型、结果依据、单据限制、是否可</w:t>
            </w:r>
            <w:r>
              <w:rPr>
                <w:rFonts w:ascii="宋体" w:hAnsi="宋体" w:eastAsia="宋体" w:cs="宋体"/>
                <w:sz w:val="21"/>
                <w:szCs w:val="21"/>
              </w:rPr>
              <w:t xml:space="preserve"> </w:t>
            </w:r>
            <w:r>
              <w:rPr>
                <w:rFonts w:ascii="宋体" w:hAnsi="宋体" w:eastAsia="宋体" w:cs="宋体"/>
                <w:spacing w:val="-2"/>
                <w:sz w:val="21"/>
                <w:szCs w:val="21"/>
              </w:rPr>
              <w:t>指定下一节点审核人、是否允许回退到前置步骤、时限。</w:t>
            </w:r>
          </w:p>
          <w:p w14:paraId="18B7B47F">
            <w:pPr>
              <w:spacing w:before="62" w:line="220" w:lineRule="auto"/>
              <w:ind w:left="110"/>
              <w:rPr>
                <w:rFonts w:ascii="宋体" w:hAnsi="宋体" w:eastAsia="宋体" w:cs="宋体"/>
                <w:sz w:val="21"/>
                <w:szCs w:val="21"/>
              </w:rPr>
            </w:pPr>
            <w:r>
              <w:rPr>
                <w:rFonts w:ascii="宋体" w:hAnsi="宋体" w:eastAsia="宋体" w:cs="宋体"/>
                <w:spacing w:val="-1"/>
                <w:sz w:val="21"/>
                <w:szCs w:val="21"/>
              </w:rPr>
              <w:t>8．条件分支节点可配置由单据属性组成的逻辑表</w:t>
            </w:r>
            <w:r>
              <w:rPr>
                <w:rFonts w:ascii="宋体" w:hAnsi="宋体" w:eastAsia="宋体" w:cs="宋体"/>
                <w:spacing w:val="-2"/>
                <w:sz w:val="21"/>
                <w:szCs w:val="21"/>
              </w:rPr>
              <w:t>达式作为触发条件。</w:t>
            </w:r>
          </w:p>
          <w:p w14:paraId="5DB443B3">
            <w:pPr>
              <w:spacing w:before="64" w:line="219" w:lineRule="auto"/>
              <w:ind w:left="109"/>
              <w:rPr>
                <w:rFonts w:ascii="宋体" w:hAnsi="宋体" w:eastAsia="宋体" w:cs="宋体"/>
                <w:sz w:val="21"/>
                <w:szCs w:val="21"/>
              </w:rPr>
            </w:pPr>
            <w:r>
              <w:rPr>
                <w:rFonts w:ascii="Times New Roman" w:hAnsi="Times New Roman" w:eastAsia="Times New Roman" w:cs="Times New Roman"/>
                <w:spacing w:val="-2"/>
                <w:sz w:val="21"/>
                <w:szCs w:val="21"/>
              </w:rPr>
              <w:t>9</w:t>
            </w:r>
            <w:r>
              <w:rPr>
                <w:rFonts w:ascii="Times New Roman" w:hAnsi="Times New Roman" w:eastAsia="Times New Roman" w:cs="Times New Roman"/>
                <w:spacing w:val="-24"/>
                <w:sz w:val="21"/>
                <w:szCs w:val="21"/>
              </w:rPr>
              <w:t xml:space="preserve"> </w:t>
            </w:r>
            <w:r>
              <w:rPr>
                <w:rFonts w:ascii="宋体" w:hAnsi="宋体" w:eastAsia="宋体" w:cs="宋体"/>
                <w:spacing w:val="-2"/>
                <w:sz w:val="21"/>
                <w:szCs w:val="21"/>
              </w:rPr>
              <w:t>．支持审批流程版本管理，同一审批流程只允许一个版本处于生效状态。</w:t>
            </w:r>
          </w:p>
          <w:p w14:paraId="302D0A60">
            <w:pPr>
              <w:spacing w:before="64" w:line="257" w:lineRule="auto"/>
              <w:ind w:left="110" w:right="102" w:firstLine="15"/>
              <w:rPr>
                <w:rFonts w:ascii="宋体" w:hAnsi="宋体" w:eastAsia="宋体" w:cs="宋体"/>
                <w:sz w:val="21"/>
                <w:szCs w:val="21"/>
              </w:rPr>
            </w:pPr>
            <w:r>
              <w:rPr>
                <w:rFonts w:ascii="Times New Roman" w:hAnsi="Times New Roman" w:eastAsia="Times New Roman" w:cs="Times New Roman"/>
                <w:spacing w:val="-8"/>
                <w:sz w:val="21"/>
                <w:szCs w:val="21"/>
              </w:rPr>
              <w:t>10</w:t>
            </w:r>
            <w:r>
              <w:rPr>
                <w:rFonts w:ascii="Times New Roman" w:hAnsi="Times New Roman" w:eastAsia="Times New Roman" w:cs="Times New Roman"/>
                <w:spacing w:val="-24"/>
                <w:sz w:val="21"/>
                <w:szCs w:val="21"/>
              </w:rPr>
              <w:t xml:space="preserve"> </w:t>
            </w:r>
            <w:r>
              <w:rPr>
                <w:rFonts w:ascii="宋体" w:hAnsi="宋体" w:eastAsia="宋体" w:cs="宋体"/>
                <w:spacing w:val="-8"/>
                <w:sz w:val="21"/>
                <w:szCs w:val="21"/>
              </w:rPr>
              <w:t>.</w:t>
            </w:r>
            <w:r>
              <w:rPr>
                <w:rFonts w:ascii="宋体" w:hAnsi="宋体" w:eastAsia="宋体" w:cs="宋体"/>
                <w:spacing w:val="54"/>
                <w:sz w:val="21"/>
                <w:szCs w:val="21"/>
              </w:rPr>
              <w:t xml:space="preserve"> </w:t>
            </w:r>
            <w:r>
              <w:rPr>
                <w:rFonts w:ascii="宋体" w:hAnsi="宋体" w:eastAsia="宋体" w:cs="宋体"/>
                <w:spacing w:val="-8"/>
                <w:sz w:val="21"/>
                <w:szCs w:val="21"/>
              </w:rPr>
              <w:t>★工作流支持按科室、人员、专家组、委员会及角色指定审批权</w:t>
            </w:r>
            <w:r>
              <w:rPr>
                <w:rFonts w:ascii="宋体" w:hAnsi="宋体" w:eastAsia="宋体" w:cs="宋体"/>
                <w:spacing w:val="-9"/>
                <w:sz w:val="21"/>
                <w:szCs w:val="21"/>
              </w:rPr>
              <w:t>限，</w:t>
            </w:r>
            <w:r>
              <w:rPr>
                <w:rFonts w:ascii="宋体" w:hAnsi="宋体" w:eastAsia="宋体" w:cs="宋体"/>
                <w:spacing w:val="58"/>
                <w:sz w:val="21"/>
                <w:szCs w:val="21"/>
              </w:rPr>
              <w:t xml:space="preserve"> </w:t>
            </w:r>
            <w:r>
              <w:rPr>
                <w:rFonts w:ascii="宋体" w:hAnsi="宋体" w:eastAsia="宋体" w:cs="宋体"/>
                <w:spacing w:val="-9"/>
                <w:sz w:val="21"/>
                <w:szCs w:val="21"/>
              </w:rPr>
              <w:t>多人审核</w:t>
            </w:r>
            <w:r>
              <w:rPr>
                <w:rFonts w:ascii="宋体" w:hAnsi="宋体" w:eastAsia="宋体" w:cs="宋体"/>
                <w:sz w:val="21"/>
                <w:szCs w:val="21"/>
              </w:rPr>
              <w:t xml:space="preserve"> </w:t>
            </w:r>
            <w:r>
              <w:rPr>
                <w:rFonts w:ascii="宋体" w:hAnsi="宋体" w:eastAsia="宋体" w:cs="宋体"/>
                <w:spacing w:val="-1"/>
                <w:sz w:val="21"/>
                <w:szCs w:val="21"/>
              </w:rPr>
              <w:t>时支持设置表决的权重值；支持设置是否能审批本科室单据；支持设置</w:t>
            </w:r>
            <w:r>
              <w:rPr>
                <w:rFonts w:ascii="宋体" w:hAnsi="宋体" w:eastAsia="宋体" w:cs="宋体"/>
                <w:spacing w:val="-2"/>
                <w:sz w:val="21"/>
                <w:szCs w:val="21"/>
              </w:rPr>
              <w:t>是否允许回</w:t>
            </w:r>
            <w:r>
              <w:rPr>
                <w:rFonts w:ascii="宋体" w:hAnsi="宋体" w:eastAsia="宋体" w:cs="宋体"/>
                <w:sz w:val="21"/>
                <w:szCs w:val="21"/>
              </w:rPr>
              <w:t xml:space="preserve"> </w:t>
            </w:r>
            <w:r>
              <w:rPr>
                <w:rFonts w:ascii="宋体" w:hAnsi="宋体" w:eastAsia="宋体" w:cs="宋体"/>
                <w:spacing w:val="-4"/>
                <w:sz w:val="21"/>
                <w:szCs w:val="21"/>
              </w:rPr>
              <w:t>退和审批时限要求。</w:t>
            </w:r>
          </w:p>
        </w:tc>
      </w:tr>
      <w:tr w14:paraId="61A4B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atLeast"/>
        </w:trPr>
        <w:tc>
          <w:tcPr>
            <w:tcW w:w="783" w:type="dxa"/>
            <w:vAlign w:val="top"/>
          </w:tcPr>
          <w:p w14:paraId="4361636F">
            <w:pPr>
              <w:spacing w:line="290" w:lineRule="auto"/>
              <w:rPr>
                <w:rFonts w:ascii="Arial"/>
                <w:sz w:val="21"/>
              </w:rPr>
            </w:pPr>
          </w:p>
          <w:p w14:paraId="0A5D0E54">
            <w:pPr>
              <w:spacing w:line="290" w:lineRule="auto"/>
              <w:rPr>
                <w:rFonts w:ascii="Arial"/>
                <w:sz w:val="21"/>
              </w:rPr>
            </w:pPr>
          </w:p>
          <w:p w14:paraId="22C1EE8A">
            <w:pPr>
              <w:spacing w:line="291" w:lineRule="auto"/>
              <w:rPr>
                <w:rFonts w:ascii="Arial"/>
                <w:sz w:val="21"/>
              </w:rPr>
            </w:pPr>
          </w:p>
          <w:p w14:paraId="14377F9C">
            <w:pPr>
              <w:spacing w:line="291" w:lineRule="auto"/>
              <w:rPr>
                <w:rFonts w:ascii="Arial"/>
                <w:sz w:val="21"/>
              </w:rPr>
            </w:pPr>
          </w:p>
          <w:p w14:paraId="0347FA0D">
            <w:pPr>
              <w:spacing w:before="78" w:line="181" w:lineRule="auto"/>
              <w:ind w:left="278"/>
              <w:rPr>
                <w:rFonts w:ascii="宋体" w:hAnsi="宋体" w:eastAsia="宋体" w:cs="宋体"/>
                <w:sz w:val="24"/>
                <w:szCs w:val="24"/>
              </w:rPr>
            </w:pPr>
            <w:r>
              <w:rPr>
                <w:rFonts w:ascii="宋体" w:hAnsi="宋体" w:eastAsia="宋体" w:cs="宋体"/>
                <w:sz w:val="24"/>
                <w:szCs w:val="24"/>
              </w:rPr>
              <w:t>4</w:t>
            </w:r>
          </w:p>
        </w:tc>
        <w:tc>
          <w:tcPr>
            <w:tcW w:w="1273" w:type="dxa"/>
            <w:vAlign w:val="top"/>
          </w:tcPr>
          <w:p w14:paraId="41AC661E">
            <w:pPr>
              <w:spacing w:line="280" w:lineRule="auto"/>
              <w:rPr>
                <w:rFonts w:ascii="Arial"/>
                <w:sz w:val="21"/>
              </w:rPr>
            </w:pPr>
          </w:p>
          <w:p w14:paraId="58C199CD">
            <w:pPr>
              <w:spacing w:line="280" w:lineRule="auto"/>
              <w:rPr>
                <w:rFonts w:ascii="Arial"/>
                <w:sz w:val="21"/>
              </w:rPr>
            </w:pPr>
          </w:p>
          <w:p w14:paraId="3BF8C19C">
            <w:pPr>
              <w:spacing w:line="280" w:lineRule="auto"/>
              <w:rPr>
                <w:rFonts w:ascii="Arial"/>
                <w:sz w:val="21"/>
              </w:rPr>
            </w:pPr>
          </w:p>
          <w:p w14:paraId="2FC6257C">
            <w:pPr>
              <w:spacing w:line="281" w:lineRule="auto"/>
              <w:rPr>
                <w:rFonts w:ascii="Arial"/>
                <w:sz w:val="21"/>
              </w:rPr>
            </w:pPr>
          </w:p>
          <w:p w14:paraId="722B34A6">
            <w:pPr>
              <w:spacing w:before="78" w:line="220" w:lineRule="auto"/>
              <w:ind w:left="107"/>
              <w:rPr>
                <w:rFonts w:ascii="宋体" w:hAnsi="宋体" w:eastAsia="宋体" w:cs="宋体"/>
                <w:sz w:val="24"/>
                <w:szCs w:val="24"/>
              </w:rPr>
            </w:pPr>
            <w:r>
              <w:rPr>
                <w:rFonts w:ascii="宋体" w:hAnsi="宋体" w:eastAsia="宋体" w:cs="宋体"/>
                <w:spacing w:val="-2"/>
                <w:sz w:val="24"/>
                <w:szCs w:val="24"/>
              </w:rPr>
              <w:t>接口管理</w:t>
            </w:r>
          </w:p>
        </w:tc>
        <w:tc>
          <w:tcPr>
            <w:tcW w:w="7743" w:type="dxa"/>
            <w:vAlign w:val="top"/>
          </w:tcPr>
          <w:p w14:paraId="237E3546">
            <w:pPr>
              <w:spacing w:before="67" w:line="220" w:lineRule="auto"/>
              <w:ind w:left="124"/>
              <w:rPr>
                <w:rFonts w:ascii="宋体" w:hAnsi="宋体" w:eastAsia="宋体" w:cs="宋体"/>
                <w:sz w:val="21"/>
                <w:szCs w:val="21"/>
              </w:rPr>
            </w:pPr>
            <w:r>
              <w:rPr>
                <w:rFonts w:ascii="宋体" w:hAnsi="宋体" w:eastAsia="宋体" w:cs="宋体"/>
                <w:spacing w:val="-2"/>
                <w:sz w:val="21"/>
                <w:szCs w:val="21"/>
              </w:rPr>
              <w:t>1．支持自定义数据库、WEB API、WebService</w:t>
            </w:r>
            <w:r>
              <w:rPr>
                <w:rFonts w:ascii="宋体" w:hAnsi="宋体" w:eastAsia="宋体" w:cs="宋体"/>
                <w:spacing w:val="-31"/>
                <w:sz w:val="21"/>
                <w:szCs w:val="21"/>
              </w:rPr>
              <w:t xml:space="preserve"> </w:t>
            </w:r>
            <w:r>
              <w:rPr>
                <w:rFonts w:ascii="宋体" w:hAnsi="宋体" w:eastAsia="宋体" w:cs="宋体"/>
                <w:spacing w:val="-2"/>
                <w:sz w:val="21"/>
                <w:szCs w:val="21"/>
              </w:rPr>
              <w:t>三种接口方式。</w:t>
            </w:r>
          </w:p>
          <w:p w14:paraId="05A5B4B2">
            <w:pPr>
              <w:spacing w:before="92" w:line="219" w:lineRule="auto"/>
              <w:ind w:left="111"/>
              <w:rPr>
                <w:rFonts w:ascii="宋体" w:hAnsi="宋体" w:eastAsia="宋体" w:cs="宋体"/>
                <w:sz w:val="21"/>
                <w:szCs w:val="21"/>
              </w:rPr>
            </w:pPr>
            <w:r>
              <w:rPr>
                <w:rFonts w:ascii="宋体" w:hAnsi="宋体" w:eastAsia="宋体" w:cs="宋体"/>
                <w:spacing w:val="-2"/>
                <w:sz w:val="21"/>
                <w:szCs w:val="21"/>
              </w:rPr>
              <w:t>2．数据源接口支持编辑</w:t>
            </w:r>
            <w:r>
              <w:rPr>
                <w:rFonts w:ascii="宋体" w:hAnsi="宋体" w:eastAsia="宋体" w:cs="宋体"/>
                <w:spacing w:val="-37"/>
                <w:sz w:val="21"/>
                <w:szCs w:val="21"/>
              </w:rPr>
              <w:t xml:space="preserve"> </w:t>
            </w:r>
            <w:r>
              <w:rPr>
                <w:rFonts w:ascii="宋体" w:hAnsi="宋体" w:eastAsia="宋体" w:cs="宋体"/>
                <w:spacing w:val="-2"/>
                <w:sz w:val="21"/>
                <w:szCs w:val="21"/>
              </w:rPr>
              <w:t>SQL</w:t>
            </w:r>
            <w:r>
              <w:rPr>
                <w:rFonts w:ascii="宋体" w:hAnsi="宋体" w:eastAsia="宋体" w:cs="宋体"/>
                <w:spacing w:val="-45"/>
                <w:sz w:val="21"/>
                <w:szCs w:val="21"/>
              </w:rPr>
              <w:t xml:space="preserve"> </w:t>
            </w:r>
            <w:r>
              <w:rPr>
                <w:rFonts w:ascii="宋体" w:hAnsi="宋体" w:eastAsia="宋体" w:cs="宋体"/>
                <w:spacing w:val="-2"/>
                <w:sz w:val="21"/>
                <w:szCs w:val="21"/>
              </w:rPr>
              <w:t>语句提取数据，并可以自定义传入参数。</w:t>
            </w:r>
          </w:p>
          <w:p w14:paraId="415222A7">
            <w:pPr>
              <w:spacing w:before="94" w:line="215" w:lineRule="auto"/>
              <w:ind w:left="113"/>
              <w:rPr>
                <w:rFonts w:ascii="宋体" w:hAnsi="宋体" w:eastAsia="宋体" w:cs="宋体"/>
                <w:sz w:val="21"/>
                <w:szCs w:val="21"/>
              </w:rPr>
            </w:pPr>
            <w:r>
              <w:rPr>
                <w:rFonts w:ascii="宋体" w:hAnsi="宋体" w:eastAsia="宋体" w:cs="宋体"/>
                <w:spacing w:val="-1"/>
                <w:sz w:val="21"/>
                <w:szCs w:val="21"/>
              </w:rPr>
              <w:t>3．WEB</w:t>
            </w:r>
            <w:r>
              <w:rPr>
                <w:rFonts w:ascii="宋体" w:hAnsi="宋体" w:eastAsia="宋体" w:cs="宋体"/>
                <w:spacing w:val="-46"/>
                <w:sz w:val="21"/>
                <w:szCs w:val="21"/>
              </w:rPr>
              <w:t xml:space="preserve"> </w:t>
            </w:r>
            <w:r>
              <w:rPr>
                <w:rFonts w:ascii="宋体" w:hAnsi="宋体" w:eastAsia="宋体" w:cs="宋体"/>
                <w:spacing w:val="-1"/>
                <w:sz w:val="21"/>
                <w:szCs w:val="21"/>
              </w:rPr>
              <w:t>接口可配置请求方式、Header、Query、Body、返回结果等</w:t>
            </w:r>
            <w:r>
              <w:rPr>
                <w:rFonts w:ascii="宋体" w:hAnsi="宋体" w:eastAsia="宋体" w:cs="宋体"/>
                <w:spacing w:val="-2"/>
                <w:sz w:val="21"/>
                <w:szCs w:val="21"/>
              </w:rPr>
              <w:t>内容的配置。</w:t>
            </w:r>
          </w:p>
          <w:p w14:paraId="0D8EB408">
            <w:pPr>
              <w:spacing w:before="97" w:line="220" w:lineRule="auto"/>
              <w:ind w:left="108"/>
              <w:rPr>
                <w:rFonts w:ascii="宋体" w:hAnsi="宋体" w:eastAsia="宋体" w:cs="宋体"/>
                <w:sz w:val="21"/>
                <w:szCs w:val="21"/>
              </w:rPr>
            </w:pPr>
            <w:r>
              <w:rPr>
                <w:rFonts w:ascii="宋体" w:hAnsi="宋体" w:eastAsia="宋体" w:cs="宋体"/>
                <w:spacing w:val="-3"/>
                <w:sz w:val="21"/>
                <w:szCs w:val="21"/>
              </w:rPr>
              <w:t>4．接口数据源支持分页设置。</w:t>
            </w:r>
          </w:p>
          <w:p w14:paraId="3097B84F">
            <w:pPr>
              <w:spacing w:before="71" w:line="241" w:lineRule="auto"/>
              <w:ind w:left="110" w:right="102" w:firstLine="3"/>
              <w:rPr>
                <w:rFonts w:ascii="宋体" w:hAnsi="宋体" w:eastAsia="宋体" w:cs="宋体"/>
                <w:sz w:val="21"/>
                <w:szCs w:val="21"/>
              </w:rPr>
            </w:pPr>
            <w:r>
              <w:rPr>
                <w:rFonts w:ascii="宋体" w:hAnsi="宋体" w:eastAsia="宋体" w:cs="宋体"/>
                <w:spacing w:val="2"/>
                <w:sz w:val="21"/>
                <w:szCs w:val="21"/>
              </w:rPr>
              <w:t>5．支持将接口返回数据转存到医务系统数据库中，可配</w:t>
            </w:r>
            <w:r>
              <w:rPr>
                <w:rFonts w:ascii="宋体" w:hAnsi="宋体" w:eastAsia="宋体" w:cs="宋体"/>
                <w:spacing w:val="1"/>
                <w:sz w:val="21"/>
                <w:szCs w:val="21"/>
              </w:rPr>
              <w:t>置存储接口数据的表与字</w:t>
            </w:r>
            <w:r>
              <w:rPr>
                <w:rFonts w:ascii="宋体" w:hAnsi="宋体" w:eastAsia="宋体" w:cs="宋体"/>
                <w:sz w:val="21"/>
                <w:szCs w:val="21"/>
              </w:rPr>
              <w:t xml:space="preserve"> </w:t>
            </w:r>
            <w:r>
              <w:rPr>
                <w:rFonts w:ascii="宋体" w:hAnsi="宋体" w:eastAsia="宋体" w:cs="宋体"/>
                <w:spacing w:val="-10"/>
                <w:sz w:val="21"/>
                <w:szCs w:val="21"/>
              </w:rPr>
              <w:t>段。</w:t>
            </w:r>
          </w:p>
          <w:p w14:paraId="6C791119">
            <w:pPr>
              <w:spacing w:before="68" w:line="220" w:lineRule="auto"/>
              <w:ind w:left="110"/>
              <w:rPr>
                <w:rFonts w:ascii="宋体" w:hAnsi="宋体" w:eastAsia="宋体" w:cs="宋体"/>
                <w:sz w:val="21"/>
                <w:szCs w:val="21"/>
              </w:rPr>
            </w:pPr>
            <w:r>
              <w:rPr>
                <w:rFonts w:ascii="宋体" w:hAnsi="宋体" w:eastAsia="宋体" w:cs="宋体"/>
                <w:spacing w:val="-3"/>
                <w:sz w:val="21"/>
                <w:szCs w:val="21"/>
              </w:rPr>
              <w:t>6．支持接口的停用、启用。</w:t>
            </w:r>
          </w:p>
          <w:p w14:paraId="0465A509">
            <w:pPr>
              <w:spacing w:before="92" w:line="220" w:lineRule="auto"/>
              <w:ind w:left="114"/>
              <w:rPr>
                <w:rFonts w:ascii="宋体" w:hAnsi="宋体" w:eastAsia="宋体" w:cs="宋体"/>
                <w:sz w:val="21"/>
                <w:szCs w:val="21"/>
              </w:rPr>
            </w:pPr>
            <w:r>
              <w:rPr>
                <w:rFonts w:ascii="宋体" w:hAnsi="宋体" w:eastAsia="宋体" w:cs="宋体"/>
                <w:spacing w:val="-4"/>
                <w:sz w:val="21"/>
                <w:szCs w:val="21"/>
              </w:rPr>
              <w:t>7．接口可按名称进行检索。</w:t>
            </w:r>
          </w:p>
        </w:tc>
      </w:tr>
      <w:tr w14:paraId="56E8C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83" w:type="dxa"/>
            <w:vAlign w:val="top"/>
          </w:tcPr>
          <w:p w14:paraId="5AF2C4FC">
            <w:pPr>
              <w:spacing w:before="268" w:line="180" w:lineRule="auto"/>
              <w:ind w:left="284"/>
              <w:rPr>
                <w:rFonts w:ascii="宋体" w:hAnsi="宋体" w:eastAsia="宋体" w:cs="宋体"/>
                <w:sz w:val="24"/>
                <w:szCs w:val="24"/>
              </w:rPr>
            </w:pPr>
            <w:r>
              <w:rPr>
                <w:rFonts w:ascii="宋体" w:hAnsi="宋体" w:eastAsia="宋体" w:cs="宋体"/>
                <w:sz w:val="24"/>
                <w:szCs w:val="24"/>
              </w:rPr>
              <w:t>5</w:t>
            </w:r>
          </w:p>
        </w:tc>
        <w:tc>
          <w:tcPr>
            <w:tcW w:w="1273" w:type="dxa"/>
            <w:vAlign w:val="top"/>
          </w:tcPr>
          <w:p w14:paraId="283E2211">
            <w:pPr>
              <w:spacing w:before="225" w:line="220" w:lineRule="auto"/>
              <w:ind w:left="107"/>
              <w:rPr>
                <w:rFonts w:ascii="宋体" w:hAnsi="宋体" w:eastAsia="宋体" w:cs="宋体"/>
                <w:sz w:val="24"/>
                <w:szCs w:val="24"/>
              </w:rPr>
            </w:pPr>
            <w:r>
              <w:rPr>
                <w:rFonts w:ascii="宋体" w:hAnsi="宋体" w:eastAsia="宋体" w:cs="宋体"/>
                <w:spacing w:val="-2"/>
                <w:sz w:val="24"/>
                <w:szCs w:val="24"/>
              </w:rPr>
              <w:t>权限管理</w:t>
            </w:r>
          </w:p>
        </w:tc>
        <w:tc>
          <w:tcPr>
            <w:tcW w:w="7743" w:type="dxa"/>
            <w:vAlign w:val="top"/>
          </w:tcPr>
          <w:p w14:paraId="67FC868C">
            <w:pPr>
              <w:spacing w:before="69" w:line="219" w:lineRule="auto"/>
              <w:ind w:left="124"/>
              <w:rPr>
                <w:rFonts w:ascii="宋体" w:hAnsi="宋体" w:eastAsia="宋体" w:cs="宋体"/>
                <w:sz w:val="21"/>
                <w:szCs w:val="21"/>
              </w:rPr>
            </w:pPr>
            <w:r>
              <w:rPr>
                <w:rFonts w:ascii="宋体" w:hAnsi="宋体" w:eastAsia="宋体" w:cs="宋体"/>
                <w:spacing w:val="-4"/>
                <w:sz w:val="21"/>
                <w:szCs w:val="21"/>
              </w:rPr>
              <w:t>1．支持按角色授予、收回权限。</w:t>
            </w:r>
          </w:p>
          <w:p w14:paraId="03B24F6D">
            <w:pPr>
              <w:spacing w:before="93" w:line="220" w:lineRule="auto"/>
              <w:ind w:left="111"/>
              <w:rPr>
                <w:rFonts w:ascii="宋体" w:hAnsi="宋体" w:eastAsia="宋体" w:cs="宋体"/>
                <w:sz w:val="21"/>
                <w:szCs w:val="21"/>
              </w:rPr>
            </w:pPr>
            <w:r>
              <w:rPr>
                <w:rFonts w:ascii="宋体" w:hAnsi="宋体" w:eastAsia="宋体" w:cs="宋体"/>
                <w:spacing w:val="-3"/>
                <w:sz w:val="21"/>
                <w:szCs w:val="21"/>
              </w:rPr>
              <w:t>2．支持模块、报表、行级数据权限配置。</w:t>
            </w:r>
          </w:p>
        </w:tc>
      </w:tr>
      <w:tr w14:paraId="1973D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783" w:type="dxa"/>
            <w:vAlign w:val="top"/>
          </w:tcPr>
          <w:p w14:paraId="00F7B9D5">
            <w:pPr>
              <w:spacing w:line="358" w:lineRule="auto"/>
              <w:rPr>
                <w:rFonts w:ascii="Arial"/>
                <w:sz w:val="21"/>
              </w:rPr>
            </w:pPr>
          </w:p>
          <w:p w14:paraId="327AB62F">
            <w:pPr>
              <w:spacing w:before="78" w:line="181" w:lineRule="auto"/>
              <w:ind w:left="281"/>
              <w:rPr>
                <w:rFonts w:ascii="宋体" w:hAnsi="宋体" w:eastAsia="宋体" w:cs="宋体"/>
                <w:sz w:val="24"/>
                <w:szCs w:val="24"/>
              </w:rPr>
            </w:pPr>
            <w:r>
              <w:rPr>
                <w:rFonts w:ascii="宋体" w:hAnsi="宋体" w:eastAsia="宋体" w:cs="宋体"/>
                <w:sz w:val="24"/>
                <w:szCs w:val="24"/>
              </w:rPr>
              <w:t>6</w:t>
            </w:r>
          </w:p>
        </w:tc>
        <w:tc>
          <w:tcPr>
            <w:tcW w:w="1273" w:type="dxa"/>
            <w:vAlign w:val="top"/>
          </w:tcPr>
          <w:p w14:paraId="230D2DED">
            <w:pPr>
              <w:spacing w:line="317" w:lineRule="auto"/>
              <w:rPr>
                <w:rFonts w:ascii="Arial"/>
                <w:sz w:val="21"/>
              </w:rPr>
            </w:pPr>
          </w:p>
          <w:p w14:paraId="5EB38DF7">
            <w:pPr>
              <w:spacing w:before="78" w:line="220" w:lineRule="auto"/>
              <w:ind w:left="108"/>
              <w:rPr>
                <w:rFonts w:ascii="宋体" w:hAnsi="宋体" w:eastAsia="宋体" w:cs="宋体"/>
                <w:sz w:val="24"/>
                <w:szCs w:val="24"/>
              </w:rPr>
            </w:pPr>
            <w:r>
              <w:rPr>
                <w:rFonts w:ascii="宋体" w:hAnsi="宋体" w:eastAsia="宋体" w:cs="宋体"/>
                <w:spacing w:val="-2"/>
                <w:sz w:val="24"/>
                <w:szCs w:val="24"/>
              </w:rPr>
              <w:t>菜单管理</w:t>
            </w:r>
          </w:p>
        </w:tc>
        <w:tc>
          <w:tcPr>
            <w:tcW w:w="7743" w:type="dxa"/>
            <w:vAlign w:val="top"/>
          </w:tcPr>
          <w:p w14:paraId="25D7237B">
            <w:pPr>
              <w:spacing w:before="69" w:line="220" w:lineRule="auto"/>
              <w:ind w:left="124"/>
              <w:rPr>
                <w:rFonts w:ascii="宋体" w:hAnsi="宋体" w:eastAsia="宋体" w:cs="宋体"/>
                <w:sz w:val="21"/>
                <w:szCs w:val="21"/>
              </w:rPr>
            </w:pPr>
            <w:r>
              <w:rPr>
                <w:rFonts w:ascii="宋体" w:hAnsi="宋体" w:eastAsia="宋体" w:cs="宋体"/>
                <w:spacing w:val="-5"/>
                <w:sz w:val="21"/>
                <w:szCs w:val="21"/>
              </w:rPr>
              <w:t>1．支持自定义功能菜单。</w:t>
            </w:r>
          </w:p>
          <w:p w14:paraId="48A94E6F">
            <w:pPr>
              <w:spacing w:before="92" w:line="220" w:lineRule="auto"/>
              <w:ind w:left="111"/>
              <w:rPr>
                <w:rFonts w:ascii="宋体" w:hAnsi="宋体" w:eastAsia="宋体" w:cs="宋体"/>
                <w:sz w:val="21"/>
                <w:szCs w:val="21"/>
              </w:rPr>
            </w:pPr>
            <w:r>
              <w:rPr>
                <w:rFonts w:ascii="宋体" w:hAnsi="宋体" w:eastAsia="宋体" w:cs="宋体"/>
                <w:spacing w:val="-4"/>
                <w:sz w:val="21"/>
                <w:szCs w:val="21"/>
              </w:rPr>
              <w:t>2．可调整菜单项的顺序。</w:t>
            </w:r>
          </w:p>
          <w:p w14:paraId="320B9F9C">
            <w:pPr>
              <w:spacing w:before="92" w:line="220" w:lineRule="auto"/>
              <w:ind w:left="113"/>
              <w:rPr>
                <w:rFonts w:ascii="宋体" w:hAnsi="宋体" w:eastAsia="宋体" w:cs="宋体"/>
                <w:sz w:val="21"/>
                <w:szCs w:val="21"/>
              </w:rPr>
            </w:pPr>
            <w:r>
              <w:rPr>
                <w:rFonts w:ascii="宋体" w:hAnsi="宋体" w:eastAsia="宋体" w:cs="宋体"/>
                <w:spacing w:val="-4"/>
                <w:sz w:val="21"/>
                <w:szCs w:val="21"/>
              </w:rPr>
              <w:t>3．支持外部</w:t>
            </w:r>
            <w:r>
              <w:rPr>
                <w:rFonts w:ascii="宋体" w:hAnsi="宋体" w:eastAsia="宋体" w:cs="宋体"/>
                <w:spacing w:val="-44"/>
                <w:sz w:val="21"/>
                <w:szCs w:val="21"/>
              </w:rPr>
              <w:t xml:space="preserve"> </w:t>
            </w:r>
            <w:r>
              <w:rPr>
                <w:rFonts w:ascii="宋体" w:hAnsi="宋体" w:eastAsia="宋体" w:cs="宋体"/>
                <w:spacing w:val="-4"/>
                <w:sz w:val="21"/>
                <w:szCs w:val="21"/>
              </w:rPr>
              <w:t>URL</w:t>
            </w:r>
            <w:r>
              <w:rPr>
                <w:rFonts w:ascii="宋体" w:hAnsi="宋体" w:eastAsia="宋体" w:cs="宋体"/>
                <w:spacing w:val="-45"/>
                <w:sz w:val="21"/>
                <w:szCs w:val="21"/>
              </w:rPr>
              <w:t xml:space="preserve"> </w:t>
            </w:r>
            <w:r>
              <w:rPr>
                <w:rFonts w:ascii="宋体" w:hAnsi="宋体" w:eastAsia="宋体" w:cs="宋体"/>
                <w:spacing w:val="-4"/>
                <w:sz w:val="21"/>
                <w:szCs w:val="21"/>
              </w:rPr>
              <w:t>链接。</w:t>
            </w:r>
          </w:p>
        </w:tc>
      </w:tr>
      <w:tr w14:paraId="0DADA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783" w:type="dxa"/>
            <w:vAlign w:val="top"/>
          </w:tcPr>
          <w:p w14:paraId="24F3B7AC">
            <w:pPr>
              <w:spacing w:line="360" w:lineRule="auto"/>
              <w:rPr>
                <w:rFonts w:ascii="Arial"/>
                <w:sz w:val="21"/>
              </w:rPr>
            </w:pPr>
          </w:p>
          <w:p w14:paraId="377AB051">
            <w:pPr>
              <w:spacing w:before="78" w:line="180" w:lineRule="auto"/>
              <w:ind w:left="285"/>
              <w:rPr>
                <w:rFonts w:ascii="宋体" w:hAnsi="宋体" w:eastAsia="宋体" w:cs="宋体"/>
                <w:sz w:val="24"/>
                <w:szCs w:val="24"/>
              </w:rPr>
            </w:pPr>
            <w:r>
              <w:rPr>
                <w:rFonts w:ascii="宋体" w:hAnsi="宋体" w:eastAsia="宋体" w:cs="宋体"/>
                <w:sz w:val="24"/>
                <w:szCs w:val="24"/>
              </w:rPr>
              <w:t>7</w:t>
            </w:r>
          </w:p>
        </w:tc>
        <w:tc>
          <w:tcPr>
            <w:tcW w:w="1273" w:type="dxa"/>
            <w:vAlign w:val="top"/>
          </w:tcPr>
          <w:p w14:paraId="3648FF94">
            <w:pPr>
              <w:spacing w:line="318" w:lineRule="auto"/>
              <w:rPr>
                <w:rFonts w:ascii="Arial"/>
                <w:sz w:val="21"/>
              </w:rPr>
            </w:pPr>
          </w:p>
          <w:p w14:paraId="28B9E26B">
            <w:pPr>
              <w:spacing w:before="78" w:line="219" w:lineRule="auto"/>
              <w:ind w:left="111"/>
              <w:rPr>
                <w:rFonts w:ascii="宋体" w:hAnsi="宋体" w:eastAsia="宋体" w:cs="宋体"/>
                <w:sz w:val="24"/>
                <w:szCs w:val="24"/>
              </w:rPr>
            </w:pPr>
            <w:r>
              <w:rPr>
                <w:rFonts w:ascii="宋体" w:hAnsi="宋体" w:eastAsia="宋体" w:cs="宋体"/>
                <w:spacing w:val="-3"/>
                <w:sz w:val="24"/>
                <w:szCs w:val="24"/>
              </w:rPr>
              <w:t>组织机构</w:t>
            </w:r>
          </w:p>
        </w:tc>
        <w:tc>
          <w:tcPr>
            <w:tcW w:w="7743" w:type="dxa"/>
            <w:vAlign w:val="top"/>
          </w:tcPr>
          <w:p w14:paraId="50834EA4">
            <w:pPr>
              <w:spacing w:before="70" w:line="219" w:lineRule="auto"/>
              <w:ind w:left="124"/>
              <w:rPr>
                <w:rFonts w:ascii="宋体" w:hAnsi="宋体" w:eastAsia="宋体" w:cs="宋体"/>
                <w:sz w:val="21"/>
                <w:szCs w:val="21"/>
              </w:rPr>
            </w:pPr>
            <w:r>
              <w:rPr>
                <w:rFonts w:ascii="宋体" w:hAnsi="宋体" w:eastAsia="宋体" w:cs="宋体"/>
                <w:spacing w:val="-2"/>
                <w:sz w:val="21"/>
                <w:szCs w:val="21"/>
              </w:rPr>
              <w:t>1．支持科室及院区、临床小组、专家库、病区的自定义维护。</w:t>
            </w:r>
          </w:p>
          <w:p w14:paraId="07386775">
            <w:pPr>
              <w:spacing w:before="93" w:line="261" w:lineRule="auto"/>
              <w:ind w:left="110" w:right="102" w:firstLine="1"/>
              <w:rPr>
                <w:rFonts w:ascii="宋体" w:hAnsi="宋体" w:eastAsia="宋体" w:cs="宋体"/>
                <w:sz w:val="21"/>
                <w:szCs w:val="21"/>
              </w:rPr>
            </w:pPr>
            <w:r>
              <w:rPr>
                <w:rFonts w:ascii="宋体" w:hAnsi="宋体" w:eastAsia="宋体" w:cs="宋体"/>
                <w:spacing w:val="1"/>
                <w:sz w:val="21"/>
                <w:szCs w:val="21"/>
              </w:rPr>
              <w:t>2．</w:t>
            </w:r>
            <w:r>
              <w:rPr>
                <w:rFonts w:ascii="宋体" w:hAnsi="宋体" w:eastAsia="宋体" w:cs="宋体"/>
                <w:spacing w:val="-63"/>
                <w:sz w:val="21"/>
                <w:szCs w:val="21"/>
              </w:rPr>
              <w:t xml:space="preserve"> </w:t>
            </w:r>
            <w:r>
              <w:rPr>
                <w:rFonts w:ascii="宋体" w:hAnsi="宋体" w:eastAsia="宋体" w:cs="宋体"/>
                <w:spacing w:val="1"/>
                <w:sz w:val="21"/>
                <w:szCs w:val="21"/>
              </w:rPr>
              <w:t>自定义考核单元，可将人员、科室二次组</w:t>
            </w:r>
            <w:r>
              <w:rPr>
                <w:rFonts w:ascii="宋体" w:hAnsi="宋体" w:eastAsia="宋体" w:cs="宋体"/>
                <w:sz w:val="21"/>
                <w:szCs w:val="21"/>
              </w:rPr>
              <w:t xml:space="preserve">合成不同的考核单元，并可指定第三 </w:t>
            </w:r>
            <w:r>
              <w:rPr>
                <w:rFonts w:ascii="宋体" w:hAnsi="宋体" w:eastAsia="宋体" w:cs="宋体"/>
                <w:spacing w:val="-4"/>
                <w:sz w:val="21"/>
                <w:szCs w:val="21"/>
              </w:rPr>
              <w:t>方系统的唯一标识。</w:t>
            </w:r>
          </w:p>
        </w:tc>
      </w:tr>
      <w:tr w14:paraId="0088F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trPr>
        <w:tc>
          <w:tcPr>
            <w:tcW w:w="783" w:type="dxa"/>
            <w:vAlign w:val="top"/>
          </w:tcPr>
          <w:p w14:paraId="03D9CD45">
            <w:pPr>
              <w:spacing w:line="265" w:lineRule="auto"/>
              <w:rPr>
                <w:rFonts w:ascii="Arial"/>
                <w:sz w:val="21"/>
              </w:rPr>
            </w:pPr>
          </w:p>
          <w:p w14:paraId="2166148B">
            <w:pPr>
              <w:spacing w:line="265" w:lineRule="auto"/>
              <w:rPr>
                <w:rFonts w:ascii="Arial"/>
                <w:sz w:val="21"/>
              </w:rPr>
            </w:pPr>
          </w:p>
          <w:p w14:paraId="79497C4B">
            <w:pPr>
              <w:spacing w:before="78" w:line="181" w:lineRule="auto"/>
              <w:ind w:left="280"/>
              <w:rPr>
                <w:rFonts w:ascii="宋体" w:hAnsi="宋体" w:eastAsia="宋体" w:cs="宋体"/>
                <w:sz w:val="24"/>
                <w:szCs w:val="24"/>
              </w:rPr>
            </w:pPr>
            <w:r>
              <w:rPr>
                <w:rFonts w:ascii="宋体" w:hAnsi="宋体" w:eastAsia="宋体" w:cs="宋体"/>
                <w:sz w:val="24"/>
                <w:szCs w:val="24"/>
              </w:rPr>
              <w:t>8</w:t>
            </w:r>
          </w:p>
        </w:tc>
        <w:tc>
          <w:tcPr>
            <w:tcW w:w="1273" w:type="dxa"/>
            <w:vAlign w:val="top"/>
          </w:tcPr>
          <w:p w14:paraId="4E4F4AA6">
            <w:pPr>
              <w:spacing w:line="245" w:lineRule="auto"/>
              <w:rPr>
                <w:rFonts w:ascii="Arial"/>
                <w:sz w:val="21"/>
              </w:rPr>
            </w:pPr>
          </w:p>
          <w:p w14:paraId="07849909">
            <w:pPr>
              <w:spacing w:line="245" w:lineRule="auto"/>
              <w:rPr>
                <w:rFonts w:ascii="Arial"/>
                <w:sz w:val="21"/>
              </w:rPr>
            </w:pPr>
          </w:p>
          <w:p w14:paraId="65535A97">
            <w:pPr>
              <w:spacing w:before="78" w:line="220" w:lineRule="auto"/>
              <w:ind w:left="113"/>
              <w:rPr>
                <w:rFonts w:ascii="宋体" w:hAnsi="宋体" w:eastAsia="宋体" w:cs="宋体"/>
                <w:sz w:val="24"/>
                <w:szCs w:val="24"/>
              </w:rPr>
            </w:pPr>
            <w:r>
              <w:rPr>
                <w:rFonts w:ascii="宋体" w:hAnsi="宋体" w:eastAsia="宋体" w:cs="宋体"/>
                <w:spacing w:val="-3"/>
                <w:sz w:val="24"/>
                <w:szCs w:val="24"/>
              </w:rPr>
              <w:t>系统监控</w:t>
            </w:r>
          </w:p>
        </w:tc>
        <w:tc>
          <w:tcPr>
            <w:tcW w:w="7743" w:type="dxa"/>
            <w:vAlign w:val="top"/>
          </w:tcPr>
          <w:p w14:paraId="5770267F">
            <w:pPr>
              <w:spacing w:before="72" w:line="261" w:lineRule="auto"/>
              <w:ind w:left="109" w:right="102" w:firstLine="15"/>
              <w:rPr>
                <w:rFonts w:ascii="宋体" w:hAnsi="宋体" w:eastAsia="宋体" w:cs="宋体"/>
                <w:sz w:val="21"/>
                <w:szCs w:val="21"/>
              </w:rPr>
            </w:pPr>
            <w:r>
              <w:rPr>
                <w:rFonts w:ascii="宋体" w:hAnsi="宋体" w:eastAsia="宋体" w:cs="宋体"/>
                <w:spacing w:val="1"/>
                <w:sz w:val="21"/>
                <w:szCs w:val="21"/>
              </w:rPr>
              <w:t>1．支持查看监控系统运行状态指标，包括用户数、登录次数、附件数量、报表数</w:t>
            </w:r>
            <w:r>
              <w:rPr>
                <w:rFonts w:ascii="宋体" w:hAnsi="宋体" w:eastAsia="宋体" w:cs="宋体"/>
                <w:spacing w:val="13"/>
                <w:sz w:val="21"/>
                <w:szCs w:val="21"/>
              </w:rPr>
              <w:t xml:space="preserve"> </w:t>
            </w:r>
            <w:r>
              <w:rPr>
                <w:rFonts w:ascii="宋体" w:hAnsi="宋体" w:eastAsia="宋体" w:cs="宋体"/>
                <w:spacing w:val="-5"/>
                <w:sz w:val="21"/>
                <w:szCs w:val="21"/>
              </w:rPr>
              <w:t>量、系统错误。</w:t>
            </w:r>
          </w:p>
          <w:p w14:paraId="772CFBF7">
            <w:pPr>
              <w:spacing w:before="90" w:line="220" w:lineRule="auto"/>
              <w:ind w:left="111"/>
              <w:rPr>
                <w:rFonts w:ascii="宋体" w:hAnsi="宋体" w:eastAsia="宋体" w:cs="宋体"/>
                <w:sz w:val="21"/>
                <w:szCs w:val="21"/>
              </w:rPr>
            </w:pPr>
            <w:r>
              <w:rPr>
                <w:rFonts w:ascii="宋体" w:hAnsi="宋体" w:eastAsia="宋体" w:cs="宋体"/>
                <w:spacing w:val="-3"/>
                <w:sz w:val="21"/>
                <w:szCs w:val="21"/>
              </w:rPr>
              <w:t>2．支持按柱状图方式查看用户登录次数。</w:t>
            </w:r>
          </w:p>
          <w:p w14:paraId="534750C8">
            <w:pPr>
              <w:spacing w:before="92" w:line="220" w:lineRule="auto"/>
              <w:ind w:left="113"/>
              <w:rPr>
                <w:rFonts w:ascii="宋体" w:hAnsi="宋体" w:eastAsia="宋体" w:cs="宋体"/>
                <w:sz w:val="21"/>
                <w:szCs w:val="21"/>
              </w:rPr>
            </w:pPr>
            <w:r>
              <w:rPr>
                <w:rFonts w:ascii="宋体" w:hAnsi="宋体" w:eastAsia="宋体" w:cs="宋体"/>
                <w:spacing w:val="-1"/>
                <w:sz w:val="21"/>
                <w:szCs w:val="21"/>
              </w:rPr>
              <w:t>3．支持查看微服务架构的各种服务状态，</w:t>
            </w:r>
            <w:r>
              <w:rPr>
                <w:rFonts w:ascii="宋体" w:hAnsi="宋体" w:eastAsia="宋体" w:cs="宋体"/>
                <w:spacing w:val="-2"/>
                <w:sz w:val="21"/>
                <w:szCs w:val="21"/>
              </w:rPr>
              <w:t>可启动、关闭指定的服务。</w:t>
            </w:r>
          </w:p>
        </w:tc>
      </w:tr>
      <w:tr w14:paraId="1DE66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799" w:type="dxa"/>
            <w:gridSpan w:val="3"/>
            <w:vAlign w:val="top"/>
          </w:tcPr>
          <w:p w14:paraId="1D428620">
            <w:pPr>
              <w:spacing w:before="184" w:line="220" w:lineRule="auto"/>
              <w:ind w:left="3982"/>
              <w:rPr>
                <w:rFonts w:ascii="宋体" w:hAnsi="宋体" w:eastAsia="宋体" w:cs="宋体"/>
                <w:sz w:val="24"/>
                <w:szCs w:val="24"/>
              </w:rPr>
            </w:pPr>
            <w:r>
              <w:rPr>
                <w:rFonts w:ascii="宋体" w:hAnsi="宋体" w:eastAsia="宋体" w:cs="宋体"/>
                <w:b/>
                <w:bCs/>
                <w:spacing w:val="-8"/>
                <w:sz w:val="24"/>
                <w:szCs w:val="24"/>
              </w:rPr>
              <w:t>(十一)指标库管理</w:t>
            </w:r>
          </w:p>
        </w:tc>
      </w:tr>
      <w:tr w14:paraId="59C7E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783" w:type="dxa"/>
            <w:vAlign w:val="top"/>
          </w:tcPr>
          <w:p w14:paraId="348049AA">
            <w:pPr>
              <w:spacing w:before="184"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67985501">
            <w:pPr>
              <w:spacing w:before="184"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1C34A834">
            <w:pPr>
              <w:spacing w:before="199" w:line="221" w:lineRule="auto"/>
              <w:ind w:left="3455"/>
              <w:rPr>
                <w:rFonts w:ascii="宋体" w:hAnsi="宋体" w:eastAsia="宋体" w:cs="宋体"/>
                <w:sz w:val="21"/>
                <w:szCs w:val="21"/>
              </w:rPr>
            </w:pPr>
            <w:r>
              <w:rPr>
                <w:rFonts w:ascii="宋体" w:hAnsi="宋体" w:eastAsia="宋体" w:cs="宋体"/>
                <w:b/>
                <w:bCs/>
                <w:spacing w:val="-5"/>
                <w:sz w:val="21"/>
                <w:szCs w:val="21"/>
              </w:rPr>
              <w:t>功能要求</w:t>
            </w:r>
          </w:p>
        </w:tc>
      </w:tr>
      <w:tr w14:paraId="32018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83" w:type="dxa"/>
            <w:vAlign w:val="top"/>
          </w:tcPr>
          <w:p w14:paraId="7ECDE60C">
            <w:pPr>
              <w:spacing w:before="269" w:line="181" w:lineRule="auto"/>
              <w:ind w:left="280"/>
              <w:rPr>
                <w:rFonts w:ascii="宋体" w:hAnsi="宋体" w:eastAsia="宋体" w:cs="宋体"/>
                <w:sz w:val="24"/>
                <w:szCs w:val="24"/>
              </w:rPr>
            </w:pPr>
            <w:r>
              <w:rPr>
                <w:rFonts w:ascii="宋体" w:hAnsi="宋体" w:eastAsia="宋体" w:cs="宋体"/>
                <w:sz w:val="24"/>
                <w:szCs w:val="24"/>
              </w:rPr>
              <w:t>9</w:t>
            </w:r>
          </w:p>
        </w:tc>
        <w:tc>
          <w:tcPr>
            <w:tcW w:w="1273" w:type="dxa"/>
            <w:vAlign w:val="top"/>
          </w:tcPr>
          <w:p w14:paraId="701C361D">
            <w:pPr>
              <w:spacing w:before="228" w:line="220" w:lineRule="auto"/>
              <w:ind w:left="111"/>
              <w:rPr>
                <w:rFonts w:ascii="宋体" w:hAnsi="宋体" w:eastAsia="宋体" w:cs="宋体"/>
                <w:sz w:val="24"/>
                <w:szCs w:val="24"/>
              </w:rPr>
            </w:pPr>
            <w:r>
              <w:rPr>
                <w:rFonts w:ascii="宋体" w:hAnsi="宋体" w:eastAsia="宋体" w:cs="宋体"/>
                <w:spacing w:val="25"/>
                <w:sz w:val="24"/>
                <w:szCs w:val="24"/>
              </w:rPr>
              <w:t>指标库管</w:t>
            </w:r>
          </w:p>
        </w:tc>
        <w:tc>
          <w:tcPr>
            <w:tcW w:w="7743" w:type="dxa"/>
            <w:vAlign w:val="top"/>
          </w:tcPr>
          <w:p w14:paraId="6486BE42">
            <w:pPr>
              <w:spacing w:before="72" w:line="267" w:lineRule="auto"/>
              <w:ind w:left="113" w:right="102" w:firstLine="11"/>
              <w:rPr>
                <w:rFonts w:ascii="宋体" w:hAnsi="宋体" w:eastAsia="宋体" w:cs="宋体"/>
                <w:sz w:val="21"/>
                <w:szCs w:val="21"/>
              </w:rPr>
            </w:pPr>
            <w:r>
              <w:rPr>
                <w:rFonts w:ascii="宋体" w:hAnsi="宋体" w:eastAsia="宋体" w:cs="宋体"/>
                <w:spacing w:val="1"/>
                <w:sz w:val="21"/>
                <w:szCs w:val="21"/>
              </w:rPr>
              <w:t>1．支持自定义指标配置，统一管理考核指标。支持对数据来源（采集、填报、公</w:t>
            </w:r>
            <w:r>
              <w:rPr>
                <w:rFonts w:ascii="宋体" w:hAnsi="宋体" w:eastAsia="宋体" w:cs="宋体"/>
                <w:spacing w:val="13"/>
                <w:sz w:val="21"/>
                <w:szCs w:val="21"/>
              </w:rPr>
              <w:t xml:space="preserve"> </w:t>
            </w:r>
            <w:r>
              <w:rPr>
                <w:rFonts w:ascii="宋体" w:hAnsi="宋体" w:eastAsia="宋体" w:cs="宋体"/>
                <w:spacing w:val="-1"/>
                <w:sz w:val="21"/>
                <w:szCs w:val="21"/>
              </w:rPr>
              <w:t>式计算）类型、指标监测方向（正向、反向）、考核级别、数</w:t>
            </w:r>
            <w:r>
              <w:rPr>
                <w:rFonts w:ascii="宋体" w:hAnsi="宋体" w:eastAsia="宋体" w:cs="宋体"/>
                <w:spacing w:val="-2"/>
                <w:sz w:val="21"/>
                <w:szCs w:val="21"/>
              </w:rPr>
              <w:t>据来源进行设置。</w:t>
            </w:r>
          </w:p>
        </w:tc>
      </w:tr>
    </w:tbl>
    <w:p w14:paraId="04F25DDB">
      <w:pPr>
        <w:pStyle w:val="2"/>
        <w:spacing w:line="255" w:lineRule="auto"/>
      </w:pPr>
    </w:p>
    <w:p w14:paraId="509AF63B">
      <w:pPr>
        <w:pStyle w:val="2"/>
        <w:spacing w:line="256" w:lineRule="auto"/>
      </w:pPr>
    </w:p>
    <w:p w14:paraId="341639E5">
      <w:pPr>
        <w:spacing w:before="62" w:line="209" w:lineRule="auto"/>
        <w:ind w:left="148"/>
        <w:rPr>
          <w:rFonts w:ascii="宋体" w:hAnsi="宋体" w:eastAsia="宋体" w:cs="宋体"/>
          <w:sz w:val="19"/>
          <w:szCs w:val="19"/>
        </w:rPr>
      </w:pPr>
      <w:r>
        <w:pict>
          <v:shape id="_x0000_s1053" o:spid="_x0000_s1053" style="position:absolute;left:0pt;margin-left:1.95pt;margin-top:11.85pt;height:0.75pt;width:494pt;z-index:251698176;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33                                </w:t>
      </w:r>
      <w:r>
        <w:rPr>
          <w:rFonts w:ascii="宋体" w:hAnsi="宋体" w:eastAsia="宋体" w:cs="宋体"/>
          <w:b/>
          <w:bCs/>
          <w:i/>
          <w:iCs/>
          <w:spacing w:val="-3"/>
          <w:sz w:val="19"/>
          <w:szCs w:val="19"/>
        </w:rPr>
        <w:t>伊犁州公共资源交易中心</w:t>
      </w:r>
    </w:p>
    <w:p w14:paraId="560CED29">
      <w:pPr>
        <w:spacing w:line="209" w:lineRule="auto"/>
        <w:rPr>
          <w:rFonts w:ascii="宋体" w:hAnsi="宋体" w:eastAsia="宋体" w:cs="宋体"/>
          <w:sz w:val="19"/>
          <w:szCs w:val="19"/>
        </w:rPr>
        <w:sectPr>
          <w:pgSz w:w="11905" w:h="16839"/>
          <w:pgMar w:top="1136" w:right="830" w:bottom="400" w:left="1126" w:header="854" w:footer="0" w:gutter="0"/>
          <w:cols w:space="720" w:num="1"/>
        </w:sectPr>
      </w:pPr>
    </w:p>
    <w:p w14:paraId="7B764065">
      <w:pPr>
        <w:spacing w:before="38"/>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3"/>
        <w:gridCol w:w="7743"/>
      </w:tblGrid>
      <w:tr w14:paraId="08996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3" w:type="dxa"/>
            <w:vAlign w:val="top"/>
          </w:tcPr>
          <w:p w14:paraId="4EB9B310">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31F4000D">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50521032">
            <w:pPr>
              <w:spacing w:before="179"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1D7D2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trPr>
        <w:tc>
          <w:tcPr>
            <w:tcW w:w="783" w:type="dxa"/>
            <w:vAlign w:val="top"/>
          </w:tcPr>
          <w:p w14:paraId="2B976C4B">
            <w:pPr>
              <w:rPr>
                <w:rFonts w:ascii="Arial"/>
                <w:sz w:val="21"/>
              </w:rPr>
            </w:pPr>
          </w:p>
        </w:tc>
        <w:tc>
          <w:tcPr>
            <w:tcW w:w="1273" w:type="dxa"/>
            <w:vAlign w:val="top"/>
          </w:tcPr>
          <w:p w14:paraId="4437BE5C">
            <w:pPr>
              <w:spacing w:before="175" w:line="230" w:lineRule="auto"/>
              <w:ind w:left="111"/>
              <w:rPr>
                <w:rFonts w:ascii="宋体" w:hAnsi="宋体" w:eastAsia="宋体" w:cs="宋体"/>
                <w:sz w:val="24"/>
                <w:szCs w:val="24"/>
              </w:rPr>
            </w:pPr>
            <w:r>
              <w:rPr>
                <w:rFonts w:ascii="宋体" w:hAnsi="宋体" w:eastAsia="宋体" w:cs="宋体"/>
                <w:sz w:val="24"/>
                <w:szCs w:val="24"/>
              </w:rPr>
              <w:t>理</w:t>
            </w:r>
          </w:p>
        </w:tc>
        <w:tc>
          <w:tcPr>
            <w:tcW w:w="7743" w:type="dxa"/>
            <w:vAlign w:val="top"/>
          </w:tcPr>
          <w:p w14:paraId="517E7647">
            <w:pPr>
              <w:spacing w:before="64" w:line="260" w:lineRule="auto"/>
              <w:ind w:left="110" w:right="102"/>
              <w:rPr>
                <w:rFonts w:ascii="宋体" w:hAnsi="宋体" w:eastAsia="宋体" w:cs="宋体"/>
                <w:sz w:val="21"/>
                <w:szCs w:val="21"/>
              </w:rPr>
            </w:pPr>
            <w:r>
              <w:rPr>
                <w:rFonts w:ascii="宋体" w:hAnsi="宋体" w:eastAsia="宋体" w:cs="宋体"/>
                <w:spacing w:val="2"/>
                <w:sz w:val="21"/>
                <w:szCs w:val="21"/>
              </w:rPr>
              <w:t>2．支持采集、公式、用户录入（填报）三种指标类型，公</w:t>
            </w:r>
            <w:r>
              <w:rPr>
                <w:rFonts w:ascii="宋体" w:hAnsi="宋体" w:eastAsia="宋体" w:cs="宋体"/>
                <w:spacing w:val="1"/>
                <w:sz w:val="21"/>
                <w:szCs w:val="21"/>
              </w:rPr>
              <w:t>式类指标可引用采集与</w:t>
            </w:r>
            <w:r>
              <w:rPr>
                <w:rFonts w:ascii="宋体" w:hAnsi="宋体" w:eastAsia="宋体" w:cs="宋体"/>
                <w:sz w:val="21"/>
                <w:szCs w:val="21"/>
              </w:rPr>
              <w:t xml:space="preserve"> </w:t>
            </w:r>
            <w:r>
              <w:rPr>
                <w:rFonts w:ascii="宋体" w:hAnsi="宋体" w:eastAsia="宋体" w:cs="宋体"/>
                <w:spacing w:val="-2"/>
                <w:sz w:val="21"/>
                <w:szCs w:val="21"/>
              </w:rPr>
              <w:t>填报指标，公式支持最大值、最小值、平均值、方差等计算函数。</w:t>
            </w:r>
          </w:p>
          <w:p w14:paraId="3478376E">
            <w:pPr>
              <w:spacing w:before="93" w:line="261" w:lineRule="auto"/>
              <w:ind w:left="108" w:right="102" w:firstLine="5"/>
              <w:rPr>
                <w:rFonts w:ascii="宋体" w:hAnsi="宋体" w:eastAsia="宋体" w:cs="宋体"/>
                <w:sz w:val="21"/>
                <w:szCs w:val="21"/>
              </w:rPr>
            </w:pPr>
            <w:r>
              <w:rPr>
                <w:rFonts w:ascii="宋体" w:hAnsi="宋体" w:eastAsia="宋体" w:cs="宋体"/>
                <w:sz w:val="21"/>
                <w:szCs w:val="21"/>
              </w:rPr>
              <w:t>3.</w:t>
            </w:r>
            <w:r>
              <w:rPr>
                <w:rFonts w:ascii="宋体" w:hAnsi="宋体" w:eastAsia="宋体" w:cs="宋体"/>
                <w:spacing w:val="61"/>
                <w:sz w:val="21"/>
                <w:szCs w:val="21"/>
              </w:rPr>
              <w:t xml:space="preserve"> </w:t>
            </w:r>
            <w:r>
              <w:rPr>
                <w:rFonts w:ascii="宋体" w:hAnsi="宋体" w:eastAsia="宋体" w:cs="宋体"/>
                <w:sz w:val="21"/>
                <w:szCs w:val="21"/>
              </w:rPr>
              <w:t xml:space="preserve">★用户可自行添加指标，并支持同一指标多个版本；指标可配置对应的分析报 </w:t>
            </w:r>
            <w:r>
              <w:rPr>
                <w:rFonts w:ascii="宋体" w:hAnsi="宋体" w:eastAsia="宋体" w:cs="宋体"/>
                <w:spacing w:val="-10"/>
                <w:sz w:val="21"/>
                <w:szCs w:val="21"/>
              </w:rPr>
              <w:t>表。</w:t>
            </w:r>
          </w:p>
          <w:p w14:paraId="550C301D">
            <w:pPr>
              <w:spacing w:before="90" w:line="220" w:lineRule="auto"/>
              <w:ind w:left="108"/>
              <w:rPr>
                <w:rFonts w:ascii="宋体" w:hAnsi="宋体" w:eastAsia="宋体" w:cs="宋体"/>
                <w:sz w:val="21"/>
                <w:szCs w:val="21"/>
              </w:rPr>
            </w:pPr>
            <w:r>
              <w:rPr>
                <w:rFonts w:ascii="宋体" w:hAnsi="宋体" w:eastAsia="宋体" w:cs="宋体"/>
                <w:spacing w:val="-1"/>
                <w:sz w:val="21"/>
                <w:szCs w:val="21"/>
              </w:rPr>
              <w:t>4．指标体系可自义树形目录来组织指标 ，指标可自定</w:t>
            </w:r>
            <w:r>
              <w:rPr>
                <w:rFonts w:ascii="宋体" w:hAnsi="宋体" w:eastAsia="宋体" w:cs="宋体"/>
                <w:spacing w:val="-2"/>
                <w:sz w:val="21"/>
                <w:szCs w:val="21"/>
              </w:rPr>
              <w:t>义指标等级。</w:t>
            </w:r>
          </w:p>
          <w:p w14:paraId="4CB1C55F">
            <w:pPr>
              <w:spacing w:before="93" w:line="274" w:lineRule="auto"/>
              <w:ind w:left="110" w:firstLine="2"/>
              <w:rPr>
                <w:rFonts w:ascii="宋体" w:hAnsi="宋体" w:eastAsia="宋体" w:cs="宋体"/>
                <w:sz w:val="21"/>
                <w:szCs w:val="21"/>
              </w:rPr>
            </w:pPr>
            <w:r>
              <w:rPr>
                <w:rFonts w:ascii="宋体" w:hAnsi="宋体" w:eastAsia="宋体" w:cs="宋体"/>
                <w:spacing w:val="2"/>
                <w:sz w:val="21"/>
                <w:szCs w:val="21"/>
              </w:rPr>
              <w:t>5．指标支持配置基于时间粒度的自动汇聚算法，</w:t>
            </w:r>
            <w:r>
              <w:rPr>
                <w:rFonts w:ascii="宋体" w:hAnsi="宋体" w:eastAsia="宋体" w:cs="宋体"/>
                <w:spacing w:val="1"/>
                <w:sz w:val="21"/>
                <w:szCs w:val="21"/>
              </w:rPr>
              <w:t>如填报了月度数据，可根据汇聚</w:t>
            </w:r>
            <w:r>
              <w:rPr>
                <w:rFonts w:ascii="宋体" w:hAnsi="宋体" w:eastAsia="宋体" w:cs="宋体"/>
                <w:sz w:val="21"/>
                <w:szCs w:val="21"/>
              </w:rPr>
              <w:t xml:space="preserve">  </w:t>
            </w:r>
            <w:r>
              <w:rPr>
                <w:rFonts w:ascii="宋体" w:hAnsi="宋体" w:eastAsia="宋体" w:cs="宋体"/>
                <w:spacing w:val="-1"/>
                <w:sz w:val="21"/>
                <w:szCs w:val="21"/>
              </w:rPr>
              <w:t>算法自动计算出年度累计数；算法包含合计、平均值、最大值 、最</w:t>
            </w:r>
            <w:r>
              <w:rPr>
                <w:rFonts w:ascii="宋体" w:hAnsi="宋体" w:eastAsia="宋体" w:cs="宋体"/>
                <w:spacing w:val="-2"/>
                <w:sz w:val="21"/>
                <w:szCs w:val="21"/>
              </w:rPr>
              <w:t>小值、期初值、</w:t>
            </w:r>
            <w:r>
              <w:rPr>
                <w:rFonts w:ascii="宋体" w:hAnsi="宋体" w:eastAsia="宋体" w:cs="宋体"/>
                <w:sz w:val="21"/>
                <w:szCs w:val="21"/>
              </w:rPr>
              <w:t xml:space="preserve"> </w:t>
            </w:r>
            <w:r>
              <w:rPr>
                <w:rFonts w:ascii="宋体" w:hAnsi="宋体" w:eastAsia="宋体" w:cs="宋体"/>
                <w:spacing w:val="-3"/>
                <w:sz w:val="21"/>
                <w:szCs w:val="21"/>
              </w:rPr>
              <w:t>期末值、（期初+期末）/2</w:t>
            </w:r>
            <w:r>
              <w:rPr>
                <w:rFonts w:ascii="宋体" w:hAnsi="宋体" w:eastAsia="宋体" w:cs="宋体"/>
                <w:spacing w:val="-30"/>
                <w:sz w:val="21"/>
                <w:szCs w:val="21"/>
              </w:rPr>
              <w:t xml:space="preserve"> </w:t>
            </w:r>
            <w:r>
              <w:rPr>
                <w:rFonts w:ascii="宋体" w:hAnsi="宋体" w:eastAsia="宋体" w:cs="宋体"/>
                <w:spacing w:val="-3"/>
                <w:sz w:val="21"/>
                <w:szCs w:val="21"/>
              </w:rPr>
              <w:t>等。</w:t>
            </w:r>
          </w:p>
          <w:p w14:paraId="79224459">
            <w:pPr>
              <w:spacing w:before="92" w:line="220" w:lineRule="auto"/>
              <w:ind w:left="110"/>
              <w:rPr>
                <w:rFonts w:ascii="宋体" w:hAnsi="宋体" w:eastAsia="宋体" w:cs="宋体"/>
                <w:sz w:val="21"/>
                <w:szCs w:val="21"/>
              </w:rPr>
            </w:pPr>
            <w:r>
              <w:rPr>
                <w:rFonts w:ascii="宋体" w:hAnsi="宋体" w:eastAsia="宋体" w:cs="宋体"/>
                <w:spacing w:val="-1"/>
                <w:sz w:val="21"/>
                <w:szCs w:val="21"/>
              </w:rPr>
              <w:t>6．填报指标可指定“继承前期”选项，填报时可自动继承上一期间的填报</w:t>
            </w:r>
            <w:r>
              <w:rPr>
                <w:rFonts w:ascii="宋体" w:hAnsi="宋体" w:eastAsia="宋体" w:cs="宋体"/>
                <w:spacing w:val="-2"/>
                <w:sz w:val="21"/>
                <w:szCs w:val="21"/>
              </w:rPr>
              <w:t>值。</w:t>
            </w:r>
          </w:p>
        </w:tc>
      </w:tr>
      <w:tr w14:paraId="1FDAE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trPr>
        <w:tc>
          <w:tcPr>
            <w:tcW w:w="783" w:type="dxa"/>
            <w:vAlign w:val="top"/>
          </w:tcPr>
          <w:p w14:paraId="1BF2496F">
            <w:pPr>
              <w:spacing w:line="274" w:lineRule="auto"/>
              <w:rPr>
                <w:rFonts w:ascii="Arial"/>
                <w:sz w:val="21"/>
              </w:rPr>
            </w:pPr>
          </w:p>
          <w:p w14:paraId="5134807A">
            <w:pPr>
              <w:spacing w:line="275" w:lineRule="auto"/>
              <w:rPr>
                <w:rFonts w:ascii="Arial"/>
                <w:sz w:val="21"/>
              </w:rPr>
            </w:pPr>
          </w:p>
          <w:p w14:paraId="2EC686C1">
            <w:pPr>
              <w:spacing w:line="275" w:lineRule="auto"/>
              <w:rPr>
                <w:rFonts w:ascii="Arial"/>
                <w:sz w:val="21"/>
              </w:rPr>
            </w:pPr>
          </w:p>
          <w:p w14:paraId="07D2C42D">
            <w:pPr>
              <w:spacing w:line="275" w:lineRule="auto"/>
              <w:rPr>
                <w:rFonts w:ascii="Arial"/>
                <w:sz w:val="21"/>
              </w:rPr>
            </w:pPr>
          </w:p>
          <w:p w14:paraId="3263E439">
            <w:pPr>
              <w:spacing w:line="275" w:lineRule="auto"/>
              <w:rPr>
                <w:rFonts w:ascii="Arial"/>
                <w:sz w:val="21"/>
              </w:rPr>
            </w:pPr>
          </w:p>
          <w:p w14:paraId="07751B51">
            <w:pPr>
              <w:spacing w:before="78" w:line="182" w:lineRule="auto"/>
              <w:ind w:left="237"/>
              <w:rPr>
                <w:rFonts w:ascii="宋体" w:hAnsi="宋体" w:eastAsia="宋体" w:cs="宋体"/>
                <w:sz w:val="24"/>
                <w:szCs w:val="24"/>
              </w:rPr>
            </w:pPr>
            <w:r>
              <w:rPr>
                <w:rFonts w:ascii="宋体" w:hAnsi="宋体" w:eastAsia="宋体" w:cs="宋体"/>
                <w:spacing w:val="-7"/>
                <w:sz w:val="24"/>
                <w:szCs w:val="24"/>
              </w:rPr>
              <w:t>10</w:t>
            </w:r>
          </w:p>
        </w:tc>
        <w:tc>
          <w:tcPr>
            <w:tcW w:w="1273" w:type="dxa"/>
            <w:vAlign w:val="top"/>
          </w:tcPr>
          <w:p w14:paraId="3CDCE91F">
            <w:pPr>
              <w:spacing w:line="267" w:lineRule="auto"/>
              <w:rPr>
                <w:rFonts w:ascii="Arial"/>
                <w:sz w:val="21"/>
              </w:rPr>
            </w:pPr>
          </w:p>
          <w:p w14:paraId="7BC8E2ED">
            <w:pPr>
              <w:spacing w:line="267" w:lineRule="auto"/>
              <w:rPr>
                <w:rFonts w:ascii="Arial"/>
                <w:sz w:val="21"/>
              </w:rPr>
            </w:pPr>
          </w:p>
          <w:p w14:paraId="13E1153A">
            <w:pPr>
              <w:spacing w:line="267" w:lineRule="auto"/>
              <w:rPr>
                <w:rFonts w:ascii="Arial"/>
                <w:sz w:val="21"/>
              </w:rPr>
            </w:pPr>
          </w:p>
          <w:p w14:paraId="275A389F">
            <w:pPr>
              <w:spacing w:line="267" w:lineRule="auto"/>
              <w:rPr>
                <w:rFonts w:ascii="Arial"/>
                <w:sz w:val="21"/>
              </w:rPr>
            </w:pPr>
          </w:p>
          <w:p w14:paraId="62FFD175">
            <w:pPr>
              <w:spacing w:line="267" w:lineRule="auto"/>
              <w:rPr>
                <w:rFonts w:ascii="Arial"/>
                <w:sz w:val="21"/>
              </w:rPr>
            </w:pPr>
          </w:p>
          <w:p w14:paraId="08B39492">
            <w:pPr>
              <w:spacing w:before="78" w:line="220" w:lineRule="auto"/>
              <w:ind w:left="108"/>
              <w:rPr>
                <w:rFonts w:ascii="宋体" w:hAnsi="宋体" w:eastAsia="宋体" w:cs="宋体"/>
                <w:sz w:val="24"/>
                <w:szCs w:val="24"/>
              </w:rPr>
            </w:pPr>
            <w:r>
              <w:rPr>
                <w:rFonts w:ascii="宋体" w:hAnsi="宋体" w:eastAsia="宋体" w:cs="宋体"/>
                <w:spacing w:val="-2"/>
                <w:sz w:val="24"/>
                <w:szCs w:val="24"/>
              </w:rPr>
              <w:t>考核方案</w:t>
            </w:r>
          </w:p>
        </w:tc>
        <w:tc>
          <w:tcPr>
            <w:tcW w:w="7743" w:type="dxa"/>
            <w:vAlign w:val="top"/>
          </w:tcPr>
          <w:p w14:paraId="3D938E8E">
            <w:pPr>
              <w:spacing w:before="65" w:line="220" w:lineRule="auto"/>
              <w:ind w:left="124"/>
              <w:rPr>
                <w:rFonts w:ascii="宋体" w:hAnsi="宋体" w:eastAsia="宋体" w:cs="宋体"/>
                <w:sz w:val="21"/>
                <w:szCs w:val="21"/>
              </w:rPr>
            </w:pPr>
            <w:r>
              <w:rPr>
                <w:rFonts w:ascii="宋体" w:hAnsi="宋体" w:eastAsia="宋体" w:cs="宋体"/>
                <w:spacing w:val="-3"/>
                <w:sz w:val="21"/>
                <w:szCs w:val="21"/>
              </w:rPr>
              <w:t>1．标准方案：支持为指标设置标准分值权重。</w:t>
            </w:r>
          </w:p>
          <w:p w14:paraId="168E7DAA">
            <w:pPr>
              <w:spacing w:before="92" w:line="220" w:lineRule="auto"/>
              <w:ind w:left="111"/>
              <w:rPr>
                <w:rFonts w:ascii="宋体" w:hAnsi="宋体" w:eastAsia="宋体" w:cs="宋体"/>
                <w:sz w:val="21"/>
                <w:szCs w:val="21"/>
              </w:rPr>
            </w:pPr>
            <w:r>
              <w:rPr>
                <w:rFonts w:ascii="宋体" w:hAnsi="宋体" w:eastAsia="宋体" w:cs="宋体"/>
                <w:spacing w:val="-2"/>
                <w:sz w:val="21"/>
                <w:szCs w:val="21"/>
              </w:rPr>
              <w:t>2．内控方案：不同的考核单可设置不同的考核指标及分值权重。</w:t>
            </w:r>
          </w:p>
          <w:p w14:paraId="3D64FFED">
            <w:pPr>
              <w:spacing w:before="92" w:line="261" w:lineRule="auto"/>
              <w:ind w:left="108" w:right="102" w:firstLine="5"/>
              <w:rPr>
                <w:rFonts w:ascii="宋体" w:hAnsi="宋体" w:eastAsia="宋体" w:cs="宋体"/>
                <w:sz w:val="21"/>
                <w:szCs w:val="21"/>
              </w:rPr>
            </w:pPr>
            <w:r>
              <w:rPr>
                <w:rFonts w:ascii="宋体" w:hAnsi="宋体" w:eastAsia="宋体" w:cs="宋体"/>
                <w:spacing w:val="2"/>
                <w:sz w:val="21"/>
                <w:szCs w:val="21"/>
              </w:rPr>
              <w:t>3．支持积分方案，支持设定记分上限及记分项目的分值</w:t>
            </w:r>
            <w:r>
              <w:rPr>
                <w:rFonts w:ascii="宋体" w:hAnsi="宋体" w:eastAsia="宋体" w:cs="宋体"/>
                <w:spacing w:val="1"/>
                <w:sz w:val="21"/>
                <w:szCs w:val="21"/>
              </w:rPr>
              <w:t>；可按分数分段配置发生</w:t>
            </w:r>
            <w:r>
              <w:rPr>
                <w:rFonts w:ascii="宋体" w:hAnsi="宋体" w:eastAsia="宋体" w:cs="宋体"/>
                <w:sz w:val="21"/>
                <w:szCs w:val="21"/>
              </w:rPr>
              <w:t xml:space="preserve"> </w:t>
            </w:r>
            <w:r>
              <w:rPr>
                <w:rFonts w:ascii="宋体" w:hAnsi="宋体" w:eastAsia="宋体" w:cs="宋体"/>
                <w:spacing w:val="-4"/>
                <w:sz w:val="21"/>
                <w:szCs w:val="21"/>
              </w:rPr>
              <w:t>记分扣罚时的处理措施。</w:t>
            </w:r>
          </w:p>
          <w:p w14:paraId="4A270BF6">
            <w:pPr>
              <w:spacing w:before="92" w:line="260" w:lineRule="auto"/>
              <w:ind w:left="122" w:right="102" w:hanging="14"/>
              <w:rPr>
                <w:rFonts w:ascii="宋体" w:hAnsi="宋体" w:eastAsia="宋体" w:cs="宋体"/>
                <w:sz w:val="21"/>
                <w:szCs w:val="21"/>
              </w:rPr>
            </w:pPr>
            <w:r>
              <w:rPr>
                <w:rFonts w:ascii="宋体" w:hAnsi="宋体" w:eastAsia="宋体" w:cs="宋体"/>
                <w:spacing w:val="2"/>
                <w:sz w:val="21"/>
                <w:szCs w:val="21"/>
              </w:rPr>
              <w:t>4．指标目标值与报警阈值设定支持引用具体值、上期值、同期值的</w:t>
            </w:r>
            <w:r>
              <w:rPr>
                <w:rFonts w:ascii="宋体" w:hAnsi="宋体" w:eastAsia="宋体" w:cs="宋体"/>
                <w:spacing w:val="1"/>
                <w:sz w:val="21"/>
                <w:szCs w:val="21"/>
              </w:rPr>
              <w:t>百分比；计算</w:t>
            </w:r>
            <w:r>
              <w:rPr>
                <w:rFonts w:ascii="宋体" w:hAnsi="宋体" w:eastAsia="宋体" w:cs="宋体"/>
                <w:sz w:val="21"/>
                <w:szCs w:val="21"/>
              </w:rPr>
              <w:t xml:space="preserve"> </w:t>
            </w:r>
            <w:r>
              <w:rPr>
                <w:rFonts w:ascii="宋体" w:hAnsi="宋体" w:eastAsia="宋体" w:cs="宋体"/>
                <w:spacing w:val="-3"/>
                <w:sz w:val="21"/>
                <w:szCs w:val="21"/>
              </w:rPr>
              <w:t>函数包含大于、小于、介于、不介于类型。</w:t>
            </w:r>
          </w:p>
          <w:p w14:paraId="2CC610A4">
            <w:pPr>
              <w:spacing w:before="93" w:line="220" w:lineRule="auto"/>
              <w:ind w:left="113"/>
              <w:rPr>
                <w:rFonts w:ascii="宋体" w:hAnsi="宋体" w:eastAsia="宋体" w:cs="宋体"/>
                <w:sz w:val="21"/>
                <w:szCs w:val="21"/>
              </w:rPr>
            </w:pPr>
            <w:r>
              <w:rPr>
                <w:rFonts w:ascii="宋体" w:hAnsi="宋体" w:eastAsia="宋体" w:cs="宋体"/>
                <w:spacing w:val="-1"/>
                <w:sz w:val="21"/>
                <w:szCs w:val="21"/>
              </w:rPr>
              <w:t>5．支持考核标准设置，支持分段记分、基于公式记分、用户录入</w:t>
            </w:r>
            <w:r>
              <w:rPr>
                <w:rFonts w:ascii="宋体" w:hAnsi="宋体" w:eastAsia="宋体" w:cs="宋体"/>
                <w:spacing w:val="-2"/>
                <w:sz w:val="21"/>
                <w:szCs w:val="21"/>
              </w:rPr>
              <w:t>三种记分方法。</w:t>
            </w:r>
          </w:p>
          <w:p w14:paraId="5AEC522C">
            <w:pPr>
              <w:spacing w:before="92" w:line="219" w:lineRule="auto"/>
              <w:ind w:left="110"/>
              <w:rPr>
                <w:rFonts w:ascii="宋体" w:hAnsi="宋体" w:eastAsia="宋体" w:cs="宋体"/>
                <w:sz w:val="21"/>
                <w:szCs w:val="21"/>
              </w:rPr>
            </w:pPr>
            <w:r>
              <w:rPr>
                <w:rFonts w:ascii="宋体" w:hAnsi="宋体" w:eastAsia="宋体" w:cs="宋体"/>
                <w:spacing w:val="-2"/>
                <w:sz w:val="21"/>
                <w:szCs w:val="21"/>
              </w:rPr>
              <w:t>6．可批量设置考核方案中指标的质控科室及填报科室。</w:t>
            </w:r>
          </w:p>
          <w:p w14:paraId="4E8F58DD">
            <w:pPr>
              <w:spacing w:before="93" w:line="220" w:lineRule="auto"/>
              <w:ind w:left="114"/>
              <w:rPr>
                <w:rFonts w:ascii="宋体" w:hAnsi="宋体" w:eastAsia="宋体" w:cs="宋体"/>
                <w:sz w:val="21"/>
                <w:szCs w:val="21"/>
              </w:rPr>
            </w:pPr>
            <w:r>
              <w:rPr>
                <w:rFonts w:ascii="宋体" w:hAnsi="宋体" w:eastAsia="宋体" w:cs="宋体"/>
                <w:spacing w:val="-1"/>
                <w:sz w:val="21"/>
                <w:szCs w:val="21"/>
              </w:rPr>
              <w:t>7．可配置指标的自动填报任务，支持设置填报任务的</w:t>
            </w:r>
            <w:r>
              <w:rPr>
                <w:rFonts w:ascii="宋体" w:hAnsi="宋体" w:eastAsia="宋体" w:cs="宋体"/>
                <w:spacing w:val="-2"/>
                <w:sz w:val="21"/>
                <w:szCs w:val="21"/>
              </w:rPr>
              <w:t>截止时间及开始时间。</w:t>
            </w:r>
          </w:p>
        </w:tc>
      </w:tr>
      <w:tr w14:paraId="19722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3" w:hRule="atLeast"/>
        </w:trPr>
        <w:tc>
          <w:tcPr>
            <w:tcW w:w="783" w:type="dxa"/>
            <w:vAlign w:val="top"/>
          </w:tcPr>
          <w:p w14:paraId="60947B27">
            <w:pPr>
              <w:spacing w:line="266" w:lineRule="auto"/>
              <w:rPr>
                <w:rFonts w:ascii="Arial"/>
                <w:sz w:val="21"/>
              </w:rPr>
            </w:pPr>
          </w:p>
          <w:p w14:paraId="62DC96CE">
            <w:pPr>
              <w:spacing w:line="266" w:lineRule="auto"/>
              <w:rPr>
                <w:rFonts w:ascii="Arial"/>
                <w:sz w:val="21"/>
              </w:rPr>
            </w:pPr>
          </w:p>
          <w:p w14:paraId="3B98D367">
            <w:pPr>
              <w:spacing w:line="266" w:lineRule="auto"/>
              <w:rPr>
                <w:rFonts w:ascii="Arial"/>
                <w:sz w:val="21"/>
              </w:rPr>
            </w:pPr>
          </w:p>
          <w:p w14:paraId="19DCDD48">
            <w:pPr>
              <w:spacing w:line="267" w:lineRule="auto"/>
              <w:rPr>
                <w:rFonts w:ascii="Arial"/>
                <w:sz w:val="21"/>
              </w:rPr>
            </w:pPr>
          </w:p>
          <w:p w14:paraId="579DB0BC">
            <w:pPr>
              <w:spacing w:line="267" w:lineRule="auto"/>
              <w:rPr>
                <w:rFonts w:ascii="Arial"/>
                <w:sz w:val="21"/>
              </w:rPr>
            </w:pPr>
          </w:p>
          <w:p w14:paraId="5D642B91">
            <w:pPr>
              <w:spacing w:before="78" w:line="182" w:lineRule="auto"/>
              <w:ind w:left="237"/>
              <w:rPr>
                <w:rFonts w:ascii="宋体" w:hAnsi="宋体" w:eastAsia="宋体" w:cs="宋体"/>
                <w:sz w:val="24"/>
                <w:szCs w:val="24"/>
              </w:rPr>
            </w:pPr>
            <w:r>
              <w:rPr>
                <w:rFonts w:ascii="宋体" w:hAnsi="宋体" w:eastAsia="宋体" w:cs="宋体"/>
                <w:spacing w:val="-7"/>
                <w:sz w:val="24"/>
                <w:szCs w:val="24"/>
              </w:rPr>
              <w:t>11</w:t>
            </w:r>
          </w:p>
        </w:tc>
        <w:tc>
          <w:tcPr>
            <w:tcW w:w="1273" w:type="dxa"/>
            <w:vAlign w:val="top"/>
          </w:tcPr>
          <w:p w14:paraId="3C5487E8">
            <w:pPr>
              <w:spacing w:line="258" w:lineRule="auto"/>
              <w:rPr>
                <w:rFonts w:ascii="Arial"/>
                <w:sz w:val="21"/>
              </w:rPr>
            </w:pPr>
          </w:p>
          <w:p w14:paraId="46335355">
            <w:pPr>
              <w:spacing w:line="258" w:lineRule="auto"/>
              <w:rPr>
                <w:rFonts w:ascii="Arial"/>
                <w:sz w:val="21"/>
              </w:rPr>
            </w:pPr>
          </w:p>
          <w:p w14:paraId="22827D09">
            <w:pPr>
              <w:spacing w:line="259" w:lineRule="auto"/>
              <w:rPr>
                <w:rFonts w:ascii="Arial"/>
                <w:sz w:val="21"/>
              </w:rPr>
            </w:pPr>
          </w:p>
          <w:p w14:paraId="0BDDEFFE">
            <w:pPr>
              <w:spacing w:line="259" w:lineRule="auto"/>
              <w:rPr>
                <w:rFonts w:ascii="Arial"/>
                <w:sz w:val="21"/>
              </w:rPr>
            </w:pPr>
          </w:p>
          <w:p w14:paraId="3881E451">
            <w:pPr>
              <w:spacing w:line="259" w:lineRule="auto"/>
              <w:rPr>
                <w:rFonts w:ascii="Arial"/>
                <w:sz w:val="21"/>
              </w:rPr>
            </w:pPr>
          </w:p>
          <w:p w14:paraId="43CA8F0F">
            <w:pPr>
              <w:spacing w:before="78" w:line="220" w:lineRule="auto"/>
              <w:ind w:left="111"/>
              <w:rPr>
                <w:rFonts w:ascii="宋体" w:hAnsi="宋体" w:eastAsia="宋体" w:cs="宋体"/>
                <w:sz w:val="24"/>
                <w:szCs w:val="24"/>
              </w:rPr>
            </w:pPr>
            <w:r>
              <w:rPr>
                <w:rFonts w:ascii="宋体" w:hAnsi="宋体" w:eastAsia="宋体" w:cs="宋体"/>
                <w:spacing w:val="-3"/>
                <w:sz w:val="24"/>
                <w:szCs w:val="24"/>
              </w:rPr>
              <w:t>指标探查</w:t>
            </w:r>
          </w:p>
        </w:tc>
        <w:tc>
          <w:tcPr>
            <w:tcW w:w="7743" w:type="dxa"/>
            <w:vAlign w:val="top"/>
          </w:tcPr>
          <w:p w14:paraId="68A9BAE5">
            <w:pPr>
              <w:spacing w:before="67" w:line="220" w:lineRule="auto"/>
              <w:ind w:left="124"/>
              <w:rPr>
                <w:rFonts w:ascii="宋体" w:hAnsi="宋体" w:eastAsia="宋体" w:cs="宋体"/>
                <w:sz w:val="21"/>
                <w:szCs w:val="21"/>
              </w:rPr>
            </w:pPr>
            <w:r>
              <w:rPr>
                <w:rFonts w:ascii="宋体" w:hAnsi="宋体" w:eastAsia="宋体" w:cs="宋体"/>
                <w:spacing w:val="-3"/>
                <w:sz w:val="21"/>
                <w:szCs w:val="21"/>
              </w:rPr>
              <w:t>1．集中查看指定期间的考核方案内所有指标数据。</w:t>
            </w:r>
          </w:p>
          <w:p w14:paraId="120BF1EC">
            <w:pPr>
              <w:spacing w:before="92" w:line="220" w:lineRule="auto"/>
              <w:ind w:left="111"/>
              <w:rPr>
                <w:rFonts w:ascii="宋体" w:hAnsi="宋体" w:eastAsia="宋体" w:cs="宋体"/>
                <w:sz w:val="21"/>
                <w:szCs w:val="21"/>
              </w:rPr>
            </w:pPr>
            <w:r>
              <w:rPr>
                <w:rFonts w:ascii="宋体" w:hAnsi="宋体" w:eastAsia="宋体" w:cs="宋体"/>
                <w:spacing w:val="-2"/>
                <w:sz w:val="21"/>
                <w:szCs w:val="21"/>
              </w:rPr>
              <w:t>2．当前指标与关联指标可集中到一个卡片显示。</w:t>
            </w:r>
          </w:p>
          <w:p w14:paraId="78A57250">
            <w:pPr>
              <w:spacing w:before="92" w:line="220" w:lineRule="auto"/>
              <w:ind w:left="113"/>
              <w:rPr>
                <w:rFonts w:ascii="宋体" w:hAnsi="宋体" w:eastAsia="宋体" w:cs="宋体"/>
                <w:sz w:val="21"/>
                <w:szCs w:val="21"/>
              </w:rPr>
            </w:pPr>
            <w:r>
              <w:rPr>
                <w:rFonts w:ascii="宋体" w:hAnsi="宋体" w:eastAsia="宋体" w:cs="宋体"/>
                <w:spacing w:val="-1"/>
                <w:sz w:val="21"/>
                <w:szCs w:val="21"/>
              </w:rPr>
              <w:t>3．可查看指标的当前值、同期值，并根据达标</w:t>
            </w:r>
            <w:r>
              <w:rPr>
                <w:rFonts w:ascii="宋体" w:hAnsi="宋体" w:eastAsia="宋体" w:cs="宋体"/>
                <w:spacing w:val="-2"/>
                <w:sz w:val="21"/>
                <w:szCs w:val="21"/>
              </w:rPr>
              <w:t>情况显示为不同的颜色。</w:t>
            </w:r>
          </w:p>
          <w:p w14:paraId="2073F67A">
            <w:pPr>
              <w:spacing w:before="92" w:line="220" w:lineRule="auto"/>
              <w:ind w:left="108"/>
              <w:rPr>
                <w:rFonts w:ascii="宋体" w:hAnsi="宋体" w:eastAsia="宋体" w:cs="宋体"/>
                <w:sz w:val="21"/>
                <w:szCs w:val="21"/>
              </w:rPr>
            </w:pPr>
            <w:r>
              <w:rPr>
                <w:rFonts w:ascii="宋体" w:hAnsi="宋体" w:eastAsia="宋体" w:cs="宋体"/>
                <w:spacing w:val="-1"/>
                <w:sz w:val="21"/>
                <w:szCs w:val="21"/>
              </w:rPr>
              <w:t>4．可以查看特定指标的考核单元完成情况，并支持各考核单元的目标值</w:t>
            </w:r>
            <w:r>
              <w:rPr>
                <w:rFonts w:ascii="宋体" w:hAnsi="宋体" w:eastAsia="宋体" w:cs="宋体"/>
                <w:spacing w:val="-2"/>
                <w:sz w:val="21"/>
                <w:szCs w:val="21"/>
              </w:rPr>
              <w:t>显示。</w:t>
            </w:r>
          </w:p>
          <w:p w14:paraId="4373C802">
            <w:pPr>
              <w:spacing w:before="93" w:line="260" w:lineRule="auto"/>
              <w:ind w:left="111" w:right="102" w:firstLine="1"/>
              <w:rPr>
                <w:rFonts w:ascii="宋体" w:hAnsi="宋体" w:eastAsia="宋体" w:cs="宋体"/>
                <w:sz w:val="21"/>
                <w:szCs w:val="21"/>
              </w:rPr>
            </w:pPr>
            <w:r>
              <w:rPr>
                <w:rFonts w:ascii="宋体" w:hAnsi="宋体" w:eastAsia="宋体" w:cs="宋体"/>
                <w:spacing w:val="2"/>
                <w:sz w:val="21"/>
                <w:szCs w:val="21"/>
              </w:rPr>
              <w:t>5．可查看考核单元的指标数据趋势，趋势图内支持目标</w:t>
            </w:r>
            <w:r>
              <w:rPr>
                <w:rFonts w:ascii="宋体" w:hAnsi="宋体" w:eastAsia="宋体" w:cs="宋体"/>
                <w:spacing w:val="1"/>
                <w:sz w:val="21"/>
                <w:szCs w:val="21"/>
              </w:rPr>
              <w:t>值、平均值、累计值控制</w:t>
            </w:r>
            <w:r>
              <w:rPr>
                <w:rFonts w:ascii="宋体" w:hAnsi="宋体" w:eastAsia="宋体" w:cs="宋体"/>
                <w:sz w:val="21"/>
                <w:szCs w:val="21"/>
              </w:rPr>
              <w:t xml:space="preserve"> </w:t>
            </w:r>
            <w:r>
              <w:rPr>
                <w:rFonts w:ascii="宋体" w:hAnsi="宋体" w:eastAsia="宋体" w:cs="宋体"/>
                <w:spacing w:val="-2"/>
                <w:sz w:val="21"/>
                <w:szCs w:val="21"/>
              </w:rPr>
              <w:t>线绘制；可以自定义选择趋势数据的时间范围。</w:t>
            </w:r>
          </w:p>
          <w:p w14:paraId="4C8EDCE4">
            <w:pPr>
              <w:spacing w:before="235" w:line="289" w:lineRule="auto"/>
              <w:ind w:left="107" w:right="102" w:firstLine="4"/>
              <w:rPr>
                <w:rFonts w:ascii="宋体" w:hAnsi="宋体" w:eastAsia="宋体" w:cs="宋体"/>
                <w:sz w:val="21"/>
                <w:szCs w:val="21"/>
              </w:rPr>
            </w:pPr>
            <w:r>
              <w:rPr>
                <w:rFonts w:ascii="宋体" w:hAnsi="宋体" w:eastAsia="宋体" w:cs="宋体"/>
                <w:sz w:val="24"/>
                <w:szCs w:val="24"/>
              </w:rPr>
              <w:t>6．</w:t>
            </w:r>
            <w:r>
              <w:rPr>
                <w:rFonts w:ascii="宋体" w:hAnsi="宋体" w:eastAsia="宋体" w:cs="宋体"/>
                <w:sz w:val="21"/>
                <w:szCs w:val="21"/>
              </w:rPr>
              <w:t>可查看指标的目标值序时完成进度，如查看指定月度指标值的的年度目标完成</w:t>
            </w:r>
            <w:r>
              <w:rPr>
                <w:rFonts w:ascii="宋体" w:hAnsi="宋体" w:eastAsia="宋体" w:cs="宋体"/>
                <w:spacing w:val="17"/>
                <w:sz w:val="21"/>
                <w:szCs w:val="21"/>
              </w:rPr>
              <w:t xml:space="preserve"> </w:t>
            </w:r>
            <w:r>
              <w:rPr>
                <w:rFonts w:ascii="宋体" w:hAnsi="宋体" w:eastAsia="宋体" w:cs="宋体"/>
                <w:spacing w:val="-9"/>
                <w:sz w:val="21"/>
                <w:szCs w:val="21"/>
              </w:rPr>
              <w:t>进度。</w:t>
            </w:r>
          </w:p>
        </w:tc>
      </w:tr>
      <w:tr w14:paraId="58E6D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3" w:hRule="atLeast"/>
        </w:trPr>
        <w:tc>
          <w:tcPr>
            <w:tcW w:w="783" w:type="dxa"/>
            <w:vAlign w:val="top"/>
          </w:tcPr>
          <w:p w14:paraId="3BBB9098">
            <w:pPr>
              <w:spacing w:line="326" w:lineRule="auto"/>
              <w:rPr>
                <w:rFonts w:ascii="Arial"/>
                <w:sz w:val="21"/>
              </w:rPr>
            </w:pPr>
          </w:p>
          <w:p w14:paraId="0977826E">
            <w:pPr>
              <w:spacing w:line="327" w:lineRule="auto"/>
              <w:rPr>
                <w:rFonts w:ascii="Arial"/>
                <w:sz w:val="21"/>
              </w:rPr>
            </w:pPr>
          </w:p>
          <w:p w14:paraId="10A3BEE7">
            <w:pPr>
              <w:spacing w:before="78" w:line="182" w:lineRule="auto"/>
              <w:ind w:left="237"/>
              <w:rPr>
                <w:rFonts w:ascii="宋体" w:hAnsi="宋体" w:eastAsia="宋体" w:cs="宋体"/>
                <w:sz w:val="24"/>
                <w:szCs w:val="24"/>
              </w:rPr>
            </w:pPr>
            <w:r>
              <w:rPr>
                <w:rFonts w:ascii="宋体" w:hAnsi="宋体" w:eastAsia="宋体" w:cs="宋体"/>
                <w:spacing w:val="-7"/>
                <w:sz w:val="24"/>
                <w:szCs w:val="24"/>
              </w:rPr>
              <w:t>12</w:t>
            </w:r>
          </w:p>
        </w:tc>
        <w:tc>
          <w:tcPr>
            <w:tcW w:w="1273" w:type="dxa"/>
            <w:vAlign w:val="top"/>
          </w:tcPr>
          <w:p w14:paraId="69502D49">
            <w:pPr>
              <w:spacing w:line="307" w:lineRule="auto"/>
              <w:rPr>
                <w:rFonts w:ascii="Arial"/>
                <w:sz w:val="21"/>
              </w:rPr>
            </w:pPr>
          </w:p>
          <w:p w14:paraId="6355CBA3">
            <w:pPr>
              <w:spacing w:line="307" w:lineRule="auto"/>
              <w:rPr>
                <w:rFonts w:ascii="Arial"/>
                <w:sz w:val="21"/>
              </w:rPr>
            </w:pPr>
          </w:p>
          <w:p w14:paraId="33E1DE3D">
            <w:pPr>
              <w:spacing w:before="78" w:line="220" w:lineRule="auto"/>
              <w:ind w:left="111"/>
              <w:rPr>
                <w:rFonts w:ascii="宋体" w:hAnsi="宋体" w:eastAsia="宋体" w:cs="宋体"/>
                <w:sz w:val="24"/>
                <w:szCs w:val="24"/>
              </w:rPr>
            </w:pPr>
            <w:r>
              <w:rPr>
                <w:rFonts w:ascii="宋体" w:hAnsi="宋体" w:eastAsia="宋体" w:cs="宋体"/>
                <w:spacing w:val="-3"/>
                <w:sz w:val="24"/>
                <w:szCs w:val="24"/>
              </w:rPr>
              <w:t>指标质控</w:t>
            </w:r>
          </w:p>
        </w:tc>
        <w:tc>
          <w:tcPr>
            <w:tcW w:w="7743" w:type="dxa"/>
            <w:vAlign w:val="top"/>
          </w:tcPr>
          <w:p w14:paraId="1AFE8A44">
            <w:pPr>
              <w:spacing w:before="69" w:line="220" w:lineRule="auto"/>
              <w:ind w:left="124"/>
              <w:rPr>
                <w:rFonts w:ascii="宋体" w:hAnsi="宋体" w:eastAsia="宋体" w:cs="宋体"/>
                <w:sz w:val="21"/>
                <w:szCs w:val="21"/>
              </w:rPr>
            </w:pPr>
            <w:r>
              <w:rPr>
                <w:rFonts w:ascii="宋体" w:hAnsi="宋体" w:eastAsia="宋体" w:cs="宋体"/>
                <w:spacing w:val="-2"/>
                <w:sz w:val="21"/>
                <w:szCs w:val="21"/>
              </w:rPr>
              <w:t>1．规则集管理：为指标配置质控规则，可启用、停用规则集。</w:t>
            </w:r>
          </w:p>
          <w:p w14:paraId="40E04597">
            <w:pPr>
              <w:spacing w:before="92" w:line="220" w:lineRule="auto"/>
              <w:ind w:left="111"/>
              <w:rPr>
                <w:rFonts w:ascii="宋体" w:hAnsi="宋体" w:eastAsia="宋体" w:cs="宋体"/>
                <w:sz w:val="21"/>
                <w:szCs w:val="21"/>
              </w:rPr>
            </w:pPr>
            <w:r>
              <w:rPr>
                <w:rFonts w:ascii="宋体" w:hAnsi="宋体" w:eastAsia="宋体" w:cs="宋体"/>
                <w:spacing w:val="-2"/>
                <w:sz w:val="21"/>
                <w:szCs w:val="21"/>
              </w:rPr>
              <w:t>2．支持为不同的考核单元配置不同的规则。</w:t>
            </w:r>
          </w:p>
          <w:p w14:paraId="10B60497">
            <w:pPr>
              <w:spacing w:before="92" w:line="219" w:lineRule="auto"/>
              <w:ind w:left="113"/>
              <w:rPr>
                <w:rFonts w:ascii="宋体" w:hAnsi="宋体" w:eastAsia="宋体" w:cs="宋体"/>
                <w:sz w:val="21"/>
                <w:szCs w:val="21"/>
              </w:rPr>
            </w:pPr>
            <w:r>
              <w:rPr>
                <w:rFonts w:ascii="宋体" w:hAnsi="宋体" w:eastAsia="宋体" w:cs="宋体"/>
                <w:spacing w:val="-2"/>
                <w:sz w:val="21"/>
                <w:szCs w:val="21"/>
              </w:rPr>
              <w:t>3．规则支持大于、小于、介于、不介于、公式等判断条件。</w:t>
            </w:r>
          </w:p>
          <w:p w14:paraId="2DFA0779">
            <w:pPr>
              <w:spacing w:before="235" w:line="199" w:lineRule="auto"/>
              <w:ind w:left="109"/>
              <w:rPr>
                <w:rFonts w:ascii="宋体" w:hAnsi="宋体" w:eastAsia="宋体" w:cs="宋体"/>
                <w:sz w:val="21"/>
                <w:szCs w:val="21"/>
              </w:rPr>
            </w:pPr>
            <w:r>
              <w:rPr>
                <w:rFonts w:ascii="宋体" w:hAnsi="宋体" w:eastAsia="宋体" w:cs="宋体"/>
                <w:spacing w:val="-3"/>
                <w:sz w:val="24"/>
                <w:szCs w:val="24"/>
              </w:rPr>
              <w:t>4．</w:t>
            </w:r>
            <w:r>
              <w:rPr>
                <w:rFonts w:ascii="宋体" w:hAnsi="宋体" w:eastAsia="宋体" w:cs="宋体"/>
                <w:spacing w:val="-3"/>
                <w:sz w:val="21"/>
                <w:szCs w:val="21"/>
              </w:rPr>
              <w:t>支持禁止、提醒两类动作。</w:t>
            </w:r>
          </w:p>
        </w:tc>
      </w:tr>
      <w:tr w14:paraId="4F1E3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799" w:type="dxa"/>
            <w:gridSpan w:val="3"/>
            <w:vAlign w:val="top"/>
          </w:tcPr>
          <w:p w14:paraId="0BF0958E">
            <w:pPr>
              <w:spacing w:before="182" w:line="220" w:lineRule="auto"/>
              <w:ind w:left="3620"/>
              <w:rPr>
                <w:rFonts w:ascii="宋体" w:hAnsi="宋体" w:eastAsia="宋体" w:cs="宋体"/>
                <w:sz w:val="24"/>
                <w:szCs w:val="24"/>
              </w:rPr>
            </w:pPr>
            <w:r>
              <w:rPr>
                <w:rFonts w:ascii="宋体" w:hAnsi="宋体" w:eastAsia="宋体" w:cs="宋体"/>
                <w:b/>
                <w:bCs/>
                <w:spacing w:val="-6"/>
                <w:sz w:val="24"/>
                <w:szCs w:val="24"/>
              </w:rPr>
              <w:t>(十二)中医医务数据分析</w:t>
            </w:r>
          </w:p>
        </w:tc>
      </w:tr>
      <w:tr w14:paraId="3C30C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83" w:type="dxa"/>
            <w:vAlign w:val="top"/>
          </w:tcPr>
          <w:p w14:paraId="608D0059">
            <w:pPr>
              <w:spacing w:before="182"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51243955">
            <w:pPr>
              <w:spacing w:before="182"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34A22187">
            <w:pPr>
              <w:spacing w:before="182"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2B383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783" w:type="dxa"/>
            <w:vAlign w:val="top"/>
          </w:tcPr>
          <w:p w14:paraId="6E4F48AD">
            <w:pPr>
              <w:spacing w:line="359" w:lineRule="auto"/>
              <w:rPr>
                <w:rFonts w:ascii="Arial"/>
                <w:sz w:val="21"/>
              </w:rPr>
            </w:pPr>
          </w:p>
          <w:p w14:paraId="497F3603">
            <w:pPr>
              <w:spacing w:before="78" w:line="182" w:lineRule="auto"/>
              <w:ind w:left="297"/>
              <w:rPr>
                <w:rFonts w:ascii="宋体" w:hAnsi="宋体" w:eastAsia="宋体" w:cs="宋体"/>
                <w:sz w:val="24"/>
                <w:szCs w:val="24"/>
              </w:rPr>
            </w:pPr>
            <w:r>
              <w:rPr>
                <w:rFonts w:ascii="宋体" w:hAnsi="宋体" w:eastAsia="宋体" w:cs="宋体"/>
                <w:sz w:val="24"/>
                <w:szCs w:val="24"/>
              </w:rPr>
              <w:t>1</w:t>
            </w:r>
          </w:p>
        </w:tc>
        <w:tc>
          <w:tcPr>
            <w:tcW w:w="1273" w:type="dxa"/>
            <w:vAlign w:val="top"/>
          </w:tcPr>
          <w:p w14:paraId="42773B7D">
            <w:pPr>
              <w:spacing w:before="244" w:line="288" w:lineRule="auto"/>
              <w:ind w:left="109" w:right="104"/>
              <w:rPr>
                <w:rFonts w:ascii="宋体" w:hAnsi="宋体" w:eastAsia="宋体" w:cs="宋体"/>
                <w:sz w:val="21"/>
                <w:szCs w:val="21"/>
              </w:rPr>
            </w:pPr>
            <w:r>
              <w:rPr>
                <w:rFonts w:ascii="宋体" w:hAnsi="宋体" w:eastAsia="宋体" w:cs="宋体"/>
                <w:spacing w:val="-1"/>
                <w:sz w:val="21"/>
                <w:szCs w:val="21"/>
              </w:rPr>
              <w:t>★中医特色</w:t>
            </w:r>
            <w:r>
              <w:rPr>
                <w:rFonts w:ascii="宋体" w:hAnsi="宋体" w:eastAsia="宋体" w:cs="宋体"/>
                <w:spacing w:val="1"/>
                <w:sz w:val="21"/>
                <w:szCs w:val="21"/>
              </w:rPr>
              <w:t xml:space="preserve"> </w:t>
            </w:r>
            <w:r>
              <w:rPr>
                <w:rFonts w:ascii="宋体" w:hAnsi="宋体" w:eastAsia="宋体" w:cs="宋体"/>
                <w:spacing w:val="-3"/>
                <w:sz w:val="21"/>
                <w:szCs w:val="21"/>
              </w:rPr>
              <w:t>指标</w:t>
            </w:r>
          </w:p>
        </w:tc>
        <w:tc>
          <w:tcPr>
            <w:tcW w:w="7743" w:type="dxa"/>
            <w:vAlign w:val="top"/>
          </w:tcPr>
          <w:p w14:paraId="1C1419F3">
            <w:pPr>
              <w:spacing w:before="71" w:line="220" w:lineRule="auto"/>
              <w:ind w:left="124"/>
              <w:rPr>
                <w:rFonts w:ascii="宋体" w:hAnsi="宋体" w:eastAsia="宋体" w:cs="宋体"/>
                <w:sz w:val="21"/>
                <w:szCs w:val="21"/>
              </w:rPr>
            </w:pPr>
            <w:r>
              <w:rPr>
                <w:rFonts w:ascii="宋体" w:hAnsi="宋体" w:eastAsia="宋体" w:cs="宋体"/>
                <w:spacing w:val="-2"/>
                <w:sz w:val="21"/>
                <w:szCs w:val="21"/>
              </w:rPr>
              <w:t>1．对接医院已建或未建的数据中心，实现以下</w:t>
            </w:r>
            <w:r>
              <w:rPr>
                <w:rFonts w:ascii="宋体" w:hAnsi="宋体" w:eastAsia="宋体" w:cs="宋体"/>
                <w:spacing w:val="-3"/>
                <w:sz w:val="21"/>
                <w:szCs w:val="21"/>
              </w:rPr>
              <w:t>主题的专项数据分析：</w:t>
            </w:r>
          </w:p>
          <w:p w14:paraId="4A40C230">
            <w:pPr>
              <w:spacing w:before="92" w:line="219" w:lineRule="auto"/>
              <w:ind w:left="102"/>
              <w:rPr>
                <w:rFonts w:ascii="宋体" w:hAnsi="宋体" w:eastAsia="宋体" w:cs="宋体"/>
                <w:sz w:val="21"/>
                <w:szCs w:val="21"/>
              </w:rPr>
            </w:pPr>
            <w:r>
              <w:rPr>
                <w:rFonts w:ascii="宋体" w:hAnsi="宋体" w:eastAsia="宋体" w:cs="宋体"/>
                <w:spacing w:val="-1"/>
                <w:sz w:val="21"/>
                <w:szCs w:val="21"/>
              </w:rPr>
              <w:t>A.手术专项分析：包含三四级手术占比、术式分布、能钻取到具体的住院病人。</w:t>
            </w:r>
          </w:p>
          <w:p w14:paraId="00BC011C">
            <w:pPr>
              <w:spacing w:before="93" w:line="217" w:lineRule="auto"/>
              <w:ind w:left="104"/>
              <w:rPr>
                <w:rFonts w:ascii="宋体" w:hAnsi="宋体" w:eastAsia="宋体" w:cs="宋体"/>
                <w:sz w:val="21"/>
                <w:szCs w:val="21"/>
              </w:rPr>
            </w:pPr>
            <w:r>
              <w:rPr>
                <w:rFonts w:ascii="宋体" w:hAnsi="宋体" w:eastAsia="宋体" w:cs="宋体"/>
                <w:spacing w:val="-2"/>
                <w:sz w:val="21"/>
                <w:szCs w:val="21"/>
              </w:rPr>
              <w:t>B.中医特色分析：体现中医药行业高质量发展要求,包含门诊患者中药饮片使用率、</w:t>
            </w:r>
          </w:p>
        </w:tc>
      </w:tr>
    </w:tbl>
    <w:p w14:paraId="3358D10E">
      <w:pPr>
        <w:pStyle w:val="2"/>
        <w:spacing w:line="275" w:lineRule="auto"/>
      </w:pPr>
    </w:p>
    <w:p w14:paraId="3C7B8D2C">
      <w:pPr>
        <w:pStyle w:val="2"/>
        <w:spacing w:line="275" w:lineRule="auto"/>
      </w:pPr>
    </w:p>
    <w:p w14:paraId="214BD81F">
      <w:pPr>
        <w:spacing w:before="62" w:line="209" w:lineRule="auto"/>
        <w:ind w:left="148"/>
        <w:rPr>
          <w:rFonts w:ascii="宋体" w:hAnsi="宋体" w:eastAsia="宋体" w:cs="宋体"/>
          <w:sz w:val="19"/>
          <w:szCs w:val="19"/>
        </w:rPr>
      </w:pPr>
      <w:r>
        <w:pict>
          <v:shape id="_x0000_s1054" o:spid="_x0000_s1054" style="position:absolute;left:0pt;margin-left:1.95pt;margin-top:11.8pt;height:0.75pt;width:494pt;z-index:251699200;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34                                </w:t>
      </w:r>
      <w:r>
        <w:rPr>
          <w:rFonts w:ascii="宋体" w:hAnsi="宋体" w:eastAsia="宋体" w:cs="宋体"/>
          <w:b/>
          <w:bCs/>
          <w:i/>
          <w:iCs/>
          <w:spacing w:val="-3"/>
          <w:sz w:val="19"/>
          <w:szCs w:val="19"/>
        </w:rPr>
        <w:t>伊犁州公共资源交易中心</w:t>
      </w:r>
    </w:p>
    <w:p w14:paraId="39DFF6AF">
      <w:pPr>
        <w:spacing w:line="209" w:lineRule="auto"/>
        <w:rPr>
          <w:rFonts w:ascii="宋体" w:hAnsi="宋体" w:eastAsia="宋体" w:cs="宋体"/>
          <w:sz w:val="19"/>
          <w:szCs w:val="19"/>
        </w:rPr>
        <w:sectPr>
          <w:pgSz w:w="11905" w:h="16839"/>
          <w:pgMar w:top="1136" w:right="830" w:bottom="400" w:left="1126" w:header="854" w:footer="0" w:gutter="0"/>
          <w:cols w:space="720" w:num="1"/>
        </w:sectPr>
      </w:pPr>
    </w:p>
    <w:p w14:paraId="08CF31DA">
      <w:pPr>
        <w:spacing w:before="38"/>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3"/>
        <w:gridCol w:w="7743"/>
      </w:tblGrid>
      <w:tr w14:paraId="75EBB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3" w:type="dxa"/>
            <w:vAlign w:val="top"/>
          </w:tcPr>
          <w:p w14:paraId="330C1341">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5F5A52DF">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7357354C">
            <w:pPr>
              <w:spacing w:before="179"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3565B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783" w:type="dxa"/>
            <w:vAlign w:val="top"/>
          </w:tcPr>
          <w:p w14:paraId="1995174F">
            <w:pPr>
              <w:rPr>
                <w:rFonts w:ascii="Arial"/>
                <w:sz w:val="21"/>
              </w:rPr>
            </w:pPr>
          </w:p>
        </w:tc>
        <w:tc>
          <w:tcPr>
            <w:tcW w:w="1273" w:type="dxa"/>
            <w:vAlign w:val="top"/>
          </w:tcPr>
          <w:p w14:paraId="061AAE73">
            <w:pPr>
              <w:rPr>
                <w:rFonts w:ascii="Arial"/>
                <w:sz w:val="21"/>
              </w:rPr>
            </w:pPr>
          </w:p>
        </w:tc>
        <w:tc>
          <w:tcPr>
            <w:tcW w:w="7743" w:type="dxa"/>
            <w:vAlign w:val="top"/>
          </w:tcPr>
          <w:p w14:paraId="12530891">
            <w:pPr>
              <w:spacing w:before="63" w:line="288" w:lineRule="auto"/>
              <w:ind w:left="114" w:right="102" w:firstLine="18"/>
              <w:rPr>
                <w:rFonts w:ascii="宋体" w:hAnsi="宋体" w:eastAsia="宋体" w:cs="宋体"/>
                <w:sz w:val="21"/>
                <w:szCs w:val="21"/>
              </w:rPr>
            </w:pPr>
            <w:r>
              <w:rPr>
                <w:rFonts w:ascii="宋体" w:hAnsi="宋体" w:eastAsia="宋体" w:cs="宋体"/>
                <w:spacing w:val="-2"/>
                <w:sz w:val="21"/>
                <w:szCs w:val="21"/>
              </w:rPr>
              <w:t>以中医为主治疗的出院患者比例、手术患者并发症发生率、住院抗菌药物使用强度</w:t>
            </w:r>
            <w:r>
              <w:rPr>
                <w:rFonts w:ascii="宋体" w:hAnsi="宋体" w:eastAsia="宋体" w:cs="宋体"/>
                <w:spacing w:val="9"/>
                <w:sz w:val="21"/>
                <w:szCs w:val="21"/>
              </w:rPr>
              <w:t xml:space="preserve"> </w:t>
            </w:r>
            <w:r>
              <w:rPr>
                <w:rFonts w:ascii="宋体" w:hAnsi="宋体" w:eastAsia="宋体" w:cs="宋体"/>
                <w:spacing w:val="-2"/>
                <w:sz w:val="21"/>
                <w:szCs w:val="21"/>
              </w:rPr>
              <w:t>（DDDs）、自制药品使用率、门诊中草药处方占比。</w:t>
            </w:r>
          </w:p>
          <w:p w14:paraId="16805423">
            <w:pPr>
              <w:spacing w:before="30" w:line="219" w:lineRule="auto"/>
              <w:ind w:left="111"/>
              <w:rPr>
                <w:rFonts w:ascii="宋体" w:hAnsi="宋体" w:eastAsia="宋体" w:cs="宋体"/>
                <w:sz w:val="21"/>
                <w:szCs w:val="21"/>
              </w:rPr>
            </w:pPr>
            <w:r>
              <w:rPr>
                <w:rFonts w:ascii="宋体" w:hAnsi="宋体" w:eastAsia="宋体" w:cs="宋体"/>
                <w:spacing w:val="-2"/>
                <w:sz w:val="21"/>
                <w:szCs w:val="21"/>
              </w:rPr>
              <w:t>2．相关分析能提供饼图、折现图、柱状图、表格等多种分析。</w:t>
            </w:r>
          </w:p>
        </w:tc>
      </w:tr>
      <w:tr w14:paraId="7566E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799" w:type="dxa"/>
            <w:gridSpan w:val="3"/>
            <w:vAlign w:val="top"/>
          </w:tcPr>
          <w:p w14:paraId="16E10AA7">
            <w:pPr>
              <w:spacing w:before="176" w:line="220" w:lineRule="auto"/>
              <w:ind w:left="3500"/>
              <w:rPr>
                <w:rFonts w:ascii="宋体" w:hAnsi="宋体" w:eastAsia="宋体" w:cs="宋体"/>
                <w:sz w:val="24"/>
                <w:szCs w:val="24"/>
              </w:rPr>
            </w:pPr>
            <w:r>
              <w:rPr>
                <w:rFonts w:ascii="宋体" w:hAnsi="宋体" w:eastAsia="宋体" w:cs="宋体"/>
                <w:b/>
                <w:bCs/>
                <w:spacing w:val="-6"/>
                <w:sz w:val="24"/>
                <w:szCs w:val="24"/>
              </w:rPr>
              <w:t>(十三)可视化数据分析工具</w:t>
            </w:r>
          </w:p>
        </w:tc>
      </w:tr>
      <w:tr w14:paraId="180DA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5" w:hRule="atLeast"/>
        </w:trPr>
        <w:tc>
          <w:tcPr>
            <w:tcW w:w="783" w:type="dxa"/>
            <w:vAlign w:val="top"/>
          </w:tcPr>
          <w:p w14:paraId="6F1DA02F">
            <w:pPr>
              <w:rPr>
                <w:rFonts w:ascii="Arial"/>
                <w:sz w:val="21"/>
              </w:rPr>
            </w:pPr>
          </w:p>
        </w:tc>
        <w:tc>
          <w:tcPr>
            <w:tcW w:w="1273" w:type="dxa"/>
            <w:vAlign w:val="top"/>
          </w:tcPr>
          <w:p w14:paraId="5ED179DD">
            <w:pPr>
              <w:spacing w:line="244" w:lineRule="auto"/>
              <w:rPr>
                <w:rFonts w:ascii="Arial"/>
                <w:sz w:val="21"/>
              </w:rPr>
            </w:pPr>
          </w:p>
          <w:p w14:paraId="54F1C670">
            <w:pPr>
              <w:spacing w:line="244" w:lineRule="auto"/>
              <w:rPr>
                <w:rFonts w:ascii="Arial"/>
                <w:sz w:val="21"/>
              </w:rPr>
            </w:pPr>
          </w:p>
          <w:p w14:paraId="1869E318">
            <w:pPr>
              <w:spacing w:line="244" w:lineRule="auto"/>
              <w:rPr>
                <w:rFonts w:ascii="Arial"/>
                <w:sz w:val="21"/>
              </w:rPr>
            </w:pPr>
          </w:p>
          <w:p w14:paraId="5D0D8FB6">
            <w:pPr>
              <w:spacing w:line="244" w:lineRule="auto"/>
              <w:rPr>
                <w:rFonts w:ascii="Arial"/>
                <w:sz w:val="21"/>
              </w:rPr>
            </w:pPr>
          </w:p>
          <w:p w14:paraId="18E9D534">
            <w:pPr>
              <w:spacing w:line="244" w:lineRule="auto"/>
              <w:rPr>
                <w:rFonts w:ascii="Arial"/>
                <w:sz w:val="21"/>
              </w:rPr>
            </w:pPr>
          </w:p>
          <w:p w14:paraId="1938C91B">
            <w:pPr>
              <w:spacing w:line="244" w:lineRule="auto"/>
              <w:rPr>
                <w:rFonts w:ascii="Arial"/>
                <w:sz w:val="21"/>
              </w:rPr>
            </w:pPr>
          </w:p>
          <w:p w14:paraId="7BF2635E">
            <w:pPr>
              <w:spacing w:line="244" w:lineRule="auto"/>
              <w:rPr>
                <w:rFonts w:ascii="Arial"/>
                <w:sz w:val="21"/>
              </w:rPr>
            </w:pPr>
          </w:p>
          <w:p w14:paraId="7EFE75DD">
            <w:pPr>
              <w:spacing w:line="244" w:lineRule="auto"/>
              <w:rPr>
                <w:rFonts w:ascii="Arial"/>
                <w:sz w:val="21"/>
              </w:rPr>
            </w:pPr>
          </w:p>
          <w:p w14:paraId="6D15A142">
            <w:pPr>
              <w:spacing w:line="244" w:lineRule="auto"/>
              <w:rPr>
                <w:rFonts w:ascii="Arial"/>
                <w:sz w:val="21"/>
              </w:rPr>
            </w:pPr>
          </w:p>
          <w:p w14:paraId="07428879">
            <w:pPr>
              <w:spacing w:line="244" w:lineRule="auto"/>
              <w:rPr>
                <w:rFonts w:ascii="Arial"/>
                <w:sz w:val="21"/>
              </w:rPr>
            </w:pPr>
          </w:p>
          <w:p w14:paraId="481BAC34">
            <w:pPr>
              <w:spacing w:line="244" w:lineRule="auto"/>
              <w:rPr>
                <w:rFonts w:ascii="Arial"/>
                <w:sz w:val="21"/>
              </w:rPr>
            </w:pPr>
          </w:p>
          <w:p w14:paraId="0B3DC0AD">
            <w:pPr>
              <w:spacing w:line="244" w:lineRule="auto"/>
              <w:rPr>
                <w:rFonts w:ascii="Arial"/>
                <w:sz w:val="21"/>
              </w:rPr>
            </w:pPr>
          </w:p>
          <w:p w14:paraId="7EA3562D">
            <w:pPr>
              <w:spacing w:line="244" w:lineRule="auto"/>
              <w:rPr>
                <w:rFonts w:ascii="Arial"/>
                <w:sz w:val="21"/>
              </w:rPr>
            </w:pPr>
          </w:p>
          <w:p w14:paraId="0FD7DB46">
            <w:pPr>
              <w:spacing w:line="244" w:lineRule="auto"/>
              <w:rPr>
                <w:rFonts w:ascii="Arial"/>
                <w:sz w:val="21"/>
              </w:rPr>
            </w:pPr>
          </w:p>
          <w:p w14:paraId="383EEDAB">
            <w:pPr>
              <w:spacing w:line="244" w:lineRule="auto"/>
              <w:rPr>
                <w:rFonts w:ascii="Arial"/>
                <w:sz w:val="21"/>
              </w:rPr>
            </w:pPr>
          </w:p>
          <w:p w14:paraId="48F1D065">
            <w:pPr>
              <w:spacing w:line="244" w:lineRule="auto"/>
              <w:rPr>
                <w:rFonts w:ascii="Arial"/>
                <w:sz w:val="21"/>
              </w:rPr>
            </w:pPr>
          </w:p>
          <w:p w14:paraId="74993C60">
            <w:pPr>
              <w:spacing w:line="244" w:lineRule="auto"/>
              <w:rPr>
                <w:rFonts w:ascii="Arial"/>
                <w:sz w:val="21"/>
              </w:rPr>
            </w:pPr>
          </w:p>
          <w:p w14:paraId="359B9C23">
            <w:pPr>
              <w:spacing w:line="244" w:lineRule="auto"/>
              <w:rPr>
                <w:rFonts w:ascii="Arial"/>
                <w:sz w:val="21"/>
              </w:rPr>
            </w:pPr>
          </w:p>
          <w:p w14:paraId="6AD1AC34">
            <w:pPr>
              <w:spacing w:line="244" w:lineRule="auto"/>
              <w:rPr>
                <w:rFonts w:ascii="Arial"/>
                <w:sz w:val="21"/>
              </w:rPr>
            </w:pPr>
          </w:p>
          <w:p w14:paraId="5E2BE6D4">
            <w:pPr>
              <w:spacing w:line="244" w:lineRule="auto"/>
              <w:rPr>
                <w:rFonts w:ascii="Arial"/>
                <w:sz w:val="21"/>
              </w:rPr>
            </w:pPr>
          </w:p>
          <w:p w14:paraId="4B43C701">
            <w:pPr>
              <w:spacing w:line="244" w:lineRule="auto"/>
              <w:rPr>
                <w:rFonts w:ascii="Arial"/>
                <w:sz w:val="21"/>
              </w:rPr>
            </w:pPr>
          </w:p>
          <w:p w14:paraId="438DE3DA">
            <w:pPr>
              <w:spacing w:before="78" w:line="448" w:lineRule="auto"/>
              <w:ind w:left="107" w:right="105" w:hanging="1"/>
              <w:rPr>
                <w:rFonts w:ascii="宋体" w:hAnsi="宋体" w:eastAsia="宋体" w:cs="宋体"/>
                <w:sz w:val="24"/>
                <w:szCs w:val="24"/>
              </w:rPr>
            </w:pPr>
            <w:r>
              <w:rPr>
                <w:rFonts w:ascii="宋体" w:hAnsi="宋体" w:eastAsia="宋体" w:cs="宋体"/>
                <w:spacing w:val="22"/>
                <w:sz w:val="24"/>
                <w:szCs w:val="24"/>
              </w:rPr>
              <w:t>报表设计</w:t>
            </w:r>
            <w:r>
              <w:rPr>
                <w:rFonts w:ascii="宋体" w:hAnsi="宋体" w:eastAsia="宋体" w:cs="宋体"/>
                <w:spacing w:val="2"/>
                <w:sz w:val="24"/>
                <w:szCs w:val="24"/>
              </w:rPr>
              <w:t xml:space="preserve"> </w:t>
            </w:r>
            <w:r>
              <w:rPr>
                <w:rFonts w:ascii="宋体" w:hAnsi="宋体" w:eastAsia="宋体" w:cs="宋体"/>
                <w:sz w:val="24"/>
                <w:szCs w:val="24"/>
              </w:rPr>
              <w:t>器</w:t>
            </w:r>
          </w:p>
        </w:tc>
        <w:tc>
          <w:tcPr>
            <w:tcW w:w="7743" w:type="dxa"/>
            <w:vAlign w:val="top"/>
          </w:tcPr>
          <w:p w14:paraId="64A2CB45">
            <w:pPr>
              <w:spacing w:before="65" w:line="260" w:lineRule="auto"/>
              <w:ind w:left="110" w:right="154" w:firstLine="13"/>
              <w:rPr>
                <w:rFonts w:ascii="宋体" w:hAnsi="宋体" w:eastAsia="宋体" w:cs="宋体"/>
                <w:sz w:val="21"/>
                <w:szCs w:val="21"/>
              </w:rPr>
            </w:pPr>
            <w:r>
              <w:rPr>
                <w:rFonts w:ascii="宋体" w:hAnsi="宋体" w:eastAsia="宋体" w:cs="宋体"/>
                <w:spacing w:val="6"/>
                <w:sz w:val="21"/>
                <w:szCs w:val="21"/>
              </w:rPr>
              <w:t>1．支持主流的关系型数据库（包括</w:t>
            </w:r>
            <w:r>
              <w:rPr>
                <w:rFonts w:ascii="宋体" w:hAnsi="宋体" w:eastAsia="宋体" w:cs="宋体"/>
                <w:spacing w:val="-36"/>
                <w:sz w:val="21"/>
                <w:szCs w:val="21"/>
              </w:rPr>
              <w:t xml:space="preserve"> </w:t>
            </w:r>
            <w:r>
              <w:rPr>
                <w:rFonts w:ascii="宋体" w:hAnsi="宋体" w:eastAsia="宋体" w:cs="宋体"/>
                <w:sz w:val="21"/>
                <w:szCs w:val="21"/>
              </w:rPr>
              <w:t>Oracle</w:t>
            </w:r>
            <w:r>
              <w:rPr>
                <w:rFonts w:ascii="宋体" w:hAnsi="宋体" w:eastAsia="宋体" w:cs="宋体"/>
                <w:spacing w:val="6"/>
                <w:sz w:val="21"/>
                <w:szCs w:val="21"/>
              </w:rPr>
              <w:t>、</w:t>
            </w:r>
            <w:r>
              <w:rPr>
                <w:rFonts w:ascii="宋体" w:hAnsi="宋体" w:eastAsia="宋体" w:cs="宋体"/>
                <w:sz w:val="21"/>
                <w:szCs w:val="21"/>
              </w:rPr>
              <w:t>SQL</w:t>
            </w:r>
            <w:r>
              <w:rPr>
                <w:rFonts w:ascii="宋体" w:hAnsi="宋体" w:eastAsia="宋体" w:cs="宋体"/>
                <w:spacing w:val="6"/>
                <w:sz w:val="21"/>
                <w:szCs w:val="21"/>
              </w:rPr>
              <w:t xml:space="preserve"> </w:t>
            </w:r>
            <w:r>
              <w:rPr>
                <w:rFonts w:ascii="宋体" w:hAnsi="宋体" w:eastAsia="宋体" w:cs="宋体"/>
                <w:sz w:val="21"/>
                <w:szCs w:val="21"/>
              </w:rPr>
              <w:t>Server</w:t>
            </w:r>
            <w:r>
              <w:rPr>
                <w:rFonts w:ascii="宋体" w:hAnsi="宋体" w:eastAsia="宋体" w:cs="宋体"/>
                <w:spacing w:val="6"/>
                <w:sz w:val="21"/>
                <w:szCs w:val="21"/>
              </w:rPr>
              <w:t>、</w:t>
            </w:r>
            <w:r>
              <w:rPr>
                <w:rFonts w:ascii="宋体" w:hAnsi="宋体" w:eastAsia="宋体" w:cs="宋体"/>
                <w:sz w:val="21"/>
                <w:szCs w:val="21"/>
              </w:rPr>
              <w:t>Sybase</w:t>
            </w:r>
            <w:r>
              <w:rPr>
                <w:rFonts w:ascii="宋体" w:hAnsi="宋体" w:eastAsia="宋体" w:cs="宋体"/>
                <w:spacing w:val="6"/>
                <w:sz w:val="21"/>
                <w:szCs w:val="21"/>
              </w:rPr>
              <w:t xml:space="preserve"> </w:t>
            </w:r>
            <w:r>
              <w:rPr>
                <w:rFonts w:ascii="宋体" w:hAnsi="宋体" w:eastAsia="宋体" w:cs="宋体"/>
                <w:sz w:val="21"/>
                <w:szCs w:val="21"/>
              </w:rPr>
              <w:t>ASE</w:t>
            </w:r>
            <w:r>
              <w:rPr>
                <w:rFonts w:ascii="宋体" w:hAnsi="宋体" w:eastAsia="宋体" w:cs="宋体"/>
                <w:spacing w:val="6"/>
                <w:sz w:val="21"/>
                <w:szCs w:val="21"/>
              </w:rPr>
              <w:t>/</w:t>
            </w:r>
            <w:r>
              <w:rPr>
                <w:rFonts w:ascii="宋体" w:hAnsi="宋体" w:eastAsia="宋体" w:cs="宋体"/>
                <w:sz w:val="21"/>
                <w:szCs w:val="21"/>
              </w:rPr>
              <w:t>IQ</w:t>
            </w:r>
            <w:r>
              <w:rPr>
                <w:rFonts w:ascii="宋体" w:hAnsi="宋体" w:eastAsia="宋体" w:cs="宋体"/>
                <w:spacing w:val="6"/>
                <w:sz w:val="21"/>
                <w:szCs w:val="21"/>
              </w:rPr>
              <w:t>、</w:t>
            </w:r>
            <w:r>
              <w:rPr>
                <w:rFonts w:ascii="宋体" w:hAnsi="宋体" w:eastAsia="宋体" w:cs="宋体"/>
                <w:sz w:val="21"/>
                <w:szCs w:val="21"/>
              </w:rPr>
              <w:t>DB</w:t>
            </w:r>
            <w:r>
              <w:rPr>
                <w:rFonts w:ascii="宋体" w:hAnsi="宋体" w:eastAsia="宋体" w:cs="宋体"/>
                <w:spacing w:val="6"/>
                <w:sz w:val="21"/>
                <w:szCs w:val="21"/>
              </w:rPr>
              <w:t>2</w:t>
            </w:r>
            <w:r>
              <w:rPr>
                <w:rFonts w:ascii="宋体" w:hAnsi="宋体" w:eastAsia="宋体" w:cs="宋体"/>
                <w:sz w:val="21"/>
                <w:szCs w:val="21"/>
              </w:rPr>
              <w:t xml:space="preserve"> </w:t>
            </w:r>
            <w:r>
              <w:rPr>
                <w:rFonts w:ascii="宋体" w:hAnsi="宋体" w:eastAsia="宋体" w:cs="宋体"/>
                <w:spacing w:val="-9"/>
                <w:sz w:val="21"/>
                <w:szCs w:val="21"/>
              </w:rPr>
              <w:t>等）。</w:t>
            </w:r>
          </w:p>
          <w:p w14:paraId="5C96DF21">
            <w:pPr>
              <w:spacing w:before="92" w:line="220" w:lineRule="auto"/>
              <w:ind w:left="111"/>
              <w:rPr>
                <w:rFonts w:ascii="宋体" w:hAnsi="宋体" w:eastAsia="宋体" w:cs="宋体"/>
                <w:sz w:val="21"/>
                <w:szCs w:val="21"/>
              </w:rPr>
            </w:pPr>
            <w:r>
              <w:rPr>
                <w:rFonts w:ascii="宋体" w:hAnsi="宋体" w:eastAsia="宋体" w:cs="宋体"/>
                <w:spacing w:val="-1"/>
                <w:sz w:val="21"/>
                <w:szCs w:val="21"/>
              </w:rPr>
              <w:t>2．OLAP</w:t>
            </w:r>
            <w:r>
              <w:rPr>
                <w:rFonts w:ascii="宋体" w:hAnsi="宋体" w:eastAsia="宋体" w:cs="宋体"/>
                <w:spacing w:val="-45"/>
                <w:sz w:val="21"/>
                <w:szCs w:val="21"/>
              </w:rPr>
              <w:t xml:space="preserve"> </w:t>
            </w:r>
            <w:r>
              <w:rPr>
                <w:rFonts w:ascii="宋体" w:hAnsi="宋体" w:eastAsia="宋体" w:cs="宋体"/>
                <w:spacing w:val="-1"/>
                <w:sz w:val="21"/>
                <w:szCs w:val="21"/>
              </w:rPr>
              <w:t>服务支持，如</w:t>
            </w:r>
            <w:r>
              <w:rPr>
                <w:rFonts w:ascii="宋体" w:hAnsi="宋体" w:eastAsia="宋体" w:cs="宋体"/>
                <w:spacing w:val="-43"/>
                <w:sz w:val="21"/>
                <w:szCs w:val="21"/>
              </w:rPr>
              <w:t xml:space="preserve"> </w:t>
            </w:r>
            <w:r>
              <w:rPr>
                <w:rFonts w:ascii="宋体" w:hAnsi="宋体" w:eastAsia="宋体" w:cs="宋体"/>
                <w:spacing w:val="-1"/>
                <w:sz w:val="21"/>
                <w:szCs w:val="21"/>
              </w:rPr>
              <w:t>SSAS、ESSBASE</w:t>
            </w:r>
            <w:r>
              <w:rPr>
                <w:rFonts w:ascii="宋体" w:hAnsi="宋体" w:eastAsia="宋体" w:cs="宋体"/>
                <w:spacing w:val="-43"/>
                <w:sz w:val="21"/>
                <w:szCs w:val="21"/>
              </w:rPr>
              <w:t xml:space="preserve"> </w:t>
            </w:r>
            <w:r>
              <w:rPr>
                <w:rFonts w:ascii="宋体" w:hAnsi="宋体" w:eastAsia="宋体" w:cs="宋体"/>
                <w:spacing w:val="-1"/>
                <w:sz w:val="21"/>
                <w:szCs w:val="21"/>
              </w:rPr>
              <w:t>等</w:t>
            </w:r>
            <w:r>
              <w:rPr>
                <w:rFonts w:ascii="宋体" w:hAnsi="宋体" w:eastAsia="宋体" w:cs="宋体"/>
                <w:spacing w:val="-2"/>
                <w:sz w:val="21"/>
                <w:szCs w:val="21"/>
              </w:rPr>
              <w:t>多维数据库 。</w:t>
            </w:r>
          </w:p>
          <w:p w14:paraId="4E23F209">
            <w:pPr>
              <w:spacing w:before="93" w:line="260" w:lineRule="auto"/>
              <w:ind w:left="102" w:right="102" w:firstLine="10"/>
              <w:rPr>
                <w:rFonts w:ascii="宋体" w:hAnsi="宋体" w:eastAsia="宋体" w:cs="宋体"/>
                <w:sz w:val="21"/>
                <w:szCs w:val="21"/>
              </w:rPr>
            </w:pPr>
            <w:r>
              <w:rPr>
                <w:rFonts w:ascii="宋体" w:hAnsi="宋体" w:eastAsia="宋体" w:cs="宋体"/>
                <w:spacing w:val="-7"/>
                <w:sz w:val="21"/>
                <w:szCs w:val="21"/>
              </w:rPr>
              <w:t>3．支持移动设备访问报表，报表无需针对不</w:t>
            </w:r>
            <w:r>
              <w:rPr>
                <w:rFonts w:ascii="宋体" w:hAnsi="宋体" w:eastAsia="宋体" w:cs="宋体"/>
                <w:spacing w:val="-8"/>
                <w:sz w:val="21"/>
                <w:szCs w:val="21"/>
              </w:rPr>
              <w:t>同访问终端开发多套报表，支持</w:t>
            </w:r>
            <w:r>
              <w:rPr>
                <w:rFonts w:ascii="宋体" w:hAnsi="宋体" w:eastAsia="宋体" w:cs="宋体"/>
                <w:spacing w:val="-51"/>
                <w:sz w:val="21"/>
                <w:szCs w:val="21"/>
              </w:rPr>
              <w:t xml:space="preserve"> </w:t>
            </w:r>
            <w:r>
              <w:rPr>
                <w:rFonts w:ascii="宋体" w:hAnsi="宋体" w:eastAsia="宋体" w:cs="宋体"/>
                <w:spacing w:val="-8"/>
                <w:sz w:val="21"/>
                <w:szCs w:val="21"/>
              </w:rPr>
              <w:t>Windows</w:t>
            </w:r>
            <w:r>
              <w:rPr>
                <w:rFonts w:ascii="宋体" w:hAnsi="宋体" w:eastAsia="宋体" w:cs="宋体"/>
                <w:sz w:val="21"/>
                <w:szCs w:val="21"/>
              </w:rPr>
              <w:t xml:space="preserve"> </w:t>
            </w:r>
            <w:r>
              <w:rPr>
                <w:rFonts w:ascii="宋体" w:hAnsi="宋体" w:eastAsia="宋体" w:cs="宋体"/>
                <w:spacing w:val="-2"/>
                <w:sz w:val="21"/>
                <w:szCs w:val="21"/>
              </w:rPr>
              <w:t>Mobile， iPhone，iPad</w:t>
            </w:r>
            <w:r>
              <w:rPr>
                <w:rFonts w:ascii="宋体" w:hAnsi="宋体" w:eastAsia="宋体" w:cs="宋体"/>
                <w:spacing w:val="-27"/>
                <w:sz w:val="21"/>
                <w:szCs w:val="21"/>
              </w:rPr>
              <w:t xml:space="preserve"> </w:t>
            </w:r>
            <w:r>
              <w:rPr>
                <w:rFonts w:ascii="宋体" w:hAnsi="宋体" w:eastAsia="宋体" w:cs="宋体"/>
                <w:spacing w:val="-2"/>
                <w:sz w:val="21"/>
                <w:szCs w:val="21"/>
              </w:rPr>
              <w:t>等主流移动设备。</w:t>
            </w:r>
          </w:p>
          <w:p w14:paraId="03908AE3">
            <w:pPr>
              <w:spacing w:before="93" w:line="219" w:lineRule="auto"/>
              <w:ind w:left="108"/>
              <w:rPr>
                <w:rFonts w:ascii="宋体" w:hAnsi="宋体" w:eastAsia="宋体" w:cs="宋体"/>
                <w:sz w:val="21"/>
                <w:szCs w:val="21"/>
              </w:rPr>
            </w:pPr>
            <w:r>
              <w:rPr>
                <w:rFonts w:ascii="宋体" w:hAnsi="宋体" w:eastAsia="宋体" w:cs="宋体"/>
                <w:spacing w:val="-1"/>
                <w:sz w:val="21"/>
                <w:szCs w:val="21"/>
              </w:rPr>
              <w:t>4．采用</w:t>
            </w:r>
            <w:r>
              <w:rPr>
                <w:rFonts w:ascii="宋体" w:hAnsi="宋体" w:eastAsia="宋体" w:cs="宋体"/>
                <w:spacing w:val="-49"/>
                <w:sz w:val="21"/>
                <w:szCs w:val="21"/>
              </w:rPr>
              <w:t xml:space="preserve"> </w:t>
            </w:r>
            <w:r>
              <w:rPr>
                <w:rFonts w:ascii="宋体" w:hAnsi="宋体" w:eastAsia="宋体" w:cs="宋体"/>
                <w:spacing w:val="-1"/>
                <w:sz w:val="21"/>
                <w:szCs w:val="21"/>
              </w:rPr>
              <w:t>HTML5</w:t>
            </w:r>
            <w:r>
              <w:rPr>
                <w:rFonts w:ascii="宋体" w:hAnsi="宋体" w:eastAsia="宋体" w:cs="宋体"/>
                <w:spacing w:val="-44"/>
                <w:sz w:val="21"/>
                <w:szCs w:val="21"/>
              </w:rPr>
              <w:t xml:space="preserve"> </w:t>
            </w:r>
            <w:r>
              <w:rPr>
                <w:rFonts w:ascii="宋体" w:hAnsi="宋体" w:eastAsia="宋体" w:cs="宋体"/>
                <w:spacing w:val="-1"/>
                <w:sz w:val="21"/>
                <w:szCs w:val="21"/>
              </w:rPr>
              <w:t>技术，可与微信公众号集成，</w:t>
            </w:r>
            <w:r>
              <w:rPr>
                <w:rFonts w:ascii="宋体" w:hAnsi="宋体" w:eastAsia="宋体" w:cs="宋体"/>
                <w:spacing w:val="-2"/>
                <w:sz w:val="21"/>
                <w:szCs w:val="21"/>
              </w:rPr>
              <w:t>可在微信中查看和管理报表。。</w:t>
            </w:r>
          </w:p>
          <w:p w14:paraId="7DF8CFC9">
            <w:pPr>
              <w:spacing w:before="94" w:line="260" w:lineRule="auto"/>
              <w:ind w:left="117" w:right="162" w:hanging="4"/>
              <w:rPr>
                <w:rFonts w:ascii="宋体" w:hAnsi="宋体" w:eastAsia="宋体" w:cs="宋体"/>
                <w:sz w:val="21"/>
                <w:szCs w:val="21"/>
              </w:rPr>
            </w:pPr>
            <w:r>
              <w:rPr>
                <w:rFonts w:ascii="宋体" w:hAnsi="宋体" w:eastAsia="宋体" w:cs="宋体"/>
                <w:sz w:val="21"/>
                <w:szCs w:val="21"/>
              </w:rPr>
              <w:t>5．报表多</w:t>
            </w:r>
            <w:r>
              <w:rPr>
                <w:rFonts w:ascii="宋体" w:hAnsi="宋体" w:eastAsia="宋体" w:cs="宋体"/>
                <w:spacing w:val="-31"/>
                <w:sz w:val="21"/>
                <w:szCs w:val="21"/>
              </w:rPr>
              <w:t xml:space="preserve"> </w:t>
            </w:r>
            <w:r>
              <w:rPr>
                <w:rFonts w:ascii="宋体" w:hAnsi="宋体" w:eastAsia="宋体" w:cs="宋体"/>
                <w:sz w:val="21"/>
                <w:szCs w:val="21"/>
              </w:rPr>
              <w:t>SHEET</w:t>
            </w:r>
            <w:r>
              <w:rPr>
                <w:rFonts w:ascii="宋体" w:hAnsi="宋体" w:eastAsia="宋体" w:cs="宋体"/>
                <w:spacing w:val="-41"/>
                <w:sz w:val="21"/>
                <w:szCs w:val="21"/>
              </w:rPr>
              <w:t xml:space="preserve"> </w:t>
            </w:r>
            <w:r>
              <w:rPr>
                <w:rFonts w:ascii="宋体" w:hAnsi="宋体" w:eastAsia="宋体" w:cs="宋体"/>
                <w:sz w:val="21"/>
                <w:szCs w:val="21"/>
              </w:rPr>
              <w:t>支持。可将相关分析报表集中展示，区分为不同的</w:t>
            </w:r>
            <w:r>
              <w:rPr>
                <w:rFonts w:ascii="宋体" w:hAnsi="宋体" w:eastAsia="宋体" w:cs="宋体"/>
                <w:spacing w:val="-33"/>
                <w:sz w:val="21"/>
                <w:szCs w:val="21"/>
              </w:rPr>
              <w:t xml:space="preserve"> </w:t>
            </w:r>
            <w:r>
              <w:rPr>
                <w:rFonts w:ascii="宋体" w:hAnsi="宋体" w:eastAsia="宋体" w:cs="宋体"/>
                <w:sz w:val="21"/>
                <w:szCs w:val="21"/>
              </w:rPr>
              <w:t xml:space="preserve">sheet，支持 </w:t>
            </w:r>
            <w:r>
              <w:rPr>
                <w:rFonts w:ascii="宋体" w:hAnsi="宋体" w:eastAsia="宋体" w:cs="宋体"/>
                <w:spacing w:val="-3"/>
                <w:sz w:val="21"/>
                <w:szCs w:val="21"/>
              </w:rPr>
              <w:t>sheet</w:t>
            </w:r>
            <w:r>
              <w:rPr>
                <w:rFonts w:ascii="宋体" w:hAnsi="宋体" w:eastAsia="宋体" w:cs="宋体"/>
                <w:spacing w:val="-27"/>
                <w:sz w:val="21"/>
                <w:szCs w:val="21"/>
              </w:rPr>
              <w:t xml:space="preserve"> </w:t>
            </w:r>
            <w:r>
              <w:rPr>
                <w:rFonts w:ascii="宋体" w:hAnsi="宋体" w:eastAsia="宋体" w:cs="宋体"/>
                <w:spacing w:val="-3"/>
                <w:sz w:val="21"/>
                <w:szCs w:val="21"/>
              </w:rPr>
              <w:t>的改名、修改颜色、隐藏、设置缺省</w:t>
            </w:r>
            <w:r>
              <w:rPr>
                <w:rFonts w:ascii="宋体" w:hAnsi="宋体" w:eastAsia="宋体" w:cs="宋体"/>
                <w:spacing w:val="-35"/>
                <w:sz w:val="21"/>
                <w:szCs w:val="21"/>
              </w:rPr>
              <w:t xml:space="preserve"> </w:t>
            </w:r>
            <w:r>
              <w:rPr>
                <w:rFonts w:ascii="宋体" w:hAnsi="宋体" w:eastAsia="宋体" w:cs="宋体"/>
                <w:spacing w:val="-3"/>
                <w:sz w:val="21"/>
                <w:szCs w:val="21"/>
              </w:rPr>
              <w:t>sheet</w:t>
            </w:r>
            <w:r>
              <w:rPr>
                <w:rFonts w:ascii="宋体" w:hAnsi="宋体" w:eastAsia="宋体" w:cs="宋体"/>
                <w:spacing w:val="-43"/>
                <w:sz w:val="21"/>
                <w:szCs w:val="21"/>
              </w:rPr>
              <w:t xml:space="preserve"> </w:t>
            </w:r>
            <w:r>
              <w:rPr>
                <w:rFonts w:ascii="宋体" w:hAnsi="宋体" w:eastAsia="宋体" w:cs="宋体"/>
                <w:spacing w:val="-3"/>
                <w:sz w:val="21"/>
                <w:szCs w:val="21"/>
              </w:rPr>
              <w:t>等操</w:t>
            </w:r>
            <w:r>
              <w:rPr>
                <w:rFonts w:ascii="宋体" w:hAnsi="宋体" w:eastAsia="宋体" w:cs="宋体"/>
                <w:spacing w:val="-4"/>
                <w:sz w:val="21"/>
                <w:szCs w:val="21"/>
              </w:rPr>
              <w:t>作。</w:t>
            </w:r>
          </w:p>
          <w:p w14:paraId="5269CA9D">
            <w:pPr>
              <w:spacing w:before="93" w:line="219" w:lineRule="auto"/>
              <w:ind w:left="110"/>
              <w:rPr>
                <w:rFonts w:ascii="宋体" w:hAnsi="宋体" w:eastAsia="宋体" w:cs="宋体"/>
                <w:sz w:val="21"/>
                <w:szCs w:val="21"/>
              </w:rPr>
            </w:pPr>
            <w:r>
              <w:rPr>
                <w:rFonts w:ascii="宋体" w:hAnsi="宋体" w:eastAsia="宋体" w:cs="宋体"/>
                <w:spacing w:val="-2"/>
                <w:sz w:val="21"/>
                <w:szCs w:val="21"/>
              </w:rPr>
              <w:t>6．包含</w:t>
            </w:r>
            <w:r>
              <w:rPr>
                <w:rFonts w:ascii="宋体" w:hAnsi="宋体" w:eastAsia="宋体" w:cs="宋体"/>
                <w:spacing w:val="-45"/>
                <w:sz w:val="21"/>
                <w:szCs w:val="21"/>
              </w:rPr>
              <w:t xml:space="preserve"> </w:t>
            </w:r>
            <w:r>
              <w:rPr>
                <w:rFonts w:ascii="宋体" w:hAnsi="宋体" w:eastAsia="宋体" w:cs="宋体"/>
                <w:spacing w:val="-2"/>
                <w:sz w:val="21"/>
                <w:szCs w:val="21"/>
              </w:rPr>
              <w:t>BI</w:t>
            </w:r>
            <w:r>
              <w:rPr>
                <w:rFonts w:ascii="宋体" w:hAnsi="宋体" w:eastAsia="宋体" w:cs="宋体"/>
                <w:spacing w:val="-42"/>
                <w:sz w:val="21"/>
                <w:szCs w:val="21"/>
              </w:rPr>
              <w:t xml:space="preserve"> </w:t>
            </w:r>
            <w:r>
              <w:rPr>
                <w:rFonts w:ascii="宋体" w:hAnsi="宋体" w:eastAsia="宋体" w:cs="宋体"/>
                <w:spacing w:val="-2"/>
                <w:sz w:val="21"/>
                <w:szCs w:val="21"/>
              </w:rPr>
              <w:t>分析基本功能，如上钻、下钻、转轴、切片等操作。</w:t>
            </w:r>
          </w:p>
          <w:p w14:paraId="734038EC">
            <w:pPr>
              <w:spacing w:before="93" w:line="220" w:lineRule="auto"/>
              <w:ind w:left="114"/>
              <w:rPr>
                <w:rFonts w:ascii="宋体" w:hAnsi="宋体" w:eastAsia="宋体" w:cs="宋体"/>
                <w:sz w:val="21"/>
                <w:szCs w:val="21"/>
              </w:rPr>
            </w:pPr>
            <w:r>
              <w:rPr>
                <w:rFonts w:ascii="宋体" w:hAnsi="宋体" w:eastAsia="宋体" w:cs="宋体"/>
                <w:spacing w:val="-2"/>
                <w:sz w:val="21"/>
                <w:szCs w:val="21"/>
              </w:rPr>
              <w:t>7．客户</w:t>
            </w:r>
            <w:r>
              <w:rPr>
                <w:rFonts w:ascii="宋体" w:hAnsi="宋体" w:eastAsia="宋体" w:cs="宋体"/>
                <w:spacing w:val="-42"/>
                <w:sz w:val="21"/>
                <w:szCs w:val="21"/>
              </w:rPr>
              <w:t xml:space="preserve"> </w:t>
            </w:r>
            <w:r>
              <w:rPr>
                <w:rFonts w:ascii="宋体" w:hAnsi="宋体" w:eastAsia="宋体" w:cs="宋体"/>
                <w:spacing w:val="-2"/>
                <w:sz w:val="21"/>
                <w:szCs w:val="21"/>
              </w:rPr>
              <w:t>TOPN。用户界面下，允许用户进行</w:t>
            </w:r>
            <w:r>
              <w:rPr>
                <w:rFonts w:ascii="宋体" w:hAnsi="宋体" w:eastAsia="宋体" w:cs="宋体"/>
                <w:spacing w:val="-47"/>
                <w:sz w:val="21"/>
                <w:szCs w:val="21"/>
              </w:rPr>
              <w:t xml:space="preserve"> </w:t>
            </w:r>
            <w:r>
              <w:rPr>
                <w:rFonts w:ascii="宋体" w:hAnsi="宋体" w:eastAsia="宋体" w:cs="宋体"/>
                <w:spacing w:val="-2"/>
                <w:sz w:val="21"/>
                <w:szCs w:val="21"/>
              </w:rPr>
              <w:t>TOPN</w:t>
            </w:r>
            <w:r>
              <w:rPr>
                <w:rFonts w:ascii="宋体" w:hAnsi="宋体" w:eastAsia="宋体" w:cs="宋体"/>
                <w:spacing w:val="-45"/>
                <w:sz w:val="21"/>
                <w:szCs w:val="21"/>
              </w:rPr>
              <w:t xml:space="preserve"> </w:t>
            </w:r>
            <w:r>
              <w:rPr>
                <w:rFonts w:ascii="宋体" w:hAnsi="宋体" w:eastAsia="宋体" w:cs="宋体"/>
                <w:spacing w:val="-2"/>
                <w:sz w:val="21"/>
                <w:szCs w:val="21"/>
              </w:rPr>
              <w:t>操作。</w:t>
            </w:r>
          </w:p>
          <w:p w14:paraId="56510F17">
            <w:pPr>
              <w:spacing w:before="93" w:line="219" w:lineRule="auto"/>
              <w:ind w:left="110"/>
              <w:rPr>
                <w:rFonts w:ascii="宋体" w:hAnsi="宋体" w:eastAsia="宋体" w:cs="宋体"/>
                <w:sz w:val="21"/>
                <w:szCs w:val="21"/>
              </w:rPr>
            </w:pPr>
            <w:r>
              <w:rPr>
                <w:rFonts w:ascii="宋体" w:hAnsi="宋体" w:eastAsia="宋体" w:cs="宋体"/>
                <w:spacing w:val="-2"/>
                <w:sz w:val="21"/>
                <w:szCs w:val="21"/>
              </w:rPr>
              <w:t>8．支持报表联动，报表直接实现联动并可传递过滤条件。</w:t>
            </w:r>
          </w:p>
          <w:p w14:paraId="618AE6F4">
            <w:pPr>
              <w:spacing w:before="95" w:line="260" w:lineRule="auto"/>
              <w:ind w:left="110" w:right="102"/>
              <w:rPr>
                <w:rFonts w:ascii="宋体" w:hAnsi="宋体" w:eastAsia="宋体" w:cs="宋体"/>
                <w:sz w:val="21"/>
                <w:szCs w:val="21"/>
              </w:rPr>
            </w:pPr>
            <w:r>
              <w:rPr>
                <w:rFonts w:ascii="宋体" w:hAnsi="宋体" w:eastAsia="宋体" w:cs="宋体"/>
                <w:spacing w:val="2"/>
                <w:sz w:val="21"/>
                <w:szCs w:val="21"/>
              </w:rPr>
              <w:t>9．集合管理，可从维度成员或已有的分析数据集中生成集合，</w:t>
            </w:r>
            <w:r>
              <w:rPr>
                <w:rFonts w:ascii="宋体" w:hAnsi="宋体" w:eastAsia="宋体" w:cs="宋体"/>
                <w:spacing w:val="1"/>
                <w:sz w:val="21"/>
                <w:szCs w:val="21"/>
              </w:rPr>
              <w:t>并作为字段进行分</w:t>
            </w:r>
            <w:r>
              <w:rPr>
                <w:rFonts w:ascii="宋体" w:hAnsi="宋体" w:eastAsia="宋体" w:cs="宋体"/>
                <w:sz w:val="21"/>
                <w:szCs w:val="21"/>
              </w:rPr>
              <w:t xml:space="preserve"> </w:t>
            </w:r>
            <w:r>
              <w:rPr>
                <w:rFonts w:ascii="宋体" w:hAnsi="宋体" w:eastAsia="宋体" w:cs="宋体"/>
                <w:spacing w:val="-4"/>
                <w:sz w:val="21"/>
                <w:szCs w:val="21"/>
              </w:rPr>
              <w:t>析自定义集合的管理。</w:t>
            </w:r>
          </w:p>
          <w:p w14:paraId="583B8961">
            <w:pPr>
              <w:spacing w:before="93" w:line="260" w:lineRule="auto"/>
              <w:ind w:left="111" w:right="101" w:firstLine="13"/>
              <w:rPr>
                <w:rFonts w:ascii="宋体" w:hAnsi="宋体" w:eastAsia="宋体" w:cs="宋体"/>
                <w:sz w:val="21"/>
                <w:szCs w:val="21"/>
              </w:rPr>
            </w:pPr>
            <w:r>
              <w:rPr>
                <w:rFonts w:ascii="宋体" w:hAnsi="宋体" w:eastAsia="宋体" w:cs="宋体"/>
                <w:spacing w:val="-8"/>
                <w:sz w:val="21"/>
                <w:szCs w:val="21"/>
              </w:rPr>
              <w:t>10．内置同比、环比、基比、累计、期初、期末、排名等计算模板， 不</w:t>
            </w:r>
            <w:r>
              <w:rPr>
                <w:rFonts w:ascii="宋体" w:hAnsi="宋体" w:eastAsia="宋体" w:cs="宋体"/>
                <w:spacing w:val="-9"/>
                <w:sz w:val="21"/>
                <w:szCs w:val="21"/>
              </w:rPr>
              <w:t>需要编写</w:t>
            </w:r>
            <w:r>
              <w:rPr>
                <w:rFonts w:ascii="宋体" w:hAnsi="宋体" w:eastAsia="宋体" w:cs="宋体"/>
                <w:spacing w:val="-43"/>
                <w:sz w:val="21"/>
                <w:szCs w:val="21"/>
              </w:rPr>
              <w:t xml:space="preserve"> </w:t>
            </w:r>
            <w:r>
              <w:rPr>
                <w:rFonts w:ascii="宋体" w:hAnsi="宋体" w:eastAsia="宋体" w:cs="宋体"/>
                <w:spacing w:val="-9"/>
                <w:sz w:val="21"/>
                <w:szCs w:val="21"/>
              </w:rPr>
              <w:t>SQL</w:t>
            </w:r>
            <w:r>
              <w:rPr>
                <w:rFonts w:ascii="宋体" w:hAnsi="宋体" w:eastAsia="宋体" w:cs="宋体"/>
                <w:sz w:val="21"/>
                <w:szCs w:val="21"/>
              </w:rPr>
              <w:t xml:space="preserve"> </w:t>
            </w:r>
            <w:r>
              <w:rPr>
                <w:rFonts w:ascii="宋体" w:hAnsi="宋体" w:eastAsia="宋体" w:cs="宋体"/>
                <w:spacing w:val="-6"/>
                <w:sz w:val="21"/>
                <w:szCs w:val="21"/>
              </w:rPr>
              <w:t>或</w:t>
            </w:r>
            <w:r>
              <w:rPr>
                <w:rFonts w:ascii="宋体" w:hAnsi="宋体" w:eastAsia="宋体" w:cs="宋体"/>
                <w:spacing w:val="-48"/>
                <w:sz w:val="21"/>
                <w:szCs w:val="21"/>
              </w:rPr>
              <w:t xml:space="preserve"> </w:t>
            </w:r>
            <w:r>
              <w:rPr>
                <w:rFonts w:ascii="宋体" w:hAnsi="宋体" w:eastAsia="宋体" w:cs="宋体"/>
                <w:spacing w:val="-6"/>
                <w:sz w:val="21"/>
                <w:szCs w:val="21"/>
              </w:rPr>
              <w:t>MDX</w:t>
            </w:r>
            <w:r>
              <w:rPr>
                <w:rFonts w:ascii="宋体" w:hAnsi="宋体" w:eastAsia="宋体" w:cs="宋体"/>
                <w:spacing w:val="-45"/>
                <w:sz w:val="21"/>
                <w:szCs w:val="21"/>
              </w:rPr>
              <w:t xml:space="preserve"> </w:t>
            </w:r>
            <w:r>
              <w:rPr>
                <w:rFonts w:ascii="宋体" w:hAnsi="宋体" w:eastAsia="宋体" w:cs="宋体"/>
                <w:spacing w:val="-6"/>
                <w:sz w:val="21"/>
                <w:szCs w:val="21"/>
              </w:rPr>
              <w:t>语句。</w:t>
            </w:r>
          </w:p>
          <w:p w14:paraId="17761307">
            <w:pPr>
              <w:spacing w:before="93" w:line="220" w:lineRule="auto"/>
              <w:ind w:left="124"/>
              <w:rPr>
                <w:rFonts w:ascii="宋体" w:hAnsi="宋体" w:eastAsia="宋体" w:cs="宋体"/>
                <w:sz w:val="21"/>
                <w:szCs w:val="21"/>
              </w:rPr>
            </w:pPr>
            <w:r>
              <w:rPr>
                <w:rFonts w:ascii="宋体" w:hAnsi="宋体" w:eastAsia="宋体" w:cs="宋体"/>
                <w:spacing w:val="-2"/>
                <w:sz w:val="21"/>
                <w:szCs w:val="21"/>
              </w:rPr>
              <w:t>11．元数据重命名。对字段、维度、度量进行重命名，并体现在报表中。</w:t>
            </w:r>
          </w:p>
          <w:p w14:paraId="3EB51FDF">
            <w:pPr>
              <w:spacing w:before="94" w:line="260" w:lineRule="auto"/>
              <w:ind w:left="108" w:right="102" w:firstLine="16"/>
              <w:rPr>
                <w:rFonts w:ascii="宋体" w:hAnsi="宋体" w:eastAsia="宋体" w:cs="宋体"/>
                <w:sz w:val="21"/>
                <w:szCs w:val="21"/>
              </w:rPr>
            </w:pPr>
            <w:r>
              <w:rPr>
                <w:rFonts w:ascii="宋体" w:hAnsi="宋体" w:eastAsia="宋体" w:cs="宋体"/>
                <w:spacing w:val="-2"/>
                <w:sz w:val="21"/>
                <w:szCs w:val="21"/>
              </w:rPr>
              <w:t>12．条件格式。类似</w:t>
            </w:r>
            <w:r>
              <w:rPr>
                <w:rFonts w:ascii="宋体" w:hAnsi="宋体" w:eastAsia="宋体" w:cs="宋体"/>
                <w:spacing w:val="-40"/>
                <w:sz w:val="21"/>
                <w:szCs w:val="21"/>
              </w:rPr>
              <w:t xml:space="preserve"> </w:t>
            </w:r>
            <w:r>
              <w:rPr>
                <w:rFonts w:ascii="宋体" w:hAnsi="宋体" w:eastAsia="宋体" w:cs="宋体"/>
                <w:spacing w:val="-2"/>
                <w:sz w:val="21"/>
                <w:szCs w:val="21"/>
              </w:rPr>
              <w:t>excel</w:t>
            </w:r>
            <w:r>
              <w:rPr>
                <w:rFonts w:ascii="宋体" w:hAnsi="宋体" w:eastAsia="宋体" w:cs="宋体"/>
                <w:spacing w:val="-24"/>
                <w:sz w:val="21"/>
                <w:szCs w:val="21"/>
              </w:rPr>
              <w:t xml:space="preserve"> </w:t>
            </w:r>
            <w:r>
              <w:rPr>
                <w:rFonts w:ascii="宋体" w:hAnsi="宋体" w:eastAsia="宋体" w:cs="宋体"/>
                <w:spacing w:val="-2"/>
                <w:sz w:val="21"/>
                <w:szCs w:val="21"/>
              </w:rPr>
              <w:t>中的功能，在</w:t>
            </w:r>
            <w:r>
              <w:rPr>
                <w:rFonts w:ascii="宋体" w:hAnsi="宋体" w:eastAsia="宋体" w:cs="宋体"/>
                <w:spacing w:val="-3"/>
                <w:sz w:val="21"/>
                <w:szCs w:val="21"/>
              </w:rPr>
              <w:t>数据表格中可按数据条、颜色深浅反应数</w:t>
            </w:r>
            <w:r>
              <w:rPr>
                <w:rFonts w:ascii="宋体" w:hAnsi="宋体" w:eastAsia="宋体" w:cs="宋体"/>
                <w:sz w:val="21"/>
                <w:szCs w:val="21"/>
              </w:rPr>
              <w:t xml:space="preserve"> </w:t>
            </w:r>
            <w:r>
              <w:rPr>
                <w:rFonts w:ascii="宋体" w:hAnsi="宋体" w:eastAsia="宋体" w:cs="宋体"/>
                <w:spacing w:val="-7"/>
                <w:sz w:val="21"/>
                <w:szCs w:val="21"/>
              </w:rPr>
              <w:t>据值大小。</w:t>
            </w:r>
          </w:p>
          <w:p w14:paraId="4FAD59D2">
            <w:pPr>
              <w:spacing w:before="92" w:line="220" w:lineRule="auto"/>
              <w:ind w:left="124"/>
              <w:rPr>
                <w:rFonts w:ascii="宋体" w:hAnsi="宋体" w:eastAsia="宋体" w:cs="宋体"/>
                <w:sz w:val="21"/>
                <w:szCs w:val="21"/>
              </w:rPr>
            </w:pPr>
            <w:r>
              <w:rPr>
                <w:rFonts w:ascii="宋体" w:hAnsi="宋体" w:eastAsia="宋体" w:cs="宋体"/>
                <w:spacing w:val="-5"/>
                <w:sz w:val="21"/>
                <w:szCs w:val="21"/>
              </w:rPr>
              <w:t>13．支持常见的</w:t>
            </w:r>
            <w:r>
              <w:rPr>
                <w:rFonts w:ascii="宋体" w:hAnsi="宋体" w:eastAsia="宋体" w:cs="宋体"/>
                <w:spacing w:val="-40"/>
                <w:sz w:val="21"/>
                <w:szCs w:val="21"/>
              </w:rPr>
              <w:t xml:space="preserve"> </w:t>
            </w:r>
            <w:r>
              <w:rPr>
                <w:rFonts w:ascii="宋体" w:hAnsi="宋体" w:eastAsia="宋体" w:cs="宋体"/>
                <w:spacing w:val="-5"/>
                <w:sz w:val="21"/>
                <w:szCs w:val="21"/>
              </w:rPr>
              <w:t>chart</w:t>
            </w:r>
            <w:r>
              <w:rPr>
                <w:rFonts w:ascii="宋体" w:hAnsi="宋体" w:eastAsia="宋体" w:cs="宋体"/>
                <w:spacing w:val="-45"/>
                <w:sz w:val="21"/>
                <w:szCs w:val="21"/>
              </w:rPr>
              <w:t xml:space="preserve"> </w:t>
            </w:r>
            <w:r>
              <w:rPr>
                <w:rFonts w:ascii="宋体" w:hAnsi="宋体" w:eastAsia="宋体" w:cs="宋体"/>
                <w:spacing w:val="-5"/>
                <w:sz w:val="21"/>
                <w:szCs w:val="21"/>
              </w:rPr>
              <w:t>类型。线、条形、面积、饼、雷达、</w:t>
            </w:r>
            <w:r>
              <w:rPr>
                <w:rFonts w:ascii="宋体" w:hAnsi="宋体" w:eastAsia="宋体" w:cs="宋体"/>
                <w:spacing w:val="-6"/>
                <w:sz w:val="21"/>
                <w:szCs w:val="21"/>
              </w:rPr>
              <w:t>地图等常见的图表类型。</w:t>
            </w:r>
          </w:p>
          <w:p w14:paraId="1E1E7D20">
            <w:pPr>
              <w:spacing w:before="94" w:line="260" w:lineRule="auto"/>
              <w:ind w:left="111" w:right="27" w:firstLine="13"/>
              <w:rPr>
                <w:rFonts w:ascii="宋体" w:hAnsi="宋体" w:eastAsia="宋体" w:cs="宋体"/>
                <w:sz w:val="21"/>
                <w:szCs w:val="21"/>
              </w:rPr>
            </w:pPr>
            <w:r>
              <w:rPr>
                <w:rFonts w:ascii="宋体" w:hAnsi="宋体" w:eastAsia="宋体" w:cs="宋体"/>
                <w:spacing w:val="-8"/>
                <w:sz w:val="21"/>
                <w:szCs w:val="21"/>
              </w:rPr>
              <w:t>14．图表参考线。表格中可添加多条参考线， 并可自定义参考线标签（粗细、颜色、</w:t>
            </w:r>
            <w:r>
              <w:rPr>
                <w:rFonts w:ascii="宋体" w:hAnsi="宋体" w:eastAsia="宋体" w:cs="宋体"/>
                <w:spacing w:val="16"/>
                <w:sz w:val="21"/>
                <w:szCs w:val="21"/>
              </w:rPr>
              <w:t xml:space="preserve"> </w:t>
            </w:r>
            <w:r>
              <w:rPr>
                <w:rFonts w:ascii="宋体" w:hAnsi="宋体" w:eastAsia="宋体" w:cs="宋体"/>
                <w:spacing w:val="-6"/>
                <w:sz w:val="21"/>
                <w:szCs w:val="21"/>
              </w:rPr>
              <w:t>线条类型）。</w:t>
            </w:r>
          </w:p>
          <w:p w14:paraId="7BA2892E">
            <w:pPr>
              <w:spacing w:before="93" w:line="214" w:lineRule="auto"/>
              <w:ind w:left="124"/>
              <w:rPr>
                <w:rFonts w:ascii="宋体" w:hAnsi="宋体" w:eastAsia="宋体" w:cs="宋体"/>
                <w:sz w:val="21"/>
                <w:szCs w:val="21"/>
              </w:rPr>
            </w:pPr>
            <w:r>
              <w:rPr>
                <w:rFonts w:ascii="宋体" w:hAnsi="宋体" w:eastAsia="宋体" w:cs="宋体"/>
                <w:spacing w:val="-2"/>
                <w:sz w:val="21"/>
                <w:szCs w:val="21"/>
              </w:rPr>
              <w:t>15．报表导出，报表可导出成</w:t>
            </w:r>
            <w:r>
              <w:rPr>
                <w:rFonts w:ascii="宋体" w:hAnsi="宋体" w:eastAsia="宋体" w:cs="宋体"/>
                <w:spacing w:val="-39"/>
                <w:sz w:val="21"/>
                <w:szCs w:val="21"/>
              </w:rPr>
              <w:t xml:space="preserve"> </w:t>
            </w:r>
            <w:r>
              <w:rPr>
                <w:rFonts w:ascii="宋体" w:hAnsi="宋体" w:eastAsia="宋体" w:cs="宋体"/>
                <w:spacing w:val="-2"/>
                <w:sz w:val="21"/>
                <w:szCs w:val="21"/>
              </w:rPr>
              <w:t>excel、</w:t>
            </w:r>
            <w:r>
              <w:rPr>
                <w:rFonts w:ascii="宋体" w:hAnsi="宋体" w:eastAsia="宋体" w:cs="宋体"/>
                <w:spacing w:val="-3"/>
                <w:sz w:val="21"/>
                <w:szCs w:val="21"/>
              </w:rPr>
              <w:t>jpg、pdf。</w:t>
            </w:r>
          </w:p>
          <w:p w14:paraId="17B65726">
            <w:pPr>
              <w:spacing w:before="99" w:line="219" w:lineRule="auto"/>
              <w:ind w:left="124"/>
              <w:rPr>
                <w:rFonts w:ascii="宋体" w:hAnsi="宋体" w:eastAsia="宋体" w:cs="宋体"/>
                <w:sz w:val="21"/>
                <w:szCs w:val="21"/>
              </w:rPr>
            </w:pPr>
            <w:r>
              <w:rPr>
                <w:rFonts w:ascii="宋体" w:hAnsi="宋体" w:eastAsia="宋体" w:cs="宋体"/>
                <w:spacing w:val="-2"/>
                <w:sz w:val="21"/>
                <w:szCs w:val="21"/>
              </w:rPr>
              <w:t>16．精细排序，支持数据按照特定成员的值进</w:t>
            </w:r>
            <w:r>
              <w:rPr>
                <w:rFonts w:ascii="宋体" w:hAnsi="宋体" w:eastAsia="宋体" w:cs="宋体"/>
                <w:spacing w:val="-3"/>
                <w:sz w:val="21"/>
                <w:szCs w:val="21"/>
              </w:rPr>
              <w:t>行排序。</w:t>
            </w:r>
          </w:p>
          <w:p w14:paraId="704DF817">
            <w:pPr>
              <w:spacing w:before="93" w:line="220" w:lineRule="auto"/>
              <w:ind w:left="124"/>
              <w:rPr>
                <w:rFonts w:ascii="宋体" w:hAnsi="宋体" w:eastAsia="宋体" w:cs="宋体"/>
                <w:sz w:val="21"/>
                <w:szCs w:val="21"/>
              </w:rPr>
            </w:pPr>
            <w:r>
              <w:rPr>
                <w:rFonts w:ascii="宋体" w:hAnsi="宋体" w:eastAsia="宋体" w:cs="宋体"/>
                <w:spacing w:val="-2"/>
                <w:sz w:val="21"/>
                <w:szCs w:val="21"/>
              </w:rPr>
              <w:t>17．数据权限控制，对同一报表不同的人员查到的数据不同。</w:t>
            </w:r>
          </w:p>
          <w:p w14:paraId="6A118B7D">
            <w:pPr>
              <w:spacing w:before="94" w:line="260" w:lineRule="auto"/>
              <w:ind w:left="113" w:right="102" w:firstLine="11"/>
              <w:rPr>
                <w:rFonts w:ascii="宋体" w:hAnsi="宋体" w:eastAsia="宋体" w:cs="宋体"/>
                <w:sz w:val="21"/>
                <w:szCs w:val="21"/>
              </w:rPr>
            </w:pPr>
            <w:r>
              <w:rPr>
                <w:rFonts w:ascii="宋体" w:hAnsi="宋体" w:eastAsia="宋体" w:cs="宋体"/>
                <w:spacing w:val="-1"/>
                <w:sz w:val="21"/>
                <w:szCs w:val="21"/>
              </w:rPr>
              <w:t>18．报表定义导出，报表定义可以导出成</w:t>
            </w:r>
            <w:r>
              <w:rPr>
                <w:rFonts w:ascii="宋体" w:hAnsi="宋体" w:eastAsia="宋体" w:cs="宋体"/>
                <w:spacing w:val="-2"/>
                <w:sz w:val="21"/>
                <w:szCs w:val="21"/>
              </w:rPr>
              <w:t>为单个文件并支持导入，便于报表分享和</w:t>
            </w:r>
            <w:r>
              <w:rPr>
                <w:rFonts w:ascii="宋体" w:hAnsi="宋体" w:eastAsia="宋体" w:cs="宋体"/>
                <w:sz w:val="21"/>
                <w:szCs w:val="21"/>
              </w:rPr>
              <w:t xml:space="preserve"> </w:t>
            </w:r>
            <w:r>
              <w:rPr>
                <w:rFonts w:ascii="宋体" w:hAnsi="宋体" w:eastAsia="宋体" w:cs="宋体"/>
                <w:spacing w:val="-7"/>
                <w:sz w:val="21"/>
                <w:szCs w:val="21"/>
              </w:rPr>
              <w:t>系统备份。</w:t>
            </w:r>
          </w:p>
          <w:p w14:paraId="4CE3E96F">
            <w:pPr>
              <w:spacing w:before="93" w:line="219" w:lineRule="auto"/>
              <w:ind w:left="124"/>
              <w:rPr>
                <w:rFonts w:ascii="宋体" w:hAnsi="宋体" w:eastAsia="宋体" w:cs="宋体"/>
                <w:sz w:val="21"/>
                <w:szCs w:val="21"/>
              </w:rPr>
            </w:pPr>
            <w:r>
              <w:rPr>
                <w:rFonts w:ascii="宋体" w:hAnsi="宋体" w:eastAsia="宋体" w:cs="宋体"/>
                <w:spacing w:val="-2"/>
                <w:sz w:val="21"/>
                <w:szCs w:val="21"/>
              </w:rPr>
              <w:t>19．支持保存即发布的方式，不需要另外的发</w:t>
            </w:r>
            <w:r>
              <w:rPr>
                <w:rFonts w:ascii="宋体" w:hAnsi="宋体" w:eastAsia="宋体" w:cs="宋体"/>
                <w:spacing w:val="-3"/>
                <w:sz w:val="21"/>
                <w:szCs w:val="21"/>
              </w:rPr>
              <w:t>布工具。</w:t>
            </w:r>
          </w:p>
          <w:p w14:paraId="22917BB0">
            <w:pPr>
              <w:spacing w:before="93" w:line="217" w:lineRule="auto"/>
              <w:ind w:left="111"/>
              <w:rPr>
                <w:rFonts w:ascii="宋体" w:hAnsi="宋体" w:eastAsia="宋体" w:cs="宋体"/>
                <w:sz w:val="21"/>
                <w:szCs w:val="21"/>
              </w:rPr>
            </w:pPr>
            <w:r>
              <w:rPr>
                <w:rFonts w:ascii="宋体" w:hAnsi="宋体" w:eastAsia="宋体" w:cs="宋体"/>
                <w:spacing w:val="-1"/>
                <w:sz w:val="21"/>
                <w:szCs w:val="21"/>
              </w:rPr>
              <w:t>20．支持</w:t>
            </w:r>
            <w:r>
              <w:rPr>
                <w:rFonts w:ascii="宋体" w:hAnsi="宋体" w:eastAsia="宋体" w:cs="宋体"/>
                <w:spacing w:val="-46"/>
                <w:sz w:val="21"/>
                <w:szCs w:val="21"/>
              </w:rPr>
              <w:t xml:space="preserve"> </w:t>
            </w:r>
            <w:r>
              <w:rPr>
                <w:rFonts w:ascii="宋体" w:hAnsi="宋体" w:eastAsia="宋体" w:cs="宋体"/>
                <w:spacing w:val="-1"/>
                <w:sz w:val="21"/>
                <w:szCs w:val="21"/>
              </w:rPr>
              <w:t>LDAP</w:t>
            </w:r>
            <w:r>
              <w:rPr>
                <w:rFonts w:ascii="宋体" w:hAnsi="宋体" w:eastAsia="宋体" w:cs="宋体"/>
                <w:spacing w:val="-44"/>
                <w:sz w:val="21"/>
                <w:szCs w:val="21"/>
              </w:rPr>
              <w:t xml:space="preserve"> </w:t>
            </w:r>
            <w:r>
              <w:rPr>
                <w:rFonts w:ascii="宋体" w:hAnsi="宋体" w:eastAsia="宋体" w:cs="宋体"/>
                <w:spacing w:val="-1"/>
                <w:sz w:val="21"/>
                <w:szCs w:val="21"/>
              </w:rPr>
              <w:t>协议的(如微软活动目录) 第三方身</w:t>
            </w:r>
            <w:r>
              <w:rPr>
                <w:rFonts w:ascii="宋体" w:hAnsi="宋体" w:eastAsia="宋体" w:cs="宋体"/>
                <w:spacing w:val="-2"/>
                <w:sz w:val="21"/>
                <w:szCs w:val="21"/>
              </w:rPr>
              <w:t>份验证,实现统一身份登录。</w:t>
            </w:r>
          </w:p>
          <w:p w14:paraId="14093AFB">
            <w:pPr>
              <w:spacing w:before="97" w:line="274" w:lineRule="auto"/>
              <w:ind w:left="108" w:right="102" w:firstLine="3"/>
              <w:rPr>
                <w:rFonts w:ascii="宋体" w:hAnsi="宋体" w:eastAsia="宋体" w:cs="宋体"/>
                <w:sz w:val="21"/>
                <w:szCs w:val="21"/>
              </w:rPr>
            </w:pPr>
            <w:r>
              <w:rPr>
                <w:rFonts w:ascii="宋体" w:hAnsi="宋体" w:eastAsia="宋体" w:cs="宋体"/>
                <w:spacing w:val="-3"/>
                <w:sz w:val="21"/>
                <w:szCs w:val="21"/>
              </w:rPr>
              <w:t>21.</w:t>
            </w:r>
            <w:r>
              <w:rPr>
                <w:rFonts w:ascii="宋体" w:hAnsi="宋体" w:eastAsia="宋体" w:cs="宋体"/>
                <w:spacing w:val="69"/>
                <w:sz w:val="21"/>
                <w:szCs w:val="21"/>
              </w:rPr>
              <w:t xml:space="preserve"> </w:t>
            </w:r>
            <w:r>
              <w:rPr>
                <w:rFonts w:ascii="宋体" w:hAnsi="宋体" w:eastAsia="宋体" w:cs="宋体"/>
                <w:spacing w:val="-3"/>
                <w:sz w:val="21"/>
                <w:szCs w:val="21"/>
              </w:rPr>
              <w:t>★支持自定义集合功能，可将维度成员临时组合成一个集合；生成的集合可用</w:t>
            </w:r>
            <w:r>
              <w:rPr>
                <w:rFonts w:ascii="宋体" w:hAnsi="宋体" w:eastAsia="宋体" w:cs="宋体"/>
                <w:sz w:val="21"/>
                <w:szCs w:val="21"/>
              </w:rPr>
              <w:t xml:space="preserve"> 于数据分析，如将入院人数排名前</w:t>
            </w:r>
            <w:r>
              <w:rPr>
                <w:rFonts w:ascii="宋体" w:hAnsi="宋体" w:eastAsia="宋体" w:cs="宋体"/>
                <w:spacing w:val="-14"/>
                <w:sz w:val="21"/>
                <w:szCs w:val="21"/>
              </w:rPr>
              <w:t xml:space="preserve"> </w:t>
            </w:r>
            <w:r>
              <w:rPr>
                <w:rFonts w:ascii="宋体" w:hAnsi="宋体" w:eastAsia="宋体" w:cs="宋体"/>
                <w:sz w:val="21"/>
                <w:szCs w:val="21"/>
              </w:rPr>
              <w:t>10</w:t>
            </w:r>
            <w:r>
              <w:rPr>
                <w:rFonts w:ascii="宋体" w:hAnsi="宋体" w:eastAsia="宋体" w:cs="宋体"/>
                <w:spacing w:val="-25"/>
                <w:sz w:val="21"/>
                <w:szCs w:val="21"/>
              </w:rPr>
              <w:t xml:space="preserve"> </w:t>
            </w:r>
            <w:r>
              <w:rPr>
                <w:rFonts w:ascii="宋体" w:hAnsi="宋体" w:eastAsia="宋体" w:cs="宋体"/>
                <w:sz w:val="21"/>
                <w:szCs w:val="21"/>
              </w:rPr>
              <w:t xml:space="preserve">的科室生成一个固定的集合，并可拖拉到报 </w:t>
            </w:r>
            <w:r>
              <w:rPr>
                <w:rFonts w:ascii="宋体" w:hAnsi="宋体" w:eastAsia="宋体" w:cs="宋体"/>
                <w:spacing w:val="-6"/>
                <w:sz w:val="21"/>
                <w:szCs w:val="21"/>
              </w:rPr>
              <w:t>表的行列上。</w:t>
            </w:r>
          </w:p>
          <w:p w14:paraId="1A2441BB">
            <w:pPr>
              <w:spacing w:before="93" w:line="260" w:lineRule="auto"/>
              <w:ind w:left="94" w:right="102" w:firstLine="17"/>
              <w:rPr>
                <w:rFonts w:ascii="宋体" w:hAnsi="宋体" w:eastAsia="宋体" w:cs="宋体"/>
                <w:sz w:val="21"/>
                <w:szCs w:val="21"/>
              </w:rPr>
            </w:pPr>
            <w:r>
              <w:rPr>
                <w:rFonts w:ascii="宋体" w:hAnsi="宋体" w:eastAsia="宋体" w:cs="宋体"/>
                <w:spacing w:val="5"/>
                <w:sz w:val="21"/>
                <w:szCs w:val="21"/>
              </w:rPr>
              <w:t>22．支持计算成员功能，可将维度成员数据自动汇聚</w:t>
            </w:r>
            <w:r>
              <w:rPr>
                <w:rFonts w:ascii="宋体" w:hAnsi="宋体" w:eastAsia="宋体" w:cs="宋体"/>
                <w:spacing w:val="4"/>
                <w:sz w:val="21"/>
                <w:szCs w:val="21"/>
              </w:rPr>
              <w:t>到计算成员；如将名称包括</w:t>
            </w:r>
            <w:r>
              <w:rPr>
                <w:rFonts w:ascii="宋体" w:hAnsi="宋体" w:eastAsia="宋体" w:cs="宋体"/>
                <w:sz w:val="21"/>
                <w:szCs w:val="21"/>
              </w:rPr>
              <w:t xml:space="preserve"> </w:t>
            </w:r>
            <w:r>
              <w:rPr>
                <w:rFonts w:ascii="宋体" w:hAnsi="宋体" w:eastAsia="宋体" w:cs="宋体"/>
                <w:spacing w:val="-1"/>
                <w:sz w:val="21"/>
                <w:szCs w:val="21"/>
              </w:rPr>
              <w:t>“儿”字的科室自动汇聚到一个“儿科系统”的自定义科室。</w:t>
            </w:r>
          </w:p>
        </w:tc>
      </w:tr>
    </w:tbl>
    <w:p w14:paraId="5F6FE14B">
      <w:pPr>
        <w:pStyle w:val="2"/>
        <w:spacing w:line="332" w:lineRule="auto"/>
      </w:pPr>
    </w:p>
    <w:p w14:paraId="2A18BD66">
      <w:pPr>
        <w:pStyle w:val="2"/>
        <w:spacing w:line="332" w:lineRule="auto"/>
      </w:pPr>
    </w:p>
    <w:p w14:paraId="2FC28528">
      <w:pPr>
        <w:spacing w:before="62" w:line="209" w:lineRule="auto"/>
        <w:ind w:left="148"/>
        <w:rPr>
          <w:rFonts w:ascii="宋体" w:hAnsi="宋体" w:eastAsia="宋体" w:cs="宋体"/>
          <w:sz w:val="19"/>
          <w:szCs w:val="19"/>
        </w:rPr>
      </w:pPr>
      <w:r>
        <w:pict>
          <v:shape id="_x0000_s1055" o:spid="_x0000_s1055" style="position:absolute;left:0pt;margin-left:1.95pt;margin-top:11.8pt;height:0.75pt;width:494pt;z-index:251700224;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35                                </w:t>
      </w:r>
      <w:r>
        <w:rPr>
          <w:rFonts w:ascii="宋体" w:hAnsi="宋体" w:eastAsia="宋体" w:cs="宋体"/>
          <w:b/>
          <w:bCs/>
          <w:i/>
          <w:iCs/>
          <w:spacing w:val="-3"/>
          <w:sz w:val="19"/>
          <w:szCs w:val="19"/>
        </w:rPr>
        <w:t>伊犁州公共资源交易中心</w:t>
      </w:r>
    </w:p>
    <w:p w14:paraId="50C654B0">
      <w:pPr>
        <w:spacing w:line="209" w:lineRule="auto"/>
        <w:rPr>
          <w:rFonts w:ascii="宋体" w:hAnsi="宋体" w:eastAsia="宋体" w:cs="宋体"/>
          <w:sz w:val="19"/>
          <w:szCs w:val="19"/>
        </w:rPr>
        <w:sectPr>
          <w:pgSz w:w="11905" w:h="16839"/>
          <w:pgMar w:top="1136" w:right="830" w:bottom="400" w:left="1126" w:header="854" w:footer="0" w:gutter="0"/>
          <w:cols w:space="720" w:num="1"/>
        </w:sectPr>
      </w:pPr>
    </w:p>
    <w:p w14:paraId="48419659">
      <w:pPr>
        <w:spacing w:before="38"/>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3"/>
        <w:gridCol w:w="7743"/>
      </w:tblGrid>
      <w:tr w14:paraId="1F43F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83" w:type="dxa"/>
            <w:vAlign w:val="top"/>
          </w:tcPr>
          <w:p w14:paraId="7317DAA0">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0FF43BA0">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2FB5A561">
            <w:pPr>
              <w:spacing w:before="179"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4B913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799" w:type="dxa"/>
            <w:gridSpan w:val="3"/>
            <w:vAlign w:val="top"/>
          </w:tcPr>
          <w:p w14:paraId="1D0C9CDB">
            <w:pPr>
              <w:spacing w:before="174" w:line="220" w:lineRule="auto"/>
              <w:ind w:left="3741"/>
              <w:rPr>
                <w:rFonts w:ascii="宋体" w:hAnsi="宋体" w:eastAsia="宋体" w:cs="宋体"/>
                <w:sz w:val="24"/>
                <w:szCs w:val="24"/>
              </w:rPr>
            </w:pPr>
            <w:r>
              <w:rPr>
                <w:rFonts w:ascii="宋体" w:hAnsi="宋体" w:eastAsia="宋体" w:cs="宋体"/>
                <w:b/>
                <w:bCs/>
                <w:spacing w:val="-7"/>
                <w:sz w:val="24"/>
                <w:szCs w:val="24"/>
              </w:rPr>
              <w:t>(十四)医务系统移动端</w:t>
            </w:r>
          </w:p>
        </w:tc>
      </w:tr>
      <w:tr w14:paraId="1BBF4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3" w:hRule="atLeast"/>
        </w:trPr>
        <w:tc>
          <w:tcPr>
            <w:tcW w:w="783" w:type="dxa"/>
            <w:vAlign w:val="top"/>
          </w:tcPr>
          <w:p w14:paraId="2BAC357C">
            <w:pPr>
              <w:spacing w:line="256" w:lineRule="auto"/>
              <w:rPr>
                <w:rFonts w:ascii="Arial"/>
                <w:sz w:val="21"/>
              </w:rPr>
            </w:pPr>
          </w:p>
          <w:p w14:paraId="0A8875FE">
            <w:pPr>
              <w:spacing w:line="256" w:lineRule="auto"/>
              <w:rPr>
                <w:rFonts w:ascii="Arial"/>
                <w:sz w:val="21"/>
              </w:rPr>
            </w:pPr>
          </w:p>
          <w:p w14:paraId="7D2D321F">
            <w:pPr>
              <w:spacing w:line="256" w:lineRule="auto"/>
              <w:rPr>
                <w:rFonts w:ascii="Arial"/>
                <w:sz w:val="21"/>
              </w:rPr>
            </w:pPr>
          </w:p>
          <w:p w14:paraId="21640066">
            <w:pPr>
              <w:spacing w:line="256" w:lineRule="auto"/>
              <w:rPr>
                <w:rFonts w:ascii="Arial"/>
                <w:sz w:val="21"/>
              </w:rPr>
            </w:pPr>
          </w:p>
          <w:p w14:paraId="0D5C3FE6">
            <w:pPr>
              <w:spacing w:line="256" w:lineRule="auto"/>
              <w:rPr>
                <w:rFonts w:ascii="Arial"/>
                <w:sz w:val="21"/>
              </w:rPr>
            </w:pPr>
          </w:p>
          <w:p w14:paraId="6D85A501">
            <w:pPr>
              <w:spacing w:line="256" w:lineRule="auto"/>
              <w:rPr>
                <w:rFonts w:ascii="Arial"/>
                <w:sz w:val="21"/>
              </w:rPr>
            </w:pPr>
          </w:p>
          <w:p w14:paraId="539E8422">
            <w:pPr>
              <w:spacing w:line="256" w:lineRule="auto"/>
              <w:rPr>
                <w:rFonts w:ascii="Arial"/>
                <w:sz w:val="21"/>
              </w:rPr>
            </w:pPr>
          </w:p>
          <w:p w14:paraId="09706AF5">
            <w:pPr>
              <w:spacing w:line="257" w:lineRule="auto"/>
              <w:rPr>
                <w:rFonts w:ascii="Arial"/>
                <w:sz w:val="21"/>
              </w:rPr>
            </w:pPr>
          </w:p>
          <w:p w14:paraId="1676F203">
            <w:pPr>
              <w:spacing w:line="257" w:lineRule="auto"/>
              <w:rPr>
                <w:rFonts w:ascii="Arial"/>
                <w:sz w:val="21"/>
              </w:rPr>
            </w:pPr>
          </w:p>
          <w:p w14:paraId="7EC705C9">
            <w:pPr>
              <w:spacing w:line="257" w:lineRule="auto"/>
              <w:rPr>
                <w:rFonts w:ascii="Arial"/>
                <w:sz w:val="21"/>
              </w:rPr>
            </w:pPr>
          </w:p>
          <w:p w14:paraId="131B8705">
            <w:pPr>
              <w:spacing w:before="78" w:line="182" w:lineRule="auto"/>
              <w:ind w:left="297"/>
              <w:rPr>
                <w:rFonts w:ascii="宋体" w:hAnsi="宋体" w:eastAsia="宋体" w:cs="宋体"/>
                <w:sz w:val="24"/>
                <w:szCs w:val="24"/>
              </w:rPr>
            </w:pPr>
            <w:r>
              <w:rPr>
                <w:rFonts w:ascii="宋体" w:hAnsi="宋体" w:eastAsia="宋体" w:cs="宋体"/>
                <w:sz w:val="24"/>
                <w:szCs w:val="24"/>
              </w:rPr>
              <w:t>1</w:t>
            </w:r>
          </w:p>
        </w:tc>
        <w:tc>
          <w:tcPr>
            <w:tcW w:w="1273" w:type="dxa"/>
            <w:vAlign w:val="top"/>
          </w:tcPr>
          <w:p w14:paraId="77986411">
            <w:pPr>
              <w:spacing w:line="252" w:lineRule="auto"/>
              <w:rPr>
                <w:rFonts w:ascii="Arial"/>
                <w:sz w:val="21"/>
              </w:rPr>
            </w:pPr>
          </w:p>
          <w:p w14:paraId="3B74C332">
            <w:pPr>
              <w:spacing w:line="252" w:lineRule="auto"/>
              <w:rPr>
                <w:rFonts w:ascii="Arial"/>
                <w:sz w:val="21"/>
              </w:rPr>
            </w:pPr>
          </w:p>
          <w:p w14:paraId="34871D1D">
            <w:pPr>
              <w:spacing w:line="252" w:lineRule="auto"/>
              <w:rPr>
                <w:rFonts w:ascii="Arial"/>
                <w:sz w:val="21"/>
              </w:rPr>
            </w:pPr>
          </w:p>
          <w:p w14:paraId="042FB62B">
            <w:pPr>
              <w:spacing w:line="252" w:lineRule="auto"/>
              <w:rPr>
                <w:rFonts w:ascii="Arial"/>
                <w:sz w:val="21"/>
              </w:rPr>
            </w:pPr>
          </w:p>
          <w:p w14:paraId="6BFF0F1C">
            <w:pPr>
              <w:spacing w:line="252" w:lineRule="auto"/>
              <w:rPr>
                <w:rFonts w:ascii="Arial"/>
                <w:sz w:val="21"/>
              </w:rPr>
            </w:pPr>
          </w:p>
          <w:p w14:paraId="275FA987">
            <w:pPr>
              <w:spacing w:line="253" w:lineRule="auto"/>
              <w:rPr>
                <w:rFonts w:ascii="Arial"/>
                <w:sz w:val="21"/>
              </w:rPr>
            </w:pPr>
          </w:p>
          <w:p w14:paraId="5C843594">
            <w:pPr>
              <w:spacing w:line="253" w:lineRule="auto"/>
              <w:rPr>
                <w:rFonts w:ascii="Arial"/>
                <w:sz w:val="21"/>
              </w:rPr>
            </w:pPr>
          </w:p>
          <w:p w14:paraId="70B9EA3D">
            <w:pPr>
              <w:spacing w:line="253" w:lineRule="auto"/>
              <w:rPr>
                <w:rFonts w:ascii="Arial"/>
                <w:sz w:val="21"/>
              </w:rPr>
            </w:pPr>
          </w:p>
          <w:p w14:paraId="0B2C2FE8">
            <w:pPr>
              <w:spacing w:line="253" w:lineRule="auto"/>
              <w:rPr>
                <w:rFonts w:ascii="Arial"/>
                <w:sz w:val="21"/>
              </w:rPr>
            </w:pPr>
          </w:p>
          <w:p w14:paraId="3D20888B">
            <w:pPr>
              <w:spacing w:line="253" w:lineRule="auto"/>
              <w:rPr>
                <w:rFonts w:ascii="Arial"/>
                <w:sz w:val="21"/>
              </w:rPr>
            </w:pPr>
          </w:p>
          <w:p w14:paraId="3408CFC6">
            <w:pPr>
              <w:spacing w:before="78" w:line="220" w:lineRule="auto"/>
              <w:ind w:left="112"/>
              <w:rPr>
                <w:rFonts w:ascii="宋体" w:hAnsi="宋体" w:eastAsia="宋体" w:cs="宋体"/>
                <w:sz w:val="24"/>
                <w:szCs w:val="24"/>
              </w:rPr>
            </w:pPr>
            <w:r>
              <w:rPr>
                <w:rFonts w:ascii="宋体" w:hAnsi="宋体" w:eastAsia="宋体" w:cs="宋体"/>
                <w:spacing w:val="-3"/>
                <w:sz w:val="24"/>
                <w:szCs w:val="24"/>
              </w:rPr>
              <w:t>★工作台</w:t>
            </w:r>
          </w:p>
        </w:tc>
        <w:tc>
          <w:tcPr>
            <w:tcW w:w="7743" w:type="dxa"/>
            <w:vAlign w:val="top"/>
          </w:tcPr>
          <w:p w14:paraId="3A296513">
            <w:pPr>
              <w:spacing w:before="77" w:line="218" w:lineRule="auto"/>
              <w:ind w:left="122"/>
              <w:rPr>
                <w:rFonts w:ascii="宋体" w:hAnsi="宋体" w:eastAsia="宋体" w:cs="宋体"/>
                <w:sz w:val="18"/>
                <w:szCs w:val="18"/>
              </w:rPr>
            </w:pPr>
            <w:r>
              <w:rPr>
                <w:rFonts w:ascii="Times New Roman" w:hAnsi="Times New Roman" w:eastAsia="Times New Roman" w:cs="Times New Roman"/>
                <w:spacing w:val="-5"/>
                <w:sz w:val="18"/>
                <w:szCs w:val="18"/>
              </w:rPr>
              <w:t>1</w:t>
            </w:r>
            <w:r>
              <w:rPr>
                <w:rFonts w:ascii="Times New Roman" w:hAnsi="Times New Roman" w:eastAsia="Times New Roman" w:cs="Times New Roman"/>
                <w:spacing w:val="-16"/>
                <w:sz w:val="18"/>
                <w:szCs w:val="18"/>
              </w:rPr>
              <w:t xml:space="preserve"> </w:t>
            </w:r>
            <w:r>
              <w:rPr>
                <w:rFonts w:ascii="宋体" w:hAnsi="宋体" w:eastAsia="宋体" w:cs="宋体"/>
                <w:spacing w:val="-5"/>
                <w:sz w:val="18"/>
                <w:szCs w:val="18"/>
              </w:rPr>
              <w:t>．支持查看已发布的公告内容。</w:t>
            </w:r>
          </w:p>
          <w:p w14:paraId="30D275BD">
            <w:pPr>
              <w:spacing w:before="129" w:line="220" w:lineRule="auto"/>
              <w:ind w:left="104"/>
              <w:rPr>
                <w:rFonts w:ascii="宋体" w:hAnsi="宋体" w:eastAsia="宋体" w:cs="宋体"/>
                <w:sz w:val="18"/>
                <w:szCs w:val="18"/>
              </w:rPr>
            </w:pPr>
            <w:r>
              <w:rPr>
                <w:rFonts w:ascii="Times New Roman" w:hAnsi="Times New Roman" w:eastAsia="Times New Roman" w:cs="Times New Roman"/>
                <w:spacing w:val="-3"/>
                <w:sz w:val="18"/>
                <w:szCs w:val="18"/>
              </w:rPr>
              <w:t>2</w:t>
            </w:r>
            <w:r>
              <w:rPr>
                <w:rFonts w:ascii="Times New Roman" w:hAnsi="Times New Roman" w:eastAsia="Times New Roman" w:cs="Times New Roman"/>
                <w:spacing w:val="-8"/>
                <w:sz w:val="18"/>
                <w:szCs w:val="18"/>
              </w:rPr>
              <w:t xml:space="preserve"> </w:t>
            </w:r>
            <w:r>
              <w:rPr>
                <w:rFonts w:ascii="宋体" w:hAnsi="宋体" w:eastAsia="宋体" w:cs="宋体"/>
                <w:spacing w:val="-3"/>
                <w:sz w:val="18"/>
                <w:szCs w:val="18"/>
              </w:rPr>
              <w:t>．医师可通过移动端完善技术档案的基础信息。</w:t>
            </w:r>
          </w:p>
          <w:p w14:paraId="1BE79CA2">
            <w:pPr>
              <w:spacing w:before="128" w:line="219" w:lineRule="auto"/>
              <w:ind w:left="108"/>
              <w:rPr>
                <w:rFonts w:ascii="宋体" w:hAnsi="宋体" w:eastAsia="宋体" w:cs="宋体"/>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17"/>
                <w:sz w:val="18"/>
                <w:szCs w:val="18"/>
              </w:rPr>
              <w:t xml:space="preserve"> </w:t>
            </w:r>
            <w:r>
              <w:rPr>
                <w:rFonts w:ascii="宋体" w:hAnsi="宋体" w:eastAsia="宋体" w:cs="宋体"/>
                <w:spacing w:val="-2"/>
                <w:sz w:val="18"/>
                <w:szCs w:val="18"/>
              </w:rPr>
              <w:t>．支持上传医师档案证件照片，身份证区分正反面，支持在线预览。</w:t>
            </w:r>
          </w:p>
          <w:p w14:paraId="001A5023">
            <w:pPr>
              <w:spacing w:before="130" w:line="285" w:lineRule="auto"/>
              <w:ind w:left="107" w:right="102" w:hanging="4"/>
              <w:rPr>
                <w:rFonts w:ascii="宋体" w:hAnsi="宋体" w:eastAsia="宋体" w:cs="宋体"/>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pacing w:val="-21"/>
                <w:sz w:val="18"/>
                <w:szCs w:val="18"/>
              </w:rPr>
              <w:t xml:space="preserve"> </w:t>
            </w:r>
            <w:r>
              <w:rPr>
                <w:rFonts w:ascii="宋体" w:hAnsi="宋体" w:eastAsia="宋体" w:cs="宋体"/>
                <w:spacing w:val="1"/>
                <w:sz w:val="18"/>
                <w:szCs w:val="18"/>
              </w:rPr>
              <w:t>．支持医师发起资质权限申请，发起手术权限申请时可选择手术目录</w:t>
            </w:r>
            <w:r>
              <w:rPr>
                <w:rFonts w:ascii="宋体" w:hAnsi="宋体" w:eastAsia="宋体" w:cs="宋体"/>
                <w:sz w:val="18"/>
                <w:szCs w:val="18"/>
              </w:rPr>
              <w:t xml:space="preserve">，选择手术目录时支持按 </w:t>
            </w:r>
            <w:r>
              <w:rPr>
                <w:rFonts w:ascii="宋体" w:hAnsi="宋体" w:eastAsia="宋体" w:cs="宋体"/>
                <w:spacing w:val="-5"/>
                <w:sz w:val="18"/>
                <w:szCs w:val="18"/>
              </w:rPr>
              <w:t>手术名称检索。</w:t>
            </w:r>
          </w:p>
          <w:p w14:paraId="07AD9BB4">
            <w:pPr>
              <w:spacing w:before="128" w:line="219" w:lineRule="auto"/>
              <w:ind w:left="109"/>
              <w:rPr>
                <w:rFonts w:ascii="宋体" w:hAnsi="宋体" w:eastAsia="宋体" w:cs="宋体"/>
                <w:sz w:val="18"/>
                <w:szCs w:val="18"/>
              </w:rPr>
            </w:pPr>
            <w:r>
              <w:rPr>
                <w:rFonts w:ascii="Times New Roman" w:hAnsi="Times New Roman" w:eastAsia="Times New Roman" w:cs="Times New Roman"/>
                <w:spacing w:val="-5"/>
                <w:sz w:val="18"/>
                <w:szCs w:val="18"/>
              </w:rPr>
              <w:t>5</w:t>
            </w:r>
            <w:r>
              <w:rPr>
                <w:rFonts w:ascii="Times New Roman" w:hAnsi="Times New Roman" w:eastAsia="Times New Roman" w:cs="Times New Roman"/>
                <w:spacing w:val="-13"/>
                <w:sz w:val="18"/>
                <w:szCs w:val="18"/>
              </w:rPr>
              <w:t xml:space="preserve"> </w:t>
            </w:r>
            <w:r>
              <w:rPr>
                <w:rFonts w:ascii="宋体" w:hAnsi="宋体" w:eastAsia="宋体" w:cs="宋体"/>
                <w:spacing w:val="-5"/>
                <w:sz w:val="18"/>
                <w:szCs w:val="18"/>
              </w:rPr>
              <w:t>．支持医师发起会诊申请。</w:t>
            </w:r>
          </w:p>
          <w:p w14:paraId="2CD635B1">
            <w:pPr>
              <w:spacing w:before="129" w:line="219" w:lineRule="auto"/>
              <w:ind w:left="108"/>
              <w:rPr>
                <w:rFonts w:ascii="宋体" w:hAnsi="宋体" w:eastAsia="宋体" w:cs="宋体"/>
                <w:sz w:val="18"/>
                <w:szCs w:val="18"/>
              </w:rPr>
            </w:pPr>
            <w:r>
              <w:rPr>
                <w:rFonts w:ascii="Times New Roman" w:hAnsi="Times New Roman" w:eastAsia="Times New Roman" w:cs="Times New Roman"/>
                <w:spacing w:val="-4"/>
                <w:sz w:val="18"/>
                <w:szCs w:val="18"/>
              </w:rPr>
              <w:t>6</w:t>
            </w:r>
            <w:r>
              <w:rPr>
                <w:rFonts w:ascii="Times New Roman" w:hAnsi="Times New Roman" w:eastAsia="Times New Roman" w:cs="Times New Roman"/>
                <w:spacing w:val="-6"/>
                <w:sz w:val="18"/>
                <w:szCs w:val="18"/>
              </w:rPr>
              <w:t xml:space="preserve"> </w:t>
            </w:r>
            <w:r>
              <w:rPr>
                <w:rFonts w:ascii="宋体" w:hAnsi="宋体" w:eastAsia="宋体" w:cs="宋体"/>
                <w:spacing w:val="-4"/>
                <w:sz w:val="18"/>
                <w:szCs w:val="18"/>
              </w:rPr>
              <w:t>．支持医师发起会议及其他外出申请。</w:t>
            </w:r>
          </w:p>
          <w:p w14:paraId="1BCF1D3B">
            <w:pPr>
              <w:spacing w:before="130" w:line="219" w:lineRule="auto"/>
              <w:ind w:left="107"/>
              <w:rPr>
                <w:rFonts w:ascii="宋体" w:hAnsi="宋体" w:eastAsia="宋体" w:cs="宋体"/>
                <w:sz w:val="18"/>
                <w:szCs w:val="18"/>
              </w:rPr>
            </w:pPr>
            <w:r>
              <w:rPr>
                <w:rFonts w:ascii="Times New Roman" w:hAnsi="Times New Roman" w:eastAsia="Times New Roman" w:cs="Times New Roman"/>
                <w:spacing w:val="-4"/>
                <w:sz w:val="18"/>
                <w:szCs w:val="18"/>
              </w:rPr>
              <w:t>7</w:t>
            </w:r>
            <w:r>
              <w:rPr>
                <w:rFonts w:ascii="Times New Roman" w:hAnsi="Times New Roman" w:eastAsia="Times New Roman" w:cs="Times New Roman"/>
                <w:spacing w:val="-17"/>
                <w:sz w:val="18"/>
                <w:szCs w:val="18"/>
              </w:rPr>
              <w:t xml:space="preserve"> </w:t>
            </w:r>
            <w:r>
              <w:rPr>
                <w:rFonts w:ascii="宋体" w:hAnsi="宋体" w:eastAsia="宋体" w:cs="宋体"/>
                <w:spacing w:val="-4"/>
                <w:sz w:val="18"/>
                <w:szCs w:val="18"/>
              </w:rPr>
              <w:t>．支持医务部门审批会诊申请。</w:t>
            </w:r>
          </w:p>
          <w:p w14:paraId="228C6C54">
            <w:pPr>
              <w:spacing w:before="128" w:line="220" w:lineRule="auto"/>
              <w:ind w:left="111"/>
              <w:rPr>
                <w:rFonts w:ascii="宋体" w:hAnsi="宋体" w:eastAsia="宋体" w:cs="宋体"/>
                <w:sz w:val="18"/>
                <w:szCs w:val="18"/>
              </w:rPr>
            </w:pPr>
            <w:r>
              <w:rPr>
                <w:rFonts w:ascii="Times New Roman" w:hAnsi="Times New Roman" w:eastAsia="Times New Roman" w:cs="Times New Roman"/>
                <w:spacing w:val="-4"/>
                <w:sz w:val="18"/>
                <w:szCs w:val="18"/>
              </w:rPr>
              <w:t>8</w:t>
            </w:r>
            <w:r>
              <w:rPr>
                <w:rFonts w:ascii="Times New Roman" w:hAnsi="Times New Roman" w:eastAsia="Times New Roman" w:cs="Times New Roman"/>
                <w:spacing w:val="-21"/>
                <w:sz w:val="18"/>
                <w:szCs w:val="18"/>
              </w:rPr>
              <w:t xml:space="preserve"> </w:t>
            </w:r>
            <w:r>
              <w:rPr>
                <w:rFonts w:ascii="宋体" w:hAnsi="宋体" w:eastAsia="宋体" w:cs="宋体"/>
                <w:spacing w:val="-4"/>
                <w:sz w:val="18"/>
                <w:szCs w:val="18"/>
              </w:rPr>
              <w:t>．支持医务部门审批学术活动。</w:t>
            </w:r>
          </w:p>
          <w:p w14:paraId="0D08FC16">
            <w:pPr>
              <w:spacing w:before="129" w:line="220" w:lineRule="auto"/>
              <w:ind w:left="108"/>
              <w:rPr>
                <w:rFonts w:ascii="宋体" w:hAnsi="宋体" w:eastAsia="宋体" w:cs="宋体"/>
                <w:sz w:val="18"/>
                <w:szCs w:val="18"/>
              </w:rPr>
            </w:pPr>
            <w:r>
              <w:rPr>
                <w:rFonts w:ascii="Times New Roman" w:hAnsi="Times New Roman" w:eastAsia="Times New Roman" w:cs="Times New Roman"/>
                <w:spacing w:val="-4"/>
                <w:sz w:val="18"/>
                <w:szCs w:val="18"/>
              </w:rPr>
              <w:t>9</w:t>
            </w:r>
            <w:r>
              <w:rPr>
                <w:rFonts w:ascii="Times New Roman" w:hAnsi="Times New Roman" w:eastAsia="Times New Roman" w:cs="Times New Roman"/>
                <w:spacing w:val="-10"/>
                <w:sz w:val="18"/>
                <w:szCs w:val="18"/>
              </w:rPr>
              <w:t xml:space="preserve"> </w:t>
            </w:r>
            <w:r>
              <w:rPr>
                <w:rFonts w:ascii="宋体" w:hAnsi="宋体" w:eastAsia="宋体" w:cs="宋体"/>
                <w:spacing w:val="-4"/>
                <w:sz w:val="18"/>
                <w:szCs w:val="18"/>
              </w:rPr>
              <w:t>．支持医务部门审批医师权限申请。</w:t>
            </w:r>
          </w:p>
          <w:p w14:paraId="2FD2365F">
            <w:pPr>
              <w:spacing w:before="128" w:line="220" w:lineRule="auto"/>
              <w:ind w:left="122"/>
              <w:rPr>
                <w:rFonts w:ascii="宋体" w:hAnsi="宋体" w:eastAsia="宋体" w:cs="宋体"/>
                <w:sz w:val="18"/>
                <w:szCs w:val="18"/>
              </w:rPr>
            </w:pPr>
            <w:r>
              <w:rPr>
                <w:rFonts w:ascii="Times New Roman" w:hAnsi="Times New Roman" w:eastAsia="Times New Roman" w:cs="Times New Roman"/>
                <w:spacing w:val="-3"/>
                <w:sz w:val="18"/>
                <w:szCs w:val="18"/>
              </w:rPr>
              <w:t>10</w:t>
            </w:r>
            <w:r>
              <w:rPr>
                <w:rFonts w:ascii="Times New Roman" w:hAnsi="Times New Roman" w:eastAsia="Times New Roman" w:cs="Times New Roman"/>
                <w:spacing w:val="-17"/>
                <w:sz w:val="18"/>
                <w:szCs w:val="18"/>
              </w:rPr>
              <w:t xml:space="preserve"> </w:t>
            </w:r>
            <w:r>
              <w:rPr>
                <w:rFonts w:ascii="宋体" w:hAnsi="宋体" w:eastAsia="宋体" w:cs="宋体"/>
                <w:spacing w:val="-3"/>
                <w:sz w:val="18"/>
                <w:szCs w:val="18"/>
              </w:rPr>
              <w:t>．支持医务部门审批重大手术及非计划再手术申请。</w:t>
            </w:r>
          </w:p>
          <w:p w14:paraId="1FD622C6">
            <w:pPr>
              <w:spacing w:before="128" w:line="220" w:lineRule="auto"/>
              <w:ind w:left="122"/>
              <w:rPr>
                <w:rFonts w:ascii="宋体" w:hAnsi="宋体" w:eastAsia="宋体" w:cs="宋体"/>
                <w:sz w:val="18"/>
                <w:szCs w:val="18"/>
              </w:rPr>
            </w:pPr>
            <w:r>
              <w:rPr>
                <w:rFonts w:ascii="Times New Roman" w:hAnsi="Times New Roman" w:eastAsia="Times New Roman" w:cs="Times New Roman"/>
                <w:spacing w:val="-3"/>
                <w:sz w:val="18"/>
                <w:szCs w:val="18"/>
              </w:rPr>
              <w:t>11</w:t>
            </w:r>
            <w:r>
              <w:rPr>
                <w:rFonts w:ascii="Times New Roman" w:hAnsi="Times New Roman" w:eastAsia="Times New Roman" w:cs="Times New Roman"/>
                <w:spacing w:val="-11"/>
                <w:sz w:val="18"/>
                <w:szCs w:val="18"/>
              </w:rPr>
              <w:t xml:space="preserve"> </w:t>
            </w:r>
            <w:r>
              <w:rPr>
                <w:rFonts w:ascii="宋体" w:hAnsi="宋体" w:eastAsia="宋体" w:cs="宋体"/>
                <w:spacing w:val="-3"/>
                <w:sz w:val="18"/>
                <w:szCs w:val="18"/>
              </w:rPr>
              <w:t>．审批任务按处理状态（如待处理、已处理）分类显示。</w:t>
            </w:r>
          </w:p>
          <w:p w14:paraId="542B9908">
            <w:pPr>
              <w:spacing w:before="128" w:line="220" w:lineRule="auto"/>
              <w:ind w:left="122"/>
              <w:rPr>
                <w:rFonts w:ascii="宋体" w:hAnsi="宋体" w:eastAsia="宋体" w:cs="宋体"/>
                <w:sz w:val="18"/>
                <w:szCs w:val="18"/>
              </w:rPr>
            </w:pPr>
            <w:r>
              <w:rPr>
                <w:rFonts w:ascii="Times New Roman" w:hAnsi="Times New Roman" w:eastAsia="Times New Roman" w:cs="Times New Roman"/>
                <w:spacing w:val="-4"/>
                <w:sz w:val="18"/>
                <w:szCs w:val="18"/>
              </w:rPr>
              <w:t xml:space="preserve">12 </w:t>
            </w:r>
            <w:r>
              <w:rPr>
                <w:rFonts w:ascii="宋体" w:hAnsi="宋体" w:eastAsia="宋体" w:cs="宋体"/>
                <w:spacing w:val="-4"/>
                <w:sz w:val="18"/>
                <w:szCs w:val="18"/>
              </w:rPr>
              <w:t>．支持将需紧急处理的待审批事务单独显示。</w:t>
            </w:r>
          </w:p>
          <w:p w14:paraId="37056A74">
            <w:pPr>
              <w:spacing w:before="128" w:line="220" w:lineRule="auto"/>
              <w:ind w:left="122"/>
              <w:rPr>
                <w:rFonts w:ascii="宋体" w:hAnsi="宋体" w:eastAsia="宋体" w:cs="宋体"/>
                <w:sz w:val="18"/>
                <w:szCs w:val="18"/>
              </w:rPr>
            </w:pPr>
            <w:r>
              <w:rPr>
                <w:rFonts w:ascii="Times New Roman" w:hAnsi="Times New Roman" w:eastAsia="Times New Roman" w:cs="Times New Roman"/>
                <w:spacing w:val="-5"/>
                <w:sz w:val="18"/>
                <w:szCs w:val="18"/>
              </w:rPr>
              <w:t>13</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．支持查看医师个人的当日班次。</w:t>
            </w:r>
          </w:p>
          <w:p w14:paraId="4B9ADDD8">
            <w:pPr>
              <w:spacing w:before="129" w:line="219" w:lineRule="auto"/>
              <w:ind w:left="122"/>
              <w:rPr>
                <w:rFonts w:ascii="宋体" w:hAnsi="宋体" w:eastAsia="宋体" w:cs="宋体"/>
                <w:sz w:val="18"/>
                <w:szCs w:val="18"/>
              </w:rPr>
            </w:pPr>
            <w:r>
              <w:rPr>
                <w:rFonts w:ascii="Times New Roman" w:hAnsi="Times New Roman" w:eastAsia="Times New Roman" w:cs="Times New Roman"/>
                <w:spacing w:val="-5"/>
                <w:sz w:val="18"/>
                <w:szCs w:val="18"/>
              </w:rPr>
              <w:t>14</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．支持查看个人参与的当日会议。</w:t>
            </w:r>
          </w:p>
          <w:p w14:paraId="3927C329">
            <w:pPr>
              <w:spacing w:before="129" w:line="220" w:lineRule="auto"/>
              <w:ind w:left="121"/>
              <w:rPr>
                <w:rFonts w:ascii="宋体" w:hAnsi="宋体" w:eastAsia="宋体" w:cs="宋体"/>
                <w:sz w:val="18"/>
                <w:szCs w:val="18"/>
              </w:rPr>
            </w:pPr>
            <w:r>
              <w:rPr>
                <w:rFonts w:ascii="宋体" w:hAnsi="宋体" w:eastAsia="宋体" w:cs="宋体"/>
                <w:spacing w:val="-3"/>
                <w:sz w:val="18"/>
                <w:szCs w:val="18"/>
              </w:rPr>
              <w:t>15．支持检索查看法规政策及文件库。</w:t>
            </w:r>
          </w:p>
        </w:tc>
      </w:tr>
      <w:tr w14:paraId="3E9F9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783" w:type="dxa"/>
            <w:vAlign w:val="top"/>
          </w:tcPr>
          <w:p w14:paraId="022EED44">
            <w:pPr>
              <w:spacing w:line="351" w:lineRule="auto"/>
              <w:rPr>
                <w:rFonts w:ascii="Arial"/>
                <w:sz w:val="21"/>
              </w:rPr>
            </w:pPr>
          </w:p>
          <w:p w14:paraId="2DC86408">
            <w:pPr>
              <w:spacing w:before="78" w:line="181" w:lineRule="auto"/>
              <w:ind w:left="282"/>
              <w:rPr>
                <w:rFonts w:ascii="宋体" w:hAnsi="宋体" w:eastAsia="宋体" w:cs="宋体"/>
                <w:sz w:val="24"/>
                <w:szCs w:val="24"/>
              </w:rPr>
            </w:pPr>
            <w:r>
              <w:rPr>
                <w:rFonts w:ascii="宋体" w:hAnsi="宋体" w:eastAsia="宋体" w:cs="宋体"/>
                <w:sz w:val="24"/>
                <w:szCs w:val="24"/>
              </w:rPr>
              <w:t>2</w:t>
            </w:r>
          </w:p>
        </w:tc>
        <w:tc>
          <w:tcPr>
            <w:tcW w:w="1273" w:type="dxa"/>
            <w:vAlign w:val="top"/>
          </w:tcPr>
          <w:p w14:paraId="3A06BD36">
            <w:pPr>
              <w:spacing w:line="310" w:lineRule="auto"/>
              <w:rPr>
                <w:rFonts w:ascii="Arial"/>
                <w:sz w:val="21"/>
              </w:rPr>
            </w:pPr>
          </w:p>
          <w:p w14:paraId="00459E05">
            <w:pPr>
              <w:spacing w:before="78" w:line="220" w:lineRule="auto"/>
              <w:ind w:left="108"/>
              <w:rPr>
                <w:rFonts w:ascii="宋体" w:hAnsi="宋体" w:eastAsia="宋体" w:cs="宋体"/>
                <w:sz w:val="24"/>
                <w:szCs w:val="24"/>
              </w:rPr>
            </w:pPr>
            <w:r>
              <w:rPr>
                <w:rFonts w:ascii="宋体" w:hAnsi="宋体" w:eastAsia="宋体" w:cs="宋体"/>
                <w:spacing w:val="-2"/>
                <w:sz w:val="24"/>
                <w:szCs w:val="24"/>
              </w:rPr>
              <w:t>考核记录</w:t>
            </w:r>
          </w:p>
        </w:tc>
        <w:tc>
          <w:tcPr>
            <w:tcW w:w="7743" w:type="dxa"/>
            <w:vAlign w:val="top"/>
          </w:tcPr>
          <w:p w14:paraId="1EA1C12D">
            <w:pPr>
              <w:spacing w:before="77" w:line="220" w:lineRule="auto"/>
              <w:ind w:left="122"/>
              <w:rPr>
                <w:rFonts w:ascii="宋体" w:hAnsi="宋体" w:eastAsia="宋体" w:cs="宋体"/>
                <w:sz w:val="18"/>
                <w:szCs w:val="18"/>
              </w:rPr>
            </w:pPr>
            <w:r>
              <w:rPr>
                <w:rFonts w:ascii="Times New Roman" w:hAnsi="Times New Roman" w:eastAsia="Times New Roman" w:cs="Times New Roman"/>
                <w:spacing w:val="-4"/>
                <w:sz w:val="18"/>
                <w:szCs w:val="18"/>
              </w:rPr>
              <w:t>1</w:t>
            </w:r>
            <w:r>
              <w:rPr>
                <w:rFonts w:ascii="Times New Roman" w:hAnsi="Times New Roman" w:eastAsia="Times New Roman" w:cs="Times New Roman"/>
                <w:spacing w:val="-20"/>
                <w:sz w:val="18"/>
                <w:szCs w:val="18"/>
              </w:rPr>
              <w:t xml:space="preserve"> </w:t>
            </w:r>
            <w:r>
              <w:rPr>
                <w:rFonts w:ascii="宋体" w:hAnsi="宋体" w:eastAsia="宋体" w:cs="宋体"/>
                <w:spacing w:val="-4"/>
                <w:sz w:val="18"/>
                <w:szCs w:val="18"/>
              </w:rPr>
              <w:t>．支持查看当前正在执行的考核方案。</w:t>
            </w:r>
          </w:p>
          <w:p w14:paraId="7D7FBC32">
            <w:pPr>
              <w:spacing w:before="128" w:line="220" w:lineRule="auto"/>
              <w:ind w:left="104"/>
              <w:rPr>
                <w:rFonts w:ascii="宋体" w:hAnsi="宋体" w:eastAsia="宋体" w:cs="宋体"/>
                <w:sz w:val="18"/>
                <w:szCs w:val="18"/>
              </w:rPr>
            </w:pPr>
            <w:r>
              <w:rPr>
                <w:rFonts w:ascii="Times New Roman" w:hAnsi="Times New Roman" w:eastAsia="Times New Roman" w:cs="Times New Roman"/>
                <w:spacing w:val="-3"/>
                <w:sz w:val="18"/>
                <w:szCs w:val="18"/>
              </w:rPr>
              <w:t xml:space="preserve">2 </w:t>
            </w:r>
            <w:r>
              <w:rPr>
                <w:rFonts w:ascii="宋体" w:hAnsi="宋体" w:eastAsia="宋体" w:cs="宋体"/>
                <w:spacing w:val="-3"/>
                <w:sz w:val="18"/>
                <w:szCs w:val="18"/>
              </w:rPr>
              <w:t>．支持查看考核方案中的指标值、目标值、同期值。</w:t>
            </w:r>
          </w:p>
          <w:p w14:paraId="1B86846C">
            <w:pPr>
              <w:spacing w:before="128" w:line="219" w:lineRule="auto"/>
              <w:ind w:left="108"/>
              <w:rPr>
                <w:rFonts w:ascii="宋体" w:hAnsi="宋体" w:eastAsia="宋体" w:cs="宋体"/>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21"/>
                <w:sz w:val="18"/>
                <w:szCs w:val="18"/>
              </w:rPr>
              <w:t xml:space="preserve"> </w:t>
            </w:r>
            <w:r>
              <w:rPr>
                <w:rFonts w:ascii="宋体" w:hAnsi="宋体" w:eastAsia="宋体" w:cs="宋体"/>
                <w:spacing w:val="-2"/>
                <w:sz w:val="18"/>
                <w:szCs w:val="18"/>
              </w:rPr>
              <w:t>．支持按期间及考核科室、临床小组、个人查看考</w:t>
            </w:r>
            <w:r>
              <w:rPr>
                <w:rFonts w:ascii="宋体" w:hAnsi="宋体" w:eastAsia="宋体" w:cs="宋体"/>
                <w:spacing w:val="-3"/>
                <w:sz w:val="18"/>
                <w:szCs w:val="18"/>
              </w:rPr>
              <w:t>核结果。</w:t>
            </w:r>
          </w:p>
        </w:tc>
      </w:tr>
      <w:tr w14:paraId="21448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783" w:type="dxa"/>
            <w:vAlign w:val="top"/>
          </w:tcPr>
          <w:p w14:paraId="3C809AF0">
            <w:pPr>
              <w:spacing w:line="258" w:lineRule="auto"/>
              <w:rPr>
                <w:rFonts w:ascii="Arial"/>
                <w:sz w:val="21"/>
              </w:rPr>
            </w:pPr>
          </w:p>
          <w:p w14:paraId="2E6AA493">
            <w:pPr>
              <w:spacing w:line="258" w:lineRule="auto"/>
              <w:rPr>
                <w:rFonts w:ascii="Arial"/>
                <w:sz w:val="21"/>
              </w:rPr>
            </w:pPr>
          </w:p>
          <w:p w14:paraId="343A5725">
            <w:pPr>
              <w:spacing w:line="258" w:lineRule="auto"/>
              <w:rPr>
                <w:rFonts w:ascii="Arial"/>
                <w:sz w:val="21"/>
              </w:rPr>
            </w:pPr>
          </w:p>
          <w:p w14:paraId="5CFEC787">
            <w:pPr>
              <w:spacing w:line="258" w:lineRule="auto"/>
              <w:rPr>
                <w:rFonts w:ascii="Arial"/>
                <w:sz w:val="21"/>
              </w:rPr>
            </w:pPr>
          </w:p>
          <w:p w14:paraId="7EFF0AB1">
            <w:pPr>
              <w:spacing w:before="78" w:line="181" w:lineRule="auto"/>
              <w:ind w:left="284"/>
              <w:rPr>
                <w:rFonts w:ascii="宋体" w:hAnsi="宋体" w:eastAsia="宋体" w:cs="宋体"/>
                <w:sz w:val="24"/>
                <w:szCs w:val="24"/>
              </w:rPr>
            </w:pPr>
            <w:r>
              <w:rPr>
                <w:rFonts w:ascii="宋体" w:hAnsi="宋体" w:eastAsia="宋体" w:cs="宋体"/>
                <w:sz w:val="24"/>
                <w:szCs w:val="24"/>
              </w:rPr>
              <w:t>3</w:t>
            </w:r>
          </w:p>
        </w:tc>
        <w:tc>
          <w:tcPr>
            <w:tcW w:w="1273" w:type="dxa"/>
            <w:vAlign w:val="top"/>
          </w:tcPr>
          <w:p w14:paraId="13B20561">
            <w:pPr>
              <w:spacing w:line="247" w:lineRule="auto"/>
              <w:rPr>
                <w:rFonts w:ascii="Arial"/>
                <w:sz w:val="21"/>
              </w:rPr>
            </w:pPr>
          </w:p>
          <w:p w14:paraId="690AB28A">
            <w:pPr>
              <w:spacing w:line="248" w:lineRule="auto"/>
              <w:rPr>
                <w:rFonts w:ascii="Arial"/>
                <w:sz w:val="21"/>
              </w:rPr>
            </w:pPr>
          </w:p>
          <w:p w14:paraId="3CC22837">
            <w:pPr>
              <w:spacing w:line="248" w:lineRule="auto"/>
              <w:rPr>
                <w:rFonts w:ascii="Arial"/>
                <w:sz w:val="21"/>
              </w:rPr>
            </w:pPr>
          </w:p>
          <w:p w14:paraId="01370469">
            <w:pPr>
              <w:spacing w:line="248" w:lineRule="auto"/>
              <w:rPr>
                <w:rFonts w:ascii="Arial"/>
                <w:sz w:val="21"/>
              </w:rPr>
            </w:pPr>
          </w:p>
          <w:p w14:paraId="2997C219">
            <w:pPr>
              <w:spacing w:before="78" w:line="220" w:lineRule="auto"/>
              <w:ind w:left="113"/>
              <w:rPr>
                <w:rFonts w:ascii="宋体" w:hAnsi="宋体" w:eastAsia="宋体" w:cs="宋体"/>
                <w:sz w:val="24"/>
                <w:szCs w:val="24"/>
              </w:rPr>
            </w:pPr>
            <w:r>
              <w:rPr>
                <w:rFonts w:ascii="宋体" w:hAnsi="宋体" w:eastAsia="宋体" w:cs="宋体"/>
                <w:spacing w:val="-3"/>
                <w:sz w:val="24"/>
                <w:szCs w:val="24"/>
              </w:rPr>
              <w:t>督查管理</w:t>
            </w:r>
          </w:p>
        </w:tc>
        <w:tc>
          <w:tcPr>
            <w:tcW w:w="7743" w:type="dxa"/>
            <w:vAlign w:val="top"/>
          </w:tcPr>
          <w:p w14:paraId="43653023">
            <w:pPr>
              <w:spacing w:before="77" w:line="220" w:lineRule="auto"/>
              <w:ind w:left="122"/>
              <w:rPr>
                <w:rFonts w:ascii="宋体" w:hAnsi="宋体" w:eastAsia="宋体" w:cs="宋体"/>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pacing w:val="-17"/>
                <w:sz w:val="18"/>
                <w:szCs w:val="18"/>
              </w:rPr>
              <w:t xml:space="preserve"> </w:t>
            </w:r>
            <w:r>
              <w:rPr>
                <w:rFonts w:ascii="宋体" w:hAnsi="宋体" w:eastAsia="宋体" w:cs="宋体"/>
                <w:spacing w:val="-3"/>
                <w:sz w:val="18"/>
                <w:szCs w:val="18"/>
              </w:rPr>
              <w:t>．按执行状态显示正在执行、已执行完成的督查任务。</w:t>
            </w:r>
          </w:p>
          <w:p w14:paraId="609695E6">
            <w:pPr>
              <w:spacing w:before="128" w:line="220" w:lineRule="auto"/>
              <w:ind w:left="104"/>
              <w:rPr>
                <w:rFonts w:ascii="宋体" w:hAnsi="宋体" w:eastAsia="宋体" w:cs="宋体"/>
                <w:sz w:val="18"/>
                <w:szCs w:val="18"/>
              </w:rPr>
            </w:pPr>
            <w:r>
              <w:rPr>
                <w:rFonts w:ascii="Times New Roman" w:hAnsi="Times New Roman" w:eastAsia="Times New Roman" w:cs="Times New Roman"/>
                <w:spacing w:val="-3"/>
                <w:sz w:val="18"/>
                <w:szCs w:val="18"/>
              </w:rPr>
              <w:t>2</w:t>
            </w:r>
            <w:r>
              <w:rPr>
                <w:rFonts w:ascii="Times New Roman" w:hAnsi="Times New Roman" w:eastAsia="Times New Roman" w:cs="Times New Roman"/>
                <w:spacing w:val="-14"/>
                <w:sz w:val="18"/>
                <w:szCs w:val="18"/>
              </w:rPr>
              <w:t xml:space="preserve"> </w:t>
            </w:r>
            <w:r>
              <w:rPr>
                <w:rFonts w:ascii="宋体" w:hAnsi="宋体" w:eastAsia="宋体" w:cs="宋体"/>
                <w:spacing w:val="-3"/>
                <w:sz w:val="18"/>
                <w:szCs w:val="18"/>
              </w:rPr>
              <w:t>．支持在督查表单中填写督查结果或分值。</w:t>
            </w:r>
          </w:p>
          <w:p w14:paraId="0A9B06A1">
            <w:pPr>
              <w:spacing w:before="128" w:line="220" w:lineRule="auto"/>
              <w:ind w:left="108"/>
              <w:rPr>
                <w:rFonts w:ascii="宋体" w:hAnsi="宋体" w:eastAsia="宋体" w:cs="宋体"/>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21"/>
                <w:sz w:val="18"/>
                <w:szCs w:val="18"/>
              </w:rPr>
              <w:t xml:space="preserve"> </w:t>
            </w:r>
            <w:r>
              <w:rPr>
                <w:rFonts w:ascii="宋体" w:hAnsi="宋体" w:eastAsia="宋体" w:cs="宋体"/>
                <w:spacing w:val="-2"/>
                <w:sz w:val="18"/>
                <w:szCs w:val="18"/>
              </w:rPr>
              <w:t>．支持专家就督查项目提出问题，录入时可选择常见问题字典。</w:t>
            </w:r>
          </w:p>
          <w:p w14:paraId="4E5974E3">
            <w:pPr>
              <w:spacing w:before="128" w:line="219" w:lineRule="auto"/>
              <w:ind w:left="103"/>
              <w:rPr>
                <w:rFonts w:ascii="宋体" w:hAnsi="宋体" w:eastAsia="宋体" w:cs="宋体"/>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pacing w:val="-21"/>
                <w:sz w:val="18"/>
                <w:szCs w:val="18"/>
              </w:rPr>
              <w:t xml:space="preserve"> </w:t>
            </w:r>
            <w:r>
              <w:rPr>
                <w:rFonts w:ascii="宋体" w:hAnsi="宋体" w:eastAsia="宋体" w:cs="宋体"/>
                <w:spacing w:val="-1"/>
                <w:sz w:val="18"/>
                <w:szCs w:val="18"/>
              </w:rPr>
              <w:t>．支持专家就督查项目上传佐证材料，包括图片、文件等；图片、</w:t>
            </w:r>
            <w:r>
              <w:rPr>
                <w:rFonts w:ascii="Times New Roman" w:hAnsi="Times New Roman" w:eastAsia="Times New Roman" w:cs="Times New Roman"/>
                <w:spacing w:val="-1"/>
                <w:sz w:val="18"/>
                <w:szCs w:val="18"/>
              </w:rPr>
              <w:t>PD</w:t>
            </w:r>
            <w:r>
              <w:rPr>
                <w:rFonts w:ascii="Times New Roman" w:hAnsi="Times New Roman" w:eastAsia="Times New Roman" w:cs="Times New Roman"/>
                <w:spacing w:val="-2"/>
                <w:sz w:val="18"/>
                <w:szCs w:val="18"/>
              </w:rPr>
              <w:t xml:space="preserve">F </w:t>
            </w:r>
            <w:r>
              <w:rPr>
                <w:rFonts w:ascii="宋体" w:hAnsi="宋体" w:eastAsia="宋体" w:cs="宋体"/>
                <w:spacing w:val="-2"/>
                <w:sz w:val="18"/>
                <w:szCs w:val="18"/>
              </w:rPr>
              <w:t>支持在线预览。</w:t>
            </w:r>
          </w:p>
          <w:p w14:paraId="1D07EF39">
            <w:pPr>
              <w:spacing w:before="129" w:line="219" w:lineRule="auto"/>
              <w:ind w:left="109"/>
              <w:rPr>
                <w:rFonts w:ascii="宋体" w:hAnsi="宋体" w:eastAsia="宋体" w:cs="宋体"/>
                <w:sz w:val="18"/>
                <w:szCs w:val="18"/>
              </w:rPr>
            </w:pPr>
            <w:r>
              <w:rPr>
                <w:rFonts w:ascii="Times New Roman" w:hAnsi="Times New Roman" w:eastAsia="Times New Roman" w:cs="Times New Roman"/>
                <w:spacing w:val="-3"/>
                <w:sz w:val="18"/>
                <w:szCs w:val="18"/>
              </w:rPr>
              <w:t>5</w:t>
            </w:r>
            <w:r>
              <w:rPr>
                <w:rFonts w:ascii="Times New Roman" w:hAnsi="Times New Roman" w:eastAsia="Times New Roman" w:cs="Times New Roman"/>
                <w:spacing w:val="-22"/>
                <w:sz w:val="18"/>
                <w:szCs w:val="18"/>
              </w:rPr>
              <w:t xml:space="preserve"> </w:t>
            </w:r>
            <w:r>
              <w:rPr>
                <w:rFonts w:ascii="宋体" w:hAnsi="宋体" w:eastAsia="宋体" w:cs="宋体"/>
                <w:spacing w:val="-3"/>
                <w:sz w:val="18"/>
                <w:szCs w:val="18"/>
              </w:rPr>
              <w:t>．支持查看督查已督查、未督查的科室。</w:t>
            </w:r>
          </w:p>
          <w:p w14:paraId="014E3533">
            <w:pPr>
              <w:spacing w:before="128" w:line="220" w:lineRule="auto"/>
              <w:ind w:left="108"/>
              <w:rPr>
                <w:rFonts w:ascii="宋体" w:hAnsi="宋体" w:eastAsia="宋体" w:cs="宋体"/>
                <w:sz w:val="18"/>
                <w:szCs w:val="18"/>
              </w:rPr>
            </w:pPr>
            <w:r>
              <w:rPr>
                <w:rFonts w:ascii="Times New Roman" w:hAnsi="Times New Roman" w:eastAsia="Times New Roman" w:cs="Times New Roman"/>
                <w:spacing w:val="-2"/>
                <w:sz w:val="18"/>
                <w:szCs w:val="18"/>
              </w:rPr>
              <w:t>6</w:t>
            </w:r>
            <w:r>
              <w:rPr>
                <w:rFonts w:ascii="Times New Roman" w:hAnsi="Times New Roman" w:eastAsia="Times New Roman" w:cs="Times New Roman"/>
                <w:spacing w:val="-21"/>
                <w:sz w:val="18"/>
                <w:szCs w:val="18"/>
              </w:rPr>
              <w:t xml:space="preserve"> </w:t>
            </w:r>
            <w:r>
              <w:rPr>
                <w:rFonts w:ascii="宋体" w:hAnsi="宋体" w:eastAsia="宋体" w:cs="宋体"/>
                <w:spacing w:val="-2"/>
                <w:sz w:val="18"/>
                <w:szCs w:val="18"/>
              </w:rPr>
              <w:t>．支持按达标状态（达标、未达标）分类查</w:t>
            </w:r>
            <w:r>
              <w:rPr>
                <w:rFonts w:ascii="宋体" w:hAnsi="宋体" w:eastAsia="宋体" w:cs="宋体"/>
                <w:spacing w:val="-3"/>
                <w:sz w:val="18"/>
                <w:szCs w:val="18"/>
              </w:rPr>
              <w:t>看表单项目。</w:t>
            </w:r>
          </w:p>
          <w:p w14:paraId="14E95D29">
            <w:pPr>
              <w:spacing w:before="128" w:line="220" w:lineRule="auto"/>
              <w:ind w:left="112"/>
              <w:rPr>
                <w:rFonts w:ascii="宋体" w:hAnsi="宋体" w:eastAsia="宋体" w:cs="宋体"/>
                <w:sz w:val="18"/>
                <w:szCs w:val="18"/>
              </w:rPr>
            </w:pPr>
            <w:r>
              <w:rPr>
                <w:rFonts w:ascii="宋体" w:hAnsi="宋体" w:eastAsia="宋体" w:cs="宋体"/>
                <w:spacing w:val="-3"/>
                <w:sz w:val="18"/>
                <w:szCs w:val="18"/>
              </w:rPr>
              <w:t>7．支持专家暂存表单结果。</w:t>
            </w:r>
          </w:p>
        </w:tc>
      </w:tr>
      <w:tr w14:paraId="2AE11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83" w:type="dxa"/>
            <w:vAlign w:val="top"/>
          </w:tcPr>
          <w:p w14:paraId="7DC44C54">
            <w:pPr>
              <w:spacing w:before="259" w:line="181" w:lineRule="auto"/>
              <w:ind w:left="278"/>
              <w:rPr>
                <w:rFonts w:ascii="宋体" w:hAnsi="宋体" w:eastAsia="宋体" w:cs="宋体"/>
                <w:sz w:val="24"/>
                <w:szCs w:val="24"/>
              </w:rPr>
            </w:pPr>
            <w:r>
              <w:rPr>
                <w:rFonts w:ascii="宋体" w:hAnsi="宋体" w:eastAsia="宋体" w:cs="宋体"/>
                <w:sz w:val="24"/>
                <w:szCs w:val="24"/>
              </w:rPr>
              <w:t>4</w:t>
            </w:r>
          </w:p>
        </w:tc>
        <w:tc>
          <w:tcPr>
            <w:tcW w:w="1273" w:type="dxa"/>
            <w:vAlign w:val="top"/>
          </w:tcPr>
          <w:p w14:paraId="613D67CA">
            <w:pPr>
              <w:spacing w:before="218" w:line="220" w:lineRule="auto"/>
              <w:ind w:left="107"/>
              <w:rPr>
                <w:rFonts w:ascii="宋体" w:hAnsi="宋体" w:eastAsia="宋体" w:cs="宋体"/>
                <w:sz w:val="24"/>
                <w:szCs w:val="24"/>
              </w:rPr>
            </w:pPr>
            <w:r>
              <w:rPr>
                <w:rFonts w:ascii="宋体" w:hAnsi="宋体" w:eastAsia="宋体" w:cs="宋体"/>
                <w:spacing w:val="-2"/>
                <w:sz w:val="24"/>
                <w:szCs w:val="24"/>
              </w:rPr>
              <w:t>表单填报</w:t>
            </w:r>
          </w:p>
        </w:tc>
        <w:tc>
          <w:tcPr>
            <w:tcW w:w="7743" w:type="dxa"/>
            <w:vAlign w:val="top"/>
          </w:tcPr>
          <w:p w14:paraId="59AE03F2">
            <w:pPr>
              <w:spacing w:before="77" w:line="220" w:lineRule="auto"/>
              <w:ind w:left="122"/>
              <w:rPr>
                <w:rFonts w:ascii="宋体" w:hAnsi="宋体" w:eastAsia="宋体" w:cs="宋体"/>
                <w:sz w:val="18"/>
                <w:szCs w:val="18"/>
              </w:rPr>
            </w:pPr>
            <w:r>
              <w:rPr>
                <w:rFonts w:ascii="Times New Roman" w:hAnsi="Times New Roman" w:eastAsia="Times New Roman" w:cs="Times New Roman"/>
                <w:spacing w:val="-4"/>
                <w:sz w:val="18"/>
                <w:szCs w:val="18"/>
              </w:rPr>
              <w:t>1</w:t>
            </w:r>
            <w:r>
              <w:rPr>
                <w:rFonts w:ascii="Times New Roman" w:hAnsi="Times New Roman" w:eastAsia="Times New Roman" w:cs="Times New Roman"/>
                <w:spacing w:val="-20"/>
                <w:sz w:val="18"/>
                <w:szCs w:val="18"/>
              </w:rPr>
              <w:t xml:space="preserve"> </w:t>
            </w:r>
            <w:r>
              <w:rPr>
                <w:rFonts w:ascii="宋体" w:hAnsi="宋体" w:eastAsia="宋体" w:cs="宋体"/>
                <w:spacing w:val="-4"/>
                <w:sz w:val="18"/>
                <w:szCs w:val="18"/>
              </w:rPr>
              <w:t>．支持显示已填报的自定义表单内容。</w:t>
            </w:r>
          </w:p>
          <w:p w14:paraId="003CA50B">
            <w:pPr>
              <w:spacing w:before="128" w:line="220" w:lineRule="auto"/>
              <w:ind w:left="110"/>
              <w:rPr>
                <w:rFonts w:ascii="宋体" w:hAnsi="宋体" w:eastAsia="宋体" w:cs="宋体"/>
                <w:sz w:val="18"/>
                <w:szCs w:val="18"/>
              </w:rPr>
            </w:pPr>
            <w:r>
              <w:rPr>
                <w:rFonts w:ascii="宋体" w:hAnsi="宋体" w:eastAsia="宋体" w:cs="宋体"/>
                <w:spacing w:val="-1"/>
                <w:sz w:val="18"/>
                <w:szCs w:val="18"/>
              </w:rPr>
              <w:t>2．支持录入自定义表单的字段项目，并支持邮件、身份证号等合法性验</w:t>
            </w:r>
            <w:r>
              <w:rPr>
                <w:rFonts w:ascii="宋体" w:hAnsi="宋体" w:eastAsia="宋体" w:cs="宋体"/>
                <w:spacing w:val="-2"/>
                <w:sz w:val="18"/>
                <w:szCs w:val="18"/>
              </w:rPr>
              <w:t>证。</w:t>
            </w:r>
          </w:p>
        </w:tc>
      </w:tr>
      <w:tr w14:paraId="703FB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atLeast"/>
        </w:trPr>
        <w:tc>
          <w:tcPr>
            <w:tcW w:w="783" w:type="dxa"/>
            <w:vAlign w:val="top"/>
          </w:tcPr>
          <w:p w14:paraId="7AEB16D1">
            <w:pPr>
              <w:spacing w:line="346" w:lineRule="auto"/>
              <w:rPr>
                <w:rFonts w:ascii="Arial"/>
                <w:sz w:val="21"/>
              </w:rPr>
            </w:pPr>
          </w:p>
          <w:p w14:paraId="61FC529D">
            <w:pPr>
              <w:spacing w:line="347" w:lineRule="auto"/>
              <w:rPr>
                <w:rFonts w:ascii="Arial"/>
                <w:sz w:val="21"/>
              </w:rPr>
            </w:pPr>
          </w:p>
          <w:p w14:paraId="7B31B3D1">
            <w:pPr>
              <w:spacing w:before="78" w:line="180" w:lineRule="auto"/>
              <w:ind w:left="284"/>
              <w:rPr>
                <w:rFonts w:ascii="宋体" w:hAnsi="宋体" w:eastAsia="宋体" w:cs="宋体"/>
                <w:sz w:val="24"/>
                <w:szCs w:val="24"/>
              </w:rPr>
            </w:pPr>
            <w:r>
              <w:rPr>
                <w:rFonts w:ascii="宋体" w:hAnsi="宋体" w:eastAsia="宋体" w:cs="宋体"/>
                <w:sz w:val="24"/>
                <w:szCs w:val="24"/>
              </w:rPr>
              <w:t>5</w:t>
            </w:r>
          </w:p>
        </w:tc>
        <w:tc>
          <w:tcPr>
            <w:tcW w:w="1273" w:type="dxa"/>
            <w:vAlign w:val="top"/>
          </w:tcPr>
          <w:p w14:paraId="3BE760A8">
            <w:pPr>
              <w:spacing w:line="325" w:lineRule="auto"/>
              <w:rPr>
                <w:rFonts w:ascii="Arial"/>
                <w:sz w:val="21"/>
              </w:rPr>
            </w:pPr>
          </w:p>
          <w:p w14:paraId="640DB64A">
            <w:pPr>
              <w:spacing w:line="326" w:lineRule="auto"/>
              <w:rPr>
                <w:rFonts w:ascii="Arial"/>
                <w:sz w:val="21"/>
              </w:rPr>
            </w:pPr>
          </w:p>
          <w:p w14:paraId="5912CB36">
            <w:pPr>
              <w:spacing w:before="78" w:line="220" w:lineRule="auto"/>
              <w:ind w:left="112"/>
              <w:rPr>
                <w:rFonts w:ascii="宋体" w:hAnsi="宋体" w:eastAsia="宋体" w:cs="宋体"/>
                <w:sz w:val="24"/>
                <w:szCs w:val="24"/>
              </w:rPr>
            </w:pPr>
            <w:r>
              <w:rPr>
                <w:rFonts w:ascii="宋体" w:hAnsi="宋体" w:eastAsia="宋体" w:cs="宋体"/>
                <w:spacing w:val="-3"/>
                <w:sz w:val="24"/>
                <w:szCs w:val="24"/>
              </w:rPr>
              <w:t>账户管理</w:t>
            </w:r>
          </w:p>
        </w:tc>
        <w:tc>
          <w:tcPr>
            <w:tcW w:w="7743" w:type="dxa"/>
            <w:vAlign w:val="top"/>
          </w:tcPr>
          <w:p w14:paraId="098112BF">
            <w:pPr>
              <w:spacing w:before="77" w:line="220" w:lineRule="auto"/>
              <w:ind w:left="122"/>
              <w:rPr>
                <w:rFonts w:ascii="宋体" w:hAnsi="宋体" w:eastAsia="宋体" w:cs="宋体"/>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pacing w:val="-17"/>
                <w:sz w:val="18"/>
                <w:szCs w:val="18"/>
              </w:rPr>
              <w:t xml:space="preserve"> </w:t>
            </w:r>
            <w:r>
              <w:rPr>
                <w:rFonts w:ascii="宋体" w:hAnsi="宋体" w:eastAsia="宋体" w:cs="宋体"/>
                <w:spacing w:val="-3"/>
                <w:sz w:val="18"/>
                <w:szCs w:val="18"/>
              </w:rPr>
              <w:t>．支持与医院</w:t>
            </w:r>
            <w:r>
              <w:rPr>
                <w:rFonts w:ascii="宋体" w:hAnsi="宋体" w:eastAsia="宋体" w:cs="宋体"/>
                <w:spacing w:val="-39"/>
                <w:sz w:val="18"/>
                <w:szCs w:val="18"/>
              </w:rPr>
              <w:t xml:space="preserve"> </w:t>
            </w:r>
            <w:r>
              <w:rPr>
                <w:rFonts w:ascii="Times New Roman" w:hAnsi="Times New Roman" w:eastAsia="Times New Roman" w:cs="Times New Roman"/>
                <w:spacing w:val="-3"/>
                <w:sz w:val="18"/>
                <w:szCs w:val="18"/>
              </w:rPr>
              <w:t xml:space="preserve">OA </w:t>
            </w:r>
            <w:r>
              <w:rPr>
                <w:rFonts w:ascii="宋体" w:hAnsi="宋体" w:eastAsia="宋体" w:cs="宋体"/>
                <w:spacing w:val="-3"/>
                <w:sz w:val="18"/>
                <w:szCs w:val="18"/>
              </w:rPr>
              <w:t>或企业微信进行集成，实现单点登录。</w:t>
            </w:r>
          </w:p>
          <w:p w14:paraId="6046556E">
            <w:pPr>
              <w:spacing w:before="128" w:line="220" w:lineRule="auto"/>
              <w:ind w:left="104"/>
              <w:rPr>
                <w:rFonts w:ascii="宋体" w:hAnsi="宋体" w:eastAsia="宋体" w:cs="宋体"/>
                <w:sz w:val="18"/>
                <w:szCs w:val="18"/>
              </w:rPr>
            </w:pPr>
            <w:r>
              <w:rPr>
                <w:rFonts w:ascii="Times New Roman" w:hAnsi="Times New Roman" w:eastAsia="Times New Roman" w:cs="Times New Roman"/>
                <w:spacing w:val="-5"/>
                <w:sz w:val="18"/>
                <w:szCs w:val="18"/>
              </w:rPr>
              <w:t>2</w:t>
            </w:r>
            <w:r>
              <w:rPr>
                <w:rFonts w:ascii="Times New Roman" w:hAnsi="Times New Roman" w:eastAsia="Times New Roman" w:cs="Times New Roman"/>
                <w:spacing w:val="-13"/>
                <w:sz w:val="18"/>
                <w:szCs w:val="18"/>
              </w:rPr>
              <w:t xml:space="preserve"> </w:t>
            </w:r>
            <w:r>
              <w:rPr>
                <w:rFonts w:ascii="宋体" w:hAnsi="宋体" w:eastAsia="宋体" w:cs="宋体"/>
                <w:spacing w:val="-5"/>
                <w:sz w:val="18"/>
                <w:szCs w:val="18"/>
              </w:rPr>
              <w:t>．支持修改移动端密码。</w:t>
            </w:r>
          </w:p>
          <w:p w14:paraId="0691A8F5">
            <w:pPr>
              <w:spacing w:before="128" w:line="220" w:lineRule="auto"/>
              <w:ind w:left="108"/>
              <w:rPr>
                <w:rFonts w:ascii="宋体" w:hAnsi="宋体" w:eastAsia="宋体" w:cs="宋体"/>
                <w:sz w:val="18"/>
                <w:szCs w:val="18"/>
              </w:rPr>
            </w:pPr>
            <w:r>
              <w:rPr>
                <w:rFonts w:ascii="Times New Roman" w:hAnsi="Times New Roman" w:eastAsia="Times New Roman" w:cs="Times New Roman"/>
                <w:spacing w:val="-5"/>
                <w:sz w:val="18"/>
                <w:szCs w:val="18"/>
              </w:rPr>
              <w:t>3</w:t>
            </w:r>
            <w:r>
              <w:rPr>
                <w:rFonts w:ascii="Times New Roman" w:hAnsi="Times New Roman" w:eastAsia="Times New Roman" w:cs="Times New Roman"/>
                <w:spacing w:val="-12"/>
                <w:sz w:val="18"/>
                <w:szCs w:val="18"/>
              </w:rPr>
              <w:t xml:space="preserve"> </w:t>
            </w:r>
            <w:r>
              <w:rPr>
                <w:rFonts w:ascii="宋体" w:hAnsi="宋体" w:eastAsia="宋体" w:cs="宋体"/>
                <w:spacing w:val="-5"/>
                <w:sz w:val="18"/>
                <w:szCs w:val="18"/>
              </w:rPr>
              <w:t>．支持查看用户访问历史。</w:t>
            </w:r>
          </w:p>
          <w:p w14:paraId="0A1067B4">
            <w:pPr>
              <w:spacing w:before="128" w:line="220" w:lineRule="auto"/>
              <w:ind w:left="103"/>
              <w:rPr>
                <w:rFonts w:ascii="宋体" w:hAnsi="宋体" w:eastAsia="宋体" w:cs="宋体"/>
                <w:sz w:val="18"/>
                <w:szCs w:val="18"/>
              </w:rPr>
            </w:pPr>
            <w:r>
              <w:rPr>
                <w:rFonts w:ascii="Times New Roman" w:hAnsi="Times New Roman" w:eastAsia="Times New Roman" w:cs="Times New Roman"/>
                <w:spacing w:val="-3"/>
                <w:sz w:val="18"/>
                <w:szCs w:val="18"/>
              </w:rPr>
              <w:t>4</w:t>
            </w:r>
            <w:r>
              <w:rPr>
                <w:rFonts w:ascii="Times New Roman" w:hAnsi="Times New Roman" w:eastAsia="Times New Roman" w:cs="Times New Roman"/>
                <w:spacing w:val="-22"/>
                <w:sz w:val="18"/>
                <w:szCs w:val="18"/>
              </w:rPr>
              <w:t xml:space="preserve"> </w:t>
            </w:r>
            <w:r>
              <w:rPr>
                <w:rFonts w:ascii="宋体" w:hAnsi="宋体" w:eastAsia="宋体" w:cs="宋体"/>
                <w:spacing w:val="-3"/>
                <w:sz w:val="18"/>
                <w:szCs w:val="18"/>
              </w:rPr>
              <w:t>．支持用户与微信公众号解除绑定。</w:t>
            </w:r>
          </w:p>
          <w:p w14:paraId="67A9D907">
            <w:pPr>
              <w:spacing w:before="128" w:line="220" w:lineRule="auto"/>
              <w:ind w:left="111"/>
              <w:rPr>
                <w:rFonts w:ascii="宋体" w:hAnsi="宋体" w:eastAsia="宋体" w:cs="宋体"/>
                <w:sz w:val="18"/>
                <w:szCs w:val="18"/>
              </w:rPr>
            </w:pPr>
            <w:r>
              <w:rPr>
                <w:rFonts w:ascii="宋体" w:hAnsi="宋体" w:eastAsia="宋体" w:cs="宋体"/>
                <w:spacing w:val="-3"/>
                <w:sz w:val="18"/>
                <w:szCs w:val="18"/>
              </w:rPr>
              <w:t>5．支持查看用户站内消息。</w:t>
            </w:r>
          </w:p>
        </w:tc>
      </w:tr>
      <w:tr w14:paraId="364B1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799" w:type="dxa"/>
            <w:gridSpan w:val="3"/>
            <w:vAlign w:val="top"/>
          </w:tcPr>
          <w:p w14:paraId="29447874">
            <w:pPr>
              <w:spacing w:before="184" w:line="220" w:lineRule="auto"/>
              <w:ind w:left="4102"/>
              <w:rPr>
                <w:rFonts w:ascii="宋体" w:hAnsi="宋体" w:eastAsia="宋体" w:cs="宋体"/>
                <w:sz w:val="24"/>
                <w:szCs w:val="24"/>
              </w:rPr>
            </w:pPr>
            <w:r>
              <w:rPr>
                <w:rFonts w:ascii="宋体" w:hAnsi="宋体" w:eastAsia="宋体" w:cs="宋体"/>
                <w:b/>
                <w:bCs/>
                <w:spacing w:val="-9"/>
                <w:sz w:val="24"/>
                <w:szCs w:val="24"/>
              </w:rPr>
              <w:t>(十五)不良事件</w:t>
            </w:r>
          </w:p>
        </w:tc>
      </w:tr>
      <w:tr w14:paraId="5F972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83" w:type="dxa"/>
            <w:vAlign w:val="top"/>
          </w:tcPr>
          <w:p w14:paraId="27A4FB0C">
            <w:pPr>
              <w:spacing w:before="279" w:line="182" w:lineRule="auto"/>
              <w:ind w:left="297"/>
              <w:rPr>
                <w:rFonts w:ascii="宋体" w:hAnsi="宋体" w:eastAsia="宋体" w:cs="宋体"/>
                <w:sz w:val="24"/>
                <w:szCs w:val="24"/>
              </w:rPr>
            </w:pPr>
            <w:r>
              <w:rPr>
                <w:rFonts w:ascii="宋体" w:hAnsi="宋体" w:eastAsia="宋体" w:cs="宋体"/>
                <w:sz w:val="24"/>
                <w:szCs w:val="24"/>
              </w:rPr>
              <w:t>1</w:t>
            </w:r>
          </w:p>
        </w:tc>
        <w:tc>
          <w:tcPr>
            <w:tcW w:w="1273" w:type="dxa"/>
            <w:vAlign w:val="top"/>
          </w:tcPr>
          <w:p w14:paraId="14AB870B">
            <w:pPr>
              <w:spacing w:before="239" w:line="220" w:lineRule="auto"/>
              <w:ind w:left="112"/>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77"/>
                <w:sz w:val="24"/>
                <w:szCs w:val="24"/>
              </w:rPr>
              <w:t xml:space="preserve"> </w:t>
            </w:r>
            <w:r>
              <w:rPr>
                <w:rFonts w:ascii="宋体" w:hAnsi="宋体" w:eastAsia="宋体" w:cs="宋体"/>
                <w:spacing w:val="13"/>
                <w:sz w:val="24"/>
                <w:szCs w:val="24"/>
              </w:rPr>
              <w:t>事件填</w:t>
            </w:r>
          </w:p>
        </w:tc>
        <w:tc>
          <w:tcPr>
            <w:tcW w:w="7743" w:type="dxa"/>
            <w:vAlign w:val="top"/>
          </w:tcPr>
          <w:p w14:paraId="774967AF">
            <w:pPr>
              <w:spacing w:before="82" w:line="220" w:lineRule="auto"/>
              <w:ind w:left="124"/>
              <w:rPr>
                <w:rFonts w:ascii="宋体" w:hAnsi="宋体" w:eastAsia="宋体" w:cs="宋体"/>
                <w:sz w:val="21"/>
                <w:szCs w:val="21"/>
              </w:rPr>
            </w:pPr>
            <w:r>
              <w:rPr>
                <w:rFonts w:ascii="宋体" w:hAnsi="宋体" w:eastAsia="宋体" w:cs="宋体"/>
                <w:spacing w:val="-4"/>
                <w:sz w:val="21"/>
                <w:szCs w:val="21"/>
              </w:rPr>
              <w:t>1．事件类型</w:t>
            </w:r>
          </w:p>
          <w:p w14:paraId="24FD9DB1">
            <w:pPr>
              <w:spacing w:before="92" w:line="219" w:lineRule="auto"/>
              <w:ind w:left="109"/>
              <w:rPr>
                <w:rFonts w:ascii="宋体" w:hAnsi="宋体" w:eastAsia="宋体" w:cs="宋体"/>
                <w:sz w:val="21"/>
                <w:szCs w:val="21"/>
              </w:rPr>
            </w:pPr>
            <w:r>
              <w:rPr>
                <w:rFonts w:ascii="宋体" w:hAnsi="宋体" w:eastAsia="宋体" w:cs="宋体"/>
                <w:spacing w:val="-1"/>
                <w:sz w:val="21"/>
                <w:szCs w:val="21"/>
              </w:rPr>
              <w:t>事件填报类型包含但不限于以下模板：1、护理管理类</w:t>
            </w:r>
            <w:r>
              <w:rPr>
                <w:rFonts w:ascii="宋体" w:hAnsi="宋体" w:eastAsia="宋体" w:cs="宋体"/>
                <w:spacing w:val="-50"/>
                <w:sz w:val="21"/>
                <w:szCs w:val="21"/>
              </w:rPr>
              <w:t xml:space="preserve"> </w:t>
            </w:r>
            <w:r>
              <w:rPr>
                <w:rFonts w:ascii="宋体" w:hAnsi="宋体" w:eastAsia="宋体" w:cs="宋体"/>
                <w:spacing w:val="-1"/>
                <w:sz w:val="21"/>
                <w:szCs w:val="21"/>
              </w:rPr>
              <w:t>2、医疗管理类</w:t>
            </w:r>
            <w:r>
              <w:rPr>
                <w:rFonts w:ascii="宋体" w:hAnsi="宋体" w:eastAsia="宋体" w:cs="宋体"/>
                <w:spacing w:val="-55"/>
                <w:sz w:val="21"/>
                <w:szCs w:val="21"/>
              </w:rPr>
              <w:t xml:space="preserve"> </w:t>
            </w:r>
            <w:r>
              <w:rPr>
                <w:rFonts w:ascii="宋体" w:hAnsi="宋体" w:eastAsia="宋体" w:cs="宋体"/>
                <w:spacing w:val="-1"/>
                <w:sz w:val="21"/>
                <w:szCs w:val="21"/>
              </w:rPr>
              <w:t>3、医技管理</w:t>
            </w:r>
          </w:p>
        </w:tc>
      </w:tr>
    </w:tbl>
    <w:p w14:paraId="5C9AF635">
      <w:pPr>
        <w:pStyle w:val="2"/>
        <w:spacing w:line="343" w:lineRule="auto"/>
      </w:pPr>
    </w:p>
    <w:p w14:paraId="5D59CEC5">
      <w:pPr>
        <w:spacing w:before="61" w:line="209" w:lineRule="auto"/>
        <w:ind w:left="148"/>
        <w:rPr>
          <w:rFonts w:ascii="宋体" w:hAnsi="宋体" w:eastAsia="宋体" w:cs="宋体"/>
          <w:sz w:val="19"/>
          <w:szCs w:val="19"/>
        </w:rPr>
      </w:pPr>
      <w:r>
        <w:pict>
          <v:shape id="_x0000_s1056" o:spid="_x0000_s1056" style="position:absolute;left:0pt;margin-left:1.95pt;margin-top:11.8pt;height:0.75pt;width:494pt;z-index:251701248;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36                                </w:t>
      </w:r>
      <w:r>
        <w:rPr>
          <w:rFonts w:ascii="宋体" w:hAnsi="宋体" w:eastAsia="宋体" w:cs="宋体"/>
          <w:b/>
          <w:bCs/>
          <w:i/>
          <w:iCs/>
          <w:spacing w:val="-3"/>
          <w:sz w:val="19"/>
          <w:szCs w:val="19"/>
        </w:rPr>
        <w:t>伊犁州公共资源交易中心</w:t>
      </w:r>
    </w:p>
    <w:p w14:paraId="4320F6F2">
      <w:pPr>
        <w:spacing w:line="209" w:lineRule="auto"/>
        <w:rPr>
          <w:rFonts w:ascii="宋体" w:hAnsi="宋体" w:eastAsia="宋体" w:cs="宋体"/>
          <w:sz w:val="19"/>
          <w:szCs w:val="19"/>
        </w:rPr>
        <w:sectPr>
          <w:pgSz w:w="11905" w:h="16839"/>
          <w:pgMar w:top="1136" w:right="830" w:bottom="400" w:left="1126" w:header="854" w:footer="0" w:gutter="0"/>
          <w:cols w:space="720" w:num="1"/>
        </w:sectPr>
      </w:pPr>
    </w:p>
    <w:p w14:paraId="50D9AEAE">
      <w:pPr>
        <w:spacing w:before="38"/>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3"/>
        <w:gridCol w:w="7743"/>
      </w:tblGrid>
      <w:tr w14:paraId="367B5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3" w:type="dxa"/>
            <w:vAlign w:val="top"/>
          </w:tcPr>
          <w:p w14:paraId="1D9967EC">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3B8D327E">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2E0B4338">
            <w:pPr>
              <w:spacing w:before="179"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658CD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28" w:hRule="atLeast"/>
        </w:trPr>
        <w:tc>
          <w:tcPr>
            <w:tcW w:w="783" w:type="dxa"/>
            <w:vAlign w:val="top"/>
          </w:tcPr>
          <w:p w14:paraId="16B18E91">
            <w:pPr>
              <w:rPr>
                <w:rFonts w:ascii="Arial"/>
                <w:sz w:val="21"/>
              </w:rPr>
            </w:pPr>
          </w:p>
        </w:tc>
        <w:tc>
          <w:tcPr>
            <w:tcW w:w="1273" w:type="dxa"/>
            <w:vAlign w:val="top"/>
          </w:tcPr>
          <w:p w14:paraId="44FF1126">
            <w:pPr>
              <w:spacing w:before="175" w:line="220" w:lineRule="auto"/>
              <w:ind w:left="106"/>
              <w:rPr>
                <w:rFonts w:ascii="宋体" w:hAnsi="宋体" w:eastAsia="宋体" w:cs="宋体"/>
                <w:sz w:val="24"/>
                <w:szCs w:val="24"/>
              </w:rPr>
            </w:pPr>
            <w:r>
              <w:rPr>
                <w:rFonts w:ascii="宋体" w:hAnsi="宋体" w:eastAsia="宋体" w:cs="宋体"/>
                <w:sz w:val="24"/>
                <w:szCs w:val="24"/>
              </w:rPr>
              <w:t>报</w:t>
            </w:r>
          </w:p>
        </w:tc>
        <w:tc>
          <w:tcPr>
            <w:tcW w:w="7743" w:type="dxa"/>
            <w:vAlign w:val="top"/>
          </w:tcPr>
          <w:p w14:paraId="7A2CD3C6">
            <w:pPr>
              <w:spacing w:before="63" w:line="288" w:lineRule="auto"/>
              <w:ind w:left="109" w:right="72"/>
              <w:rPr>
                <w:rFonts w:ascii="宋体" w:hAnsi="宋体" w:eastAsia="宋体" w:cs="宋体"/>
                <w:sz w:val="21"/>
                <w:szCs w:val="21"/>
              </w:rPr>
            </w:pPr>
            <w:r>
              <w:rPr>
                <w:rFonts w:ascii="宋体" w:hAnsi="宋体" w:eastAsia="宋体" w:cs="宋体"/>
                <w:sz w:val="21"/>
                <w:szCs w:val="21"/>
              </w:rPr>
              <w:t>类 4、输血管理类 5、器械管理类 6、药品管理类 7、院内感</w:t>
            </w:r>
            <w:r>
              <w:rPr>
                <w:rFonts w:ascii="宋体" w:hAnsi="宋体" w:eastAsia="宋体" w:cs="宋体"/>
                <w:spacing w:val="-1"/>
                <w:sz w:val="21"/>
                <w:szCs w:val="21"/>
              </w:rPr>
              <w:t>染管理类 8、职业防</w:t>
            </w:r>
            <w:r>
              <w:rPr>
                <w:rFonts w:ascii="宋体" w:hAnsi="宋体" w:eastAsia="宋体" w:cs="宋体"/>
                <w:sz w:val="21"/>
                <w:szCs w:val="21"/>
              </w:rPr>
              <w:t xml:space="preserve"> </w:t>
            </w:r>
            <w:r>
              <w:rPr>
                <w:rFonts w:ascii="宋体" w:hAnsi="宋体" w:eastAsia="宋体" w:cs="宋体"/>
                <w:spacing w:val="-2"/>
                <w:sz w:val="21"/>
                <w:szCs w:val="21"/>
              </w:rPr>
              <w:t>护管理类 9、信息管理类 10、后勤管理类</w:t>
            </w:r>
            <w:r>
              <w:rPr>
                <w:rFonts w:ascii="宋体" w:hAnsi="宋体" w:eastAsia="宋体" w:cs="宋体"/>
                <w:spacing w:val="23"/>
                <w:sz w:val="21"/>
                <w:szCs w:val="21"/>
              </w:rPr>
              <w:t xml:space="preserve"> </w:t>
            </w:r>
            <w:r>
              <w:rPr>
                <w:rFonts w:ascii="宋体" w:hAnsi="宋体" w:eastAsia="宋体" w:cs="宋体"/>
                <w:spacing w:val="-2"/>
                <w:sz w:val="21"/>
                <w:szCs w:val="21"/>
              </w:rPr>
              <w:t>11、治安管理类</w:t>
            </w:r>
            <w:r>
              <w:rPr>
                <w:rFonts w:ascii="宋体" w:hAnsi="宋体" w:eastAsia="宋体" w:cs="宋体"/>
                <w:spacing w:val="24"/>
                <w:sz w:val="21"/>
                <w:szCs w:val="21"/>
              </w:rPr>
              <w:t xml:space="preserve"> </w:t>
            </w:r>
            <w:r>
              <w:rPr>
                <w:rFonts w:ascii="宋体" w:hAnsi="宋体" w:eastAsia="宋体" w:cs="宋体"/>
                <w:spacing w:val="-3"/>
                <w:sz w:val="21"/>
                <w:szCs w:val="21"/>
              </w:rPr>
              <w:t>12、其他类。</w:t>
            </w:r>
          </w:p>
          <w:p w14:paraId="144D20A7">
            <w:pPr>
              <w:spacing w:before="30" w:line="295" w:lineRule="auto"/>
              <w:ind w:left="107" w:right="102" w:firstLine="4"/>
              <w:jc w:val="both"/>
              <w:rPr>
                <w:rFonts w:ascii="宋体" w:hAnsi="宋体" w:eastAsia="宋体" w:cs="宋体"/>
                <w:sz w:val="21"/>
                <w:szCs w:val="21"/>
              </w:rPr>
            </w:pPr>
            <w:r>
              <w:rPr>
                <w:rFonts w:ascii="宋体" w:hAnsi="宋体" w:eastAsia="宋体" w:cs="宋体"/>
                <w:spacing w:val="-1"/>
                <w:sz w:val="21"/>
                <w:szCs w:val="21"/>
              </w:rPr>
              <w:t>2.事件类型和分组自定义。事件类型自定义：可在系统提供模板基础之</w:t>
            </w:r>
            <w:r>
              <w:rPr>
                <w:rFonts w:ascii="宋体" w:hAnsi="宋体" w:eastAsia="宋体" w:cs="宋体"/>
                <w:spacing w:val="-2"/>
                <w:sz w:val="21"/>
                <w:szCs w:val="21"/>
              </w:rPr>
              <w:t>上自定义事</w:t>
            </w:r>
            <w:r>
              <w:rPr>
                <w:rFonts w:ascii="宋体" w:hAnsi="宋体" w:eastAsia="宋体" w:cs="宋体"/>
                <w:sz w:val="21"/>
                <w:szCs w:val="21"/>
              </w:rPr>
              <w:t xml:space="preserve"> </w:t>
            </w:r>
            <w:r>
              <w:rPr>
                <w:rFonts w:ascii="宋体" w:hAnsi="宋体" w:eastAsia="宋体" w:cs="宋体"/>
                <w:spacing w:val="-5"/>
                <w:sz w:val="21"/>
                <w:szCs w:val="21"/>
              </w:rPr>
              <w:t>件类型或修改现有事件类型，支持一级、二级事件类</w:t>
            </w:r>
            <w:r>
              <w:rPr>
                <w:rFonts w:ascii="宋体" w:hAnsi="宋体" w:eastAsia="宋体" w:cs="宋体"/>
                <w:spacing w:val="-6"/>
                <w:sz w:val="21"/>
                <w:szCs w:val="21"/>
              </w:rPr>
              <w:t>型自定义，</w:t>
            </w:r>
            <w:r>
              <w:rPr>
                <w:rFonts w:ascii="宋体" w:hAnsi="宋体" w:eastAsia="宋体" w:cs="宋体"/>
                <w:spacing w:val="50"/>
                <w:sz w:val="21"/>
                <w:szCs w:val="21"/>
              </w:rPr>
              <w:t xml:space="preserve"> </w:t>
            </w:r>
            <w:r>
              <w:rPr>
                <w:rFonts w:ascii="宋体" w:hAnsi="宋体" w:eastAsia="宋体" w:cs="宋体"/>
                <w:spacing w:val="-6"/>
                <w:sz w:val="21"/>
                <w:szCs w:val="21"/>
              </w:rPr>
              <w:t>定义模块包含基本</w:t>
            </w:r>
            <w:r>
              <w:rPr>
                <w:rFonts w:ascii="宋体" w:hAnsi="宋体" w:eastAsia="宋体" w:cs="宋体"/>
                <w:sz w:val="21"/>
                <w:szCs w:val="21"/>
              </w:rPr>
              <w:t xml:space="preserve"> </w:t>
            </w:r>
            <w:r>
              <w:rPr>
                <w:rFonts w:ascii="宋体" w:hAnsi="宋体" w:eastAsia="宋体" w:cs="宋体"/>
                <w:spacing w:val="2"/>
                <w:sz w:val="21"/>
                <w:szCs w:val="21"/>
              </w:rPr>
              <w:t>设置、事件设置、流程设置、时限配置、模板配置、模块配置、必填/</w:t>
            </w:r>
            <w:r>
              <w:rPr>
                <w:rFonts w:ascii="宋体" w:hAnsi="宋体" w:eastAsia="宋体" w:cs="宋体"/>
                <w:spacing w:val="1"/>
                <w:sz w:val="21"/>
                <w:szCs w:val="21"/>
              </w:rPr>
              <w:t>隐藏元素设</w:t>
            </w:r>
            <w:r>
              <w:rPr>
                <w:rFonts w:ascii="宋体" w:hAnsi="宋体" w:eastAsia="宋体" w:cs="宋体"/>
                <w:sz w:val="21"/>
                <w:szCs w:val="21"/>
              </w:rPr>
              <w:t xml:space="preserve"> </w:t>
            </w:r>
            <w:r>
              <w:rPr>
                <w:rFonts w:ascii="宋体" w:hAnsi="宋体" w:eastAsia="宋体" w:cs="宋体"/>
                <w:spacing w:val="-5"/>
                <w:sz w:val="21"/>
                <w:szCs w:val="21"/>
              </w:rPr>
              <w:t>置及二维码配置。</w:t>
            </w:r>
          </w:p>
          <w:p w14:paraId="752915F9">
            <w:pPr>
              <w:spacing w:before="28" w:line="295" w:lineRule="auto"/>
              <w:ind w:left="94" w:right="49" w:firstLine="14"/>
              <w:jc w:val="both"/>
              <w:rPr>
                <w:rFonts w:ascii="宋体" w:hAnsi="宋体" w:eastAsia="宋体" w:cs="宋体"/>
                <w:sz w:val="21"/>
                <w:szCs w:val="21"/>
              </w:rPr>
            </w:pPr>
            <w:r>
              <w:rPr>
                <w:rFonts w:ascii="宋体" w:hAnsi="宋体" w:eastAsia="宋体" w:cs="宋体"/>
                <w:spacing w:val="-1"/>
                <w:sz w:val="21"/>
                <w:szCs w:val="21"/>
              </w:rPr>
              <w:t>事件分组自定义：支持对事件类型进行分组，分组支持自定义图标和分组</w:t>
            </w:r>
            <w:r>
              <w:rPr>
                <w:rFonts w:ascii="宋体" w:hAnsi="宋体" w:eastAsia="宋体" w:cs="宋体"/>
                <w:spacing w:val="-2"/>
                <w:sz w:val="21"/>
                <w:szCs w:val="21"/>
              </w:rPr>
              <w:t>查询统计</w:t>
            </w:r>
            <w:r>
              <w:rPr>
                <w:rFonts w:ascii="宋体" w:hAnsi="宋体" w:eastAsia="宋体" w:cs="宋体"/>
                <w:sz w:val="21"/>
                <w:szCs w:val="21"/>
              </w:rPr>
              <w:t xml:space="preserve"> 3.支持“通用事件”类型。支持“通用事件”</w:t>
            </w:r>
            <w:r>
              <w:rPr>
                <w:rFonts w:ascii="宋体" w:hAnsi="宋体" w:eastAsia="宋体" w:cs="宋体"/>
                <w:spacing w:val="-73"/>
                <w:sz w:val="21"/>
                <w:szCs w:val="21"/>
              </w:rPr>
              <w:t xml:space="preserve"> </w:t>
            </w:r>
            <w:r>
              <w:rPr>
                <w:rFonts w:ascii="宋体" w:hAnsi="宋体" w:eastAsia="宋体" w:cs="宋体"/>
                <w:sz w:val="21"/>
                <w:szCs w:val="21"/>
              </w:rPr>
              <w:t>上报人在不确定事件类型</w:t>
            </w:r>
            <w:r>
              <w:rPr>
                <w:rFonts w:ascii="宋体" w:hAnsi="宋体" w:eastAsia="宋体" w:cs="宋体"/>
                <w:spacing w:val="-1"/>
                <w:sz w:val="21"/>
                <w:szCs w:val="21"/>
              </w:rPr>
              <w:t>时，可填报</w:t>
            </w:r>
            <w:r>
              <w:rPr>
                <w:rFonts w:ascii="宋体" w:hAnsi="宋体" w:eastAsia="宋体" w:cs="宋体"/>
                <w:sz w:val="21"/>
                <w:szCs w:val="21"/>
              </w:rPr>
              <w:t xml:space="preserve"> </w:t>
            </w:r>
            <w:r>
              <w:rPr>
                <w:rFonts w:ascii="宋体" w:hAnsi="宋体" w:eastAsia="宋体" w:cs="宋体"/>
                <w:spacing w:val="-1"/>
                <w:sz w:val="21"/>
                <w:szCs w:val="21"/>
              </w:rPr>
              <w:t>“通用事件”，上报后由指定事件处理员指定事件类型，指定后事件进入正常事件</w:t>
            </w:r>
            <w:r>
              <w:rPr>
                <w:rFonts w:ascii="宋体" w:hAnsi="宋体" w:eastAsia="宋体" w:cs="宋体"/>
                <w:spacing w:val="2"/>
                <w:sz w:val="21"/>
                <w:szCs w:val="21"/>
              </w:rPr>
              <w:t xml:space="preserve"> </w:t>
            </w:r>
            <w:r>
              <w:rPr>
                <w:rFonts w:ascii="宋体" w:hAnsi="宋体" w:eastAsia="宋体" w:cs="宋体"/>
                <w:spacing w:val="-6"/>
                <w:sz w:val="21"/>
                <w:szCs w:val="21"/>
              </w:rPr>
              <w:t>流程。</w:t>
            </w:r>
          </w:p>
          <w:p w14:paraId="20A54E4A">
            <w:pPr>
              <w:spacing w:before="27" w:line="295" w:lineRule="auto"/>
              <w:ind w:left="107" w:right="49"/>
              <w:jc w:val="both"/>
              <w:rPr>
                <w:rFonts w:ascii="宋体" w:hAnsi="宋体" w:eastAsia="宋体" w:cs="宋体"/>
                <w:sz w:val="21"/>
                <w:szCs w:val="21"/>
              </w:rPr>
            </w:pPr>
            <w:r>
              <w:rPr>
                <w:rFonts w:ascii="宋体" w:hAnsi="宋体" w:eastAsia="宋体" w:cs="宋体"/>
                <w:spacing w:val="-4"/>
                <w:sz w:val="21"/>
                <w:szCs w:val="21"/>
              </w:rPr>
              <w:t>4. 匿名和实名填报。填报方式支持匿名和实名，</w:t>
            </w:r>
            <w:r>
              <w:rPr>
                <w:rFonts w:ascii="宋体" w:hAnsi="宋体" w:eastAsia="宋体" w:cs="宋体"/>
                <w:spacing w:val="-40"/>
                <w:sz w:val="21"/>
                <w:szCs w:val="21"/>
              </w:rPr>
              <w:t xml:space="preserve"> </w:t>
            </w:r>
            <w:r>
              <w:rPr>
                <w:rFonts w:ascii="宋体" w:hAnsi="宋体" w:eastAsia="宋体" w:cs="宋体"/>
                <w:spacing w:val="-4"/>
                <w:sz w:val="21"/>
                <w:szCs w:val="21"/>
              </w:rPr>
              <w:t>不同类型事件的填报方式</w:t>
            </w:r>
            <w:r>
              <w:rPr>
                <w:rFonts w:ascii="宋体" w:hAnsi="宋体" w:eastAsia="宋体" w:cs="宋体"/>
                <w:spacing w:val="-5"/>
                <w:sz w:val="21"/>
                <w:szCs w:val="21"/>
              </w:rPr>
              <w:t>可独立配</w:t>
            </w:r>
            <w:r>
              <w:rPr>
                <w:rFonts w:ascii="宋体" w:hAnsi="宋体" w:eastAsia="宋体" w:cs="宋体"/>
                <w:sz w:val="21"/>
                <w:szCs w:val="21"/>
              </w:rPr>
              <w:t xml:space="preserve"> </w:t>
            </w:r>
            <w:r>
              <w:rPr>
                <w:rFonts w:ascii="宋体" w:hAnsi="宋体" w:eastAsia="宋体" w:cs="宋体"/>
                <w:spacing w:val="5"/>
                <w:sz w:val="21"/>
                <w:szCs w:val="21"/>
              </w:rPr>
              <w:t>置，一二类事件独立配置，不同的事件可自由配置事件上报方式，包含</w:t>
            </w:r>
            <w:r>
              <w:rPr>
                <w:rFonts w:ascii="宋体" w:hAnsi="宋体" w:eastAsia="宋体" w:cs="宋体"/>
                <w:spacing w:val="4"/>
                <w:sz w:val="21"/>
                <w:szCs w:val="21"/>
              </w:rPr>
              <w:t>“强制实</w:t>
            </w:r>
            <w:r>
              <w:rPr>
                <w:rFonts w:ascii="宋体" w:hAnsi="宋体" w:eastAsia="宋体" w:cs="宋体"/>
                <w:sz w:val="21"/>
                <w:szCs w:val="21"/>
              </w:rPr>
              <w:t xml:space="preserve"> </w:t>
            </w:r>
            <w:r>
              <w:rPr>
                <w:rFonts w:ascii="宋体" w:hAnsi="宋体" w:eastAsia="宋体" w:cs="宋体"/>
                <w:spacing w:val="-1"/>
                <w:sz w:val="21"/>
                <w:szCs w:val="21"/>
              </w:rPr>
              <w:t>名”、“强制匿名”、“实名+匿名”，其中“实名+匿名”</w:t>
            </w:r>
            <w:r>
              <w:rPr>
                <w:rFonts w:ascii="宋体" w:hAnsi="宋体" w:eastAsia="宋体" w:cs="宋体"/>
                <w:spacing w:val="-2"/>
                <w:sz w:val="21"/>
                <w:szCs w:val="21"/>
              </w:rPr>
              <w:t>，可由上报人自由选择</w:t>
            </w:r>
            <w:r>
              <w:rPr>
                <w:rFonts w:ascii="宋体" w:hAnsi="宋体" w:eastAsia="宋体" w:cs="宋体"/>
                <w:sz w:val="21"/>
                <w:szCs w:val="21"/>
              </w:rPr>
              <w:t xml:space="preserve"> </w:t>
            </w:r>
            <w:r>
              <w:rPr>
                <w:rFonts w:ascii="宋体" w:hAnsi="宋体" w:eastAsia="宋体" w:cs="宋体"/>
                <w:spacing w:val="-4"/>
                <w:sz w:val="21"/>
                <w:szCs w:val="21"/>
              </w:rPr>
              <w:t>实名或匿名上报事件。</w:t>
            </w:r>
          </w:p>
          <w:p w14:paraId="2B0F089D">
            <w:pPr>
              <w:spacing w:before="30" w:line="288" w:lineRule="auto"/>
              <w:ind w:left="110" w:right="102" w:firstLine="2"/>
              <w:rPr>
                <w:rFonts w:ascii="宋体" w:hAnsi="宋体" w:eastAsia="宋体" w:cs="宋体"/>
                <w:sz w:val="21"/>
                <w:szCs w:val="21"/>
              </w:rPr>
            </w:pPr>
            <w:r>
              <w:rPr>
                <w:rFonts w:ascii="宋体" w:hAnsi="宋体" w:eastAsia="宋体" w:cs="宋体"/>
                <w:spacing w:val="-1"/>
                <w:sz w:val="21"/>
                <w:szCs w:val="21"/>
              </w:rPr>
              <w:t>5.支持暂存事件。事件上报包含“暂存”功能，上报人不能一次性</w:t>
            </w:r>
            <w:r>
              <w:rPr>
                <w:rFonts w:ascii="宋体" w:hAnsi="宋体" w:eastAsia="宋体" w:cs="宋体"/>
                <w:spacing w:val="-2"/>
                <w:sz w:val="21"/>
                <w:szCs w:val="21"/>
              </w:rPr>
              <w:t>完成填报，上报</w:t>
            </w:r>
            <w:r>
              <w:rPr>
                <w:rFonts w:ascii="宋体" w:hAnsi="宋体" w:eastAsia="宋体" w:cs="宋体"/>
                <w:sz w:val="21"/>
                <w:szCs w:val="21"/>
              </w:rPr>
              <w:t xml:space="preserve"> </w:t>
            </w:r>
            <w:r>
              <w:rPr>
                <w:rFonts w:ascii="宋体" w:hAnsi="宋体" w:eastAsia="宋体" w:cs="宋体"/>
                <w:spacing w:val="-2"/>
                <w:sz w:val="21"/>
                <w:szCs w:val="21"/>
              </w:rPr>
              <w:t>人可“暂存”该事件，在下次进入系统后，继续填报此事件。</w:t>
            </w:r>
          </w:p>
          <w:p w14:paraId="28BAF4D8">
            <w:pPr>
              <w:spacing w:before="28" w:line="295" w:lineRule="auto"/>
              <w:ind w:left="109" w:right="102" w:firstLine="1"/>
              <w:jc w:val="both"/>
              <w:rPr>
                <w:rFonts w:ascii="宋体" w:hAnsi="宋体" w:eastAsia="宋体" w:cs="宋体"/>
                <w:sz w:val="21"/>
                <w:szCs w:val="21"/>
              </w:rPr>
            </w:pPr>
            <w:r>
              <w:rPr>
                <w:rFonts w:ascii="宋体" w:hAnsi="宋体" w:eastAsia="宋体" w:cs="宋体"/>
                <w:spacing w:val="-1"/>
                <w:sz w:val="21"/>
                <w:szCs w:val="21"/>
              </w:rPr>
              <w:t>6.事件报告脚本。事件报告内容支持脚本，使用脚本控制元素行为，例如</w:t>
            </w:r>
            <w:r>
              <w:rPr>
                <w:rFonts w:ascii="宋体" w:hAnsi="宋体" w:eastAsia="宋体" w:cs="宋体"/>
                <w:spacing w:val="-2"/>
                <w:sz w:val="21"/>
                <w:szCs w:val="21"/>
              </w:rPr>
              <w:t>：输入发</w:t>
            </w:r>
            <w:r>
              <w:rPr>
                <w:rFonts w:ascii="宋体" w:hAnsi="宋体" w:eastAsia="宋体" w:cs="宋体"/>
                <w:sz w:val="21"/>
                <w:szCs w:val="21"/>
              </w:rPr>
              <w:t xml:space="preserve"> </w:t>
            </w:r>
            <w:r>
              <w:rPr>
                <w:rFonts w:ascii="宋体" w:hAnsi="宋体" w:eastAsia="宋体" w:cs="宋体"/>
                <w:spacing w:val="-5"/>
                <w:sz w:val="21"/>
                <w:szCs w:val="21"/>
              </w:rPr>
              <w:t>生日期，使用脚本自动计算节假日及发生时段、选择事件严</w:t>
            </w:r>
            <w:r>
              <w:rPr>
                <w:rFonts w:ascii="宋体" w:hAnsi="宋体" w:eastAsia="宋体" w:cs="宋体"/>
                <w:spacing w:val="-6"/>
                <w:sz w:val="21"/>
                <w:szCs w:val="21"/>
              </w:rPr>
              <w:t>重程度，</w:t>
            </w:r>
            <w:r>
              <w:rPr>
                <w:rFonts w:ascii="宋体" w:hAnsi="宋体" w:eastAsia="宋体" w:cs="宋体"/>
                <w:spacing w:val="45"/>
                <w:sz w:val="21"/>
                <w:szCs w:val="21"/>
              </w:rPr>
              <w:t xml:space="preserve"> </w:t>
            </w:r>
            <w:r>
              <w:rPr>
                <w:rFonts w:ascii="宋体" w:hAnsi="宋体" w:eastAsia="宋体" w:cs="宋体"/>
                <w:spacing w:val="-6"/>
                <w:sz w:val="21"/>
                <w:szCs w:val="21"/>
              </w:rPr>
              <w:t>使用脚本自动</w:t>
            </w:r>
            <w:r>
              <w:rPr>
                <w:rFonts w:ascii="宋体" w:hAnsi="宋体" w:eastAsia="宋体" w:cs="宋体"/>
                <w:sz w:val="21"/>
                <w:szCs w:val="21"/>
              </w:rPr>
              <w:t xml:space="preserve"> </w:t>
            </w:r>
            <w:r>
              <w:rPr>
                <w:rFonts w:ascii="宋体" w:hAnsi="宋体" w:eastAsia="宋体" w:cs="宋体"/>
                <w:spacing w:val="-1"/>
                <w:sz w:val="21"/>
                <w:szCs w:val="21"/>
              </w:rPr>
              <w:t>计算事件等级，行为包含上下文控制、显示/隐藏控制、信息提示、标题、可</w:t>
            </w:r>
            <w:r>
              <w:rPr>
                <w:rFonts w:ascii="宋体" w:hAnsi="宋体" w:eastAsia="宋体" w:cs="宋体"/>
                <w:spacing w:val="-2"/>
                <w:sz w:val="21"/>
                <w:szCs w:val="21"/>
              </w:rPr>
              <w:t>用/不</w:t>
            </w:r>
            <w:r>
              <w:rPr>
                <w:rFonts w:ascii="宋体" w:hAnsi="宋体" w:eastAsia="宋体" w:cs="宋体"/>
                <w:sz w:val="21"/>
                <w:szCs w:val="21"/>
              </w:rPr>
              <w:t xml:space="preserve"> </w:t>
            </w:r>
            <w:r>
              <w:rPr>
                <w:rFonts w:ascii="宋体" w:hAnsi="宋体" w:eastAsia="宋体" w:cs="宋体"/>
                <w:spacing w:val="-2"/>
                <w:sz w:val="21"/>
                <w:szCs w:val="21"/>
              </w:rPr>
              <w:t>可用、只读/非只读、值保存、获取/设置元素值等。</w:t>
            </w:r>
          </w:p>
          <w:p w14:paraId="73C8349A">
            <w:pPr>
              <w:spacing w:before="31" w:line="292" w:lineRule="auto"/>
              <w:ind w:left="109" w:right="102" w:firstLine="5"/>
              <w:jc w:val="both"/>
              <w:rPr>
                <w:rFonts w:ascii="宋体" w:hAnsi="宋体" w:eastAsia="宋体" w:cs="宋体"/>
                <w:sz w:val="21"/>
                <w:szCs w:val="21"/>
              </w:rPr>
            </w:pPr>
            <w:r>
              <w:rPr>
                <w:rFonts w:ascii="宋体" w:hAnsi="宋体" w:eastAsia="宋体" w:cs="宋体"/>
                <w:spacing w:val="-5"/>
                <w:sz w:val="21"/>
                <w:szCs w:val="21"/>
              </w:rPr>
              <w:t>7.事件报告元素自动抓取。可配置从上报内容中自动抓取数据，</w:t>
            </w:r>
            <w:r>
              <w:rPr>
                <w:rFonts w:ascii="宋体" w:hAnsi="宋体" w:eastAsia="宋体" w:cs="宋体"/>
                <w:spacing w:val="40"/>
                <w:sz w:val="21"/>
                <w:szCs w:val="21"/>
              </w:rPr>
              <w:t xml:space="preserve"> </w:t>
            </w:r>
            <w:r>
              <w:rPr>
                <w:rFonts w:ascii="宋体" w:hAnsi="宋体" w:eastAsia="宋体" w:cs="宋体"/>
                <w:spacing w:val="-5"/>
                <w:sz w:val="21"/>
                <w:szCs w:val="21"/>
              </w:rPr>
              <w:t>应包含</w:t>
            </w:r>
            <w:r>
              <w:rPr>
                <w:rFonts w:ascii="宋体" w:hAnsi="宋体" w:eastAsia="宋体" w:cs="宋体"/>
                <w:spacing w:val="-6"/>
                <w:sz w:val="21"/>
                <w:szCs w:val="21"/>
              </w:rPr>
              <w:t>二级事件类</w:t>
            </w:r>
            <w:r>
              <w:rPr>
                <w:rFonts w:ascii="宋体" w:hAnsi="宋体" w:eastAsia="宋体" w:cs="宋体"/>
                <w:sz w:val="21"/>
                <w:szCs w:val="21"/>
              </w:rPr>
              <w:t xml:space="preserve"> </w:t>
            </w:r>
            <w:r>
              <w:rPr>
                <w:rFonts w:ascii="宋体" w:hAnsi="宋体" w:eastAsia="宋体" w:cs="宋体"/>
                <w:spacing w:val="-1"/>
                <w:sz w:val="21"/>
                <w:szCs w:val="21"/>
              </w:rPr>
              <w:t>型抓取、事件标题抓取、发生日期抓取、事件等级抓取、事件标识抓取、</w:t>
            </w:r>
            <w:r>
              <w:rPr>
                <w:rFonts w:ascii="宋体" w:hAnsi="宋体" w:eastAsia="宋体" w:cs="宋体"/>
                <w:spacing w:val="-2"/>
                <w:sz w:val="21"/>
                <w:szCs w:val="21"/>
              </w:rPr>
              <w:t>患者信息</w:t>
            </w:r>
            <w:r>
              <w:rPr>
                <w:rFonts w:ascii="宋体" w:hAnsi="宋体" w:eastAsia="宋体" w:cs="宋体"/>
                <w:sz w:val="21"/>
                <w:szCs w:val="21"/>
              </w:rPr>
              <w:t xml:space="preserve"> </w:t>
            </w:r>
            <w:r>
              <w:rPr>
                <w:rFonts w:ascii="宋体" w:hAnsi="宋体" w:eastAsia="宋体" w:cs="宋体"/>
                <w:spacing w:val="-3"/>
                <w:sz w:val="21"/>
                <w:szCs w:val="21"/>
              </w:rPr>
              <w:t>抓取、SAC</w:t>
            </w:r>
            <w:r>
              <w:rPr>
                <w:rFonts w:ascii="宋体" w:hAnsi="宋体" w:eastAsia="宋体" w:cs="宋体"/>
                <w:spacing w:val="-34"/>
                <w:sz w:val="21"/>
                <w:szCs w:val="21"/>
              </w:rPr>
              <w:t xml:space="preserve"> </w:t>
            </w:r>
            <w:r>
              <w:rPr>
                <w:rFonts w:ascii="宋体" w:hAnsi="宋体" w:eastAsia="宋体" w:cs="宋体"/>
                <w:spacing w:val="-3"/>
                <w:sz w:val="21"/>
                <w:szCs w:val="21"/>
              </w:rPr>
              <w:t>信息抓取、SH9</w:t>
            </w:r>
            <w:r>
              <w:rPr>
                <w:rFonts w:ascii="宋体" w:hAnsi="宋体" w:eastAsia="宋体" w:cs="宋体"/>
                <w:spacing w:val="-45"/>
                <w:sz w:val="21"/>
                <w:szCs w:val="21"/>
              </w:rPr>
              <w:t xml:space="preserve"> </w:t>
            </w:r>
            <w:r>
              <w:rPr>
                <w:rFonts w:ascii="宋体" w:hAnsi="宋体" w:eastAsia="宋体" w:cs="宋体"/>
                <w:spacing w:val="-3"/>
                <w:sz w:val="21"/>
                <w:szCs w:val="21"/>
              </w:rPr>
              <w:t>信息抓取等。</w:t>
            </w:r>
          </w:p>
          <w:p w14:paraId="6C8ECDEB">
            <w:pPr>
              <w:spacing w:before="31" w:line="287" w:lineRule="auto"/>
              <w:ind w:left="111" w:right="132" w:hanging="1"/>
              <w:rPr>
                <w:rFonts w:ascii="宋体" w:hAnsi="宋体" w:eastAsia="宋体" w:cs="宋体"/>
                <w:sz w:val="21"/>
                <w:szCs w:val="21"/>
              </w:rPr>
            </w:pPr>
            <w:r>
              <w:rPr>
                <w:rFonts w:ascii="宋体" w:hAnsi="宋体" w:eastAsia="宋体" w:cs="宋体"/>
                <w:spacing w:val="1"/>
                <w:sz w:val="21"/>
                <w:szCs w:val="21"/>
              </w:rPr>
              <w:t>8.隐藏/必填配置。事件报告可针对不同角色配置填报必填元素、填报隐藏</w:t>
            </w:r>
            <w:r>
              <w:rPr>
                <w:rFonts w:ascii="宋体" w:hAnsi="宋体" w:eastAsia="宋体" w:cs="宋体"/>
                <w:sz w:val="21"/>
                <w:szCs w:val="21"/>
              </w:rPr>
              <w:t xml:space="preserve">元素、 </w:t>
            </w:r>
            <w:r>
              <w:rPr>
                <w:rFonts w:ascii="宋体" w:hAnsi="宋体" w:eastAsia="宋体" w:cs="宋体"/>
                <w:spacing w:val="-1"/>
                <w:sz w:val="21"/>
                <w:szCs w:val="21"/>
              </w:rPr>
              <w:t>查看隐藏元素，不同角色根据事件类型配置</w:t>
            </w:r>
            <w:r>
              <w:rPr>
                <w:rFonts w:ascii="宋体" w:hAnsi="宋体" w:eastAsia="宋体" w:cs="宋体"/>
                <w:spacing w:val="-2"/>
                <w:sz w:val="21"/>
                <w:szCs w:val="21"/>
              </w:rPr>
              <w:t>隐藏和必填的报告内容。</w:t>
            </w:r>
          </w:p>
          <w:p w14:paraId="387CBD51">
            <w:pPr>
              <w:spacing w:before="30" w:line="295" w:lineRule="auto"/>
              <w:ind w:left="108" w:right="102" w:firstLine="1"/>
              <w:jc w:val="both"/>
              <w:rPr>
                <w:rFonts w:ascii="宋体" w:hAnsi="宋体" w:eastAsia="宋体" w:cs="宋体"/>
                <w:sz w:val="21"/>
                <w:szCs w:val="21"/>
              </w:rPr>
            </w:pPr>
            <w:r>
              <w:rPr>
                <w:rFonts w:ascii="宋体" w:hAnsi="宋体" w:eastAsia="宋体" w:cs="宋体"/>
                <w:spacing w:val="-5"/>
                <w:sz w:val="21"/>
                <w:szCs w:val="21"/>
              </w:rPr>
              <w:t>9.上报时效。事件上报时效可自定义，</w:t>
            </w:r>
            <w:r>
              <w:rPr>
                <w:rFonts w:ascii="宋体" w:hAnsi="宋体" w:eastAsia="宋体" w:cs="宋体"/>
                <w:spacing w:val="46"/>
                <w:sz w:val="21"/>
                <w:szCs w:val="21"/>
              </w:rPr>
              <w:t xml:space="preserve"> </w:t>
            </w:r>
            <w:r>
              <w:rPr>
                <w:rFonts w:ascii="宋体" w:hAnsi="宋体" w:eastAsia="宋体" w:cs="宋体"/>
                <w:spacing w:val="-5"/>
                <w:sz w:val="21"/>
                <w:szCs w:val="21"/>
              </w:rPr>
              <w:t>可以针对事件等级配置不同</w:t>
            </w:r>
            <w:r>
              <w:rPr>
                <w:rFonts w:ascii="宋体" w:hAnsi="宋体" w:eastAsia="宋体" w:cs="宋体"/>
                <w:spacing w:val="-6"/>
                <w:sz w:val="21"/>
                <w:szCs w:val="21"/>
              </w:rPr>
              <w:t>的时限要求，可</w:t>
            </w:r>
            <w:r>
              <w:rPr>
                <w:rFonts w:ascii="宋体" w:hAnsi="宋体" w:eastAsia="宋体" w:cs="宋体"/>
                <w:sz w:val="21"/>
                <w:szCs w:val="21"/>
              </w:rPr>
              <w:t xml:space="preserve"> </w:t>
            </w:r>
            <w:r>
              <w:rPr>
                <w:rFonts w:ascii="宋体" w:hAnsi="宋体" w:eastAsia="宋体" w:cs="宋体"/>
                <w:spacing w:val="-1"/>
                <w:sz w:val="21"/>
                <w:szCs w:val="21"/>
              </w:rPr>
              <w:t>根据事件类型设置上报时效的计算起止点（例如上报时间、发现</w:t>
            </w:r>
            <w:r>
              <w:rPr>
                <w:rFonts w:ascii="宋体" w:hAnsi="宋体" w:eastAsia="宋体" w:cs="宋体"/>
                <w:spacing w:val="-2"/>
                <w:sz w:val="21"/>
                <w:szCs w:val="21"/>
              </w:rPr>
              <w:t>时间等</w:t>
            </w:r>
            <w:r>
              <w:rPr>
                <w:rFonts w:ascii="宋体" w:hAnsi="宋体" w:eastAsia="宋体" w:cs="宋体"/>
                <w:spacing w:val="-5"/>
                <w:sz w:val="21"/>
                <w:szCs w:val="21"/>
              </w:rPr>
              <w:t>），</w:t>
            </w:r>
            <w:r>
              <w:rPr>
                <w:rFonts w:ascii="宋体" w:hAnsi="宋体" w:eastAsia="宋体" w:cs="宋体"/>
                <w:spacing w:val="-2"/>
                <w:sz w:val="21"/>
                <w:szCs w:val="21"/>
              </w:rPr>
              <w:t>事件是</w:t>
            </w:r>
            <w:r>
              <w:rPr>
                <w:rFonts w:ascii="宋体" w:hAnsi="宋体" w:eastAsia="宋体" w:cs="宋体"/>
                <w:sz w:val="21"/>
                <w:szCs w:val="21"/>
              </w:rPr>
              <w:t xml:space="preserve"> </w:t>
            </w:r>
            <w:r>
              <w:rPr>
                <w:rFonts w:ascii="宋体" w:hAnsi="宋体" w:eastAsia="宋体" w:cs="宋体"/>
                <w:spacing w:val="-1"/>
                <w:sz w:val="21"/>
                <w:szCs w:val="21"/>
              </w:rPr>
              <w:t>否超期上报，系统采用自动计算和人工干预两种方式，事件上报奖励一览表</w:t>
            </w:r>
            <w:r>
              <w:rPr>
                <w:rFonts w:ascii="宋体" w:hAnsi="宋体" w:eastAsia="宋体" w:cs="宋体"/>
                <w:spacing w:val="-2"/>
                <w:sz w:val="21"/>
                <w:szCs w:val="21"/>
              </w:rPr>
              <w:t>可设置</w:t>
            </w:r>
            <w:r>
              <w:rPr>
                <w:rFonts w:ascii="宋体" w:hAnsi="宋体" w:eastAsia="宋体" w:cs="宋体"/>
                <w:sz w:val="21"/>
                <w:szCs w:val="21"/>
              </w:rPr>
              <w:t xml:space="preserve"> </w:t>
            </w:r>
            <w:r>
              <w:rPr>
                <w:rFonts w:ascii="宋体" w:hAnsi="宋体" w:eastAsia="宋体" w:cs="宋体"/>
                <w:spacing w:val="-5"/>
                <w:sz w:val="21"/>
                <w:szCs w:val="21"/>
              </w:rPr>
              <w:t>超期事件不奖励。</w:t>
            </w:r>
          </w:p>
          <w:p w14:paraId="3696400B">
            <w:pPr>
              <w:spacing w:before="30" w:line="288" w:lineRule="auto"/>
              <w:ind w:left="109" w:right="43" w:firstLine="15"/>
              <w:rPr>
                <w:rFonts w:ascii="宋体" w:hAnsi="宋体" w:eastAsia="宋体" w:cs="宋体"/>
                <w:sz w:val="21"/>
                <w:szCs w:val="21"/>
              </w:rPr>
            </w:pPr>
            <w:r>
              <w:rPr>
                <w:rFonts w:ascii="宋体" w:hAnsi="宋体" w:eastAsia="宋体" w:cs="宋体"/>
                <w:spacing w:val="-7"/>
                <w:sz w:val="21"/>
                <w:szCs w:val="21"/>
              </w:rPr>
              <w:t>10.科室上报要求。系统可按科室设置每月需上报例数，</w:t>
            </w:r>
            <w:r>
              <w:rPr>
                <w:rFonts w:ascii="宋体" w:hAnsi="宋体" w:eastAsia="宋体" w:cs="宋体"/>
                <w:spacing w:val="59"/>
                <w:sz w:val="21"/>
                <w:szCs w:val="21"/>
              </w:rPr>
              <w:t xml:space="preserve"> </w:t>
            </w:r>
            <w:r>
              <w:rPr>
                <w:rFonts w:ascii="宋体" w:hAnsi="宋体" w:eastAsia="宋体" w:cs="宋体"/>
                <w:spacing w:val="-7"/>
                <w:sz w:val="21"/>
                <w:szCs w:val="21"/>
              </w:rPr>
              <w:t>并提供上报完成率统计表，</w:t>
            </w:r>
            <w:r>
              <w:rPr>
                <w:rFonts w:ascii="宋体" w:hAnsi="宋体" w:eastAsia="宋体" w:cs="宋体"/>
                <w:sz w:val="21"/>
                <w:szCs w:val="21"/>
              </w:rPr>
              <w:t xml:space="preserve"> </w:t>
            </w:r>
            <w:r>
              <w:rPr>
                <w:rFonts w:ascii="宋体" w:hAnsi="宋体" w:eastAsia="宋体" w:cs="宋体"/>
                <w:spacing w:val="-3"/>
                <w:sz w:val="21"/>
                <w:szCs w:val="21"/>
              </w:rPr>
              <w:t>应包含要求上报例数及完成率等指标。</w:t>
            </w:r>
          </w:p>
          <w:p w14:paraId="5F51EDD2">
            <w:pPr>
              <w:spacing w:before="30" w:line="288" w:lineRule="auto"/>
              <w:ind w:left="114" w:right="118" w:firstLine="10"/>
              <w:rPr>
                <w:rFonts w:ascii="宋体" w:hAnsi="宋体" w:eastAsia="宋体" w:cs="宋体"/>
                <w:sz w:val="21"/>
                <w:szCs w:val="21"/>
              </w:rPr>
            </w:pPr>
            <w:r>
              <w:rPr>
                <w:rFonts w:ascii="宋体" w:hAnsi="宋体" w:eastAsia="宋体" w:cs="宋体"/>
                <w:spacing w:val="-3"/>
                <w:sz w:val="21"/>
                <w:szCs w:val="21"/>
              </w:rPr>
              <w:t>11.重复填报提醒。事件上报过程中，系统自动提醒此患者</w:t>
            </w:r>
            <w:r>
              <w:rPr>
                <w:rFonts w:ascii="宋体" w:hAnsi="宋体" w:eastAsia="宋体" w:cs="宋体"/>
                <w:spacing w:val="-23"/>
                <w:sz w:val="21"/>
                <w:szCs w:val="21"/>
              </w:rPr>
              <w:t xml:space="preserve"> </w:t>
            </w:r>
            <w:r>
              <w:rPr>
                <w:rFonts w:ascii="宋体" w:hAnsi="宋体" w:eastAsia="宋体" w:cs="宋体"/>
                <w:spacing w:val="-3"/>
                <w:sz w:val="21"/>
                <w:szCs w:val="21"/>
              </w:rPr>
              <w:t>30</w:t>
            </w:r>
            <w:r>
              <w:rPr>
                <w:rFonts w:ascii="宋体" w:hAnsi="宋体" w:eastAsia="宋体" w:cs="宋体"/>
                <w:spacing w:val="-40"/>
                <w:sz w:val="21"/>
                <w:szCs w:val="21"/>
              </w:rPr>
              <w:t xml:space="preserve"> </w:t>
            </w:r>
            <w:r>
              <w:rPr>
                <w:rFonts w:ascii="宋体" w:hAnsi="宋体" w:eastAsia="宋体" w:cs="宋体"/>
                <w:spacing w:val="-3"/>
                <w:sz w:val="21"/>
                <w:szCs w:val="21"/>
              </w:rPr>
              <w:t>天内已上报的事件，</w:t>
            </w:r>
            <w:r>
              <w:rPr>
                <w:rFonts w:ascii="宋体" w:hAnsi="宋体" w:eastAsia="宋体" w:cs="宋体"/>
                <w:sz w:val="21"/>
                <w:szCs w:val="21"/>
              </w:rPr>
              <w:t xml:space="preserve"> </w:t>
            </w:r>
            <w:r>
              <w:rPr>
                <w:rFonts w:ascii="宋体" w:hAnsi="宋体" w:eastAsia="宋体" w:cs="宋体"/>
                <w:spacing w:val="-2"/>
                <w:sz w:val="21"/>
                <w:szCs w:val="21"/>
              </w:rPr>
              <w:t>并提示已上报事件的类型、事件过程等，避免重复填报。</w:t>
            </w:r>
          </w:p>
          <w:p w14:paraId="1FC959C6">
            <w:pPr>
              <w:spacing w:before="31" w:line="277" w:lineRule="auto"/>
              <w:ind w:left="112" w:right="43" w:firstLine="12"/>
              <w:jc w:val="both"/>
              <w:rPr>
                <w:rFonts w:ascii="宋体" w:hAnsi="宋体" w:eastAsia="宋体" w:cs="宋体"/>
                <w:sz w:val="21"/>
                <w:szCs w:val="21"/>
              </w:rPr>
            </w:pPr>
            <w:r>
              <w:rPr>
                <w:rFonts w:ascii="宋体" w:hAnsi="宋体" w:eastAsia="宋体" w:cs="宋体"/>
                <w:spacing w:val="-3"/>
                <w:sz w:val="21"/>
                <w:szCs w:val="21"/>
              </w:rPr>
              <w:t>12.支持多种等级划分。系统同时支持国家四级不良事</w:t>
            </w:r>
            <w:r>
              <w:rPr>
                <w:rFonts w:ascii="宋体" w:hAnsi="宋体" w:eastAsia="宋体" w:cs="宋体"/>
                <w:spacing w:val="-4"/>
                <w:sz w:val="21"/>
                <w:szCs w:val="21"/>
              </w:rPr>
              <w:t>件等级和</w:t>
            </w:r>
            <w:r>
              <w:rPr>
                <w:rFonts w:ascii="宋体" w:hAnsi="宋体" w:eastAsia="宋体" w:cs="宋体"/>
                <w:spacing w:val="-39"/>
                <w:sz w:val="21"/>
                <w:szCs w:val="21"/>
              </w:rPr>
              <w:t xml:space="preserve"> </w:t>
            </w:r>
            <w:r>
              <w:rPr>
                <w:rFonts w:ascii="宋体" w:hAnsi="宋体" w:eastAsia="宋体" w:cs="宋体"/>
                <w:spacing w:val="-4"/>
                <w:sz w:val="21"/>
                <w:szCs w:val="21"/>
              </w:rPr>
              <w:t>7</w:t>
            </w:r>
            <w:r>
              <w:rPr>
                <w:rFonts w:ascii="宋体" w:hAnsi="宋体" w:eastAsia="宋体" w:cs="宋体"/>
                <w:spacing w:val="-41"/>
                <w:sz w:val="21"/>
                <w:szCs w:val="21"/>
              </w:rPr>
              <w:t xml:space="preserve"> </w:t>
            </w:r>
            <w:r>
              <w:rPr>
                <w:rFonts w:ascii="宋体" w:hAnsi="宋体" w:eastAsia="宋体" w:cs="宋体"/>
                <w:spacing w:val="-4"/>
                <w:sz w:val="21"/>
                <w:szCs w:val="21"/>
              </w:rPr>
              <w:t>级护理事件等级，</w:t>
            </w:r>
            <w:r>
              <w:rPr>
                <w:rFonts w:ascii="宋体" w:hAnsi="宋体" w:eastAsia="宋体" w:cs="宋体"/>
                <w:sz w:val="21"/>
                <w:szCs w:val="21"/>
              </w:rPr>
              <w:t xml:space="preserve"> </w:t>
            </w:r>
            <w:r>
              <w:rPr>
                <w:rFonts w:ascii="宋体" w:hAnsi="宋体" w:eastAsia="宋体" w:cs="宋体"/>
                <w:spacing w:val="-1"/>
                <w:sz w:val="21"/>
                <w:szCs w:val="21"/>
              </w:rPr>
              <w:t>同时支持</w:t>
            </w:r>
            <w:r>
              <w:rPr>
                <w:rFonts w:ascii="宋体" w:hAnsi="宋体" w:eastAsia="宋体" w:cs="宋体"/>
                <w:spacing w:val="-39"/>
                <w:sz w:val="21"/>
                <w:szCs w:val="21"/>
              </w:rPr>
              <w:t xml:space="preserve"> </w:t>
            </w:r>
            <w:r>
              <w:rPr>
                <w:rFonts w:ascii="宋体" w:hAnsi="宋体" w:eastAsia="宋体" w:cs="宋体"/>
                <w:spacing w:val="-1"/>
                <w:sz w:val="21"/>
                <w:szCs w:val="21"/>
              </w:rPr>
              <w:t>SH9</w:t>
            </w:r>
            <w:r>
              <w:rPr>
                <w:rFonts w:ascii="宋体" w:hAnsi="宋体" w:eastAsia="宋体" w:cs="宋体"/>
                <w:spacing w:val="-45"/>
                <w:sz w:val="21"/>
                <w:szCs w:val="21"/>
              </w:rPr>
              <w:t xml:space="preserve"> </w:t>
            </w:r>
            <w:r>
              <w:rPr>
                <w:rFonts w:ascii="宋体" w:hAnsi="宋体" w:eastAsia="宋体" w:cs="宋体"/>
                <w:spacing w:val="-1"/>
                <w:sz w:val="21"/>
                <w:szCs w:val="21"/>
              </w:rPr>
              <w:t>伤害程度和SAC</w:t>
            </w:r>
            <w:r>
              <w:rPr>
                <w:rFonts w:ascii="宋体" w:hAnsi="宋体" w:eastAsia="宋体" w:cs="宋体"/>
                <w:spacing w:val="-42"/>
                <w:sz w:val="21"/>
                <w:szCs w:val="21"/>
              </w:rPr>
              <w:t xml:space="preserve"> </w:t>
            </w:r>
            <w:r>
              <w:rPr>
                <w:rFonts w:ascii="宋体" w:hAnsi="宋体" w:eastAsia="宋体" w:cs="宋体"/>
                <w:spacing w:val="-1"/>
                <w:sz w:val="21"/>
                <w:szCs w:val="21"/>
              </w:rPr>
              <w:t>等级划分，支持通过</w:t>
            </w:r>
            <w:r>
              <w:rPr>
                <w:rFonts w:ascii="宋体" w:hAnsi="宋体" w:eastAsia="宋体" w:cs="宋体"/>
                <w:spacing w:val="-44"/>
                <w:sz w:val="21"/>
                <w:szCs w:val="21"/>
              </w:rPr>
              <w:t xml:space="preserve"> </w:t>
            </w:r>
            <w:r>
              <w:rPr>
                <w:rFonts w:ascii="宋体" w:hAnsi="宋体" w:eastAsia="宋体" w:cs="宋体"/>
                <w:spacing w:val="-1"/>
                <w:sz w:val="21"/>
                <w:szCs w:val="21"/>
              </w:rPr>
              <w:t>SH9</w:t>
            </w:r>
            <w:r>
              <w:rPr>
                <w:rFonts w:ascii="宋体" w:hAnsi="宋体" w:eastAsia="宋体" w:cs="宋体"/>
                <w:spacing w:val="-44"/>
                <w:sz w:val="21"/>
                <w:szCs w:val="21"/>
              </w:rPr>
              <w:t xml:space="preserve"> </w:t>
            </w:r>
            <w:r>
              <w:rPr>
                <w:rFonts w:ascii="宋体" w:hAnsi="宋体" w:eastAsia="宋体" w:cs="宋体"/>
                <w:spacing w:val="-1"/>
                <w:sz w:val="21"/>
                <w:szCs w:val="21"/>
              </w:rPr>
              <w:t>计算四级等级，支持自定义</w:t>
            </w:r>
            <w:r>
              <w:rPr>
                <w:rFonts w:ascii="宋体" w:hAnsi="宋体" w:eastAsia="宋体" w:cs="宋体"/>
                <w:sz w:val="21"/>
                <w:szCs w:val="21"/>
              </w:rPr>
              <w:t xml:space="preserve"> </w:t>
            </w:r>
            <w:r>
              <w:rPr>
                <w:rFonts w:ascii="宋体" w:hAnsi="宋体" w:eastAsia="宋体" w:cs="宋体"/>
                <w:spacing w:val="-3"/>
                <w:sz w:val="21"/>
                <w:szCs w:val="21"/>
              </w:rPr>
              <w:t>发生频率和伤害程度计算公式</w:t>
            </w:r>
            <w:r>
              <w:rPr>
                <w:rFonts w:ascii="宋体" w:hAnsi="宋体" w:eastAsia="宋体" w:cs="宋体"/>
                <w:spacing w:val="-35"/>
                <w:sz w:val="21"/>
                <w:szCs w:val="21"/>
              </w:rPr>
              <w:t xml:space="preserve"> </w:t>
            </w:r>
            <w:r>
              <w:rPr>
                <w:rFonts w:ascii="宋体" w:hAnsi="宋体" w:eastAsia="宋体" w:cs="宋体"/>
                <w:spacing w:val="-3"/>
                <w:sz w:val="21"/>
                <w:szCs w:val="21"/>
              </w:rPr>
              <w:t>SAC</w:t>
            </w:r>
            <w:r>
              <w:rPr>
                <w:rFonts w:ascii="宋体" w:hAnsi="宋体" w:eastAsia="宋体" w:cs="宋体"/>
                <w:spacing w:val="-43"/>
                <w:sz w:val="21"/>
                <w:szCs w:val="21"/>
              </w:rPr>
              <w:t xml:space="preserve"> </w:t>
            </w:r>
            <w:r>
              <w:rPr>
                <w:rFonts w:ascii="宋体" w:hAnsi="宋体" w:eastAsia="宋体" w:cs="宋体"/>
                <w:spacing w:val="-3"/>
                <w:sz w:val="21"/>
                <w:szCs w:val="21"/>
              </w:rPr>
              <w:t>等级。</w:t>
            </w:r>
          </w:p>
        </w:tc>
      </w:tr>
      <w:tr w14:paraId="2D373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783" w:type="dxa"/>
            <w:vAlign w:val="top"/>
          </w:tcPr>
          <w:p w14:paraId="6E4E1522">
            <w:pPr>
              <w:spacing w:line="360" w:lineRule="auto"/>
              <w:rPr>
                <w:rFonts w:ascii="Arial"/>
                <w:sz w:val="21"/>
              </w:rPr>
            </w:pPr>
          </w:p>
          <w:p w14:paraId="2F8A5DA8">
            <w:pPr>
              <w:spacing w:before="78" w:line="181" w:lineRule="auto"/>
              <w:ind w:left="282"/>
              <w:rPr>
                <w:rFonts w:ascii="宋体" w:hAnsi="宋体" w:eastAsia="宋体" w:cs="宋体"/>
                <w:sz w:val="24"/>
                <w:szCs w:val="24"/>
              </w:rPr>
            </w:pPr>
            <w:r>
              <w:rPr>
                <w:rFonts w:ascii="宋体" w:hAnsi="宋体" w:eastAsia="宋体" w:cs="宋体"/>
                <w:sz w:val="24"/>
                <w:szCs w:val="24"/>
              </w:rPr>
              <w:t>2</w:t>
            </w:r>
          </w:p>
        </w:tc>
        <w:tc>
          <w:tcPr>
            <w:tcW w:w="1273" w:type="dxa"/>
            <w:vAlign w:val="top"/>
          </w:tcPr>
          <w:p w14:paraId="3B74CDCF">
            <w:pPr>
              <w:spacing w:line="319" w:lineRule="auto"/>
              <w:rPr>
                <w:rFonts w:ascii="Arial"/>
                <w:sz w:val="21"/>
              </w:rPr>
            </w:pPr>
          </w:p>
          <w:p w14:paraId="4A9C6380">
            <w:pPr>
              <w:spacing w:before="78" w:line="220" w:lineRule="auto"/>
              <w:ind w:left="108"/>
              <w:rPr>
                <w:rFonts w:ascii="宋体" w:hAnsi="宋体" w:eastAsia="宋体" w:cs="宋体"/>
                <w:sz w:val="24"/>
                <w:szCs w:val="24"/>
              </w:rPr>
            </w:pPr>
            <w:r>
              <w:rPr>
                <w:rFonts w:ascii="宋体" w:hAnsi="宋体" w:eastAsia="宋体" w:cs="宋体"/>
                <w:spacing w:val="-2"/>
                <w:sz w:val="24"/>
                <w:szCs w:val="24"/>
              </w:rPr>
              <w:t>事件流程</w:t>
            </w:r>
          </w:p>
        </w:tc>
        <w:tc>
          <w:tcPr>
            <w:tcW w:w="7743" w:type="dxa"/>
            <w:vAlign w:val="top"/>
          </w:tcPr>
          <w:p w14:paraId="356F0980">
            <w:pPr>
              <w:spacing w:before="72" w:line="288" w:lineRule="auto"/>
              <w:ind w:left="111" w:right="102" w:firstLine="13"/>
              <w:rPr>
                <w:rFonts w:ascii="宋体" w:hAnsi="宋体" w:eastAsia="宋体" w:cs="宋体"/>
                <w:sz w:val="21"/>
                <w:szCs w:val="21"/>
              </w:rPr>
            </w:pPr>
            <w:r>
              <w:rPr>
                <w:rFonts w:ascii="宋体" w:hAnsi="宋体" w:eastAsia="宋体" w:cs="宋体"/>
                <w:spacing w:val="1"/>
                <w:sz w:val="21"/>
                <w:szCs w:val="21"/>
              </w:rPr>
              <w:t>1.事件流程配置。事件流程可配置,根据事件类型对填报人、处理部门、协助处理</w:t>
            </w:r>
            <w:r>
              <w:rPr>
                <w:rFonts w:ascii="宋体" w:hAnsi="宋体" w:eastAsia="宋体" w:cs="宋体"/>
                <w:spacing w:val="13"/>
                <w:sz w:val="21"/>
                <w:szCs w:val="21"/>
              </w:rPr>
              <w:t xml:space="preserve"> </w:t>
            </w:r>
            <w:r>
              <w:rPr>
                <w:rFonts w:ascii="宋体" w:hAnsi="宋体" w:eastAsia="宋体" w:cs="宋体"/>
                <w:spacing w:val="-2"/>
                <w:sz w:val="21"/>
                <w:szCs w:val="21"/>
              </w:rPr>
              <w:t>部门、管理部门、协助管理部门处理方式，配置不同流程。</w:t>
            </w:r>
          </w:p>
          <w:p w14:paraId="3346AC9C">
            <w:pPr>
              <w:spacing w:before="29" w:line="220" w:lineRule="auto"/>
              <w:ind w:left="111"/>
              <w:rPr>
                <w:rFonts w:ascii="宋体" w:hAnsi="宋体" w:eastAsia="宋体" w:cs="宋体"/>
                <w:sz w:val="21"/>
                <w:szCs w:val="21"/>
              </w:rPr>
            </w:pPr>
            <w:r>
              <w:rPr>
                <w:rFonts w:ascii="宋体" w:hAnsi="宋体" w:eastAsia="宋体" w:cs="宋体"/>
                <w:spacing w:val="-1"/>
                <w:sz w:val="21"/>
                <w:szCs w:val="21"/>
              </w:rPr>
              <w:t>2.事件流程路由。可以根据事件类型配置不</w:t>
            </w:r>
            <w:r>
              <w:rPr>
                <w:rFonts w:ascii="宋体" w:hAnsi="宋体" w:eastAsia="宋体" w:cs="宋体"/>
                <w:spacing w:val="-2"/>
                <w:sz w:val="21"/>
                <w:szCs w:val="21"/>
              </w:rPr>
              <w:t>同的事件流程路由规则。</w:t>
            </w:r>
          </w:p>
        </w:tc>
      </w:tr>
    </w:tbl>
    <w:p w14:paraId="73A77E8E">
      <w:pPr>
        <w:pStyle w:val="2"/>
        <w:spacing w:line="245" w:lineRule="auto"/>
      </w:pPr>
    </w:p>
    <w:p w14:paraId="5E6D4444">
      <w:pPr>
        <w:spacing w:before="61" w:line="209" w:lineRule="auto"/>
        <w:ind w:left="148"/>
        <w:rPr>
          <w:rFonts w:ascii="宋体" w:hAnsi="宋体" w:eastAsia="宋体" w:cs="宋体"/>
          <w:sz w:val="19"/>
          <w:szCs w:val="19"/>
        </w:rPr>
      </w:pPr>
      <w:r>
        <w:pict>
          <v:shape id="_x0000_s1057" o:spid="_x0000_s1057" style="position:absolute;left:0pt;margin-left:1.95pt;margin-top:11.8pt;height:0.75pt;width:494pt;z-index:251702272;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37                                </w:t>
      </w:r>
      <w:r>
        <w:rPr>
          <w:rFonts w:ascii="宋体" w:hAnsi="宋体" w:eastAsia="宋体" w:cs="宋体"/>
          <w:b/>
          <w:bCs/>
          <w:i/>
          <w:iCs/>
          <w:spacing w:val="-3"/>
          <w:sz w:val="19"/>
          <w:szCs w:val="19"/>
        </w:rPr>
        <w:t>伊犁州公共资源交易中心</w:t>
      </w:r>
    </w:p>
    <w:p w14:paraId="4F9950AB">
      <w:pPr>
        <w:spacing w:line="209" w:lineRule="auto"/>
        <w:rPr>
          <w:rFonts w:ascii="宋体" w:hAnsi="宋体" w:eastAsia="宋体" w:cs="宋体"/>
          <w:sz w:val="19"/>
          <w:szCs w:val="19"/>
        </w:rPr>
        <w:sectPr>
          <w:pgSz w:w="11905" w:h="16839"/>
          <w:pgMar w:top="1136" w:right="830" w:bottom="400" w:left="1126" w:header="854" w:footer="0" w:gutter="0"/>
          <w:cols w:space="720" w:num="1"/>
        </w:sectPr>
      </w:pPr>
    </w:p>
    <w:p w14:paraId="5EFBDA60">
      <w:pPr>
        <w:spacing w:before="38"/>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3"/>
        <w:gridCol w:w="7743"/>
      </w:tblGrid>
      <w:tr w14:paraId="18C57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3" w:type="dxa"/>
            <w:vAlign w:val="top"/>
          </w:tcPr>
          <w:p w14:paraId="5423D478">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7CADB59A">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5AE18404">
            <w:pPr>
              <w:spacing w:before="179"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04075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7" w:hRule="atLeast"/>
        </w:trPr>
        <w:tc>
          <w:tcPr>
            <w:tcW w:w="783" w:type="dxa"/>
            <w:vAlign w:val="top"/>
          </w:tcPr>
          <w:p w14:paraId="559517AF">
            <w:pPr>
              <w:rPr>
                <w:rFonts w:ascii="Arial"/>
                <w:sz w:val="21"/>
              </w:rPr>
            </w:pPr>
          </w:p>
        </w:tc>
        <w:tc>
          <w:tcPr>
            <w:tcW w:w="1273" w:type="dxa"/>
            <w:vAlign w:val="top"/>
          </w:tcPr>
          <w:p w14:paraId="3D1AA26A">
            <w:pPr>
              <w:rPr>
                <w:rFonts w:ascii="Arial"/>
                <w:sz w:val="21"/>
              </w:rPr>
            </w:pPr>
          </w:p>
        </w:tc>
        <w:tc>
          <w:tcPr>
            <w:tcW w:w="7743" w:type="dxa"/>
            <w:vAlign w:val="top"/>
          </w:tcPr>
          <w:p w14:paraId="75AFCCD4">
            <w:pPr>
              <w:spacing w:before="65" w:line="294" w:lineRule="auto"/>
              <w:ind w:left="109" w:right="102" w:firstLine="4"/>
              <w:rPr>
                <w:rFonts w:ascii="宋体" w:hAnsi="宋体" w:eastAsia="宋体" w:cs="宋体"/>
                <w:sz w:val="21"/>
                <w:szCs w:val="21"/>
              </w:rPr>
            </w:pPr>
            <w:r>
              <w:rPr>
                <w:rFonts w:ascii="宋体" w:hAnsi="宋体" w:eastAsia="宋体" w:cs="宋体"/>
                <w:spacing w:val="-1"/>
                <w:sz w:val="21"/>
                <w:szCs w:val="21"/>
              </w:rPr>
              <w:t>处理科室根据路由规则确定处理科室，路由规则含当事科室处理</w:t>
            </w:r>
            <w:r>
              <w:rPr>
                <w:rFonts w:ascii="宋体" w:hAnsi="宋体" w:eastAsia="宋体" w:cs="宋体"/>
                <w:spacing w:val="-2"/>
                <w:sz w:val="21"/>
                <w:szCs w:val="21"/>
              </w:rPr>
              <w:t>、上报人指定处理</w:t>
            </w:r>
            <w:r>
              <w:rPr>
                <w:rFonts w:ascii="宋体" w:hAnsi="宋体" w:eastAsia="宋体" w:cs="宋体"/>
                <w:sz w:val="21"/>
                <w:szCs w:val="21"/>
              </w:rPr>
              <w:t xml:space="preserve"> </w:t>
            </w:r>
            <w:r>
              <w:rPr>
                <w:rFonts w:ascii="宋体" w:hAnsi="宋体" w:eastAsia="宋体" w:cs="宋体"/>
                <w:spacing w:val="-1"/>
                <w:sz w:val="21"/>
                <w:szCs w:val="21"/>
              </w:rPr>
              <w:t>（可限定范围）科室、特定科室处理、由事件管理部门处理、由上报人职</w:t>
            </w:r>
            <w:r>
              <w:rPr>
                <w:rFonts w:ascii="宋体" w:hAnsi="宋体" w:eastAsia="宋体" w:cs="宋体"/>
                <w:spacing w:val="-2"/>
                <w:sz w:val="21"/>
                <w:szCs w:val="21"/>
              </w:rPr>
              <w:t>务、上报</w:t>
            </w:r>
            <w:r>
              <w:rPr>
                <w:rFonts w:ascii="宋体" w:hAnsi="宋体" w:eastAsia="宋体" w:cs="宋体"/>
                <w:sz w:val="21"/>
                <w:szCs w:val="21"/>
              </w:rPr>
              <w:t xml:space="preserve"> </w:t>
            </w:r>
            <w:r>
              <w:rPr>
                <w:rFonts w:ascii="宋体" w:hAnsi="宋体" w:eastAsia="宋体" w:cs="宋体"/>
                <w:spacing w:val="-5"/>
                <w:sz w:val="21"/>
                <w:szCs w:val="21"/>
              </w:rPr>
              <w:t>科室的归属科室等规则，确定处理部门。处理人员根据路</w:t>
            </w:r>
            <w:r>
              <w:rPr>
                <w:rFonts w:ascii="宋体" w:hAnsi="宋体" w:eastAsia="宋体" w:cs="宋体"/>
                <w:spacing w:val="-6"/>
                <w:sz w:val="21"/>
                <w:szCs w:val="21"/>
              </w:rPr>
              <w:t>由规则确定，</w:t>
            </w:r>
            <w:r>
              <w:rPr>
                <w:rFonts w:ascii="宋体" w:hAnsi="宋体" w:eastAsia="宋体" w:cs="宋体"/>
                <w:spacing w:val="46"/>
                <w:sz w:val="21"/>
                <w:szCs w:val="21"/>
              </w:rPr>
              <w:t xml:space="preserve"> </w:t>
            </w:r>
            <w:r>
              <w:rPr>
                <w:rFonts w:ascii="宋体" w:hAnsi="宋体" w:eastAsia="宋体" w:cs="宋体"/>
                <w:spacing w:val="-6"/>
                <w:sz w:val="21"/>
                <w:szCs w:val="21"/>
              </w:rPr>
              <w:t>路由规则当</w:t>
            </w:r>
            <w:r>
              <w:rPr>
                <w:rFonts w:ascii="宋体" w:hAnsi="宋体" w:eastAsia="宋体" w:cs="宋体"/>
                <w:sz w:val="21"/>
                <w:szCs w:val="21"/>
              </w:rPr>
              <w:t xml:space="preserve"> </w:t>
            </w:r>
            <w:r>
              <w:rPr>
                <w:rFonts w:ascii="宋体" w:hAnsi="宋体" w:eastAsia="宋体" w:cs="宋体"/>
                <w:spacing w:val="-1"/>
                <w:sz w:val="21"/>
                <w:szCs w:val="21"/>
              </w:rPr>
              <w:t>人员事件分组、人员职务分组、上报科室分</w:t>
            </w:r>
            <w:r>
              <w:rPr>
                <w:rFonts w:ascii="宋体" w:hAnsi="宋体" w:eastAsia="宋体" w:cs="宋体"/>
                <w:spacing w:val="-2"/>
                <w:sz w:val="21"/>
                <w:szCs w:val="21"/>
              </w:rPr>
              <w:t>组、处理科室分组等。</w:t>
            </w:r>
          </w:p>
          <w:p w14:paraId="596FE3E9">
            <w:pPr>
              <w:spacing w:before="28" w:line="292" w:lineRule="auto"/>
              <w:ind w:left="108" w:right="102" w:firstLine="5"/>
              <w:rPr>
                <w:rFonts w:ascii="宋体" w:hAnsi="宋体" w:eastAsia="宋体" w:cs="宋体"/>
                <w:sz w:val="21"/>
                <w:szCs w:val="21"/>
              </w:rPr>
            </w:pPr>
            <w:r>
              <w:rPr>
                <w:rFonts w:ascii="宋体" w:hAnsi="宋体" w:eastAsia="宋体" w:cs="宋体"/>
                <w:spacing w:val="-5"/>
                <w:sz w:val="21"/>
                <w:szCs w:val="21"/>
              </w:rPr>
              <w:t>3.事件流程差错路由。在极端或特殊情况下，</w:t>
            </w:r>
            <w:r>
              <w:rPr>
                <w:rFonts w:ascii="宋体" w:hAnsi="宋体" w:eastAsia="宋体" w:cs="宋体"/>
                <w:spacing w:val="46"/>
                <w:sz w:val="21"/>
                <w:szCs w:val="21"/>
              </w:rPr>
              <w:t xml:space="preserve"> </w:t>
            </w:r>
            <w:r>
              <w:rPr>
                <w:rFonts w:ascii="宋体" w:hAnsi="宋体" w:eastAsia="宋体" w:cs="宋体"/>
                <w:spacing w:val="-5"/>
                <w:sz w:val="21"/>
                <w:szCs w:val="21"/>
              </w:rPr>
              <w:t>流程支持差错</w:t>
            </w:r>
            <w:r>
              <w:rPr>
                <w:rFonts w:ascii="宋体" w:hAnsi="宋体" w:eastAsia="宋体" w:cs="宋体"/>
                <w:spacing w:val="-6"/>
                <w:sz w:val="21"/>
                <w:szCs w:val="21"/>
              </w:rPr>
              <w:t>路由，确保事件流程顺</w:t>
            </w:r>
            <w:r>
              <w:rPr>
                <w:rFonts w:ascii="宋体" w:hAnsi="宋体" w:eastAsia="宋体" w:cs="宋体"/>
                <w:sz w:val="21"/>
                <w:szCs w:val="21"/>
              </w:rPr>
              <w:t xml:space="preserve"> </w:t>
            </w:r>
            <w:r>
              <w:rPr>
                <w:rFonts w:ascii="宋体" w:hAnsi="宋体" w:eastAsia="宋体" w:cs="宋体"/>
                <w:spacing w:val="-1"/>
                <w:sz w:val="21"/>
                <w:szCs w:val="21"/>
              </w:rPr>
              <w:t>利进行。无有效处理科室或人员情况下，支持多种差错路由规则，包含保持</w:t>
            </w:r>
            <w:r>
              <w:rPr>
                <w:rFonts w:ascii="宋体" w:hAnsi="宋体" w:eastAsia="宋体" w:cs="宋体"/>
                <w:spacing w:val="-2"/>
                <w:sz w:val="21"/>
                <w:szCs w:val="21"/>
              </w:rPr>
              <w:t>现状、</w:t>
            </w:r>
            <w:r>
              <w:rPr>
                <w:rFonts w:ascii="宋体" w:hAnsi="宋体" w:eastAsia="宋体" w:cs="宋体"/>
                <w:sz w:val="21"/>
                <w:szCs w:val="21"/>
              </w:rPr>
              <w:t xml:space="preserve"> </w:t>
            </w:r>
            <w:r>
              <w:rPr>
                <w:rFonts w:ascii="宋体" w:hAnsi="宋体" w:eastAsia="宋体" w:cs="宋体"/>
                <w:spacing w:val="-1"/>
                <w:sz w:val="21"/>
                <w:szCs w:val="21"/>
              </w:rPr>
              <w:t>转发协助处理部门、转发处理部门、转发主管部门、转发协管部门、事件结</w:t>
            </w:r>
            <w:r>
              <w:rPr>
                <w:rFonts w:ascii="宋体" w:hAnsi="宋体" w:eastAsia="宋体" w:cs="宋体"/>
                <w:spacing w:val="-2"/>
                <w:sz w:val="21"/>
                <w:szCs w:val="21"/>
              </w:rPr>
              <w:t>案等。</w:t>
            </w:r>
            <w:r>
              <w:rPr>
                <w:rFonts w:ascii="宋体" w:hAnsi="宋体" w:eastAsia="宋体" w:cs="宋体"/>
                <w:sz w:val="21"/>
                <w:szCs w:val="21"/>
              </w:rPr>
              <w:t xml:space="preserve"> </w:t>
            </w:r>
            <w:r>
              <w:rPr>
                <w:rFonts w:ascii="宋体" w:hAnsi="宋体" w:eastAsia="宋体" w:cs="宋体"/>
                <w:spacing w:val="-1"/>
                <w:sz w:val="21"/>
                <w:szCs w:val="21"/>
              </w:rPr>
              <w:t>4.事件流程环节。事件流程环节至少应包含暂存、驳回填报，待处理、驳回处</w:t>
            </w:r>
            <w:r>
              <w:rPr>
                <w:rFonts w:ascii="宋体" w:hAnsi="宋体" w:eastAsia="宋体" w:cs="宋体"/>
                <w:spacing w:val="-2"/>
                <w:sz w:val="21"/>
                <w:szCs w:val="21"/>
              </w:rPr>
              <w:t>理、</w:t>
            </w:r>
            <w:r>
              <w:rPr>
                <w:rFonts w:ascii="宋体" w:hAnsi="宋体" w:eastAsia="宋体" w:cs="宋体"/>
                <w:sz w:val="21"/>
                <w:szCs w:val="21"/>
              </w:rPr>
              <w:t xml:space="preserve"> </w:t>
            </w:r>
            <w:r>
              <w:rPr>
                <w:rFonts w:ascii="宋体" w:hAnsi="宋体" w:eastAsia="宋体" w:cs="宋体"/>
                <w:spacing w:val="-1"/>
                <w:sz w:val="21"/>
                <w:szCs w:val="21"/>
              </w:rPr>
              <w:t>待结案、已结案环节，各流程环节可独立配置填报人、处理部门、协助处理</w:t>
            </w:r>
            <w:r>
              <w:rPr>
                <w:rFonts w:ascii="宋体" w:hAnsi="宋体" w:eastAsia="宋体" w:cs="宋体"/>
                <w:spacing w:val="-2"/>
                <w:sz w:val="21"/>
                <w:szCs w:val="21"/>
              </w:rPr>
              <w:t>部门、</w:t>
            </w:r>
            <w:r>
              <w:rPr>
                <w:rFonts w:ascii="宋体" w:hAnsi="宋体" w:eastAsia="宋体" w:cs="宋体"/>
                <w:sz w:val="21"/>
                <w:szCs w:val="21"/>
              </w:rPr>
              <w:t xml:space="preserve"> </w:t>
            </w:r>
            <w:r>
              <w:rPr>
                <w:rFonts w:ascii="宋体" w:hAnsi="宋体" w:eastAsia="宋体" w:cs="宋体"/>
                <w:spacing w:val="-1"/>
                <w:sz w:val="21"/>
                <w:szCs w:val="21"/>
              </w:rPr>
              <w:t>管理部门、协助管理部门必填内容，例如：事件等级、事件标识、当事科室</w:t>
            </w:r>
            <w:r>
              <w:rPr>
                <w:rFonts w:ascii="宋体" w:hAnsi="宋体" w:eastAsia="宋体" w:cs="宋体"/>
                <w:spacing w:val="-2"/>
                <w:sz w:val="21"/>
                <w:szCs w:val="21"/>
              </w:rPr>
              <w:t>、事件</w:t>
            </w:r>
            <w:r>
              <w:rPr>
                <w:rFonts w:ascii="宋体" w:hAnsi="宋体" w:eastAsia="宋体" w:cs="宋体"/>
                <w:sz w:val="21"/>
                <w:szCs w:val="21"/>
              </w:rPr>
              <w:t xml:space="preserve"> </w:t>
            </w:r>
            <w:r>
              <w:rPr>
                <w:rFonts w:ascii="宋体" w:hAnsi="宋体" w:eastAsia="宋体" w:cs="宋体"/>
                <w:spacing w:val="-2"/>
                <w:sz w:val="21"/>
                <w:szCs w:val="21"/>
              </w:rPr>
              <w:t>打分、事件标题、发生日期、SAC</w:t>
            </w:r>
            <w:r>
              <w:rPr>
                <w:rFonts w:ascii="宋体" w:hAnsi="宋体" w:eastAsia="宋体" w:cs="宋体"/>
                <w:spacing w:val="-31"/>
                <w:sz w:val="21"/>
                <w:szCs w:val="21"/>
              </w:rPr>
              <w:t xml:space="preserve"> </w:t>
            </w:r>
            <w:r>
              <w:rPr>
                <w:rFonts w:ascii="宋体" w:hAnsi="宋体" w:eastAsia="宋体" w:cs="宋体"/>
                <w:spacing w:val="-2"/>
                <w:sz w:val="21"/>
                <w:szCs w:val="21"/>
              </w:rPr>
              <w:t>伤害程度、SAC</w:t>
            </w:r>
            <w:r>
              <w:rPr>
                <w:rFonts w:ascii="宋体" w:hAnsi="宋体" w:eastAsia="宋体" w:cs="宋体"/>
                <w:spacing w:val="-41"/>
                <w:sz w:val="21"/>
                <w:szCs w:val="21"/>
              </w:rPr>
              <w:t xml:space="preserve"> </w:t>
            </w:r>
            <w:r>
              <w:rPr>
                <w:rFonts w:ascii="宋体" w:hAnsi="宋体" w:eastAsia="宋体" w:cs="宋体"/>
                <w:spacing w:val="-2"/>
                <w:sz w:val="21"/>
                <w:szCs w:val="21"/>
              </w:rPr>
              <w:t>发生频率、SAC</w:t>
            </w:r>
            <w:r>
              <w:rPr>
                <w:rFonts w:ascii="宋体" w:hAnsi="宋体" w:eastAsia="宋体" w:cs="宋体"/>
                <w:spacing w:val="-43"/>
                <w:sz w:val="21"/>
                <w:szCs w:val="21"/>
              </w:rPr>
              <w:t xml:space="preserve"> </w:t>
            </w:r>
            <w:r>
              <w:rPr>
                <w:rFonts w:ascii="宋体" w:hAnsi="宋体" w:eastAsia="宋体" w:cs="宋体"/>
                <w:spacing w:val="-2"/>
                <w:sz w:val="21"/>
                <w:szCs w:val="21"/>
              </w:rPr>
              <w:t>等级等。</w:t>
            </w:r>
          </w:p>
        </w:tc>
      </w:tr>
      <w:tr w14:paraId="47375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0" w:hRule="atLeast"/>
        </w:trPr>
        <w:tc>
          <w:tcPr>
            <w:tcW w:w="783" w:type="dxa"/>
            <w:vAlign w:val="top"/>
          </w:tcPr>
          <w:p w14:paraId="5950A586">
            <w:pPr>
              <w:spacing w:line="253" w:lineRule="auto"/>
              <w:rPr>
                <w:rFonts w:ascii="Arial"/>
                <w:sz w:val="21"/>
              </w:rPr>
            </w:pPr>
          </w:p>
          <w:p w14:paraId="3FC7F749">
            <w:pPr>
              <w:spacing w:line="253" w:lineRule="auto"/>
              <w:rPr>
                <w:rFonts w:ascii="Arial"/>
                <w:sz w:val="21"/>
              </w:rPr>
            </w:pPr>
          </w:p>
          <w:p w14:paraId="4213E604">
            <w:pPr>
              <w:spacing w:line="253" w:lineRule="auto"/>
              <w:rPr>
                <w:rFonts w:ascii="Arial"/>
                <w:sz w:val="21"/>
              </w:rPr>
            </w:pPr>
          </w:p>
          <w:p w14:paraId="6718C32B">
            <w:pPr>
              <w:spacing w:line="253" w:lineRule="auto"/>
              <w:rPr>
                <w:rFonts w:ascii="Arial"/>
                <w:sz w:val="21"/>
              </w:rPr>
            </w:pPr>
          </w:p>
          <w:p w14:paraId="33DDA933">
            <w:pPr>
              <w:spacing w:line="253" w:lineRule="auto"/>
              <w:rPr>
                <w:rFonts w:ascii="Arial"/>
                <w:sz w:val="21"/>
              </w:rPr>
            </w:pPr>
          </w:p>
          <w:p w14:paraId="2A574190">
            <w:pPr>
              <w:spacing w:line="253" w:lineRule="auto"/>
              <w:rPr>
                <w:rFonts w:ascii="Arial"/>
                <w:sz w:val="21"/>
              </w:rPr>
            </w:pPr>
          </w:p>
          <w:p w14:paraId="1CC198AF">
            <w:pPr>
              <w:spacing w:line="253" w:lineRule="auto"/>
              <w:rPr>
                <w:rFonts w:ascii="Arial"/>
                <w:sz w:val="21"/>
              </w:rPr>
            </w:pPr>
          </w:p>
          <w:p w14:paraId="11A1B9D9">
            <w:pPr>
              <w:spacing w:line="253" w:lineRule="auto"/>
              <w:rPr>
                <w:rFonts w:ascii="Arial"/>
                <w:sz w:val="21"/>
              </w:rPr>
            </w:pPr>
          </w:p>
          <w:p w14:paraId="349DE522">
            <w:pPr>
              <w:spacing w:line="253" w:lineRule="auto"/>
              <w:rPr>
                <w:rFonts w:ascii="Arial"/>
                <w:sz w:val="21"/>
              </w:rPr>
            </w:pPr>
          </w:p>
          <w:p w14:paraId="01BE0F96">
            <w:pPr>
              <w:spacing w:line="253" w:lineRule="auto"/>
              <w:rPr>
                <w:rFonts w:ascii="Arial"/>
                <w:sz w:val="21"/>
              </w:rPr>
            </w:pPr>
          </w:p>
          <w:p w14:paraId="7D09C8C0">
            <w:pPr>
              <w:spacing w:line="253" w:lineRule="auto"/>
              <w:rPr>
                <w:rFonts w:ascii="Arial"/>
                <w:sz w:val="21"/>
              </w:rPr>
            </w:pPr>
          </w:p>
          <w:p w14:paraId="1B70A3D1">
            <w:pPr>
              <w:spacing w:line="253" w:lineRule="auto"/>
              <w:rPr>
                <w:rFonts w:ascii="Arial"/>
                <w:sz w:val="21"/>
              </w:rPr>
            </w:pPr>
          </w:p>
          <w:p w14:paraId="43413A10">
            <w:pPr>
              <w:spacing w:line="253" w:lineRule="auto"/>
              <w:rPr>
                <w:rFonts w:ascii="Arial"/>
                <w:sz w:val="21"/>
              </w:rPr>
            </w:pPr>
          </w:p>
          <w:p w14:paraId="21774D07">
            <w:pPr>
              <w:spacing w:line="254" w:lineRule="auto"/>
              <w:rPr>
                <w:rFonts w:ascii="Arial"/>
                <w:sz w:val="21"/>
              </w:rPr>
            </w:pPr>
          </w:p>
          <w:p w14:paraId="62230191">
            <w:pPr>
              <w:spacing w:line="254" w:lineRule="auto"/>
              <w:rPr>
                <w:rFonts w:ascii="Arial"/>
                <w:sz w:val="21"/>
              </w:rPr>
            </w:pPr>
          </w:p>
          <w:p w14:paraId="7A94F5C3">
            <w:pPr>
              <w:spacing w:before="78" w:line="181" w:lineRule="auto"/>
              <w:ind w:left="284"/>
              <w:rPr>
                <w:rFonts w:ascii="宋体" w:hAnsi="宋体" w:eastAsia="宋体" w:cs="宋体"/>
                <w:sz w:val="24"/>
                <w:szCs w:val="24"/>
              </w:rPr>
            </w:pPr>
            <w:r>
              <w:rPr>
                <w:rFonts w:ascii="宋体" w:hAnsi="宋体" w:eastAsia="宋体" w:cs="宋体"/>
                <w:sz w:val="24"/>
                <w:szCs w:val="24"/>
              </w:rPr>
              <w:t>3</w:t>
            </w:r>
          </w:p>
        </w:tc>
        <w:tc>
          <w:tcPr>
            <w:tcW w:w="1273" w:type="dxa"/>
            <w:vAlign w:val="top"/>
          </w:tcPr>
          <w:p w14:paraId="338FA09F">
            <w:pPr>
              <w:spacing w:line="250" w:lineRule="auto"/>
              <w:rPr>
                <w:rFonts w:ascii="Arial"/>
                <w:sz w:val="21"/>
              </w:rPr>
            </w:pPr>
          </w:p>
          <w:p w14:paraId="2ECD9B3D">
            <w:pPr>
              <w:spacing w:line="250" w:lineRule="auto"/>
              <w:rPr>
                <w:rFonts w:ascii="Arial"/>
                <w:sz w:val="21"/>
              </w:rPr>
            </w:pPr>
          </w:p>
          <w:p w14:paraId="57D0E678">
            <w:pPr>
              <w:spacing w:line="250" w:lineRule="auto"/>
              <w:rPr>
                <w:rFonts w:ascii="Arial"/>
                <w:sz w:val="21"/>
              </w:rPr>
            </w:pPr>
          </w:p>
          <w:p w14:paraId="0E28913E">
            <w:pPr>
              <w:spacing w:line="250" w:lineRule="auto"/>
              <w:rPr>
                <w:rFonts w:ascii="Arial"/>
                <w:sz w:val="21"/>
              </w:rPr>
            </w:pPr>
          </w:p>
          <w:p w14:paraId="3C73BE08">
            <w:pPr>
              <w:spacing w:line="250" w:lineRule="auto"/>
              <w:rPr>
                <w:rFonts w:ascii="Arial"/>
                <w:sz w:val="21"/>
              </w:rPr>
            </w:pPr>
          </w:p>
          <w:p w14:paraId="5FCEC25B">
            <w:pPr>
              <w:spacing w:line="250" w:lineRule="auto"/>
              <w:rPr>
                <w:rFonts w:ascii="Arial"/>
                <w:sz w:val="21"/>
              </w:rPr>
            </w:pPr>
          </w:p>
          <w:p w14:paraId="2F6AC492">
            <w:pPr>
              <w:spacing w:line="250" w:lineRule="auto"/>
              <w:rPr>
                <w:rFonts w:ascii="Arial"/>
                <w:sz w:val="21"/>
              </w:rPr>
            </w:pPr>
          </w:p>
          <w:p w14:paraId="77478B96">
            <w:pPr>
              <w:spacing w:line="250" w:lineRule="auto"/>
              <w:rPr>
                <w:rFonts w:ascii="Arial"/>
                <w:sz w:val="21"/>
              </w:rPr>
            </w:pPr>
          </w:p>
          <w:p w14:paraId="54F2962F">
            <w:pPr>
              <w:spacing w:line="250" w:lineRule="auto"/>
              <w:rPr>
                <w:rFonts w:ascii="Arial"/>
                <w:sz w:val="21"/>
              </w:rPr>
            </w:pPr>
          </w:p>
          <w:p w14:paraId="6237F075">
            <w:pPr>
              <w:spacing w:line="251" w:lineRule="auto"/>
              <w:rPr>
                <w:rFonts w:ascii="Arial"/>
                <w:sz w:val="21"/>
              </w:rPr>
            </w:pPr>
          </w:p>
          <w:p w14:paraId="3D679291">
            <w:pPr>
              <w:spacing w:line="251" w:lineRule="auto"/>
              <w:rPr>
                <w:rFonts w:ascii="Arial"/>
                <w:sz w:val="21"/>
              </w:rPr>
            </w:pPr>
          </w:p>
          <w:p w14:paraId="14E9081A">
            <w:pPr>
              <w:spacing w:line="251" w:lineRule="auto"/>
              <w:rPr>
                <w:rFonts w:ascii="Arial"/>
                <w:sz w:val="21"/>
              </w:rPr>
            </w:pPr>
          </w:p>
          <w:p w14:paraId="5B8D2B5F">
            <w:pPr>
              <w:spacing w:line="251" w:lineRule="auto"/>
              <w:rPr>
                <w:rFonts w:ascii="Arial"/>
                <w:sz w:val="21"/>
              </w:rPr>
            </w:pPr>
          </w:p>
          <w:p w14:paraId="70078AF6">
            <w:pPr>
              <w:spacing w:line="251" w:lineRule="auto"/>
              <w:rPr>
                <w:rFonts w:ascii="Arial"/>
                <w:sz w:val="21"/>
              </w:rPr>
            </w:pPr>
          </w:p>
          <w:p w14:paraId="12CBFF0C">
            <w:pPr>
              <w:spacing w:line="251" w:lineRule="auto"/>
              <w:rPr>
                <w:rFonts w:ascii="Arial"/>
                <w:sz w:val="21"/>
              </w:rPr>
            </w:pPr>
          </w:p>
          <w:p w14:paraId="64C8F2D8">
            <w:pPr>
              <w:spacing w:before="78" w:line="220" w:lineRule="auto"/>
              <w:ind w:left="108"/>
              <w:rPr>
                <w:rFonts w:ascii="宋体" w:hAnsi="宋体" w:eastAsia="宋体" w:cs="宋体"/>
                <w:sz w:val="24"/>
                <w:szCs w:val="24"/>
              </w:rPr>
            </w:pPr>
            <w:r>
              <w:rPr>
                <w:rFonts w:ascii="宋体" w:hAnsi="宋体" w:eastAsia="宋体" w:cs="宋体"/>
                <w:spacing w:val="-2"/>
                <w:sz w:val="24"/>
                <w:szCs w:val="24"/>
              </w:rPr>
              <w:t>事件处理</w:t>
            </w:r>
          </w:p>
        </w:tc>
        <w:tc>
          <w:tcPr>
            <w:tcW w:w="7743" w:type="dxa"/>
            <w:vAlign w:val="top"/>
          </w:tcPr>
          <w:p w14:paraId="0F2896E6">
            <w:pPr>
              <w:spacing w:before="64" w:line="295" w:lineRule="auto"/>
              <w:ind w:left="108" w:right="102" w:firstLine="16"/>
              <w:jc w:val="both"/>
              <w:rPr>
                <w:rFonts w:ascii="宋体" w:hAnsi="宋体" w:eastAsia="宋体" w:cs="宋体"/>
                <w:sz w:val="21"/>
                <w:szCs w:val="21"/>
              </w:rPr>
            </w:pPr>
            <w:r>
              <w:rPr>
                <w:rFonts w:ascii="宋体" w:hAnsi="宋体" w:eastAsia="宋体" w:cs="宋体"/>
                <w:spacing w:val="-5"/>
                <w:sz w:val="21"/>
                <w:szCs w:val="21"/>
              </w:rPr>
              <w:t>1.事件分析报告。事件处理应包含事件分</w:t>
            </w:r>
            <w:r>
              <w:rPr>
                <w:rFonts w:ascii="宋体" w:hAnsi="宋体" w:eastAsia="宋体" w:cs="宋体"/>
                <w:spacing w:val="-6"/>
                <w:sz w:val="21"/>
                <w:szCs w:val="21"/>
              </w:rPr>
              <w:t>析报告，</w:t>
            </w:r>
            <w:r>
              <w:rPr>
                <w:rFonts w:ascii="宋体" w:hAnsi="宋体" w:eastAsia="宋体" w:cs="宋体"/>
                <w:spacing w:val="43"/>
                <w:sz w:val="21"/>
                <w:szCs w:val="21"/>
              </w:rPr>
              <w:t xml:space="preserve"> </w:t>
            </w:r>
            <w:r>
              <w:rPr>
                <w:rFonts w:ascii="宋体" w:hAnsi="宋体" w:eastAsia="宋体" w:cs="宋体"/>
                <w:spacing w:val="-6"/>
                <w:sz w:val="21"/>
                <w:szCs w:val="21"/>
              </w:rPr>
              <w:t>分析报告内容可以根据事件类型</w:t>
            </w:r>
            <w:r>
              <w:rPr>
                <w:rFonts w:ascii="宋体" w:hAnsi="宋体" w:eastAsia="宋体" w:cs="宋体"/>
                <w:sz w:val="21"/>
                <w:szCs w:val="21"/>
              </w:rPr>
              <w:t xml:space="preserve"> </w:t>
            </w:r>
            <w:r>
              <w:rPr>
                <w:rFonts w:ascii="宋体" w:hAnsi="宋体" w:eastAsia="宋体" w:cs="宋体"/>
                <w:spacing w:val="-1"/>
                <w:sz w:val="21"/>
                <w:szCs w:val="21"/>
              </w:rPr>
              <w:t>配置，默认分析报告内容包含科室讨论情况（包含讨论事件、讨论地点、参</w:t>
            </w:r>
            <w:r>
              <w:rPr>
                <w:rFonts w:ascii="宋体" w:hAnsi="宋体" w:eastAsia="宋体" w:cs="宋体"/>
                <w:spacing w:val="-2"/>
                <w:sz w:val="21"/>
                <w:szCs w:val="21"/>
              </w:rPr>
              <w:t>与人员</w:t>
            </w:r>
            <w:r>
              <w:rPr>
                <w:rFonts w:ascii="宋体" w:hAnsi="宋体" w:eastAsia="宋体" w:cs="宋体"/>
                <w:sz w:val="21"/>
                <w:szCs w:val="21"/>
              </w:rPr>
              <w:t xml:space="preserve"> </w:t>
            </w:r>
            <w:r>
              <w:rPr>
                <w:rFonts w:ascii="宋体" w:hAnsi="宋体" w:eastAsia="宋体" w:cs="宋体"/>
                <w:spacing w:val="-1"/>
                <w:sz w:val="21"/>
                <w:szCs w:val="21"/>
              </w:rPr>
              <w:t>等）、科室讨论意见（包含科室讨论意见、</w:t>
            </w:r>
            <w:r>
              <w:rPr>
                <w:rFonts w:ascii="宋体" w:hAnsi="宋体" w:eastAsia="宋体" w:cs="宋体"/>
                <w:spacing w:val="-2"/>
                <w:sz w:val="21"/>
                <w:szCs w:val="21"/>
              </w:rPr>
              <w:t>科室讨论定性、科室讨论定性理由、责</w:t>
            </w:r>
            <w:r>
              <w:rPr>
                <w:rFonts w:ascii="宋体" w:hAnsi="宋体" w:eastAsia="宋体" w:cs="宋体"/>
                <w:sz w:val="21"/>
                <w:szCs w:val="21"/>
              </w:rPr>
              <w:t xml:space="preserve"> </w:t>
            </w:r>
            <w:r>
              <w:rPr>
                <w:rFonts w:ascii="宋体" w:hAnsi="宋体" w:eastAsia="宋体" w:cs="宋体"/>
                <w:spacing w:val="-6"/>
                <w:sz w:val="21"/>
                <w:szCs w:val="21"/>
              </w:rPr>
              <w:t>任人等）等。</w:t>
            </w:r>
          </w:p>
          <w:p w14:paraId="2030A771">
            <w:pPr>
              <w:spacing w:before="30" w:line="288" w:lineRule="auto"/>
              <w:ind w:left="110" w:right="102"/>
              <w:rPr>
                <w:rFonts w:ascii="宋体" w:hAnsi="宋体" w:eastAsia="宋体" w:cs="宋体"/>
                <w:sz w:val="21"/>
                <w:szCs w:val="21"/>
              </w:rPr>
            </w:pPr>
            <w:r>
              <w:rPr>
                <w:rFonts w:ascii="宋体" w:hAnsi="宋体" w:eastAsia="宋体" w:cs="宋体"/>
                <w:spacing w:val="-1"/>
                <w:sz w:val="21"/>
                <w:szCs w:val="21"/>
              </w:rPr>
              <w:t>2.事件原因分析。事件分析报告默认原因分析内容包含人、机、料、法</w:t>
            </w:r>
            <w:r>
              <w:rPr>
                <w:rFonts w:ascii="宋体" w:hAnsi="宋体" w:eastAsia="宋体" w:cs="宋体"/>
                <w:spacing w:val="-2"/>
                <w:sz w:val="21"/>
                <w:szCs w:val="21"/>
              </w:rPr>
              <w:t>、环勾选分</w:t>
            </w:r>
            <w:r>
              <w:rPr>
                <w:rFonts w:ascii="宋体" w:hAnsi="宋体" w:eastAsia="宋体" w:cs="宋体"/>
                <w:sz w:val="21"/>
                <w:szCs w:val="21"/>
              </w:rPr>
              <w:t xml:space="preserve"> </w:t>
            </w:r>
            <w:r>
              <w:rPr>
                <w:rFonts w:ascii="宋体" w:hAnsi="宋体" w:eastAsia="宋体" w:cs="宋体"/>
                <w:spacing w:val="-2"/>
                <w:sz w:val="21"/>
                <w:szCs w:val="21"/>
              </w:rPr>
              <w:t>析模块，处理人员通过勾选量化事件发生原因。</w:t>
            </w:r>
          </w:p>
          <w:p w14:paraId="6240AFEF">
            <w:pPr>
              <w:spacing w:before="31" w:line="292" w:lineRule="auto"/>
              <w:ind w:left="110" w:right="102" w:firstLine="3"/>
              <w:jc w:val="both"/>
              <w:rPr>
                <w:rFonts w:ascii="宋体" w:hAnsi="宋体" w:eastAsia="宋体" w:cs="宋体"/>
                <w:sz w:val="21"/>
                <w:szCs w:val="21"/>
              </w:rPr>
            </w:pPr>
            <w:r>
              <w:rPr>
                <w:rFonts w:ascii="宋体" w:hAnsi="宋体" w:eastAsia="宋体" w:cs="宋体"/>
                <w:spacing w:val="-1"/>
                <w:sz w:val="21"/>
                <w:szCs w:val="21"/>
              </w:rPr>
              <w:t>3.事件改进措施。事件分析报告默认改进措施包含预防发生此类事</w:t>
            </w:r>
            <w:r>
              <w:rPr>
                <w:rFonts w:ascii="宋体" w:hAnsi="宋体" w:eastAsia="宋体" w:cs="宋体"/>
                <w:spacing w:val="-2"/>
                <w:sz w:val="21"/>
                <w:szCs w:val="21"/>
              </w:rPr>
              <w:t>件再发生的措施</w:t>
            </w:r>
            <w:r>
              <w:rPr>
                <w:rFonts w:ascii="宋体" w:hAnsi="宋体" w:eastAsia="宋体" w:cs="宋体"/>
                <w:sz w:val="21"/>
                <w:szCs w:val="21"/>
              </w:rPr>
              <w:t xml:space="preserve"> </w:t>
            </w:r>
            <w:r>
              <w:rPr>
                <w:rFonts w:ascii="宋体" w:hAnsi="宋体" w:eastAsia="宋体" w:cs="宋体"/>
                <w:spacing w:val="-1"/>
                <w:sz w:val="21"/>
                <w:szCs w:val="21"/>
              </w:rPr>
              <w:t>和方法，从教育培训、医疗护理管理、行政管理、沟通方式、其他等模</w:t>
            </w:r>
            <w:r>
              <w:rPr>
                <w:rFonts w:ascii="宋体" w:hAnsi="宋体" w:eastAsia="宋体" w:cs="宋体"/>
                <w:spacing w:val="-2"/>
                <w:sz w:val="21"/>
                <w:szCs w:val="21"/>
              </w:rPr>
              <w:t>块量化事件</w:t>
            </w:r>
            <w:r>
              <w:rPr>
                <w:rFonts w:ascii="宋体" w:hAnsi="宋体" w:eastAsia="宋体" w:cs="宋体"/>
                <w:sz w:val="21"/>
                <w:szCs w:val="21"/>
              </w:rPr>
              <w:t xml:space="preserve"> </w:t>
            </w:r>
            <w:r>
              <w:rPr>
                <w:rFonts w:ascii="宋体" w:hAnsi="宋体" w:eastAsia="宋体" w:cs="宋体"/>
                <w:spacing w:val="-2"/>
                <w:sz w:val="21"/>
                <w:szCs w:val="21"/>
              </w:rPr>
              <w:t>改进方法和措施，处理人员通过勾选量化事件改进措施及方法。</w:t>
            </w:r>
          </w:p>
          <w:p w14:paraId="257A3FC3">
            <w:pPr>
              <w:spacing w:before="30" w:line="287" w:lineRule="auto"/>
              <w:ind w:left="113" w:right="102" w:hanging="5"/>
              <w:rPr>
                <w:rFonts w:ascii="宋体" w:hAnsi="宋体" w:eastAsia="宋体" w:cs="宋体"/>
                <w:sz w:val="21"/>
                <w:szCs w:val="21"/>
              </w:rPr>
            </w:pPr>
            <w:r>
              <w:rPr>
                <w:rFonts w:ascii="宋体" w:hAnsi="宋体" w:eastAsia="宋体" w:cs="宋体"/>
                <w:spacing w:val="-1"/>
                <w:sz w:val="21"/>
                <w:szCs w:val="21"/>
              </w:rPr>
              <w:t>4.批注及历史记录。事件分析报告支持批注，可在报告任意位置进行批注，分</w:t>
            </w:r>
            <w:r>
              <w:rPr>
                <w:rFonts w:ascii="宋体" w:hAnsi="宋体" w:eastAsia="宋体" w:cs="宋体"/>
                <w:spacing w:val="-2"/>
                <w:sz w:val="21"/>
                <w:szCs w:val="21"/>
              </w:rPr>
              <w:t>析报</w:t>
            </w:r>
            <w:r>
              <w:rPr>
                <w:rFonts w:ascii="宋体" w:hAnsi="宋体" w:eastAsia="宋体" w:cs="宋体"/>
                <w:sz w:val="21"/>
                <w:szCs w:val="21"/>
              </w:rPr>
              <w:t xml:space="preserve"> </w:t>
            </w:r>
            <w:r>
              <w:rPr>
                <w:rFonts w:ascii="宋体" w:hAnsi="宋体" w:eastAsia="宋体" w:cs="宋体"/>
                <w:spacing w:val="-1"/>
                <w:sz w:val="21"/>
                <w:szCs w:val="21"/>
              </w:rPr>
              <w:t>告支持修改历史记录查阅功能，修改记录查阅支持自动</w:t>
            </w:r>
            <w:r>
              <w:rPr>
                <w:rFonts w:ascii="宋体" w:hAnsi="宋体" w:eastAsia="宋体" w:cs="宋体"/>
                <w:spacing w:val="-2"/>
                <w:sz w:val="21"/>
                <w:szCs w:val="21"/>
              </w:rPr>
              <w:t>对比，标识修改部分。</w:t>
            </w:r>
          </w:p>
          <w:p w14:paraId="18AAC481">
            <w:pPr>
              <w:spacing w:before="31" w:line="292" w:lineRule="auto"/>
              <w:ind w:left="110" w:right="72" w:firstLine="3"/>
              <w:rPr>
                <w:rFonts w:ascii="宋体" w:hAnsi="宋体" w:eastAsia="宋体" w:cs="宋体"/>
                <w:sz w:val="21"/>
                <w:szCs w:val="21"/>
              </w:rPr>
            </w:pPr>
            <w:r>
              <w:rPr>
                <w:rFonts w:ascii="宋体" w:hAnsi="宋体" w:eastAsia="宋体" w:cs="宋体"/>
                <w:spacing w:val="-5"/>
                <w:sz w:val="21"/>
                <w:szCs w:val="21"/>
              </w:rPr>
              <w:t>5.原因及对策型鱼骨图分析。支持原因型鱼骨图分析，</w:t>
            </w:r>
            <w:r>
              <w:rPr>
                <w:rFonts w:ascii="宋体" w:hAnsi="宋体" w:eastAsia="宋体" w:cs="宋体"/>
                <w:spacing w:val="43"/>
                <w:sz w:val="21"/>
                <w:szCs w:val="21"/>
              </w:rPr>
              <w:t xml:space="preserve"> </w:t>
            </w:r>
            <w:r>
              <w:rPr>
                <w:rFonts w:ascii="宋体" w:hAnsi="宋体" w:eastAsia="宋体" w:cs="宋体"/>
                <w:spacing w:val="-5"/>
                <w:sz w:val="21"/>
                <w:szCs w:val="21"/>
              </w:rPr>
              <w:t>鱼骨图自动</w:t>
            </w:r>
            <w:r>
              <w:rPr>
                <w:rFonts w:ascii="宋体" w:hAnsi="宋体" w:eastAsia="宋体" w:cs="宋体"/>
                <w:spacing w:val="-6"/>
                <w:sz w:val="21"/>
                <w:szCs w:val="21"/>
              </w:rPr>
              <w:t>提取分析报告内</w:t>
            </w:r>
            <w:r>
              <w:rPr>
                <w:rFonts w:ascii="宋体" w:hAnsi="宋体" w:eastAsia="宋体" w:cs="宋体"/>
                <w:sz w:val="21"/>
                <w:szCs w:val="21"/>
              </w:rPr>
              <w:t xml:space="preserve"> 容，自动生成事件原因分析鱼骨图和原因分析全景图, 支</w:t>
            </w:r>
            <w:r>
              <w:rPr>
                <w:rFonts w:ascii="宋体" w:hAnsi="宋体" w:eastAsia="宋体" w:cs="宋体"/>
                <w:spacing w:val="-1"/>
                <w:sz w:val="21"/>
                <w:szCs w:val="21"/>
              </w:rPr>
              <w:t>持对策型鱼骨图分析，鱼</w:t>
            </w:r>
            <w:r>
              <w:rPr>
                <w:rFonts w:ascii="宋体" w:hAnsi="宋体" w:eastAsia="宋体" w:cs="宋体"/>
                <w:sz w:val="21"/>
                <w:szCs w:val="21"/>
              </w:rPr>
              <w:t xml:space="preserve"> </w:t>
            </w:r>
            <w:r>
              <w:rPr>
                <w:rFonts w:ascii="宋体" w:hAnsi="宋体" w:eastAsia="宋体" w:cs="宋体"/>
                <w:spacing w:val="-1"/>
                <w:sz w:val="21"/>
                <w:szCs w:val="21"/>
              </w:rPr>
              <w:t>骨图自动提取分析报告内容，自动生成事件对策分析鱼骨图和对策分</w:t>
            </w:r>
            <w:r>
              <w:rPr>
                <w:rFonts w:ascii="宋体" w:hAnsi="宋体" w:eastAsia="宋体" w:cs="宋体"/>
                <w:spacing w:val="-2"/>
                <w:sz w:val="21"/>
                <w:szCs w:val="21"/>
              </w:rPr>
              <w:t>析全景图。</w:t>
            </w:r>
          </w:p>
          <w:p w14:paraId="057F66D1">
            <w:pPr>
              <w:spacing w:before="30" w:line="295" w:lineRule="auto"/>
              <w:ind w:left="108" w:right="102" w:firstLine="2"/>
              <w:rPr>
                <w:rFonts w:ascii="宋体" w:hAnsi="宋体" w:eastAsia="宋体" w:cs="宋体"/>
                <w:sz w:val="21"/>
                <w:szCs w:val="21"/>
              </w:rPr>
            </w:pPr>
            <w:r>
              <w:rPr>
                <w:rFonts w:ascii="宋体" w:hAnsi="宋体" w:eastAsia="宋体" w:cs="宋体"/>
                <w:spacing w:val="-1"/>
                <w:sz w:val="21"/>
                <w:szCs w:val="21"/>
              </w:rPr>
              <w:t>6.事件处理时效。针对不同事件类型单独配置处理</w:t>
            </w:r>
            <w:r>
              <w:rPr>
                <w:rFonts w:ascii="宋体" w:hAnsi="宋体" w:eastAsia="宋体" w:cs="宋体"/>
                <w:spacing w:val="-2"/>
                <w:sz w:val="21"/>
                <w:szCs w:val="21"/>
              </w:rPr>
              <w:t>时效（工作时间</w:t>
            </w:r>
            <w:r>
              <w:rPr>
                <w:rFonts w:ascii="宋体" w:hAnsi="宋体" w:eastAsia="宋体" w:cs="宋体"/>
                <w:spacing w:val="-4"/>
                <w:sz w:val="21"/>
                <w:szCs w:val="21"/>
              </w:rPr>
              <w:t>），</w:t>
            </w:r>
            <w:r>
              <w:rPr>
                <w:rFonts w:ascii="宋体" w:hAnsi="宋体" w:eastAsia="宋体" w:cs="宋体"/>
                <w:spacing w:val="-2"/>
                <w:sz w:val="21"/>
                <w:szCs w:val="21"/>
              </w:rPr>
              <w:t>可根据医院</w:t>
            </w:r>
            <w:r>
              <w:rPr>
                <w:rFonts w:ascii="宋体" w:hAnsi="宋体" w:eastAsia="宋体" w:cs="宋体"/>
                <w:spacing w:val="1"/>
                <w:sz w:val="21"/>
                <w:szCs w:val="21"/>
              </w:rPr>
              <w:t xml:space="preserve"> </w:t>
            </w:r>
            <w:r>
              <w:rPr>
                <w:rFonts w:ascii="宋体" w:hAnsi="宋体" w:eastAsia="宋体" w:cs="宋体"/>
                <w:spacing w:val="-1"/>
                <w:sz w:val="21"/>
                <w:szCs w:val="21"/>
              </w:rPr>
              <w:t>作息时间、法定节假日等自定义工作时间,单个事件可独立配置处理时效,提供</w:t>
            </w:r>
            <w:r>
              <w:rPr>
                <w:rFonts w:ascii="宋体" w:hAnsi="宋体" w:eastAsia="宋体" w:cs="宋体"/>
                <w:spacing w:val="-2"/>
                <w:sz w:val="21"/>
                <w:szCs w:val="21"/>
              </w:rPr>
              <w:t>事件</w:t>
            </w:r>
            <w:r>
              <w:rPr>
                <w:rFonts w:ascii="宋体" w:hAnsi="宋体" w:eastAsia="宋体" w:cs="宋体"/>
                <w:sz w:val="21"/>
                <w:szCs w:val="21"/>
              </w:rPr>
              <w:t xml:space="preserve"> </w:t>
            </w:r>
            <w:r>
              <w:rPr>
                <w:rFonts w:ascii="宋体" w:hAnsi="宋体" w:eastAsia="宋体" w:cs="宋体"/>
                <w:spacing w:val="-1"/>
                <w:sz w:val="21"/>
                <w:szCs w:val="21"/>
              </w:rPr>
              <w:t>处理时效报表，包含实际处理、按时处理、按时处理率、超期处理、超期处</w:t>
            </w:r>
            <w:r>
              <w:rPr>
                <w:rFonts w:ascii="宋体" w:hAnsi="宋体" w:eastAsia="宋体" w:cs="宋体"/>
                <w:spacing w:val="-2"/>
                <w:sz w:val="21"/>
                <w:szCs w:val="21"/>
              </w:rPr>
              <w:t>理率、</w:t>
            </w:r>
            <w:r>
              <w:rPr>
                <w:rFonts w:ascii="宋体" w:hAnsi="宋体" w:eastAsia="宋体" w:cs="宋体"/>
                <w:sz w:val="21"/>
                <w:szCs w:val="21"/>
              </w:rPr>
              <w:t xml:space="preserve"> </w:t>
            </w:r>
            <w:r>
              <w:rPr>
                <w:rFonts w:ascii="宋体" w:hAnsi="宋体" w:eastAsia="宋体" w:cs="宋体"/>
                <w:spacing w:val="-1"/>
                <w:sz w:val="21"/>
                <w:szCs w:val="21"/>
              </w:rPr>
              <w:t>平均处理时间（小时）等指标， 并可对超期处理事件进行追</w:t>
            </w:r>
            <w:r>
              <w:rPr>
                <w:rFonts w:ascii="宋体" w:hAnsi="宋体" w:eastAsia="宋体" w:cs="宋体"/>
                <w:spacing w:val="-2"/>
                <w:sz w:val="21"/>
                <w:szCs w:val="21"/>
              </w:rPr>
              <w:t>溯和导出。</w:t>
            </w:r>
          </w:p>
          <w:p w14:paraId="05EB973B">
            <w:pPr>
              <w:spacing w:before="9" w:line="253" w:lineRule="auto"/>
              <w:ind w:left="108" w:right="102" w:firstLine="5"/>
              <w:rPr>
                <w:rFonts w:ascii="宋体" w:hAnsi="宋体" w:eastAsia="宋体" w:cs="宋体"/>
                <w:sz w:val="21"/>
                <w:szCs w:val="21"/>
              </w:rPr>
            </w:pPr>
            <w:r>
              <w:rPr>
                <w:rFonts w:ascii="宋体" w:hAnsi="宋体" w:eastAsia="宋体" w:cs="宋体"/>
                <w:spacing w:val="1"/>
                <w:sz w:val="21"/>
                <w:szCs w:val="21"/>
              </w:rPr>
              <w:t>7.科室季度分析表。在本科事件中，提供科室季度不良事件分析，导出</w:t>
            </w:r>
            <w:r>
              <w:rPr>
                <w:rFonts w:ascii="宋体" w:hAnsi="宋体" w:eastAsia="宋体" w:cs="宋体"/>
                <w:spacing w:val="-35"/>
                <w:sz w:val="21"/>
                <w:szCs w:val="21"/>
              </w:rPr>
              <w:t xml:space="preserve"> </w:t>
            </w:r>
            <w:r>
              <w:rPr>
                <w:rFonts w:ascii="宋体" w:hAnsi="宋体" w:eastAsia="宋体" w:cs="宋体"/>
                <w:sz w:val="21"/>
                <w:szCs w:val="21"/>
              </w:rPr>
              <w:t>word</w:t>
            </w:r>
            <w:r>
              <w:rPr>
                <w:rFonts w:ascii="宋体" w:hAnsi="宋体" w:eastAsia="宋体" w:cs="宋体"/>
                <w:spacing w:val="-44"/>
                <w:sz w:val="21"/>
                <w:szCs w:val="21"/>
              </w:rPr>
              <w:t xml:space="preserve"> </w:t>
            </w:r>
            <w:r>
              <w:rPr>
                <w:rFonts w:ascii="宋体" w:hAnsi="宋体" w:eastAsia="宋体" w:cs="宋体"/>
                <w:spacing w:val="1"/>
                <w:sz w:val="21"/>
                <w:szCs w:val="21"/>
              </w:rPr>
              <w:t>报告</w:t>
            </w:r>
            <w:r>
              <w:rPr>
                <w:rFonts w:ascii="宋体" w:hAnsi="宋体" w:eastAsia="宋体" w:cs="宋体"/>
                <w:sz w:val="21"/>
                <w:szCs w:val="21"/>
              </w:rPr>
              <w:t xml:space="preserve"> </w:t>
            </w:r>
            <w:r>
              <w:rPr>
                <w:rFonts w:ascii="宋体" w:hAnsi="宋体" w:eastAsia="宋体" w:cs="宋体"/>
                <w:spacing w:val="-1"/>
                <w:sz w:val="21"/>
                <w:szCs w:val="21"/>
              </w:rPr>
              <w:t>内容包含对当前季度上报事件类型统计（事件类型数</w:t>
            </w:r>
            <w:r>
              <w:rPr>
                <w:rFonts w:ascii="宋体" w:hAnsi="宋体" w:eastAsia="宋体" w:cs="宋体"/>
                <w:spacing w:val="-2"/>
                <w:sz w:val="21"/>
                <w:szCs w:val="21"/>
              </w:rPr>
              <w:t>量及占比）、类型柱状图、事</w:t>
            </w:r>
            <w:r>
              <w:rPr>
                <w:rFonts w:ascii="宋体" w:hAnsi="宋体" w:eastAsia="宋体" w:cs="宋体"/>
                <w:sz w:val="21"/>
                <w:szCs w:val="21"/>
              </w:rPr>
              <w:t xml:space="preserve"> </w:t>
            </w:r>
            <w:r>
              <w:rPr>
                <w:rFonts w:ascii="宋体" w:hAnsi="宋体" w:eastAsia="宋体" w:cs="宋体"/>
                <w:spacing w:val="-2"/>
                <w:sz w:val="21"/>
                <w:szCs w:val="21"/>
              </w:rPr>
              <w:t>件等级分布（事件等级数量、占比）、等级饼状图，事件状态分布（已结案及驳回</w:t>
            </w:r>
            <w:r>
              <w:rPr>
                <w:rFonts w:ascii="宋体" w:hAnsi="宋体" w:eastAsia="宋体" w:cs="宋体"/>
                <w:spacing w:val="10"/>
                <w:sz w:val="21"/>
                <w:szCs w:val="21"/>
              </w:rPr>
              <w:t xml:space="preserve"> </w:t>
            </w:r>
            <w:r>
              <w:rPr>
                <w:rFonts w:ascii="宋体" w:hAnsi="宋体" w:eastAsia="宋体" w:cs="宋体"/>
                <w:spacing w:val="-2"/>
                <w:sz w:val="21"/>
                <w:szCs w:val="21"/>
              </w:rPr>
              <w:t>数量）、上报完成情况描述（目标、完成量、完成率）、事件发生原因分析（原因</w:t>
            </w:r>
            <w:r>
              <w:rPr>
                <w:rFonts w:ascii="宋体" w:hAnsi="宋体" w:eastAsia="宋体" w:cs="宋体"/>
                <w:spacing w:val="12"/>
                <w:sz w:val="21"/>
                <w:szCs w:val="21"/>
              </w:rPr>
              <w:t xml:space="preserve"> </w:t>
            </w:r>
            <w:r>
              <w:rPr>
                <w:rFonts w:ascii="宋体" w:hAnsi="宋体" w:eastAsia="宋体" w:cs="宋体"/>
                <w:spacing w:val="-1"/>
                <w:sz w:val="21"/>
                <w:szCs w:val="21"/>
              </w:rPr>
              <w:t>分析及鱼骨图）、事件整改措施（整改措施及鱼骨图），同时提供在线分析</w:t>
            </w:r>
            <w:r>
              <w:rPr>
                <w:rFonts w:ascii="宋体" w:hAnsi="宋体" w:eastAsia="宋体" w:cs="宋体"/>
                <w:spacing w:val="-2"/>
                <w:sz w:val="21"/>
                <w:szCs w:val="21"/>
              </w:rPr>
              <w:t>报告，</w:t>
            </w:r>
            <w:r>
              <w:rPr>
                <w:rFonts w:ascii="宋体" w:hAnsi="宋体" w:eastAsia="宋体" w:cs="宋体"/>
                <w:sz w:val="21"/>
                <w:szCs w:val="21"/>
              </w:rPr>
              <w:t xml:space="preserve"> </w:t>
            </w:r>
            <w:r>
              <w:rPr>
                <w:rFonts w:ascii="宋体" w:hAnsi="宋体" w:eastAsia="宋体" w:cs="宋体"/>
                <w:spacing w:val="-2"/>
                <w:sz w:val="21"/>
                <w:szCs w:val="21"/>
              </w:rPr>
              <w:t>内容同上，科室季度报告内容可自定义。</w:t>
            </w:r>
          </w:p>
        </w:tc>
      </w:tr>
      <w:tr w14:paraId="70A6A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783" w:type="dxa"/>
            <w:vAlign w:val="top"/>
          </w:tcPr>
          <w:p w14:paraId="75AE6E70">
            <w:pPr>
              <w:spacing w:line="295" w:lineRule="auto"/>
              <w:rPr>
                <w:rFonts w:ascii="Arial"/>
                <w:sz w:val="21"/>
              </w:rPr>
            </w:pPr>
          </w:p>
          <w:p w14:paraId="035A55C7">
            <w:pPr>
              <w:spacing w:line="295" w:lineRule="auto"/>
              <w:rPr>
                <w:rFonts w:ascii="Arial"/>
                <w:sz w:val="21"/>
              </w:rPr>
            </w:pPr>
          </w:p>
          <w:p w14:paraId="5FFCD4CA">
            <w:pPr>
              <w:spacing w:before="78" w:line="181" w:lineRule="auto"/>
              <w:ind w:left="278"/>
              <w:rPr>
                <w:rFonts w:ascii="宋体" w:hAnsi="宋体" w:eastAsia="宋体" w:cs="宋体"/>
                <w:sz w:val="24"/>
                <w:szCs w:val="24"/>
              </w:rPr>
            </w:pPr>
            <w:r>
              <w:rPr>
                <w:rFonts w:ascii="宋体" w:hAnsi="宋体" w:eastAsia="宋体" w:cs="宋体"/>
                <w:sz w:val="24"/>
                <w:szCs w:val="24"/>
              </w:rPr>
              <w:t>4</w:t>
            </w:r>
          </w:p>
        </w:tc>
        <w:tc>
          <w:tcPr>
            <w:tcW w:w="1273" w:type="dxa"/>
            <w:vAlign w:val="top"/>
          </w:tcPr>
          <w:p w14:paraId="0BD20AC9">
            <w:pPr>
              <w:spacing w:line="255" w:lineRule="auto"/>
              <w:rPr>
                <w:rFonts w:ascii="Arial"/>
                <w:sz w:val="21"/>
              </w:rPr>
            </w:pPr>
          </w:p>
          <w:p w14:paraId="74E12851">
            <w:pPr>
              <w:spacing w:before="78" w:line="442" w:lineRule="auto"/>
              <w:ind w:left="111" w:right="105"/>
              <w:rPr>
                <w:rFonts w:ascii="宋体" w:hAnsi="宋体" w:eastAsia="宋体" w:cs="宋体"/>
                <w:sz w:val="24"/>
                <w:szCs w:val="24"/>
              </w:rPr>
            </w:pPr>
            <w:r>
              <w:rPr>
                <w:rFonts w:ascii="宋体" w:hAnsi="宋体" w:eastAsia="宋体" w:cs="宋体"/>
                <w:spacing w:val="-2"/>
                <w:sz w:val="24"/>
                <w:szCs w:val="24"/>
              </w:rPr>
              <w:t>★</w:t>
            </w:r>
            <w:r>
              <w:rPr>
                <w:rFonts w:ascii="宋体" w:hAnsi="宋体" w:eastAsia="宋体" w:cs="宋体"/>
                <w:spacing w:val="-76"/>
                <w:sz w:val="24"/>
                <w:szCs w:val="24"/>
              </w:rPr>
              <w:t xml:space="preserve"> </w:t>
            </w:r>
            <w:r>
              <w:rPr>
                <w:rFonts w:ascii="宋体" w:hAnsi="宋体" w:eastAsia="宋体" w:cs="宋体"/>
                <w:spacing w:val="-2"/>
                <w:sz w:val="24"/>
                <w:szCs w:val="24"/>
              </w:rPr>
              <w:t>事件</w:t>
            </w:r>
            <w:r>
              <w:rPr>
                <w:rFonts w:ascii="宋体" w:hAnsi="宋体" w:eastAsia="宋体" w:cs="宋体"/>
                <w:spacing w:val="-72"/>
                <w:sz w:val="24"/>
                <w:szCs w:val="24"/>
              </w:rPr>
              <w:t xml:space="preserve"> </w:t>
            </w:r>
            <w:r>
              <w:rPr>
                <w:rFonts w:ascii="宋体" w:hAnsi="宋体" w:eastAsia="宋体" w:cs="宋体"/>
                <w:spacing w:val="-2"/>
                <w:sz w:val="24"/>
                <w:szCs w:val="24"/>
              </w:rPr>
              <w:t>管</w:t>
            </w:r>
            <w:r>
              <w:rPr>
                <w:rFonts w:ascii="宋体" w:hAnsi="宋体" w:eastAsia="宋体" w:cs="宋体"/>
                <w:sz w:val="24"/>
                <w:szCs w:val="24"/>
              </w:rPr>
              <w:t xml:space="preserve"> 理</w:t>
            </w:r>
          </w:p>
        </w:tc>
        <w:tc>
          <w:tcPr>
            <w:tcW w:w="7743" w:type="dxa"/>
            <w:vAlign w:val="top"/>
          </w:tcPr>
          <w:p w14:paraId="206DEAC9">
            <w:pPr>
              <w:spacing w:before="50" w:line="252" w:lineRule="auto"/>
              <w:ind w:left="109" w:right="102" w:firstLine="15"/>
              <w:jc w:val="both"/>
              <w:rPr>
                <w:rFonts w:ascii="宋体" w:hAnsi="宋体" w:eastAsia="宋体" w:cs="宋体"/>
                <w:sz w:val="21"/>
                <w:szCs w:val="21"/>
              </w:rPr>
            </w:pPr>
            <w:r>
              <w:rPr>
                <w:rFonts w:ascii="宋体" w:hAnsi="宋体" w:eastAsia="宋体" w:cs="宋体"/>
                <w:spacing w:val="-2"/>
                <w:sz w:val="21"/>
                <w:szCs w:val="21"/>
              </w:rPr>
              <w:t>1.院科两级管理。系统支持院科两级管理，科室负责人可从“本科事件”、“相关</w:t>
            </w:r>
            <w:r>
              <w:rPr>
                <w:rFonts w:ascii="宋体" w:hAnsi="宋体" w:eastAsia="宋体" w:cs="宋体"/>
                <w:spacing w:val="9"/>
                <w:sz w:val="21"/>
                <w:szCs w:val="21"/>
              </w:rPr>
              <w:t xml:space="preserve"> </w:t>
            </w:r>
            <w:r>
              <w:rPr>
                <w:rFonts w:ascii="宋体" w:hAnsi="宋体" w:eastAsia="宋体" w:cs="宋体"/>
                <w:spacing w:val="-1"/>
                <w:sz w:val="21"/>
                <w:szCs w:val="21"/>
              </w:rPr>
              <w:t>事件”、“非本科”三个维度进行管理，从“本科事件”进入，可对所有</w:t>
            </w:r>
            <w:r>
              <w:rPr>
                <w:rFonts w:ascii="宋体" w:hAnsi="宋体" w:eastAsia="宋体" w:cs="宋体"/>
                <w:spacing w:val="-2"/>
                <w:sz w:val="21"/>
                <w:szCs w:val="21"/>
              </w:rPr>
              <w:t>本科上报</w:t>
            </w:r>
            <w:r>
              <w:rPr>
                <w:rFonts w:ascii="宋体" w:hAnsi="宋体" w:eastAsia="宋体" w:cs="宋体"/>
                <w:sz w:val="21"/>
                <w:szCs w:val="21"/>
              </w:rPr>
              <w:t xml:space="preserve"> </w:t>
            </w:r>
            <w:r>
              <w:rPr>
                <w:rFonts w:ascii="宋体" w:hAnsi="宋体" w:eastAsia="宋体" w:cs="宋体"/>
                <w:spacing w:val="-1"/>
                <w:sz w:val="21"/>
                <w:szCs w:val="21"/>
              </w:rPr>
              <w:t>事件进行管理和统计分析，本科事件提醒本日上报数量，快速查看本月上</w:t>
            </w:r>
            <w:r>
              <w:rPr>
                <w:rFonts w:ascii="宋体" w:hAnsi="宋体" w:eastAsia="宋体" w:cs="宋体"/>
                <w:spacing w:val="-2"/>
                <w:sz w:val="21"/>
                <w:szCs w:val="21"/>
              </w:rPr>
              <w:t>报、本年</w:t>
            </w:r>
            <w:r>
              <w:rPr>
                <w:rFonts w:ascii="宋体" w:hAnsi="宋体" w:eastAsia="宋体" w:cs="宋体"/>
                <w:sz w:val="21"/>
                <w:szCs w:val="21"/>
              </w:rPr>
              <w:t xml:space="preserve"> </w:t>
            </w:r>
            <w:r>
              <w:rPr>
                <w:rFonts w:ascii="宋体" w:hAnsi="宋体" w:eastAsia="宋体" w:cs="宋体"/>
                <w:spacing w:val="-1"/>
                <w:sz w:val="21"/>
                <w:szCs w:val="21"/>
              </w:rPr>
              <w:t>上报，“相关事件”对所有我相关的事件进行管理和统计分析，“非本科</w:t>
            </w:r>
            <w:r>
              <w:rPr>
                <w:rFonts w:ascii="宋体" w:hAnsi="宋体" w:eastAsia="宋体" w:cs="宋体"/>
                <w:spacing w:val="-2"/>
                <w:sz w:val="21"/>
                <w:szCs w:val="21"/>
              </w:rPr>
              <w:t>”对非本</w:t>
            </w:r>
            <w:r>
              <w:rPr>
                <w:rFonts w:ascii="宋体" w:hAnsi="宋体" w:eastAsia="宋体" w:cs="宋体"/>
                <w:sz w:val="21"/>
                <w:szCs w:val="21"/>
              </w:rPr>
              <w:t xml:space="preserve"> </w:t>
            </w:r>
            <w:r>
              <w:rPr>
                <w:rFonts w:ascii="宋体" w:hAnsi="宋体" w:eastAsia="宋体" w:cs="宋体"/>
                <w:spacing w:val="-1"/>
                <w:sz w:val="21"/>
                <w:szCs w:val="21"/>
              </w:rPr>
              <w:t>科室上报且与本科相关的事件进行管理和统计分析，三个维度可在工作台</w:t>
            </w:r>
            <w:r>
              <w:rPr>
                <w:rFonts w:ascii="宋体" w:hAnsi="宋体" w:eastAsia="宋体" w:cs="宋体"/>
                <w:spacing w:val="-2"/>
                <w:sz w:val="21"/>
                <w:szCs w:val="21"/>
              </w:rPr>
              <w:t>和统计分</w:t>
            </w:r>
          </w:p>
        </w:tc>
      </w:tr>
    </w:tbl>
    <w:p w14:paraId="1372E715">
      <w:pPr>
        <w:pStyle w:val="2"/>
        <w:spacing w:line="383" w:lineRule="auto"/>
      </w:pPr>
    </w:p>
    <w:p w14:paraId="02BE4546">
      <w:pPr>
        <w:spacing w:before="61" w:line="209" w:lineRule="auto"/>
        <w:ind w:left="148"/>
        <w:rPr>
          <w:rFonts w:ascii="宋体" w:hAnsi="宋体" w:eastAsia="宋体" w:cs="宋体"/>
          <w:sz w:val="19"/>
          <w:szCs w:val="19"/>
        </w:rPr>
      </w:pPr>
      <w:r>
        <w:pict>
          <v:shape id="_x0000_s1058" o:spid="_x0000_s1058" style="position:absolute;left:0pt;margin-left:1.95pt;margin-top:11.8pt;height:0.75pt;width:494pt;z-index:251703296;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38                                </w:t>
      </w:r>
      <w:r>
        <w:rPr>
          <w:rFonts w:ascii="宋体" w:hAnsi="宋体" w:eastAsia="宋体" w:cs="宋体"/>
          <w:b/>
          <w:bCs/>
          <w:i/>
          <w:iCs/>
          <w:spacing w:val="-3"/>
          <w:sz w:val="19"/>
          <w:szCs w:val="19"/>
        </w:rPr>
        <w:t>伊犁州公共资源交易中心</w:t>
      </w:r>
    </w:p>
    <w:p w14:paraId="214366E8">
      <w:pPr>
        <w:spacing w:line="209" w:lineRule="auto"/>
        <w:rPr>
          <w:rFonts w:ascii="宋体" w:hAnsi="宋体" w:eastAsia="宋体" w:cs="宋体"/>
          <w:sz w:val="19"/>
          <w:szCs w:val="19"/>
        </w:rPr>
        <w:sectPr>
          <w:pgSz w:w="11905" w:h="16839"/>
          <w:pgMar w:top="1136" w:right="830" w:bottom="400" w:left="1126" w:header="854" w:footer="0" w:gutter="0"/>
          <w:cols w:space="720" w:num="1"/>
        </w:sectPr>
      </w:pPr>
    </w:p>
    <w:p w14:paraId="19E6F75F">
      <w:pPr>
        <w:spacing w:before="38"/>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3"/>
        <w:gridCol w:w="7743"/>
      </w:tblGrid>
      <w:tr w14:paraId="5C4E2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3" w:type="dxa"/>
            <w:vAlign w:val="top"/>
          </w:tcPr>
          <w:p w14:paraId="33554492">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3BDC1C21">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5BB8DE7F">
            <w:pPr>
              <w:spacing w:before="179"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2BA90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2" w:hRule="atLeast"/>
        </w:trPr>
        <w:tc>
          <w:tcPr>
            <w:tcW w:w="783" w:type="dxa"/>
            <w:vAlign w:val="top"/>
          </w:tcPr>
          <w:p w14:paraId="484D67C3">
            <w:pPr>
              <w:rPr>
                <w:rFonts w:ascii="Arial"/>
                <w:sz w:val="21"/>
              </w:rPr>
            </w:pPr>
          </w:p>
        </w:tc>
        <w:tc>
          <w:tcPr>
            <w:tcW w:w="1273" w:type="dxa"/>
            <w:vAlign w:val="top"/>
          </w:tcPr>
          <w:p w14:paraId="206B29F1">
            <w:pPr>
              <w:rPr>
                <w:rFonts w:ascii="Arial"/>
                <w:sz w:val="21"/>
              </w:rPr>
            </w:pPr>
          </w:p>
        </w:tc>
        <w:tc>
          <w:tcPr>
            <w:tcW w:w="7743" w:type="dxa"/>
            <w:vAlign w:val="top"/>
          </w:tcPr>
          <w:p w14:paraId="2666471D">
            <w:pPr>
              <w:spacing w:before="41" w:line="220" w:lineRule="auto"/>
              <w:ind w:left="110"/>
              <w:rPr>
                <w:rFonts w:ascii="宋体" w:hAnsi="宋体" w:eastAsia="宋体" w:cs="宋体"/>
                <w:sz w:val="21"/>
                <w:szCs w:val="21"/>
              </w:rPr>
            </w:pPr>
            <w:r>
              <w:rPr>
                <w:rFonts w:ascii="宋体" w:hAnsi="宋体" w:eastAsia="宋体" w:cs="宋体"/>
                <w:spacing w:val="-5"/>
                <w:sz w:val="21"/>
                <w:szCs w:val="21"/>
              </w:rPr>
              <w:t>析模块自由切换。</w:t>
            </w:r>
          </w:p>
          <w:p w14:paraId="379B387A">
            <w:pPr>
              <w:spacing w:before="49" w:line="258" w:lineRule="auto"/>
              <w:ind w:left="110" w:right="102" w:firstLine="1"/>
              <w:rPr>
                <w:rFonts w:ascii="宋体" w:hAnsi="宋体" w:eastAsia="宋体" w:cs="宋体"/>
                <w:sz w:val="21"/>
                <w:szCs w:val="21"/>
              </w:rPr>
            </w:pPr>
            <w:r>
              <w:rPr>
                <w:rFonts w:ascii="宋体" w:hAnsi="宋体" w:eastAsia="宋体" w:cs="宋体"/>
                <w:spacing w:val="-1"/>
                <w:sz w:val="21"/>
                <w:szCs w:val="21"/>
              </w:rPr>
              <w:t>2.管理工作台。根据不同角色展示不同的工作台，上报人员：提醒我的</w:t>
            </w:r>
            <w:r>
              <w:rPr>
                <w:rFonts w:ascii="宋体" w:hAnsi="宋体" w:eastAsia="宋体" w:cs="宋体"/>
                <w:spacing w:val="-2"/>
                <w:sz w:val="21"/>
                <w:szCs w:val="21"/>
              </w:rPr>
              <w:t>事件中待处</w:t>
            </w:r>
            <w:r>
              <w:rPr>
                <w:rFonts w:ascii="宋体" w:hAnsi="宋体" w:eastAsia="宋体" w:cs="宋体"/>
                <w:sz w:val="21"/>
                <w:szCs w:val="21"/>
              </w:rPr>
              <w:t xml:space="preserve"> </w:t>
            </w:r>
            <w:r>
              <w:rPr>
                <w:rFonts w:ascii="宋体" w:hAnsi="宋体" w:eastAsia="宋体" w:cs="宋体"/>
                <w:spacing w:val="-6"/>
                <w:sz w:val="21"/>
                <w:szCs w:val="21"/>
              </w:rPr>
              <w:t>理的事件、事件整改中待整改的事件，</w:t>
            </w:r>
            <w:r>
              <w:rPr>
                <w:rFonts w:ascii="宋体" w:hAnsi="宋体" w:eastAsia="宋体" w:cs="宋体"/>
                <w:spacing w:val="41"/>
                <w:sz w:val="21"/>
                <w:szCs w:val="21"/>
              </w:rPr>
              <w:t xml:space="preserve"> </w:t>
            </w:r>
            <w:r>
              <w:rPr>
                <w:rFonts w:ascii="宋体" w:hAnsi="宋体" w:eastAsia="宋体" w:cs="宋体"/>
                <w:spacing w:val="-6"/>
                <w:sz w:val="21"/>
                <w:szCs w:val="21"/>
              </w:rPr>
              <w:t>我连续</w:t>
            </w:r>
            <w:r>
              <w:rPr>
                <w:rFonts w:ascii="宋体" w:hAnsi="宋体" w:eastAsia="宋体" w:cs="宋体"/>
                <w:spacing w:val="-28"/>
                <w:sz w:val="21"/>
                <w:szCs w:val="21"/>
              </w:rPr>
              <w:t xml:space="preserve"> </w:t>
            </w:r>
            <w:r>
              <w:rPr>
                <w:rFonts w:ascii="宋体" w:hAnsi="宋体" w:eastAsia="宋体" w:cs="宋体"/>
                <w:spacing w:val="-6"/>
                <w:sz w:val="21"/>
                <w:szCs w:val="21"/>
              </w:rPr>
              <w:t>12</w:t>
            </w:r>
            <w:r>
              <w:rPr>
                <w:rFonts w:ascii="宋体" w:hAnsi="宋体" w:eastAsia="宋体" w:cs="宋体"/>
                <w:spacing w:val="-40"/>
                <w:sz w:val="21"/>
                <w:szCs w:val="21"/>
              </w:rPr>
              <w:t xml:space="preserve"> </w:t>
            </w:r>
            <w:r>
              <w:rPr>
                <w:rFonts w:ascii="宋体" w:hAnsi="宋体" w:eastAsia="宋体" w:cs="宋体"/>
                <w:spacing w:val="-6"/>
                <w:sz w:val="21"/>
                <w:szCs w:val="21"/>
              </w:rPr>
              <w:t>月上报事件数量,点击月份查</w:t>
            </w:r>
            <w:r>
              <w:rPr>
                <w:rFonts w:ascii="宋体" w:hAnsi="宋体" w:eastAsia="宋体" w:cs="宋体"/>
                <w:spacing w:val="-7"/>
                <w:sz w:val="21"/>
                <w:szCs w:val="21"/>
              </w:rPr>
              <w:t>看每</w:t>
            </w:r>
            <w:r>
              <w:rPr>
                <w:rFonts w:ascii="宋体" w:hAnsi="宋体" w:eastAsia="宋体" w:cs="宋体"/>
                <w:sz w:val="21"/>
                <w:szCs w:val="21"/>
              </w:rPr>
              <w:t xml:space="preserve"> </w:t>
            </w:r>
            <w:r>
              <w:rPr>
                <w:rFonts w:ascii="宋体" w:hAnsi="宋体" w:eastAsia="宋体" w:cs="宋体"/>
                <w:spacing w:val="-1"/>
                <w:sz w:val="21"/>
                <w:szCs w:val="21"/>
              </w:rPr>
              <w:t>月上报类型及等级。科室负责人：提醒事件处理中待处理的事件、事件</w:t>
            </w:r>
            <w:r>
              <w:rPr>
                <w:rFonts w:ascii="宋体" w:hAnsi="宋体" w:eastAsia="宋体" w:cs="宋体"/>
                <w:spacing w:val="-2"/>
                <w:sz w:val="21"/>
                <w:szCs w:val="21"/>
              </w:rPr>
              <w:t>整改中待审</w:t>
            </w:r>
            <w:r>
              <w:rPr>
                <w:rFonts w:ascii="宋体" w:hAnsi="宋体" w:eastAsia="宋体" w:cs="宋体"/>
                <w:sz w:val="21"/>
                <w:szCs w:val="21"/>
              </w:rPr>
              <w:t xml:space="preserve"> </w:t>
            </w:r>
            <w:r>
              <w:rPr>
                <w:rFonts w:ascii="宋体" w:hAnsi="宋体" w:eastAsia="宋体" w:cs="宋体"/>
                <w:spacing w:val="-2"/>
                <w:sz w:val="21"/>
                <w:szCs w:val="21"/>
              </w:rPr>
              <w:t>核的事件，我科连续</w:t>
            </w:r>
            <w:r>
              <w:rPr>
                <w:rFonts w:ascii="宋体" w:hAnsi="宋体" w:eastAsia="宋体" w:cs="宋体"/>
                <w:spacing w:val="-28"/>
                <w:sz w:val="21"/>
                <w:szCs w:val="21"/>
              </w:rPr>
              <w:t xml:space="preserve"> </w:t>
            </w:r>
            <w:r>
              <w:rPr>
                <w:rFonts w:ascii="宋体" w:hAnsi="宋体" w:eastAsia="宋体" w:cs="宋体"/>
                <w:spacing w:val="-2"/>
                <w:sz w:val="21"/>
                <w:szCs w:val="21"/>
              </w:rPr>
              <w:t>12</w:t>
            </w:r>
            <w:r>
              <w:rPr>
                <w:rFonts w:ascii="宋体" w:hAnsi="宋体" w:eastAsia="宋体" w:cs="宋体"/>
                <w:spacing w:val="-40"/>
                <w:sz w:val="21"/>
                <w:szCs w:val="21"/>
              </w:rPr>
              <w:t xml:space="preserve"> </w:t>
            </w:r>
            <w:r>
              <w:rPr>
                <w:rFonts w:ascii="宋体" w:hAnsi="宋体" w:eastAsia="宋体" w:cs="宋体"/>
                <w:spacing w:val="-2"/>
                <w:sz w:val="21"/>
                <w:szCs w:val="21"/>
              </w:rPr>
              <w:t>月上报的事件数量,点击月份查看本科室每月上报</w:t>
            </w:r>
            <w:r>
              <w:rPr>
                <w:rFonts w:ascii="宋体" w:hAnsi="宋体" w:eastAsia="宋体" w:cs="宋体"/>
                <w:spacing w:val="-3"/>
                <w:sz w:val="21"/>
                <w:szCs w:val="21"/>
              </w:rPr>
              <w:t>类型、等</w:t>
            </w:r>
            <w:r>
              <w:rPr>
                <w:rFonts w:ascii="宋体" w:hAnsi="宋体" w:eastAsia="宋体" w:cs="宋体"/>
                <w:sz w:val="21"/>
                <w:szCs w:val="21"/>
              </w:rPr>
              <w:t xml:space="preserve"> </w:t>
            </w:r>
            <w:r>
              <w:rPr>
                <w:rFonts w:ascii="宋体" w:hAnsi="宋体" w:eastAsia="宋体" w:cs="宋体"/>
                <w:spacing w:val="-1"/>
                <w:sz w:val="21"/>
                <w:szCs w:val="21"/>
              </w:rPr>
              <w:t>级。管理部门：提醒事件管理中待管理的事件数量、事件整改中待审核</w:t>
            </w:r>
            <w:r>
              <w:rPr>
                <w:rFonts w:ascii="宋体" w:hAnsi="宋体" w:eastAsia="宋体" w:cs="宋体"/>
                <w:spacing w:val="-2"/>
                <w:sz w:val="21"/>
                <w:szCs w:val="21"/>
              </w:rPr>
              <w:t>的事件，全</w:t>
            </w:r>
            <w:r>
              <w:rPr>
                <w:rFonts w:ascii="宋体" w:hAnsi="宋体" w:eastAsia="宋体" w:cs="宋体"/>
                <w:sz w:val="21"/>
                <w:szCs w:val="21"/>
              </w:rPr>
              <w:t xml:space="preserve"> </w:t>
            </w:r>
            <w:r>
              <w:rPr>
                <w:rFonts w:ascii="宋体" w:hAnsi="宋体" w:eastAsia="宋体" w:cs="宋体"/>
                <w:spacing w:val="-2"/>
                <w:sz w:val="21"/>
                <w:szCs w:val="21"/>
              </w:rPr>
              <w:t>院连续</w:t>
            </w:r>
            <w:r>
              <w:rPr>
                <w:rFonts w:ascii="宋体" w:hAnsi="宋体" w:eastAsia="宋体" w:cs="宋体"/>
                <w:spacing w:val="-28"/>
                <w:sz w:val="21"/>
                <w:szCs w:val="21"/>
              </w:rPr>
              <w:t xml:space="preserve"> </w:t>
            </w:r>
            <w:r>
              <w:rPr>
                <w:rFonts w:ascii="宋体" w:hAnsi="宋体" w:eastAsia="宋体" w:cs="宋体"/>
                <w:spacing w:val="-2"/>
                <w:sz w:val="21"/>
                <w:szCs w:val="21"/>
              </w:rPr>
              <w:t>12</w:t>
            </w:r>
            <w:r>
              <w:rPr>
                <w:rFonts w:ascii="宋体" w:hAnsi="宋体" w:eastAsia="宋体" w:cs="宋体"/>
                <w:spacing w:val="-40"/>
                <w:sz w:val="21"/>
                <w:szCs w:val="21"/>
              </w:rPr>
              <w:t xml:space="preserve"> </w:t>
            </w:r>
            <w:r>
              <w:rPr>
                <w:rFonts w:ascii="宋体" w:hAnsi="宋体" w:eastAsia="宋体" w:cs="宋体"/>
                <w:spacing w:val="-2"/>
                <w:sz w:val="21"/>
                <w:szCs w:val="21"/>
              </w:rPr>
              <w:t>月上报的事件数量,点击月份查看上报科室、上报人员、事件结</w:t>
            </w:r>
            <w:r>
              <w:rPr>
                <w:rFonts w:ascii="宋体" w:hAnsi="宋体" w:eastAsia="宋体" w:cs="宋体"/>
                <w:spacing w:val="-3"/>
                <w:sz w:val="21"/>
                <w:szCs w:val="21"/>
              </w:rPr>
              <w:t>案、事件</w:t>
            </w:r>
            <w:r>
              <w:rPr>
                <w:rFonts w:ascii="宋体" w:hAnsi="宋体" w:eastAsia="宋体" w:cs="宋体"/>
                <w:sz w:val="21"/>
                <w:szCs w:val="21"/>
              </w:rPr>
              <w:t xml:space="preserve"> </w:t>
            </w:r>
            <w:r>
              <w:rPr>
                <w:rFonts w:ascii="宋体" w:hAnsi="宋体" w:eastAsia="宋体" w:cs="宋体"/>
                <w:spacing w:val="-3"/>
                <w:sz w:val="21"/>
                <w:szCs w:val="21"/>
              </w:rPr>
              <w:t>整改、事件类型</w:t>
            </w:r>
            <w:r>
              <w:rPr>
                <w:rFonts w:ascii="宋体" w:hAnsi="宋体" w:eastAsia="宋体" w:cs="宋体"/>
                <w:spacing w:val="-41"/>
                <w:sz w:val="21"/>
                <w:szCs w:val="21"/>
              </w:rPr>
              <w:t xml:space="preserve"> </w:t>
            </w:r>
            <w:r>
              <w:rPr>
                <w:rFonts w:ascii="宋体" w:hAnsi="宋体" w:eastAsia="宋体" w:cs="宋体"/>
                <w:spacing w:val="-3"/>
                <w:sz w:val="21"/>
                <w:szCs w:val="21"/>
              </w:rPr>
              <w:t>TOP10</w:t>
            </w:r>
            <w:r>
              <w:rPr>
                <w:rFonts w:ascii="宋体" w:hAnsi="宋体" w:eastAsia="宋体" w:cs="宋体"/>
                <w:spacing w:val="-45"/>
                <w:sz w:val="21"/>
                <w:szCs w:val="21"/>
              </w:rPr>
              <w:t xml:space="preserve"> </w:t>
            </w:r>
            <w:r>
              <w:rPr>
                <w:rFonts w:ascii="宋体" w:hAnsi="宋体" w:eastAsia="宋体" w:cs="宋体"/>
                <w:spacing w:val="-3"/>
                <w:sz w:val="21"/>
                <w:szCs w:val="21"/>
              </w:rPr>
              <w:t>及事件等级。</w:t>
            </w:r>
          </w:p>
          <w:p w14:paraId="7BF2CECA">
            <w:pPr>
              <w:spacing w:before="50" w:line="295" w:lineRule="auto"/>
              <w:ind w:left="109" w:right="102" w:firstLine="4"/>
              <w:rPr>
                <w:rFonts w:ascii="宋体" w:hAnsi="宋体" w:eastAsia="宋体" w:cs="宋体"/>
                <w:sz w:val="21"/>
                <w:szCs w:val="21"/>
              </w:rPr>
            </w:pPr>
            <w:r>
              <w:rPr>
                <w:rFonts w:ascii="宋体" w:hAnsi="宋体" w:eastAsia="宋体" w:cs="宋体"/>
                <w:spacing w:val="-5"/>
                <w:sz w:val="21"/>
                <w:szCs w:val="21"/>
              </w:rPr>
              <w:t>3.事件追踪报告。事件管理系统包含事件追踪报告，</w:t>
            </w:r>
            <w:r>
              <w:rPr>
                <w:rFonts w:ascii="宋体" w:hAnsi="宋体" w:eastAsia="宋体" w:cs="宋体"/>
                <w:spacing w:val="40"/>
                <w:sz w:val="21"/>
                <w:szCs w:val="21"/>
              </w:rPr>
              <w:t xml:space="preserve"> </w:t>
            </w:r>
            <w:r>
              <w:rPr>
                <w:rFonts w:ascii="宋体" w:hAnsi="宋体" w:eastAsia="宋体" w:cs="宋体"/>
                <w:spacing w:val="-5"/>
                <w:sz w:val="21"/>
                <w:szCs w:val="21"/>
              </w:rPr>
              <w:t>追踪报告内容可以根</w:t>
            </w:r>
            <w:r>
              <w:rPr>
                <w:rFonts w:ascii="宋体" w:hAnsi="宋体" w:eastAsia="宋体" w:cs="宋体"/>
                <w:spacing w:val="-6"/>
                <w:sz w:val="21"/>
                <w:szCs w:val="21"/>
              </w:rPr>
              <w:t>据事件类</w:t>
            </w:r>
            <w:r>
              <w:rPr>
                <w:rFonts w:ascii="宋体" w:hAnsi="宋体" w:eastAsia="宋体" w:cs="宋体"/>
                <w:sz w:val="21"/>
                <w:szCs w:val="21"/>
              </w:rPr>
              <w:t xml:space="preserve"> 型配置，默认追踪报告内容包含管理部门评价、事件过失分类定性、IDT</w:t>
            </w:r>
            <w:r>
              <w:rPr>
                <w:rFonts w:ascii="宋体" w:hAnsi="宋体" w:eastAsia="宋体" w:cs="宋体"/>
                <w:spacing w:val="-40"/>
                <w:sz w:val="21"/>
                <w:szCs w:val="21"/>
              </w:rPr>
              <w:t xml:space="preserve"> </w:t>
            </w:r>
            <w:r>
              <w:rPr>
                <w:rFonts w:ascii="宋体" w:hAnsi="宋体" w:eastAsia="宋体" w:cs="宋体"/>
                <w:sz w:val="21"/>
                <w:szCs w:val="21"/>
              </w:rPr>
              <w:t xml:space="preserve">异常决策 </w:t>
            </w:r>
            <w:r>
              <w:rPr>
                <w:rFonts w:ascii="宋体" w:hAnsi="宋体" w:eastAsia="宋体" w:cs="宋体"/>
                <w:spacing w:val="-10"/>
                <w:sz w:val="21"/>
                <w:szCs w:val="21"/>
              </w:rPr>
              <w:t>树判定、追踪情况等，</w:t>
            </w:r>
            <w:r>
              <w:rPr>
                <w:rFonts w:ascii="宋体" w:hAnsi="宋体" w:eastAsia="宋体" w:cs="宋体"/>
                <w:spacing w:val="57"/>
                <w:sz w:val="21"/>
                <w:szCs w:val="21"/>
              </w:rPr>
              <w:t xml:space="preserve"> </w:t>
            </w:r>
            <w:r>
              <w:rPr>
                <w:rFonts w:ascii="宋体" w:hAnsi="宋体" w:eastAsia="宋体" w:cs="宋体"/>
                <w:spacing w:val="-10"/>
                <w:sz w:val="21"/>
                <w:szCs w:val="21"/>
              </w:rPr>
              <w:t>追踪情况包含待追踪日期、整改效果、追踪情况，</w:t>
            </w:r>
            <w:r>
              <w:rPr>
                <w:rFonts w:ascii="宋体" w:hAnsi="宋体" w:eastAsia="宋体" w:cs="宋体"/>
                <w:spacing w:val="53"/>
                <w:sz w:val="21"/>
                <w:szCs w:val="21"/>
              </w:rPr>
              <w:t xml:space="preserve"> </w:t>
            </w:r>
            <w:r>
              <w:rPr>
                <w:rFonts w:ascii="宋体" w:hAnsi="宋体" w:eastAsia="宋体" w:cs="宋体"/>
                <w:spacing w:val="-10"/>
                <w:sz w:val="21"/>
                <w:szCs w:val="21"/>
              </w:rPr>
              <w:t>系统最少</w:t>
            </w:r>
            <w:r>
              <w:rPr>
                <w:rFonts w:ascii="宋体" w:hAnsi="宋体" w:eastAsia="宋体" w:cs="宋体"/>
                <w:sz w:val="21"/>
                <w:szCs w:val="21"/>
              </w:rPr>
              <w:t xml:space="preserve"> </w:t>
            </w:r>
            <w:r>
              <w:rPr>
                <w:rFonts w:ascii="宋体" w:hAnsi="宋体" w:eastAsia="宋体" w:cs="宋体"/>
                <w:spacing w:val="-1"/>
                <w:sz w:val="21"/>
                <w:szCs w:val="21"/>
              </w:rPr>
              <w:t>可分三次追踪，追踪结果和待追踪日期可在事件管理模块呈现并提示管</w:t>
            </w:r>
            <w:r>
              <w:rPr>
                <w:rFonts w:ascii="宋体" w:hAnsi="宋体" w:eastAsia="宋体" w:cs="宋体"/>
                <w:spacing w:val="-2"/>
                <w:sz w:val="21"/>
                <w:szCs w:val="21"/>
              </w:rPr>
              <w:t>理人员。</w:t>
            </w:r>
          </w:p>
          <w:p w14:paraId="314D6CBC">
            <w:pPr>
              <w:spacing w:before="31" w:line="292" w:lineRule="auto"/>
              <w:ind w:left="109" w:right="102" w:hanging="1"/>
              <w:rPr>
                <w:rFonts w:ascii="宋体" w:hAnsi="宋体" w:eastAsia="宋体" w:cs="宋体"/>
                <w:sz w:val="21"/>
                <w:szCs w:val="21"/>
              </w:rPr>
            </w:pPr>
            <w:r>
              <w:rPr>
                <w:rFonts w:ascii="宋体" w:hAnsi="宋体" w:eastAsia="宋体" w:cs="宋体"/>
                <w:spacing w:val="-1"/>
                <w:sz w:val="21"/>
                <w:szCs w:val="21"/>
              </w:rPr>
              <w:t>4.事件过失分类。过失分类应包含医疗行政过失、医疗流程过失、医疗技术过</w:t>
            </w:r>
            <w:r>
              <w:rPr>
                <w:rFonts w:ascii="宋体" w:hAnsi="宋体" w:eastAsia="宋体" w:cs="宋体"/>
                <w:spacing w:val="-2"/>
                <w:sz w:val="21"/>
                <w:szCs w:val="21"/>
              </w:rPr>
              <w:t>失、</w:t>
            </w:r>
            <w:r>
              <w:rPr>
                <w:rFonts w:ascii="宋体" w:hAnsi="宋体" w:eastAsia="宋体" w:cs="宋体"/>
                <w:sz w:val="21"/>
                <w:szCs w:val="21"/>
              </w:rPr>
              <w:t xml:space="preserve"> </w:t>
            </w:r>
            <w:r>
              <w:rPr>
                <w:rFonts w:ascii="宋体" w:hAnsi="宋体" w:eastAsia="宋体" w:cs="宋体"/>
                <w:spacing w:val="-5"/>
                <w:sz w:val="21"/>
                <w:szCs w:val="21"/>
              </w:rPr>
              <w:t>医疗产品过失、医疗环境过失、医疗人文过失、医</w:t>
            </w:r>
            <w:r>
              <w:rPr>
                <w:rFonts w:ascii="宋体" w:hAnsi="宋体" w:eastAsia="宋体" w:cs="宋体"/>
                <w:spacing w:val="-6"/>
                <w:sz w:val="21"/>
                <w:szCs w:val="21"/>
              </w:rPr>
              <w:t>疗文书过失等，</w:t>
            </w:r>
            <w:r>
              <w:rPr>
                <w:rFonts w:ascii="宋体" w:hAnsi="宋体" w:eastAsia="宋体" w:cs="宋体"/>
                <w:spacing w:val="48"/>
                <w:sz w:val="21"/>
                <w:szCs w:val="21"/>
              </w:rPr>
              <w:t xml:space="preserve"> </w:t>
            </w:r>
            <w:r>
              <w:rPr>
                <w:rFonts w:ascii="宋体" w:hAnsi="宋体" w:eastAsia="宋体" w:cs="宋体"/>
                <w:spacing w:val="-6"/>
                <w:sz w:val="21"/>
                <w:szCs w:val="21"/>
              </w:rPr>
              <w:t>提供系统详细的</w:t>
            </w:r>
            <w:r>
              <w:rPr>
                <w:rFonts w:ascii="宋体" w:hAnsi="宋体" w:eastAsia="宋体" w:cs="宋体"/>
                <w:sz w:val="21"/>
                <w:szCs w:val="21"/>
              </w:rPr>
              <w:t xml:space="preserve"> </w:t>
            </w:r>
            <w:r>
              <w:rPr>
                <w:rFonts w:ascii="宋体" w:hAnsi="宋体" w:eastAsia="宋体" w:cs="宋体"/>
                <w:spacing w:val="-4"/>
                <w:sz w:val="21"/>
                <w:szCs w:val="21"/>
              </w:rPr>
              <w:t>过失分类说明和判断方法。</w:t>
            </w:r>
          </w:p>
          <w:p w14:paraId="77387EEF">
            <w:pPr>
              <w:spacing w:before="31" w:line="287" w:lineRule="auto"/>
              <w:ind w:left="113" w:right="102"/>
              <w:rPr>
                <w:rFonts w:ascii="宋体" w:hAnsi="宋体" w:eastAsia="宋体" w:cs="宋体"/>
                <w:sz w:val="21"/>
                <w:szCs w:val="21"/>
              </w:rPr>
            </w:pPr>
            <w:r>
              <w:rPr>
                <w:rFonts w:ascii="宋体" w:hAnsi="宋体" w:eastAsia="宋体" w:cs="宋体"/>
                <w:spacing w:val="-5"/>
                <w:sz w:val="21"/>
                <w:szCs w:val="21"/>
              </w:rPr>
              <w:t>5.批注及历史记录。事件追踪报告支持批注，</w:t>
            </w:r>
            <w:r>
              <w:rPr>
                <w:rFonts w:ascii="宋体" w:hAnsi="宋体" w:eastAsia="宋体" w:cs="宋体"/>
                <w:spacing w:val="47"/>
                <w:sz w:val="21"/>
                <w:szCs w:val="21"/>
              </w:rPr>
              <w:t xml:space="preserve"> </w:t>
            </w:r>
            <w:r>
              <w:rPr>
                <w:rFonts w:ascii="宋体" w:hAnsi="宋体" w:eastAsia="宋体" w:cs="宋体"/>
                <w:spacing w:val="-5"/>
                <w:sz w:val="21"/>
                <w:szCs w:val="21"/>
              </w:rPr>
              <w:t>可在报告任</w:t>
            </w:r>
            <w:r>
              <w:rPr>
                <w:rFonts w:ascii="宋体" w:hAnsi="宋体" w:eastAsia="宋体" w:cs="宋体"/>
                <w:spacing w:val="-6"/>
                <w:sz w:val="21"/>
                <w:szCs w:val="21"/>
              </w:rPr>
              <w:t>意位置进行批注，追踪报</w:t>
            </w:r>
            <w:r>
              <w:rPr>
                <w:rFonts w:ascii="宋体" w:hAnsi="宋体" w:eastAsia="宋体" w:cs="宋体"/>
                <w:sz w:val="21"/>
                <w:szCs w:val="21"/>
              </w:rPr>
              <w:t xml:space="preserve"> </w:t>
            </w:r>
            <w:r>
              <w:rPr>
                <w:rFonts w:ascii="宋体" w:hAnsi="宋体" w:eastAsia="宋体" w:cs="宋体"/>
                <w:spacing w:val="-1"/>
                <w:sz w:val="21"/>
                <w:szCs w:val="21"/>
              </w:rPr>
              <w:t>告支持修改历史记录查阅功能，修改记录查阅支持自动</w:t>
            </w:r>
            <w:r>
              <w:rPr>
                <w:rFonts w:ascii="宋体" w:hAnsi="宋体" w:eastAsia="宋体" w:cs="宋体"/>
                <w:spacing w:val="-2"/>
                <w:sz w:val="21"/>
                <w:szCs w:val="21"/>
              </w:rPr>
              <w:t>对比，标识修改部分。</w:t>
            </w:r>
          </w:p>
          <w:p w14:paraId="79ABB263">
            <w:pPr>
              <w:spacing w:before="31" w:line="296" w:lineRule="auto"/>
              <w:ind w:left="108" w:firstLine="2"/>
              <w:rPr>
                <w:rFonts w:ascii="宋体" w:hAnsi="宋体" w:eastAsia="宋体" w:cs="宋体"/>
                <w:sz w:val="21"/>
                <w:szCs w:val="21"/>
              </w:rPr>
            </w:pPr>
            <w:r>
              <w:rPr>
                <w:rFonts w:ascii="宋体" w:hAnsi="宋体" w:eastAsia="宋体" w:cs="宋体"/>
                <w:spacing w:val="3"/>
                <w:sz w:val="21"/>
                <w:szCs w:val="21"/>
              </w:rPr>
              <w:t>6.事件管理时效。事件管理支持管理时效，</w:t>
            </w:r>
            <w:r>
              <w:rPr>
                <w:rFonts w:ascii="宋体" w:hAnsi="宋体" w:eastAsia="宋体" w:cs="宋体"/>
                <w:spacing w:val="2"/>
                <w:sz w:val="21"/>
                <w:szCs w:val="21"/>
              </w:rPr>
              <w:t>针对不同类型事件单独配置管理时效</w:t>
            </w:r>
            <w:r>
              <w:rPr>
                <w:rFonts w:ascii="宋体" w:hAnsi="宋体" w:eastAsia="宋体" w:cs="宋体"/>
                <w:sz w:val="21"/>
                <w:szCs w:val="21"/>
              </w:rPr>
              <w:t xml:space="preserve">  </w:t>
            </w:r>
            <w:r>
              <w:rPr>
                <w:rFonts w:ascii="宋体" w:hAnsi="宋体" w:eastAsia="宋体" w:cs="宋体"/>
                <w:spacing w:val="-3"/>
                <w:sz w:val="21"/>
                <w:szCs w:val="21"/>
              </w:rPr>
              <w:t>（工作时间</w:t>
            </w:r>
            <w:r>
              <w:rPr>
                <w:rFonts w:ascii="宋体" w:hAnsi="宋体" w:eastAsia="宋体" w:cs="宋体"/>
                <w:spacing w:val="-4"/>
                <w:sz w:val="21"/>
                <w:szCs w:val="21"/>
              </w:rPr>
              <w:t>），</w:t>
            </w:r>
            <w:r>
              <w:rPr>
                <w:rFonts w:ascii="宋体" w:hAnsi="宋体" w:eastAsia="宋体" w:cs="宋体"/>
                <w:spacing w:val="-3"/>
                <w:sz w:val="21"/>
                <w:szCs w:val="21"/>
              </w:rPr>
              <w:t>可根据医院作息时间、法定节假日</w:t>
            </w:r>
            <w:r>
              <w:rPr>
                <w:rFonts w:ascii="宋体" w:hAnsi="宋体" w:eastAsia="宋体" w:cs="宋体"/>
                <w:spacing w:val="-4"/>
                <w:sz w:val="21"/>
                <w:szCs w:val="21"/>
              </w:rPr>
              <w:t>等自定义工作时间，单个事件可</w:t>
            </w:r>
            <w:r>
              <w:rPr>
                <w:rFonts w:ascii="宋体" w:hAnsi="宋体" w:eastAsia="宋体" w:cs="宋体"/>
                <w:sz w:val="21"/>
                <w:szCs w:val="21"/>
              </w:rPr>
              <w:t xml:space="preserve">  独立配置处理时效,提供事件管理时效报表，包含实际结案</w:t>
            </w:r>
            <w:r>
              <w:rPr>
                <w:rFonts w:ascii="宋体" w:hAnsi="宋体" w:eastAsia="宋体" w:cs="宋体"/>
                <w:spacing w:val="-1"/>
                <w:sz w:val="21"/>
                <w:szCs w:val="21"/>
              </w:rPr>
              <w:t>、按时处理、按时处理</w:t>
            </w:r>
            <w:r>
              <w:rPr>
                <w:rFonts w:ascii="宋体" w:hAnsi="宋体" w:eastAsia="宋体" w:cs="宋体"/>
                <w:sz w:val="21"/>
                <w:szCs w:val="21"/>
              </w:rPr>
              <w:t xml:space="preserve">  </w:t>
            </w:r>
            <w:r>
              <w:rPr>
                <w:rFonts w:ascii="宋体" w:hAnsi="宋体" w:eastAsia="宋体" w:cs="宋体"/>
                <w:spacing w:val="-4"/>
                <w:sz w:val="21"/>
                <w:szCs w:val="21"/>
              </w:rPr>
              <w:t>率、超期处理、超期处理率、平均处理时间 、按时结案、按时结案率、超期结案 、</w:t>
            </w:r>
            <w:r>
              <w:rPr>
                <w:rFonts w:ascii="宋体" w:hAnsi="宋体" w:eastAsia="宋体" w:cs="宋体"/>
                <w:spacing w:val="5"/>
                <w:sz w:val="21"/>
                <w:szCs w:val="21"/>
              </w:rPr>
              <w:t xml:space="preserve"> </w:t>
            </w:r>
            <w:r>
              <w:rPr>
                <w:rFonts w:ascii="宋体" w:hAnsi="宋体" w:eastAsia="宋体" w:cs="宋体"/>
                <w:spacing w:val="-3"/>
                <w:sz w:val="21"/>
                <w:szCs w:val="21"/>
              </w:rPr>
              <w:t>超期结案率、平均结案时间等，并可对超期管理事件进</w:t>
            </w:r>
            <w:r>
              <w:rPr>
                <w:rFonts w:ascii="宋体" w:hAnsi="宋体" w:eastAsia="宋体" w:cs="宋体"/>
                <w:spacing w:val="-4"/>
                <w:sz w:val="21"/>
                <w:szCs w:val="21"/>
              </w:rPr>
              <w:t>行追溯和导出。</w:t>
            </w:r>
          </w:p>
          <w:p w14:paraId="4C35976C">
            <w:pPr>
              <w:spacing w:before="30" w:line="292" w:lineRule="auto"/>
              <w:ind w:left="110" w:right="102" w:firstLine="3"/>
              <w:rPr>
                <w:rFonts w:ascii="宋体" w:hAnsi="宋体" w:eastAsia="宋体" w:cs="宋体"/>
                <w:sz w:val="21"/>
                <w:szCs w:val="21"/>
              </w:rPr>
            </w:pPr>
            <w:r>
              <w:rPr>
                <w:rFonts w:ascii="宋体" w:hAnsi="宋体" w:eastAsia="宋体" w:cs="宋体"/>
                <w:spacing w:val="-1"/>
                <w:sz w:val="21"/>
                <w:szCs w:val="21"/>
              </w:rPr>
              <w:t>7.事件摘要。支持事件摘要报告，系统自动汇总事件摘要信息，</w:t>
            </w:r>
            <w:r>
              <w:rPr>
                <w:rFonts w:ascii="宋体" w:hAnsi="宋体" w:eastAsia="宋体" w:cs="宋体"/>
                <w:spacing w:val="-2"/>
                <w:sz w:val="21"/>
                <w:szCs w:val="21"/>
              </w:rPr>
              <w:t>事件上报、处理、</w:t>
            </w:r>
            <w:r>
              <w:rPr>
                <w:rFonts w:ascii="宋体" w:hAnsi="宋体" w:eastAsia="宋体" w:cs="宋体"/>
                <w:sz w:val="21"/>
                <w:szCs w:val="21"/>
              </w:rPr>
              <w:t xml:space="preserve"> </w:t>
            </w:r>
            <w:r>
              <w:rPr>
                <w:rFonts w:ascii="宋体" w:hAnsi="宋体" w:eastAsia="宋体" w:cs="宋体"/>
                <w:spacing w:val="-5"/>
                <w:sz w:val="21"/>
                <w:szCs w:val="21"/>
              </w:rPr>
              <w:t>分析信息一目了然，事件摘要内容自动从事件报告</w:t>
            </w:r>
            <w:r>
              <w:rPr>
                <w:rFonts w:ascii="宋体" w:hAnsi="宋体" w:eastAsia="宋体" w:cs="宋体"/>
                <w:spacing w:val="-6"/>
                <w:sz w:val="21"/>
                <w:szCs w:val="21"/>
              </w:rPr>
              <w:t>、分析报告、追踪报告抓取，</w:t>
            </w:r>
            <w:r>
              <w:rPr>
                <w:rFonts w:ascii="宋体" w:hAnsi="宋体" w:eastAsia="宋体" w:cs="宋体"/>
                <w:spacing w:val="48"/>
                <w:sz w:val="21"/>
                <w:szCs w:val="21"/>
              </w:rPr>
              <w:t xml:space="preserve"> </w:t>
            </w:r>
            <w:r>
              <w:rPr>
                <w:rFonts w:ascii="宋体" w:hAnsi="宋体" w:eastAsia="宋体" w:cs="宋体"/>
                <w:spacing w:val="-6"/>
                <w:sz w:val="21"/>
                <w:szCs w:val="21"/>
              </w:rPr>
              <w:t>且</w:t>
            </w:r>
            <w:r>
              <w:rPr>
                <w:rFonts w:ascii="宋体" w:hAnsi="宋体" w:eastAsia="宋体" w:cs="宋体"/>
                <w:sz w:val="21"/>
                <w:szCs w:val="21"/>
              </w:rPr>
              <w:t xml:space="preserve"> </w:t>
            </w:r>
            <w:r>
              <w:rPr>
                <w:rFonts w:ascii="宋体" w:hAnsi="宋体" w:eastAsia="宋体" w:cs="宋体"/>
                <w:spacing w:val="-3"/>
                <w:sz w:val="21"/>
                <w:szCs w:val="21"/>
              </w:rPr>
              <w:t>可自定义摘要报告抓取内容。</w:t>
            </w:r>
          </w:p>
          <w:p w14:paraId="67FAFBCF">
            <w:pPr>
              <w:spacing w:before="10" w:line="255" w:lineRule="auto"/>
              <w:ind w:left="109" w:right="102"/>
              <w:jc w:val="both"/>
              <w:rPr>
                <w:rFonts w:ascii="宋体" w:hAnsi="宋体" w:eastAsia="宋体" w:cs="宋体"/>
                <w:sz w:val="21"/>
                <w:szCs w:val="21"/>
              </w:rPr>
            </w:pPr>
            <w:r>
              <w:rPr>
                <w:rFonts w:ascii="宋体" w:hAnsi="宋体" w:eastAsia="宋体" w:cs="宋体"/>
                <w:spacing w:val="-5"/>
                <w:sz w:val="21"/>
                <w:szCs w:val="21"/>
              </w:rPr>
              <w:t>8.事件导出报告。提供默认导出报告，</w:t>
            </w:r>
            <w:r>
              <w:rPr>
                <w:rFonts w:ascii="宋体" w:hAnsi="宋体" w:eastAsia="宋体" w:cs="宋体"/>
                <w:spacing w:val="49"/>
                <w:sz w:val="21"/>
                <w:szCs w:val="21"/>
              </w:rPr>
              <w:t xml:space="preserve"> </w:t>
            </w:r>
            <w:r>
              <w:rPr>
                <w:rFonts w:ascii="宋体" w:hAnsi="宋体" w:eastAsia="宋体" w:cs="宋体"/>
                <w:spacing w:val="-5"/>
                <w:sz w:val="21"/>
                <w:szCs w:val="21"/>
              </w:rPr>
              <w:t>可单个或批量导出，</w:t>
            </w:r>
            <w:r>
              <w:rPr>
                <w:rFonts w:ascii="宋体" w:hAnsi="宋体" w:eastAsia="宋体" w:cs="宋体"/>
                <w:spacing w:val="-6"/>
                <w:sz w:val="21"/>
                <w:szCs w:val="21"/>
              </w:rPr>
              <w:t>报告支持自定义，不同</w:t>
            </w:r>
            <w:r>
              <w:rPr>
                <w:rFonts w:ascii="宋体" w:hAnsi="宋体" w:eastAsia="宋体" w:cs="宋体"/>
                <w:sz w:val="21"/>
                <w:szCs w:val="21"/>
              </w:rPr>
              <w:t xml:space="preserve"> </w:t>
            </w:r>
            <w:r>
              <w:rPr>
                <w:rFonts w:ascii="宋体" w:hAnsi="宋体" w:eastAsia="宋体" w:cs="宋体"/>
                <w:spacing w:val="5"/>
                <w:sz w:val="21"/>
                <w:szCs w:val="21"/>
              </w:rPr>
              <w:t>事件类型可根据医院需求自定义格式和内容，模板类型包含线上模板</w:t>
            </w:r>
            <w:r>
              <w:rPr>
                <w:rFonts w:ascii="宋体" w:hAnsi="宋体" w:eastAsia="宋体" w:cs="宋体"/>
                <w:spacing w:val="4"/>
                <w:sz w:val="21"/>
                <w:szCs w:val="21"/>
              </w:rPr>
              <w:t>、下载模板</w:t>
            </w:r>
            <w:r>
              <w:rPr>
                <w:rFonts w:ascii="宋体" w:hAnsi="宋体" w:eastAsia="宋体" w:cs="宋体"/>
                <w:sz w:val="21"/>
                <w:szCs w:val="21"/>
              </w:rPr>
              <w:t xml:space="preserve"> </w:t>
            </w:r>
            <w:r>
              <w:rPr>
                <w:rFonts w:ascii="宋体" w:hAnsi="宋体" w:eastAsia="宋体" w:cs="宋体"/>
                <w:spacing w:val="2"/>
                <w:sz w:val="21"/>
                <w:szCs w:val="21"/>
              </w:rPr>
              <w:t>(</w:t>
            </w:r>
            <w:r>
              <w:rPr>
                <w:rFonts w:ascii="宋体" w:hAnsi="宋体" w:eastAsia="宋体" w:cs="宋体"/>
                <w:sz w:val="21"/>
                <w:szCs w:val="21"/>
              </w:rPr>
              <w:t>Word</w:t>
            </w:r>
            <w:r>
              <w:rPr>
                <w:rFonts w:ascii="宋体" w:hAnsi="宋体" w:eastAsia="宋体" w:cs="宋体"/>
                <w:spacing w:val="2"/>
                <w:sz w:val="21"/>
                <w:szCs w:val="21"/>
              </w:rPr>
              <w:t>、</w:t>
            </w:r>
            <w:r>
              <w:rPr>
                <w:rFonts w:ascii="宋体" w:hAnsi="宋体" w:eastAsia="宋体" w:cs="宋体"/>
                <w:sz w:val="21"/>
                <w:szCs w:val="21"/>
              </w:rPr>
              <w:t>PDF</w:t>
            </w:r>
            <w:r>
              <w:rPr>
                <w:rFonts w:ascii="宋体" w:hAnsi="宋体" w:eastAsia="宋体" w:cs="宋体"/>
                <w:spacing w:val="2"/>
                <w:sz w:val="21"/>
                <w:szCs w:val="21"/>
              </w:rPr>
              <w:t>)、字符模板等，模板配置包含模板标识、模板模式、模板内容、处理</w:t>
            </w:r>
            <w:r>
              <w:rPr>
                <w:rFonts w:ascii="宋体" w:hAnsi="宋体" w:eastAsia="宋体" w:cs="宋体"/>
                <w:sz w:val="21"/>
                <w:szCs w:val="21"/>
              </w:rPr>
              <w:t xml:space="preserve"> </w:t>
            </w:r>
            <w:r>
              <w:rPr>
                <w:rFonts w:ascii="宋体" w:hAnsi="宋体" w:eastAsia="宋体" w:cs="宋体"/>
                <w:spacing w:val="-5"/>
                <w:sz w:val="21"/>
                <w:szCs w:val="21"/>
              </w:rPr>
              <w:t>器、模板脚本等。</w:t>
            </w:r>
          </w:p>
          <w:p w14:paraId="7E1C36F5">
            <w:pPr>
              <w:spacing w:before="56" w:line="294" w:lineRule="auto"/>
              <w:ind w:left="108" w:right="102" w:firstLine="1"/>
              <w:jc w:val="both"/>
              <w:rPr>
                <w:rFonts w:ascii="宋体" w:hAnsi="宋体" w:eastAsia="宋体" w:cs="宋体"/>
                <w:sz w:val="21"/>
                <w:szCs w:val="21"/>
              </w:rPr>
            </w:pPr>
            <w:r>
              <w:rPr>
                <w:rFonts w:ascii="宋体" w:hAnsi="宋体" w:eastAsia="宋体" w:cs="宋体"/>
                <w:spacing w:val="1"/>
                <w:sz w:val="21"/>
                <w:szCs w:val="21"/>
              </w:rPr>
              <w:t>9.事件导出列表。提供默认导出列表，支持自定义导出列表模板（</w:t>
            </w:r>
            <w:r>
              <w:rPr>
                <w:rFonts w:ascii="宋体" w:hAnsi="宋体" w:eastAsia="宋体" w:cs="宋体"/>
                <w:sz w:val="21"/>
                <w:szCs w:val="21"/>
              </w:rPr>
              <w:t>Excel</w:t>
            </w:r>
            <w:r>
              <w:rPr>
                <w:rFonts w:ascii="宋体" w:hAnsi="宋体" w:eastAsia="宋体" w:cs="宋体"/>
                <w:spacing w:val="16"/>
                <w:sz w:val="21"/>
                <w:szCs w:val="21"/>
              </w:rPr>
              <w:t>），</w:t>
            </w:r>
            <w:r>
              <w:rPr>
                <w:rFonts w:ascii="宋体" w:hAnsi="宋体" w:eastAsia="宋体" w:cs="宋体"/>
                <w:spacing w:val="1"/>
                <w:sz w:val="21"/>
                <w:szCs w:val="21"/>
              </w:rPr>
              <w:t>不同</w:t>
            </w:r>
            <w:r>
              <w:rPr>
                <w:rFonts w:ascii="宋体" w:hAnsi="宋体" w:eastAsia="宋体" w:cs="宋体"/>
                <w:sz w:val="21"/>
                <w:szCs w:val="21"/>
              </w:rPr>
              <w:t xml:space="preserve"> </w:t>
            </w:r>
            <w:r>
              <w:rPr>
                <w:rFonts w:ascii="宋体" w:hAnsi="宋体" w:eastAsia="宋体" w:cs="宋体"/>
                <w:spacing w:val="-4"/>
                <w:sz w:val="21"/>
                <w:szCs w:val="21"/>
              </w:rPr>
              <w:t>事件类型配置可根据医院需求自定义格式和内容，列表模式包含</w:t>
            </w:r>
            <w:r>
              <w:rPr>
                <w:rFonts w:ascii="宋体" w:hAnsi="宋体" w:eastAsia="宋体" w:cs="宋体"/>
                <w:spacing w:val="-40"/>
                <w:sz w:val="21"/>
                <w:szCs w:val="21"/>
              </w:rPr>
              <w:t xml:space="preserve"> </w:t>
            </w:r>
            <w:r>
              <w:rPr>
                <w:rFonts w:ascii="宋体" w:hAnsi="宋体" w:eastAsia="宋体" w:cs="宋体"/>
                <w:spacing w:val="-4"/>
                <w:sz w:val="21"/>
                <w:szCs w:val="21"/>
              </w:rPr>
              <w:t>Sheet</w:t>
            </w:r>
            <w:r>
              <w:rPr>
                <w:rFonts w:ascii="宋体" w:hAnsi="宋体" w:eastAsia="宋体" w:cs="宋体"/>
                <w:spacing w:val="-45"/>
                <w:sz w:val="21"/>
                <w:szCs w:val="21"/>
              </w:rPr>
              <w:t xml:space="preserve"> </w:t>
            </w:r>
            <w:r>
              <w:rPr>
                <w:rFonts w:ascii="宋体" w:hAnsi="宋体" w:eastAsia="宋体" w:cs="宋体"/>
                <w:spacing w:val="-4"/>
                <w:sz w:val="21"/>
                <w:szCs w:val="21"/>
              </w:rPr>
              <w:t>模式、Excel</w:t>
            </w:r>
            <w:r>
              <w:rPr>
                <w:rFonts w:ascii="宋体" w:hAnsi="宋体" w:eastAsia="宋体" w:cs="宋体"/>
                <w:sz w:val="21"/>
                <w:szCs w:val="21"/>
              </w:rPr>
              <w:t xml:space="preserve"> </w:t>
            </w:r>
            <w:r>
              <w:rPr>
                <w:rFonts w:ascii="宋体" w:hAnsi="宋体" w:eastAsia="宋体" w:cs="宋体"/>
                <w:spacing w:val="-6"/>
                <w:sz w:val="21"/>
                <w:szCs w:val="21"/>
              </w:rPr>
              <w:t>模式、在线报告、下载报告，</w:t>
            </w:r>
            <w:r>
              <w:rPr>
                <w:rFonts w:ascii="宋体" w:hAnsi="宋体" w:eastAsia="宋体" w:cs="宋体"/>
                <w:spacing w:val="85"/>
                <w:sz w:val="21"/>
                <w:szCs w:val="21"/>
              </w:rPr>
              <w:t xml:space="preserve"> </w:t>
            </w:r>
            <w:r>
              <w:rPr>
                <w:rFonts w:ascii="宋体" w:hAnsi="宋体" w:eastAsia="宋体" w:cs="宋体"/>
                <w:spacing w:val="-6"/>
                <w:sz w:val="21"/>
                <w:szCs w:val="21"/>
              </w:rPr>
              <w:t>自定义配置包含模板标</w:t>
            </w:r>
            <w:r>
              <w:rPr>
                <w:rFonts w:ascii="宋体" w:hAnsi="宋体" w:eastAsia="宋体" w:cs="宋体"/>
                <w:spacing w:val="-7"/>
                <w:sz w:val="21"/>
                <w:szCs w:val="21"/>
              </w:rPr>
              <w:t>识、模板描述、模板排序、导</w:t>
            </w:r>
            <w:r>
              <w:rPr>
                <w:rFonts w:ascii="宋体" w:hAnsi="宋体" w:eastAsia="宋体" w:cs="宋体"/>
                <w:sz w:val="21"/>
                <w:szCs w:val="21"/>
              </w:rPr>
              <w:t xml:space="preserve"> </w:t>
            </w:r>
            <w:r>
              <w:rPr>
                <w:rFonts w:ascii="宋体" w:hAnsi="宋体" w:eastAsia="宋体" w:cs="宋体"/>
                <w:spacing w:val="-2"/>
                <w:sz w:val="21"/>
                <w:szCs w:val="21"/>
              </w:rPr>
              <w:t>出名称、处理器、模板脚本、模板文件等配置。</w:t>
            </w:r>
          </w:p>
          <w:p w14:paraId="4CF36BC1">
            <w:pPr>
              <w:spacing w:before="32" w:line="292" w:lineRule="auto"/>
              <w:ind w:left="108" w:right="102" w:firstLine="16"/>
              <w:jc w:val="both"/>
              <w:rPr>
                <w:rFonts w:ascii="宋体" w:hAnsi="宋体" w:eastAsia="宋体" w:cs="宋体"/>
                <w:sz w:val="21"/>
                <w:szCs w:val="21"/>
              </w:rPr>
            </w:pPr>
            <w:r>
              <w:rPr>
                <w:rFonts w:ascii="宋体" w:hAnsi="宋体" w:eastAsia="宋体" w:cs="宋体"/>
                <w:spacing w:val="1"/>
                <w:sz w:val="21"/>
                <w:szCs w:val="21"/>
              </w:rPr>
              <w:t>10.一键催办。系统支持超期处理提醒、超期管理提醒，管理人员可以选择超期事</w:t>
            </w:r>
            <w:r>
              <w:rPr>
                <w:rFonts w:ascii="宋体" w:hAnsi="宋体" w:eastAsia="宋体" w:cs="宋体"/>
                <w:spacing w:val="13"/>
                <w:sz w:val="21"/>
                <w:szCs w:val="21"/>
              </w:rPr>
              <w:t xml:space="preserve"> </w:t>
            </w:r>
            <w:r>
              <w:rPr>
                <w:rFonts w:ascii="宋体" w:hAnsi="宋体" w:eastAsia="宋体" w:cs="宋体"/>
                <w:spacing w:val="-2"/>
                <w:sz w:val="21"/>
                <w:szCs w:val="21"/>
              </w:rPr>
              <w:t>件，一键提醒处理人员（短信、微信、钉钉提醒</w:t>
            </w:r>
            <w:r>
              <w:rPr>
                <w:rFonts w:ascii="宋体" w:hAnsi="宋体" w:eastAsia="宋体" w:cs="宋体"/>
                <w:spacing w:val="4"/>
                <w:sz w:val="21"/>
                <w:szCs w:val="21"/>
              </w:rPr>
              <w:t>），</w:t>
            </w:r>
            <w:r>
              <w:rPr>
                <w:rFonts w:ascii="宋体" w:hAnsi="宋体" w:eastAsia="宋体" w:cs="宋体"/>
                <w:spacing w:val="-2"/>
                <w:sz w:val="21"/>
                <w:szCs w:val="21"/>
              </w:rPr>
              <w:t>设置限期将提示离限期还有多</w:t>
            </w:r>
            <w:r>
              <w:rPr>
                <w:rFonts w:ascii="宋体" w:hAnsi="宋体" w:eastAsia="宋体" w:cs="宋体"/>
                <w:spacing w:val="1"/>
                <w:sz w:val="21"/>
                <w:szCs w:val="21"/>
              </w:rPr>
              <w:t xml:space="preserve"> </w:t>
            </w:r>
            <w:r>
              <w:rPr>
                <w:rFonts w:ascii="宋体" w:hAnsi="宋体" w:eastAsia="宋体" w:cs="宋体"/>
                <w:spacing w:val="-1"/>
                <w:sz w:val="21"/>
                <w:szCs w:val="21"/>
              </w:rPr>
              <w:t>久或超期多久，未设限期，将提醒等待处理或等待</w:t>
            </w:r>
            <w:r>
              <w:rPr>
                <w:rFonts w:ascii="宋体" w:hAnsi="宋体" w:eastAsia="宋体" w:cs="宋体"/>
                <w:spacing w:val="-2"/>
                <w:sz w:val="21"/>
                <w:szCs w:val="21"/>
              </w:rPr>
              <w:t>管理已发生多久。</w:t>
            </w:r>
          </w:p>
          <w:p w14:paraId="3335C161">
            <w:pPr>
              <w:spacing w:before="32" w:line="292" w:lineRule="auto"/>
              <w:ind w:left="110" w:right="102" w:firstLine="14"/>
              <w:jc w:val="both"/>
              <w:rPr>
                <w:rFonts w:ascii="宋体" w:hAnsi="宋体" w:eastAsia="宋体" w:cs="宋体"/>
                <w:sz w:val="21"/>
                <w:szCs w:val="21"/>
              </w:rPr>
            </w:pPr>
            <w:r>
              <w:rPr>
                <w:rFonts w:ascii="宋体" w:hAnsi="宋体" w:eastAsia="宋体" w:cs="宋体"/>
                <w:sz w:val="21"/>
                <w:szCs w:val="21"/>
              </w:rPr>
              <w:t>11.</w:t>
            </w:r>
            <w:r>
              <w:rPr>
                <w:rFonts w:ascii="宋体" w:hAnsi="宋体" w:eastAsia="宋体" w:cs="宋体"/>
                <w:spacing w:val="-55"/>
                <w:sz w:val="21"/>
                <w:szCs w:val="21"/>
              </w:rPr>
              <w:t xml:space="preserve"> </w:t>
            </w:r>
            <w:r>
              <w:rPr>
                <w:rFonts w:ascii="宋体" w:hAnsi="宋体" w:eastAsia="宋体" w:cs="宋体"/>
                <w:sz w:val="21"/>
                <w:szCs w:val="21"/>
              </w:rPr>
              <w:t xml:space="preserve">自动催办。系统支持系统自动催办，可根据事件类型在线配置处理提醒和管理 </w:t>
            </w:r>
            <w:r>
              <w:rPr>
                <w:rFonts w:ascii="宋体" w:hAnsi="宋体" w:eastAsia="宋体" w:cs="宋体"/>
                <w:spacing w:val="-3"/>
                <w:sz w:val="21"/>
                <w:szCs w:val="21"/>
              </w:rPr>
              <w:t>提醒间隔，例如在处理科室在离超期分别还有</w:t>
            </w:r>
            <w:r>
              <w:rPr>
                <w:rFonts w:ascii="宋体" w:hAnsi="宋体" w:eastAsia="宋体" w:cs="宋体"/>
                <w:spacing w:val="-24"/>
                <w:sz w:val="21"/>
                <w:szCs w:val="21"/>
              </w:rPr>
              <w:t xml:space="preserve"> </w:t>
            </w:r>
            <w:r>
              <w:rPr>
                <w:rFonts w:ascii="宋体" w:hAnsi="宋体" w:eastAsia="宋体" w:cs="宋体"/>
                <w:spacing w:val="-3"/>
                <w:sz w:val="21"/>
                <w:szCs w:val="21"/>
              </w:rPr>
              <w:t>24</w:t>
            </w:r>
            <w:r>
              <w:rPr>
                <w:rFonts w:ascii="宋体" w:hAnsi="宋体" w:eastAsia="宋体" w:cs="宋体"/>
                <w:spacing w:val="-38"/>
                <w:sz w:val="21"/>
                <w:szCs w:val="21"/>
              </w:rPr>
              <w:t xml:space="preserve"> </w:t>
            </w:r>
            <w:r>
              <w:rPr>
                <w:rFonts w:ascii="宋体" w:hAnsi="宋体" w:eastAsia="宋体" w:cs="宋体"/>
                <w:spacing w:val="-3"/>
                <w:sz w:val="21"/>
                <w:szCs w:val="21"/>
              </w:rPr>
              <w:t>小时、8</w:t>
            </w:r>
            <w:r>
              <w:rPr>
                <w:rFonts w:ascii="宋体" w:hAnsi="宋体" w:eastAsia="宋体" w:cs="宋体"/>
                <w:spacing w:val="-39"/>
                <w:sz w:val="21"/>
                <w:szCs w:val="21"/>
              </w:rPr>
              <w:t xml:space="preserve"> </w:t>
            </w:r>
            <w:r>
              <w:rPr>
                <w:rFonts w:ascii="宋体" w:hAnsi="宋体" w:eastAsia="宋体" w:cs="宋体"/>
                <w:spacing w:val="-3"/>
                <w:sz w:val="21"/>
                <w:szCs w:val="21"/>
              </w:rPr>
              <w:t>小时、2</w:t>
            </w:r>
            <w:r>
              <w:rPr>
                <w:rFonts w:ascii="宋体" w:hAnsi="宋体" w:eastAsia="宋体" w:cs="宋体"/>
                <w:spacing w:val="-39"/>
                <w:sz w:val="21"/>
                <w:szCs w:val="21"/>
              </w:rPr>
              <w:t xml:space="preserve"> </w:t>
            </w:r>
            <w:r>
              <w:rPr>
                <w:rFonts w:ascii="宋体" w:hAnsi="宋体" w:eastAsia="宋体" w:cs="宋体"/>
                <w:spacing w:val="-3"/>
                <w:sz w:val="21"/>
                <w:szCs w:val="21"/>
              </w:rPr>
              <w:t>小时，将会收到</w:t>
            </w:r>
            <w:r>
              <w:rPr>
                <w:rFonts w:ascii="宋体" w:hAnsi="宋体" w:eastAsia="宋体" w:cs="宋体"/>
                <w:sz w:val="21"/>
                <w:szCs w:val="21"/>
              </w:rPr>
              <w:t xml:space="preserve"> </w:t>
            </w:r>
            <w:r>
              <w:rPr>
                <w:rFonts w:ascii="宋体" w:hAnsi="宋体" w:eastAsia="宋体" w:cs="宋体"/>
                <w:spacing w:val="-2"/>
                <w:sz w:val="21"/>
                <w:szCs w:val="21"/>
              </w:rPr>
              <w:t>系统提醒，每个时间点提醒一次。</w:t>
            </w:r>
          </w:p>
          <w:p w14:paraId="5561B4F8">
            <w:pPr>
              <w:spacing w:before="7" w:line="213" w:lineRule="auto"/>
              <w:ind w:left="124"/>
              <w:rPr>
                <w:rFonts w:ascii="宋体" w:hAnsi="宋体" w:eastAsia="宋体" w:cs="宋体"/>
                <w:sz w:val="21"/>
                <w:szCs w:val="21"/>
              </w:rPr>
            </w:pPr>
            <w:r>
              <w:rPr>
                <w:rFonts w:ascii="宋体" w:hAnsi="宋体" w:eastAsia="宋体" w:cs="宋体"/>
                <w:spacing w:val="1"/>
                <w:sz w:val="21"/>
                <w:szCs w:val="21"/>
              </w:rPr>
              <w:t>12.分级质控。事件可以分Ⅰ级、Ⅱ级、Ⅲ级、Ⅳ级等级设置质控人员，事件上报</w:t>
            </w:r>
          </w:p>
        </w:tc>
      </w:tr>
    </w:tbl>
    <w:p w14:paraId="24D3E9D1">
      <w:pPr>
        <w:pStyle w:val="2"/>
        <w:spacing w:line="245" w:lineRule="auto"/>
      </w:pPr>
    </w:p>
    <w:p w14:paraId="70B66A3E">
      <w:pPr>
        <w:pStyle w:val="2"/>
        <w:spacing w:line="246" w:lineRule="auto"/>
      </w:pPr>
    </w:p>
    <w:p w14:paraId="1542E38E">
      <w:pPr>
        <w:spacing w:before="62" w:line="209" w:lineRule="auto"/>
        <w:ind w:left="148"/>
        <w:rPr>
          <w:rFonts w:ascii="宋体" w:hAnsi="宋体" w:eastAsia="宋体" w:cs="宋体"/>
          <w:sz w:val="19"/>
          <w:szCs w:val="19"/>
        </w:rPr>
      </w:pPr>
      <w:r>
        <w:pict>
          <v:shape id="_x0000_s1059" o:spid="_x0000_s1059" style="position:absolute;left:0pt;margin-left:1.95pt;margin-top:11.8pt;height:0.75pt;width:494pt;z-index:251704320;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39                                </w:t>
      </w:r>
      <w:r>
        <w:rPr>
          <w:rFonts w:ascii="宋体" w:hAnsi="宋体" w:eastAsia="宋体" w:cs="宋体"/>
          <w:b/>
          <w:bCs/>
          <w:i/>
          <w:iCs/>
          <w:spacing w:val="-3"/>
          <w:sz w:val="19"/>
          <w:szCs w:val="19"/>
        </w:rPr>
        <w:t>伊犁州公共资源交易中心</w:t>
      </w:r>
    </w:p>
    <w:p w14:paraId="0591937E">
      <w:pPr>
        <w:spacing w:line="209" w:lineRule="auto"/>
        <w:rPr>
          <w:rFonts w:ascii="宋体" w:hAnsi="宋体" w:eastAsia="宋体" w:cs="宋体"/>
          <w:sz w:val="19"/>
          <w:szCs w:val="19"/>
        </w:rPr>
        <w:sectPr>
          <w:pgSz w:w="11905" w:h="16839"/>
          <w:pgMar w:top="1136" w:right="830" w:bottom="400" w:left="1126" w:header="854" w:footer="0" w:gutter="0"/>
          <w:cols w:space="720" w:num="1"/>
        </w:sectPr>
      </w:pPr>
    </w:p>
    <w:p w14:paraId="32DBD957">
      <w:pPr>
        <w:spacing w:before="38"/>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3"/>
        <w:gridCol w:w="7743"/>
      </w:tblGrid>
      <w:tr w14:paraId="1EE5D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3" w:type="dxa"/>
            <w:vAlign w:val="top"/>
          </w:tcPr>
          <w:p w14:paraId="337C43A4">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5705DB07">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793DF751">
            <w:pPr>
              <w:spacing w:before="179"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192EF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2" w:hRule="atLeast"/>
        </w:trPr>
        <w:tc>
          <w:tcPr>
            <w:tcW w:w="783" w:type="dxa"/>
            <w:vAlign w:val="top"/>
          </w:tcPr>
          <w:p w14:paraId="6AC8443E">
            <w:pPr>
              <w:rPr>
                <w:rFonts w:ascii="Arial"/>
                <w:sz w:val="21"/>
              </w:rPr>
            </w:pPr>
          </w:p>
        </w:tc>
        <w:tc>
          <w:tcPr>
            <w:tcW w:w="1273" w:type="dxa"/>
            <w:vAlign w:val="top"/>
          </w:tcPr>
          <w:p w14:paraId="3FA6CAA8">
            <w:pPr>
              <w:rPr>
                <w:rFonts w:ascii="Arial"/>
                <w:sz w:val="21"/>
              </w:rPr>
            </w:pPr>
          </w:p>
        </w:tc>
        <w:tc>
          <w:tcPr>
            <w:tcW w:w="7743" w:type="dxa"/>
            <w:vAlign w:val="top"/>
          </w:tcPr>
          <w:p w14:paraId="7E3C2B17">
            <w:pPr>
              <w:spacing w:before="41" w:line="249" w:lineRule="auto"/>
              <w:ind w:left="109" w:right="102" w:firstLine="1"/>
              <w:rPr>
                <w:rFonts w:ascii="宋体" w:hAnsi="宋体" w:eastAsia="宋体" w:cs="宋体"/>
                <w:sz w:val="21"/>
                <w:szCs w:val="21"/>
              </w:rPr>
            </w:pPr>
            <w:r>
              <w:rPr>
                <w:rFonts w:ascii="宋体" w:hAnsi="宋体" w:eastAsia="宋体" w:cs="宋体"/>
                <w:spacing w:val="-1"/>
                <w:sz w:val="21"/>
                <w:szCs w:val="21"/>
              </w:rPr>
              <w:t>后自动通知对应人员，根据事件类型设置分管领导，流程中可以选择通</w:t>
            </w:r>
            <w:r>
              <w:rPr>
                <w:rFonts w:ascii="宋体" w:hAnsi="宋体" w:eastAsia="宋体" w:cs="宋体"/>
                <w:spacing w:val="-2"/>
                <w:sz w:val="21"/>
                <w:szCs w:val="21"/>
              </w:rPr>
              <w:t>知对应分管</w:t>
            </w:r>
            <w:r>
              <w:rPr>
                <w:rFonts w:ascii="宋体" w:hAnsi="宋体" w:eastAsia="宋体" w:cs="宋体"/>
                <w:sz w:val="21"/>
                <w:szCs w:val="21"/>
              </w:rPr>
              <w:t xml:space="preserve"> </w:t>
            </w:r>
            <w:r>
              <w:rPr>
                <w:rFonts w:ascii="宋体" w:hAnsi="宋体" w:eastAsia="宋体" w:cs="宋体"/>
                <w:spacing w:val="-9"/>
                <w:sz w:val="21"/>
                <w:szCs w:val="21"/>
              </w:rPr>
              <w:t>领导。</w:t>
            </w:r>
          </w:p>
          <w:p w14:paraId="32BCADF9">
            <w:pPr>
              <w:spacing w:before="24" w:line="259" w:lineRule="auto"/>
              <w:ind w:left="109" w:right="27" w:firstLine="15"/>
              <w:rPr>
                <w:rFonts w:ascii="宋体" w:hAnsi="宋体" w:eastAsia="宋体" w:cs="宋体"/>
                <w:sz w:val="21"/>
                <w:szCs w:val="21"/>
              </w:rPr>
            </w:pPr>
            <w:r>
              <w:rPr>
                <w:rFonts w:ascii="宋体" w:hAnsi="宋体" w:eastAsia="宋体" w:cs="宋体"/>
                <w:spacing w:val="-6"/>
                <w:sz w:val="21"/>
                <w:szCs w:val="21"/>
              </w:rPr>
              <w:t>13.护理不良事件年度分析报告。在事件管理中，</w:t>
            </w:r>
            <w:r>
              <w:rPr>
                <w:rFonts w:ascii="宋体" w:hAnsi="宋体" w:eastAsia="宋体" w:cs="宋体"/>
                <w:spacing w:val="40"/>
                <w:sz w:val="21"/>
                <w:szCs w:val="21"/>
              </w:rPr>
              <w:t xml:space="preserve"> </w:t>
            </w:r>
            <w:r>
              <w:rPr>
                <w:rFonts w:ascii="宋体" w:hAnsi="宋体" w:eastAsia="宋体" w:cs="宋体"/>
                <w:spacing w:val="-6"/>
                <w:sz w:val="21"/>
                <w:szCs w:val="21"/>
              </w:rPr>
              <w:t>提供护理不良事件年度分析</w:t>
            </w:r>
            <w:r>
              <w:rPr>
                <w:rFonts w:ascii="宋体" w:hAnsi="宋体" w:eastAsia="宋体" w:cs="宋体"/>
                <w:spacing w:val="-7"/>
                <w:sz w:val="21"/>
                <w:szCs w:val="21"/>
              </w:rPr>
              <w:t>报告，</w:t>
            </w:r>
            <w:r>
              <w:rPr>
                <w:rFonts w:ascii="宋体" w:hAnsi="宋体" w:eastAsia="宋体" w:cs="宋体"/>
                <w:sz w:val="21"/>
                <w:szCs w:val="21"/>
              </w:rPr>
              <w:t xml:space="preserve"> </w:t>
            </w:r>
            <w:r>
              <w:rPr>
                <w:rFonts w:ascii="宋体" w:hAnsi="宋体" w:eastAsia="宋体" w:cs="宋体"/>
                <w:spacing w:val="1"/>
                <w:sz w:val="21"/>
                <w:szCs w:val="21"/>
              </w:rPr>
              <w:t>导出</w:t>
            </w:r>
            <w:r>
              <w:rPr>
                <w:rFonts w:ascii="宋体" w:hAnsi="宋体" w:eastAsia="宋体" w:cs="宋体"/>
                <w:spacing w:val="-34"/>
                <w:sz w:val="21"/>
                <w:szCs w:val="21"/>
              </w:rPr>
              <w:t xml:space="preserve"> </w:t>
            </w:r>
            <w:r>
              <w:rPr>
                <w:rFonts w:ascii="宋体" w:hAnsi="宋体" w:eastAsia="宋体" w:cs="宋体"/>
                <w:sz w:val="21"/>
                <w:szCs w:val="21"/>
              </w:rPr>
              <w:t>word</w:t>
            </w:r>
            <w:r>
              <w:rPr>
                <w:rFonts w:ascii="宋体" w:hAnsi="宋体" w:eastAsia="宋体" w:cs="宋体"/>
                <w:spacing w:val="-39"/>
                <w:sz w:val="21"/>
                <w:szCs w:val="21"/>
              </w:rPr>
              <w:t xml:space="preserve"> </w:t>
            </w:r>
            <w:r>
              <w:rPr>
                <w:rFonts w:ascii="宋体" w:hAnsi="宋体" w:eastAsia="宋体" w:cs="宋体"/>
                <w:spacing w:val="1"/>
                <w:sz w:val="21"/>
                <w:szCs w:val="21"/>
              </w:rPr>
              <w:t>报告内容包含上报类别分析（柏拉图、类别数量及占比）、发生科室分</w:t>
            </w:r>
            <w:r>
              <w:rPr>
                <w:rFonts w:ascii="宋体" w:hAnsi="宋体" w:eastAsia="宋体" w:cs="宋体"/>
                <w:sz w:val="21"/>
                <w:szCs w:val="21"/>
              </w:rPr>
              <w:t xml:space="preserve"> </w:t>
            </w:r>
            <w:r>
              <w:rPr>
                <w:rFonts w:ascii="宋体" w:hAnsi="宋体" w:eastAsia="宋体" w:cs="宋体"/>
                <w:spacing w:val="-1"/>
                <w:sz w:val="21"/>
                <w:szCs w:val="21"/>
              </w:rPr>
              <w:t>析（柱状图、科室数量及占比）、事件状态分析、事</w:t>
            </w:r>
            <w:r>
              <w:rPr>
                <w:rFonts w:ascii="宋体" w:hAnsi="宋体" w:eastAsia="宋体" w:cs="宋体"/>
                <w:spacing w:val="-2"/>
                <w:sz w:val="21"/>
                <w:szCs w:val="21"/>
              </w:rPr>
              <w:t>件等级分析（饼状图、等级数</w:t>
            </w:r>
            <w:r>
              <w:rPr>
                <w:rFonts w:ascii="宋体" w:hAnsi="宋体" w:eastAsia="宋体" w:cs="宋体"/>
                <w:sz w:val="21"/>
                <w:szCs w:val="21"/>
              </w:rPr>
              <w:t xml:space="preserve"> </w:t>
            </w:r>
            <w:r>
              <w:rPr>
                <w:rFonts w:ascii="宋体" w:hAnsi="宋体" w:eastAsia="宋体" w:cs="宋体"/>
                <w:spacing w:val="-1"/>
                <w:sz w:val="21"/>
                <w:szCs w:val="21"/>
              </w:rPr>
              <w:t>量及占比）、发生时间饼状图、跌倒分析（与去年跌倒</w:t>
            </w:r>
            <w:r>
              <w:rPr>
                <w:rFonts w:ascii="宋体" w:hAnsi="宋体" w:eastAsia="宋体" w:cs="宋体"/>
                <w:spacing w:val="-2"/>
                <w:sz w:val="21"/>
                <w:szCs w:val="21"/>
              </w:rPr>
              <w:t>发生率进行对比、各季度跌</w:t>
            </w:r>
            <w:r>
              <w:rPr>
                <w:rFonts w:ascii="宋体" w:hAnsi="宋体" w:eastAsia="宋体" w:cs="宋体"/>
                <w:sz w:val="21"/>
                <w:szCs w:val="21"/>
              </w:rPr>
              <w:t xml:space="preserve"> 倒发生例数、跌倒伤害对比图）、护理不良事件原因分析（文字描述及鱼骨图）， </w:t>
            </w:r>
            <w:r>
              <w:rPr>
                <w:rFonts w:ascii="宋体" w:hAnsi="宋体" w:eastAsia="宋体" w:cs="宋体"/>
                <w:spacing w:val="-5"/>
                <w:sz w:val="21"/>
                <w:szCs w:val="21"/>
              </w:rPr>
              <w:t>同时提供在线分析报告，内容同上，科室护理不良事件年度分析报告内容可自定义。</w:t>
            </w:r>
            <w:r>
              <w:rPr>
                <w:rFonts w:ascii="宋体" w:hAnsi="宋体" w:eastAsia="宋体" w:cs="宋体"/>
                <w:spacing w:val="10"/>
                <w:sz w:val="21"/>
                <w:szCs w:val="21"/>
              </w:rPr>
              <w:t xml:space="preserve"> </w:t>
            </w:r>
            <w:r>
              <w:rPr>
                <w:rFonts w:ascii="宋体" w:hAnsi="宋体" w:eastAsia="宋体" w:cs="宋体"/>
                <w:spacing w:val="-6"/>
                <w:sz w:val="21"/>
                <w:szCs w:val="21"/>
              </w:rPr>
              <w:t>14.全院不良事件年度分析报告。在事件管理中，</w:t>
            </w:r>
            <w:r>
              <w:rPr>
                <w:rFonts w:ascii="宋体" w:hAnsi="宋体" w:eastAsia="宋体" w:cs="宋体"/>
                <w:spacing w:val="53"/>
                <w:sz w:val="21"/>
                <w:szCs w:val="21"/>
              </w:rPr>
              <w:t xml:space="preserve"> </w:t>
            </w:r>
            <w:r>
              <w:rPr>
                <w:rFonts w:ascii="宋体" w:hAnsi="宋体" w:eastAsia="宋体" w:cs="宋体"/>
                <w:spacing w:val="-6"/>
                <w:sz w:val="21"/>
                <w:szCs w:val="21"/>
              </w:rPr>
              <w:t>提供全院不良事件年度分析报告，</w:t>
            </w:r>
            <w:r>
              <w:rPr>
                <w:rFonts w:ascii="宋体" w:hAnsi="宋体" w:eastAsia="宋体" w:cs="宋体"/>
                <w:sz w:val="21"/>
                <w:szCs w:val="21"/>
              </w:rPr>
              <w:t xml:space="preserve"> </w:t>
            </w:r>
            <w:r>
              <w:rPr>
                <w:rFonts w:ascii="宋体" w:hAnsi="宋体" w:eastAsia="宋体" w:cs="宋体"/>
                <w:spacing w:val="1"/>
                <w:sz w:val="21"/>
                <w:szCs w:val="21"/>
              </w:rPr>
              <w:t>导出</w:t>
            </w:r>
            <w:r>
              <w:rPr>
                <w:rFonts w:ascii="宋体" w:hAnsi="宋体" w:eastAsia="宋体" w:cs="宋体"/>
                <w:spacing w:val="-34"/>
                <w:sz w:val="21"/>
                <w:szCs w:val="21"/>
              </w:rPr>
              <w:t xml:space="preserve"> </w:t>
            </w:r>
            <w:r>
              <w:rPr>
                <w:rFonts w:ascii="宋体" w:hAnsi="宋体" w:eastAsia="宋体" w:cs="宋体"/>
                <w:sz w:val="21"/>
                <w:szCs w:val="21"/>
              </w:rPr>
              <w:t>word</w:t>
            </w:r>
            <w:r>
              <w:rPr>
                <w:rFonts w:ascii="宋体" w:hAnsi="宋体" w:eastAsia="宋体" w:cs="宋体"/>
                <w:spacing w:val="-39"/>
                <w:sz w:val="21"/>
                <w:szCs w:val="21"/>
              </w:rPr>
              <w:t xml:space="preserve"> </w:t>
            </w:r>
            <w:r>
              <w:rPr>
                <w:rFonts w:ascii="宋体" w:hAnsi="宋体" w:eastAsia="宋体" w:cs="宋体"/>
                <w:spacing w:val="1"/>
                <w:sz w:val="21"/>
                <w:szCs w:val="21"/>
              </w:rPr>
              <w:t>报告内容包含不良事件定义和分级标准、报告例数及床均例数分析（不</w:t>
            </w:r>
            <w:r>
              <w:rPr>
                <w:rFonts w:ascii="宋体" w:hAnsi="宋体" w:eastAsia="宋体" w:cs="宋体"/>
                <w:sz w:val="21"/>
                <w:szCs w:val="21"/>
              </w:rPr>
              <w:t xml:space="preserve"> </w:t>
            </w:r>
            <w:r>
              <w:rPr>
                <w:rFonts w:ascii="宋体" w:hAnsi="宋体" w:eastAsia="宋体" w:cs="宋体"/>
                <w:spacing w:val="-1"/>
                <w:sz w:val="21"/>
                <w:szCs w:val="21"/>
              </w:rPr>
              <w:t>良事件分组类型的数量和占比，床均上报率及去年的比较、近三年上报对</w:t>
            </w:r>
            <w:r>
              <w:rPr>
                <w:rFonts w:ascii="宋体" w:hAnsi="宋体" w:eastAsia="宋体" w:cs="宋体"/>
                <w:spacing w:val="-2"/>
                <w:sz w:val="21"/>
                <w:szCs w:val="21"/>
              </w:rPr>
              <w:t>比、图形</w:t>
            </w:r>
            <w:r>
              <w:rPr>
                <w:rFonts w:ascii="宋体" w:hAnsi="宋体" w:eastAsia="宋体" w:cs="宋体"/>
                <w:sz w:val="21"/>
                <w:szCs w:val="21"/>
              </w:rPr>
              <w:t xml:space="preserve"> </w:t>
            </w:r>
            <w:r>
              <w:rPr>
                <w:rFonts w:ascii="宋体" w:hAnsi="宋体" w:eastAsia="宋体" w:cs="宋体"/>
                <w:spacing w:val="-1"/>
                <w:sz w:val="21"/>
                <w:szCs w:val="21"/>
              </w:rPr>
              <w:t>分析）、上报类型分析（上报数量前三位数量及占比</w:t>
            </w:r>
            <w:r>
              <w:rPr>
                <w:rFonts w:ascii="宋体" w:hAnsi="宋体" w:eastAsia="宋体" w:cs="宋体"/>
                <w:spacing w:val="-2"/>
                <w:sz w:val="21"/>
                <w:szCs w:val="21"/>
              </w:rPr>
              <w:t>、上报后三位及占比、图形分</w:t>
            </w:r>
            <w:r>
              <w:rPr>
                <w:rFonts w:ascii="宋体" w:hAnsi="宋体" w:eastAsia="宋体" w:cs="宋体"/>
                <w:sz w:val="21"/>
                <w:szCs w:val="21"/>
              </w:rPr>
              <w:t xml:space="preserve"> </w:t>
            </w:r>
            <w:r>
              <w:rPr>
                <w:rFonts w:ascii="宋体" w:hAnsi="宋体" w:eastAsia="宋体" w:cs="宋体"/>
                <w:spacing w:val="2"/>
                <w:sz w:val="21"/>
                <w:szCs w:val="21"/>
              </w:rPr>
              <w:t>析）、上报等级分析（等级分布及占比，与去年的等级对比分析、</w:t>
            </w:r>
            <w:r>
              <w:rPr>
                <w:rFonts w:ascii="宋体" w:hAnsi="宋体" w:eastAsia="宋体" w:cs="宋体"/>
                <w:spacing w:val="1"/>
                <w:sz w:val="21"/>
                <w:szCs w:val="21"/>
              </w:rPr>
              <w:t>Ⅰ级/Ⅱ级事件</w:t>
            </w:r>
            <w:r>
              <w:rPr>
                <w:rFonts w:ascii="宋体" w:hAnsi="宋体" w:eastAsia="宋体" w:cs="宋体"/>
                <w:sz w:val="21"/>
                <w:szCs w:val="21"/>
              </w:rPr>
              <w:t xml:space="preserve"> </w:t>
            </w:r>
            <w:r>
              <w:rPr>
                <w:rFonts w:ascii="宋体" w:hAnsi="宋体" w:eastAsia="宋体" w:cs="宋体"/>
                <w:spacing w:val="-1"/>
                <w:sz w:val="21"/>
                <w:szCs w:val="21"/>
              </w:rPr>
              <w:t>上报的前三位事件数量及占比、图形分析）、发生时</w:t>
            </w:r>
            <w:r>
              <w:rPr>
                <w:rFonts w:ascii="宋体" w:hAnsi="宋体" w:eastAsia="宋体" w:cs="宋体"/>
                <w:spacing w:val="-2"/>
                <w:sz w:val="21"/>
                <w:szCs w:val="21"/>
              </w:rPr>
              <w:t>间和地点分布（发生时段的数</w:t>
            </w:r>
            <w:r>
              <w:rPr>
                <w:rFonts w:ascii="宋体" w:hAnsi="宋体" w:eastAsia="宋体" w:cs="宋体"/>
                <w:sz w:val="21"/>
                <w:szCs w:val="21"/>
              </w:rPr>
              <w:t xml:space="preserve"> </w:t>
            </w:r>
            <w:r>
              <w:rPr>
                <w:rFonts w:ascii="宋体" w:hAnsi="宋体" w:eastAsia="宋体" w:cs="宋体"/>
                <w:spacing w:val="-1"/>
                <w:sz w:val="21"/>
                <w:szCs w:val="21"/>
              </w:rPr>
              <w:t>量和占比、图形分析）、原因分析（原因分析及</w:t>
            </w:r>
            <w:r>
              <w:rPr>
                <w:rFonts w:ascii="宋体" w:hAnsi="宋体" w:eastAsia="宋体" w:cs="宋体"/>
                <w:spacing w:val="-2"/>
                <w:sz w:val="21"/>
                <w:szCs w:val="21"/>
              </w:rPr>
              <w:t>系统图）、改进措施（措施分析及</w:t>
            </w:r>
            <w:r>
              <w:rPr>
                <w:rFonts w:ascii="宋体" w:hAnsi="宋体" w:eastAsia="宋体" w:cs="宋体"/>
                <w:sz w:val="21"/>
                <w:szCs w:val="21"/>
              </w:rPr>
              <w:t xml:space="preserve">  </w:t>
            </w:r>
            <w:r>
              <w:rPr>
                <w:rFonts w:ascii="宋体" w:hAnsi="宋体" w:eastAsia="宋体" w:cs="宋体"/>
                <w:spacing w:val="-1"/>
                <w:sz w:val="21"/>
                <w:szCs w:val="21"/>
              </w:rPr>
              <w:t>鱼骨图</w:t>
            </w:r>
            <w:r>
              <w:rPr>
                <w:rFonts w:ascii="宋体" w:hAnsi="宋体" w:eastAsia="宋体" w:cs="宋体"/>
                <w:spacing w:val="-3"/>
                <w:sz w:val="21"/>
                <w:szCs w:val="21"/>
              </w:rPr>
              <w:t>），</w:t>
            </w:r>
            <w:r>
              <w:rPr>
                <w:rFonts w:ascii="宋体" w:hAnsi="宋体" w:eastAsia="宋体" w:cs="宋体"/>
                <w:spacing w:val="-1"/>
                <w:sz w:val="21"/>
                <w:szCs w:val="21"/>
              </w:rPr>
              <w:t>同时提供在线分析报告，内容同上，全院不良事</w:t>
            </w:r>
            <w:r>
              <w:rPr>
                <w:rFonts w:ascii="宋体" w:hAnsi="宋体" w:eastAsia="宋体" w:cs="宋体"/>
                <w:spacing w:val="-2"/>
                <w:sz w:val="21"/>
                <w:szCs w:val="21"/>
              </w:rPr>
              <w:t>件年度分析报告内容可</w:t>
            </w:r>
            <w:r>
              <w:rPr>
                <w:rFonts w:ascii="宋体" w:hAnsi="宋体" w:eastAsia="宋体" w:cs="宋体"/>
                <w:spacing w:val="1"/>
                <w:sz w:val="21"/>
                <w:szCs w:val="21"/>
              </w:rPr>
              <w:t xml:space="preserve"> </w:t>
            </w:r>
            <w:r>
              <w:rPr>
                <w:rFonts w:ascii="宋体" w:hAnsi="宋体" w:eastAsia="宋体" w:cs="宋体"/>
                <w:spacing w:val="-8"/>
                <w:sz w:val="21"/>
                <w:szCs w:val="21"/>
              </w:rPr>
              <w:t>自定义。</w:t>
            </w:r>
          </w:p>
        </w:tc>
      </w:tr>
      <w:tr w14:paraId="6A7C6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4" w:hRule="atLeast"/>
        </w:trPr>
        <w:tc>
          <w:tcPr>
            <w:tcW w:w="783" w:type="dxa"/>
            <w:vAlign w:val="top"/>
          </w:tcPr>
          <w:p w14:paraId="7E23EECB">
            <w:pPr>
              <w:spacing w:line="258" w:lineRule="auto"/>
              <w:rPr>
                <w:rFonts w:ascii="Arial"/>
                <w:sz w:val="21"/>
              </w:rPr>
            </w:pPr>
          </w:p>
          <w:p w14:paraId="2FE5A1B7">
            <w:pPr>
              <w:spacing w:line="258" w:lineRule="auto"/>
              <w:rPr>
                <w:rFonts w:ascii="Arial"/>
                <w:sz w:val="21"/>
              </w:rPr>
            </w:pPr>
          </w:p>
          <w:p w14:paraId="6F0F424E">
            <w:pPr>
              <w:spacing w:line="258" w:lineRule="auto"/>
              <w:rPr>
                <w:rFonts w:ascii="Arial"/>
                <w:sz w:val="21"/>
              </w:rPr>
            </w:pPr>
          </w:p>
          <w:p w14:paraId="545A5B6E">
            <w:pPr>
              <w:spacing w:line="258" w:lineRule="auto"/>
              <w:rPr>
                <w:rFonts w:ascii="Arial"/>
                <w:sz w:val="21"/>
              </w:rPr>
            </w:pPr>
          </w:p>
          <w:p w14:paraId="42F20FB1">
            <w:pPr>
              <w:spacing w:line="258" w:lineRule="auto"/>
              <w:rPr>
                <w:rFonts w:ascii="Arial"/>
                <w:sz w:val="21"/>
              </w:rPr>
            </w:pPr>
          </w:p>
          <w:p w14:paraId="1AB8939B">
            <w:pPr>
              <w:spacing w:line="259" w:lineRule="auto"/>
              <w:rPr>
                <w:rFonts w:ascii="Arial"/>
                <w:sz w:val="21"/>
              </w:rPr>
            </w:pPr>
          </w:p>
          <w:p w14:paraId="175F8401">
            <w:pPr>
              <w:spacing w:before="78" w:line="180" w:lineRule="auto"/>
              <w:ind w:left="284"/>
              <w:rPr>
                <w:rFonts w:ascii="宋体" w:hAnsi="宋体" w:eastAsia="宋体" w:cs="宋体"/>
                <w:sz w:val="24"/>
                <w:szCs w:val="24"/>
              </w:rPr>
            </w:pPr>
            <w:r>
              <w:rPr>
                <w:rFonts w:ascii="宋体" w:hAnsi="宋体" w:eastAsia="宋体" w:cs="宋体"/>
                <w:sz w:val="24"/>
                <w:szCs w:val="24"/>
              </w:rPr>
              <w:t>5</w:t>
            </w:r>
          </w:p>
        </w:tc>
        <w:tc>
          <w:tcPr>
            <w:tcW w:w="1273" w:type="dxa"/>
            <w:vAlign w:val="top"/>
          </w:tcPr>
          <w:p w14:paraId="736B0B2F">
            <w:pPr>
              <w:spacing w:line="251" w:lineRule="auto"/>
              <w:rPr>
                <w:rFonts w:ascii="Arial"/>
                <w:sz w:val="21"/>
              </w:rPr>
            </w:pPr>
          </w:p>
          <w:p w14:paraId="10D8089D">
            <w:pPr>
              <w:spacing w:line="251" w:lineRule="auto"/>
              <w:rPr>
                <w:rFonts w:ascii="Arial"/>
                <w:sz w:val="21"/>
              </w:rPr>
            </w:pPr>
          </w:p>
          <w:p w14:paraId="7176EA5F">
            <w:pPr>
              <w:spacing w:line="251" w:lineRule="auto"/>
              <w:rPr>
                <w:rFonts w:ascii="Arial"/>
                <w:sz w:val="21"/>
              </w:rPr>
            </w:pPr>
          </w:p>
          <w:p w14:paraId="55EEDE31">
            <w:pPr>
              <w:spacing w:line="251" w:lineRule="auto"/>
              <w:rPr>
                <w:rFonts w:ascii="Arial"/>
                <w:sz w:val="21"/>
              </w:rPr>
            </w:pPr>
          </w:p>
          <w:p w14:paraId="13196CF2">
            <w:pPr>
              <w:spacing w:line="252" w:lineRule="auto"/>
              <w:rPr>
                <w:rFonts w:ascii="Arial"/>
                <w:sz w:val="21"/>
              </w:rPr>
            </w:pPr>
          </w:p>
          <w:p w14:paraId="1106639E">
            <w:pPr>
              <w:spacing w:line="252" w:lineRule="auto"/>
              <w:rPr>
                <w:rFonts w:ascii="Arial"/>
                <w:sz w:val="21"/>
              </w:rPr>
            </w:pPr>
          </w:p>
          <w:p w14:paraId="6271F122">
            <w:pPr>
              <w:spacing w:before="78" w:line="218" w:lineRule="auto"/>
              <w:ind w:left="108"/>
              <w:rPr>
                <w:rFonts w:ascii="宋体" w:hAnsi="宋体" w:eastAsia="宋体" w:cs="宋体"/>
                <w:sz w:val="24"/>
                <w:szCs w:val="24"/>
              </w:rPr>
            </w:pPr>
            <w:r>
              <w:rPr>
                <w:rFonts w:ascii="宋体" w:hAnsi="宋体" w:eastAsia="宋体" w:cs="宋体"/>
                <w:spacing w:val="-2"/>
                <w:sz w:val="24"/>
                <w:szCs w:val="24"/>
              </w:rPr>
              <w:t>事件评价</w:t>
            </w:r>
          </w:p>
        </w:tc>
        <w:tc>
          <w:tcPr>
            <w:tcW w:w="7743" w:type="dxa"/>
            <w:vAlign w:val="top"/>
          </w:tcPr>
          <w:p w14:paraId="64C4DEB6">
            <w:pPr>
              <w:spacing w:before="67" w:line="260" w:lineRule="auto"/>
              <w:ind w:left="107" w:right="102" w:firstLine="17"/>
              <w:rPr>
                <w:rFonts w:ascii="宋体" w:hAnsi="宋体" w:eastAsia="宋体" w:cs="宋体"/>
                <w:sz w:val="21"/>
                <w:szCs w:val="21"/>
              </w:rPr>
            </w:pPr>
            <w:r>
              <w:rPr>
                <w:rFonts w:ascii="宋体" w:hAnsi="宋体" w:eastAsia="宋体" w:cs="宋体"/>
                <w:spacing w:val="1"/>
                <w:sz w:val="21"/>
                <w:szCs w:val="21"/>
              </w:rPr>
              <w:t>1．评价模块。包含评价模块，根据事件类型配置不同的评价方式和评价模块，上</w:t>
            </w:r>
            <w:r>
              <w:rPr>
                <w:rFonts w:ascii="宋体" w:hAnsi="宋体" w:eastAsia="宋体" w:cs="宋体"/>
                <w:spacing w:val="13"/>
                <w:sz w:val="21"/>
                <w:szCs w:val="21"/>
              </w:rPr>
              <w:t xml:space="preserve"> </w:t>
            </w:r>
            <w:r>
              <w:rPr>
                <w:rFonts w:ascii="宋体" w:hAnsi="宋体" w:eastAsia="宋体" w:cs="宋体"/>
                <w:spacing w:val="-2"/>
                <w:sz w:val="21"/>
                <w:szCs w:val="21"/>
              </w:rPr>
              <w:t>报人可根据评价对事件处理结果、处理效率等进行评价。</w:t>
            </w:r>
          </w:p>
          <w:p w14:paraId="75FD6E30">
            <w:pPr>
              <w:spacing w:before="93" w:line="260" w:lineRule="auto"/>
              <w:ind w:left="111" w:right="102"/>
              <w:rPr>
                <w:rFonts w:ascii="宋体" w:hAnsi="宋体" w:eastAsia="宋体" w:cs="宋体"/>
                <w:sz w:val="21"/>
                <w:szCs w:val="21"/>
              </w:rPr>
            </w:pPr>
            <w:r>
              <w:rPr>
                <w:rFonts w:ascii="宋体" w:hAnsi="宋体" w:eastAsia="宋体" w:cs="宋体"/>
                <w:spacing w:val="2"/>
                <w:sz w:val="21"/>
                <w:szCs w:val="21"/>
              </w:rPr>
              <w:t>2．评价内容。提供默认评价内容模块，评价内容应包含处</w:t>
            </w:r>
            <w:r>
              <w:rPr>
                <w:rFonts w:ascii="宋体" w:hAnsi="宋体" w:eastAsia="宋体" w:cs="宋体"/>
                <w:spacing w:val="1"/>
                <w:sz w:val="21"/>
                <w:szCs w:val="21"/>
              </w:rPr>
              <w:t>理速度、流程、审核意</w:t>
            </w:r>
            <w:r>
              <w:rPr>
                <w:rFonts w:ascii="宋体" w:hAnsi="宋体" w:eastAsia="宋体" w:cs="宋体"/>
                <w:sz w:val="21"/>
                <w:szCs w:val="21"/>
              </w:rPr>
              <w:t xml:space="preserve"> </w:t>
            </w:r>
            <w:r>
              <w:rPr>
                <w:rFonts w:ascii="宋体" w:hAnsi="宋体" w:eastAsia="宋体" w:cs="宋体"/>
                <w:spacing w:val="-2"/>
                <w:sz w:val="21"/>
                <w:szCs w:val="21"/>
              </w:rPr>
              <w:t>见、是否有帮助、处理结果几个维度的评价内容。</w:t>
            </w:r>
          </w:p>
          <w:p w14:paraId="23EAB516">
            <w:pPr>
              <w:spacing w:before="93" w:line="260" w:lineRule="auto"/>
              <w:ind w:left="110" w:right="102" w:firstLine="3"/>
              <w:rPr>
                <w:rFonts w:ascii="宋体" w:hAnsi="宋体" w:eastAsia="宋体" w:cs="宋体"/>
                <w:sz w:val="21"/>
                <w:szCs w:val="21"/>
              </w:rPr>
            </w:pPr>
            <w:r>
              <w:rPr>
                <w:rFonts w:ascii="宋体" w:hAnsi="宋体" w:eastAsia="宋体" w:cs="宋体"/>
                <w:spacing w:val="2"/>
                <w:sz w:val="21"/>
                <w:szCs w:val="21"/>
              </w:rPr>
              <w:t>3．评价分数。事件评价根据评价元素的权重，元素的权</w:t>
            </w:r>
            <w:r>
              <w:rPr>
                <w:rFonts w:ascii="宋体" w:hAnsi="宋体" w:eastAsia="宋体" w:cs="宋体"/>
                <w:spacing w:val="1"/>
                <w:sz w:val="21"/>
                <w:szCs w:val="21"/>
              </w:rPr>
              <w:t>重可自定义配置，系统自</w:t>
            </w:r>
            <w:r>
              <w:rPr>
                <w:rFonts w:ascii="宋体" w:hAnsi="宋体" w:eastAsia="宋体" w:cs="宋体"/>
                <w:sz w:val="21"/>
                <w:szCs w:val="21"/>
              </w:rPr>
              <w:t xml:space="preserve"> </w:t>
            </w:r>
            <w:r>
              <w:rPr>
                <w:rFonts w:ascii="宋体" w:hAnsi="宋体" w:eastAsia="宋体" w:cs="宋体"/>
                <w:spacing w:val="-1"/>
                <w:sz w:val="21"/>
                <w:szCs w:val="21"/>
              </w:rPr>
              <w:t>动计算评价总分，并最终转化为事件得分，事件得分在</w:t>
            </w:r>
            <w:r>
              <w:rPr>
                <w:rFonts w:ascii="宋体" w:hAnsi="宋体" w:eastAsia="宋体" w:cs="宋体"/>
                <w:spacing w:val="-2"/>
                <w:sz w:val="21"/>
                <w:szCs w:val="21"/>
              </w:rPr>
              <w:t>事件详情中体现。</w:t>
            </w:r>
          </w:p>
          <w:p w14:paraId="6FD1530B">
            <w:pPr>
              <w:spacing w:before="94" w:line="260" w:lineRule="auto"/>
              <w:ind w:left="108" w:right="43"/>
              <w:rPr>
                <w:rFonts w:ascii="宋体" w:hAnsi="宋体" w:eastAsia="宋体" w:cs="宋体"/>
                <w:sz w:val="21"/>
                <w:szCs w:val="21"/>
              </w:rPr>
            </w:pPr>
            <w:r>
              <w:rPr>
                <w:rFonts w:ascii="宋体" w:hAnsi="宋体" w:eastAsia="宋体" w:cs="宋体"/>
                <w:spacing w:val="-6"/>
                <w:sz w:val="21"/>
                <w:szCs w:val="21"/>
              </w:rPr>
              <w:t>4．个人意见。事件支持个人意见，</w:t>
            </w:r>
            <w:r>
              <w:rPr>
                <w:rFonts w:ascii="宋体" w:hAnsi="宋体" w:eastAsia="宋体" w:cs="宋体"/>
                <w:spacing w:val="45"/>
                <w:sz w:val="21"/>
                <w:szCs w:val="21"/>
              </w:rPr>
              <w:t xml:space="preserve"> </w:t>
            </w:r>
            <w:r>
              <w:rPr>
                <w:rFonts w:ascii="宋体" w:hAnsi="宋体" w:eastAsia="宋体" w:cs="宋体"/>
                <w:spacing w:val="-6"/>
                <w:sz w:val="21"/>
                <w:szCs w:val="21"/>
              </w:rPr>
              <w:t>事件参与人员可</w:t>
            </w:r>
            <w:r>
              <w:rPr>
                <w:rFonts w:ascii="宋体" w:hAnsi="宋体" w:eastAsia="宋体" w:cs="宋体"/>
                <w:spacing w:val="-7"/>
                <w:sz w:val="21"/>
                <w:szCs w:val="21"/>
              </w:rPr>
              <w:t>直接在事件详情发表个人意见，</w:t>
            </w:r>
            <w:r>
              <w:rPr>
                <w:rFonts w:ascii="宋体" w:hAnsi="宋体" w:eastAsia="宋体" w:cs="宋体"/>
                <w:sz w:val="21"/>
                <w:szCs w:val="21"/>
              </w:rPr>
              <w:t xml:space="preserve"> </w:t>
            </w:r>
            <w:r>
              <w:rPr>
                <w:rFonts w:ascii="宋体" w:hAnsi="宋体" w:eastAsia="宋体" w:cs="宋体"/>
                <w:spacing w:val="-1"/>
                <w:sz w:val="21"/>
                <w:szCs w:val="21"/>
              </w:rPr>
              <w:t>个人意见应包含存在问题、改进措施等，个人意见支持匿</w:t>
            </w:r>
            <w:r>
              <w:rPr>
                <w:rFonts w:ascii="宋体" w:hAnsi="宋体" w:eastAsia="宋体" w:cs="宋体"/>
                <w:spacing w:val="-2"/>
                <w:sz w:val="21"/>
                <w:szCs w:val="21"/>
              </w:rPr>
              <w:t>名和实名发布。</w:t>
            </w:r>
          </w:p>
          <w:p w14:paraId="0CA1E4A7">
            <w:pPr>
              <w:spacing w:before="93" w:line="260" w:lineRule="auto"/>
              <w:ind w:left="108" w:right="102" w:firstLine="5"/>
              <w:rPr>
                <w:rFonts w:ascii="宋体" w:hAnsi="宋体" w:eastAsia="宋体" w:cs="宋体"/>
                <w:sz w:val="21"/>
                <w:szCs w:val="21"/>
              </w:rPr>
            </w:pPr>
            <w:r>
              <w:rPr>
                <w:rFonts w:ascii="宋体" w:hAnsi="宋体" w:eastAsia="宋体" w:cs="宋体"/>
                <w:spacing w:val="2"/>
                <w:sz w:val="21"/>
                <w:szCs w:val="21"/>
              </w:rPr>
              <w:t>5．评价分析表。系统提供事件评价分析报表，包含有效</w:t>
            </w:r>
            <w:r>
              <w:rPr>
                <w:rFonts w:ascii="宋体" w:hAnsi="宋体" w:eastAsia="宋体" w:cs="宋体"/>
                <w:spacing w:val="1"/>
                <w:sz w:val="21"/>
                <w:szCs w:val="21"/>
              </w:rPr>
              <w:t>评价、有效评价率、有效</w:t>
            </w:r>
            <w:r>
              <w:rPr>
                <w:rFonts w:ascii="宋体" w:hAnsi="宋体" w:eastAsia="宋体" w:cs="宋体"/>
                <w:sz w:val="21"/>
                <w:szCs w:val="21"/>
              </w:rPr>
              <w:t xml:space="preserve"> </w:t>
            </w:r>
            <w:r>
              <w:rPr>
                <w:rFonts w:ascii="宋体" w:hAnsi="宋体" w:eastAsia="宋体" w:cs="宋体"/>
                <w:spacing w:val="-4"/>
                <w:sz w:val="21"/>
                <w:szCs w:val="21"/>
              </w:rPr>
              <w:t>评价平均分、5</w:t>
            </w:r>
            <w:r>
              <w:rPr>
                <w:rFonts w:ascii="宋体" w:hAnsi="宋体" w:eastAsia="宋体" w:cs="宋体"/>
                <w:spacing w:val="-30"/>
                <w:sz w:val="21"/>
                <w:szCs w:val="21"/>
              </w:rPr>
              <w:t xml:space="preserve"> </w:t>
            </w:r>
            <w:r>
              <w:rPr>
                <w:rFonts w:ascii="宋体" w:hAnsi="宋体" w:eastAsia="宋体" w:cs="宋体"/>
                <w:spacing w:val="-4"/>
                <w:sz w:val="21"/>
                <w:szCs w:val="21"/>
              </w:rPr>
              <w:t>分制平均分等。</w:t>
            </w:r>
          </w:p>
        </w:tc>
      </w:tr>
      <w:tr w14:paraId="3B529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3" w:hRule="atLeast"/>
        </w:trPr>
        <w:tc>
          <w:tcPr>
            <w:tcW w:w="783" w:type="dxa"/>
            <w:vAlign w:val="top"/>
          </w:tcPr>
          <w:p w14:paraId="73B3F009">
            <w:pPr>
              <w:spacing w:line="249" w:lineRule="auto"/>
              <w:rPr>
                <w:rFonts w:ascii="Arial"/>
                <w:sz w:val="21"/>
              </w:rPr>
            </w:pPr>
          </w:p>
          <w:p w14:paraId="159691EC">
            <w:pPr>
              <w:spacing w:line="249" w:lineRule="auto"/>
              <w:rPr>
                <w:rFonts w:ascii="Arial"/>
                <w:sz w:val="21"/>
              </w:rPr>
            </w:pPr>
          </w:p>
          <w:p w14:paraId="311D78C2">
            <w:pPr>
              <w:spacing w:line="249" w:lineRule="auto"/>
              <w:rPr>
                <w:rFonts w:ascii="Arial"/>
                <w:sz w:val="21"/>
              </w:rPr>
            </w:pPr>
          </w:p>
          <w:p w14:paraId="74CF2EED">
            <w:pPr>
              <w:spacing w:line="249" w:lineRule="auto"/>
              <w:rPr>
                <w:rFonts w:ascii="Arial"/>
                <w:sz w:val="21"/>
              </w:rPr>
            </w:pPr>
          </w:p>
          <w:p w14:paraId="288F5E21">
            <w:pPr>
              <w:spacing w:line="249" w:lineRule="auto"/>
              <w:rPr>
                <w:rFonts w:ascii="Arial"/>
                <w:sz w:val="21"/>
              </w:rPr>
            </w:pPr>
          </w:p>
          <w:p w14:paraId="55A9EBF4">
            <w:pPr>
              <w:spacing w:line="250" w:lineRule="auto"/>
              <w:rPr>
                <w:rFonts w:ascii="Arial"/>
                <w:sz w:val="21"/>
              </w:rPr>
            </w:pPr>
          </w:p>
          <w:p w14:paraId="3A7839E0">
            <w:pPr>
              <w:spacing w:line="250" w:lineRule="auto"/>
              <w:rPr>
                <w:rFonts w:ascii="Arial"/>
                <w:sz w:val="21"/>
              </w:rPr>
            </w:pPr>
          </w:p>
          <w:p w14:paraId="0127C32B">
            <w:pPr>
              <w:spacing w:line="250" w:lineRule="auto"/>
              <w:rPr>
                <w:rFonts w:ascii="Arial"/>
                <w:sz w:val="21"/>
              </w:rPr>
            </w:pPr>
          </w:p>
          <w:p w14:paraId="52484E16">
            <w:pPr>
              <w:spacing w:before="78" w:line="181" w:lineRule="auto"/>
              <w:ind w:left="281"/>
              <w:rPr>
                <w:rFonts w:ascii="宋体" w:hAnsi="宋体" w:eastAsia="宋体" w:cs="宋体"/>
                <w:sz w:val="24"/>
                <w:szCs w:val="24"/>
              </w:rPr>
            </w:pPr>
            <w:r>
              <w:rPr>
                <w:rFonts w:ascii="宋体" w:hAnsi="宋体" w:eastAsia="宋体" w:cs="宋体"/>
                <w:sz w:val="24"/>
                <w:szCs w:val="24"/>
              </w:rPr>
              <w:t>6</w:t>
            </w:r>
          </w:p>
        </w:tc>
        <w:tc>
          <w:tcPr>
            <w:tcW w:w="1273" w:type="dxa"/>
            <w:vAlign w:val="top"/>
          </w:tcPr>
          <w:p w14:paraId="31266765">
            <w:pPr>
              <w:spacing w:line="276" w:lineRule="auto"/>
              <w:rPr>
                <w:rFonts w:ascii="Arial"/>
                <w:sz w:val="21"/>
              </w:rPr>
            </w:pPr>
          </w:p>
          <w:p w14:paraId="47FB98C0">
            <w:pPr>
              <w:spacing w:line="276" w:lineRule="auto"/>
              <w:rPr>
                <w:rFonts w:ascii="Arial"/>
                <w:sz w:val="21"/>
              </w:rPr>
            </w:pPr>
          </w:p>
          <w:p w14:paraId="6B4EE92E">
            <w:pPr>
              <w:spacing w:line="276" w:lineRule="auto"/>
              <w:rPr>
                <w:rFonts w:ascii="Arial"/>
                <w:sz w:val="21"/>
              </w:rPr>
            </w:pPr>
          </w:p>
          <w:p w14:paraId="5A94DFFA">
            <w:pPr>
              <w:spacing w:line="277" w:lineRule="auto"/>
              <w:rPr>
                <w:rFonts w:ascii="Arial"/>
                <w:sz w:val="21"/>
              </w:rPr>
            </w:pPr>
          </w:p>
          <w:p w14:paraId="4E627334">
            <w:pPr>
              <w:spacing w:line="277" w:lineRule="auto"/>
              <w:rPr>
                <w:rFonts w:ascii="Arial"/>
                <w:sz w:val="21"/>
              </w:rPr>
            </w:pPr>
          </w:p>
          <w:p w14:paraId="77CD36D7">
            <w:pPr>
              <w:spacing w:line="277" w:lineRule="auto"/>
              <w:rPr>
                <w:rFonts w:ascii="Arial"/>
                <w:sz w:val="21"/>
              </w:rPr>
            </w:pPr>
          </w:p>
          <w:p w14:paraId="2ADB95A0">
            <w:pPr>
              <w:spacing w:before="78" w:line="445" w:lineRule="auto"/>
              <w:ind w:left="113" w:right="105" w:hanging="4"/>
              <w:rPr>
                <w:rFonts w:ascii="宋体" w:hAnsi="宋体" w:eastAsia="宋体" w:cs="宋体"/>
                <w:sz w:val="24"/>
                <w:szCs w:val="24"/>
              </w:rPr>
            </w:pPr>
            <w:r>
              <w:rPr>
                <w:rFonts w:ascii="宋体" w:hAnsi="宋体" w:eastAsia="宋体" w:cs="宋体"/>
                <w:spacing w:val="22"/>
                <w:sz w:val="24"/>
                <w:szCs w:val="24"/>
              </w:rPr>
              <w:t>整改闭环</w:t>
            </w:r>
            <w:r>
              <w:rPr>
                <w:rFonts w:ascii="宋体" w:hAnsi="宋体" w:eastAsia="宋体" w:cs="宋体"/>
                <w:sz w:val="24"/>
                <w:szCs w:val="24"/>
              </w:rPr>
              <w:t xml:space="preserve"> </w:t>
            </w:r>
            <w:r>
              <w:rPr>
                <w:rFonts w:ascii="宋体" w:hAnsi="宋体" w:eastAsia="宋体" w:cs="宋体"/>
                <w:spacing w:val="-4"/>
                <w:sz w:val="24"/>
                <w:szCs w:val="24"/>
              </w:rPr>
              <w:t>管理</w:t>
            </w:r>
          </w:p>
        </w:tc>
        <w:tc>
          <w:tcPr>
            <w:tcW w:w="7743" w:type="dxa"/>
            <w:vAlign w:val="top"/>
          </w:tcPr>
          <w:p w14:paraId="3C59DCA3">
            <w:pPr>
              <w:spacing w:before="50" w:line="241" w:lineRule="auto"/>
              <w:ind w:left="110" w:right="102" w:firstLine="14"/>
              <w:rPr>
                <w:rFonts w:ascii="宋体" w:hAnsi="宋体" w:eastAsia="宋体" w:cs="宋体"/>
                <w:sz w:val="21"/>
                <w:szCs w:val="21"/>
              </w:rPr>
            </w:pPr>
            <w:r>
              <w:rPr>
                <w:rFonts w:ascii="宋体" w:hAnsi="宋体" w:eastAsia="宋体" w:cs="宋体"/>
                <w:spacing w:val="1"/>
                <w:position w:val="-2"/>
                <w:sz w:val="21"/>
                <w:szCs w:val="21"/>
              </w:rPr>
              <w:t>1．</w:t>
            </w:r>
            <w:r>
              <w:rPr>
                <w:rFonts w:ascii="宋体" w:hAnsi="宋体" w:eastAsia="宋体" w:cs="宋体"/>
                <w:spacing w:val="1"/>
                <w:sz w:val="21"/>
                <w:szCs w:val="21"/>
              </w:rPr>
              <w:t>包含事件改进模块。针对需要改进的事件，可从事件详情中发起整改项目，并</w:t>
            </w:r>
            <w:r>
              <w:rPr>
                <w:rFonts w:ascii="宋体" w:hAnsi="宋体" w:eastAsia="宋体" w:cs="宋体"/>
                <w:spacing w:val="13"/>
                <w:sz w:val="21"/>
                <w:szCs w:val="21"/>
              </w:rPr>
              <w:t xml:space="preserve"> </w:t>
            </w:r>
            <w:r>
              <w:rPr>
                <w:rFonts w:ascii="宋体" w:hAnsi="宋体" w:eastAsia="宋体" w:cs="宋体"/>
                <w:spacing w:val="-1"/>
                <w:sz w:val="21"/>
                <w:szCs w:val="21"/>
              </w:rPr>
              <w:t>自动与事件关联，整改模块包含整改项目日志、会议记录、项目记录、</w:t>
            </w:r>
            <w:r>
              <w:rPr>
                <w:rFonts w:ascii="宋体" w:hAnsi="宋体" w:eastAsia="宋体" w:cs="宋体"/>
                <w:spacing w:val="-2"/>
                <w:sz w:val="21"/>
                <w:szCs w:val="21"/>
              </w:rPr>
              <w:t>督查记录、</w:t>
            </w:r>
            <w:r>
              <w:rPr>
                <w:rFonts w:ascii="宋体" w:hAnsi="宋体" w:eastAsia="宋体" w:cs="宋体"/>
                <w:sz w:val="21"/>
                <w:szCs w:val="21"/>
              </w:rPr>
              <w:t xml:space="preserve"> </w:t>
            </w:r>
            <w:r>
              <w:rPr>
                <w:rFonts w:ascii="宋体" w:hAnsi="宋体" w:eastAsia="宋体" w:cs="宋体"/>
                <w:spacing w:val="-3"/>
                <w:sz w:val="21"/>
                <w:szCs w:val="21"/>
              </w:rPr>
              <w:t>整改报告、追踪报告以及评论。</w:t>
            </w:r>
          </w:p>
          <w:p w14:paraId="0004B285">
            <w:pPr>
              <w:spacing w:before="72" w:line="274" w:lineRule="auto"/>
              <w:ind w:left="110" w:right="102" w:firstLine="1"/>
              <w:rPr>
                <w:rFonts w:ascii="宋体" w:hAnsi="宋体" w:eastAsia="宋体" w:cs="宋体"/>
                <w:sz w:val="21"/>
                <w:szCs w:val="21"/>
              </w:rPr>
            </w:pPr>
            <w:r>
              <w:rPr>
                <w:rFonts w:ascii="宋体" w:hAnsi="宋体" w:eastAsia="宋体" w:cs="宋体"/>
                <w:spacing w:val="2"/>
                <w:sz w:val="21"/>
                <w:szCs w:val="21"/>
              </w:rPr>
              <w:t>2．整改项目申报。单个事件可申报多个整改项目，申报内</w:t>
            </w:r>
            <w:r>
              <w:rPr>
                <w:rFonts w:ascii="宋体" w:hAnsi="宋体" w:eastAsia="宋体" w:cs="宋体"/>
                <w:spacing w:val="1"/>
                <w:sz w:val="21"/>
                <w:szCs w:val="21"/>
              </w:rPr>
              <w:t>容包含整改项目、计划</w:t>
            </w:r>
            <w:r>
              <w:rPr>
                <w:rFonts w:ascii="宋体" w:hAnsi="宋体" w:eastAsia="宋体" w:cs="宋体"/>
                <w:sz w:val="21"/>
                <w:szCs w:val="21"/>
              </w:rPr>
              <w:t xml:space="preserve"> </w:t>
            </w:r>
            <w:r>
              <w:rPr>
                <w:rFonts w:ascii="宋体" w:hAnsi="宋体" w:eastAsia="宋体" w:cs="宋体"/>
                <w:spacing w:val="-1"/>
                <w:sz w:val="21"/>
                <w:szCs w:val="21"/>
              </w:rPr>
              <w:t>开始、计划结束、责任科室、责任人、参与科室、参与人员、管理部门</w:t>
            </w:r>
            <w:r>
              <w:rPr>
                <w:rFonts w:ascii="宋体" w:hAnsi="宋体" w:eastAsia="宋体" w:cs="宋体"/>
                <w:spacing w:val="-2"/>
                <w:sz w:val="21"/>
                <w:szCs w:val="21"/>
              </w:rPr>
              <w:t>、管理人员</w:t>
            </w:r>
            <w:r>
              <w:rPr>
                <w:rFonts w:ascii="宋体" w:hAnsi="宋体" w:eastAsia="宋体" w:cs="宋体"/>
                <w:sz w:val="21"/>
                <w:szCs w:val="21"/>
              </w:rPr>
              <w:t xml:space="preserve"> </w:t>
            </w:r>
            <w:r>
              <w:rPr>
                <w:rFonts w:ascii="宋体" w:hAnsi="宋体" w:eastAsia="宋体" w:cs="宋体"/>
                <w:spacing w:val="-3"/>
                <w:sz w:val="21"/>
                <w:szCs w:val="21"/>
              </w:rPr>
              <w:t>等，申报后自动生成整改项目。</w:t>
            </w:r>
          </w:p>
          <w:p w14:paraId="061E914A">
            <w:pPr>
              <w:spacing w:before="91" w:line="274" w:lineRule="auto"/>
              <w:ind w:left="110" w:right="102" w:firstLine="2"/>
              <w:rPr>
                <w:rFonts w:ascii="宋体" w:hAnsi="宋体" w:eastAsia="宋体" w:cs="宋体"/>
                <w:sz w:val="21"/>
                <w:szCs w:val="21"/>
              </w:rPr>
            </w:pPr>
            <w:r>
              <w:rPr>
                <w:rFonts w:ascii="宋体" w:hAnsi="宋体" w:eastAsia="宋体" w:cs="宋体"/>
                <w:spacing w:val="2"/>
                <w:sz w:val="21"/>
                <w:szCs w:val="21"/>
              </w:rPr>
              <w:t>3．整改流程。持续改进流程可配置，基本流程为发起</w:t>
            </w:r>
            <w:r>
              <w:rPr>
                <w:rFonts w:ascii="宋体" w:hAnsi="宋体" w:eastAsia="宋体" w:cs="宋体"/>
                <w:spacing w:val="1"/>
                <w:sz w:val="21"/>
                <w:szCs w:val="21"/>
              </w:rPr>
              <w:t>整改-责任人接收项目-责任</w:t>
            </w:r>
            <w:r>
              <w:rPr>
                <w:rFonts w:ascii="宋体" w:hAnsi="宋体" w:eastAsia="宋体" w:cs="宋体"/>
                <w:sz w:val="21"/>
                <w:szCs w:val="21"/>
              </w:rPr>
              <w:t xml:space="preserve"> </w:t>
            </w:r>
            <w:r>
              <w:rPr>
                <w:rFonts w:ascii="宋体" w:hAnsi="宋体" w:eastAsia="宋体" w:cs="宋体"/>
                <w:spacing w:val="5"/>
                <w:sz w:val="21"/>
                <w:szCs w:val="21"/>
              </w:rPr>
              <w:t>人开始整改并填写整改报告-整改完成后提交管理部门审</w:t>
            </w:r>
            <w:r>
              <w:rPr>
                <w:rFonts w:ascii="宋体" w:hAnsi="宋体" w:eastAsia="宋体" w:cs="宋体"/>
                <w:spacing w:val="4"/>
                <w:sz w:val="21"/>
                <w:szCs w:val="21"/>
              </w:rPr>
              <w:t>核-管理部门填写评价报</w:t>
            </w:r>
            <w:r>
              <w:rPr>
                <w:rFonts w:ascii="宋体" w:hAnsi="宋体" w:eastAsia="宋体" w:cs="宋体"/>
                <w:sz w:val="21"/>
                <w:szCs w:val="21"/>
              </w:rPr>
              <w:t xml:space="preserve"> </w:t>
            </w:r>
            <w:r>
              <w:rPr>
                <w:rFonts w:ascii="宋体" w:hAnsi="宋体" w:eastAsia="宋体" w:cs="宋体"/>
                <w:spacing w:val="-5"/>
                <w:sz w:val="21"/>
                <w:szCs w:val="21"/>
              </w:rPr>
              <w:t>告-项目结项。</w:t>
            </w:r>
          </w:p>
          <w:p w14:paraId="5E8B9798">
            <w:pPr>
              <w:spacing w:before="96" w:line="280" w:lineRule="auto"/>
              <w:ind w:left="108" w:right="102"/>
              <w:rPr>
                <w:rFonts w:ascii="宋体" w:hAnsi="宋体" w:eastAsia="宋体" w:cs="宋体"/>
                <w:sz w:val="21"/>
                <w:szCs w:val="21"/>
              </w:rPr>
            </w:pPr>
            <w:r>
              <w:rPr>
                <w:rFonts w:ascii="宋体" w:hAnsi="宋体" w:eastAsia="宋体" w:cs="宋体"/>
                <w:spacing w:val="2"/>
                <w:sz w:val="21"/>
                <w:szCs w:val="21"/>
              </w:rPr>
              <w:t>4．整改报告。整改报告包含整改计划（整改内容、整改时长）、反</w:t>
            </w:r>
            <w:r>
              <w:rPr>
                <w:rFonts w:ascii="宋体" w:hAnsi="宋体" w:eastAsia="宋体" w:cs="宋体"/>
                <w:spacing w:val="1"/>
                <w:sz w:val="21"/>
                <w:szCs w:val="21"/>
              </w:rPr>
              <w:t>馈情况（反馈</w:t>
            </w:r>
            <w:r>
              <w:rPr>
                <w:rFonts w:ascii="宋体" w:hAnsi="宋体" w:eastAsia="宋体" w:cs="宋体"/>
                <w:sz w:val="21"/>
                <w:szCs w:val="21"/>
              </w:rPr>
              <w:t xml:space="preserve"> </w:t>
            </w:r>
            <w:r>
              <w:rPr>
                <w:rFonts w:ascii="宋体" w:hAnsi="宋体" w:eastAsia="宋体" w:cs="宋体"/>
                <w:spacing w:val="-1"/>
                <w:sz w:val="21"/>
                <w:szCs w:val="21"/>
              </w:rPr>
              <w:t>日期、措施落实情况及附件）、整改追踪报告包含整</w:t>
            </w:r>
            <w:r>
              <w:rPr>
                <w:rFonts w:ascii="宋体" w:hAnsi="宋体" w:eastAsia="宋体" w:cs="宋体"/>
                <w:spacing w:val="-2"/>
                <w:sz w:val="21"/>
                <w:szCs w:val="21"/>
              </w:rPr>
              <w:t>改效果、存在问题、整改建议</w:t>
            </w:r>
            <w:r>
              <w:rPr>
                <w:rFonts w:ascii="宋体" w:hAnsi="宋体" w:eastAsia="宋体" w:cs="宋体"/>
                <w:sz w:val="21"/>
                <w:szCs w:val="21"/>
              </w:rPr>
              <w:t xml:space="preserve"> </w:t>
            </w:r>
            <w:r>
              <w:rPr>
                <w:rFonts w:ascii="宋体" w:hAnsi="宋体" w:eastAsia="宋体" w:cs="宋体"/>
                <w:spacing w:val="1"/>
                <w:sz w:val="21"/>
                <w:szCs w:val="21"/>
              </w:rPr>
              <w:t>及附件并可多次追踪，整改结束后可导出</w:t>
            </w:r>
            <w:r>
              <w:rPr>
                <w:rFonts w:ascii="宋体" w:hAnsi="宋体" w:eastAsia="宋体" w:cs="宋体"/>
                <w:spacing w:val="-31"/>
                <w:sz w:val="21"/>
                <w:szCs w:val="21"/>
              </w:rPr>
              <w:t xml:space="preserve"> </w:t>
            </w:r>
            <w:r>
              <w:rPr>
                <w:rFonts w:ascii="宋体" w:hAnsi="宋体" w:eastAsia="宋体" w:cs="宋体"/>
                <w:sz w:val="21"/>
                <w:szCs w:val="21"/>
              </w:rPr>
              <w:t>word</w:t>
            </w:r>
            <w:r>
              <w:rPr>
                <w:rFonts w:ascii="宋体" w:hAnsi="宋体" w:eastAsia="宋体" w:cs="宋体"/>
                <w:spacing w:val="-41"/>
                <w:sz w:val="21"/>
                <w:szCs w:val="21"/>
              </w:rPr>
              <w:t xml:space="preserve"> </w:t>
            </w:r>
            <w:r>
              <w:rPr>
                <w:rFonts w:ascii="宋体" w:hAnsi="宋体" w:eastAsia="宋体" w:cs="宋体"/>
                <w:spacing w:val="1"/>
                <w:sz w:val="21"/>
                <w:szCs w:val="21"/>
              </w:rPr>
              <w:t>整改报告、可根据查询条件批量导</w:t>
            </w:r>
            <w:r>
              <w:rPr>
                <w:rFonts w:ascii="宋体" w:hAnsi="宋体" w:eastAsia="宋体" w:cs="宋体"/>
                <w:sz w:val="21"/>
                <w:szCs w:val="21"/>
              </w:rPr>
              <w:t xml:space="preserve"> </w:t>
            </w:r>
            <w:r>
              <w:rPr>
                <w:rFonts w:ascii="宋体" w:hAnsi="宋体" w:eastAsia="宋体" w:cs="宋体"/>
                <w:spacing w:val="-5"/>
                <w:sz w:val="21"/>
                <w:szCs w:val="21"/>
              </w:rPr>
              <w:t>出</w:t>
            </w:r>
            <w:r>
              <w:rPr>
                <w:rFonts w:ascii="宋体" w:hAnsi="宋体" w:eastAsia="宋体" w:cs="宋体"/>
                <w:spacing w:val="-38"/>
                <w:sz w:val="21"/>
                <w:szCs w:val="21"/>
              </w:rPr>
              <w:t xml:space="preserve"> </w:t>
            </w:r>
            <w:r>
              <w:rPr>
                <w:rFonts w:ascii="宋体" w:hAnsi="宋体" w:eastAsia="宋体" w:cs="宋体"/>
                <w:spacing w:val="-5"/>
                <w:sz w:val="21"/>
                <w:szCs w:val="21"/>
              </w:rPr>
              <w:t>excel</w:t>
            </w:r>
            <w:r>
              <w:rPr>
                <w:rFonts w:ascii="宋体" w:hAnsi="宋体" w:eastAsia="宋体" w:cs="宋体"/>
                <w:spacing w:val="-43"/>
                <w:sz w:val="21"/>
                <w:szCs w:val="21"/>
              </w:rPr>
              <w:t xml:space="preserve"> </w:t>
            </w:r>
            <w:r>
              <w:rPr>
                <w:rFonts w:ascii="宋体" w:hAnsi="宋体" w:eastAsia="宋体" w:cs="宋体"/>
                <w:spacing w:val="-5"/>
                <w:sz w:val="21"/>
                <w:szCs w:val="21"/>
              </w:rPr>
              <w:t>整改报告。</w:t>
            </w:r>
          </w:p>
        </w:tc>
      </w:tr>
    </w:tbl>
    <w:p w14:paraId="4E630F04">
      <w:pPr>
        <w:pStyle w:val="2"/>
        <w:spacing w:line="260" w:lineRule="auto"/>
      </w:pPr>
    </w:p>
    <w:p w14:paraId="09669D9B">
      <w:pPr>
        <w:pStyle w:val="2"/>
        <w:spacing w:line="261" w:lineRule="auto"/>
      </w:pPr>
    </w:p>
    <w:p w14:paraId="00BF5AB4">
      <w:pPr>
        <w:pStyle w:val="2"/>
        <w:spacing w:line="261" w:lineRule="auto"/>
      </w:pPr>
    </w:p>
    <w:p w14:paraId="40DF8604">
      <w:pPr>
        <w:spacing w:before="62" w:line="209" w:lineRule="auto"/>
        <w:ind w:left="148"/>
        <w:rPr>
          <w:rFonts w:ascii="宋体" w:hAnsi="宋体" w:eastAsia="宋体" w:cs="宋体"/>
          <w:sz w:val="19"/>
          <w:szCs w:val="19"/>
        </w:rPr>
      </w:pPr>
      <w:r>
        <w:pict>
          <v:shape id="_x0000_s1060" o:spid="_x0000_s1060" style="position:absolute;left:0pt;margin-left:1.95pt;margin-top:11.8pt;height:0.75pt;width:494pt;z-index:251705344;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2"/>
          <w:position w:val="1"/>
          <w:sz w:val="18"/>
          <w:szCs w:val="18"/>
        </w:rPr>
        <w:t xml:space="preserve">40                          </w:t>
      </w:r>
      <w:r>
        <w:rPr>
          <w:rFonts w:ascii="Times New Roman" w:hAnsi="Times New Roman" w:eastAsia="Times New Roman" w:cs="Times New Roman"/>
          <w:spacing w:val="-3"/>
          <w:position w:val="1"/>
          <w:sz w:val="18"/>
          <w:szCs w:val="18"/>
        </w:rPr>
        <w:t xml:space="preserve">     </w:t>
      </w:r>
      <w:r>
        <w:rPr>
          <w:rFonts w:ascii="宋体" w:hAnsi="宋体" w:eastAsia="宋体" w:cs="宋体"/>
          <w:b/>
          <w:bCs/>
          <w:i/>
          <w:iCs/>
          <w:spacing w:val="-3"/>
          <w:sz w:val="19"/>
          <w:szCs w:val="19"/>
        </w:rPr>
        <w:t>伊犁州公共资源交易中心</w:t>
      </w:r>
    </w:p>
    <w:p w14:paraId="0CF39116">
      <w:pPr>
        <w:spacing w:line="209" w:lineRule="auto"/>
        <w:rPr>
          <w:rFonts w:ascii="宋体" w:hAnsi="宋体" w:eastAsia="宋体" w:cs="宋体"/>
          <w:sz w:val="19"/>
          <w:szCs w:val="19"/>
        </w:rPr>
        <w:sectPr>
          <w:pgSz w:w="11905" w:h="16839"/>
          <w:pgMar w:top="1136" w:right="830" w:bottom="400" w:left="1126" w:header="854" w:footer="0" w:gutter="0"/>
          <w:cols w:space="720" w:num="1"/>
        </w:sectPr>
      </w:pPr>
    </w:p>
    <w:p w14:paraId="13F5CA60">
      <w:pPr>
        <w:spacing w:before="38"/>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3"/>
        <w:gridCol w:w="7743"/>
      </w:tblGrid>
      <w:tr w14:paraId="01512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3" w:type="dxa"/>
            <w:vAlign w:val="top"/>
          </w:tcPr>
          <w:p w14:paraId="21D82345">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131F8C5C">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372FF21C">
            <w:pPr>
              <w:spacing w:before="179"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00C2C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0" w:hRule="atLeast"/>
        </w:trPr>
        <w:tc>
          <w:tcPr>
            <w:tcW w:w="783" w:type="dxa"/>
            <w:vAlign w:val="top"/>
          </w:tcPr>
          <w:p w14:paraId="0D47F1F2">
            <w:pPr>
              <w:rPr>
                <w:rFonts w:ascii="Arial"/>
                <w:sz w:val="21"/>
              </w:rPr>
            </w:pPr>
          </w:p>
          <w:p w14:paraId="00B811EC">
            <w:pPr>
              <w:rPr>
                <w:rFonts w:ascii="Arial"/>
                <w:sz w:val="21"/>
              </w:rPr>
            </w:pPr>
          </w:p>
          <w:p w14:paraId="5DDD246D">
            <w:pPr>
              <w:rPr>
                <w:rFonts w:ascii="Arial"/>
                <w:sz w:val="21"/>
              </w:rPr>
            </w:pPr>
          </w:p>
          <w:p w14:paraId="6195BE38">
            <w:pPr>
              <w:rPr>
                <w:rFonts w:ascii="Arial"/>
                <w:sz w:val="21"/>
              </w:rPr>
            </w:pPr>
          </w:p>
          <w:p w14:paraId="5C3F7193">
            <w:pPr>
              <w:rPr>
                <w:rFonts w:ascii="Arial"/>
                <w:sz w:val="21"/>
              </w:rPr>
            </w:pPr>
          </w:p>
          <w:p w14:paraId="7A81C249">
            <w:pPr>
              <w:rPr>
                <w:rFonts w:ascii="Arial"/>
                <w:sz w:val="21"/>
              </w:rPr>
            </w:pPr>
          </w:p>
          <w:p w14:paraId="4812B223">
            <w:pPr>
              <w:rPr>
                <w:rFonts w:ascii="Arial"/>
                <w:sz w:val="21"/>
              </w:rPr>
            </w:pPr>
          </w:p>
          <w:p w14:paraId="7D10BE8E">
            <w:pPr>
              <w:rPr>
                <w:rFonts w:ascii="Arial"/>
                <w:sz w:val="21"/>
              </w:rPr>
            </w:pPr>
          </w:p>
          <w:p w14:paraId="5E93C80D">
            <w:pPr>
              <w:rPr>
                <w:rFonts w:ascii="Arial"/>
                <w:sz w:val="21"/>
              </w:rPr>
            </w:pPr>
          </w:p>
          <w:p w14:paraId="255522BD">
            <w:pPr>
              <w:rPr>
                <w:rFonts w:ascii="Arial"/>
                <w:sz w:val="21"/>
              </w:rPr>
            </w:pPr>
          </w:p>
          <w:p w14:paraId="3A3E471A">
            <w:pPr>
              <w:rPr>
                <w:rFonts w:ascii="Arial"/>
                <w:sz w:val="21"/>
              </w:rPr>
            </w:pPr>
          </w:p>
          <w:p w14:paraId="075BA40F">
            <w:pPr>
              <w:rPr>
                <w:rFonts w:ascii="Arial"/>
                <w:sz w:val="21"/>
              </w:rPr>
            </w:pPr>
          </w:p>
          <w:p w14:paraId="41C50BC0">
            <w:pPr>
              <w:rPr>
                <w:rFonts w:ascii="Arial"/>
                <w:sz w:val="21"/>
              </w:rPr>
            </w:pPr>
          </w:p>
          <w:p w14:paraId="690E2648">
            <w:pPr>
              <w:rPr>
                <w:rFonts w:ascii="Arial"/>
                <w:sz w:val="21"/>
              </w:rPr>
            </w:pPr>
          </w:p>
          <w:p w14:paraId="40FBFF5E">
            <w:pPr>
              <w:rPr>
                <w:rFonts w:ascii="Arial"/>
                <w:sz w:val="21"/>
              </w:rPr>
            </w:pPr>
          </w:p>
          <w:p w14:paraId="66A863A4">
            <w:pPr>
              <w:rPr>
                <w:rFonts w:ascii="Arial"/>
                <w:sz w:val="21"/>
              </w:rPr>
            </w:pPr>
          </w:p>
          <w:p w14:paraId="1D925B48">
            <w:pPr>
              <w:rPr>
                <w:rFonts w:ascii="Arial"/>
                <w:sz w:val="21"/>
              </w:rPr>
            </w:pPr>
          </w:p>
          <w:p w14:paraId="08042A33">
            <w:pPr>
              <w:rPr>
                <w:rFonts w:ascii="Arial"/>
                <w:sz w:val="21"/>
              </w:rPr>
            </w:pPr>
          </w:p>
          <w:p w14:paraId="21C4BD27">
            <w:pPr>
              <w:rPr>
                <w:rFonts w:ascii="Arial"/>
                <w:sz w:val="21"/>
              </w:rPr>
            </w:pPr>
          </w:p>
          <w:p w14:paraId="3B722E06">
            <w:pPr>
              <w:rPr>
                <w:rFonts w:ascii="Arial"/>
                <w:sz w:val="21"/>
              </w:rPr>
            </w:pPr>
          </w:p>
          <w:p w14:paraId="2F8D33F6">
            <w:pPr>
              <w:rPr>
                <w:rFonts w:ascii="Arial"/>
                <w:sz w:val="21"/>
              </w:rPr>
            </w:pPr>
          </w:p>
          <w:p w14:paraId="7753DBC2">
            <w:pPr>
              <w:rPr>
                <w:rFonts w:ascii="Arial"/>
                <w:sz w:val="21"/>
              </w:rPr>
            </w:pPr>
          </w:p>
          <w:p w14:paraId="4A95AC4A">
            <w:pPr>
              <w:rPr>
                <w:rFonts w:ascii="Arial"/>
                <w:sz w:val="21"/>
              </w:rPr>
            </w:pPr>
          </w:p>
          <w:p w14:paraId="21B5F79E">
            <w:pPr>
              <w:spacing w:line="241" w:lineRule="auto"/>
              <w:rPr>
                <w:rFonts w:ascii="Arial"/>
                <w:sz w:val="21"/>
              </w:rPr>
            </w:pPr>
          </w:p>
          <w:p w14:paraId="2459A425">
            <w:pPr>
              <w:spacing w:line="241" w:lineRule="auto"/>
              <w:rPr>
                <w:rFonts w:ascii="Arial"/>
                <w:sz w:val="21"/>
              </w:rPr>
            </w:pPr>
          </w:p>
          <w:p w14:paraId="12298569">
            <w:pPr>
              <w:spacing w:line="241" w:lineRule="auto"/>
              <w:rPr>
                <w:rFonts w:ascii="Arial"/>
                <w:sz w:val="21"/>
              </w:rPr>
            </w:pPr>
          </w:p>
          <w:p w14:paraId="71EFDEB5">
            <w:pPr>
              <w:spacing w:line="241" w:lineRule="auto"/>
              <w:rPr>
                <w:rFonts w:ascii="Arial"/>
                <w:sz w:val="21"/>
              </w:rPr>
            </w:pPr>
          </w:p>
          <w:p w14:paraId="7709A12E">
            <w:pPr>
              <w:spacing w:before="78" w:line="180" w:lineRule="auto"/>
              <w:ind w:left="285"/>
              <w:rPr>
                <w:rFonts w:ascii="宋体" w:hAnsi="宋体" w:eastAsia="宋体" w:cs="宋体"/>
                <w:sz w:val="24"/>
                <w:szCs w:val="24"/>
              </w:rPr>
            </w:pPr>
            <w:r>
              <w:rPr>
                <w:rFonts w:ascii="宋体" w:hAnsi="宋体" w:eastAsia="宋体" w:cs="宋体"/>
                <w:sz w:val="24"/>
                <w:szCs w:val="24"/>
              </w:rPr>
              <w:t>7</w:t>
            </w:r>
          </w:p>
        </w:tc>
        <w:tc>
          <w:tcPr>
            <w:tcW w:w="1273" w:type="dxa"/>
            <w:vAlign w:val="top"/>
          </w:tcPr>
          <w:p w14:paraId="38FE67FA">
            <w:pPr>
              <w:spacing w:line="245" w:lineRule="auto"/>
              <w:rPr>
                <w:rFonts w:ascii="Arial"/>
                <w:sz w:val="21"/>
              </w:rPr>
            </w:pPr>
          </w:p>
          <w:p w14:paraId="0B74C30C">
            <w:pPr>
              <w:spacing w:line="245" w:lineRule="auto"/>
              <w:rPr>
                <w:rFonts w:ascii="Arial"/>
                <w:sz w:val="21"/>
              </w:rPr>
            </w:pPr>
          </w:p>
          <w:p w14:paraId="537E7CAF">
            <w:pPr>
              <w:spacing w:line="245" w:lineRule="auto"/>
              <w:rPr>
                <w:rFonts w:ascii="Arial"/>
                <w:sz w:val="21"/>
              </w:rPr>
            </w:pPr>
          </w:p>
          <w:p w14:paraId="46869FE2">
            <w:pPr>
              <w:spacing w:line="245" w:lineRule="auto"/>
              <w:rPr>
                <w:rFonts w:ascii="Arial"/>
                <w:sz w:val="21"/>
              </w:rPr>
            </w:pPr>
          </w:p>
          <w:p w14:paraId="280CE810">
            <w:pPr>
              <w:spacing w:line="245" w:lineRule="auto"/>
              <w:rPr>
                <w:rFonts w:ascii="Arial"/>
                <w:sz w:val="21"/>
              </w:rPr>
            </w:pPr>
          </w:p>
          <w:p w14:paraId="18C0A94B">
            <w:pPr>
              <w:spacing w:line="246" w:lineRule="auto"/>
              <w:rPr>
                <w:rFonts w:ascii="Arial"/>
                <w:sz w:val="21"/>
              </w:rPr>
            </w:pPr>
          </w:p>
          <w:p w14:paraId="4A2FEF13">
            <w:pPr>
              <w:spacing w:line="246" w:lineRule="auto"/>
              <w:rPr>
                <w:rFonts w:ascii="Arial"/>
                <w:sz w:val="21"/>
              </w:rPr>
            </w:pPr>
          </w:p>
          <w:p w14:paraId="1FFEB562">
            <w:pPr>
              <w:spacing w:line="246" w:lineRule="auto"/>
              <w:rPr>
                <w:rFonts w:ascii="Arial"/>
                <w:sz w:val="21"/>
              </w:rPr>
            </w:pPr>
          </w:p>
          <w:p w14:paraId="6CCC9D25">
            <w:pPr>
              <w:spacing w:line="246" w:lineRule="auto"/>
              <w:rPr>
                <w:rFonts w:ascii="Arial"/>
                <w:sz w:val="21"/>
              </w:rPr>
            </w:pPr>
          </w:p>
          <w:p w14:paraId="4023AF58">
            <w:pPr>
              <w:spacing w:line="246" w:lineRule="auto"/>
              <w:rPr>
                <w:rFonts w:ascii="Arial"/>
                <w:sz w:val="21"/>
              </w:rPr>
            </w:pPr>
          </w:p>
          <w:p w14:paraId="4FBEB930">
            <w:pPr>
              <w:spacing w:line="246" w:lineRule="auto"/>
              <w:rPr>
                <w:rFonts w:ascii="Arial"/>
                <w:sz w:val="21"/>
              </w:rPr>
            </w:pPr>
          </w:p>
          <w:p w14:paraId="435FA4B1">
            <w:pPr>
              <w:spacing w:line="246" w:lineRule="auto"/>
              <w:rPr>
                <w:rFonts w:ascii="Arial"/>
                <w:sz w:val="21"/>
              </w:rPr>
            </w:pPr>
          </w:p>
          <w:p w14:paraId="3EB00715">
            <w:pPr>
              <w:spacing w:line="246" w:lineRule="auto"/>
              <w:rPr>
                <w:rFonts w:ascii="Arial"/>
                <w:sz w:val="21"/>
              </w:rPr>
            </w:pPr>
          </w:p>
          <w:p w14:paraId="6F8E6634">
            <w:pPr>
              <w:spacing w:line="246" w:lineRule="auto"/>
              <w:rPr>
                <w:rFonts w:ascii="Arial"/>
                <w:sz w:val="21"/>
              </w:rPr>
            </w:pPr>
          </w:p>
          <w:p w14:paraId="5CF68905">
            <w:pPr>
              <w:spacing w:line="246" w:lineRule="auto"/>
              <w:rPr>
                <w:rFonts w:ascii="Arial"/>
                <w:sz w:val="21"/>
              </w:rPr>
            </w:pPr>
          </w:p>
          <w:p w14:paraId="389B35B1">
            <w:pPr>
              <w:spacing w:line="246" w:lineRule="auto"/>
              <w:rPr>
                <w:rFonts w:ascii="Arial"/>
                <w:sz w:val="21"/>
              </w:rPr>
            </w:pPr>
          </w:p>
          <w:p w14:paraId="6F3EDCA3">
            <w:pPr>
              <w:spacing w:line="246" w:lineRule="auto"/>
              <w:rPr>
                <w:rFonts w:ascii="Arial"/>
                <w:sz w:val="21"/>
              </w:rPr>
            </w:pPr>
          </w:p>
          <w:p w14:paraId="0ADBF588">
            <w:pPr>
              <w:spacing w:line="246" w:lineRule="auto"/>
              <w:rPr>
                <w:rFonts w:ascii="Arial"/>
                <w:sz w:val="21"/>
              </w:rPr>
            </w:pPr>
          </w:p>
          <w:p w14:paraId="7BE51CA2">
            <w:pPr>
              <w:spacing w:line="246" w:lineRule="auto"/>
              <w:rPr>
                <w:rFonts w:ascii="Arial"/>
                <w:sz w:val="21"/>
              </w:rPr>
            </w:pPr>
          </w:p>
          <w:p w14:paraId="0350AA69">
            <w:pPr>
              <w:spacing w:line="246" w:lineRule="auto"/>
              <w:rPr>
                <w:rFonts w:ascii="Arial"/>
                <w:sz w:val="21"/>
              </w:rPr>
            </w:pPr>
          </w:p>
          <w:p w14:paraId="092F2BCC">
            <w:pPr>
              <w:spacing w:line="246" w:lineRule="auto"/>
              <w:rPr>
                <w:rFonts w:ascii="Arial"/>
                <w:sz w:val="21"/>
              </w:rPr>
            </w:pPr>
          </w:p>
          <w:p w14:paraId="008205FD">
            <w:pPr>
              <w:spacing w:line="246" w:lineRule="auto"/>
              <w:rPr>
                <w:rFonts w:ascii="Arial"/>
                <w:sz w:val="21"/>
              </w:rPr>
            </w:pPr>
          </w:p>
          <w:p w14:paraId="46CAF09F">
            <w:pPr>
              <w:spacing w:line="246" w:lineRule="auto"/>
              <w:rPr>
                <w:rFonts w:ascii="Arial"/>
                <w:sz w:val="21"/>
              </w:rPr>
            </w:pPr>
          </w:p>
          <w:p w14:paraId="5289A0AD">
            <w:pPr>
              <w:spacing w:line="246" w:lineRule="auto"/>
              <w:rPr>
                <w:rFonts w:ascii="Arial"/>
                <w:sz w:val="21"/>
              </w:rPr>
            </w:pPr>
          </w:p>
          <w:p w14:paraId="78D8EAA3">
            <w:pPr>
              <w:spacing w:line="246" w:lineRule="auto"/>
              <w:rPr>
                <w:rFonts w:ascii="Arial"/>
                <w:sz w:val="21"/>
              </w:rPr>
            </w:pPr>
          </w:p>
          <w:p w14:paraId="1C42C03D">
            <w:pPr>
              <w:spacing w:before="78" w:line="446" w:lineRule="auto"/>
              <w:ind w:left="108" w:right="105" w:firstLine="3"/>
              <w:rPr>
                <w:rFonts w:ascii="宋体" w:hAnsi="宋体" w:eastAsia="宋体" w:cs="宋体"/>
                <w:sz w:val="24"/>
                <w:szCs w:val="24"/>
              </w:rPr>
            </w:pPr>
            <w:r>
              <w:rPr>
                <w:rFonts w:ascii="宋体" w:hAnsi="宋体" w:eastAsia="宋体" w:cs="宋体"/>
                <w:spacing w:val="-2"/>
                <w:sz w:val="24"/>
                <w:szCs w:val="24"/>
              </w:rPr>
              <w:t>★</w:t>
            </w:r>
            <w:r>
              <w:rPr>
                <w:rFonts w:ascii="宋体" w:hAnsi="宋体" w:eastAsia="宋体" w:cs="宋体"/>
                <w:spacing w:val="-76"/>
                <w:sz w:val="24"/>
                <w:szCs w:val="24"/>
              </w:rPr>
              <w:t xml:space="preserve"> </w:t>
            </w:r>
            <w:r>
              <w:rPr>
                <w:rFonts w:ascii="宋体" w:hAnsi="宋体" w:eastAsia="宋体" w:cs="宋体"/>
                <w:spacing w:val="-2"/>
                <w:sz w:val="24"/>
                <w:szCs w:val="24"/>
              </w:rPr>
              <w:t>事件</w:t>
            </w:r>
            <w:r>
              <w:rPr>
                <w:rFonts w:ascii="宋体" w:hAnsi="宋体" w:eastAsia="宋体" w:cs="宋体"/>
                <w:spacing w:val="-72"/>
                <w:sz w:val="24"/>
                <w:szCs w:val="24"/>
              </w:rPr>
              <w:t xml:space="preserve"> </w:t>
            </w:r>
            <w:r>
              <w:rPr>
                <w:rFonts w:ascii="宋体" w:hAnsi="宋体" w:eastAsia="宋体" w:cs="宋体"/>
                <w:spacing w:val="-2"/>
                <w:sz w:val="24"/>
                <w:szCs w:val="24"/>
              </w:rPr>
              <w:t>统</w:t>
            </w:r>
            <w:r>
              <w:rPr>
                <w:rFonts w:ascii="宋体" w:hAnsi="宋体" w:eastAsia="宋体" w:cs="宋体"/>
                <w:sz w:val="24"/>
                <w:szCs w:val="24"/>
              </w:rPr>
              <w:t xml:space="preserve"> </w:t>
            </w:r>
            <w:r>
              <w:rPr>
                <w:rFonts w:ascii="宋体" w:hAnsi="宋体" w:eastAsia="宋体" w:cs="宋体"/>
                <w:spacing w:val="-2"/>
                <w:sz w:val="24"/>
                <w:szCs w:val="24"/>
              </w:rPr>
              <w:t>计、分析</w:t>
            </w:r>
          </w:p>
        </w:tc>
        <w:tc>
          <w:tcPr>
            <w:tcW w:w="7743" w:type="dxa"/>
            <w:vAlign w:val="top"/>
          </w:tcPr>
          <w:p w14:paraId="7E55A10D">
            <w:pPr>
              <w:spacing w:before="64" w:line="274" w:lineRule="auto"/>
              <w:ind w:left="109" w:right="27" w:firstLine="15"/>
              <w:rPr>
                <w:rFonts w:ascii="宋体" w:hAnsi="宋体" w:eastAsia="宋体" w:cs="宋体"/>
                <w:sz w:val="21"/>
                <w:szCs w:val="21"/>
              </w:rPr>
            </w:pPr>
            <w:r>
              <w:rPr>
                <w:rFonts w:ascii="宋体" w:hAnsi="宋体" w:eastAsia="宋体" w:cs="宋体"/>
                <w:spacing w:val="1"/>
                <w:sz w:val="21"/>
                <w:szCs w:val="21"/>
              </w:rPr>
              <w:t>1．统计、分析搜索。所有的统计分析支持</w:t>
            </w:r>
            <w:r>
              <w:rPr>
                <w:rFonts w:ascii="宋体" w:hAnsi="宋体" w:eastAsia="宋体" w:cs="宋体"/>
                <w:sz w:val="21"/>
                <w:szCs w:val="21"/>
              </w:rPr>
              <w:t xml:space="preserve">事件状态、事件类型、事件二级类型、  </w:t>
            </w:r>
            <w:r>
              <w:rPr>
                <w:rFonts w:ascii="宋体" w:hAnsi="宋体" w:eastAsia="宋体" w:cs="宋体"/>
                <w:spacing w:val="-5"/>
                <w:sz w:val="21"/>
                <w:szCs w:val="21"/>
              </w:rPr>
              <w:t>事件等级、事件标识、上报日期、填报科室、当事科室、处理科室、协助处理科室、</w:t>
            </w:r>
            <w:r>
              <w:rPr>
                <w:rFonts w:ascii="宋体" w:hAnsi="宋体" w:eastAsia="宋体" w:cs="宋体"/>
                <w:spacing w:val="10"/>
                <w:sz w:val="21"/>
                <w:szCs w:val="21"/>
              </w:rPr>
              <w:t xml:space="preserve"> </w:t>
            </w:r>
            <w:r>
              <w:rPr>
                <w:rFonts w:ascii="宋体" w:hAnsi="宋体" w:eastAsia="宋体" w:cs="宋体"/>
                <w:spacing w:val="-2"/>
                <w:sz w:val="21"/>
                <w:szCs w:val="21"/>
              </w:rPr>
              <w:t>管理部门、协助管理部门、序号/标题搜索。</w:t>
            </w:r>
          </w:p>
          <w:p w14:paraId="6E987C6E">
            <w:pPr>
              <w:spacing w:before="93" w:line="260" w:lineRule="auto"/>
              <w:ind w:left="112" w:right="102" w:hanging="1"/>
              <w:rPr>
                <w:rFonts w:ascii="宋体" w:hAnsi="宋体" w:eastAsia="宋体" w:cs="宋体"/>
                <w:sz w:val="21"/>
                <w:szCs w:val="21"/>
              </w:rPr>
            </w:pPr>
            <w:r>
              <w:rPr>
                <w:rFonts w:ascii="宋体" w:hAnsi="宋体" w:eastAsia="宋体" w:cs="宋体"/>
                <w:spacing w:val="2"/>
                <w:sz w:val="21"/>
                <w:szCs w:val="21"/>
              </w:rPr>
              <w:t>2．事件总览。包含了事件类型统计、事件级别总览、填报</w:t>
            </w:r>
            <w:r>
              <w:rPr>
                <w:rFonts w:ascii="宋体" w:hAnsi="宋体" w:eastAsia="宋体" w:cs="宋体"/>
                <w:spacing w:val="1"/>
                <w:sz w:val="21"/>
                <w:szCs w:val="21"/>
              </w:rPr>
              <w:t>科室总览、事件状态总</w:t>
            </w:r>
            <w:r>
              <w:rPr>
                <w:rFonts w:ascii="宋体" w:hAnsi="宋体" w:eastAsia="宋体" w:cs="宋体"/>
                <w:sz w:val="21"/>
                <w:szCs w:val="21"/>
              </w:rPr>
              <w:t xml:space="preserve"> </w:t>
            </w:r>
            <w:r>
              <w:rPr>
                <w:rFonts w:ascii="宋体" w:hAnsi="宋体" w:eastAsia="宋体" w:cs="宋体"/>
                <w:spacing w:val="-1"/>
                <w:sz w:val="21"/>
                <w:szCs w:val="21"/>
              </w:rPr>
              <w:t>览，可按类型/月份、科室/月份、科室/类型</w:t>
            </w:r>
            <w:r>
              <w:rPr>
                <w:rFonts w:ascii="宋体" w:hAnsi="宋体" w:eastAsia="宋体" w:cs="宋体"/>
                <w:spacing w:val="-2"/>
                <w:sz w:val="21"/>
                <w:szCs w:val="21"/>
              </w:rPr>
              <w:t>&amp;二级类型导出统计表。</w:t>
            </w:r>
          </w:p>
          <w:p w14:paraId="17B8E620">
            <w:pPr>
              <w:spacing w:before="93" w:line="274" w:lineRule="auto"/>
              <w:ind w:left="110" w:right="27" w:firstLine="2"/>
              <w:rPr>
                <w:rFonts w:ascii="宋体" w:hAnsi="宋体" w:eastAsia="宋体" w:cs="宋体"/>
                <w:sz w:val="21"/>
                <w:szCs w:val="21"/>
              </w:rPr>
            </w:pPr>
            <w:r>
              <w:rPr>
                <w:rFonts w:ascii="宋体" w:hAnsi="宋体" w:eastAsia="宋体" w:cs="宋体"/>
                <w:sz w:val="21"/>
                <w:szCs w:val="21"/>
              </w:rPr>
              <w:t>3．事件填报分析。对填报科室/个人填报事件数量、类型统计分析，</w:t>
            </w:r>
            <w:r>
              <w:rPr>
                <w:rFonts w:ascii="宋体" w:hAnsi="宋体" w:eastAsia="宋体" w:cs="宋体"/>
                <w:spacing w:val="-1"/>
                <w:sz w:val="21"/>
                <w:szCs w:val="21"/>
              </w:rPr>
              <w:t>可通过科室、</w:t>
            </w:r>
            <w:r>
              <w:rPr>
                <w:rFonts w:ascii="宋体" w:hAnsi="宋体" w:eastAsia="宋体" w:cs="宋体"/>
                <w:sz w:val="21"/>
                <w:szCs w:val="21"/>
              </w:rPr>
              <w:t xml:space="preserve"> </w:t>
            </w:r>
            <w:r>
              <w:rPr>
                <w:rFonts w:ascii="宋体" w:hAnsi="宋体" w:eastAsia="宋体" w:cs="宋体"/>
                <w:spacing w:val="-7"/>
                <w:sz w:val="21"/>
                <w:szCs w:val="21"/>
              </w:rPr>
              <w:t>人员、上报类型、二级事件联动，</w:t>
            </w:r>
            <w:r>
              <w:rPr>
                <w:rFonts w:ascii="宋体" w:hAnsi="宋体" w:eastAsia="宋体" w:cs="宋体"/>
                <w:spacing w:val="-23"/>
                <w:sz w:val="21"/>
                <w:szCs w:val="21"/>
              </w:rPr>
              <w:t xml:space="preserve"> </w:t>
            </w:r>
            <w:r>
              <w:rPr>
                <w:rFonts w:ascii="宋体" w:hAnsi="宋体" w:eastAsia="宋体" w:cs="宋体"/>
                <w:spacing w:val="-7"/>
                <w:sz w:val="21"/>
                <w:szCs w:val="21"/>
              </w:rPr>
              <w:t>查看事件上报详情，可导出上报人员奖励一览表、</w:t>
            </w:r>
            <w:r>
              <w:rPr>
                <w:rFonts w:ascii="宋体" w:hAnsi="宋体" w:eastAsia="宋体" w:cs="宋体"/>
                <w:sz w:val="21"/>
                <w:szCs w:val="21"/>
              </w:rPr>
              <w:t xml:space="preserve"> </w:t>
            </w:r>
            <w:r>
              <w:rPr>
                <w:rFonts w:ascii="宋体" w:hAnsi="宋体" w:eastAsia="宋体" w:cs="宋体"/>
                <w:spacing w:val="-2"/>
                <w:sz w:val="21"/>
                <w:szCs w:val="21"/>
              </w:rPr>
              <w:t>上报科室奖励一览表、上报人员/科室限期上报一览表。</w:t>
            </w:r>
          </w:p>
          <w:p w14:paraId="5C40BB37">
            <w:pPr>
              <w:spacing w:before="93" w:line="260" w:lineRule="auto"/>
              <w:ind w:left="108" w:right="102"/>
              <w:rPr>
                <w:rFonts w:ascii="宋体" w:hAnsi="宋体" w:eastAsia="宋体" w:cs="宋体"/>
                <w:sz w:val="21"/>
                <w:szCs w:val="21"/>
              </w:rPr>
            </w:pPr>
            <w:r>
              <w:rPr>
                <w:rFonts w:ascii="宋体" w:hAnsi="宋体" w:eastAsia="宋体" w:cs="宋体"/>
                <w:spacing w:val="1"/>
                <w:sz w:val="21"/>
                <w:szCs w:val="21"/>
              </w:rPr>
              <w:t>4．当事科室分析。可对事件当事科室、当事科室事件类型统计分析，当事科室、</w:t>
            </w:r>
            <w:r>
              <w:rPr>
                <w:rFonts w:ascii="宋体" w:hAnsi="宋体" w:eastAsia="宋体" w:cs="宋体"/>
                <w:sz w:val="21"/>
                <w:szCs w:val="21"/>
              </w:rPr>
              <w:t xml:space="preserve"> </w:t>
            </w:r>
            <w:r>
              <w:rPr>
                <w:rFonts w:ascii="宋体" w:hAnsi="宋体" w:eastAsia="宋体" w:cs="宋体"/>
                <w:spacing w:val="-1"/>
                <w:sz w:val="21"/>
                <w:szCs w:val="21"/>
              </w:rPr>
              <w:t>事件类型、事件二级类型联动，查看事件当事科室详情，可导出当事科室</w:t>
            </w:r>
            <w:r>
              <w:rPr>
                <w:rFonts w:ascii="宋体" w:hAnsi="宋体" w:eastAsia="宋体" w:cs="宋体"/>
                <w:spacing w:val="-2"/>
                <w:sz w:val="21"/>
                <w:szCs w:val="21"/>
              </w:rPr>
              <w:t>一览表。</w:t>
            </w:r>
          </w:p>
          <w:p w14:paraId="730FFA7C">
            <w:pPr>
              <w:spacing w:before="93" w:line="274" w:lineRule="auto"/>
              <w:ind w:left="110" w:right="27" w:firstLine="2"/>
              <w:rPr>
                <w:rFonts w:ascii="宋体" w:hAnsi="宋体" w:eastAsia="宋体" w:cs="宋体"/>
                <w:sz w:val="21"/>
                <w:szCs w:val="21"/>
              </w:rPr>
            </w:pPr>
            <w:r>
              <w:rPr>
                <w:rFonts w:ascii="宋体" w:hAnsi="宋体" w:eastAsia="宋体" w:cs="宋体"/>
                <w:spacing w:val="2"/>
                <w:sz w:val="21"/>
                <w:szCs w:val="21"/>
              </w:rPr>
              <w:t>5．上报时效分析。对科室填报事件时效分析进行分析，</w:t>
            </w:r>
            <w:r>
              <w:rPr>
                <w:rFonts w:ascii="宋体" w:hAnsi="宋体" w:eastAsia="宋体" w:cs="宋体"/>
                <w:spacing w:val="1"/>
                <w:sz w:val="21"/>
                <w:szCs w:val="21"/>
              </w:rPr>
              <w:t>包含科室、上报例数、要</w:t>
            </w:r>
            <w:r>
              <w:rPr>
                <w:rFonts w:ascii="宋体" w:hAnsi="宋体" w:eastAsia="宋体" w:cs="宋体"/>
                <w:sz w:val="21"/>
                <w:szCs w:val="21"/>
              </w:rPr>
              <w:t xml:space="preserve"> </w:t>
            </w:r>
            <w:r>
              <w:rPr>
                <w:rFonts w:ascii="宋体" w:hAnsi="宋体" w:eastAsia="宋体" w:cs="宋体"/>
                <w:spacing w:val="-5"/>
                <w:sz w:val="21"/>
                <w:szCs w:val="21"/>
              </w:rPr>
              <w:t>求上报例数、上报完成率、及时上报例数，</w:t>
            </w:r>
            <w:r>
              <w:rPr>
                <w:rFonts w:ascii="宋体" w:hAnsi="宋体" w:eastAsia="宋体" w:cs="宋体"/>
                <w:spacing w:val="48"/>
                <w:sz w:val="21"/>
                <w:szCs w:val="21"/>
              </w:rPr>
              <w:t xml:space="preserve"> </w:t>
            </w:r>
            <w:r>
              <w:rPr>
                <w:rFonts w:ascii="宋体" w:hAnsi="宋体" w:eastAsia="宋体" w:cs="宋体"/>
                <w:spacing w:val="-5"/>
                <w:sz w:val="21"/>
                <w:szCs w:val="21"/>
              </w:rPr>
              <w:t>及时上</w:t>
            </w:r>
            <w:r>
              <w:rPr>
                <w:rFonts w:ascii="宋体" w:hAnsi="宋体" w:eastAsia="宋体" w:cs="宋体"/>
                <w:spacing w:val="-6"/>
                <w:sz w:val="21"/>
                <w:szCs w:val="21"/>
              </w:rPr>
              <w:t>报率、超期上报例数、超期上报</w:t>
            </w:r>
            <w:r>
              <w:rPr>
                <w:rFonts w:ascii="宋体" w:hAnsi="宋体" w:eastAsia="宋体" w:cs="宋体"/>
                <w:sz w:val="21"/>
                <w:szCs w:val="21"/>
              </w:rPr>
              <w:t xml:space="preserve"> </w:t>
            </w:r>
            <w:r>
              <w:rPr>
                <w:rFonts w:ascii="宋体" w:hAnsi="宋体" w:eastAsia="宋体" w:cs="宋体"/>
                <w:spacing w:val="-6"/>
                <w:sz w:val="21"/>
                <w:szCs w:val="21"/>
              </w:rPr>
              <w:t>率、平均上报时效指标统计，</w:t>
            </w:r>
            <w:r>
              <w:rPr>
                <w:rFonts w:ascii="宋体" w:hAnsi="宋体" w:eastAsia="宋体" w:cs="宋体"/>
                <w:spacing w:val="-47"/>
                <w:sz w:val="21"/>
                <w:szCs w:val="21"/>
              </w:rPr>
              <w:t xml:space="preserve"> </w:t>
            </w:r>
            <w:r>
              <w:rPr>
                <w:rFonts w:ascii="宋体" w:hAnsi="宋体" w:eastAsia="宋体" w:cs="宋体"/>
                <w:spacing w:val="-6"/>
                <w:sz w:val="21"/>
                <w:szCs w:val="21"/>
              </w:rPr>
              <w:t>并可根据上述指标进行排</w:t>
            </w:r>
            <w:r>
              <w:rPr>
                <w:rFonts w:ascii="宋体" w:hAnsi="宋体" w:eastAsia="宋体" w:cs="宋体"/>
                <w:spacing w:val="-7"/>
                <w:sz w:val="21"/>
                <w:szCs w:val="21"/>
              </w:rPr>
              <w:t>序，可导出上报时效一览表。</w:t>
            </w:r>
          </w:p>
          <w:p w14:paraId="6F6FC947">
            <w:pPr>
              <w:spacing w:before="92" w:line="274" w:lineRule="auto"/>
              <w:ind w:left="109" w:right="102" w:firstLine="1"/>
              <w:rPr>
                <w:rFonts w:ascii="宋体" w:hAnsi="宋体" w:eastAsia="宋体" w:cs="宋体"/>
                <w:sz w:val="21"/>
                <w:szCs w:val="21"/>
              </w:rPr>
            </w:pPr>
            <w:r>
              <w:rPr>
                <w:rFonts w:ascii="宋体" w:hAnsi="宋体" w:eastAsia="宋体" w:cs="宋体"/>
                <w:spacing w:val="2"/>
                <w:sz w:val="21"/>
                <w:szCs w:val="21"/>
              </w:rPr>
              <w:t>6．上报趋势一览表。按年、季、月维度分析上报事件、上报</w:t>
            </w:r>
            <w:r>
              <w:rPr>
                <w:rFonts w:ascii="宋体" w:hAnsi="宋体" w:eastAsia="宋体" w:cs="宋体"/>
                <w:spacing w:val="1"/>
                <w:sz w:val="21"/>
                <w:szCs w:val="21"/>
              </w:rPr>
              <w:t>科室、上报人的数量</w:t>
            </w:r>
            <w:r>
              <w:rPr>
                <w:rFonts w:ascii="宋体" w:hAnsi="宋体" w:eastAsia="宋体" w:cs="宋体"/>
                <w:sz w:val="21"/>
                <w:szCs w:val="21"/>
              </w:rPr>
              <w:t xml:space="preserve"> </w:t>
            </w:r>
            <w:r>
              <w:rPr>
                <w:rFonts w:ascii="宋体" w:hAnsi="宋体" w:eastAsia="宋体" w:cs="宋体"/>
                <w:spacing w:val="-1"/>
                <w:sz w:val="21"/>
                <w:szCs w:val="21"/>
              </w:rPr>
              <w:t>和趋势，包含上报数量的同比和环比，上报科室的同比和环比，上报人员</w:t>
            </w:r>
            <w:r>
              <w:rPr>
                <w:rFonts w:ascii="宋体" w:hAnsi="宋体" w:eastAsia="宋体" w:cs="宋体"/>
                <w:spacing w:val="-2"/>
                <w:sz w:val="21"/>
                <w:szCs w:val="21"/>
              </w:rPr>
              <w:t>的同比和</w:t>
            </w:r>
            <w:r>
              <w:rPr>
                <w:rFonts w:ascii="宋体" w:hAnsi="宋体" w:eastAsia="宋体" w:cs="宋体"/>
                <w:sz w:val="21"/>
                <w:szCs w:val="21"/>
              </w:rPr>
              <w:t xml:space="preserve"> </w:t>
            </w:r>
            <w:r>
              <w:rPr>
                <w:rFonts w:ascii="宋体" w:hAnsi="宋体" w:eastAsia="宋体" w:cs="宋体"/>
                <w:spacing w:val="-2"/>
                <w:sz w:val="21"/>
                <w:szCs w:val="21"/>
              </w:rPr>
              <w:t>环比，提供分析表和分析图，可导出上报趋势一览表。</w:t>
            </w:r>
          </w:p>
          <w:p w14:paraId="6E6FD7E4">
            <w:pPr>
              <w:spacing w:before="93" w:line="285" w:lineRule="auto"/>
              <w:ind w:left="111" w:right="101" w:firstLine="2"/>
              <w:rPr>
                <w:rFonts w:ascii="宋体" w:hAnsi="宋体" w:eastAsia="宋体" w:cs="宋体"/>
                <w:sz w:val="21"/>
                <w:szCs w:val="21"/>
              </w:rPr>
            </w:pPr>
            <w:r>
              <w:rPr>
                <w:rFonts w:ascii="宋体" w:hAnsi="宋体" w:eastAsia="宋体" w:cs="宋体"/>
                <w:spacing w:val="2"/>
                <w:sz w:val="21"/>
                <w:szCs w:val="21"/>
              </w:rPr>
              <w:t>7．处理分析。按科室和人员对事件的处理情况进行分</w:t>
            </w:r>
            <w:r>
              <w:rPr>
                <w:rFonts w:ascii="宋体" w:hAnsi="宋体" w:eastAsia="宋体" w:cs="宋体"/>
                <w:spacing w:val="1"/>
                <w:sz w:val="21"/>
                <w:szCs w:val="21"/>
              </w:rPr>
              <w:t>析，包含指定处理、实际处</w:t>
            </w:r>
            <w:r>
              <w:rPr>
                <w:rFonts w:ascii="宋体" w:hAnsi="宋体" w:eastAsia="宋体" w:cs="宋体"/>
                <w:sz w:val="21"/>
                <w:szCs w:val="21"/>
              </w:rPr>
              <w:t xml:space="preserve"> </w:t>
            </w:r>
            <w:r>
              <w:rPr>
                <w:rFonts w:ascii="宋体" w:hAnsi="宋体" w:eastAsia="宋体" w:cs="宋体"/>
                <w:spacing w:val="-1"/>
                <w:sz w:val="21"/>
                <w:szCs w:val="21"/>
              </w:rPr>
              <w:t>理、超期处理、超期率、处理均时、指定协处、协助处理、协助超期</w:t>
            </w:r>
            <w:r>
              <w:rPr>
                <w:rFonts w:ascii="宋体" w:hAnsi="宋体" w:eastAsia="宋体" w:cs="宋体"/>
                <w:spacing w:val="-2"/>
                <w:sz w:val="21"/>
                <w:szCs w:val="21"/>
              </w:rPr>
              <w:t>、超期率、协</w:t>
            </w:r>
            <w:r>
              <w:rPr>
                <w:rFonts w:ascii="宋体" w:hAnsi="宋体" w:eastAsia="宋体" w:cs="宋体"/>
                <w:sz w:val="21"/>
                <w:szCs w:val="21"/>
              </w:rPr>
              <w:t xml:space="preserve"> </w:t>
            </w:r>
            <w:r>
              <w:rPr>
                <w:rFonts w:ascii="宋体" w:hAnsi="宋体" w:eastAsia="宋体" w:cs="宋体"/>
                <w:spacing w:val="2"/>
                <w:sz w:val="21"/>
                <w:szCs w:val="21"/>
              </w:rPr>
              <w:t>处均时、科级超期、超期率、科级均时等指标进行统计和分析</w:t>
            </w:r>
            <w:r>
              <w:rPr>
                <w:rFonts w:ascii="宋体" w:hAnsi="宋体" w:eastAsia="宋体" w:cs="宋体"/>
                <w:spacing w:val="1"/>
                <w:sz w:val="21"/>
                <w:szCs w:val="21"/>
              </w:rPr>
              <w:t>，可导出科室/人员</w:t>
            </w:r>
            <w:r>
              <w:rPr>
                <w:rFonts w:ascii="宋体" w:hAnsi="宋体" w:eastAsia="宋体" w:cs="宋体"/>
                <w:sz w:val="21"/>
                <w:szCs w:val="21"/>
              </w:rPr>
              <w:t xml:space="preserve"> </w:t>
            </w:r>
            <w:r>
              <w:rPr>
                <w:rFonts w:ascii="宋体" w:hAnsi="宋体" w:eastAsia="宋体" w:cs="宋体"/>
                <w:spacing w:val="-1"/>
                <w:sz w:val="21"/>
                <w:szCs w:val="21"/>
              </w:rPr>
              <w:t>处理一览表，科室/人员处理奖励表，科室/人员限期处理奖励表等，并</w:t>
            </w:r>
            <w:r>
              <w:rPr>
                <w:rFonts w:ascii="宋体" w:hAnsi="宋体" w:eastAsia="宋体" w:cs="宋体"/>
                <w:spacing w:val="-2"/>
                <w:sz w:val="21"/>
                <w:szCs w:val="21"/>
              </w:rPr>
              <w:t>可对超期处</w:t>
            </w:r>
            <w:r>
              <w:rPr>
                <w:rFonts w:ascii="宋体" w:hAnsi="宋体" w:eastAsia="宋体" w:cs="宋体"/>
                <w:sz w:val="21"/>
                <w:szCs w:val="21"/>
              </w:rPr>
              <w:t xml:space="preserve"> </w:t>
            </w:r>
            <w:r>
              <w:rPr>
                <w:rFonts w:ascii="宋体" w:hAnsi="宋体" w:eastAsia="宋体" w:cs="宋体"/>
                <w:spacing w:val="-4"/>
                <w:sz w:val="21"/>
                <w:szCs w:val="21"/>
              </w:rPr>
              <w:t>理事件进行追溯和导出。</w:t>
            </w:r>
          </w:p>
          <w:p w14:paraId="7DD2E421">
            <w:pPr>
              <w:spacing w:before="92" w:line="285" w:lineRule="auto"/>
              <w:ind w:left="109" w:right="101"/>
              <w:rPr>
                <w:rFonts w:ascii="宋体" w:hAnsi="宋体" w:eastAsia="宋体" w:cs="宋体"/>
                <w:sz w:val="21"/>
                <w:szCs w:val="21"/>
              </w:rPr>
            </w:pPr>
            <w:r>
              <w:rPr>
                <w:rFonts w:ascii="宋体" w:hAnsi="宋体" w:eastAsia="宋体" w:cs="宋体"/>
                <w:spacing w:val="2"/>
                <w:sz w:val="21"/>
                <w:szCs w:val="21"/>
              </w:rPr>
              <w:t>8．管理分析。按科室和人员对事件的管理情况进行分析，包含</w:t>
            </w:r>
            <w:r>
              <w:rPr>
                <w:rFonts w:ascii="宋体" w:hAnsi="宋体" w:eastAsia="宋体" w:cs="宋体"/>
                <w:spacing w:val="1"/>
                <w:sz w:val="21"/>
                <w:szCs w:val="21"/>
              </w:rPr>
              <w:t>指定管理、实际管</w:t>
            </w:r>
            <w:r>
              <w:rPr>
                <w:rFonts w:ascii="宋体" w:hAnsi="宋体" w:eastAsia="宋体" w:cs="宋体"/>
                <w:sz w:val="21"/>
                <w:szCs w:val="21"/>
              </w:rPr>
              <w:t xml:space="preserve"> </w:t>
            </w:r>
            <w:r>
              <w:rPr>
                <w:rFonts w:ascii="宋体" w:hAnsi="宋体" w:eastAsia="宋体" w:cs="宋体"/>
                <w:spacing w:val="-1"/>
                <w:sz w:val="21"/>
                <w:szCs w:val="21"/>
              </w:rPr>
              <w:t>理、超期管理、超期率、管理均时、指定协管、协助管理、协管超期、超</w:t>
            </w:r>
            <w:r>
              <w:rPr>
                <w:rFonts w:ascii="宋体" w:hAnsi="宋体" w:eastAsia="宋体" w:cs="宋体"/>
                <w:spacing w:val="-2"/>
                <w:sz w:val="21"/>
                <w:szCs w:val="21"/>
              </w:rPr>
              <w:t>期率、协</w:t>
            </w:r>
            <w:r>
              <w:rPr>
                <w:rFonts w:ascii="宋体" w:hAnsi="宋体" w:eastAsia="宋体" w:cs="宋体"/>
                <w:sz w:val="21"/>
                <w:szCs w:val="21"/>
              </w:rPr>
              <w:t xml:space="preserve"> </w:t>
            </w:r>
            <w:r>
              <w:rPr>
                <w:rFonts w:ascii="宋体" w:hAnsi="宋体" w:eastAsia="宋体" w:cs="宋体"/>
                <w:spacing w:val="2"/>
                <w:sz w:val="21"/>
                <w:szCs w:val="21"/>
              </w:rPr>
              <w:t>管均时、院级超期、超期率、院级均时等指标进行统计和分析，可</w:t>
            </w:r>
            <w:r>
              <w:rPr>
                <w:rFonts w:ascii="宋体" w:hAnsi="宋体" w:eastAsia="宋体" w:cs="宋体"/>
                <w:spacing w:val="1"/>
                <w:sz w:val="21"/>
                <w:szCs w:val="21"/>
              </w:rPr>
              <w:t>导出科室/人员</w:t>
            </w:r>
            <w:r>
              <w:rPr>
                <w:rFonts w:ascii="宋体" w:hAnsi="宋体" w:eastAsia="宋体" w:cs="宋体"/>
                <w:sz w:val="21"/>
                <w:szCs w:val="21"/>
              </w:rPr>
              <w:t xml:space="preserve"> </w:t>
            </w:r>
            <w:r>
              <w:rPr>
                <w:rFonts w:ascii="宋体" w:hAnsi="宋体" w:eastAsia="宋体" w:cs="宋体"/>
                <w:spacing w:val="-1"/>
                <w:sz w:val="21"/>
                <w:szCs w:val="21"/>
              </w:rPr>
              <w:t>管理一览表，科室/人员管理奖励表，科室/人员限期管理奖励表，并可对超</w:t>
            </w:r>
            <w:r>
              <w:rPr>
                <w:rFonts w:ascii="宋体" w:hAnsi="宋体" w:eastAsia="宋体" w:cs="宋体"/>
                <w:spacing w:val="-2"/>
                <w:sz w:val="21"/>
                <w:szCs w:val="21"/>
              </w:rPr>
              <w:t>期管理</w:t>
            </w:r>
            <w:r>
              <w:rPr>
                <w:rFonts w:ascii="宋体" w:hAnsi="宋体" w:eastAsia="宋体" w:cs="宋体"/>
                <w:sz w:val="21"/>
                <w:szCs w:val="21"/>
              </w:rPr>
              <w:t xml:space="preserve"> </w:t>
            </w:r>
            <w:r>
              <w:rPr>
                <w:rFonts w:ascii="宋体" w:hAnsi="宋体" w:eastAsia="宋体" w:cs="宋体"/>
                <w:spacing w:val="-4"/>
                <w:sz w:val="21"/>
                <w:szCs w:val="21"/>
              </w:rPr>
              <w:t>事件进行追溯和导出。</w:t>
            </w:r>
          </w:p>
          <w:p w14:paraId="5C7B8B4A">
            <w:pPr>
              <w:spacing w:before="94" w:line="274" w:lineRule="auto"/>
              <w:ind w:left="110" w:right="102"/>
              <w:rPr>
                <w:rFonts w:ascii="宋体" w:hAnsi="宋体" w:eastAsia="宋体" w:cs="宋体"/>
                <w:sz w:val="21"/>
                <w:szCs w:val="21"/>
              </w:rPr>
            </w:pPr>
            <w:r>
              <w:rPr>
                <w:rFonts w:ascii="宋体" w:hAnsi="宋体" w:eastAsia="宋体" w:cs="宋体"/>
                <w:spacing w:val="1"/>
                <w:sz w:val="21"/>
                <w:szCs w:val="21"/>
              </w:rPr>
              <w:t>9．时效分析。按年、季、月维度分析全院事件上报、处理、协处、科级、管</w:t>
            </w:r>
            <w:r>
              <w:rPr>
                <w:rFonts w:ascii="宋体" w:hAnsi="宋体" w:eastAsia="宋体" w:cs="宋体"/>
                <w:sz w:val="21"/>
                <w:szCs w:val="21"/>
              </w:rPr>
              <w:t xml:space="preserve">理、 </w:t>
            </w:r>
            <w:r>
              <w:rPr>
                <w:rFonts w:ascii="宋体" w:hAnsi="宋体" w:eastAsia="宋体" w:cs="宋体"/>
                <w:spacing w:val="-10"/>
                <w:sz w:val="21"/>
                <w:szCs w:val="21"/>
              </w:rPr>
              <w:t>协管、院级时效及趋势，</w:t>
            </w:r>
            <w:r>
              <w:rPr>
                <w:rFonts w:ascii="宋体" w:hAnsi="宋体" w:eastAsia="宋体" w:cs="宋体"/>
                <w:spacing w:val="59"/>
                <w:sz w:val="21"/>
                <w:szCs w:val="21"/>
              </w:rPr>
              <w:t xml:space="preserve"> </w:t>
            </w:r>
            <w:r>
              <w:rPr>
                <w:rFonts w:ascii="宋体" w:hAnsi="宋体" w:eastAsia="宋体" w:cs="宋体"/>
                <w:spacing w:val="-10"/>
                <w:sz w:val="21"/>
                <w:szCs w:val="21"/>
              </w:rPr>
              <w:t>提供实际数量、超期数量、超期率、时效等指标，</w:t>
            </w:r>
            <w:r>
              <w:rPr>
                <w:rFonts w:ascii="宋体" w:hAnsi="宋体" w:eastAsia="宋体" w:cs="宋体"/>
                <w:spacing w:val="50"/>
                <w:sz w:val="21"/>
                <w:szCs w:val="21"/>
              </w:rPr>
              <w:t xml:space="preserve"> </w:t>
            </w:r>
            <w:r>
              <w:rPr>
                <w:rFonts w:ascii="宋体" w:hAnsi="宋体" w:eastAsia="宋体" w:cs="宋体"/>
                <w:spacing w:val="-10"/>
                <w:sz w:val="21"/>
                <w:szCs w:val="21"/>
              </w:rPr>
              <w:t>提供分</w:t>
            </w:r>
            <w:r>
              <w:rPr>
                <w:rFonts w:ascii="宋体" w:hAnsi="宋体" w:eastAsia="宋体" w:cs="宋体"/>
                <w:sz w:val="21"/>
                <w:szCs w:val="21"/>
              </w:rPr>
              <w:t xml:space="preserve"> </w:t>
            </w:r>
            <w:r>
              <w:rPr>
                <w:rFonts w:ascii="宋体" w:hAnsi="宋体" w:eastAsia="宋体" w:cs="宋体"/>
                <w:spacing w:val="-5"/>
                <w:sz w:val="21"/>
                <w:szCs w:val="21"/>
              </w:rPr>
              <w:t>析表和分析图。</w:t>
            </w:r>
          </w:p>
          <w:p w14:paraId="6EAF1424">
            <w:pPr>
              <w:spacing w:before="93" w:line="281" w:lineRule="auto"/>
              <w:ind w:left="110" w:right="102" w:firstLine="13"/>
              <w:rPr>
                <w:rFonts w:ascii="宋体" w:hAnsi="宋体" w:eastAsia="宋体" w:cs="宋体"/>
                <w:sz w:val="21"/>
                <w:szCs w:val="21"/>
              </w:rPr>
            </w:pPr>
            <w:r>
              <w:rPr>
                <w:rFonts w:ascii="宋体" w:hAnsi="宋体" w:eastAsia="宋体" w:cs="宋体"/>
                <w:spacing w:val="-1"/>
                <w:sz w:val="21"/>
                <w:szCs w:val="21"/>
              </w:rPr>
              <w:t>10．指标分析。对事件报表、分析报告、</w:t>
            </w:r>
            <w:r>
              <w:rPr>
                <w:rFonts w:ascii="宋体" w:hAnsi="宋体" w:eastAsia="宋体" w:cs="宋体"/>
                <w:spacing w:val="-2"/>
                <w:sz w:val="21"/>
                <w:szCs w:val="21"/>
              </w:rPr>
              <w:t>追踪报告中单一业务指标统计分析，包含</w:t>
            </w:r>
            <w:r>
              <w:rPr>
                <w:rFonts w:ascii="宋体" w:hAnsi="宋体" w:eastAsia="宋体" w:cs="宋体"/>
                <w:sz w:val="21"/>
                <w:szCs w:val="21"/>
              </w:rPr>
              <w:t xml:space="preserve"> </w:t>
            </w:r>
            <w:r>
              <w:rPr>
                <w:rFonts w:ascii="宋体" w:hAnsi="宋体" w:eastAsia="宋体" w:cs="宋体"/>
                <w:spacing w:val="-5"/>
                <w:sz w:val="21"/>
                <w:szCs w:val="21"/>
              </w:rPr>
              <w:t>一般情况、患者信息、现场情况、可能发生</w:t>
            </w:r>
            <w:r>
              <w:rPr>
                <w:rFonts w:ascii="宋体" w:hAnsi="宋体" w:eastAsia="宋体" w:cs="宋体"/>
                <w:spacing w:val="-6"/>
                <w:sz w:val="21"/>
                <w:szCs w:val="21"/>
              </w:rPr>
              <w:t>原因、事件评价等业务指标统计，</w:t>
            </w:r>
            <w:r>
              <w:rPr>
                <w:rFonts w:ascii="宋体" w:hAnsi="宋体" w:eastAsia="宋体" w:cs="宋体"/>
                <w:spacing w:val="51"/>
                <w:sz w:val="21"/>
                <w:szCs w:val="21"/>
              </w:rPr>
              <w:t xml:space="preserve"> </w:t>
            </w:r>
            <w:r>
              <w:rPr>
                <w:rFonts w:ascii="宋体" w:hAnsi="宋体" w:eastAsia="宋体" w:cs="宋体"/>
                <w:spacing w:val="-6"/>
                <w:sz w:val="21"/>
                <w:szCs w:val="21"/>
              </w:rPr>
              <w:t>可使</w:t>
            </w:r>
            <w:r>
              <w:rPr>
                <w:rFonts w:ascii="宋体" w:hAnsi="宋体" w:eastAsia="宋体" w:cs="宋体"/>
                <w:sz w:val="21"/>
                <w:szCs w:val="21"/>
              </w:rPr>
              <w:t xml:space="preserve"> </w:t>
            </w:r>
            <w:r>
              <w:rPr>
                <w:rFonts w:ascii="宋体" w:hAnsi="宋体" w:eastAsia="宋体" w:cs="宋体"/>
                <w:spacing w:val="-6"/>
                <w:sz w:val="21"/>
                <w:szCs w:val="21"/>
              </w:rPr>
              <w:t>用柱状图、面积图、曲线图、柏拉图和汇总表展示统计数据，</w:t>
            </w:r>
            <w:r>
              <w:rPr>
                <w:rFonts w:ascii="宋体" w:hAnsi="宋体" w:eastAsia="宋体" w:cs="宋体"/>
                <w:spacing w:val="62"/>
                <w:sz w:val="21"/>
                <w:szCs w:val="21"/>
              </w:rPr>
              <w:t xml:space="preserve"> </w:t>
            </w:r>
            <w:r>
              <w:rPr>
                <w:rFonts w:ascii="宋体" w:hAnsi="宋体" w:eastAsia="宋体" w:cs="宋体"/>
                <w:spacing w:val="-6"/>
                <w:sz w:val="21"/>
                <w:szCs w:val="21"/>
              </w:rPr>
              <w:t>可导出</w:t>
            </w:r>
            <w:r>
              <w:rPr>
                <w:rFonts w:ascii="宋体" w:hAnsi="宋体" w:eastAsia="宋体" w:cs="宋体"/>
                <w:spacing w:val="-44"/>
                <w:sz w:val="21"/>
                <w:szCs w:val="21"/>
              </w:rPr>
              <w:t xml:space="preserve"> </w:t>
            </w:r>
            <w:r>
              <w:rPr>
                <w:rFonts w:ascii="宋体" w:hAnsi="宋体" w:eastAsia="宋体" w:cs="宋体"/>
                <w:spacing w:val="-6"/>
                <w:sz w:val="21"/>
                <w:szCs w:val="21"/>
              </w:rPr>
              <w:t>80/20</w:t>
            </w:r>
            <w:r>
              <w:rPr>
                <w:rFonts w:ascii="宋体" w:hAnsi="宋体" w:eastAsia="宋体" w:cs="宋体"/>
                <w:spacing w:val="-41"/>
                <w:sz w:val="21"/>
                <w:szCs w:val="21"/>
              </w:rPr>
              <w:t xml:space="preserve"> </w:t>
            </w:r>
            <w:r>
              <w:rPr>
                <w:rFonts w:ascii="宋体" w:hAnsi="宋体" w:eastAsia="宋体" w:cs="宋体"/>
                <w:spacing w:val="-6"/>
                <w:sz w:val="21"/>
                <w:szCs w:val="21"/>
              </w:rPr>
              <w:t>分析汇</w:t>
            </w:r>
            <w:r>
              <w:rPr>
                <w:rFonts w:ascii="宋体" w:hAnsi="宋体" w:eastAsia="宋体" w:cs="宋体"/>
                <w:sz w:val="21"/>
                <w:szCs w:val="21"/>
              </w:rPr>
              <w:t xml:space="preserve"> </w:t>
            </w:r>
            <w:r>
              <w:rPr>
                <w:rFonts w:ascii="宋体" w:hAnsi="宋体" w:eastAsia="宋体" w:cs="宋体"/>
                <w:spacing w:val="-9"/>
                <w:sz w:val="21"/>
                <w:szCs w:val="21"/>
              </w:rPr>
              <w:t>总表。</w:t>
            </w:r>
          </w:p>
          <w:p w14:paraId="07F3AC78">
            <w:pPr>
              <w:spacing w:before="91" w:line="274" w:lineRule="auto"/>
              <w:ind w:left="108" w:right="43" w:firstLine="16"/>
              <w:rPr>
                <w:rFonts w:ascii="宋体" w:hAnsi="宋体" w:eastAsia="宋体" w:cs="宋体"/>
                <w:sz w:val="21"/>
                <w:szCs w:val="21"/>
              </w:rPr>
            </w:pPr>
            <w:r>
              <w:rPr>
                <w:rFonts w:ascii="宋体" w:hAnsi="宋体" w:eastAsia="宋体" w:cs="宋体"/>
                <w:spacing w:val="-5"/>
                <w:sz w:val="21"/>
                <w:szCs w:val="21"/>
              </w:rPr>
              <w:t>11．交叉指标分析。对事件报表、分析报告、</w:t>
            </w:r>
            <w:r>
              <w:rPr>
                <w:rFonts w:ascii="宋体" w:hAnsi="宋体" w:eastAsia="宋体" w:cs="宋体"/>
                <w:spacing w:val="-6"/>
                <w:sz w:val="21"/>
                <w:szCs w:val="21"/>
              </w:rPr>
              <w:t>追踪报告中的业务指标交叉统计分析，</w:t>
            </w:r>
            <w:r>
              <w:rPr>
                <w:rFonts w:ascii="宋体" w:hAnsi="宋体" w:eastAsia="宋体" w:cs="宋体"/>
                <w:sz w:val="21"/>
                <w:szCs w:val="21"/>
              </w:rPr>
              <w:t xml:space="preserve"> 包含一般情况、患者信息、现场情况、可能发生原因、事件评</w:t>
            </w:r>
            <w:r>
              <w:rPr>
                <w:rFonts w:ascii="宋体" w:hAnsi="宋体" w:eastAsia="宋体" w:cs="宋体"/>
                <w:spacing w:val="-1"/>
                <w:sz w:val="21"/>
                <w:szCs w:val="21"/>
              </w:rPr>
              <w:t>价等业务指标统计，</w:t>
            </w:r>
            <w:r>
              <w:rPr>
                <w:rFonts w:ascii="宋体" w:hAnsi="宋体" w:eastAsia="宋体" w:cs="宋体"/>
                <w:sz w:val="21"/>
                <w:szCs w:val="21"/>
              </w:rPr>
              <w:t xml:space="preserve"> </w:t>
            </w:r>
            <w:r>
              <w:rPr>
                <w:rFonts w:ascii="宋体" w:hAnsi="宋体" w:eastAsia="宋体" w:cs="宋体"/>
                <w:spacing w:val="-2"/>
                <w:sz w:val="21"/>
                <w:szCs w:val="21"/>
              </w:rPr>
              <w:t>任意拖动指标到</w:t>
            </w:r>
            <w:r>
              <w:rPr>
                <w:rFonts w:ascii="宋体" w:hAnsi="宋体" w:eastAsia="宋体" w:cs="宋体"/>
                <w:spacing w:val="-42"/>
                <w:sz w:val="21"/>
                <w:szCs w:val="21"/>
              </w:rPr>
              <w:t xml:space="preserve"> </w:t>
            </w:r>
            <w:r>
              <w:rPr>
                <w:rFonts w:ascii="宋体" w:hAnsi="宋体" w:eastAsia="宋体" w:cs="宋体"/>
                <w:spacing w:val="-2"/>
                <w:sz w:val="21"/>
                <w:szCs w:val="21"/>
              </w:rPr>
              <w:t>X</w:t>
            </w:r>
            <w:r>
              <w:rPr>
                <w:rFonts w:ascii="宋体" w:hAnsi="宋体" w:eastAsia="宋体" w:cs="宋体"/>
                <w:spacing w:val="-45"/>
                <w:sz w:val="21"/>
                <w:szCs w:val="21"/>
              </w:rPr>
              <w:t xml:space="preserve"> </w:t>
            </w:r>
            <w:r>
              <w:rPr>
                <w:rFonts w:ascii="宋体" w:hAnsi="宋体" w:eastAsia="宋体" w:cs="宋体"/>
                <w:spacing w:val="-2"/>
                <w:sz w:val="21"/>
                <w:szCs w:val="21"/>
              </w:rPr>
              <w:t>轴、Y</w:t>
            </w:r>
            <w:r>
              <w:rPr>
                <w:rFonts w:ascii="宋体" w:hAnsi="宋体" w:eastAsia="宋体" w:cs="宋体"/>
                <w:spacing w:val="-44"/>
                <w:sz w:val="21"/>
                <w:szCs w:val="21"/>
              </w:rPr>
              <w:t xml:space="preserve"> </w:t>
            </w:r>
            <w:r>
              <w:rPr>
                <w:rFonts w:ascii="宋体" w:hAnsi="宋体" w:eastAsia="宋体" w:cs="宋体"/>
                <w:spacing w:val="-2"/>
                <w:sz w:val="21"/>
                <w:szCs w:val="21"/>
              </w:rPr>
              <w:t>轴，自动生成交叉分析表，可导出交叉分析表。</w:t>
            </w:r>
          </w:p>
          <w:p w14:paraId="11296796">
            <w:pPr>
              <w:spacing w:before="93" w:line="274" w:lineRule="auto"/>
              <w:ind w:left="109" w:right="102" w:firstLine="15"/>
              <w:rPr>
                <w:rFonts w:ascii="宋体" w:hAnsi="宋体" w:eastAsia="宋体" w:cs="宋体"/>
                <w:sz w:val="21"/>
                <w:szCs w:val="21"/>
              </w:rPr>
            </w:pPr>
            <w:r>
              <w:rPr>
                <w:rFonts w:ascii="宋体" w:hAnsi="宋体" w:eastAsia="宋体" w:cs="宋体"/>
                <w:spacing w:val="-1"/>
                <w:sz w:val="21"/>
                <w:szCs w:val="21"/>
              </w:rPr>
              <w:t>12．事件发生原因分析。对事件报表、分</w:t>
            </w:r>
            <w:r>
              <w:rPr>
                <w:rFonts w:ascii="宋体" w:hAnsi="宋体" w:eastAsia="宋体" w:cs="宋体"/>
                <w:spacing w:val="-2"/>
                <w:sz w:val="21"/>
                <w:szCs w:val="21"/>
              </w:rPr>
              <w:t>析报告、追踪报告中的原因分析指标分析</w:t>
            </w:r>
            <w:r>
              <w:rPr>
                <w:rFonts w:ascii="宋体" w:hAnsi="宋体" w:eastAsia="宋体" w:cs="宋体"/>
                <w:sz w:val="21"/>
                <w:szCs w:val="21"/>
              </w:rPr>
              <w:t xml:space="preserve"> </w:t>
            </w:r>
            <w:r>
              <w:rPr>
                <w:rFonts w:ascii="宋体" w:hAnsi="宋体" w:eastAsia="宋体" w:cs="宋体"/>
                <w:spacing w:val="-5"/>
                <w:sz w:val="21"/>
                <w:szCs w:val="21"/>
              </w:rPr>
              <w:t>事件发生原因，自动生成分析图形，支持流</w:t>
            </w:r>
            <w:r>
              <w:rPr>
                <w:rFonts w:ascii="宋体" w:hAnsi="宋体" w:eastAsia="宋体" w:cs="宋体"/>
                <w:spacing w:val="-6"/>
                <w:sz w:val="21"/>
                <w:szCs w:val="21"/>
              </w:rPr>
              <w:t>状图、鱼骨图、系统图分析，</w:t>
            </w:r>
            <w:r>
              <w:rPr>
                <w:rFonts w:ascii="宋体" w:hAnsi="宋体" w:eastAsia="宋体" w:cs="宋体"/>
                <w:spacing w:val="52"/>
                <w:sz w:val="21"/>
                <w:szCs w:val="21"/>
              </w:rPr>
              <w:t xml:space="preserve"> </w:t>
            </w:r>
            <w:r>
              <w:rPr>
                <w:rFonts w:ascii="宋体" w:hAnsi="宋体" w:eastAsia="宋体" w:cs="宋体"/>
                <w:spacing w:val="-6"/>
                <w:sz w:val="21"/>
                <w:szCs w:val="21"/>
              </w:rPr>
              <w:t>原因分析</w:t>
            </w:r>
            <w:r>
              <w:rPr>
                <w:rFonts w:ascii="宋体" w:hAnsi="宋体" w:eastAsia="宋体" w:cs="宋体"/>
                <w:sz w:val="21"/>
                <w:szCs w:val="21"/>
              </w:rPr>
              <w:t xml:space="preserve"> </w:t>
            </w:r>
            <w:r>
              <w:rPr>
                <w:rFonts w:ascii="宋体" w:hAnsi="宋体" w:eastAsia="宋体" w:cs="宋体"/>
                <w:spacing w:val="-2"/>
                <w:sz w:val="21"/>
                <w:szCs w:val="21"/>
              </w:rPr>
              <w:t>支持追溯和导出，可导出原因分析表， 鱼骨图、系统图。</w:t>
            </w:r>
          </w:p>
        </w:tc>
      </w:tr>
    </w:tbl>
    <w:p w14:paraId="4ECCAE4D">
      <w:pPr>
        <w:pStyle w:val="2"/>
        <w:spacing w:line="255" w:lineRule="auto"/>
      </w:pPr>
    </w:p>
    <w:p w14:paraId="2FBEF4F3">
      <w:pPr>
        <w:spacing w:before="61" w:line="209" w:lineRule="auto"/>
        <w:ind w:left="148"/>
        <w:rPr>
          <w:rFonts w:ascii="宋体" w:hAnsi="宋体" w:eastAsia="宋体" w:cs="宋体"/>
          <w:sz w:val="19"/>
          <w:szCs w:val="19"/>
        </w:rPr>
      </w:pPr>
      <w:r>
        <w:pict>
          <v:shape id="_x0000_s1061" o:spid="_x0000_s1061" style="position:absolute;left:0pt;margin-left:1.95pt;margin-top:11.8pt;height:0.75pt;width:494pt;z-index:251706368;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2"/>
          <w:position w:val="1"/>
          <w:sz w:val="18"/>
          <w:szCs w:val="18"/>
        </w:rPr>
        <w:t xml:space="preserve">41                          </w:t>
      </w:r>
      <w:r>
        <w:rPr>
          <w:rFonts w:ascii="Times New Roman" w:hAnsi="Times New Roman" w:eastAsia="Times New Roman" w:cs="Times New Roman"/>
          <w:spacing w:val="-3"/>
          <w:position w:val="1"/>
          <w:sz w:val="18"/>
          <w:szCs w:val="18"/>
        </w:rPr>
        <w:t xml:space="preserve">     </w:t>
      </w:r>
      <w:r>
        <w:rPr>
          <w:rFonts w:ascii="宋体" w:hAnsi="宋体" w:eastAsia="宋体" w:cs="宋体"/>
          <w:b/>
          <w:bCs/>
          <w:i/>
          <w:iCs/>
          <w:spacing w:val="-3"/>
          <w:sz w:val="19"/>
          <w:szCs w:val="19"/>
        </w:rPr>
        <w:t>伊犁州公共资源交易中心</w:t>
      </w:r>
    </w:p>
    <w:p w14:paraId="59A0CE81">
      <w:pPr>
        <w:spacing w:line="209" w:lineRule="auto"/>
        <w:rPr>
          <w:rFonts w:ascii="宋体" w:hAnsi="宋体" w:eastAsia="宋体" w:cs="宋体"/>
          <w:sz w:val="19"/>
          <w:szCs w:val="19"/>
        </w:rPr>
        <w:sectPr>
          <w:pgSz w:w="11905" w:h="16839"/>
          <w:pgMar w:top="1136" w:right="830" w:bottom="400" w:left="1126" w:header="854" w:footer="0" w:gutter="0"/>
          <w:cols w:space="720" w:num="1"/>
        </w:sectPr>
      </w:pPr>
    </w:p>
    <w:p w14:paraId="4A6A26CD">
      <w:pPr>
        <w:spacing w:before="38"/>
      </w:pPr>
    </w:p>
    <w:tbl>
      <w:tblPr>
        <w:tblStyle w:val="5"/>
        <w:tblW w:w="9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3"/>
        <w:gridCol w:w="7743"/>
      </w:tblGrid>
      <w:tr w14:paraId="11110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3" w:type="dxa"/>
            <w:vAlign w:val="top"/>
          </w:tcPr>
          <w:p w14:paraId="7DE772D2">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3" w:type="dxa"/>
            <w:vAlign w:val="top"/>
          </w:tcPr>
          <w:p w14:paraId="08311E08">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43" w:type="dxa"/>
            <w:vAlign w:val="top"/>
          </w:tcPr>
          <w:p w14:paraId="63D92F32">
            <w:pPr>
              <w:spacing w:before="179" w:line="221" w:lineRule="auto"/>
              <w:ind w:left="3397"/>
              <w:rPr>
                <w:rFonts w:ascii="宋体" w:hAnsi="宋体" w:eastAsia="宋体" w:cs="宋体"/>
                <w:sz w:val="24"/>
                <w:szCs w:val="24"/>
              </w:rPr>
            </w:pPr>
            <w:r>
              <w:rPr>
                <w:rFonts w:ascii="宋体" w:hAnsi="宋体" w:eastAsia="宋体" w:cs="宋体"/>
                <w:b/>
                <w:bCs/>
                <w:spacing w:val="-6"/>
                <w:sz w:val="24"/>
                <w:szCs w:val="24"/>
              </w:rPr>
              <w:t>功能要求</w:t>
            </w:r>
          </w:p>
        </w:tc>
      </w:tr>
      <w:tr w14:paraId="63A36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2" w:hRule="atLeast"/>
        </w:trPr>
        <w:tc>
          <w:tcPr>
            <w:tcW w:w="783" w:type="dxa"/>
            <w:vAlign w:val="top"/>
          </w:tcPr>
          <w:p w14:paraId="18AEFC94">
            <w:pPr>
              <w:rPr>
                <w:rFonts w:ascii="Arial"/>
                <w:sz w:val="21"/>
              </w:rPr>
            </w:pPr>
          </w:p>
        </w:tc>
        <w:tc>
          <w:tcPr>
            <w:tcW w:w="1273" w:type="dxa"/>
            <w:vAlign w:val="top"/>
          </w:tcPr>
          <w:p w14:paraId="27D5A195">
            <w:pPr>
              <w:rPr>
                <w:rFonts w:ascii="Arial"/>
                <w:sz w:val="21"/>
              </w:rPr>
            </w:pPr>
          </w:p>
        </w:tc>
        <w:tc>
          <w:tcPr>
            <w:tcW w:w="7743" w:type="dxa"/>
            <w:vAlign w:val="top"/>
          </w:tcPr>
          <w:p w14:paraId="7C7D5036">
            <w:pPr>
              <w:spacing w:before="64" w:line="274" w:lineRule="auto"/>
              <w:ind w:left="110" w:right="102" w:firstLine="14"/>
              <w:rPr>
                <w:rFonts w:ascii="宋体" w:hAnsi="宋体" w:eastAsia="宋体" w:cs="宋体"/>
                <w:sz w:val="21"/>
                <w:szCs w:val="21"/>
              </w:rPr>
            </w:pPr>
            <w:r>
              <w:rPr>
                <w:rFonts w:ascii="宋体" w:hAnsi="宋体" w:eastAsia="宋体" w:cs="宋体"/>
                <w:spacing w:val="-2"/>
                <w:sz w:val="21"/>
                <w:szCs w:val="21"/>
              </w:rPr>
              <w:t>13．SAC</w:t>
            </w:r>
            <w:r>
              <w:rPr>
                <w:rFonts w:ascii="宋体" w:hAnsi="宋体" w:eastAsia="宋体" w:cs="宋体"/>
                <w:spacing w:val="-43"/>
                <w:sz w:val="21"/>
                <w:szCs w:val="21"/>
              </w:rPr>
              <w:t xml:space="preserve"> </w:t>
            </w:r>
            <w:r>
              <w:rPr>
                <w:rFonts w:ascii="宋体" w:hAnsi="宋体" w:eastAsia="宋体" w:cs="宋体"/>
                <w:spacing w:val="-2"/>
                <w:sz w:val="21"/>
                <w:szCs w:val="21"/>
              </w:rPr>
              <w:t>矩阵分析。根据报告中</w:t>
            </w:r>
            <w:r>
              <w:rPr>
                <w:rFonts w:ascii="宋体" w:hAnsi="宋体" w:eastAsia="宋体" w:cs="宋体"/>
                <w:spacing w:val="-43"/>
                <w:sz w:val="21"/>
                <w:szCs w:val="21"/>
              </w:rPr>
              <w:t xml:space="preserve"> </w:t>
            </w:r>
            <w:r>
              <w:rPr>
                <w:rFonts w:ascii="宋体" w:hAnsi="宋体" w:eastAsia="宋体" w:cs="宋体"/>
                <w:spacing w:val="-2"/>
                <w:sz w:val="21"/>
                <w:szCs w:val="21"/>
              </w:rPr>
              <w:t>SAC</w:t>
            </w:r>
            <w:r>
              <w:rPr>
                <w:rFonts w:ascii="宋体" w:hAnsi="宋体" w:eastAsia="宋体" w:cs="宋体"/>
                <w:spacing w:val="-43"/>
                <w:sz w:val="21"/>
                <w:szCs w:val="21"/>
              </w:rPr>
              <w:t xml:space="preserve"> </w:t>
            </w:r>
            <w:r>
              <w:rPr>
                <w:rFonts w:ascii="宋体" w:hAnsi="宋体" w:eastAsia="宋体" w:cs="宋体"/>
                <w:spacing w:val="-2"/>
                <w:sz w:val="21"/>
                <w:szCs w:val="21"/>
              </w:rPr>
              <w:t>伤害程度和发生频率分析事件，</w:t>
            </w:r>
            <w:r>
              <w:rPr>
                <w:rFonts w:ascii="宋体" w:hAnsi="宋体" w:eastAsia="宋体" w:cs="宋体"/>
                <w:spacing w:val="-61"/>
                <w:sz w:val="21"/>
                <w:szCs w:val="21"/>
              </w:rPr>
              <w:t xml:space="preserve"> </w:t>
            </w:r>
            <w:r>
              <w:rPr>
                <w:rFonts w:ascii="宋体" w:hAnsi="宋体" w:eastAsia="宋体" w:cs="宋体"/>
                <w:spacing w:val="-2"/>
                <w:sz w:val="21"/>
                <w:szCs w:val="21"/>
              </w:rPr>
              <w:t>自动</w:t>
            </w:r>
            <w:r>
              <w:rPr>
                <w:rFonts w:ascii="宋体" w:hAnsi="宋体" w:eastAsia="宋体" w:cs="宋体"/>
                <w:spacing w:val="-3"/>
                <w:sz w:val="21"/>
                <w:szCs w:val="21"/>
              </w:rPr>
              <w:t>生成</w:t>
            </w:r>
            <w:r>
              <w:rPr>
                <w:rFonts w:ascii="宋体" w:hAnsi="宋体" w:eastAsia="宋体" w:cs="宋体"/>
                <w:spacing w:val="-43"/>
                <w:sz w:val="21"/>
                <w:szCs w:val="21"/>
              </w:rPr>
              <w:t xml:space="preserve"> </w:t>
            </w:r>
            <w:r>
              <w:rPr>
                <w:rFonts w:ascii="宋体" w:hAnsi="宋体" w:eastAsia="宋体" w:cs="宋体"/>
                <w:spacing w:val="-3"/>
                <w:sz w:val="21"/>
                <w:szCs w:val="21"/>
              </w:rPr>
              <w:t>SAC</w:t>
            </w:r>
            <w:r>
              <w:rPr>
                <w:rFonts w:ascii="宋体" w:hAnsi="宋体" w:eastAsia="宋体" w:cs="宋体"/>
                <w:sz w:val="21"/>
                <w:szCs w:val="21"/>
              </w:rPr>
              <w:t xml:space="preserve"> </w:t>
            </w:r>
            <w:r>
              <w:rPr>
                <w:rFonts w:ascii="宋体" w:hAnsi="宋体" w:eastAsia="宋体" w:cs="宋体"/>
                <w:spacing w:val="-3"/>
                <w:sz w:val="21"/>
                <w:szCs w:val="21"/>
              </w:rPr>
              <w:t>分析表、SAC</w:t>
            </w:r>
            <w:r>
              <w:rPr>
                <w:rFonts w:ascii="宋体" w:hAnsi="宋体" w:eastAsia="宋体" w:cs="宋体"/>
                <w:spacing w:val="-44"/>
                <w:sz w:val="21"/>
                <w:szCs w:val="21"/>
              </w:rPr>
              <w:t xml:space="preserve"> </w:t>
            </w:r>
            <w:r>
              <w:rPr>
                <w:rFonts w:ascii="宋体" w:hAnsi="宋体" w:eastAsia="宋体" w:cs="宋体"/>
                <w:spacing w:val="-3"/>
                <w:sz w:val="21"/>
                <w:szCs w:val="21"/>
              </w:rPr>
              <w:t>伤害程度分析表、SAC</w:t>
            </w:r>
            <w:r>
              <w:rPr>
                <w:rFonts w:ascii="宋体" w:hAnsi="宋体" w:eastAsia="宋体" w:cs="宋体"/>
                <w:spacing w:val="-41"/>
                <w:sz w:val="21"/>
                <w:szCs w:val="21"/>
              </w:rPr>
              <w:t xml:space="preserve"> </w:t>
            </w:r>
            <w:r>
              <w:rPr>
                <w:rFonts w:ascii="宋体" w:hAnsi="宋体" w:eastAsia="宋体" w:cs="宋体"/>
                <w:spacing w:val="-3"/>
                <w:sz w:val="21"/>
                <w:szCs w:val="21"/>
              </w:rPr>
              <w:t>发生频率分析表、SAC</w:t>
            </w:r>
            <w:r>
              <w:rPr>
                <w:rFonts w:ascii="宋体" w:hAnsi="宋体" w:eastAsia="宋体" w:cs="宋体"/>
                <w:spacing w:val="-43"/>
                <w:sz w:val="21"/>
                <w:szCs w:val="21"/>
              </w:rPr>
              <w:t xml:space="preserve"> </w:t>
            </w:r>
            <w:r>
              <w:rPr>
                <w:rFonts w:ascii="宋体" w:hAnsi="宋体" w:eastAsia="宋体" w:cs="宋体"/>
                <w:spacing w:val="-3"/>
                <w:sz w:val="21"/>
                <w:szCs w:val="21"/>
              </w:rPr>
              <w:t>等级分析表，分析</w:t>
            </w:r>
            <w:r>
              <w:rPr>
                <w:rFonts w:ascii="宋体" w:hAnsi="宋体" w:eastAsia="宋体" w:cs="宋体"/>
                <w:spacing w:val="-4"/>
                <w:sz w:val="21"/>
                <w:szCs w:val="21"/>
              </w:rPr>
              <w:t>表可追</w:t>
            </w:r>
            <w:r>
              <w:rPr>
                <w:rFonts w:ascii="宋体" w:hAnsi="宋体" w:eastAsia="宋体" w:cs="宋体"/>
                <w:sz w:val="21"/>
                <w:szCs w:val="21"/>
              </w:rPr>
              <w:t xml:space="preserve"> </w:t>
            </w:r>
            <w:r>
              <w:rPr>
                <w:rFonts w:ascii="宋体" w:hAnsi="宋体" w:eastAsia="宋体" w:cs="宋体"/>
                <w:spacing w:val="-4"/>
                <w:sz w:val="21"/>
                <w:szCs w:val="21"/>
              </w:rPr>
              <w:t>溯，可导出</w:t>
            </w:r>
            <w:r>
              <w:rPr>
                <w:rFonts w:ascii="宋体" w:hAnsi="宋体" w:eastAsia="宋体" w:cs="宋体"/>
                <w:spacing w:val="-34"/>
                <w:sz w:val="21"/>
                <w:szCs w:val="21"/>
              </w:rPr>
              <w:t xml:space="preserve"> </w:t>
            </w:r>
            <w:r>
              <w:rPr>
                <w:rFonts w:ascii="宋体" w:hAnsi="宋体" w:eastAsia="宋体" w:cs="宋体"/>
                <w:spacing w:val="-4"/>
                <w:sz w:val="21"/>
                <w:szCs w:val="21"/>
              </w:rPr>
              <w:t>SAC</w:t>
            </w:r>
            <w:r>
              <w:rPr>
                <w:rFonts w:ascii="宋体" w:hAnsi="宋体" w:eastAsia="宋体" w:cs="宋体"/>
                <w:spacing w:val="-43"/>
                <w:sz w:val="21"/>
                <w:szCs w:val="21"/>
              </w:rPr>
              <w:t xml:space="preserve"> </w:t>
            </w:r>
            <w:r>
              <w:rPr>
                <w:rFonts w:ascii="宋体" w:hAnsi="宋体" w:eastAsia="宋体" w:cs="宋体"/>
                <w:spacing w:val="-4"/>
                <w:sz w:val="21"/>
                <w:szCs w:val="21"/>
              </w:rPr>
              <w:t>风险矩阵分析表。</w:t>
            </w:r>
          </w:p>
          <w:p w14:paraId="156CACC0">
            <w:pPr>
              <w:spacing w:before="92" w:line="260" w:lineRule="auto"/>
              <w:ind w:left="108" w:right="102" w:firstLine="16"/>
              <w:rPr>
                <w:rFonts w:ascii="宋体" w:hAnsi="宋体" w:eastAsia="宋体" w:cs="宋体"/>
                <w:sz w:val="21"/>
                <w:szCs w:val="21"/>
              </w:rPr>
            </w:pPr>
            <w:r>
              <w:rPr>
                <w:rFonts w:ascii="宋体" w:hAnsi="宋体" w:eastAsia="宋体" w:cs="宋体"/>
                <w:spacing w:val="-6"/>
                <w:sz w:val="21"/>
                <w:szCs w:val="21"/>
              </w:rPr>
              <w:t>14．事件评价分析表。根据评价报告得分对管理部门得分进行统计和排名，</w:t>
            </w:r>
            <w:r>
              <w:rPr>
                <w:rFonts w:ascii="宋体" w:hAnsi="宋体" w:eastAsia="宋体" w:cs="宋体"/>
                <w:spacing w:val="62"/>
                <w:sz w:val="21"/>
                <w:szCs w:val="21"/>
              </w:rPr>
              <w:t xml:space="preserve"> </w:t>
            </w:r>
            <w:r>
              <w:rPr>
                <w:rFonts w:ascii="宋体" w:hAnsi="宋体" w:eastAsia="宋体" w:cs="宋体"/>
                <w:spacing w:val="-6"/>
                <w:sz w:val="21"/>
                <w:szCs w:val="21"/>
              </w:rPr>
              <w:t>包含可</w:t>
            </w:r>
            <w:r>
              <w:rPr>
                <w:rFonts w:ascii="宋体" w:hAnsi="宋体" w:eastAsia="宋体" w:cs="宋体"/>
                <w:sz w:val="21"/>
                <w:szCs w:val="21"/>
              </w:rPr>
              <w:t xml:space="preserve"> </w:t>
            </w:r>
            <w:r>
              <w:rPr>
                <w:rFonts w:ascii="宋体" w:hAnsi="宋体" w:eastAsia="宋体" w:cs="宋体"/>
                <w:spacing w:val="-1"/>
                <w:sz w:val="21"/>
                <w:szCs w:val="21"/>
              </w:rPr>
              <w:t>评价、有效评价、有效评价率、平均分数，可导出事件评价分析一览表。</w:t>
            </w:r>
          </w:p>
          <w:p w14:paraId="1573B54D">
            <w:pPr>
              <w:spacing w:before="72" w:line="242" w:lineRule="auto"/>
              <w:ind w:left="108" w:right="101" w:firstLine="16"/>
              <w:rPr>
                <w:rFonts w:ascii="宋体" w:hAnsi="宋体" w:eastAsia="宋体" w:cs="宋体"/>
                <w:sz w:val="21"/>
                <w:szCs w:val="21"/>
              </w:rPr>
            </w:pPr>
            <w:r>
              <w:rPr>
                <w:rFonts w:ascii="宋体" w:hAnsi="宋体" w:eastAsia="宋体" w:cs="宋体"/>
                <w:spacing w:val="-1"/>
                <w:position w:val="-2"/>
                <w:sz w:val="21"/>
                <w:szCs w:val="21"/>
              </w:rPr>
              <w:t>15．</w:t>
            </w:r>
            <w:r>
              <w:rPr>
                <w:rFonts w:ascii="宋体" w:hAnsi="宋体" w:eastAsia="宋体" w:cs="宋体"/>
                <w:spacing w:val="-1"/>
                <w:sz w:val="21"/>
                <w:szCs w:val="21"/>
              </w:rPr>
              <w:t>国家护理质量平台不良事件数据报表</w:t>
            </w:r>
            <w:r>
              <w:rPr>
                <w:rFonts w:ascii="宋体" w:hAnsi="宋体" w:eastAsia="宋体" w:cs="宋体"/>
                <w:spacing w:val="-2"/>
                <w:sz w:val="21"/>
                <w:szCs w:val="21"/>
              </w:rPr>
              <w:t>。按标准格式提供导管非计划拔管相关数</w:t>
            </w:r>
            <w:r>
              <w:rPr>
                <w:rFonts w:ascii="宋体" w:hAnsi="宋体" w:eastAsia="宋体" w:cs="宋体"/>
                <w:sz w:val="21"/>
                <w:szCs w:val="21"/>
              </w:rPr>
              <w:t xml:space="preserve"> </w:t>
            </w:r>
            <w:r>
              <w:rPr>
                <w:rFonts w:ascii="宋体" w:hAnsi="宋体" w:eastAsia="宋体" w:cs="宋体"/>
                <w:spacing w:val="-1"/>
                <w:sz w:val="21"/>
                <w:szCs w:val="21"/>
              </w:rPr>
              <w:t>据、导管相关性感染相关数据、跌倒相关数据、院内压力性损伤相关数据、</w:t>
            </w:r>
            <w:r>
              <w:rPr>
                <w:rFonts w:ascii="宋体" w:hAnsi="宋体" w:eastAsia="宋体" w:cs="宋体"/>
                <w:spacing w:val="-2"/>
                <w:sz w:val="21"/>
                <w:szCs w:val="21"/>
              </w:rPr>
              <w:t>针刺伤</w:t>
            </w:r>
            <w:r>
              <w:rPr>
                <w:rFonts w:ascii="宋体" w:hAnsi="宋体" w:eastAsia="宋体" w:cs="宋体"/>
                <w:sz w:val="21"/>
                <w:szCs w:val="21"/>
              </w:rPr>
              <w:t xml:space="preserve"> </w:t>
            </w:r>
            <w:r>
              <w:rPr>
                <w:rFonts w:ascii="宋体" w:hAnsi="宋体" w:eastAsia="宋体" w:cs="宋体"/>
                <w:spacing w:val="-2"/>
                <w:sz w:val="21"/>
                <w:szCs w:val="21"/>
              </w:rPr>
              <w:t>锐器伤数据报表，指标值可追溯可导出。</w:t>
            </w:r>
          </w:p>
          <w:p w14:paraId="145BC6B4">
            <w:pPr>
              <w:spacing w:before="48" w:line="242" w:lineRule="auto"/>
              <w:ind w:left="108" w:right="101" w:firstLine="16"/>
              <w:rPr>
                <w:rFonts w:ascii="宋体" w:hAnsi="宋体" w:eastAsia="宋体" w:cs="宋体"/>
                <w:sz w:val="21"/>
                <w:szCs w:val="21"/>
              </w:rPr>
            </w:pPr>
            <w:r>
              <w:rPr>
                <w:rFonts w:ascii="宋体" w:hAnsi="宋体" w:eastAsia="宋体" w:cs="宋体"/>
                <w:spacing w:val="-1"/>
                <w:position w:val="-2"/>
                <w:sz w:val="21"/>
                <w:szCs w:val="21"/>
              </w:rPr>
              <w:t>16．</w:t>
            </w:r>
            <w:r>
              <w:rPr>
                <w:rFonts w:ascii="宋体" w:hAnsi="宋体" w:eastAsia="宋体" w:cs="宋体"/>
                <w:spacing w:val="-1"/>
                <w:sz w:val="21"/>
                <w:szCs w:val="21"/>
              </w:rPr>
              <w:t>自定义分析主题。系统默认提供患者</w:t>
            </w:r>
            <w:r>
              <w:rPr>
                <w:rFonts w:ascii="宋体" w:hAnsi="宋体" w:eastAsia="宋体" w:cs="宋体"/>
                <w:spacing w:val="-2"/>
                <w:sz w:val="21"/>
                <w:szCs w:val="21"/>
              </w:rPr>
              <w:t>安全分析主题、当事人分析主题、护理跌</w:t>
            </w:r>
            <w:r>
              <w:rPr>
                <w:rFonts w:ascii="宋体" w:hAnsi="宋体" w:eastAsia="宋体" w:cs="宋体"/>
                <w:sz w:val="21"/>
                <w:szCs w:val="21"/>
              </w:rPr>
              <w:t xml:space="preserve"> </w:t>
            </w:r>
            <w:r>
              <w:rPr>
                <w:rFonts w:ascii="宋体" w:hAnsi="宋体" w:eastAsia="宋体" w:cs="宋体"/>
                <w:spacing w:val="-1"/>
                <w:sz w:val="21"/>
                <w:szCs w:val="21"/>
              </w:rPr>
              <w:t>倒、压疮、非计划拔管等分析主题，分析图主题内容和布局自定义，可采用</w:t>
            </w:r>
            <w:r>
              <w:rPr>
                <w:rFonts w:ascii="宋体" w:hAnsi="宋体" w:eastAsia="宋体" w:cs="宋体"/>
                <w:spacing w:val="-2"/>
                <w:sz w:val="21"/>
                <w:szCs w:val="21"/>
              </w:rPr>
              <w:t>文字、</w:t>
            </w:r>
            <w:r>
              <w:rPr>
                <w:rFonts w:ascii="宋体" w:hAnsi="宋体" w:eastAsia="宋体" w:cs="宋体"/>
                <w:sz w:val="21"/>
                <w:szCs w:val="21"/>
              </w:rPr>
              <w:t xml:space="preserve"> </w:t>
            </w:r>
            <w:r>
              <w:rPr>
                <w:rFonts w:ascii="宋体" w:hAnsi="宋体" w:eastAsia="宋体" w:cs="宋体"/>
                <w:spacing w:val="-2"/>
                <w:sz w:val="21"/>
                <w:szCs w:val="21"/>
              </w:rPr>
              <w:t>表格、柱状图、饼状图、柏拉图等呈现。</w:t>
            </w:r>
          </w:p>
          <w:p w14:paraId="7C81DCF3">
            <w:pPr>
              <w:spacing w:before="48"/>
              <w:ind w:left="114" w:right="101" w:firstLine="10"/>
              <w:rPr>
                <w:rFonts w:ascii="宋体" w:hAnsi="宋体" w:eastAsia="宋体" w:cs="宋体"/>
                <w:sz w:val="21"/>
                <w:szCs w:val="21"/>
              </w:rPr>
            </w:pPr>
            <w:r>
              <w:rPr>
                <w:rFonts w:ascii="宋体" w:hAnsi="宋体" w:eastAsia="宋体" w:cs="宋体"/>
                <w:spacing w:val="-1"/>
                <w:position w:val="-2"/>
                <w:sz w:val="21"/>
                <w:szCs w:val="21"/>
              </w:rPr>
              <w:t>17．</w:t>
            </w:r>
            <w:r>
              <w:rPr>
                <w:rFonts w:ascii="宋体" w:hAnsi="宋体" w:eastAsia="宋体" w:cs="宋体"/>
                <w:spacing w:val="-1"/>
                <w:sz w:val="21"/>
                <w:szCs w:val="21"/>
              </w:rPr>
              <w:t>自定义分析报告。系统可自定义统计</w:t>
            </w:r>
            <w:r>
              <w:rPr>
                <w:rFonts w:ascii="宋体" w:hAnsi="宋体" w:eastAsia="宋体" w:cs="宋体"/>
                <w:spacing w:val="-2"/>
                <w:sz w:val="21"/>
                <w:szCs w:val="21"/>
              </w:rPr>
              <w:t>分析报告、报告模块、使用角色、使用人</w:t>
            </w:r>
            <w:r>
              <w:rPr>
                <w:rFonts w:ascii="宋体" w:hAnsi="宋体" w:eastAsia="宋体" w:cs="宋体"/>
                <w:sz w:val="21"/>
                <w:szCs w:val="21"/>
              </w:rPr>
              <w:t xml:space="preserve"> </w:t>
            </w:r>
            <w:r>
              <w:rPr>
                <w:rFonts w:ascii="宋体" w:hAnsi="宋体" w:eastAsia="宋体" w:cs="宋体"/>
                <w:spacing w:val="-6"/>
                <w:sz w:val="21"/>
                <w:szCs w:val="21"/>
              </w:rPr>
              <w:t>员、模板布局、模板指标，</w:t>
            </w:r>
            <w:r>
              <w:rPr>
                <w:rFonts w:ascii="宋体" w:hAnsi="宋体" w:eastAsia="宋体" w:cs="宋体"/>
                <w:spacing w:val="66"/>
                <w:sz w:val="21"/>
                <w:szCs w:val="21"/>
              </w:rPr>
              <w:t xml:space="preserve"> </w:t>
            </w:r>
            <w:r>
              <w:rPr>
                <w:rFonts w:ascii="宋体" w:hAnsi="宋体" w:eastAsia="宋体" w:cs="宋体"/>
                <w:spacing w:val="-6"/>
                <w:sz w:val="21"/>
                <w:szCs w:val="21"/>
              </w:rPr>
              <w:t>可配置年报或季报，一键式导出，展现方式包含在线报</w:t>
            </w:r>
            <w:r>
              <w:rPr>
                <w:rFonts w:ascii="宋体" w:hAnsi="宋体" w:eastAsia="宋体" w:cs="宋体"/>
                <w:sz w:val="21"/>
                <w:szCs w:val="21"/>
              </w:rPr>
              <w:t xml:space="preserve"> </w:t>
            </w:r>
            <w:r>
              <w:rPr>
                <w:rFonts w:ascii="宋体" w:hAnsi="宋体" w:eastAsia="宋体" w:cs="宋体"/>
                <w:spacing w:val="-1"/>
                <w:sz w:val="21"/>
                <w:szCs w:val="21"/>
              </w:rPr>
              <w:t>告、Word</w:t>
            </w:r>
            <w:r>
              <w:rPr>
                <w:rFonts w:ascii="宋体" w:hAnsi="宋体" w:eastAsia="宋体" w:cs="宋体"/>
                <w:spacing w:val="-37"/>
                <w:sz w:val="21"/>
                <w:szCs w:val="21"/>
              </w:rPr>
              <w:t xml:space="preserve"> </w:t>
            </w:r>
            <w:r>
              <w:rPr>
                <w:rFonts w:ascii="宋体" w:hAnsi="宋体" w:eastAsia="宋体" w:cs="宋体"/>
                <w:spacing w:val="-1"/>
                <w:sz w:val="21"/>
                <w:szCs w:val="21"/>
              </w:rPr>
              <w:t>报告、Excel</w:t>
            </w:r>
            <w:r>
              <w:rPr>
                <w:rFonts w:ascii="宋体" w:hAnsi="宋体" w:eastAsia="宋体" w:cs="宋体"/>
                <w:spacing w:val="-46"/>
                <w:sz w:val="21"/>
                <w:szCs w:val="21"/>
              </w:rPr>
              <w:t xml:space="preserve"> </w:t>
            </w:r>
            <w:r>
              <w:rPr>
                <w:rFonts w:ascii="宋体" w:hAnsi="宋体" w:eastAsia="宋体" w:cs="宋体"/>
                <w:spacing w:val="-1"/>
                <w:sz w:val="21"/>
                <w:szCs w:val="21"/>
              </w:rPr>
              <w:t>报告，报告内容自定义包含图形、文字、鱼骨图等</w:t>
            </w:r>
          </w:p>
        </w:tc>
      </w:tr>
      <w:tr w14:paraId="780E1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0" w:hRule="atLeast"/>
        </w:trPr>
        <w:tc>
          <w:tcPr>
            <w:tcW w:w="783" w:type="dxa"/>
            <w:vAlign w:val="top"/>
          </w:tcPr>
          <w:p w14:paraId="66B32B20">
            <w:pPr>
              <w:spacing w:line="246" w:lineRule="auto"/>
              <w:rPr>
                <w:rFonts w:ascii="Arial"/>
                <w:sz w:val="21"/>
              </w:rPr>
            </w:pPr>
          </w:p>
          <w:p w14:paraId="5DE3BF45">
            <w:pPr>
              <w:spacing w:line="246" w:lineRule="auto"/>
              <w:rPr>
                <w:rFonts w:ascii="Arial"/>
                <w:sz w:val="21"/>
              </w:rPr>
            </w:pPr>
          </w:p>
          <w:p w14:paraId="6D5FF10C">
            <w:pPr>
              <w:spacing w:line="246" w:lineRule="auto"/>
              <w:rPr>
                <w:rFonts w:ascii="Arial"/>
                <w:sz w:val="21"/>
              </w:rPr>
            </w:pPr>
          </w:p>
          <w:p w14:paraId="4BC76D85">
            <w:pPr>
              <w:spacing w:line="246" w:lineRule="auto"/>
              <w:rPr>
                <w:rFonts w:ascii="Arial"/>
                <w:sz w:val="21"/>
              </w:rPr>
            </w:pPr>
          </w:p>
          <w:p w14:paraId="064F286C">
            <w:pPr>
              <w:spacing w:line="246" w:lineRule="auto"/>
              <w:rPr>
                <w:rFonts w:ascii="Arial"/>
                <w:sz w:val="21"/>
              </w:rPr>
            </w:pPr>
          </w:p>
          <w:p w14:paraId="0F99263A">
            <w:pPr>
              <w:spacing w:line="246" w:lineRule="auto"/>
              <w:rPr>
                <w:rFonts w:ascii="Arial"/>
                <w:sz w:val="21"/>
              </w:rPr>
            </w:pPr>
          </w:p>
          <w:p w14:paraId="665CE220">
            <w:pPr>
              <w:spacing w:line="246" w:lineRule="auto"/>
              <w:rPr>
                <w:rFonts w:ascii="Arial"/>
                <w:sz w:val="21"/>
              </w:rPr>
            </w:pPr>
          </w:p>
          <w:p w14:paraId="19AD685F">
            <w:pPr>
              <w:spacing w:line="246" w:lineRule="auto"/>
              <w:rPr>
                <w:rFonts w:ascii="Arial"/>
                <w:sz w:val="21"/>
              </w:rPr>
            </w:pPr>
          </w:p>
          <w:p w14:paraId="6906C8DA">
            <w:pPr>
              <w:spacing w:line="246" w:lineRule="auto"/>
              <w:rPr>
                <w:rFonts w:ascii="Arial"/>
                <w:sz w:val="21"/>
              </w:rPr>
            </w:pPr>
          </w:p>
          <w:p w14:paraId="13253C21">
            <w:pPr>
              <w:spacing w:line="246" w:lineRule="auto"/>
              <w:rPr>
                <w:rFonts w:ascii="Arial"/>
                <w:sz w:val="21"/>
              </w:rPr>
            </w:pPr>
          </w:p>
          <w:p w14:paraId="66C877D2">
            <w:pPr>
              <w:spacing w:line="246" w:lineRule="auto"/>
              <w:rPr>
                <w:rFonts w:ascii="Arial"/>
                <w:sz w:val="21"/>
              </w:rPr>
            </w:pPr>
          </w:p>
          <w:p w14:paraId="593634BC">
            <w:pPr>
              <w:spacing w:line="246" w:lineRule="auto"/>
              <w:rPr>
                <w:rFonts w:ascii="Arial"/>
                <w:sz w:val="21"/>
              </w:rPr>
            </w:pPr>
          </w:p>
          <w:p w14:paraId="59B96A43">
            <w:pPr>
              <w:spacing w:line="246" w:lineRule="auto"/>
              <w:rPr>
                <w:rFonts w:ascii="Arial"/>
                <w:sz w:val="21"/>
              </w:rPr>
            </w:pPr>
          </w:p>
          <w:p w14:paraId="12EC39C0">
            <w:pPr>
              <w:spacing w:line="246" w:lineRule="auto"/>
              <w:rPr>
                <w:rFonts w:ascii="Arial"/>
                <w:sz w:val="21"/>
              </w:rPr>
            </w:pPr>
          </w:p>
          <w:p w14:paraId="1D64CA86">
            <w:pPr>
              <w:spacing w:line="246" w:lineRule="auto"/>
              <w:rPr>
                <w:rFonts w:ascii="Arial"/>
                <w:sz w:val="21"/>
              </w:rPr>
            </w:pPr>
          </w:p>
          <w:p w14:paraId="15C0F6A9">
            <w:pPr>
              <w:spacing w:line="246" w:lineRule="auto"/>
              <w:rPr>
                <w:rFonts w:ascii="Arial"/>
                <w:sz w:val="21"/>
              </w:rPr>
            </w:pPr>
          </w:p>
          <w:p w14:paraId="71D32822">
            <w:pPr>
              <w:spacing w:line="247" w:lineRule="auto"/>
              <w:rPr>
                <w:rFonts w:ascii="Arial"/>
                <w:sz w:val="21"/>
              </w:rPr>
            </w:pPr>
          </w:p>
          <w:p w14:paraId="63B4E1EE">
            <w:pPr>
              <w:spacing w:before="78" w:line="181" w:lineRule="auto"/>
              <w:ind w:left="280"/>
              <w:rPr>
                <w:rFonts w:ascii="宋体" w:hAnsi="宋体" w:eastAsia="宋体" w:cs="宋体"/>
                <w:sz w:val="24"/>
                <w:szCs w:val="24"/>
              </w:rPr>
            </w:pPr>
            <w:r>
              <w:rPr>
                <w:rFonts w:ascii="宋体" w:hAnsi="宋体" w:eastAsia="宋体" w:cs="宋体"/>
                <w:sz w:val="24"/>
                <w:szCs w:val="24"/>
              </w:rPr>
              <w:t>8</w:t>
            </w:r>
          </w:p>
        </w:tc>
        <w:tc>
          <w:tcPr>
            <w:tcW w:w="1273" w:type="dxa"/>
            <w:vAlign w:val="top"/>
          </w:tcPr>
          <w:p w14:paraId="7C51BDB0">
            <w:pPr>
              <w:spacing w:line="243" w:lineRule="auto"/>
              <w:rPr>
                <w:rFonts w:ascii="Arial"/>
                <w:sz w:val="21"/>
              </w:rPr>
            </w:pPr>
          </w:p>
          <w:p w14:paraId="7F55B03E">
            <w:pPr>
              <w:spacing w:line="243" w:lineRule="auto"/>
              <w:rPr>
                <w:rFonts w:ascii="Arial"/>
                <w:sz w:val="21"/>
              </w:rPr>
            </w:pPr>
          </w:p>
          <w:p w14:paraId="71FD2F0B">
            <w:pPr>
              <w:spacing w:line="243" w:lineRule="auto"/>
              <w:rPr>
                <w:rFonts w:ascii="Arial"/>
                <w:sz w:val="21"/>
              </w:rPr>
            </w:pPr>
          </w:p>
          <w:p w14:paraId="1B073879">
            <w:pPr>
              <w:spacing w:line="243" w:lineRule="auto"/>
              <w:rPr>
                <w:rFonts w:ascii="Arial"/>
                <w:sz w:val="21"/>
              </w:rPr>
            </w:pPr>
          </w:p>
          <w:p w14:paraId="7E97DE7B">
            <w:pPr>
              <w:spacing w:line="243" w:lineRule="auto"/>
              <w:rPr>
                <w:rFonts w:ascii="Arial"/>
                <w:sz w:val="21"/>
              </w:rPr>
            </w:pPr>
          </w:p>
          <w:p w14:paraId="01225ACC">
            <w:pPr>
              <w:spacing w:line="243" w:lineRule="auto"/>
              <w:rPr>
                <w:rFonts w:ascii="Arial"/>
                <w:sz w:val="21"/>
              </w:rPr>
            </w:pPr>
          </w:p>
          <w:p w14:paraId="399E70DA">
            <w:pPr>
              <w:spacing w:line="244" w:lineRule="auto"/>
              <w:rPr>
                <w:rFonts w:ascii="Arial"/>
                <w:sz w:val="21"/>
              </w:rPr>
            </w:pPr>
          </w:p>
          <w:p w14:paraId="24433332">
            <w:pPr>
              <w:spacing w:line="244" w:lineRule="auto"/>
              <w:rPr>
                <w:rFonts w:ascii="Arial"/>
                <w:sz w:val="21"/>
              </w:rPr>
            </w:pPr>
          </w:p>
          <w:p w14:paraId="51E3029D">
            <w:pPr>
              <w:spacing w:line="244" w:lineRule="auto"/>
              <w:rPr>
                <w:rFonts w:ascii="Arial"/>
                <w:sz w:val="21"/>
              </w:rPr>
            </w:pPr>
          </w:p>
          <w:p w14:paraId="4BF14FDE">
            <w:pPr>
              <w:spacing w:line="244" w:lineRule="auto"/>
              <w:rPr>
                <w:rFonts w:ascii="Arial"/>
                <w:sz w:val="21"/>
              </w:rPr>
            </w:pPr>
          </w:p>
          <w:p w14:paraId="7E894803">
            <w:pPr>
              <w:spacing w:line="244" w:lineRule="auto"/>
              <w:rPr>
                <w:rFonts w:ascii="Arial"/>
                <w:sz w:val="21"/>
              </w:rPr>
            </w:pPr>
          </w:p>
          <w:p w14:paraId="7DB45B84">
            <w:pPr>
              <w:spacing w:line="244" w:lineRule="auto"/>
              <w:rPr>
                <w:rFonts w:ascii="Arial"/>
                <w:sz w:val="21"/>
              </w:rPr>
            </w:pPr>
          </w:p>
          <w:p w14:paraId="1912E075">
            <w:pPr>
              <w:spacing w:line="244" w:lineRule="auto"/>
              <w:rPr>
                <w:rFonts w:ascii="Arial"/>
                <w:sz w:val="21"/>
              </w:rPr>
            </w:pPr>
          </w:p>
          <w:p w14:paraId="3A99A84D">
            <w:pPr>
              <w:spacing w:line="244" w:lineRule="auto"/>
              <w:rPr>
                <w:rFonts w:ascii="Arial"/>
                <w:sz w:val="21"/>
              </w:rPr>
            </w:pPr>
          </w:p>
          <w:p w14:paraId="41E701E2">
            <w:pPr>
              <w:spacing w:line="244" w:lineRule="auto"/>
              <w:rPr>
                <w:rFonts w:ascii="Arial"/>
                <w:sz w:val="21"/>
              </w:rPr>
            </w:pPr>
          </w:p>
          <w:p w14:paraId="48C34420">
            <w:pPr>
              <w:spacing w:line="244" w:lineRule="auto"/>
              <w:rPr>
                <w:rFonts w:ascii="Arial"/>
                <w:sz w:val="21"/>
              </w:rPr>
            </w:pPr>
          </w:p>
          <w:p w14:paraId="2A428463">
            <w:pPr>
              <w:spacing w:line="244" w:lineRule="auto"/>
              <w:rPr>
                <w:rFonts w:ascii="Arial"/>
                <w:sz w:val="21"/>
              </w:rPr>
            </w:pPr>
          </w:p>
          <w:p w14:paraId="6C925D59">
            <w:pPr>
              <w:spacing w:before="78" w:line="220" w:lineRule="auto"/>
              <w:ind w:left="110"/>
              <w:rPr>
                <w:rFonts w:ascii="宋体" w:hAnsi="宋体" w:eastAsia="宋体" w:cs="宋体"/>
                <w:sz w:val="24"/>
                <w:szCs w:val="24"/>
              </w:rPr>
            </w:pPr>
            <w:r>
              <w:rPr>
                <w:rFonts w:ascii="宋体" w:hAnsi="宋体" w:eastAsia="宋体" w:cs="宋体"/>
                <w:spacing w:val="-3"/>
                <w:sz w:val="24"/>
                <w:szCs w:val="24"/>
              </w:rPr>
              <w:t>辅助模块</w:t>
            </w:r>
          </w:p>
        </w:tc>
        <w:tc>
          <w:tcPr>
            <w:tcW w:w="7743" w:type="dxa"/>
            <w:vAlign w:val="top"/>
          </w:tcPr>
          <w:p w14:paraId="34864A1D">
            <w:pPr>
              <w:spacing w:before="67" w:line="281" w:lineRule="auto"/>
              <w:ind w:left="108" w:right="102" w:firstLine="16"/>
              <w:rPr>
                <w:rFonts w:ascii="宋体" w:hAnsi="宋体" w:eastAsia="宋体" w:cs="宋体"/>
                <w:sz w:val="21"/>
                <w:szCs w:val="21"/>
              </w:rPr>
            </w:pPr>
            <w:r>
              <w:rPr>
                <w:rFonts w:ascii="宋体" w:hAnsi="宋体" w:eastAsia="宋体" w:cs="宋体"/>
                <w:spacing w:val="1"/>
                <w:sz w:val="21"/>
                <w:szCs w:val="21"/>
              </w:rPr>
              <w:t>1．开放事件。包含事件分享中心（开放事件</w:t>
            </w:r>
            <w:r>
              <w:rPr>
                <w:rFonts w:ascii="宋体" w:hAnsi="宋体" w:eastAsia="宋体" w:cs="宋体"/>
                <w:spacing w:val="7"/>
                <w:sz w:val="21"/>
                <w:szCs w:val="21"/>
              </w:rPr>
              <w:t>），</w:t>
            </w:r>
            <w:r>
              <w:rPr>
                <w:rFonts w:ascii="宋体" w:hAnsi="宋体" w:eastAsia="宋体" w:cs="宋体"/>
                <w:spacing w:val="1"/>
                <w:sz w:val="21"/>
                <w:szCs w:val="21"/>
              </w:rPr>
              <w:t xml:space="preserve">有查阅权限的用户可对事件进行 </w:t>
            </w:r>
            <w:r>
              <w:rPr>
                <w:rFonts w:ascii="宋体" w:hAnsi="宋体" w:eastAsia="宋体" w:cs="宋体"/>
                <w:spacing w:val="-1"/>
                <w:sz w:val="21"/>
                <w:szCs w:val="21"/>
              </w:rPr>
              <w:t>学习、评价、点赞等操作。开发事件可根据最新发布、最多点赞、最多评论</w:t>
            </w:r>
            <w:r>
              <w:rPr>
                <w:rFonts w:ascii="宋体" w:hAnsi="宋体" w:eastAsia="宋体" w:cs="宋体"/>
                <w:spacing w:val="-2"/>
                <w:sz w:val="21"/>
                <w:szCs w:val="21"/>
              </w:rPr>
              <w:t>进行排</w:t>
            </w:r>
            <w:r>
              <w:rPr>
                <w:rFonts w:ascii="宋体" w:hAnsi="宋体" w:eastAsia="宋体" w:cs="宋体"/>
                <w:sz w:val="21"/>
                <w:szCs w:val="21"/>
              </w:rPr>
              <w:t xml:space="preserve"> </w:t>
            </w:r>
            <w:r>
              <w:rPr>
                <w:rFonts w:ascii="宋体" w:hAnsi="宋体" w:eastAsia="宋体" w:cs="宋体"/>
                <w:spacing w:val="2"/>
                <w:sz w:val="21"/>
                <w:szCs w:val="21"/>
              </w:rPr>
              <w:t>序，可根据事件类型、当事科室、事件等级、序号/标题进行查询，</w:t>
            </w:r>
            <w:r>
              <w:rPr>
                <w:rFonts w:ascii="宋体" w:hAnsi="宋体" w:eastAsia="宋体" w:cs="宋体"/>
                <w:spacing w:val="1"/>
                <w:sz w:val="21"/>
                <w:szCs w:val="21"/>
              </w:rPr>
              <w:t>事件评论支持</w:t>
            </w:r>
            <w:r>
              <w:rPr>
                <w:rFonts w:ascii="宋体" w:hAnsi="宋体" w:eastAsia="宋体" w:cs="宋体"/>
                <w:sz w:val="21"/>
                <w:szCs w:val="21"/>
              </w:rPr>
              <w:t xml:space="preserve"> </w:t>
            </w:r>
            <w:r>
              <w:rPr>
                <w:rFonts w:ascii="宋体" w:hAnsi="宋体" w:eastAsia="宋体" w:cs="宋体"/>
                <w:spacing w:val="-5"/>
                <w:sz w:val="21"/>
                <w:szCs w:val="21"/>
              </w:rPr>
              <w:t>实名和匿名评论。</w:t>
            </w:r>
          </w:p>
          <w:p w14:paraId="63F5DD78">
            <w:pPr>
              <w:spacing w:before="93" w:line="260" w:lineRule="auto"/>
              <w:ind w:left="110" w:right="132" w:firstLine="1"/>
              <w:rPr>
                <w:rFonts w:ascii="宋体" w:hAnsi="宋体" w:eastAsia="宋体" w:cs="宋体"/>
                <w:sz w:val="21"/>
                <w:szCs w:val="21"/>
              </w:rPr>
            </w:pPr>
            <w:r>
              <w:rPr>
                <w:rFonts w:ascii="宋体" w:hAnsi="宋体" w:eastAsia="宋体" w:cs="宋体"/>
                <w:spacing w:val="1"/>
                <w:sz w:val="21"/>
                <w:szCs w:val="21"/>
              </w:rPr>
              <w:t>2．事件标识自定义。自定义事件标识，可对事件设置事件标识（如：典</w:t>
            </w:r>
            <w:r>
              <w:rPr>
                <w:rFonts w:ascii="宋体" w:hAnsi="宋体" w:eastAsia="宋体" w:cs="宋体"/>
                <w:sz w:val="21"/>
                <w:szCs w:val="21"/>
              </w:rPr>
              <w:t xml:space="preserve">型事件、 </w:t>
            </w:r>
            <w:r>
              <w:rPr>
                <w:rFonts w:ascii="宋体" w:hAnsi="宋体" w:eastAsia="宋体" w:cs="宋体"/>
                <w:spacing w:val="-2"/>
                <w:sz w:val="21"/>
                <w:szCs w:val="21"/>
              </w:rPr>
              <w:t>重点事件、PDCA</w:t>
            </w:r>
            <w:r>
              <w:rPr>
                <w:rFonts w:ascii="宋体" w:hAnsi="宋体" w:eastAsia="宋体" w:cs="宋体"/>
                <w:spacing w:val="-43"/>
                <w:sz w:val="21"/>
                <w:szCs w:val="21"/>
              </w:rPr>
              <w:t xml:space="preserve"> </w:t>
            </w:r>
            <w:r>
              <w:rPr>
                <w:rFonts w:ascii="宋体" w:hAnsi="宋体" w:eastAsia="宋体" w:cs="宋体"/>
                <w:spacing w:val="-2"/>
                <w:sz w:val="21"/>
                <w:szCs w:val="21"/>
              </w:rPr>
              <w:t>事件</w:t>
            </w:r>
            <w:r>
              <w:rPr>
                <w:rFonts w:ascii="宋体" w:hAnsi="宋体" w:eastAsia="宋体" w:cs="宋体"/>
                <w:spacing w:val="2"/>
                <w:sz w:val="21"/>
                <w:szCs w:val="21"/>
              </w:rPr>
              <w:t>），</w:t>
            </w:r>
            <w:r>
              <w:rPr>
                <w:rFonts w:ascii="宋体" w:hAnsi="宋体" w:eastAsia="宋体" w:cs="宋体"/>
                <w:spacing w:val="-2"/>
                <w:sz w:val="21"/>
                <w:szCs w:val="21"/>
              </w:rPr>
              <w:t>方便快速筛选和对事件进行分类。</w:t>
            </w:r>
          </w:p>
          <w:p w14:paraId="7099D0FD">
            <w:pPr>
              <w:spacing w:before="93" w:line="260" w:lineRule="auto"/>
              <w:ind w:left="110" w:right="102" w:firstLine="3"/>
              <w:rPr>
                <w:rFonts w:ascii="宋体" w:hAnsi="宋体" w:eastAsia="宋体" w:cs="宋体"/>
                <w:sz w:val="21"/>
                <w:szCs w:val="21"/>
              </w:rPr>
            </w:pPr>
            <w:r>
              <w:rPr>
                <w:rFonts w:ascii="宋体" w:hAnsi="宋体" w:eastAsia="宋体" w:cs="宋体"/>
                <w:spacing w:val="2"/>
                <w:sz w:val="21"/>
                <w:szCs w:val="21"/>
              </w:rPr>
              <w:t>3．登录安全。系统内置登录密码强度验证模块，可配置</w:t>
            </w:r>
            <w:r>
              <w:rPr>
                <w:rFonts w:ascii="宋体" w:hAnsi="宋体" w:eastAsia="宋体" w:cs="宋体"/>
                <w:spacing w:val="1"/>
                <w:sz w:val="21"/>
                <w:szCs w:val="21"/>
              </w:rPr>
              <w:t>验证规则，不满足规则用</w:t>
            </w:r>
            <w:r>
              <w:rPr>
                <w:rFonts w:ascii="宋体" w:hAnsi="宋体" w:eastAsia="宋体" w:cs="宋体"/>
                <w:sz w:val="21"/>
                <w:szCs w:val="21"/>
              </w:rPr>
              <w:t xml:space="preserve"> </w:t>
            </w:r>
            <w:r>
              <w:rPr>
                <w:rFonts w:ascii="宋体" w:hAnsi="宋体" w:eastAsia="宋体" w:cs="宋体"/>
                <w:spacing w:val="-1"/>
                <w:sz w:val="21"/>
                <w:szCs w:val="21"/>
              </w:rPr>
              <w:t>户强制要求修改密码，增加密码错误次数限制，超过设定次</w:t>
            </w:r>
            <w:r>
              <w:rPr>
                <w:rFonts w:ascii="宋体" w:hAnsi="宋体" w:eastAsia="宋体" w:cs="宋体"/>
                <w:spacing w:val="-2"/>
                <w:sz w:val="21"/>
                <w:szCs w:val="21"/>
              </w:rPr>
              <w:t>数将禁止登录。</w:t>
            </w:r>
          </w:p>
          <w:p w14:paraId="60DBCEA4">
            <w:pPr>
              <w:spacing w:before="93" w:line="260" w:lineRule="auto"/>
              <w:ind w:left="109" w:right="102" w:hanging="1"/>
              <w:rPr>
                <w:rFonts w:ascii="宋体" w:hAnsi="宋体" w:eastAsia="宋体" w:cs="宋体"/>
                <w:sz w:val="21"/>
                <w:szCs w:val="21"/>
              </w:rPr>
            </w:pPr>
            <w:r>
              <w:rPr>
                <w:rFonts w:ascii="宋体" w:hAnsi="宋体" w:eastAsia="宋体" w:cs="宋体"/>
                <w:spacing w:val="2"/>
                <w:sz w:val="21"/>
                <w:szCs w:val="21"/>
              </w:rPr>
              <w:t>4．知识库模块。可自定义知识库层级结构和知识库内容，例如：质</w:t>
            </w:r>
            <w:r>
              <w:rPr>
                <w:rFonts w:ascii="宋体" w:hAnsi="宋体" w:eastAsia="宋体" w:cs="宋体"/>
                <w:spacing w:val="1"/>
                <w:sz w:val="21"/>
                <w:szCs w:val="21"/>
              </w:rPr>
              <w:t>量管理体系文</w:t>
            </w:r>
            <w:r>
              <w:rPr>
                <w:rFonts w:ascii="宋体" w:hAnsi="宋体" w:eastAsia="宋体" w:cs="宋体"/>
                <w:sz w:val="21"/>
                <w:szCs w:val="21"/>
              </w:rPr>
              <w:t xml:space="preserve"> </w:t>
            </w:r>
            <w:r>
              <w:rPr>
                <w:rFonts w:ascii="宋体" w:hAnsi="宋体" w:eastAsia="宋体" w:cs="宋体"/>
                <w:spacing w:val="-2"/>
                <w:sz w:val="21"/>
                <w:szCs w:val="21"/>
              </w:rPr>
              <w:t>档、质量月刊、质量简报、质量会议等模块和内容。</w:t>
            </w:r>
          </w:p>
          <w:p w14:paraId="27B8B12C">
            <w:pPr>
              <w:spacing w:before="94" w:line="260" w:lineRule="auto"/>
              <w:ind w:left="110" w:right="102" w:firstLine="3"/>
              <w:rPr>
                <w:rFonts w:ascii="宋体" w:hAnsi="宋体" w:eastAsia="宋体" w:cs="宋体"/>
                <w:sz w:val="21"/>
                <w:szCs w:val="21"/>
              </w:rPr>
            </w:pPr>
            <w:r>
              <w:rPr>
                <w:rFonts w:ascii="宋体" w:hAnsi="宋体" w:eastAsia="宋体" w:cs="宋体"/>
                <w:spacing w:val="2"/>
                <w:sz w:val="21"/>
                <w:szCs w:val="21"/>
              </w:rPr>
              <w:t>5．消息管理模块。系统包含消息管理模块，消息集中管</w:t>
            </w:r>
            <w:r>
              <w:rPr>
                <w:rFonts w:ascii="宋体" w:hAnsi="宋体" w:eastAsia="宋体" w:cs="宋体"/>
                <w:spacing w:val="1"/>
                <w:sz w:val="21"/>
                <w:szCs w:val="21"/>
              </w:rPr>
              <w:t>理，点击消息通知可直接</w:t>
            </w:r>
            <w:r>
              <w:rPr>
                <w:rFonts w:ascii="宋体" w:hAnsi="宋体" w:eastAsia="宋体" w:cs="宋体"/>
                <w:sz w:val="21"/>
                <w:szCs w:val="21"/>
              </w:rPr>
              <w:t xml:space="preserve"> </w:t>
            </w:r>
            <w:r>
              <w:rPr>
                <w:rFonts w:ascii="宋体" w:hAnsi="宋体" w:eastAsia="宋体" w:cs="宋体"/>
                <w:spacing w:val="-1"/>
                <w:sz w:val="21"/>
                <w:szCs w:val="21"/>
              </w:rPr>
              <w:t>跳转到相应事件详情，事件详情内，事件相关人员</w:t>
            </w:r>
            <w:r>
              <w:rPr>
                <w:rFonts w:ascii="宋体" w:hAnsi="宋体" w:eastAsia="宋体" w:cs="宋体"/>
                <w:spacing w:val="-2"/>
                <w:sz w:val="21"/>
                <w:szCs w:val="21"/>
              </w:rPr>
              <w:t>可以相互发送消息。</w:t>
            </w:r>
          </w:p>
          <w:p w14:paraId="19915530">
            <w:pPr>
              <w:spacing w:before="91" w:line="281" w:lineRule="auto"/>
              <w:ind w:left="108" w:right="102" w:firstLine="2"/>
              <w:rPr>
                <w:rFonts w:ascii="宋体" w:hAnsi="宋体" w:eastAsia="宋体" w:cs="宋体"/>
                <w:sz w:val="21"/>
                <w:szCs w:val="21"/>
              </w:rPr>
            </w:pPr>
            <w:r>
              <w:rPr>
                <w:rFonts w:ascii="宋体" w:hAnsi="宋体" w:eastAsia="宋体" w:cs="宋体"/>
                <w:spacing w:val="2"/>
                <w:sz w:val="21"/>
                <w:szCs w:val="21"/>
              </w:rPr>
              <w:t>6．事件模块配置。包含事件报告模块、分析报告模块、追踪</w:t>
            </w:r>
            <w:r>
              <w:rPr>
                <w:rFonts w:ascii="宋体" w:hAnsi="宋体" w:eastAsia="宋体" w:cs="宋体"/>
                <w:spacing w:val="1"/>
                <w:sz w:val="21"/>
                <w:szCs w:val="21"/>
              </w:rPr>
              <w:t>报告模块、整改报告</w:t>
            </w:r>
            <w:r>
              <w:rPr>
                <w:rFonts w:ascii="宋体" w:hAnsi="宋体" w:eastAsia="宋体" w:cs="宋体"/>
                <w:sz w:val="21"/>
                <w:szCs w:val="21"/>
              </w:rPr>
              <w:t xml:space="preserve"> </w:t>
            </w:r>
            <w:r>
              <w:rPr>
                <w:rFonts w:ascii="宋体" w:hAnsi="宋体" w:eastAsia="宋体" w:cs="宋体"/>
                <w:spacing w:val="-5"/>
                <w:sz w:val="21"/>
                <w:szCs w:val="21"/>
              </w:rPr>
              <w:t>模块、数据源模块、评价报告模配置，</w:t>
            </w:r>
            <w:r>
              <w:rPr>
                <w:rFonts w:ascii="宋体" w:hAnsi="宋体" w:eastAsia="宋体" w:cs="宋体"/>
                <w:spacing w:val="46"/>
                <w:sz w:val="21"/>
                <w:szCs w:val="21"/>
              </w:rPr>
              <w:t xml:space="preserve"> </w:t>
            </w:r>
            <w:r>
              <w:rPr>
                <w:rFonts w:ascii="宋体" w:hAnsi="宋体" w:eastAsia="宋体" w:cs="宋体"/>
                <w:spacing w:val="-5"/>
                <w:sz w:val="21"/>
                <w:szCs w:val="21"/>
              </w:rPr>
              <w:t>模块由自定义元素组</w:t>
            </w:r>
            <w:r>
              <w:rPr>
                <w:rFonts w:ascii="宋体" w:hAnsi="宋体" w:eastAsia="宋体" w:cs="宋体"/>
                <w:spacing w:val="-6"/>
                <w:sz w:val="21"/>
                <w:szCs w:val="21"/>
              </w:rPr>
              <w:t>成，元素自定义配置内</w:t>
            </w:r>
            <w:r>
              <w:rPr>
                <w:rFonts w:ascii="宋体" w:hAnsi="宋体" w:eastAsia="宋体" w:cs="宋体"/>
                <w:sz w:val="21"/>
                <w:szCs w:val="21"/>
              </w:rPr>
              <w:t xml:space="preserve"> </w:t>
            </w:r>
            <w:r>
              <w:rPr>
                <w:rFonts w:ascii="宋体" w:hAnsi="宋体" w:eastAsia="宋体" w:cs="宋体"/>
                <w:spacing w:val="-1"/>
                <w:sz w:val="21"/>
                <w:szCs w:val="21"/>
              </w:rPr>
              <w:t>容包含摘要配置、统计指标配置、分析指标配置、改进措施指标、改进措施</w:t>
            </w:r>
            <w:r>
              <w:rPr>
                <w:rFonts w:ascii="宋体" w:hAnsi="宋体" w:eastAsia="宋体" w:cs="宋体"/>
                <w:spacing w:val="-2"/>
                <w:sz w:val="21"/>
                <w:szCs w:val="21"/>
              </w:rPr>
              <w:t>、权重</w:t>
            </w:r>
            <w:r>
              <w:rPr>
                <w:rFonts w:ascii="宋体" w:hAnsi="宋体" w:eastAsia="宋体" w:cs="宋体"/>
                <w:sz w:val="21"/>
                <w:szCs w:val="21"/>
              </w:rPr>
              <w:t xml:space="preserve"> </w:t>
            </w:r>
            <w:r>
              <w:rPr>
                <w:rFonts w:ascii="宋体" w:hAnsi="宋体" w:eastAsia="宋体" w:cs="宋体"/>
                <w:spacing w:val="-2"/>
                <w:sz w:val="21"/>
                <w:szCs w:val="21"/>
              </w:rPr>
              <w:t>值配置、关联指标配置、控制隐藏设置、脚本配置等。</w:t>
            </w:r>
          </w:p>
          <w:p w14:paraId="3D2150D6">
            <w:pPr>
              <w:spacing w:before="95" w:line="260" w:lineRule="auto"/>
              <w:ind w:left="110" w:right="27" w:firstLine="4"/>
              <w:rPr>
                <w:rFonts w:ascii="宋体" w:hAnsi="宋体" w:eastAsia="宋体" w:cs="宋体"/>
                <w:sz w:val="21"/>
                <w:szCs w:val="21"/>
              </w:rPr>
            </w:pPr>
            <w:r>
              <w:rPr>
                <w:rFonts w:ascii="宋体" w:hAnsi="宋体" w:eastAsia="宋体" w:cs="宋体"/>
                <w:spacing w:val="-6"/>
                <w:sz w:val="21"/>
                <w:szCs w:val="21"/>
              </w:rPr>
              <w:t>7．事件数据字典配置。事件元素字典数据管理，</w:t>
            </w:r>
            <w:r>
              <w:rPr>
                <w:rFonts w:ascii="宋体" w:hAnsi="宋体" w:eastAsia="宋体" w:cs="宋体"/>
                <w:spacing w:val="50"/>
                <w:sz w:val="21"/>
                <w:szCs w:val="21"/>
              </w:rPr>
              <w:t xml:space="preserve"> </w:t>
            </w:r>
            <w:r>
              <w:rPr>
                <w:rFonts w:ascii="宋体" w:hAnsi="宋体" w:eastAsia="宋体" w:cs="宋体"/>
                <w:spacing w:val="-6"/>
                <w:sz w:val="21"/>
                <w:szCs w:val="21"/>
              </w:rPr>
              <w:t>字典元素包含外</w:t>
            </w:r>
            <w:r>
              <w:rPr>
                <w:rFonts w:ascii="宋体" w:hAnsi="宋体" w:eastAsia="宋体" w:cs="宋体"/>
                <w:spacing w:val="-7"/>
                <w:sz w:val="21"/>
                <w:szCs w:val="21"/>
              </w:rPr>
              <w:t>键、名称、描述、</w:t>
            </w:r>
            <w:r>
              <w:rPr>
                <w:rFonts w:ascii="宋体" w:hAnsi="宋体" w:eastAsia="宋体" w:cs="宋体"/>
                <w:sz w:val="21"/>
                <w:szCs w:val="21"/>
              </w:rPr>
              <w:t xml:space="preserve"> </w:t>
            </w:r>
            <w:r>
              <w:rPr>
                <w:rFonts w:ascii="宋体" w:hAnsi="宋体" w:eastAsia="宋体" w:cs="宋体"/>
                <w:spacing w:val="-2"/>
                <w:sz w:val="21"/>
                <w:szCs w:val="21"/>
              </w:rPr>
              <w:t>提示方式导出名称等，字典数据可批量导入。</w:t>
            </w:r>
          </w:p>
          <w:p w14:paraId="411949BC">
            <w:pPr>
              <w:spacing w:before="92" w:line="281" w:lineRule="auto"/>
              <w:ind w:left="108" w:right="102" w:firstLine="1"/>
              <w:rPr>
                <w:rFonts w:ascii="宋体" w:hAnsi="宋体" w:eastAsia="宋体" w:cs="宋体"/>
                <w:sz w:val="21"/>
                <w:szCs w:val="21"/>
              </w:rPr>
            </w:pPr>
            <w:r>
              <w:rPr>
                <w:rFonts w:ascii="宋体" w:hAnsi="宋体" w:eastAsia="宋体" w:cs="宋体"/>
                <w:spacing w:val="-12"/>
                <w:sz w:val="21"/>
                <w:szCs w:val="21"/>
              </w:rPr>
              <w:t>8．事件数据源配。支持自定义数据源，数据源支持</w:t>
            </w:r>
            <w:r>
              <w:rPr>
                <w:rFonts w:ascii="宋体" w:hAnsi="宋体" w:eastAsia="宋体" w:cs="宋体"/>
                <w:spacing w:val="-44"/>
                <w:sz w:val="21"/>
                <w:szCs w:val="21"/>
              </w:rPr>
              <w:t xml:space="preserve"> </w:t>
            </w:r>
            <w:r>
              <w:rPr>
                <w:rFonts w:ascii="宋体" w:hAnsi="宋体" w:eastAsia="宋体" w:cs="宋体"/>
                <w:spacing w:val="-12"/>
                <w:sz w:val="21"/>
                <w:szCs w:val="21"/>
              </w:rPr>
              <w:t>SQLServer、MySQL、Oracle、Sql</w:t>
            </w:r>
            <w:r>
              <w:rPr>
                <w:rFonts w:ascii="宋体" w:hAnsi="宋体" w:eastAsia="宋体" w:cs="宋体"/>
                <w:spacing w:val="-13"/>
                <w:sz w:val="21"/>
                <w:szCs w:val="21"/>
              </w:rPr>
              <w:t>ite</w:t>
            </w:r>
            <w:r>
              <w:rPr>
                <w:rFonts w:ascii="宋体" w:hAnsi="宋体" w:eastAsia="宋体" w:cs="宋体"/>
                <w:sz w:val="21"/>
                <w:szCs w:val="21"/>
              </w:rPr>
              <w:t xml:space="preserve"> </w:t>
            </w:r>
            <w:r>
              <w:rPr>
                <w:rFonts w:ascii="宋体" w:hAnsi="宋体" w:eastAsia="宋体" w:cs="宋体"/>
                <w:spacing w:val="-1"/>
                <w:sz w:val="21"/>
                <w:szCs w:val="21"/>
              </w:rPr>
              <w:t>数据库，数据源包含基本配置，连接配置，输入配置，输出配置，数据源可</w:t>
            </w:r>
            <w:r>
              <w:rPr>
                <w:rFonts w:ascii="宋体" w:hAnsi="宋体" w:eastAsia="宋体" w:cs="宋体"/>
                <w:spacing w:val="-2"/>
                <w:sz w:val="21"/>
                <w:szCs w:val="21"/>
              </w:rPr>
              <w:t>直接通</w:t>
            </w:r>
            <w:r>
              <w:rPr>
                <w:rFonts w:ascii="宋体" w:hAnsi="宋体" w:eastAsia="宋体" w:cs="宋体"/>
                <w:sz w:val="21"/>
                <w:szCs w:val="21"/>
              </w:rPr>
              <w:t xml:space="preserve"> 过数据表或视图方式对接，WebServices</w:t>
            </w:r>
            <w:r>
              <w:rPr>
                <w:rFonts w:ascii="宋体" w:hAnsi="宋体" w:eastAsia="宋体" w:cs="宋体"/>
                <w:spacing w:val="-39"/>
                <w:sz w:val="21"/>
                <w:szCs w:val="21"/>
              </w:rPr>
              <w:t xml:space="preserve"> </w:t>
            </w:r>
            <w:r>
              <w:rPr>
                <w:rFonts w:ascii="宋体" w:hAnsi="宋体" w:eastAsia="宋体" w:cs="宋体"/>
                <w:sz w:val="21"/>
                <w:szCs w:val="21"/>
              </w:rPr>
              <w:t xml:space="preserve">接口，数据源可配置特殊处理器，完成数 </w:t>
            </w:r>
            <w:r>
              <w:rPr>
                <w:rFonts w:ascii="宋体" w:hAnsi="宋体" w:eastAsia="宋体" w:cs="宋体"/>
                <w:spacing w:val="-6"/>
                <w:sz w:val="21"/>
                <w:szCs w:val="21"/>
              </w:rPr>
              <w:t>据源的对接。</w:t>
            </w:r>
          </w:p>
          <w:p w14:paraId="6B789066">
            <w:pPr>
              <w:spacing w:before="72" w:line="245" w:lineRule="auto"/>
              <w:ind w:left="108" w:right="102" w:firstLine="1"/>
              <w:rPr>
                <w:rFonts w:ascii="宋体" w:hAnsi="宋体" w:eastAsia="宋体" w:cs="宋体"/>
                <w:sz w:val="21"/>
                <w:szCs w:val="21"/>
              </w:rPr>
            </w:pPr>
            <w:r>
              <w:rPr>
                <w:rFonts w:ascii="宋体" w:hAnsi="宋体" w:eastAsia="宋体" w:cs="宋体"/>
                <w:spacing w:val="2"/>
                <w:position w:val="-2"/>
                <w:sz w:val="21"/>
                <w:szCs w:val="21"/>
              </w:rPr>
              <w:t>9．</w:t>
            </w:r>
            <w:r>
              <w:rPr>
                <w:rFonts w:ascii="宋体" w:hAnsi="宋体" w:eastAsia="宋体" w:cs="宋体"/>
                <w:spacing w:val="2"/>
                <w:sz w:val="21"/>
                <w:szCs w:val="21"/>
              </w:rPr>
              <w:t>分析指标配置。支持自定义指标，指标可用于自定义报告以</w:t>
            </w:r>
            <w:r>
              <w:rPr>
                <w:rFonts w:ascii="宋体" w:hAnsi="宋体" w:eastAsia="宋体" w:cs="宋体"/>
                <w:spacing w:val="1"/>
                <w:sz w:val="21"/>
                <w:szCs w:val="21"/>
              </w:rPr>
              <w:t>及导出报告，支持</w:t>
            </w:r>
            <w:r>
              <w:rPr>
                <w:rFonts w:ascii="宋体" w:hAnsi="宋体" w:eastAsia="宋体" w:cs="宋体"/>
                <w:sz w:val="21"/>
                <w:szCs w:val="21"/>
              </w:rPr>
              <w:t xml:space="preserve"> </w:t>
            </w:r>
            <w:r>
              <w:rPr>
                <w:rFonts w:ascii="宋体" w:hAnsi="宋体" w:eastAsia="宋体" w:cs="宋体"/>
                <w:spacing w:val="-1"/>
                <w:sz w:val="21"/>
                <w:szCs w:val="21"/>
              </w:rPr>
              <w:t>多种指标类型，单值指标、多值指标、模板指标、原因分析指标、对策措施</w:t>
            </w:r>
            <w:r>
              <w:rPr>
                <w:rFonts w:ascii="宋体" w:hAnsi="宋体" w:eastAsia="宋体" w:cs="宋体"/>
                <w:spacing w:val="-2"/>
                <w:sz w:val="21"/>
                <w:szCs w:val="21"/>
              </w:rPr>
              <w:t>指标以</w:t>
            </w:r>
            <w:r>
              <w:rPr>
                <w:rFonts w:ascii="宋体" w:hAnsi="宋体" w:eastAsia="宋体" w:cs="宋体"/>
                <w:sz w:val="21"/>
                <w:szCs w:val="21"/>
              </w:rPr>
              <w:t xml:space="preserve"> </w:t>
            </w:r>
            <w:r>
              <w:rPr>
                <w:rFonts w:ascii="宋体" w:hAnsi="宋体" w:eastAsia="宋体" w:cs="宋体"/>
                <w:spacing w:val="-1"/>
                <w:sz w:val="21"/>
                <w:szCs w:val="21"/>
              </w:rPr>
              <w:t>及自定义指标，支持多种渲染模式，指标渲染、模板渲染、图形渲染、原因</w:t>
            </w:r>
            <w:r>
              <w:rPr>
                <w:rFonts w:ascii="宋体" w:hAnsi="宋体" w:eastAsia="宋体" w:cs="宋体"/>
                <w:spacing w:val="-2"/>
                <w:sz w:val="21"/>
                <w:szCs w:val="21"/>
              </w:rPr>
              <w:t>型鱼骨</w:t>
            </w:r>
            <w:r>
              <w:rPr>
                <w:rFonts w:ascii="宋体" w:hAnsi="宋体" w:eastAsia="宋体" w:cs="宋体"/>
                <w:sz w:val="21"/>
                <w:szCs w:val="21"/>
              </w:rPr>
              <w:t xml:space="preserve"> </w:t>
            </w:r>
            <w:r>
              <w:rPr>
                <w:rFonts w:ascii="宋体" w:hAnsi="宋体" w:eastAsia="宋体" w:cs="宋体"/>
                <w:spacing w:val="-1"/>
                <w:sz w:val="21"/>
                <w:szCs w:val="21"/>
              </w:rPr>
              <w:t>图、对策型鱼骨图、系统图</w:t>
            </w:r>
          </w:p>
        </w:tc>
      </w:tr>
    </w:tbl>
    <w:p w14:paraId="0B625954">
      <w:pPr>
        <w:pStyle w:val="2"/>
      </w:pPr>
    </w:p>
    <w:p w14:paraId="352E88FB">
      <w:pPr>
        <w:pStyle w:val="2"/>
        <w:spacing w:line="241" w:lineRule="auto"/>
      </w:pPr>
    </w:p>
    <w:p w14:paraId="6D0EA23F">
      <w:pPr>
        <w:spacing w:before="62" w:line="209" w:lineRule="auto"/>
        <w:ind w:left="148"/>
        <w:rPr>
          <w:rFonts w:ascii="宋体" w:hAnsi="宋体" w:eastAsia="宋体" w:cs="宋体"/>
          <w:sz w:val="19"/>
          <w:szCs w:val="19"/>
        </w:rPr>
      </w:pPr>
      <w:r>
        <w:pict>
          <v:shape id="_x0000_s1062" o:spid="_x0000_s1062" style="position:absolute;left:0pt;margin-left:1.95pt;margin-top:11.8pt;height:0.75pt;width:494pt;z-index:251707392;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2"/>
          <w:position w:val="1"/>
          <w:sz w:val="18"/>
          <w:szCs w:val="18"/>
        </w:rPr>
        <w:t xml:space="preserve">42                          </w:t>
      </w:r>
      <w:r>
        <w:rPr>
          <w:rFonts w:ascii="Times New Roman" w:hAnsi="Times New Roman" w:eastAsia="Times New Roman" w:cs="Times New Roman"/>
          <w:spacing w:val="-3"/>
          <w:position w:val="1"/>
          <w:sz w:val="18"/>
          <w:szCs w:val="18"/>
        </w:rPr>
        <w:t xml:space="preserve">     </w:t>
      </w:r>
      <w:r>
        <w:rPr>
          <w:rFonts w:ascii="宋体" w:hAnsi="宋体" w:eastAsia="宋体" w:cs="宋体"/>
          <w:b/>
          <w:bCs/>
          <w:i/>
          <w:iCs/>
          <w:spacing w:val="-3"/>
          <w:sz w:val="19"/>
          <w:szCs w:val="19"/>
        </w:rPr>
        <w:t>伊犁州公共资源交易中心</w:t>
      </w:r>
    </w:p>
    <w:p w14:paraId="74D87B02">
      <w:pPr>
        <w:spacing w:line="209" w:lineRule="auto"/>
        <w:rPr>
          <w:rFonts w:ascii="宋体" w:hAnsi="宋体" w:eastAsia="宋体" w:cs="宋体"/>
          <w:sz w:val="19"/>
          <w:szCs w:val="19"/>
        </w:rPr>
        <w:sectPr>
          <w:pgSz w:w="11905" w:h="16839"/>
          <w:pgMar w:top="1136" w:right="830" w:bottom="400" w:left="1126" w:header="854" w:footer="0" w:gutter="0"/>
          <w:cols w:space="720" w:num="1"/>
        </w:sectPr>
      </w:pPr>
    </w:p>
    <w:p w14:paraId="671BAE7E">
      <w:pPr>
        <w:spacing w:before="38"/>
      </w:pPr>
    </w:p>
    <w:tbl>
      <w:tblPr>
        <w:tblStyle w:val="5"/>
        <w:tblW w:w="9947" w:type="dxa"/>
        <w:tblInd w:w="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
        <w:gridCol w:w="630"/>
        <w:gridCol w:w="148"/>
        <w:gridCol w:w="1126"/>
        <w:gridCol w:w="2477"/>
        <w:gridCol w:w="5260"/>
        <w:gridCol w:w="153"/>
      </w:tblGrid>
      <w:tr w14:paraId="6925D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83" w:type="dxa"/>
            <w:gridSpan w:val="2"/>
            <w:vAlign w:val="top"/>
          </w:tcPr>
          <w:p w14:paraId="47D9474F">
            <w:pPr>
              <w:spacing w:before="179" w:line="221" w:lineRule="auto"/>
              <w:ind w:left="151"/>
              <w:rPr>
                <w:rFonts w:ascii="宋体" w:hAnsi="宋体" w:eastAsia="宋体" w:cs="宋体"/>
                <w:sz w:val="24"/>
                <w:szCs w:val="24"/>
              </w:rPr>
            </w:pPr>
            <w:r>
              <w:rPr>
                <w:rFonts w:ascii="宋体" w:hAnsi="宋体" w:eastAsia="宋体" w:cs="宋体"/>
                <w:b/>
                <w:bCs/>
                <w:spacing w:val="-7"/>
                <w:sz w:val="24"/>
                <w:szCs w:val="24"/>
              </w:rPr>
              <w:t>序号</w:t>
            </w:r>
          </w:p>
        </w:tc>
        <w:tc>
          <w:tcPr>
            <w:tcW w:w="1274" w:type="dxa"/>
            <w:gridSpan w:val="2"/>
            <w:vAlign w:val="top"/>
          </w:tcPr>
          <w:p w14:paraId="1ACFB0D8">
            <w:pPr>
              <w:spacing w:before="179" w:line="220" w:lineRule="auto"/>
              <w:ind w:left="154"/>
              <w:rPr>
                <w:rFonts w:ascii="宋体" w:hAnsi="宋体" w:eastAsia="宋体" w:cs="宋体"/>
                <w:sz w:val="24"/>
                <w:szCs w:val="24"/>
              </w:rPr>
            </w:pPr>
            <w:r>
              <w:rPr>
                <w:rFonts w:ascii="宋体" w:hAnsi="宋体" w:eastAsia="宋体" w:cs="宋体"/>
                <w:b/>
                <w:bCs/>
                <w:spacing w:val="-4"/>
                <w:sz w:val="24"/>
                <w:szCs w:val="24"/>
              </w:rPr>
              <w:t>模块名称</w:t>
            </w:r>
          </w:p>
        </w:tc>
        <w:tc>
          <w:tcPr>
            <w:tcW w:w="7737" w:type="dxa"/>
            <w:gridSpan w:val="2"/>
            <w:vAlign w:val="top"/>
          </w:tcPr>
          <w:p w14:paraId="0FB5FE5A">
            <w:pPr>
              <w:spacing w:before="179" w:line="221" w:lineRule="auto"/>
              <w:ind w:left="3396"/>
              <w:rPr>
                <w:rFonts w:ascii="宋体" w:hAnsi="宋体" w:eastAsia="宋体" w:cs="宋体"/>
                <w:sz w:val="24"/>
                <w:szCs w:val="24"/>
              </w:rPr>
            </w:pPr>
            <w:r>
              <w:rPr>
                <w:rFonts w:ascii="宋体" w:hAnsi="宋体" w:eastAsia="宋体" w:cs="宋体"/>
                <w:b/>
                <w:bCs/>
                <w:spacing w:val="-6"/>
                <w:sz w:val="24"/>
                <w:szCs w:val="24"/>
              </w:rPr>
              <w:t>功能要求</w:t>
            </w:r>
          </w:p>
        </w:tc>
        <w:tc>
          <w:tcPr>
            <w:tcW w:w="153" w:type="dxa"/>
            <w:tcBorders>
              <w:top w:val="nil"/>
              <w:bottom w:val="nil"/>
              <w:right w:val="nil"/>
            </w:tcBorders>
            <w:vAlign w:val="top"/>
          </w:tcPr>
          <w:p w14:paraId="44F74E12">
            <w:pPr>
              <w:rPr>
                <w:rFonts w:ascii="Arial"/>
                <w:sz w:val="21"/>
              </w:rPr>
            </w:pPr>
          </w:p>
        </w:tc>
      </w:tr>
      <w:tr w14:paraId="0F92D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783" w:type="dxa"/>
            <w:gridSpan w:val="2"/>
            <w:vAlign w:val="top"/>
          </w:tcPr>
          <w:p w14:paraId="399022CA">
            <w:pPr>
              <w:rPr>
                <w:rFonts w:ascii="Arial"/>
                <w:sz w:val="21"/>
              </w:rPr>
            </w:pPr>
          </w:p>
        </w:tc>
        <w:tc>
          <w:tcPr>
            <w:tcW w:w="1274" w:type="dxa"/>
            <w:gridSpan w:val="2"/>
            <w:vAlign w:val="top"/>
          </w:tcPr>
          <w:p w14:paraId="76CE5D6B">
            <w:pPr>
              <w:rPr>
                <w:rFonts w:ascii="Arial"/>
                <w:sz w:val="21"/>
              </w:rPr>
            </w:pPr>
          </w:p>
        </w:tc>
        <w:tc>
          <w:tcPr>
            <w:tcW w:w="7737" w:type="dxa"/>
            <w:gridSpan w:val="2"/>
            <w:vAlign w:val="top"/>
          </w:tcPr>
          <w:p w14:paraId="75A36659">
            <w:pPr>
              <w:spacing w:before="62" w:line="285" w:lineRule="auto"/>
              <w:ind w:left="110" w:right="97" w:firstLine="13"/>
              <w:jc w:val="both"/>
              <w:rPr>
                <w:rFonts w:ascii="宋体" w:hAnsi="宋体" w:eastAsia="宋体" w:cs="宋体"/>
                <w:sz w:val="21"/>
                <w:szCs w:val="21"/>
              </w:rPr>
            </w:pPr>
            <w:r>
              <w:rPr>
                <w:rFonts w:ascii="宋体" w:hAnsi="宋体" w:eastAsia="宋体" w:cs="宋体"/>
                <w:spacing w:val="-1"/>
                <w:sz w:val="21"/>
                <w:szCs w:val="21"/>
              </w:rPr>
              <w:t>10．事件工作台配置。事件管理工作台支</w:t>
            </w:r>
            <w:r>
              <w:rPr>
                <w:rFonts w:ascii="宋体" w:hAnsi="宋体" w:eastAsia="宋体" w:cs="宋体"/>
                <w:spacing w:val="-2"/>
                <w:sz w:val="21"/>
                <w:szCs w:val="21"/>
              </w:rPr>
              <w:t>持配置一键搜索快捷键，可一键搜索未处</w:t>
            </w:r>
            <w:r>
              <w:rPr>
                <w:rFonts w:ascii="宋体" w:hAnsi="宋体" w:eastAsia="宋体" w:cs="宋体"/>
                <w:sz w:val="21"/>
                <w:szCs w:val="21"/>
              </w:rPr>
              <w:t xml:space="preserve"> </w:t>
            </w:r>
            <w:r>
              <w:rPr>
                <w:rFonts w:ascii="宋体" w:hAnsi="宋体" w:eastAsia="宋体" w:cs="宋体"/>
                <w:spacing w:val="-5"/>
                <w:sz w:val="21"/>
                <w:szCs w:val="21"/>
              </w:rPr>
              <w:t>理、超期未处理、未管理、超期未管理等事件，</w:t>
            </w:r>
            <w:r>
              <w:rPr>
                <w:rFonts w:ascii="宋体" w:hAnsi="宋体" w:eastAsia="宋体" w:cs="宋体"/>
                <w:spacing w:val="48"/>
                <w:sz w:val="21"/>
                <w:szCs w:val="21"/>
              </w:rPr>
              <w:t xml:space="preserve"> </w:t>
            </w:r>
            <w:r>
              <w:rPr>
                <w:rFonts w:ascii="宋体" w:hAnsi="宋体" w:eastAsia="宋体" w:cs="宋体"/>
                <w:spacing w:val="-6"/>
                <w:sz w:val="21"/>
                <w:szCs w:val="21"/>
              </w:rPr>
              <w:t>事件工作台支持个人独立配置需要</w:t>
            </w:r>
            <w:r>
              <w:rPr>
                <w:rFonts w:ascii="宋体" w:hAnsi="宋体" w:eastAsia="宋体" w:cs="宋体"/>
                <w:sz w:val="21"/>
                <w:szCs w:val="21"/>
              </w:rPr>
              <w:t xml:space="preserve"> </w:t>
            </w:r>
            <w:r>
              <w:rPr>
                <w:rFonts w:ascii="宋体" w:hAnsi="宋体" w:eastAsia="宋体" w:cs="宋体"/>
                <w:spacing w:val="-1"/>
                <w:sz w:val="21"/>
                <w:szCs w:val="21"/>
              </w:rPr>
              <w:t>显示的事件内容和需要锁定显示的事件内容，满足不同人员对不良事</w:t>
            </w:r>
            <w:r>
              <w:rPr>
                <w:rFonts w:ascii="宋体" w:hAnsi="宋体" w:eastAsia="宋体" w:cs="宋体"/>
                <w:spacing w:val="-2"/>
                <w:sz w:val="21"/>
                <w:szCs w:val="21"/>
              </w:rPr>
              <w:t>件关注点不同</w:t>
            </w:r>
            <w:r>
              <w:rPr>
                <w:rFonts w:ascii="宋体" w:hAnsi="宋体" w:eastAsia="宋体" w:cs="宋体"/>
                <w:sz w:val="21"/>
                <w:szCs w:val="21"/>
              </w:rPr>
              <w:t xml:space="preserve"> </w:t>
            </w:r>
            <w:r>
              <w:rPr>
                <w:rFonts w:ascii="宋体" w:hAnsi="宋体" w:eastAsia="宋体" w:cs="宋体"/>
                <w:spacing w:val="-8"/>
                <w:sz w:val="21"/>
                <w:szCs w:val="21"/>
              </w:rPr>
              <w:t>的需要。</w:t>
            </w:r>
          </w:p>
        </w:tc>
        <w:tc>
          <w:tcPr>
            <w:tcW w:w="153" w:type="dxa"/>
            <w:tcBorders>
              <w:top w:val="nil"/>
              <w:bottom w:val="nil"/>
              <w:right w:val="nil"/>
            </w:tcBorders>
            <w:vAlign w:val="top"/>
          </w:tcPr>
          <w:p w14:paraId="72140ACA">
            <w:pPr>
              <w:rPr>
                <w:rFonts w:ascii="Arial"/>
                <w:sz w:val="21"/>
              </w:rPr>
            </w:pPr>
          </w:p>
        </w:tc>
      </w:tr>
      <w:tr w14:paraId="68CD0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794" w:type="dxa"/>
            <w:gridSpan w:val="6"/>
            <w:vAlign w:val="top"/>
          </w:tcPr>
          <w:p w14:paraId="1787E17C">
            <w:pPr>
              <w:spacing w:before="181" w:line="221" w:lineRule="auto"/>
              <w:ind w:left="4162"/>
              <w:rPr>
                <w:rFonts w:ascii="宋体" w:hAnsi="宋体" w:eastAsia="宋体" w:cs="宋体"/>
                <w:sz w:val="21"/>
                <w:szCs w:val="21"/>
              </w:rPr>
            </w:pPr>
            <w:r>
              <w:rPr>
                <w:rFonts w:ascii="宋体" w:hAnsi="宋体" w:eastAsia="宋体" w:cs="宋体"/>
                <w:b/>
                <w:bCs/>
                <w:spacing w:val="-9"/>
                <w:sz w:val="24"/>
                <w:szCs w:val="24"/>
              </w:rPr>
              <w:t>(十六)</w:t>
            </w:r>
            <w:r>
              <w:rPr>
                <w:rFonts w:ascii="宋体" w:hAnsi="宋体" w:eastAsia="宋体" w:cs="宋体"/>
                <w:b/>
                <w:bCs/>
                <w:spacing w:val="-9"/>
                <w:sz w:val="21"/>
                <w:szCs w:val="21"/>
              </w:rPr>
              <w:t>系统报表</w:t>
            </w:r>
          </w:p>
        </w:tc>
        <w:tc>
          <w:tcPr>
            <w:tcW w:w="153" w:type="dxa"/>
            <w:tcBorders>
              <w:top w:val="nil"/>
              <w:bottom w:val="nil"/>
              <w:right w:val="nil"/>
            </w:tcBorders>
            <w:vAlign w:val="top"/>
          </w:tcPr>
          <w:p w14:paraId="771791A1">
            <w:pPr>
              <w:rPr>
                <w:rFonts w:ascii="Arial"/>
                <w:sz w:val="21"/>
              </w:rPr>
            </w:pPr>
          </w:p>
        </w:tc>
      </w:tr>
      <w:tr w14:paraId="2FCBF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9" w:hRule="atLeast"/>
        </w:trPr>
        <w:tc>
          <w:tcPr>
            <w:tcW w:w="783" w:type="dxa"/>
            <w:gridSpan w:val="2"/>
            <w:vAlign w:val="top"/>
          </w:tcPr>
          <w:p w14:paraId="6FAE15DD">
            <w:pPr>
              <w:spacing w:line="241" w:lineRule="auto"/>
              <w:rPr>
                <w:rFonts w:ascii="Arial"/>
                <w:sz w:val="21"/>
              </w:rPr>
            </w:pPr>
          </w:p>
          <w:p w14:paraId="2A9B14AF">
            <w:pPr>
              <w:spacing w:line="241" w:lineRule="auto"/>
              <w:rPr>
                <w:rFonts w:ascii="Arial"/>
                <w:sz w:val="21"/>
              </w:rPr>
            </w:pPr>
          </w:p>
          <w:p w14:paraId="56D092F0">
            <w:pPr>
              <w:spacing w:line="241" w:lineRule="auto"/>
              <w:rPr>
                <w:rFonts w:ascii="Arial"/>
                <w:sz w:val="21"/>
              </w:rPr>
            </w:pPr>
          </w:p>
          <w:p w14:paraId="4256BE09">
            <w:pPr>
              <w:spacing w:line="241" w:lineRule="auto"/>
              <w:rPr>
                <w:rFonts w:ascii="Arial"/>
                <w:sz w:val="21"/>
              </w:rPr>
            </w:pPr>
          </w:p>
          <w:p w14:paraId="6BC9965F">
            <w:pPr>
              <w:spacing w:line="241" w:lineRule="auto"/>
              <w:rPr>
                <w:rFonts w:ascii="Arial"/>
                <w:sz w:val="21"/>
              </w:rPr>
            </w:pPr>
          </w:p>
          <w:p w14:paraId="034CC4EF">
            <w:pPr>
              <w:spacing w:before="78" w:line="182" w:lineRule="auto"/>
              <w:ind w:left="297"/>
              <w:rPr>
                <w:rFonts w:ascii="宋体" w:hAnsi="宋体" w:eastAsia="宋体" w:cs="宋体"/>
                <w:sz w:val="24"/>
                <w:szCs w:val="24"/>
              </w:rPr>
            </w:pPr>
            <w:r>
              <w:rPr>
                <w:rFonts w:ascii="宋体" w:hAnsi="宋体" w:eastAsia="宋体" w:cs="宋体"/>
                <w:sz w:val="24"/>
                <w:szCs w:val="24"/>
              </w:rPr>
              <w:t>1</w:t>
            </w:r>
          </w:p>
        </w:tc>
        <w:tc>
          <w:tcPr>
            <w:tcW w:w="1274" w:type="dxa"/>
            <w:gridSpan w:val="2"/>
            <w:vAlign w:val="top"/>
          </w:tcPr>
          <w:p w14:paraId="0588FEC6">
            <w:pPr>
              <w:spacing w:line="291" w:lineRule="auto"/>
              <w:rPr>
                <w:rFonts w:ascii="Arial"/>
                <w:sz w:val="21"/>
              </w:rPr>
            </w:pPr>
          </w:p>
          <w:p w14:paraId="1630755D">
            <w:pPr>
              <w:spacing w:line="291" w:lineRule="auto"/>
              <w:rPr>
                <w:rFonts w:ascii="Arial"/>
                <w:sz w:val="21"/>
              </w:rPr>
            </w:pPr>
          </w:p>
          <w:p w14:paraId="201FB956">
            <w:pPr>
              <w:spacing w:line="291" w:lineRule="auto"/>
              <w:rPr>
                <w:rFonts w:ascii="Arial"/>
                <w:sz w:val="21"/>
              </w:rPr>
            </w:pPr>
          </w:p>
          <w:p w14:paraId="346EFD4B">
            <w:pPr>
              <w:spacing w:line="292" w:lineRule="auto"/>
              <w:rPr>
                <w:rFonts w:ascii="Arial"/>
                <w:sz w:val="21"/>
              </w:rPr>
            </w:pPr>
          </w:p>
          <w:p w14:paraId="35CEFE9A">
            <w:pPr>
              <w:spacing w:before="78" w:line="220" w:lineRule="auto"/>
              <w:ind w:left="113"/>
              <w:rPr>
                <w:rFonts w:ascii="宋体" w:hAnsi="宋体" w:eastAsia="宋体" w:cs="宋体"/>
                <w:sz w:val="24"/>
                <w:szCs w:val="24"/>
              </w:rPr>
            </w:pPr>
            <w:r>
              <w:rPr>
                <w:rFonts w:ascii="宋体" w:hAnsi="宋体" w:eastAsia="宋体" w:cs="宋体"/>
                <w:spacing w:val="-3"/>
                <w:sz w:val="24"/>
                <w:szCs w:val="24"/>
              </w:rPr>
              <w:t>系统报表</w:t>
            </w:r>
          </w:p>
        </w:tc>
        <w:tc>
          <w:tcPr>
            <w:tcW w:w="7737" w:type="dxa"/>
            <w:gridSpan w:val="2"/>
            <w:vAlign w:val="top"/>
          </w:tcPr>
          <w:p w14:paraId="4029E2CE">
            <w:pPr>
              <w:spacing w:before="66" w:line="220" w:lineRule="auto"/>
              <w:ind w:left="123"/>
              <w:rPr>
                <w:rFonts w:ascii="宋体" w:hAnsi="宋体" w:eastAsia="宋体" w:cs="宋体"/>
                <w:sz w:val="21"/>
                <w:szCs w:val="21"/>
              </w:rPr>
            </w:pPr>
            <w:r>
              <w:rPr>
                <w:rFonts w:ascii="宋体" w:hAnsi="宋体" w:eastAsia="宋体" w:cs="宋体"/>
                <w:spacing w:val="-6"/>
                <w:sz w:val="21"/>
                <w:szCs w:val="21"/>
              </w:rPr>
              <w:t>1．医师花名册。</w:t>
            </w:r>
          </w:p>
          <w:p w14:paraId="38998109">
            <w:pPr>
              <w:spacing w:before="93" w:line="220" w:lineRule="auto"/>
              <w:ind w:left="110"/>
              <w:rPr>
                <w:rFonts w:ascii="宋体" w:hAnsi="宋体" w:eastAsia="宋体" w:cs="宋体"/>
                <w:sz w:val="21"/>
                <w:szCs w:val="21"/>
              </w:rPr>
            </w:pPr>
            <w:r>
              <w:rPr>
                <w:rFonts w:ascii="宋体" w:hAnsi="宋体" w:eastAsia="宋体" w:cs="宋体"/>
                <w:spacing w:val="-4"/>
                <w:sz w:val="21"/>
                <w:szCs w:val="21"/>
              </w:rPr>
              <w:t>2．投诉纠纷一栏表。</w:t>
            </w:r>
          </w:p>
          <w:p w14:paraId="46C76211">
            <w:pPr>
              <w:spacing w:before="91" w:line="220" w:lineRule="auto"/>
              <w:ind w:left="112"/>
              <w:rPr>
                <w:rFonts w:ascii="宋体" w:hAnsi="宋体" w:eastAsia="宋体" w:cs="宋体"/>
                <w:sz w:val="21"/>
                <w:szCs w:val="21"/>
              </w:rPr>
            </w:pPr>
            <w:r>
              <w:rPr>
                <w:rFonts w:ascii="宋体" w:hAnsi="宋体" w:eastAsia="宋体" w:cs="宋体"/>
                <w:spacing w:val="-3"/>
                <w:sz w:val="21"/>
                <w:szCs w:val="21"/>
              </w:rPr>
              <w:t>3．医师权限变更一览表。</w:t>
            </w:r>
          </w:p>
          <w:p w14:paraId="248D5922">
            <w:pPr>
              <w:spacing w:before="93" w:line="220" w:lineRule="auto"/>
              <w:ind w:left="107"/>
              <w:rPr>
                <w:rFonts w:ascii="宋体" w:hAnsi="宋体" w:eastAsia="宋体" w:cs="宋体"/>
                <w:sz w:val="21"/>
                <w:szCs w:val="21"/>
              </w:rPr>
            </w:pPr>
            <w:r>
              <w:rPr>
                <w:rFonts w:ascii="宋体" w:hAnsi="宋体" w:eastAsia="宋体" w:cs="宋体"/>
                <w:spacing w:val="-4"/>
                <w:sz w:val="21"/>
                <w:szCs w:val="21"/>
              </w:rPr>
              <w:t>4．督查情况汇总表。</w:t>
            </w:r>
          </w:p>
          <w:p w14:paraId="521457A5">
            <w:pPr>
              <w:spacing w:before="92" w:line="220" w:lineRule="auto"/>
              <w:ind w:left="112"/>
              <w:rPr>
                <w:rFonts w:ascii="宋体" w:hAnsi="宋体" w:eastAsia="宋体" w:cs="宋体"/>
                <w:sz w:val="21"/>
                <w:szCs w:val="21"/>
              </w:rPr>
            </w:pPr>
            <w:r>
              <w:rPr>
                <w:rFonts w:ascii="宋体" w:hAnsi="宋体" w:eastAsia="宋体" w:cs="宋体"/>
                <w:spacing w:val="-4"/>
                <w:sz w:val="21"/>
                <w:szCs w:val="21"/>
              </w:rPr>
              <w:t>5．督查问题跟踪表。</w:t>
            </w:r>
          </w:p>
          <w:p w14:paraId="320433C7">
            <w:pPr>
              <w:spacing w:before="91" w:line="220" w:lineRule="auto"/>
              <w:ind w:left="109"/>
              <w:rPr>
                <w:rFonts w:ascii="宋体" w:hAnsi="宋体" w:eastAsia="宋体" w:cs="宋体"/>
                <w:sz w:val="21"/>
                <w:szCs w:val="21"/>
              </w:rPr>
            </w:pPr>
            <w:r>
              <w:rPr>
                <w:rFonts w:ascii="宋体" w:hAnsi="宋体" w:eastAsia="宋体" w:cs="宋体"/>
                <w:spacing w:val="-5"/>
                <w:sz w:val="21"/>
                <w:szCs w:val="21"/>
              </w:rPr>
              <w:t>6．权限申请单。</w:t>
            </w:r>
          </w:p>
          <w:p w14:paraId="13B0186E">
            <w:pPr>
              <w:spacing w:before="92" w:line="220" w:lineRule="auto"/>
              <w:ind w:left="113"/>
              <w:rPr>
                <w:rFonts w:ascii="宋体" w:hAnsi="宋体" w:eastAsia="宋体" w:cs="宋体"/>
                <w:sz w:val="21"/>
                <w:szCs w:val="21"/>
              </w:rPr>
            </w:pPr>
            <w:r>
              <w:rPr>
                <w:rFonts w:ascii="宋体" w:hAnsi="宋体" w:eastAsia="宋体" w:cs="宋体"/>
                <w:spacing w:val="-4"/>
                <w:sz w:val="21"/>
                <w:szCs w:val="21"/>
              </w:rPr>
              <w:t>7．新技术申请单等。</w:t>
            </w:r>
          </w:p>
          <w:p w14:paraId="1B6D7434">
            <w:pPr>
              <w:spacing w:before="93" w:line="220" w:lineRule="auto"/>
              <w:ind w:left="109"/>
              <w:rPr>
                <w:rFonts w:ascii="宋体" w:hAnsi="宋体" w:eastAsia="宋体" w:cs="宋体"/>
                <w:sz w:val="21"/>
                <w:szCs w:val="21"/>
              </w:rPr>
            </w:pPr>
            <w:r>
              <w:rPr>
                <w:rFonts w:ascii="宋体" w:hAnsi="宋体" w:eastAsia="宋体" w:cs="宋体"/>
                <w:spacing w:val="-3"/>
                <w:sz w:val="21"/>
                <w:szCs w:val="21"/>
              </w:rPr>
              <w:t>8．报表支持打印、导出到</w:t>
            </w:r>
            <w:r>
              <w:rPr>
                <w:rFonts w:ascii="宋体" w:hAnsi="宋体" w:eastAsia="宋体" w:cs="宋体"/>
                <w:spacing w:val="-31"/>
                <w:sz w:val="21"/>
                <w:szCs w:val="21"/>
              </w:rPr>
              <w:t xml:space="preserve"> </w:t>
            </w:r>
            <w:r>
              <w:rPr>
                <w:rFonts w:ascii="宋体" w:hAnsi="宋体" w:eastAsia="宋体" w:cs="宋体"/>
                <w:spacing w:val="-3"/>
                <w:sz w:val="21"/>
                <w:szCs w:val="21"/>
              </w:rPr>
              <w:t>EXCEL</w:t>
            </w:r>
            <w:r>
              <w:rPr>
                <w:rFonts w:ascii="宋体" w:hAnsi="宋体" w:eastAsia="宋体" w:cs="宋体"/>
                <w:spacing w:val="-45"/>
                <w:sz w:val="21"/>
                <w:szCs w:val="21"/>
              </w:rPr>
              <w:t xml:space="preserve"> </w:t>
            </w:r>
            <w:r>
              <w:rPr>
                <w:rFonts w:ascii="宋体" w:hAnsi="宋体" w:eastAsia="宋体" w:cs="宋体"/>
                <w:spacing w:val="-3"/>
                <w:sz w:val="21"/>
                <w:szCs w:val="21"/>
              </w:rPr>
              <w:t>及</w:t>
            </w:r>
            <w:r>
              <w:rPr>
                <w:rFonts w:ascii="宋体" w:hAnsi="宋体" w:eastAsia="宋体" w:cs="宋体"/>
                <w:spacing w:val="-48"/>
                <w:sz w:val="21"/>
                <w:szCs w:val="21"/>
              </w:rPr>
              <w:t xml:space="preserve"> </w:t>
            </w:r>
            <w:r>
              <w:rPr>
                <w:rFonts w:ascii="宋体" w:hAnsi="宋体" w:eastAsia="宋体" w:cs="宋体"/>
                <w:spacing w:val="-3"/>
                <w:sz w:val="21"/>
                <w:szCs w:val="21"/>
              </w:rPr>
              <w:t>PDF</w:t>
            </w:r>
            <w:r>
              <w:rPr>
                <w:rFonts w:ascii="宋体" w:hAnsi="宋体" w:eastAsia="宋体" w:cs="宋体"/>
                <w:spacing w:val="-41"/>
                <w:sz w:val="21"/>
                <w:szCs w:val="21"/>
              </w:rPr>
              <w:t xml:space="preserve"> </w:t>
            </w:r>
            <w:r>
              <w:rPr>
                <w:rFonts w:ascii="宋体" w:hAnsi="宋体" w:eastAsia="宋体" w:cs="宋体"/>
                <w:spacing w:val="-3"/>
                <w:sz w:val="21"/>
                <w:szCs w:val="21"/>
              </w:rPr>
              <w:t>功能。</w:t>
            </w:r>
          </w:p>
        </w:tc>
        <w:tc>
          <w:tcPr>
            <w:tcW w:w="153" w:type="dxa"/>
            <w:tcBorders>
              <w:top w:val="nil"/>
              <w:bottom w:val="nil"/>
              <w:right w:val="nil"/>
            </w:tcBorders>
            <w:vAlign w:val="top"/>
          </w:tcPr>
          <w:p w14:paraId="3DDCBF0E">
            <w:pPr>
              <w:rPr>
                <w:rFonts w:ascii="Arial"/>
                <w:sz w:val="21"/>
              </w:rPr>
            </w:pPr>
          </w:p>
        </w:tc>
      </w:tr>
      <w:tr w14:paraId="56C96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794" w:type="dxa"/>
            <w:gridSpan w:val="6"/>
            <w:vAlign w:val="top"/>
          </w:tcPr>
          <w:p w14:paraId="66104D54">
            <w:pPr>
              <w:spacing w:before="181" w:line="220" w:lineRule="auto"/>
              <w:ind w:left="3861"/>
              <w:rPr>
                <w:rFonts w:ascii="宋体" w:hAnsi="宋体" w:eastAsia="宋体" w:cs="宋体"/>
                <w:sz w:val="24"/>
                <w:szCs w:val="24"/>
              </w:rPr>
            </w:pPr>
            <w:r>
              <w:rPr>
                <w:rFonts w:ascii="宋体" w:hAnsi="宋体" w:eastAsia="宋体" w:cs="宋体"/>
                <w:b/>
                <w:bCs/>
                <w:spacing w:val="-7"/>
                <w:sz w:val="24"/>
                <w:szCs w:val="24"/>
              </w:rPr>
              <w:t>(十七)相关系统接口</w:t>
            </w:r>
          </w:p>
        </w:tc>
        <w:tc>
          <w:tcPr>
            <w:tcW w:w="153" w:type="dxa"/>
            <w:tcBorders>
              <w:top w:val="nil"/>
              <w:bottom w:val="nil"/>
              <w:right w:val="nil"/>
            </w:tcBorders>
            <w:vAlign w:val="top"/>
          </w:tcPr>
          <w:p w14:paraId="0394FF42">
            <w:pPr>
              <w:rPr>
                <w:rFonts w:ascii="Arial"/>
                <w:sz w:val="21"/>
              </w:rPr>
            </w:pPr>
          </w:p>
        </w:tc>
      </w:tr>
      <w:tr w14:paraId="7A39B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5" w:hRule="atLeast"/>
        </w:trPr>
        <w:tc>
          <w:tcPr>
            <w:tcW w:w="783" w:type="dxa"/>
            <w:gridSpan w:val="2"/>
            <w:vAlign w:val="top"/>
          </w:tcPr>
          <w:p w14:paraId="3435B43E">
            <w:pPr>
              <w:spacing w:line="274" w:lineRule="auto"/>
              <w:rPr>
                <w:rFonts w:ascii="Arial"/>
                <w:sz w:val="21"/>
              </w:rPr>
            </w:pPr>
          </w:p>
          <w:p w14:paraId="33563D83">
            <w:pPr>
              <w:spacing w:line="274" w:lineRule="auto"/>
              <w:rPr>
                <w:rFonts w:ascii="Arial"/>
                <w:sz w:val="21"/>
              </w:rPr>
            </w:pPr>
          </w:p>
          <w:p w14:paraId="48A6EB91">
            <w:pPr>
              <w:spacing w:line="275" w:lineRule="auto"/>
              <w:rPr>
                <w:rFonts w:ascii="Arial"/>
                <w:sz w:val="21"/>
              </w:rPr>
            </w:pPr>
          </w:p>
          <w:p w14:paraId="7449292A">
            <w:pPr>
              <w:spacing w:before="78" w:line="182" w:lineRule="auto"/>
              <w:ind w:left="357"/>
              <w:rPr>
                <w:rFonts w:ascii="宋体" w:hAnsi="宋体" w:eastAsia="宋体" w:cs="宋体"/>
                <w:sz w:val="24"/>
                <w:szCs w:val="24"/>
              </w:rPr>
            </w:pPr>
            <w:r>
              <w:rPr>
                <w:rFonts w:ascii="宋体" w:hAnsi="宋体" w:eastAsia="宋体" w:cs="宋体"/>
                <w:sz w:val="24"/>
                <w:szCs w:val="24"/>
              </w:rPr>
              <w:t>1</w:t>
            </w:r>
          </w:p>
        </w:tc>
        <w:tc>
          <w:tcPr>
            <w:tcW w:w="1274" w:type="dxa"/>
            <w:gridSpan w:val="2"/>
            <w:vAlign w:val="top"/>
          </w:tcPr>
          <w:p w14:paraId="03196DF8">
            <w:pPr>
              <w:spacing w:line="307" w:lineRule="auto"/>
              <w:rPr>
                <w:rFonts w:ascii="Arial"/>
                <w:sz w:val="21"/>
              </w:rPr>
            </w:pPr>
          </w:p>
          <w:p w14:paraId="6FA81CDF">
            <w:pPr>
              <w:spacing w:line="307" w:lineRule="auto"/>
              <w:rPr>
                <w:rFonts w:ascii="Arial"/>
                <w:sz w:val="21"/>
              </w:rPr>
            </w:pPr>
          </w:p>
          <w:p w14:paraId="2B5991FE">
            <w:pPr>
              <w:spacing w:before="78" w:line="221" w:lineRule="auto"/>
              <w:ind w:left="107"/>
              <w:rPr>
                <w:rFonts w:ascii="宋体" w:hAnsi="宋体" w:eastAsia="宋体" w:cs="宋体"/>
                <w:sz w:val="24"/>
                <w:szCs w:val="24"/>
              </w:rPr>
            </w:pPr>
            <w:r>
              <w:rPr>
                <w:rFonts w:ascii="宋体" w:hAnsi="宋体" w:eastAsia="宋体" w:cs="宋体"/>
                <w:spacing w:val="-2"/>
                <w:sz w:val="24"/>
                <w:szCs w:val="24"/>
              </w:rPr>
              <w:t>接口配置</w:t>
            </w:r>
          </w:p>
        </w:tc>
        <w:tc>
          <w:tcPr>
            <w:tcW w:w="7737" w:type="dxa"/>
            <w:gridSpan w:val="2"/>
            <w:vAlign w:val="top"/>
          </w:tcPr>
          <w:p w14:paraId="43FB1A59">
            <w:pPr>
              <w:spacing w:before="70" w:line="261" w:lineRule="auto"/>
              <w:ind w:left="107" w:right="97" w:firstLine="16"/>
              <w:rPr>
                <w:rFonts w:ascii="宋体" w:hAnsi="宋体" w:eastAsia="宋体" w:cs="宋体"/>
                <w:sz w:val="21"/>
                <w:szCs w:val="21"/>
              </w:rPr>
            </w:pPr>
            <w:r>
              <w:rPr>
                <w:rFonts w:ascii="宋体" w:hAnsi="宋体" w:eastAsia="宋体" w:cs="宋体"/>
                <w:spacing w:val="-2"/>
                <w:sz w:val="21"/>
                <w:szCs w:val="21"/>
              </w:rPr>
              <w:t>1．系统要具有灵活的接口实现，能够与医院现有</w:t>
            </w:r>
            <w:r>
              <w:rPr>
                <w:rFonts w:ascii="宋体" w:hAnsi="宋体" w:eastAsia="宋体" w:cs="宋体"/>
                <w:spacing w:val="-40"/>
                <w:sz w:val="21"/>
                <w:szCs w:val="21"/>
              </w:rPr>
              <w:t xml:space="preserve"> </w:t>
            </w:r>
            <w:r>
              <w:rPr>
                <w:rFonts w:ascii="宋体" w:hAnsi="宋体" w:eastAsia="宋体" w:cs="宋体"/>
                <w:spacing w:val="-2"/>
                <w:sz w:val="21"/>
                <w:szCs w:val="21"/>
              </w:rPr>
              <w:t>HIS、EMR</w:t>
            </w:r>
            <w:r>
              <w:rPr>
                <w:rFonts w:ascii="宋体" w:hAnsi="宋体" w:eastAsia="宋体" w:cs="宋体"/>
                <w:spacing w:val="-42"/>
                <w:sz w:val="21"/>
                <w:szCs w:val="21"/>
              </w:rPr>
              <w:t xml:space="preserve"> </w:t>
            </w:r>
            <w:r>
              <w:rPr>
                <w:rFonts w:ascii="宋体" w:hAnsi="宋体" w:eastAsia="宋体" w:cs="宋体"/>
                <w:spacing w:val="-2"/>
                <w:sz w:val="21"/>
                <w:szCs w:val="21"/>
              </w:rPr>
              <w:t>等相关系统紧密结合对</w:t>
            </w:r>
            <w:r>
              <w:rPr>
                <w:rFonts w:ascii="宋体" w:hAnsi="宋体" w:eastAsia="宋体" w:cs="宋体"/>
                <w:sz w:val="21"/>
                <w:szCs w:val="21"/>
              </w:rPr>
              <w:t xml:space="preserve"> </w:t>
            </w:r>
            <w:r>
              <w:rPr>
                <w:rFonts w:ascii="宋体" w:hAnsi="宋体" w:eastAsia="宋体" w:cs="宋体"/>
                <w:spacing w:val="-10"/>
                <w:sz w:val="21"/>
                <w:szCs w:val="21"/>
              </w:rPr>
              <w:t>接。</w:t>
            </w:r>
          </w:p>
          <w:p w14:paraId="4640BEB7">
            <w:pPr>
              <w:spacing w:before="90" w:line="220" w:lineRule="auto"/>
              <w:ind w:left="110"/>
              <w:rPr>
                <w:rFonts w:ascii="宋体" w:hAnsi="宋体" w:eastAsia="宋体" w:cs="宋体"/>
                <w:sz w:val="21"/>
                <w:szCs w:val="21"/>
              </w:rPr>
            </w:pPr>
            <w:r>
              <w:rPr>
                <w:rFonts w:ascii="宋体" w:hAnsi="宋体" w:eastAsia="宋体" w:cs="宋体"/>
                <w:spacing w:val="-3"/>
                <w:sz w:val="21"/>
                <w:szCs w:val="21"/>
              </w:rPr>
              <w:t>2．软件上线后维保期内免费更新升级。</w:t>
            </w:r>
          </w:p>
          <w:p w14:paraId="204AEDFE">
            <w:pPr>
              <w:spacing w:before="93" w:line="220" w:lineRule="auto"/>
              <w:ind w:left="112"/>
              <w:rPr>
                <w:rFonts w:ascii="宋体" w:hAnsi="宋体" w:eastAsia="宋体" w:cs="宋体"/>
                <w:sz w:val="21"/>
                <w:szCs w:val="21"/>
              </w:rPr>
            </w:pPr>
            <w:r>
              <w:rPr>
                <w:rFonts w:ascii="宋体" w:hAnsi="宋体" w:eastAsia="宋体" w:cs="宋体"/>
                <w:spacing w:val="-4"/>
                <w:sz w:val="21"/>
                <w:szCs w:val="21"/>
              </w:rPr>
              <w:t>3．接口永久免费开放。</w:t>
            </w:r>
          </w:p>
          <w:p w14:paraId="0EAA28BA">
            <w:pPr>
              <w:spacing w:before="233" w:line="199" w:lineRule="auto"/>
              <w:ind w:left="108"/>
              <w:rPr>
                <w:rFonts w:ascii="宋体" w:hAnsi="宋体" w:eastAsia="宋体" w:cs="宋体"/>
                <w:sz w:val="21"/>
                <w:szCs w:val="21"/>
              </w:rPr>
            </w:pPr>
            <w:r>
              <w:rPr>
                <w:rFonts w:ascii="宋体" w:hAnsi="宋体" w:eastAsia="宋体" w:cs="宋体"/>
                <w:spacing w:val="-3"/>
                <w:sz w:val="24"/>
                <w:szCs w:val="24"/>
              </w:rPr>
              <w:t>4．</w:t>
            </w:r>
            <w:r>
              <w:rPr>
                <w:rFonts w:ascii="宋体" w:hAnsi="宋体" w:eastAsia="宋体" w:cs="宋体"/>
                <w:spacing w:val="-3"/>
                <w:sz w:val="21"/>
                <w:szCs w:val="21"/>
              </w:rPr>
              <w:t>同时包含所有系统的接口费用。</w:t>
            </w:r>
          </w:p>
        </w:tc>
        <w:tc>
          <w:tcPr>
            <w:tcW w:w="153" w:type="dxa"/>
            <w:tcBorders>
              <w:top w:val="nil"/>
              <w:bottom w:val="nil"/>
              <w:right w:val="nil"/>
            </w:tcBorders>
            <w:vAlign w:val="top"/>
          </w:tcPr>
          <w:p w14:paraId="636C7BDE">
            <w:pPr>
              <w:rPr>
                <w:rFonts w:ascii="Arial"/>
                <w:sz w:val="21"/>
              </w:rPr>
            </w:pPr>
          </w:p>
        </w:tc>
      </w:tr>
      <w:tr w14:paraId="35991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9794" w:type="dxa"/>
            <w:gridSpan w:val="6"/>
            <w:vAlign w:val="top"/>
          </w:tcPr>
          <w:p w14:paraId="73B32D68">
            <w:pPr>
              <w:spacing w:before="183" w:line="220" w:lineRule="auto"/>
              <w:ind w:left="3138"/>
              <w:rPr>
                <w:rFonts w:ascii="宋体" w:hAnsi="宋体" w:eastAsia="宋体" w:cs="宋体"/>
                <w:sz w:val="24"/>
                <w:szCs w:val="24"/>
              </w:rPr>
            </w:pPr>
            <w:r>
              <w:rPr>
                <w:rFonts w:ascii="宋体" w:hAnsi="宋体" w:eastAsia="宋体" w:cs="宋体"/>
                <w:b/>
                <w:bCs/>
                <w:spacing w:val="-5"/>
                <w:sz w:val="24"/>
                <w:szCs w:val="24"/>
              </w:rPr>
              <w:t>(十八)国产化及电子病历评级要求</w:t>
            </w:r>
          </w:p>
        </w:tc>
        <w:tc>
          <w:tcPr>
            <w:tcW w:w="153" w:type="dxa"/>
            <w:tcBorders>
              <w:top w:val="nil"/>
              <w:right w:val="nil"/>
            </w:tcBorders>
            <w:vAlign w:val="top"/>
          </w:tcPr>
          <w:p w14:paraId="48613121">
            <w:pPr>
              <w:rPr>
                <w:rFonts w:ascii="Arial"/>
                <w:sz w:val="21"/>
              </w:rPr>
            </w:pPr>
          </w:p>
        </w:tc>
      </w:tr>
      <w:tr w14:paraId="6D2BD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153" w:type="dxa"/>
            <w:tcBorders>
              <w:left w:val="nil"/>
            </w:tcBorders>
            <w:vAlign w:val="top"/>
          </w:tcPr>
          <w:p w14:paraId="55285017">
            <w:pPr>
              <w:rPr>
                <w:rFonts w:ascii="Arial"/>
                <w:sz w:val="21"/>
              </w:rPr>
            </w:pPr>
          </w:p>
        </w:tc>
        <w:tc>
          <w:tcPr>
            <w:tcW w:w="778" w:type="dxa"/>
            <w:gridSpan w:val="2"/>
            <w:vAlign w:val="top"/>
          </w:tcPr>
          <w:p w14:paraId="3B0810A6">
            <w:pPr>
              <w:pStyle w:val="6"/>
              <w:spacing w:before="269" w:line="159" w:lineRule="auto"/>
              <w:ind w:left="124"/>
            </w:pPr>
            <w:r>
              <w:t>1</w:t>
            </w:r>
          </w:p>
        </w:tc>
        <w:tc>
          <w:tcPr>
            <w:tcW w:w="3603" w:type="dxa"/>
            <w:gridSpan w:val="2"/>
            <w:vAlign w:val="top"/>
          </w:tcPr>
          <w:p w14:paraId="01724F9F">
            <w:pPr>
              <w:pStyle w:val="6"/>
              <w:spacing w:before="241" w:line="188" w:lineRule="auto"/>
              <w:ind w:left="110"/>
              <w:rPr>
                <w:sz w:val="21"/>
                <w:szCs w:val="21"/>
              </w:rPr>
            </w:pPr>
            <w:r>
              <w:rPr>
                <w:spacing w:val="1"/>
                <w:sz w:val="21"/>
                <w:szCs w:val="21"/>
              </w:rPr>
              <w:t>★满足国产化及电子病历评级要求</w:t>
            </w:r>
          </w:p>
        </w:tc>
        <w:tc>
          <w:tcPr>
            <w:tcW w:w="5413" w:type="dxa"/>
            <w:gridSpan w:val="2"/>
            <w:vAlign w:val="top"/>
          </w:tcPr>
          <w:p w14:paraId="6A196AD3">
            <w:pPr>
              <w:pStyle w:val="6"/>
              <w:spacing w:before="241" w:line="183" w:lineRule="auto"/>
              <w:ind w:left="117"/>
              <w:rPr>
                <w:sz w:val="21"/>
                <w:szCs w:val="21"/>
              </w:rPr>
            </w:pPr>
            <w:r>
              <w:rPr>
                <w:spacing w:val="-1"/>
                <w:sz w:val="21"/>
                <w:szCs w:val="21"/>
              </w:rPr>
              <w:t>满足国产化及电子病历评级要求（含国产化认证</w:t>
            </w:r>
            <w:r>
              <w:rPr>
                <w:spacing w:val="-2"/>
                <w:sz w:val="21"/>
                <w:szCs w:val="21"/>
              </w:rPr>
              <w:t>及评级）</w:t>
            </w:r>
          </w:p>
        </w:tc>
      </w:tr>
    </w:tbl>
    <w:p w14:paraId="39C12D25">
      <w:pPr>
        <w:spacing w:before="80" w:line="189" w:lineRule="auto"/>
        <w:ind w:left="3660"/>
        <w:rPr>
          <w:rFonts w:ascii="微软雅黑" w:hAnsi="微软雅黑" w:eastAsia="微软雅黑" w:cs="微软雅黑"/>
          <w:sz w:val="44"/>
          <w:szCs w:val="44"/>
        </w:rPr>
      </w:pPr>
      <w:r>
        <w:rPr>
          <w:rFonts w:ascii="微软雅黑" w:hAnsi="微软雅黑" w:eastAsia="微软雅黑" w:cs="微软雅黑"/>
          <w:b/>
          <w:bCs/>
          <w:spacing w:val="-7"/>
          <w:sz w:val="44"/>
          <w:szCs w:val="44"/>
        </w:rPr>
        <w:t>标段四</w:t>
      </w:r>
    </w:p>
    <w:p w14:paraId="50A9A9D2">
      <w:pPr>
        <w:spacing w:before="61" w:line="211" w:lineRule="auto"/>
        <w:ind w:left="128"/>
        <w:rPr>
          <w:rFonts w:ascii="微软雅黑" w:hAnsi="微软雅黑" w:eastAsia="微软雅黑" w:cs="微软雅黑"/>
          <w:sz w:val="28"/>
          <w:szCs w:val="28"/>
        </w:rPr>
      </w:pPr>
      <w:r>
        <w:rPr>
          <w:rFonts w:ascii="楷体" w:hAnsi="楷体" w:eastAsia="楷体" w:cs="楷体"/>
          <w:spacing w:val="-10"/>
          <w:sz w:val="32"/>
          <w:szCs w:val="32"/>
        </w:rPr>
        <w:t xml:space="preserve">项目名称： </w:t>
      </w:r>
      <w:r>
        <w:rPr>
          <w:rFonts w:ascii="微软雅黑" w:hAnsi="微软雅黑" w:eastAsia="微软雅黑" w:cs="微软雅黑"/>
          <w:spacing w:val="-10"/>
          <w:sz w:val="28"/>
          <w:szCs w:val="28"/>
        </w:rPr>
        <w:t>PACS 系统升级改造项目</w:t>
      </w:r>
    </w:p>
    <w:p w14:paraId="67B02313">
      <w:pPr>
        <w:spacing w:before="173" w:line="235" w:lineRule="auto"/>
        <w:ind w:left="121"/>
        <w:rPr>
          <w:rFonts w:ascii="楷体" w:hAnsi="楷体" w:eastAsia="楷体" w:cs="楷体"/>
          <w:sz w:val="32"/>
          <w:szCs w:val="32"/>
        </w:rPr>
      </w:pPr>
      <w:r>
        <w:rPr>
          <w:rFonts w:ascii="楷体" w:hAnsi="楷体" w:eastAsia="楷体" w:cs="楷体"/>
          <w:spacing w:val="-4"/>
          <w:sz w:val="32"/>
          <w:szCs w:val="32"/>
        </w:rPr>
        <w:t>数</w:t>
      </w:r>
      <w:r>
        <w:rPr>
          <w:rFonts w:ascii="楷体" w:hAnsi="楷体" w:eastAsia="楷体" w:cs="楷体"/>
          <w:spacing w:val="2"/>
          <w:sz w:val="32"/>
          <w:szCs w:val="32"/>
        </w:rPr>
        <w:t xml:space="preserve">    </w:t>
      </w:r>
      <w:r>
        <w:rPr>
          <w:rFonts w:ascii="楷体" w:hAnsi="楷体" w:eastAsia="楷体" w:cs="楷体"/>
          <w:spacing w:val="-4"/>
          <w:sz w:val="32"/>
          <w:szCs w:val="32"/>
        </w:rPr>
        <w:t>量：1</w:t>
      </w:r>
      <w:r>
        <w:rPr>
          <w:rFonts w:ascii="楷体" w:hAnsi="楷体" w:eastAsia="楷体" w:cs="楷体"/>
          <w:spacing w:val="-63"/>
          <w:sz w:val="32"/>
          <w:szCs w:val="32"/>
        </w:rPr>
        <w:t xml:space="preserve"> </w:t>
      </w:r>
      <w:r>
        <w:rPr>
          <w:rFonts w:ascii="楷体" w:hAnsi="楷体" w:eastAsia="楷体" w:cs="楷体"/>
          <w:spacing w:val="-4"/>
          <w:sz w:val="32"/>
          <w:szCs w:val="32"/>
        </w:rPr>
        <w:t>项</w:t>
      </w:r>
    </w:p>
    <w:p w14:paraId="57DD07D2">
      <w:pPr>
        <w:spacing w:before="189" w:line="191" w:lineRule="auto"/>
        <w:ind w:left="128"/>
        <w:rPr>
          <w:rFonts w:ascii="微软雅黑" w:hAnsi="微软雅黑" w:eastAsia="微软雅黑" w:cs="微软雅黑"/>
          <w:sz w:val="32"/>
          <w:szCs w:val="32"/>
        </w:rPr>
      </w:pPr>
      <w:r>
        <w:rPr>
          <w:rFonts w:ascii="楷体" w:hAnsi="楷体" w:eastAsia="楷体" w:cs="楷体"/>
          <w:spacing w:val="-3"/>
          <w:sz w:val="32"/>
          <w:szCs w:val="32"/>
        </w:rPr>
        <w:t>技术参数：</w:t>
      </w:r>
      <w:r>
        <w:rPr>
          <w:rFonts w:ascii="微软雅黑" w:hAnsi="微软雅黑" w:eastAsia="微软雅黑" w:cs="微软雅黑"/>
          <w:spacing w:val="-3"/>
          <w:sz w:val="32"/>
          <w:szCs w:val="32"/>
        </w:rPr>
        <w:t>1、</w:t>
      </w:r>
      <w:r>
        <w:rPr>
          <w:rFonts w:ascii="微软雅黑" w:hAnsi="微软雅黑" w:eastAsia="微软雅黑" w:cs="微软雅黑"/>
          <w:spacing w:val="57"/>
          <w:sz w:val="32"/>
          <w:szCs w:val="32"/>
        </w:rPr>
        <w:t xml:space="preserve"> </w:t>
      </w:r>
      <w:r>
        <w:rPr>
          <w:rFonts w:ascii="微软雅黑" w:hAnsi="微软雅黑" w:eastAsia="微软雅黑" w:cs="微软雅黑"/>
          <w:spacing w:val="-3"/>
          <w:sz w:val="32"/>
          <w:szCs w:val="32"/>
        </w:rPr>
        <w:t>模块列表</w:t>
      </w:r>
    </w:p>
    <w:p w14:paraId="2D9A74A6">
      <w:pPr>
        <w:spacing w:line="18" w:lineRule="exact"/>
      </w:pPr>
    </w:p>
    <w:tbl>
      <w:tblPr>
        <w:tblStyle w:val="5"/>
        <w:tblW w:w="90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3182"/>
        <w:gridCol w:w="3682"/>
        <w:gridCol w:w="1420"/>
      </w:tblGrid>
      <w:tr w14:paraId="001D9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83" w:type="dxa"/>
            <w:vAlign w:val="top"/>
          </w:tcPr>
          <w:p w14:paraId="03D79481">
            <w:pPr>
              <w:spacing w:before="175" w:line="221" w:lineRule="auto"/>
              <w:ind w:left="181"/>
              <w:rPr>
                <w:rFonts w:ascii="宋体" w:hAnsi="宋体" w:eastAsia="宋体" w:cs="宋体"/>
                <w:sz w:val="21"/>
                <w:szCs w:val="21"/>
              </w:rPr>
            </w:pPr>
            <w:r>
              <w:rPr>
                <w:rFonts w:ascii="宋体" w:hAnsi="宋体" w:eastAsia="宋体" w:cs="宋体"/>
                <w:b/>
                <w:bCs/>
                <w:spacing w:val="-6"/>
                <w:sz w:val="21"/>
                <w:szCs w:val="21"/>
              </w:rPr>
              <w:t>序号</w:t>
            </w:r>
          </w:p>
        </w:tc>
        <w:tc>
          <w:tcPr>
            <w:tcW w:w="3182" w:type="dxa"/>
            <w:vAlign w:val="top"/>
          </w:tcPr>
          <w:p w14:paraId="365BAE02">
            <w:pPr>
              <w:spacing w:before="175" w:line="221" w:lineRule="auto"/>
              <w:ind w:left="1174"/>
              <w:rPr>
                <w:rFonts w:ascii="宋体" w:hAnsi="宋体" w:eastAsia="宋体" w:cs="宋体"/>
                <w:sz w:val="21"/>
                <w:szCs w:val="21"/>
              </w:rPr>
            </w:pPr>
            <w:r>
              <w:rPr>
                <w:rFonts w:ascii="宋体" w:hAnsi="宋体" w:eastAsia="宋体" w:cs="宋体"/>
                <w:b/>
                <w:bCs/>
                <w:spacing w:val="-5"/>
                <w:sz w:val="21"/>
                <w:szCs w:val="21"/>
              </w:rPr>
              <w:t>系统名称</w:t>
            </w:r>
          </w:p>
        </w:tc>
        <w:tc>
          <w:tcPr>
            <w:tcW w:w="3682" w:type="dxa"/>
            <w:vAlign w:val="top"/>
          </w:tcPr>
          <w:p w14:paraId="0176F75F">
            <w:pPr>
              <w:spacing w:before="174" w:line="220" w:lineRule="auto"/>
              <w:ind w:left="1422"/>
              <w:rPr>
                <w:rFonts w:ascii="宋体" w:hAnsi="宋体" w:eastAsia="宋体" w:cs="宋体"/>
                <w:sz w:val="21"/>
                <w:szCs w:val="21"/>
              </w:rPr>
            </w:pPr>
            <w:r>
              <w:rPr>
                <w:rFonts w:ascii="宋体" w:hAnsi="宋体" w:eastAsia="宋体" w:cs="宋体"/>
                <w:b/>
                <w:bCs/>
                <w:spacing w:val="-4"/>
                <w:sz w:val="21"/>
                <w:szCs w:val="21"/>
              </w:rPr>
              <w:t>模块名称</w:t>
            </w:r>
          </w:p>
        </w:tc>
        <w:tc>
          <w:tcPr>
            <w:tcW w:w="1420" w:type="dxa"/>
            <w:vAlign w:val="top"/>
          </w:tcPr>
          <w:p w14:paraId="4B20ABAA">
            <w:pPr>
              <w:spacing w:before="175" w:line="221" w:lineRule="auto"/>
              <w:ind w:left="506"/>
              <w:rPr>
                <w:rFonts w:ascii="宋体" w:hAnsi="宋体" w:eastAsia="宋体" w:cs="宋体"/>
                <w:sz w:val="21"/>
                <w:szCs w:val="21"/>
              </w:rPr>
            </w:pPr>
            <w:r>
              <w:rPr>
                <w:rFonts w:ascii="宋体" w:hAnsi="宋体" w:eastAsia="宋体" w:cs="宋体"/>
                <w:b/>
                <w:bCs/>
                <w:spacing w:val="-8"/>
                <w:sz w:val="21"/>
                <w:szCs w:val="21"/>
              </w:rPr>
              <w:t>备注</w:t>
            </w:r>
          </w:p>
        </w:tc>
      </w:tr>
      <w:tr w14:paraId="1B5A6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83" w:type="dxa"/>
            <w:vAlign w:val="top"/>
          </w:tcPr>
          <w:p w14:paraId="102B650A">
            <w:pPr>
              <w:rPr>
                <w:rFonts w:ascii="Arial"/>
                <w:sz w:val="21"/>
              </w:rPr>
            </w:pPr>
          </w:p>
        </w:tc>
        <w:tc>
          <w:tcPr>
            <w:tcW w:w="3182" w:type="dxa"/>
            <w:vMerge w:val="restart"/>
            <w:tcBorders>
              <w:bottom w:val="nil"/>
            </w:tcBorders>
            <w:vAlign w:val="top"/>
          </w:tcPr>
          <w:p w14:paraId="3810F4FC">
            <w:pPr>
              <w:spacing w:line="338" w:lineRule="auto"/>
              <w:rPr>
                <w:rFonts w:ascii="Arial"/>
                <w:sz w:val="21"/>
              </w:rPr>
            </w:pPr>
          </w:p>
          <w:p w14:paraId="56B2F761">
            <w:pPr>
              <w:spacing w:line="339" w:lineRule="auto"/>
              <w:rPr>
                <w:rFonts w:ascii="Arial"/>
                <w:sz w:val="21"/>
              </w:rPr>
            </w:pPr>
          </w:p>
          <w:p w14:paraId="7F2D3B2B">
            <w:pPr>
              <w:spacing w:before="68" w:line="220" w:lineRule="auto"/>
              <w:ind w:left="981"/>
              <w:rPr>
                <w:rFonts w:ascii="宋体" w:hAnsi="宋体" w:eastAsia="宋体" w:cs="宋体"/>
                <w:sz w:val="21"/>
                <w:szCs w:val="21"/>
              </w:rPr>
            </w:pPr>
            <w:r>
              <w:rPr>
                <w:rFonts w:ascii="宋体" w:hAnsi="宋体" w:eastAsia="宋体" w:cs="宋体"/>
                <w:spacing w:val="-4"/>
                <w:sz w:val="21"/>
                <w:szCs w:val="21"/>
              </w:rPr>
              <w:t>中心服务系统</w:t>
            </w:r>
          </w:p>
        </w:tc>
        <w:tc>
          <w:tcPr>
            <w:tcW w:w="3682" w:type="dxa"/>
            <w:vAlign w:val="top"/>
          </w:tcPr>
          <w:p w14:paraId="216BA641">
            <w:pPr>
              <w:spacing w:before="172" w:line="220" w:lineRule="auto"/>
              <w:ind w:left="1217"/>
              <w:rPr>
                <w:rFonts w:ascii="宋体" w:hAnsi="宋体" w:eastAsia="宋体" w:cs="宋体"/>
                <w:sz w:val="21"/>
                <w:szCs w:val="21"/>
              </w:rPr>
            </w:pPr>
            <w:r>
              <w:rPr>
                <w:rFonts w:ascii="宋体" w:hAnsi="宋体" w:eastAsia="宋体" w:cs="宋体"/>
                <w:spacing w:val="-2"/>
                <w:sz w:val="21"/>
                <w:szCs w:val="21"/>
              </w:rPr>
              <w:t>核心管理系统</w:t>
            </w:r>
          </w:p>
        </w:tc>
        <w:tc>
          <w:tcPr>
            <w:tcW w:w="1420" w:type="dxa"/>
            <w:vAlign w:val="top"/>
          </w:tcPr>
          <w:p w14:paraId="19F2F7FE">
            <w:pPr>
              <w:rPr>
                <w:rFonts w:ascii="Arial"/>
                <w:sz w:val="21"/>
              </w:rPr>
            </w:pPr>
          </w:p>
        </w:tc>
      </w:tr>
      <w:tr w14:paraId="6AB9A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3" w:type="dxa"/>
            <w:vAlign w:val="top"/>
          </w:tcPr>
          <w:p w14:paraId="1F18E462">
            <w:pPr>
              <w:rPr>
                <w:rFonts w:ascii="Arial"/>
                <w:sz w:val="21"/>
              </w:rPr>
            </w:pPr>
          </w:p>
        </w:tc>
        <w:tc>
          <w:tcPr>
            <w:tcW w:w="3182" w:type="dxa"/>
            <w:vMerge w:val="continue"/>
            <w:tcBorders>
              <w:top w:val="nil"/>
              <w:bottom w:val="nil"/>
            </w:tcBorders>
            <w:vAlign w:val="top"/>
          </w:tcPr>
          <w:p w14:paraId="00A7BE5C">
            <w:pPr>
              <w:rPr>
                <w:rFonts w:ascii="Arial"/>
                <w:sz w:val="21"/>
              </w:rPr>
            </w:pPr>
          </w:p>
        </w:tc>
        <w:tc>
          <w:tcPr>
            <w:tcW w:w="3682" w:type="dxa"/>
            <w:vAlign w:val="top"/>
          </w:tcPr>
          <w:p w14:paraId="5B41B2EA">
            <w:pPr>
              <w:spacing w:before="176" w:line="221" w:lineRule="auto"/>
              <w:ind w:left="1218"/>
              <w:rPr>
                <w:rFonts w:ascii="宋体" w:hAnsi="宋体" w:eastAsia="宋体" w:cs="宋体"/>
                <w:sz w:val="21"/>
                <w:szCs w:val="21"/>
              </w:rPr>
            </w:pPr>
            <w:r>
              <w:rPr>
                <w:rFonts w:ascii="宋体" w:hAnsi="宋体" w:eastAsia="宋体" w:cs="宋体"/>
                <w:spacing w:val="-2"/>
                <w:sz w:val="21"/>
                <w:szCs w:val="21"/>
              </w:rPr>
              <w:t>设备连接系统</w:t>
            </w:r>
          </w:p>
        </w:tc>
        <w:tc>
          <w:tcPr>
            <w:tcW w:w="1420" w:type="dxa"/>
            <w:vAlign w:val="top"/>
          </w:tcPr>
          <w:p w14:paraId="0BC3D1C6">
            <w:pPr>
              <w:rPr>
                <w:rFonts w:ascii="Arial"/>
                <w:sz w:val="21"/>
              </w:rPr>
            </w:pPr>
          </w:p>
        </w:tc>
      </w:tr>
      <w:tr w14:paraId="4A475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83" w:type="dxa"/>
            <w:vAlign w:val="top"/>
          </w:tcPr>
          <w:p w14:paraId="156CB1B0">
            <w:pPr>
              <w:rPr>
                <w:rFonts w:ascii="Arial"/>
                <w:sz w:val="21"/>
              </w:rPr>
            </w:pPr>
          </w:p>
        </w:tc>
        <w:tc>
          <w:tcPr>
            <w:tcW w:w="3182" w:type="dxa"/>
            <w:vMerge w:val="continue"/>
            <w:tcBorders>
              <w:top w:val="nil"/>
            </w:tcBorders>
            <w:vAlign w:val="top"/>
          </w:tcPr>
          <w:p w14:paraId="0EA2B790">
            <w:pPr>
              <w:rPr>
                <w:rFonts w:ascii="Arial"/>
                <w:sz w:val="21"/>
              </w:rPr>
            </w:pPr>
          </w:p>
        </w:tc>
        <w:tc>
          <w:tcPr>
            <w:tcW w:w="3682" w:type="dxa"/>
            <w:vAlign w:val="top"/>
          </w:tcPr>
          <w:p w14:paraId="7C042C8C">
            <w:pPr>
              <w:spacing w:before="177" w:line="220" w:lineRule="auto"/>
              <w:ind w:left="1214"/>
              <w:rPr>
                <w:rFonts w:ascii="宋体" w:hAnsi="宋体" w:eastAsia="宋体" w:cs="宋体"/>
                <w:sz w:val="21"/>
                <w:szCs w:val="21"/>
              </w:rPr>
            </w:pPr>
            <w:r>
              <w:rPr>
                <w:rFonts w:ascii="宋体" w:hAnsi="宋体" w:eastAsia="宋体" w:cs="宋体"/>
                <w:spacing w:val="-2"/>
                <w:sz w:val="21"/>
                <w:szCs w:val="21"/>
              </w:rPr>
              <w:t>存储管理系统</w:t>
            </w:r>
          </w:p>
        </w:tc>
        <w:tc>
          <w:tcPr>
            <w:tcW w:w="1420" w:type="dxa"/>
            <w:vAlign w:val="top"/>
          </w:tcPr>
          <w:p w14:paraId="26E5CEA0">
            <w:pPr>
              <w:rPr>
                <w:rFonts w:ascii="Arial"/>
                <w:sz w:val="21"/>
              </w:rPr>
            </w:pPr>
          </w:p>
        </w:tc>
      </w:tr>
    </w:tbl>
    <w:p w14:paraId="42974854">
      <w:pPr>
        <w:pStyle w:val="2"/>
        <w:spacing w:line="312" w:lineRule="auto"/>
      </w:pPr>
    </w:p>
    <w:p w14:paraId="143C8554">
      <w:pPr>
        <w:spacing w:before="62" w:line="209" w:lineRule="auto"/>
        <w:ind w:left="222"/>
        <w:rPr>
          <w:rFonts w:ascii="宋体" w:hAnsi="宋体" w:eastAsia="宋体" w:cs="宋体"/>
          <w:sz w:val="19"/>
          <w:szCs w:val="19"/>
        </w:rPr>
      </w:pPr>
      <w:r>
        <w:pict>
          <v:shape id="_x0000_s1063" o:spid="_x0000_s1063" style="position:absolute;left:0pt;margin-left:5.65pt;margin-top:11.8pt;height:0.75pt;width:494pt;z-index:251708416;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2"/>
          <w:position w:val="1"/>
          <w:sz w:val="18"/>
          <w:szCs w:val="18"/>
        </w:rPr>
        <w:t xml:space="preserve">43                          </w:t>
      </w:r>
      <w:r>
        <w:rPr>
          <w:rFonts w:ascii="Times New Roman" w:hAnsi="Times New Roman" w:eastAsia="Times New Roman" w:cs="Times New Roman"/>
          <w:spacing w:val="-3"/>
          <w:position w:val="1"/>
          <w:sz w:val="18"/>
          <w:szCs w:val="18"/>
        </w:rPr>
        <w:t xml:space="preserve">     </w:t>
      </w:r>
      <w:r>
        <w:rPr>
          <w:rFonts w:ascii="宋体" w:hAnsi="宋体" w:eastAsia="宋体" w:cs="宋体"/>
          <w:b/>
          <w:bCs/>
          <w:i/>
          <w:iCs/>
          <w:spacing w:val="-3"/>
          <w:sz w:val="19"/>
          <w:szCs w:val="19"/>
        </w:rPr>
        <w:t>伊犁州公共资源交易中心</w:t>
      </w:r>
    </w:p>
    <w:p w14:paraId="655CBCF7">
      <w:pPr>
        <w:spacing w:line="209" w:lineRule="auto"/>
        <w:rPr>
          <w:rFonts w:ascii="宋体" w:hAnsi="宋体" w:eastAsia="宋体" w:cs="宋体"/>
          <w:sz w:val="19"/>
          <w:szCs w:val="19"/>
        </w:rPr>
        <w:sectPr>
          <w:headerReference r:id="rId25" w:type="default"/>
          <w:pgSz w:w="11905" w:h="16839"/>
          <w:pgMar w:top="1136" w:right="820" w:bottom="400" w:left="1052" w:header="854" w:footer="0" w:gutter="0"/>
          <w:cols w:space="720" w:num="1"/>
        </w:sectPr>
      </w:pPr>
    </w:p>
    <w:p w14:paraId="1C954BDF">
      <w:pPr>
        <w:spacing w:before="38"/>
      </w:pPr>
    </w:p>
    <w:tbl>
      <w:tblPr>
        <w:tblStyle w:val="5"/>
        <w:tblW w:w="90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3182"/>
        <w:gridCol w:w="3682"/>
        <w:gridCol w:w="1420"/>
      </w:tblGrid>
      <w:tr w14:paraId="5D094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83" w:type="dxa"/>
            <w:vAlign w:val="top"/>
          </w:tcPr>
          <w:p w14:paraId="2323787D">
            <w:pPr>
              <w:rPr>
                <w:rFonts w:ascii="Arial"/>
                <w:sz w:val="21"/>
              </w:rPr>
            </w:pPr>
          </w:p>
        </w:tc>
        <w:tc>
          <w:tcPr>
            <w:tcW w:w="3182" w:type="dxa"/>
            <w:vMerge w:val="restart"/>
            <w:tcBorders>
              <w:bottom w:val="nil"/>
            </w:tcBorders>
            <w:vAlign w:val="top"/>
          </w:tcPr>
          <w:p w14:paraId="7081062E">
            <w:pPr>
              <w:spacing w:line="260" w:lineRule="auto"/>
              <w:rPr>
                <w:rFonts w:ascii="Arial"/>
                <w:sz w:val="21"/>
              </w:rPr>
            </w:pPr>
          </w:p>
          <w:p w14:paraId="1573D128">
            <w:pPr>
              <w:spacing w:line="261" w:lineRule="auto"/>
              <w:rPr>
                <w:rFonts w:ascii="Arial"/>
                <w:sz w:val="21"/>
              </w:rPr>
            </w:pPr>
          </w:p>
          <w:p w14:paraId="1599109A">
            <w:pPr>
              <w:spacing w:line="261" w:lineRule="auto"/>
              <w:rPr>
                <w:rFonts w:ascii="Arial"/>
                <w:sz w:val="21"/>
              </w:rPr>
            </w:pPr>
          </w:p>
          <w:p w14:paraId="17BBEE1C">
            <w:pPr>
              <w:spacing w:line="261" w:lineRule="auto"/>
              <w:rPr>
                <w:rFonts w:ascii="Arial"/>
                <w:sz w:val="21"/>
              </w:rPr>
            </w:pPr>
          </w:p>
          <w:p w14:paraId="195E4D27">
            <w:pPr>
              <w:spacing w:line="261" w:lineRule="auto"/>
              <w:rPr>
                <w:rFonts w:ascii="Arial"/>
                <w:sz w:val="21"/>
              </w:rPr>
            </w:pPr>
          </w:p>
          <w:p w14:paraId="0A68193F">
            <w:pPr>
              <w:spacing w:line="261" w:lineRule="auto"/>
              <w:rPr>
                <w:rFonts w:ascii="Arial"/>
                <w:sz w:val="21"/>
              </w:rPr>
            </w:pPr>
          </w:p>
          <w:p w14:paraId="14CBF705">
            <w:pPr>
              <w:spacing w:line="261" w:lineRule="auto"/>
              <w:rPr>
                <w:rFonts w:ascii="Arial"/>
                <w:sz w:val="21"/>
              </w:rPr>
            </w:pPr>
          </w:p>
          <w:p w14:paraId="40798C50">
            <w:pPr>
              <w:spacing w:before="68" w:line="220" w:lineRule="auto"/>
              <w:ind w:left="964"/>
              <w:rPr>
                <w:rFonts w:ascii="宋体" w:hAnsi="宋体" w:eastAsia="宋体" w:cs="宋体"/>
                <w:sz w:val="21"/>
                <w:szCs w:val="21"/>
              </w:rPr>
            </w:pPr>
            <w:r>
              <w:rPr>
                <w:rFonts w:ascii="宋体" w:hAnsi="宋体" w:eastAsia="宋体" w:cs="宋体"/>
                <w:spacing w:val="-2"/>
                <w:sz w:val="21"/>
                <w:szCs w:val="21"/>
              </w:rPr>
              <w:t>综合管理系统</w:t>
            </w:r>
          </w:p>
        </w:tc>
        <w:tc>
          <w:tcPr>
            <w:tcW w:w="3682" w:type="dxa"/>
            <w:vAlign w:val="top"/>
          </w:tcPr>
          <w:p w14:paraId="4565CC40">
            <w:pPr>
              <w:spacing w:before="174" w:line="220" w:lineRule="auto"/>
              <w:ind w:left="1215"/>
              <w:rPr>
                <w:rFonts w:ascii="宋体" w:hAnsi="宋体" w:eastAsia="宋体" w:cs="宋体"/>
                <w:sz w:val="21"/>
                <w:szCs w:val="21"/>
              </w:rPr>
            </w:pPr>
            <w:r>
              <w:rPr>
                <w:rFonts w:ascii="宋体" w:hAnsi="宋体" w:eastAsia="宋体" w:cs="宋体"/>
                <w:spacing w:val="-2"/>
                <w:sz w:val="21"/>
                <w:szCs w:val="21"/>
              </w:rPr>
              <w:t>配置管理系统</w:t>
            </w:r>
          </w:p>
        </w:tc>
        <w:tc>
          <w:tcPr>
            <w:tcW w:w="1420" w:type="dxa"/>
            <w:vAlign w:val="top"/>
          </w:tcPr>
          <w:p w14:paraId="4A658885">
            <w:pPr>
              <w:rPr>
                <w:rFonts w:ascii="Arial"/>
                <w:sz w:val="21"/>
              </w:rPr>
            </w:pPr>
          </w:p>
        </w:tc>
      </w:tr>
      <w:tr w14:paraId="71BA4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83" w:type="dxa"/>
            <w:vAlign w:val="top"/>
          </w:tcPr>
          <w:p w14:paraId="738CA548">
            <w:pPr>
              <w:rPr>
                <w:rFonts w:ascii="Arial"/>
                <w:sz w:val="21"/>
              </w:rPr>
            </w:pPr>
          </w:p>
        </w:tc>
        <w:tc>
          <w:tcPr>
            <w:tcW w:w="3182" w:type="dxa"/>
            <w:vMerge w:val="continue"/>
            <w:tcBorders>
              <w:top w:val="nil"/>
              <w:bottom w:val="nil"/>
            </w:tcBorders>
            <w:vAlign w:val="top"/>
          </w:tcPr>
          <w:p w14:paraId="359525A2">
            <w:pPr>
              <w:rPr>
                <w:rFonts w:ascii="Arial"/>
                <w:sz w:val="21"/>
              </w:rPr>
            </w:pPr>
          </w:p>
        </w:tc>
        <w:tc>
          <w:tcPr>
            <w:tcW w:w="3682" w:type="dxa"/>
            <w:vAlign w:val="top"/>
          </w:tcPr>
          <w:p w14:paraId="3349E1B4">
            <w:pPr>
              <w:spacing w:before="171" w:line="221" w:lineRule="auto"/>
              <w:ind w:left="1217"/>
              <w:rPr>
                <w:rFonts w:ascii="宋体" w:hAnsi="宋体" w:eastAsia="宋体" w:cs="宋体"/>
                <w:sz w:val="21"/>
                <w:szCs w:val="21"/>
              </w:rPr>
            </w:pPr>
            <w:r>
              <w:rPr>
                <w:rFonts w:ascii="宋体" w:hAnsi="宋体" w:eastAsia="宋体" w:cs="宋体"/>
                <w:spacing w:val="-2"/>
                <w:sz w:val="21"/>
                <w:szCs w:val="21"/>
              </w:rPr>
              <w:t>查询统计系统</w:t>
            </w:r>
          </w:p>
        </w:tc>
        <w:tc>
          <w:tcPr>
            <w:tcW w:w="1420" w:type="dxa"/>
            <w:vAlign w:val="top"/>
          </w:tcPr>
          <w:p w14:paraId="454EC44B">
            <w:pPr>
              <w:rPr>
                <w:rFonts w:ascii="Arial"/>
                <w:sz w:val="21"/>
              </w:rPr>
            </w:pPr>
          </w:p>
        </w:tc>
      </w:tr>
      <w:tr w14:paraId="531C0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83" w:type="dxa"/>
            <w:vAlign w:val="top"/>
          </w:tcPr>
          <w:p w14:paraId="01C49128">
            <w:pPr>
              <w:rPr>
                <w:rFonts w:ascii="Arial"/>
                <w:sz w:val="21"/>
              </w:rPr>
            </w:pPr>
          </w:p>
        </w:tc>
        <w:tc>
          <w:tcPr>
            <w:tcW w:w="3182" w:type="dxa"/>
            <w:vMerge w:val="continue"/>
            <w:tcBorders>
              <w:top w:val="nil"/>
              <w:bottom w:val="nil"/>
            </w:tcBorders>
            <w:vAlign w:val="top"/>
          </w:tcPr>
          <w:p w14:paraId="78220D4B">
            <w:pPr>
              <w:rPr>
                <w:rFonts w:ascii="Arial"/>
                <w:sz w:val="21"/>
              </w:rPr>
            </w:pPr>
          </w:p>
        </w:tc>
        <w:tc>
          <w:tcPr>
            <w:tcW w:w="3682" w:type="dxa"/>
            <w:vAlign w:val="top"/>
          </w:tcPr>
          <w:p w14:paraId="44538D0E">
            <w:pPr>
              <w:spacing w:before="172" w:line="221" w:lineRule="auto"/>
              <w:ind w:left="900"/>
              <w:rPr>
                <w:rFonts w:ascii="宋体" w:hAnsi="宋体" w:eastAsia="宋体" w:cs="宋体"/>
                <w:sz w:val="21"/>
                <w:szCs w:val="21"/>
              </w:rPr>
            </w:pPr>
            <w:r>
              <w:rPr>
                <w:rFonts w:ascii="宋体" w:hAnsi="宋体" w:eastAsia="宋体" w:cs="宋体"/>
                <w:spacing w:val="-1"/>
                <w:sz w:val="21"/>
                <w:szCs w:val="21"/>
              </w:rPr>
              <w:t>排队叫号系统或接口</w:t>
            </w:r>
          </w:p>
        </w:tc>
        <w:tc>
          <w:tcPr>
            <w:tcW w:w="1420" w:type="dxa"/>
            <w:vAlign w:val="top"/>
          </w:tcPr>
          <w:p w14:paraId="246C404D">
            <w:pPr>
              <w:rPr>
                <w:rFonts w:ascii="Arial"/>
                <w:sz w:val="21"/>
              </w:rPr>
            </w:pPr>
          </w:p>
        </w:tc>
      </w:tr>
      <w:tr w14:paraId="7795A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83" w:type="dxa"/>
            <w:vAlign w:val="top"/>
          </w:tcPr>
          <w:p w14:paraId="12790BE4">
            <w:pPr>
              <w:rPr>
                <w:rFonts w:ascii="Arial"/>
                <w:sz w:val="21"/>
              </w:rPr>
            </w:pPr>
          </w:p>
        </w:tc>
        <w:tc>
          <w:tcPr>
            <w:tcW w:w="3182" w:type="dxa"/>
            <w:vMerge w:val="continue"/>
            <w:tcBorders>
              <w:top w:val="nil"/>
              <w:bottom w:val="nil"/>
            </w:tcBorders>
            <w:vAlign w:val="top"/>
          </w:tcPr>
          <w:p w14:paraId="6C6960C8">
            <w:pPr>
              <w:rPr>
                <w:rFonts w:ascii="Arial"/>
                <w:sz w:val="21"/>
              </w:rPr>
            </w:pPr>
          </w:p>
        </w:tc>
        <w:tc>
          <w:tcPr>
            <w:tcW w:w="3682" w:type="dxa"/>
            <w:vAlign w:val="top"/>
          </w:tcPr>
          <w:p w14:paraId="7EF4F13E">
            <w:pPr>
              <w:spacing w:before="172" w:line="220" w:lineRule="auto"/>
              <w:ind w:left="1216"/>
              <w:rPr>
                <w:rFonts w:ascii="宋体" w:hAnsi="宋体" w:eastAsia="宋体" w:cs="宋体"/>
                <w:sz w:val="21"/>
                <w:szCs w:val="21"/>
              </w:rPr>
            </w:pPr>
            <w:r>
              <w:rPr>
                <w:rFonts w:ascii="宋体" w:hAnsi="宋体" w:eastAsia="宋体" w:cs="宋体"/>
                <w:spacing w:val="-2"/>
                <w:sz w:val="21"/>
                <w:szCs w:val="21"/>
              </w:rPr>
              <w:t>质控管理系统</w:t>
            </w:r>
          </w:p>
        </w:tc>
        <w:tc>
          <w:tcPr>
            <w:tcW w:w="1420" w:type="dxa"/>
            <w:vAlign w:val="top"/>
          </w:tcPr>
          <w:p w14:paraId="22CCBBD7">
            <w:pPr>
              <w:rPr>
                <w:rFonts w:ascii="Arial"/>
                <w:sz w:val="21"/>
              </w:rPr>
            </w:pPr>
          </w:p>
        </w:tc>
      </w:tr>
      <w:tr w14:paraId="46213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83" w:type="dxa"/>
            <w:vAlign w:val="top"/>
          </w:tcPr>
          <w:p w14:paraId="650D717F">
            <w:pPr>
              <w:rPr>
                <w:rFonts w:ascii="Arial"/>
                <w:sz w:val="21"/>
              </w:rPr>
            </w:pPr>
          </w:p>
        </w:tc>
        <w:tc>
          <w:tcPr>
            <w:tcW w:w="3182" w:type="dxa"/>
            <w:vMerge w:val="continue"/>
            <w:tcBorders>
              <w:top w:val="nil"/>
              <w:bottom w:val="nil"/>
            </w:tcBorders>
            <w:vAlign w:val="top"/>
          </w:tcPr>
          <w:p w14:paraId="445FCCDF">
            <w:pPr>
              <w:rPr>
                <w:rFonts w:ascii="Arial"/>
                <w:sz w:val="21"/>
              </w:rPr>
            </w:pPr>
          </w:p>
        </w:tc>
        <w:tc>
          <w:tcPr>
            <w:tcW w:w="3682" w:type="dxa"/>
            <w:vAlign w:val="top"/>
          </w:tcPr>
          <w:p w14:paraId="0F46200A">
            <w:pPr>
              <w:spacing w:before="174" w:line="220" w:lineRule="auto"/>
              <w:ind w:left="1215"/>
              <w:rPr>
                <w:rFonts w:ascii="宋体" w:hAnsi="宋体" w:eastAsia="宋体" w:cs="宋体"/>
                <w:sz w:val="21"/>
                <w:szCs w:val="21"/>
              </w:rPr>
            </w:pPr>
            <w:r>
              <w:rPr>
                <w:rFonts w:ascii="宋体" w:hAnsi="宋体" w:eastAsia="宋体" w:cs="宋体"/>
                <w:spacing w:val="-2"/>
                <w:sz w:val="21"/>
                <w:szCs w:val="21"/>
              </w:rPr>
              <w:t>排班绩效系统</w:t>
            </w:r>
          </w:p>
        </w:tc>
        <w:tc>
          <w:tcPr>
            <w:tcW w:w="1420" w:type="dxa"/>
            <w:vAlign w:val="top"/>
          </w:tcPr>
          <w:p w14:paraId="30E8C6B4">
            <w:pPr>
              <w:rPr>
                <w:rFonts w:ascii="Arial"/>
                <w:sz w:val="21"/>
              </w:rPr>
            </w:pPr>
          </w:p>
        </w:tc>
      </w:tr>
      <w:tr w14:paraId="74634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83" w:type="dxa"/>
            <w:vAlign w:val="top"/>
          </w:tcPr>
          <w:p w14:paraId="4D668C34">
            <w:pPr>
              <w:rPr>
                <w:rFonts w:ascii="Arial"/>
                <w:sz w:val="21"/>
              </w:rPr>
            </w:pPr>
          </w:p>
        </w:tc>
        <w:tc>
          <w:tcPr>
            <w:tcW w:w="3182" w:type="dxa"/>
            <w:vMerge w:val="continue"/>
            <w:tcBorders>
              <w:top w:val="nil"/>
              <w:bottom w:val="nil"/>
            </w:tcBorders>
            <w:vAlign w:val="top"/>
          </w:tcPr>
          <w:p w14:paraId="2C9F049D">
            <w:pPr>
              <w:rPr>
                <w:rFonts w:ascii="Arial"/>
                <w:sz w:val="21"/>
              </w:rPr>
            </w:pPr>
          </w:p>
        </w:tc>
        <w:tc>
          <w:tcPr>
            <w:tcW w:w="3682" w:type="dxa"/>
            <w:vAlign w:val="top"/>
          </w:tcPr>
          <w:p w14:paraId="3F83D1EE">
            <w:pPr>
              <w:spacing w:before="174" w:line="220" w:lineRule="auto"/>
              <w:ind w:left="1226"/>
              <w:rPr>
                <w:rFonts w:ascii="宋体" w:hAnsi="宋体" w:eastAsia="宋体" w:cs="宋体"/>
                <w:sz w:val="21"/>
                <w:szCs w:val="21"/>
              </w:rPr>
            </w:pPr>
            <w:r>
              <w:rPr>
                <w:rFonts w:ascii="宋体" w:hAnsi="宋体" w:eastAsia="宋体" w:cs="宋体"/>
                <w:spacing w:val="-3"/>
                <w:sz w:val="21"/>
                <w:szCs w:val="21"/>
              </w:rPr>
              <w:t>随访管理系统</w:t>
            </w:r>
          </w:p>
        </w:tc>
        <w:tc>
          <w:tcPr>
            <w:tcW w:w="1420" w:type="dxa"/>
            <w:vAlign w:val="top"/>
          </w:tcPr>
          <w:p w14:paraId="36AF66DE">
            <w:pPr>
              <w:rPr>
                <w:rFonts w:ascii="Arial"/>
                <w:sz w:val="21"/>
              </w:rPr>
            </w:pPr>
          </w:p>
        </w:tc>
      </w:tr>
      <w:tr w14:paraId="0453A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83" w:type="dxa"/>
            <w:vAlign w:val="top"/>
          </w:tcPr>
          <w:p w14:paraId="6AA4FC04">
            <w:pPr>
              <w:rPr>
                <w:rFonts w:ascii="Arial"/>
                <w:sz w:val="21"/>
              </w:rPr>
            </w:pPr>
          </w:p>
        </w:tc>
        <w:tc>
          <w:tcPr>
            <w:tcW w:w="3182" w:type="dxa"/>
            <w:vMerge w:val="continue"/>
            <w:tcBorders>
              <w:top w:val="nil"/>
            </w:tcBorders>
            <w:vAlign w:val="top"/>
          </w:tcPr>
          <w:p w14:paraId="252287F5">
            <w:pPr>
              <w:rPr>
                <w:rFonts w:ascii="Arial"/>
                <w:sz w:val="21"/>
              </w:rPr>
            </w:pPr>
          </w:p>
        </w:tc>
        <w:tc>
          <w:tcPr>
            <w:tcW w:w="3682" w:type="dxa"/>
            <w:vAlign w:val="top"/>
          </w:tcPr>
          <w:p w14:paraId="77EED50A">
            <w:pPr>
              <w:spacing w:before="175" w:line="220" w:lineRule="auto"/>
              <w:ind w:left="902"/>
              <w:rPr>
                <w:rFonts w:ascii="宋体" w:hAnsi="宋体" w:eastAsia="宋体" w:cs="宋体"/>
                <w:sz w:val="21"/>
                <w:szCs w:val="21"/>
              </w:rPr>
            </w:pPr>
            <w:r>
              <w:rPr>
                <w:rFonts w:ascii="宋体" w:hAnsi="宋体" w:eastAsia="宋体" w:cs="宋体"/>
                <w:spacing w:val="-2"/>
                <w:sz w:val="21"/>
                <w:szCs w:val="21"/>
              </w:rPr>
              <w:t>危急值闭环管理系统</w:t>
            </w:r>
          </w:p>
        </w:tc>
        <w:tc>
          <w:tcPr>
            <w:tcW w:w="1420" w:type="dxa"/>
            <w:vAlign w:val="top"/>
          </w:tcPr>
          <w:p w14:paraId="60684441">
            <w:pPr>
              <w:rPr>
                <w:rFonts w:ascii="Arial"/>
                <w:sz w:val="21"/>
              </w:rPr>
            </w:pPr>
          </w:p>
        </w:tc>
      </w:tr>
      <w:tr w14:paraId="08045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83" w:type="dxa"/>
            <w:vAlign w:val="top"/>
          </w:tcPr>
          <w:p w14:paraId="32EF3F4B">
            <w:pPr>
              <w:rPr>
                <w:rFonts w:ascii="Arial"/>
                <w:sz w:val="21"/>
              </w:rPr>
            </w:pPr>
          </w:p>
        </w:tc>
        <w:tc>
          <w:tcPr>
            <w:tcW w:w="3182" w:type="dxa"/>
            <w:vMerge w:val="restart"/>
            <w:tcBorders>
              <w:bottom w:val="nil"/>
            </w:tcBorders>
            <w:vAlign w:val="top"/>
          </w:tcPr>
          <w:p w14:paraId="10EFA785">
            <w:pPr>
              <w:spacing w:line="250" w:lineRule="auto"/>
              <w:rPr>
                <w:rFonts w:ascii="Arial"/>
                <w:sz w:val="21"/>
              </w:rPr>
            </w:pPr>
          </w:p>
          <w:p w14:paraId="379D366F">
            <w:pPr>
              <w:spacing w:before="68" w:line="220" w:lineRule="auto"/>
              <w:ind w:left="751"/>
              <w:rPr>
                <w:rFonts w:ascii="宋体" w:hAnsi="宋体" w:eastAsia="宋体" w:cs="宋体"/>
                <w:sz w:val="21"/>
                <w:szCs w:val="21"/>
              </w:rPr>
            </w:pPr>
            <w:r>
              <w:rPr>
                <w:rFonts w:ascii="宋体" w:hAnsi="宋体" w:eastAsia="宋体" w:cs="宋体"/>
                <w:spacing w:val="-1"/>
                <w:sz w:val="21"/>
                <w:szCs w:val="21"/>
              </w:rPr>
              <w:t>影像预约平台系统</w:t>
            </w:r>
          </w:p>
        </w:tc>
        <w:tc>
          <w:tcPr>
            <w:tcW w:w="3682" w:type="dxa"/>
            <w:vAlign w:val="top"/>
          </w:tcPr>
          <w:p w14:paraId="6E86828E">
            <w:pPr>
              <w:spacing w:before="104" w:line="220" w:lineRule="auto"/>
              <w:ind w:left="1215"/>
              <w:rPr>
                <w:rFonts w:ascii="宋体" w:hAnsi="宋体" w:eastAsia="宋体" w:cs="宋体"/>
                <w:sz w:val="21"/>
                <w:szCs w:val="21"/>
              </w:rPr>
            </w:pPr>
            <w:r>
              <w:rPr>
                <w:rFonts w:ascii="宋体" w:hAnsi="宋体" w:eastAsia="宋体" w:cs="宋体"/>
                <w:spacing w:val="-2"/>
                <w:sz w:val="21"/>
                <w:szCs w:val="21"/>
              </w:rPr>
              <w:t>检查预约系统</w:t>
            </w:r>
          </w:p>
        </w:tc>
        <w:tc>
          <w:tcPr>
            <w:tcW w:w="1420" w:type="dxa"/>
            <w:vAlign w:val="top"/>
          </w:tcPr>
          <w:p w14:paraId="2D416088">
            <w:pPr>
              <w:rPr>
                <w:rFonts w:ascii="Arial"/>
                <w:sz w:val="21"/>
              </w:rPr>
            </w:pPr>
          </w:p>
        </w:tc>
      </w:tr>
      <w:tr w14:paraId="6067C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83" w:type="dxa"/>
            <w:vAlign w:val="top"/>
          </w:tcPr>
          <w:p w14:paraId="41198719">
            <w:pPr>
              <w:rPr>
                <w:rFonts w:ascii="Arial"/>
                <w:sz w:val="21"/>
              </w:rPr>
            </w:pPr>
          </w:p>
        </w:tc>
        <w:tc>
          <w:tcPr>
            <w:tcW w:w="3182" w:type="dxa"/>
            <w:vMerge w:val="continue"/>
            <w:tcBorders>
              <w:top w:val="nil"/>
            </w:tcBorders>
            <w:vAlign w:val="top"/>
          </w:tcPr>
          <w:p w14:paraId="757BB891">
            <w:pPr>
              <w:rPr>
                <w:rFonts w:ascii="Arial"/>
                <w:sz w:val="21"/>
              </w:rPr>
            </w:pPr>
          </w:p>
        </w:tc>
        <w:tc>
          <w:tcPr>
            <w:tcW w:w="3682" w:type="dxa"/>
            <w:vAlign w:val="top"/>
          </w:tcPr>
          <w:p w14:paraId="3CD585E0">
            <w:pPr>
              <w:spacing w:before="104" w:line="221" w:lineRule="auto"/>
              <w:ind w:left="909"/>
              <w:rPr>
                <w:rFonts w:ascii="宋体" w:hAnsi="宋体" w:eastAsia="宋体" w:cs="宋体"/>
                <w:sz w:val="21"/>
                <w:szCs w:val="21"/>
              </w:rPr>
            </w:pPr>
            <w:r>
              <w:rPr>
                <w:rFonts w:ascii="宋体" w:hAnsi="宋体" w:eastAsia="宋体" w:cs="宋体"/>
                <w:spacing w:val="-2"/>
                <w:sz w:val="21"/>
                <w:szCs w:val="21"/>
              </w:rPr>
              <w:t>资源配置与统计系统</w:t>
            </w:r>
          </w:p>
        </w:tc>
        <w:tc>
          <w:tcPr>
            <w:tcW w:w="1420" w:type="dxa"/>
            <w:vAlign w:val="top"/>
          </w:tcPr>
          <w:p w14:paraId="573659AE">
            <w:pPr>
              <w:rPr>
                <w:rFonts w:ascii="Arial"/>
                <w:sz w:val="21"/>
              </w:rPr>
            </w:pPr>
          </w:p>
        </w:tc>
      </w:tr>
      <w:tr w14:paraId="6B695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83" w:type="dxa"/>
            <w:vAlign w:val="top"/>
          </w:tcPr>
          <w:p w14:paraId="48F76483">
            <w:pPr>
              <w:rPr>
                <w:rFonts w:ascii="Arial"/>
                <w:sz w:val="21"/>
              </w:rPr>
            </w:pPr>
          </w:p>
        </w:tc>
        <w:tc>
          <w:tcPr>
            <w:tcW w:w="3182" w:type="dxa"/>
            <w:vMerge w:val="restart"/>
            <w:tcBorders>
              <w:bottom w:val="nil"/>
            </w:tcBorders>
            <w:vAlign w:val="top"/>
          </w:tcPr>
          <w:p w14:paraId="122F6716">
            <w:pPr>
              <w:spacing w:line="309" w:lineRule="auto"/>
              <w:rPr>
                <w:rFonts w:ascii="Arial"/>
                <w:sz w:val="21"/>
              </w:rPr>
            </w:pPr>
          </w:p>
          <w:p w14:paraId="0B5F0571">
            <w:pPr>
              <w:spacing w:line="310" w:lineRule="auto"/>
              <w:rPr>
                <w:rFonts w:ascii="Arial"/>
                <w:sz w:val="21"/>
              </w:rPr>
            </w:pPr>
          </w:p>
          <w:p w14:paraId="76419786">
            <w:pPr>
              <w:spacing w:before="69" w:line="220" w:lineRule="auto"/>
              <w:ind w:left="961"/>
              <w:rPr>
                <w:rFonts w:ascii="宋体" w:hAnsi="宋体" w:eastAsia="宋体" w:cs="宋体"/>
                <w:sz w:val="21"/>
                <w:szCs w:val="21"/>
              </w:rPr>
            </w:pPr>
            <w:r>
              <w:rPr>
                <w:rFonts w:ascii="宋体" w:hAnsi="宋体" w:eastAsia="宋体" w:cs="宋体"/>
                <w:spacing w:val="-2"/>
                <w:sz w:val="21"/>
                <w:szCs w:val="21"/>
              </w:rPr>
              <w:t>放射管理系统</w:t>
            </w:r>
          </w:p>
        </w:tc>
        <w:tc>
          <w:tcPr>
            <w:tcW w:w="3682" w:type="dxa"/>
            <w:vAlign w:val="top"/>
          </w:tcPr>
          <w:p w14:paraId="7FEBF79F">
            <w:pPr>
              <w:spacing w:before="104" w:line="220" w:lineRule="auto"/>
              <w:ind w:left="1215"/>
              <w:rPr>
                <w:rFonts w:ascii="宋体" w:hAnsi="宋体" w:eastAsia="宋体" w:cs="宋体"/>
                <w:sz w:val="21"/>
                <w:szCs w:val="21"/>
              </w:rPr>
            </w:pPr>
            <w:r>
              <w:rPr>
                <w:rFonts w:ascii="宋体" w:hAnsi="宋体" w:eastAsia="宋体" w:cs="宋体"/>
                <w:spacing w:val="-2"/>
                <w:sz w:val="21"/>
                <w:szCs w:val="21"/>
              </w:rPr>
              <w:t>检查登记系统</w:t>
            </w:r>
          </w:p>
        </w:tc>
        <w:tc>
          <w:tcPr>
            <w:tcW w:w="1420" w:type="dxa"/>
            <w:vAlign w:val="top"/>
          </w:tcPr>
          <w:p w14:paraId="72D37E1D">
            <w:pPr>
              <w:rPr>
                <w:rFonts w:ascii="Arial"/>
                <w:sz w:val="21"/>
              </w:rPr>
            </w:pPr>
          </w:p>
        </w:tc>
      </w:tr>
      <w:tr w14:paraId="17326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783" w:type="dxa"/>
            <w:vAlign w:val="top"/>
          </w:tcPr>
          <w:p w14:paraId="11EBC65C">
            <w:pPr>
              <w:rPr>
                <w:rFonts w:ascii="Arial"/>
                <w:sz w:val="21"/>
              </w:rPr>
            </w:pPr>
          </w:p>
        </w:tc>
        <w:tc>
          <w:tcPr>
            <w:tcW w:w="3182" w:type="dxa"/>
            <w:vMerge w:val="continue"/>
            <w:tcBorders>
              <w:top w:val="nil"/>
              <w:bottom w:val="nil"/>
            </w:tcBorders>
            <w:vAlign w:val="top"/>
          </w:tcPr>
          <w:p w14:paraId="40DDA6F2">
            <w:pPr>
              <w:rPr>
                <w:rFonts w:ascii="Arial"/>
                <w:sz w:val="21"/>
              </w:rPr>
            </w:pPr>
          </w:p>
        </w:tc>
        <w:tc>
          <w:tcPr>
            <w:tcW w:w="3682" w:type="dxa"/>
            <w:vAlign w:val="top"/>
          </w:tcPr>
          <w:p w14:paraId="47BC224E">
            <w:pPr>
              <w:spacing w:before="66" w:line="220" w:lineRule="auto"/>
              <w:ind w:left="1216"/>
              <w:rPr>
                <w:rFonts w:ascii="宋体" w:hAnsi="宋体" w:eastAsia="宋体" w:cs="宋体"/>
                <w:sz w:val="21"/>
                <w:szCs w:val="21"/>
              </w:rPr>
            </w:pPr>
            <w:r>
              <w:rPr>
                <w:rFonts w:ascii="宋体" w:hAnsi="宋体" w:eastAsia="宋体" w:cs="宋体"/>
                <w:spacing w:val="-2"/>
                <w:sz w:val="21"/>
                <w:szCs w:val="21"/>
              </w:rPr>
              <w:t>技师管理系统</w:t>
            </w:r>
          </w:p>
        </w:tc>
        <w:tc>
          <w:tcPr>
            <w:tcW w:w="1420" w:type="dxa"/>
            <w:vAlign w:val="top"/>
          </w:tcPr>
          <w:p w14:paraId="216759FD">
            <w:pPr>
              <w:rPr>
                <w:rFonts w:ascii="Arial"/>
                <w:sz w:val="21"/>
              </w:rPr>
            </w:pPr>
          </w:p>
        </w:tc>
      </w:tr>
      <w:tr w14:paraId="30870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83" w:type="dxa"/>
            <w:vAlign w:val="top"/>
          </w:tcPr>
          <w:p w14:paraId="4B3C23FF">
            <w:pPr>
              <w:rPr>
                <w:rFonts w:ascii="Arial"/>
                <w:sz w:val="21"/>
              </w:rPr>
            </w:pPr>
          </w:p>
        </w:tc>
        <w:tc>
          <w:tcPr>
            <w:tcW w:w="3182" w:type="dxa"/>
            <w:vMerge w:val="continue"/>
            <w:tcBorders>
              <w:top w:val="nil"/>
              <w:bottom w:val="nil"/>
            </w:tcBorders>
            <w:vAlign w:val="top"/>
          </w:tcPr>
          <w:p w14:paraId="6DEEFCC9">
            <w:pPr>
              <w:rPr>
                <w:rFonts w:ascii="Arial"/>
                <w:sz w:val="21"/>
              </w:rPr>
            </w:pPr>
          </w:p>
        </w:tc>
        <w:tc>
          <w:tcPr>
            <w:tcW w:w="3682" w:type="dxa"/>
            <w:vAlign w:val="top"/>
          </w:tcPr>
          <w:p w14:paraId="72FBC8C5">
            <w:pPr>
              <w:spacing w:before="96" w:line="220" w:lineRule="auto"/>
              <w:ind w:left="1216"/>
              <w:rPr>
                <w:rFonts w:ascii="宋体" w:hAnsi="宋体" w:eastAsia="宋体" w:cs="宋体"/>
                <w:sz w:val="21"/>
                <w:szCs w:val="21"/>
              </w:rPr>
            </w:pPr>
            <w:r>
              <w:rPr>
                <w:rFonts w:ascii="宋体" w:hAnsi="宋体" w:eastAsia="宋体" w:cs="宋体"/>
                <w:spacing w:val="-2"/>
                <w:sz w:val="21"/>
                <w:szCs w:val="21"/>
              </w:rPr>
              <w:t>护士管理系统</w:t>
            </w:r>
          </w:p>
        </w:tc>
        <w:tc>
          <w:tcPr>
            <w:tcW w:w="1420" w:type="dxa"/>
            <w:vAlign w:val="top"/>
          </w:tcPr>
          <w:p w14:paraId="443AF24E">
            <w:pPr>
              <w:rPr>
                <w:rFonts w:ascii="Arial"/>
                <w:sz w:val="21"/>
              </w:rPr>
            </w:pPr>
          </w:p>
        </w:tc>
      </w:tr>
      <w:tr w14:paraId="36206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783" w:type="dxa"/>
            <w:vAlign w:val="top"/>
          </w:tcPr>
          <w:p w14:paraId="64D26517">
            <w:pPr>
              <w:rPr>
                <w:rFonts w:ascii="Arial"/>
                <w:sz w:val="21"/>
              </w:rPr>
            </w:pPr>
          </w:p>
        </w:tc>
        <w:tc>
          <w:tcPr>
            <w:tcW w:w="3182" w:type="dxa"/>
            <w:vMerge w:val="continue"/>
            <w:tcBorders>
              <w:top w:val="nil"/>
            </w:tcBorders>
            <w:vAlign w:val="top"/>
          </w:tcPr>
          <w:p w14:paraId="5E50CEE0">
            <w:pPr>
              <w:rPr>
                <w:rFonts w:ascii="Arial"/>
                <w:sz w:val="21"/>
              </w:rPr>
            </w:pPr>
          </w:p>
        </w:tc>
        <w:tc>
          <w:tcPr>
            <w:tcW w:w="3682" w:type="dxa"/>
            <w:vAlign w:val="top"/>
          </w:tcPr>
          <w:p w14:paraId="624DE641">
            <w:pPr>
              <w:spacing w:before="89" w:line="220" w:lineRule="auto"/>
              <w:ind w:left="1215"/>
              <w:rPr>
                <w:rFonts w:ascii="宋体" w:hAnsi="宋体" w:eastAsia="宋体" w:cs="宋体"/>
                <w:sz w:val="21"/>
                <w:szCs w:val="21"/>
              </w:rPr>
            </w:pPr>
            <w:r>
              <w:rPr>
                <w:rFonts w:ascii="宋体" w:hAnsi="宋体" w:eastAsia="宋体" w:cs="宋体"/>
                <w:spacing w:val="-2"/>
                <w:sz w:val="21"/>
                <w:szCs w:val="21"/>
              </w:rPr>
              <w:t>影像诊断系统</w:t>
            </w:r>
          </w:p>
        </w:tc>
        <w:tc>
          <w:tcPr>
            <w:tcW w:w="1420" w:type="dxa"/>
            <w:vAlign w:val="top"/>
          </w:tcPr>
          <w:p w14:paraId="16BE388A">
            <w:pPr>
              <w:rPr>
                <w:rFonts w:ascii="Arial"/>
                <w:sz w:val="21"/>
              </w:rPr>
            </w:pPr>
          </w:p>
        </w:tc>
      </w:tr>
      <w:tr w14:paraId="614D3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783" w:type="dxa"/>
            <w:vAlign w:val="top"/>
          </w:tcPr>
          <w:p w14:paraId="59A602DF">
            <w:pPr>
              <w:rPr>
                <w:rFonts w:ascii="Arial"/>
                <w:sz w:val="21"/>
              </w:rPr>
            </w:pPr>
          </w:p>
        </w:tc>
        <w:tc>
          <w:tcPr>
            <w:tcW w:w="3182" w:type="dxa"/>
            <w:vMerge w:val="restart"/>
            <w:tcBorders>
              <w:bottom w:val="nil"/>
            </w:tcBorders>
            <w:vAlign w:val="top"/>
          </w:tcPr>
          <w:p w14:paraId="1165C87D">
            <w:pPr>
              <w:spacing w:line="265" w:lineRule="auto"/>
              <w:rPr>
                <w:rFonts w:ascii="Arial"/>
                <w:sz w:val="21"/>
              </w:rPr>
            </w:pPr>
          </w:p>
          <w:p w14:paraId="60CA8B72">
            <w:pPr>
              <w:spacing w:before="68" w:line="220" w:lineRule="auto"/>
              <w:ind w:left="960"/>
              <w:rPr>
                <w:rFonts w:ascii="宋体" w:hAnsi="宋体" w:eastAsia="宋体" w:cs="宋体"/>
                <w:sz w:val="21"/>
                <w:szCs w:val="21"/>
              </w:rPr>
            </w:pPr>
            <w:r>
              <w:rPr>
                <w:rFonts w:ascii="宋体" w:hAnsi="宋体" w:eastAsia="宋体" w:cs="宋体"/>
                <w:spacing w:val="-2"/>
                <w:sz w:val="21"/>
                <w:szCs w:val="21"/>
              </w:rPr>
              <w:t>超声管理系统</w:t>
            </w:r>
          </w:p>
        </w:tc>
        <w:tc>
          <w:tcPr>
            <w:tcW w:w="3682" w:type="dxa"/>
            <w:vAlign w:val="top"/>
          </w:tcPr>
          <w:p w14:paraId="11A85E8F">
            <w:pPr>
              <w:spacing w:before="119" w:line="220" w:lineRule="auto"/>
              <w:ind w:left="1215"/>
              <w:rPr>
                <w:rFonts w:ascii="宋体" w:hAnsi="宋体" w:eastAsia="宋体" w:cs="宋体"/>
                <w:sz w:val="21"/>
                <w:szCs w:val="21"/>
              </w:rPr>
            </w:pPr>
            <w:r>
              <w:rPr>
                <w:rFonts w:ascii="宋体" w:hAnsi="宋体" w:eastAsia="宋体" w:cs="宋体"/>
                <w:spacing w:val="-2"/>
                <w:sz w:val="21"/>
                <w:szCs w:val="21"/>
              </w:rPr>
              <w:t>检查登记系统</w:t>
            </w:r>
          </w:p>
        </w:tc>
        <w:tc>
          <w:tcPr>
            <w:tcW w:w="1420" w:type="dxa"/>
            <w:vAlign w:val="top"/>
          </w:tcPr>
          <w:p w14:paraId="31C7B2C4">
            <w:pPr>
              <w:rPr>
                <w:rFonts w:ascii="Arial"/>
                <w:sz w:val="21"/>
              </w:rPr>
            </w:pPr>
          </w:p>
        </w:tc>
      </w:tr>
      <w:tr w14:paraId="34283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83" w:type="dxa"/>
            <w:vAlign w:val="top"/>
          </w:tcPr>
          <w:p w14:paraId="0D90D83C">
            <w:pPr>
              <w:rPr>
                <w:rFonts w:ascii="Arial"/>
                <w:sz w:val="21"/>
              </w:rPr>
            </w:pPr>
          </w:p>
        </w:tc>
        <w:tc>
          <w:tcPr>
            <w:tcW w:w="3182" w:type="dxa"/>
            <w:vMerge w:val="continue"/>
            <w:tcBorders>
              <w:top w:val="nil"/>
            </w:tcBorders>
            <w:vAlign w:val="top"/>
          </w:tcPr>
          <w:p w14:paraId="1D03B52B">
            <w:pPr>
              <w:rPr>
                <w:rFonts w:ascii="Arial"/>
                <w:sz w:val="21"/>
              </w:rPr>
            </w:pPr>
          </w:p>
        </w:tc>
        <w:tc>
          <w:tcPr>
            <w:tcW w:w="3682" w:type="dxa"/>
            <w:vAlign w:val="top"/>
          </w:tcPr>
          <w:p w14:paraId="575CE4D4">
            <w:pPr>
              <w:spacing w:before="104" w:line="220" w:lineRule="auto"/>
              <w:ind w:left="1214"/>
              <w:rPr>
                <w:rFonts w:ascii="宋体" w:hAnsi="宋体" w:eastAsia="宋体" w:cs="宋体"/>
                <w:sz w:val="21"/>
                <w:szCs w:val="21"/>
              </w:rPr>
            </w:pPr>
            <w:r>
              <w:rPr>
                <w:rFonts w:ascii="宋体" w:hAnsi="宋体" w:eastAsia="宋体" w:cs="宋体"/>
                <w:spacing w:val="-2"/>
                <w:sz w:val="21"/>
                <w:szCs w:val="21"/>
              </w:rPr>
              <w:t>超声诊断系统</w:t>
            </w:r>
          </w:p>
        </w:tc>
        <w:tc>
          <w:tcPr>
            <w:tcW w:w="1420" w:type="dxa"/>
            <w:vAlign w:val="top"/>
          </w:tcPr>
          <w:p w14:paraId="12B2BFDD">
            <w:pPr>
              <w:rPr>
                <w:rFonts w:ascii="Arial"/>
                <w:sz w:val="21"/>
              </w:rPr>
            </w:pPr>
          </w:p>
        </w:tc>
      </w:tr>
      <w:tr w14:paraId="32CB6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83" w:type="dxa"/>
            <w:vAlign w:val="top"/>
          </w:tcPr>
          <w:p w14:paraId="71901E18">
            <w:pPr>
              <w:rPr>
                <w:rFonts w:ascii="Arial"/>
                <w:sz w:val="21"/>
              </w:rPr>
            </w:pPr>
          </w:p>
        </w:tc>
        <w:tc>
          <w:tcPr>
            <w:tcW w:w="3182" w:type="dxa"/>
            <w:vMerge w:val="restart"/>
            <w:tcBorders>
              <w:bottom w:val="nil"/>
            </w:tcBorders>
            <w:vAlign w:val="top"/>
          </w:tcPr>
          <w:p w14:paraId="7CB10029">
            <w:pPr>
              <w:spacing w:line="272" w:lineRule="auto"/>
              <w:rPr>
                <w:rFonts w:ascii="Arial"/>
                <w:sz w:val="21"/>
              </w:rPr>
            </w:pPr>
          </w:p>
          <w:p w14:paraId="56830D30">
            <w:pPr>
              <w:spacing w:before="68" w:line="220" w:lineRule="auto"/>
              <w:ind w:left="987"/>
              <w:rPr>
                <w:rFonts w:ascii="宋体" w:hAnsi="宋体" w:eastAsia="宋体" w:cs="宋体"/>
                <w:sz w:val="21"/>
                <w:szCs w:val="21"/>
              </w:rPr>
            </w:pPr>
            <w:r>
              <w:rPr>
                <w:rFonts w:ascii="宋体" w:hAnsi="宋体" w:eastAsia="宋体" w:cs="宋体"/>
                <w:spacing w:val="-5"/>
                <w:sz w:val="21"/>
                <w:szCs w:val="21"/>
              </w:rPr>
              <w:t>内镜管理系统</w:t>
            </w:r>
          </w:p>
        </w:tc>
        <w:tc>
          <w:tcPr>
            <w:tcW w:w="3682" w:type="dxa"/>
            <w:vAlign w:val="top"/>
          </w:tcPr>
          <w:p w14:paraId="671AE6DC">
            <w:pPr>
              <w:spacing w:before="104" w:line="220" w:lineRule="auto"/>
              <w:ind w:left="1215"/>
              <w:rPr>
                <w:rFonts w:ascii="宋体" w:hAnsi="宋体" w:eastAsia="宋体" w:cs="宋体"/>
                <w:sz w:val="21"/>
                <w:szCs w:val="21"/>
              </w:rPr>
            </w:pPr>
            <w:r>
              <w:rPr>
                <w:rFonts w:ascii="宋体" w:hAnsi="宋体" w:eastAsia="宋体" w:cs="宋体"/>
                <w:spacing w:val="-2"/>
                <w:sz w:val="21"/>
                <w:szCs w:val="21"/>
              </w:rPr>
              <w:t>检查登记系统</w:t>
            </w:r>
          </w:p>
        </w:tc>
        <w:tc>
          <w:tcPr>
            <w:tcW w:w="1420" w:type="dxa"/>
            <w:vAlign w:val="top"/>
          </w:tcPr>
          <w:p w14:paraId="1F6BD92A">
            <w:pPr>
              <w:rPr>
                <w:rFonts w:ascii="Arial"/>
                <w:sz w:val="21"/>
              </w:rPr>
            </w:pPr>
          </w:p>
        </w:tc>
      </w:tr>
      <w:tr w14:paraId="77046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83" w:type="dxa"/>
            <w:vAlign w:val="top"/>
          </w:tcPr>
          <w:p w14:paraId="5AEEECD2">
            <w:pPr>
              <w:rPr>
                <w:rFonts w:ascii="Arial"/>
                <w:sz w:val="21"/>
              </w:rPr>
            </w:pPr>
          </w:p>
        </w:tc>
        <w:tc>
          <w:tcPr>
            <w:tcW w:w="3182" w:type="dxa"/>
            <w:vMerge w:val="continue"/>
            <w:tcBorders>
              <w:top w:val="nil"/>
            </w:tcBorders>
            <w:vAlign w:val="top"/>
          </w:tcPr>
          <w:p w14:paraId="03BB5AD9">
            <w:pPr>
              <w:rPr>
                <w:rFonts w:ascii="Arial"/>
                <w:sz w:val="21"/>
              </w:rPr>
            </w:pPr>
          </w:p>
        </w:tc>
        <w:tc>
          <w:tcPr>
            <w:tcW w:w="3682" w:type="dxa"/>
            <w:vAlign w:val="top"/>
          </w:tcPr>
          <w:p w14:paraId="688D8198">
            <w:pPr>
              <w:spacing w:before="126" w:line="220" w:lineRule="auto"/>
              <w:ind w:left="1240"/>
              <w:rPr>
                <w:rFonts w:ascii="宋体" w:hAnsi="宋体" w:eastAsia="宋体" w:cs="宋体"/>
                <w:sz w:val="21"/>
                <w:szCs w:val="21"/>
              </w:rPr>
            </w:pPr>
            <w:r>
              <w:rPr>
                <w:rFonts w:ascii="宋体" w:hAnsi="宋体" w:eastAsia="宋体" w:cs="宋体"/>
                <w:spacing w:val="-5"/>
                <w:sz w:val="21"/>
                <w:szCs w:val="21"/>
              </w:rPr>
              <w:t>内镜诊断系统</w:t>
            </w:r>
          </w:p>
        </w:tc>
        <w:tc>
          <w:tcPr>
            <w:tcW w:w="1420" w:type="dxa"/>
            <w:vAlign w:val="top"/>
          </w:tcPr>
          <w:p w14:paraId="68215257">
            <w:pPr>
              <w:rPr>
                <w:rFonts w:ascii="Arial"/>
                <w:sz w:val="21"/>
              </w:rPr>
            </w:pPr>
          </w:p>
        </w:tc>
      </w:tr>
      <w:tr w14:paraId="068FB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83" w:type="dxa"/>
            <w:vAlign w:val="top"/>
          </w:tcPr>
          <w:p w14:paraId="512B70EC">
            <w:pPr>
              <w:rPr>
                <w:rFonts w:ascii="Arial"/>
                <w:sz w:val="21"/>
              </w:rPr>
            </w:pPr>
          </w:p>
        </w:tc>
        <w:tc>
          <w:tcPr>
            <w:tcW w:w="3182" w:type="dxa"/>
            <w:vMerge w:val="restart"/>
            <w:tcBorders>
              <w:bottom w:val="nil"/>
            </w:tcBorders>
            <w:vAlign w:val="top"/>
          </w:tcPr>
          <w:p w14:paraId="50C2B93B">
            <w:pPr>
              <w:spacing w:line="305" w:lineRule="auto"/>
              <w:rPr>
                <w:rFonts w:ascii="Arial"/>
                <w:sz w:val="21"/>
              </w:rPr>
            </w:pPr>
          </w:p>
          <w:p w14:paraId="60801C9B">
            <w:pPr>
              <w:spacing w:line="306" w:lineRule="auto"/>
              <w:rPr>
                <w:rFonts w:ascii="Arial"/>
                <w:sz w:val="21"/>
              </w:rPr>
            </w:pPr>
          </w:p>
          <w:p w14:paraId="043C01A8">
            <w:pPr>
              <w:spacing w:line="306" w:lineRule="auto"/>
              <w:rPr>
                <w:rFonts w:ascii="Arial"/>
                <w:sz w:val="21"/>
              </w:rPr>
            </w:pPr>
          </w:p>
          <w:p w14:paraId="5DEED2DD">
            <w:pPr>
              <w:spacing w:before="68" w:line="220" w:lineRule="auto"/>
              <w:ind w:left="960"/>
              <w:rPr>
                <w:rFonts w:ascii="宋体" w:hAnsi="宋体" w:eastAsia="宋体" w:cs="宋体"/>
                <w:sz w:val="21"/>
                <w:szCs w:val="21"/>
              </w:rPr>
            </w:pPr>
            <w:r>
              <w:rPr>
                <w:rFonts w:ascii="宋体" w:hAnsi="宋体" w:eastAsia="宋体" w:cs="宋体"/>
                <w:spacing w:val="-2"/>
                <w:sz w:val="21"/>
                <w:szCs w:val="21"/>
              </w:rPr>
              <w:t>病理管理系统</w:t>
            </w:r>
          </w:p>
        </w:tc>
        <w:tc>
          <w:tcPr>
            <w:tcW w:w="3682" w:type="dxa"/>
            <w:vAlign w:val="top"/>
          </w:tcPr>
          <w:p w14:paraId="2646BADC">
            <w:pPr>
              <w:spacing w:before="113" w:line="221" w:lineRule="auto"/>
              <w:ind w:left="1214"/>
              <w:rPr>
                <w:rFonts w:ascii="宋体" w:hAnsi="宋体" w:eastAsia="宋体" w:cs="宋体"/>
                <w:sz w:val="21"/>
                <w:szCs w:val="21"/>
              </w:rPr>
            </w:pPr>
            <w:r>
              <w:rPr>
                <w:rFonts w:ascii="宋体" w:hAnsi="宋体" w:eastAsia="宋体" w:cs="宋体"/>
                <w:spacing w:val="-2"/>
                <w:sz w:val="21"/>
                <w:szCs w:val="21"/>
              </w:rPr>
              <w:t>病理登记系统</w:t>
            </w:r>
          </w:p>
        </w:tc>
        <w:tc>
          <w:tcPr>
            <w:tcW w:w="1420" w:type="dxa"/>
            <w:vAlign w:val="top"/>
          </w:tcPr>
          <w:p w14:paraId="4AB3DAEF">
            <w:pPr>
              <w:rPr>
                <w:rFonts w:ascii="Arial"/>
                <w:sz w:val="21"/>
              </w:rPr>
            </w:pPr>
          </w:p>
        </w:tc>
      </w:tr>
      <w:tr w14:paraId="3F525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783" w:type="dxa"/>
            <w:vAlign w:val="top"/>
          </w:tcPr>
          <w:p w14:paraId="57AFBFDE">
            <w:pPr>
              <w:rPr>
                <w:rFonts w:ascii="Arial"/>
                <w:sz w:val="21"/>
              </w:rPr>
            </w:pPr>
          </w:p>
        </w:tc>
        <w:tc>
          <w:tcPr>
            <w:tcW w:w="3182" w:type="dxa"/>
            <w:vMerge w:val="continue"/>
            <w:tcBorders>
              <w:top w:val="nil"/>
              <w:bottom w:val="nil"/>
            </w:tcBorders>
            <w:vAlign w:val="top"/>
          </w:tcPr>
          <w:p w14:paraId="73889448">
            <w:pPr>
              <w:rPr>
                <w:rFonts w:ascii="Arial"/>
                <w:sz w:val="21"/>
              </w:rPr>
            </w:pPr>
          </w:p>
        </w:tc>
        <w:tc>
          <w:tcPr>
            <w:tcW w:w="3682" w:type="dxa"/>
            <w:vAlign w:val="top"/>
          </w:tcPr>
          <w:p w14:paraId="71C9CEE0">
            <w:pPr>
              <w:spacing w:before="55" w:line="219" w:lineRule="auto"/>
              <w:ind w:left="1214"/>
              <w:rPr>
                <w:rFonts w:ascii="宋体" w:hAnsi="宋体" w:eastAsia="宋体" w:cs="宋体"/>
                <w:sz w:val="21"/>
                <w:szCs w:val="21"/>
              </w:rPr>
            </w:pPr>
            <w:r>
              <w:rPr>
                <w:rFonts w:ascii="宋体" w:hAnsi="宋体" w:eastAsia="宋体" w:cs="宋体"/>
                <w:spacing w:val="-2"/>
                <w:sz w:val="21"/>
                <w:szCs w:val="21"/>
              </w:rPr>
              <w:t>病理取材系统</w:t>
            </w:r>
          </w:p>
        </w:tc>
        <w:tc>
          <w:tcPr>
            <w:tcW w:w="1420" w:type="dxa"/>
            <w:vAlign w:val="top"/>
          </w:tcPr>
          <w:p w14:paraId="71A24304">
            <w:pPr>
              <w:rPr>
                <w:rFonts w:ascii="Arial"/>
                <w:sz w:val="21"/>
              </w:rPr>
            </w:pPr>
          </w:p>
        </w:tc>
      </w:tr>
      <w:tr w14:paraId="1CF7B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783" w:type="dxa"/>
            <w:vAlign w:val="top"/>
          </w:tcPr>
          <w:p w14:paraId="63DCF4C8">
            <w:pPr>
              <w:rPr>
                <w:rFonts w:ascii="Arial"/>
                <w:sz w:val="21"/>
              </w:rPr>
            </w:pPr>
          </w:p>
        </w:tc>
        <w:tc>
          <w:tcPr>
            <w:tcW w:w="3182" w:type="dxa"/>
            <w:vMerge w:val="continue"/>
            <w:tcBorders>
              <w:top w:val="nil"/>
              <w:bottom w:val="nil"/>
            </w:tcBorders>
            <w:vAlign w:val="top"/>
          </w:tcPr>
          <w:p w14:paraId="3A200168">
            <w:pPr>
              <w:rPr>
                <w:rFonts w:ascii="Arial"/>
                <w:sz w:val="21"/>
              </w:rPr>
            </w:pPr>
          </w:p>
        </w:tc>
        <w:tc>
          <w:tcPr>
            <w:tcW w:w="3682" w:type="dxa"/>
            <w:vAlign w:val="top"/>
          </w:tcPr>
          <w:p w14:paraId="3D8A6AC3">
            <w:pPr>
              <w:spacing w:before="83" w:line="220" w:lineRule="auto"/>
              <w:ind w:left="1214"/>
              <w:rPr>
                <w:rFonts w:ascii="宋体" w:hAnsi="宋体" w:eastAsia="宋体" w:cs="宋体"/>
                <w:sz w:val="21"/>
                <w:szCs w:val="21"/>
              </w:rPr>
            </w:pPr>
            <w:r>
              <w:rPr>
                <w:rFonts w:ascii="宋体" w:hAnsi="宋体" w:eastAsia="宋体" w:cs="宋体"/>
                <w:spacing w:val="-2"/>
                <w:sz w:val="21"/>
                <w:szCs w:val="21"/>
              </w:rPr>
              <w:t>病理制片系统</w:t>
            </w:r>
          </w:p>
        </w:tc>
        <w:tc>
          <w:tcPr>
            <w:tcW w:w="1420" w:type="dxa"/>
            <w:vAlign w:val="top"/>
          </w:tcPr>
          <w:p w14:paraId="5BE34E2E">
            <w:pPr>
              <w:rPr>
                <w:rFonts w:ascii="Arial"/>
                <w:sz w:val="21"/>
              </w:rPr>
            </w:pPr>
          </w:p>
        </w:tc>
      </w:tr>
      <w:tr w14:paraId="451BE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783" w:type="dxa"/>
            <w:vAlign w:val="top"/>
          </w:tcPr>
          <w:p w14:paraId="3C682548">
            <w:pPr>
              <w:rPr>
                <w:rFonts w:ascii="Arial"/>
                <w:sz w:val="21"/>
              </w:rPr>
            </w:pPr>
          </w:p>
        </w:tc>
        <w:tc>
          <w:tcPr>
            <w:tcW w:w="3182" w:type="dxa"/>
            <w:vMerge w:val="continue"/>
            <w:tcBorders>
              <w:top w:val="nil"/>
              <w:bottom w:val="nil"/>
            </w:tcBorders>
            <w:vAlign w:val="top"/>
          </w:tcPr>
          <w:p w14:paraId="588F0263">
            <w:pPr>
              <w:rPr>
                <w:rFonts w:ascii="Arial"/>
                <w:sz w:val="21"/>
              </w:rPr>
            </w:pPr>
          </w:p>
        </w:tc>
        <w:tc>
          <w:tcPr>
            <w:tcW w:w="3682" w:type="dxa"/>
            <w:vAlign w:val="top"/>
          </w:tcPr>
          <w:p w14:paraId="0B1F57B9">
            <w:pPr>
              <w:spacing w:before="60" w:line="220" w:lineRule="auto"/>
              <w:ind w:left="1214"/>
              <w:rPr>
                <w:rFonts w:ascii="宋体" w:hAnsi="宋体" w:eastAsia="宋体" w:cs="宋体"/>
                <w:sz w:val="21"/>
                <w:szCs w:val="21"/>
              </w:rPr>
            </w:pPr>
            <w:r>
              <w:rPr>
                <w:rFonts w:ascii="宋体" w:hAnsi="宋体" w:eastAsia="宋体" w:cs="宋体"/>
                <w:spacing w:val="-2"/>
                <w:sz w:val="21"/>
                <w:szCs w:val="21"/>
              </w:rPr>
              <w:t>病理诊断系统</w:t>
            </w:r>
          </w:p>
        </w:tc>
        <w:tc>
          <w:tcPr>
            <w:tcW w:w="1420" w:type="dxa"/>
            <w:vAlign w:val="top"/>
          </w:tcPr>
          <w:p w14:paraId="7C1A1761">
            <w:pPr>
              <w:rPr>
                <w:rFonts w:ascii="Arial"/>
                <w:sz w:val="21"/>
              </w:rPr>
            </w:pPr>
          </w:p>
        </w:tc>
      </w:tr>
      <w:tr w14:paraId="27B39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83" w:type="dxa"/>
            <w:vAlign w:val="top"/>
          </w:tcPr>
          <w:p w14:paraId="3C577681">
            <w:pPr>
              <w:rPr>
                <w:rFonts w:ascii="Arial"/>
                <w:sz w:val="21"/>
              </w:rPr>
            </w:pPr>
          </w:p>
        </w:tc>
        <w:tc>
          <w:tcPr>
            <w:tcW w:w="3182" w:type="dxa"/>
            <w:vMerge w:val="continue"/>
            <w:tcBorders>
              <w:top w:val="nil"/>
              <w:bottom w:val="nil"/>
            </w:tcBorders>
            <w:vAlign w:val="top"/>
          </w:tcPr>
          <w:p w14:paraId="7185AE6B">
            <w:pPr>
              <w:rPr>
                <w:rFonts w:ascii="Arial"/>
                <w:sz w:val="21"/>
              </w:rPr>
            </w:pPr>
          </w:p>
        </w:tc>
        <w:tc>
          <w:tcPr>
            <w:tcW w:w="3682" w:type="dxa"/>
            <w:vAlign w:val="top"/>
          </w:tcPr>
          <w:p w14:paraId="5154D8A6">
            <w:pPr>
              <w:spacing w:before="112" w:line="220" w:lineRule="auto"/>
              <w:ind w:left="1214"/>
              <w:rPr>
                <w:rFonts w:ascii="宋体" w:hAnsi="宋体" w:eastAsia="宋体" w:cs="宋体"/>
                <w:sz w:val="21"/>
                <w:szCs w:val="21"/>
              </w:rPr>
            </w:pPr>
            <w:r>
              <w:rPr>
                <w:rFonts w:ascii="宋体" w:hAnsi="宋体" w:eastAsia="宋体" w:cs="宋体"/>
                <w:spacing w:val="-2"/>
                <w:sz w:val="21"/>
                <w:szCs w:val="21"/>
              </w:rPr>
              <w:t>病理特检系统</w:t>
            </w:r>
          </w:p>
        </w:tc>
        <w:tc>
          <w:tcPr>
            <w:tcW w:w="1420" w:type="dxa"/>
            <w:vAlign w:val="top"/>
          </w:tcPr>
          <w:p w14:paraId="06E7FB9B">
            <w:pPr>
              <w:rPr>
                <w:rFonts w:ascii="Arial"/>
                <w:sz w:val="21"/>
              </w:rPr>
            </w:pPr>
          </w:p>
        </w:tc>
      </w:tr>
      <w:tr w14:paraId="0022B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783" w:type="dxa"/>
            <w:vAlign w:val="top"/>
          </w:tcPr>
          <w:p w14:paraId="5FE9EFCC">
            <w:pPr>
              <w:spacing w:line="230" w:lineRule="exact"/>
              <w:rPr>
                <w:rFonts w:ascii="Arial"/>
                <w:sz w:val="20"/>
              </w:rPr>
            </w:pPr>
          </w:p>
        </w:tc>
        <w:tc>
          <w:tcPr>
            <w:tcW w:w="3182" w:type="dxa"/>
            <w:vMerge w:val="continue"/>
            <w:tcBorders>
              <w:top w:val="nil"/>
            </w:tcBorders>
            <w:vAlign w:val="top"/>
          </w:tcPr>
          <w:p w14:paraId="01878CDF">
            <w:pPr>
              <w:rPr>
                <w:rFonts w:ascii="Arial"/>
                <w:sz w:val="21"/>
              </w:rPr>
            </w:pPr>
          </w:p>
        </w:tc>
        <w:tc>
          <w:tcPr>
            <w:tcW w:w="3682" w:type="dxa"/>
            <w:vAlign w:val="top"/>
          </w:tcPr>
          <w:p w14:paraId="2406054D">
            <w:pPr>
              <w:spacing w:before="15" w:line="189" w:lineRule="auto"/>
              <w:ind w:left="1214"/>
              <w:rPr>
                <w:rFonts w:ascii="宋体" w:hAnsi="宋体" w:eastAsia="宋体" w:cs="宋体"/>
                <w:sz w:val="21"/>
                <w:szCs w:val="21"/>
              </w:rPr>
            </w:pPr>
            <w:r>
              <w:rPr>
                <w:rFonts w:ascii="宋体" w:hAnsi="宋体" w:eastAsia="宋体" w:cs="宋体"/>
                <w:spacing w:val="-2"/>
                <w:sz w:val="21"/>
                <w:szCs w:val="21"/>
              </w:rPr>
              <w:t>病理归档系统</w:t>
            </w:r>
          </w:p>
        </w:tc>
        <w:tc>
          <w:tcPr>
            <w:tcW w:w="1420" w:type="dxa"/>
            <w:vAlign w:val="top"/>
          </w:tcPr>
          <w:p w14:paraId="125C68C3">
            <w:pPr>
              <w:spacing w:line="230" w:lineRule="exact"/>
              <w:rPr>
                <w:rFonts w:ascii="Arial"/>
                <w:sz w:val="20"/>
              </w:rPr>
            </w:pPr>
          </w:p>
        </w:tc>
      </w:tr>
      <w:tr w14:paraId="32C3E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83" w:type="dxa"/>
            <w:vAlign w:val="top"/>
          </w:tcPr>
          <w:p w14:paraId="5E33146D">
            <w:pPr>
              <w:rPr>
                <w:rFonts w:ascii="Arial"/>
                <w:sz w:val="21"/>
              </w:rPr>
            </w:pPr>
          </w:p>
        </w:tc>
        <w:tc>
          <w:tcPr>
            <w:tcW w:w="3182" w:type="dxa"/>
            <w:vMerge w:val="restart"/>
            <w:tcBorders>
              <w:bottom w:val="nil"/>
            </w:tcBorders>
            <w:vAlign w:val="top"/>
          </w:tcPr>
          <w:p w14:paraId="0E9C93CF">
            <w:pPr>
              <w:spacing w:line="277" w:lineRule="auto"/>
              <w:rPr>
                <w:rFonts w:ascii="Arial"/>
                <w:sz w:val="21"/>
              </w:rPr>
            </w:pPr>
          </w:p>
          <w:p w14:paraId="6BE76473">
            <w:pPr>
              <w:spacing w:line="277" w:lineRule="auto"/>
              <w:rPr>
                <w:rFonts w:ascii="Arial"/>
                <w:sz w:val="21"/>
              </w:rPr>
            </w:pPr>
          </w:p>
          <w:p w14:paraId="1DEC5A52">
            <w:pPr>
              <w:spacing w:line="277" w:lineRule="auto"/>
              <w:rPr>
                <w:rFonts w:ascii="Arial"/>
                <w:sz w:val="21"/>
              </w:rPr>
            </w:pPr>
          </w:p>
          <w:p w14:paraId="0300EC4F">
            <w:pPr>
              <w:spacing w:line="277" w:lineRule="auto"/>
              <w:rPr>
                <w:rFonts w:ascii="Arial"/>
                <w:sz w:val="21"/>
              </w:rPr>
            </w:pPr>
          </w:p>
          <w:p w14:paraId="1B7B50CE">
            <w:pPr>
              <w:spacing w:before="68" w:line="220" w:lineRule="auto"/>
              <w:ind w:left="961"/>
              <w:rPr>
                <w:rFonts w:ascii="宋体" w:hAnsi="宋体" w:eastAsia="宋体" w:cs="宋体"/>
                <w:sz w:val="21"/>
                <w:szCs w:val="21"/>
              </w:rPr>
            </w:pPr>
            <w:r>
              <w:rPr>
                <w:rFonts w:ascii="宋体" w:hAnsi="宋体" w:eastAsia="宋体" w:cs="宋体"/>
                <w:spacing w:val="-2"/>
                <w:sz w:val="21"/>
                <w:szCs w:val="21"/>
              </w:rPr>
              <w:t>相关系统接口</w:t>
            </w:r>
          </w:p>
        </w:tc>
        <w:tc>
          <w:tcPr>
            <w:tcW w:w="3682" w:type="dxa"/>
            <w:vAlign w:val="top"/>
          </w:tcPr>
          <w:p w14:paraId="47EFED03">
            <w:pPr>
              <w:spacing w:before="177" w:line="220" w:lineRule="auto"/>
              <w:ind w:left="1026"/>
              <w:rPr>
                <w:rFonts w:ascii="宋体" w:hAnsi="宋体" w:eastAsia="宋体" w:cs="宋体"/>
                <w:sz w:val="21"/>
                <w:szCs w:val="21"/>
              </w:rPr>
            </w:pPr>
            <w:r>
              <w:rPr>
                <w:rFonts w:ascii="宋体" w:hAnsi="宋体" w:eastAsia="宋体" w:cs="宋体"/>
                <w:spacing w:val="-2"/>
                <w:sz w:val="21"/>
                <w:szCs w:val="21"/>
              </w:rPr>
              <w:t>HIS</w:t>
            </w:r>
            <w:r>
              <w:rPr>
                <w:rFonts w:ascii="宋体" w:hAnsi="宋体" w:eastAsia="宋体" w:cs="宋体"/>
                <w:spacing w:val="-38"/>
                <w:sz w:val="21"/>
                <w:szCs w:val="21"/>
              </w:rPr>
              <w:t xml:space="preserve"> </w:t>
            </w:r>
            <w:r>
              <w:rPr>
                <w:rFonts w:ascii="宋体" w:hAnsi="宋体" w:eastAsia="宋体" w:cs="宋体"/>
                <w:spacing w:val="-2"/>
                <w:sz w:val="21"/>
                <w:szCs w:val="21"/>
              </w:rPr>
              <w:t>基础数据接口</w:t>
            </w:r>
          </w:p>
        </w:tc>
        <w:tc>
          <w:tcPr>
            <w:tcW w:w="1420" w:type="dxa"/>
            <w:vAlign w:val="top"/>
          </w:tcPr>
          <w:p w14:paraId="7A919599">
            <w:pPr>
              <w:rPr>
                <w:rFonts w:ascii="Arial"/>
                <w:sz w:val="21"/>
              </w:rPr>
            </w:pPr>
          </w:p>
        </w:tc>
      </w:tr>
      <w:tr w14:paraId="51EF7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83" w:type="dxa"/>
            <w:vAlign w:val="top"/>
          </w:tcPr>
          <w:p w14:paraId="273504B7">
            <w:pPr>
              <w:rPr>
                <w:rFonts w:ascii="Arial"/>
                <w:sz w:val="21"/>
              </w:rPr>
            </w:pPr>
          </w:p>
        </w:tc>
        <w:tc>
          <w:tcPr>
            <w:tcW w:w="3182" w:type="dxa"/>
            <w:vMerge w:val="continue"/>
            <w:tcBorders>
              <w:top w:val="nil"/>
              <w:bottom w:val="nil"/>
            </w:tcBorders>
            <w:vAlign w:val="top"/>
          </w:tcPr>
          <w:p w14:paraId="05BF8BF9">
            <w:pPr>
              <w:rPr>
                <w:rFonts w:ascii="Arial"/>
                <w:sz w:val="21"/>
              </w:rPr>
            </w:pPr>
          </w:p>
        </w:tc>
        <w:tc>
          <w:tcPr>
            <w:tcW w:w="3682" w:type="dxa"/>
            <w:vAlign w:val="top"/>
          </w:tcPr>
          <w:p w14:paraId="5FEE57CD">
            <w:pPr>
              <w:spacing w:before="98" w:line="220" w:lineRule="auto"/>
              <w:ind w:left="1131"/>
              <w:rPr>
                <w:rFonts w:ascii="宋体" w:hAnsi="宋体" w:eastAsia="宋体" w:cs="宋体"/>
                <w:sz w:val="21"/>
                <w:szCs w:val="21"/>
              </w:rPr>
            </w:pPr>
            <w:r>
              <w:rPr>
                <w:rFonts w:ascii="宋体" w:hAnsi="宋体" w:eastAsia="宋体" w:cs="宋体"/>
                <w:spacing w:val="-4"/>
                <w:sz w:val="21"/>
                <w:szCs w:val="21"/>
              </w:rPr>
              <w:t>HIS</w:t>
            </w:r>
            <w:r>
              <w:rPr>
                <w:rFonts w:ascii="宋体" w:hAnsi="宋体" w:eastAsia="宋体" w:cs="宋体"/>
                <w:spacing w:val="-18"/>
                <w:sz w:val="21"/>
                <w:szCs w:val="21"/>
              </w:rPr>
              <w:t xml:space="preserve"> </w:t>
            </w:r>
            <w:r>
              <w:rPr>
                <w:rFonts w:ascii="宋体" w:hAnsi="宋体" w:eastAsia="宋体" w:cs="宋体"/>
                <w:spacing w:val="-4"/>
                <w:sz w:val="21"/>
                <w:szCs w:val="21"/>
              </w:rPr>
              <w:t>申请单接口</w:t>
            </w:r>
          </w:p>
        </w:tc>
        <w:tc>
          <w:tcPr>
            <w:tcW w:w="1420" w:type="dxa"/>
            <w:vAlign w:val="top"/>
          </w:tcPr>
          <w:p w14:paraId="650850A7">
            <w:pPr>
              <w:rPr>
                <w:rFonts w:ascii="Arial"/>
                <w:sz w:val="21"/>
              </w:rPr>
            </w:pPr>
          </w:p>
        </w:tc>
      </w:tr>
      <w:tr w14:paraId="5B897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83" w:type="dxa"/>
            <w:vAlign w:val="top"/>
          </w:tcPr>
          <w:p w14:paraId="12DC5F7C">
            <w:pPr>
              <w:rPr>
                <w:rFonts w:ascii="Arial"/>
                <w:sz w:val="21"/>
              </w:rPr>
            </w:pPr>
          </w:p>
        </w:tc>
        <w:tc>
          <w:tcPr>
            <w:tcW w:w="3182" w:type="dxa"/>
            <w:vMerge w:val="continue"/>
            <w:tcBorders>
              <w:top w:val="nil"/>
              <w:bottom w:val="nil"/>
            </w:tcBorders>
            <w:vAlign w:val="top"/>
          </w:tcPr>
          <w:p w14:paraId="603E12BA">
            <w:pPr>
              <w:rPr>
                <w:rFonts w:ascii="Arial"/>
                <w:sz w:val="21"/>
              </w:rPr>
            </w:pPr>
          </w:p>
        </w:tc>
        <w:tc>
          <w:tcPr>
            <w:tcW w:w="3682" w:type="dxa"/>
            <w:vAlign w:val="top"/>
          </w:tcPr>
          <w:p w14:paraId="35DDB6C6">
            <w:pPr>
              <w:spacing w:before="99" w:line="220" w:lineRule="auto"/>
              <w:ind w:left="1239"/>
              <w:rPr>
                <w:rFonts w:ascii="宋体" w:hAnsi="宋体" w:eastAsia="宋体" w:cs="宋体"/>
                <w:sz w:val="21"/>
                <w:szCs w:val="21"/>
              </w:rPr>
            </w:pPr>
            <w:r>
              <w:rPr>
                <w:rFonts w:ascii="宋体" w:hAnsi="宋体" w:eastAsia="宋体" w:cs="宋体"/>
                <w:spacing w:val="-5"/>
                <w:sz w:val="21"/>
                <w:szCs w:val="21"/>
              </w:rPr>
              <w:t>电子病历接口</w:t>
            </w:r>
          </w:p>
        </w:tc>
        <w:tc>
          <w:tcPr>
            <w:tcW w:w="1420" w:type="dxa"/>
            <w:vAlign w:val="top"/>
          </w:tcPr>
          <w:p w14:paraId="12CE6452">
            <w:pPr>
              <w:rPr>
                <w:rFonts w:ascii="Arial"/>
                <w:sz w:val="21"/>
              </w:rPr>
            </w:pPr>
          </w:p>
        </w:tc>
      </w:tr>
      <w:tr w14:paraId="29646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83" w:type="dxa"/>
            <w:vAlign w:val="top"/>
          </w:tcPr>
          <w:p w14:paraId="5FAF481F">
            <w:pPr>
              <w:rPr>
                <w:rFonts w:ascii="Arial"/>
                <w:sz w:val="21"/>
              </w:rPr>
            </w:pPr>
          </w:p>
        </w:tc>
        <w:tc>
          <w:tcPr>
            <w:tcW w:w="3182" w:type="dxa"/>
            <w:vMerge w:val="continue"/>
            <w:tcBorders>
              <w:top w:val="nil"/>
              <w:bottom w:val="nil"/>
            </w:tcBorders>
            <w:vAlign w:val="top"/>
          </w:tcPr>
          <w:p w14:paraId="65A7A061">
            <w:pPr>
              <w:rPr>
                <w:rFonts w:ascii="Arial"/>
                <w:sz w:val="21"/>
              </w:rPr>
            </w:pPr>
          </w:p>
        </w:tc>
        <w:tc>
          <w:tcPr>
            <w:tcW w:w="3682" w:type="dxa"/>
            <w:vAlign w:val="top"/>
          </w:tcPr>
          <w:p w14:paraId="1FDF9822">
            <w:pPr>
              <w:spacing w:before="76" w:line="220" w:lineRule="auto"/>
              <w:ind w:left="1226"/>
              <w:rPr>
                <w:rFonts w:ascii="宋体" w:hAnsi="宋体" w:eastAsia="宋体" w:cs="宋体"/>
                <w:sz w:val="21"/>
                <w:szCs w:val="21"/>
              </w:rPr>
            </w:pPr>
            <w:r>
              <w:rPr>
                <w:rFonts w:ascii="宋体" w:hAnsi="宋体" w:eastAsia="宋体" w:cs="宋体"/>
                <w:spacing w:val="-3"/>
                <w:sz w:val="21"/>
                <w:szCs w:val="21"/>
              </w:rPr>
              <w:t>临床调阅接口</w:t>
            </w:r>
          </w:p>
        </w:tc>
        <w:tc>
          <w:tcPr>
            <w:tcW w:w="1420" w:type="dxa"/>
            <w:vAlign w:val="top"/>
          </w:tcPr>
          <w:p w14:paraId="21DAE8CB">
            <w:pPr>
              <w:rPr>
                <w:rFonts w:ascii="Arial"/>
                <w:sz w:val="21"/>
              </w:rPr>
            </w:pPr>
          </w:p>
        </w:tc>
      </w:tr>
      <w:tr w14:paraId="56D7B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783" w:type="dxa"/>
            <w:vAlign w:val="top"/>
          </w:tcPr>
          <w:p w14:paraId="66A85748">
            <w:pPr>
              <w:rPr>
                <w:rFonts w:ascii="Arial"/>
                <w:sz w:val="21"/>
              </w:rPr>
            </w:pPr>
          </w:p>
        </w:tc>
        <w:tc>
          <w:tcPr>
            <w:tcW w:w="3182" w:type="dxa"/>
            <w:vMerge w:val="continue"/>
            <w:tcBorders>
              <w:top w:val="nil"/>
              <w:bottom w:val="nil"/>
            </w:tcBorders>
            <w:vAlign w:val="top"/>
          </w:tcPr>
          <w:p w14:paraId="56D6B1C8">
            <w:pPr>
              <w:rPr>
                <w:rFonts w:ascii="Arial"/>
                <w:sz w:val="21"/>
              </w:rPr>
            </w:pPr>
          </w:p>
        </w:tc>
        <w:tc>
          <w:tcPr>
            <w:tcW w:w="3682" w:type="dxa"/>
            <w:vAlign w:val="top"/>
          </w:tcPr>
          <w:p w14:paraId="3398B82C">
            <w:pPr>
              <w:spacing w:before="83" w:line="220" w:lineRule="auto"/>
              <w:ind w:left="530"/>
              <w:rPr>
                <w:rFonts w:ascii="宋体" w:hAnsi="宋体" w:eastAsia="宋体" w:cs="宋体"/>
                <w:sz w:val="21"/>
                <w:szCs w:val="21"/>
              </w:rPr>
            </w:pPr>
            <w:r>
              <w:rPr>
                <w:rFonts w:ascii="宋体" w:hAnsi="宋体" w:eastAsia="宋体" w:cs="宋体"/>
                <w:spacing w:val="-1"/>
                <w:sz w:val="21"/>
                <w:szCs w:val="21"/>
              </w:rPr>
              <w:t>检查结果互认接口</w:t>
            </w:r>
          </w:p>
        </w:tc>
        <w:tc>
          <w:tcPr>
            <w:tcW w:w="1420" w:type="dxa"/>
            <w:vAlign w:val="top"/>
          </w:tcPr>
          <w:p w14:paraId="2601AF6D">
            <w:pPr>
              <w:rPr>
                <w:rFonts w:ascii="Arial"/>
                <w:sz w:val="21"/>
              </w:rPr>
            </w:pPr>
          </w:p>
        </w:tc>
      </w:tr>
      <w:tr w14:paraId="3D1A4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83" w:type="dxa"/>
            <w:vAlign w:val="top"/>
          </w:tcPr>
          <w:p w14:paraId="5CED2545">
            <w:pPr>
              <w:rPr>
                <w:rFonts w:ascii="Arial"/>
                <w:sz w:val="21"/>
              </w:rPr>
            </w:pPr>
          </w:p>
        </w:tc>
        <w:tc>
          <w:tcPr>
            <w:tcW w:w="3182" w:type="dxa"/>
            <w:vMerge w:val="continue"/>
            <w:tcBorders>
              <w:top w:val="nil"/>
            </w:tcBorders>
            <w:vAlign w:val="top"/>
          </w:tcPr>
          <w:p w14:paraId="552DCF5B">
            <w:pPr>
              <w:rPr>
                <w:rFonts w:ascii="Arial"/>
                <w:sz w:val="21"/>
              </w:rPr>
            </w:pPr>
          </w:p>
        </w:tc>
        <w:tc>
          <w:tcPr>
            <w:tcW w:w="3682" w:type="dxa"/>
            <w:vAlign w:val="top"/>
          </w:tcPr>
          <w:p w14:paraId="2002EE1F">
            <w:pPr>
              <w:spacing w:before="99" w:line="220" w:lineRule="auto"/>
              <w:ind w:left="741"/>
              <w:rPr>
                <w:rFonts w:ascii="宋体" w:hAnsi="宋体" w:eastAsia="宋体" w:cs="宋体"/>
                <w:sz w:val="21"/>
                <w:szCs w:val="21"/>
              </w:rPr>
            </w:pPr>
            <w:r>
              <w:rPr>
                <w:rFonts w:ascii="宋体" w:hAnsi="宋体" w:eastAsia="宋体" w:cs="宋体"/>
                <w:spacing w:val="-2"/>
                <w:sz w:val="21"/>
                <w:szCs w:val="21"/>
              </w:rPr>
              <w:t>其他系统接口</w:t>
            </w:r>
          </w:p>
        </w:tc>
        <w:tc>
          <w:tcPr>
            <w:tcW w:w="1420" w:type="dxa"/>
            <w:vAlign w:val="top"/>
          </w:tcPr>
          <w:p w14:paraId="03418E90">
            <w:pPr>
              <w:rPr>
                <w:rFonts w:ascii="Arial"/>
                <w:sz w:val="21"/>
              </w:rPr>
            </w:pPr>
          </w:p>
        </w:tc>
      </w:tr>
      <w:tr w14:paraId="702E3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83" w:type="dxa"/>
            <w:vAlign w:val="top"/>
          </w:tcPr>
          <w:p w14:paraId="0D5C445F">
            <w:pPr>
              <w:rPr>
                <w:rFonts w:ascii="Arial"/>
                <w:sz w:val="21"/>
              </w:rPr>
            </w:pPr>
          </w:p>
        </w:tc>
        <w:tc>
          <w:tcPr>
            <w:tcW w:w="3182" w:type="dxa"/>
            <w:vAlign w:val="top"/>
          </w:tcPr>
          <w:p w14:paraId="6BC30103">
            <w:pPr>
              <w:spacing w:before="121" w:line="220" w:lineRule="auto"/>
              <w:ind w:left="650"/>
              <w:rPr>
                <w:rFonts w:ascii="宋体" w:hAnsi="宋体" w:eastAsia="宋体" w:cs="宋体"/>
                <w:sz w:val="21"/>
                <w:szCs w:val="21"/>
              </w:rPr>
            </w:pPr>
            <w:r>
              <w:rPr>
                <w:rFonts w:ascii="宋体" w:hAnsi="宋体" w:eastAsia="宋体" w:cs="宋体"/>
                <w:spacing w:val="-2"/>
                <w:sz w:val="21"/>
                <w:szCs w:val="21"/>
              </w:rPr>
              <w:t>互联网移动影像系统</w:t>
            </w:r>
          </w:p>
        </w:tc>
        <w:tc>
          <w:tcPr>
            <w:tcW w:w="3682" w:type="dxa"/>
            <w:vAlign w:val="top"/>
          </w:tcPr>
          <w:p w14:paraId="4BCC0C56">
            <w:pPr>
              <w:spacing w:before="121" w:line="220" w:lineRule="auto"/>
              <w:ind w:left="1006"/>
              <w:rPr>
                <w:rFonts w:ascii="宋体" w:hAnsi="宋体" w:eastAsia="宋体" w:cs="宋体"/>
                <w:sz w:val="21"/>
                <w:szCs w:val="21"/>
              </w:rPr>
            </w:pPr>
            <w:r>
              <w:rPr>
                <w:rFonts w:ascii="宋体" w:hAnsi="宋体" w:eastAsia="宋体" w:cs="宋体"/>
                <w:spacing w:val="-1"/>
                <w:sz w:val="21"/>
                <w:szCs w:val="21"/>
              </w:rPr>
              <w:t>移动影像办公系统</w:t>
            </w:r>
          </w:p>
        </w:tc>
        <w:tc>
          <w:tcPr>
            <w:tcW w:w="1420" w:type="dxa"/>
            <w:vAlign w:val="top"/>
          </w:tcPr>
          <w:p w14:paraId="5F35A3AD">
            <w:pPr>
              <w:rPr>
                <w:rFonts w:ascii="Arial"/>
                <w:sz w:val="21"/>
              </w:rPr>
            </w:pPr>
          </w:p>
        </w:tc>
      </w:tr>
    </w:tbl>
    <w:p w14:paraId="5BBB6BD0">
      <w:pPr>
        <w:pStyle w:val="2"/>
        <w:spacing w:line="332" w:lineRule="auto"/>
      </w:pPr>
    </w:p>
    <w:p w14:paraId="42DA3D76">
      <w:pPr>
        <w:pStyle w:val="2"/>
        <w:spacing w:line="332" w:lineRule="auto"/>
      </w:pPr>
    </w:p>
    <w:p w14:paraId="077CE058">
      <w:pPr>
        <w:spacing w:before="62" w:line="209" w:lineRule="auto"/>
        <w:ind w:left="222"/>
        <w:rPr>
          <w:rFonts w:ascii="宋体" w:hAnsi="宋体" w:eastAsia="宋体" w:cs="宋体"/>
          <w:sz w:val="19"/>
          <w:szCs w:val="19"/>
        </w:rPr>
      </w:pPr>
      <w:r>
        <w:pict>
          <v:shape id="_x0000_s1064" o:spid="_x0000_s1064" style="position:absolute;left:0pt;margin-left:5.65pt;margin-top:11.85pt;height:0.75pt;width:494pt;z-index:251709440;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2"/>
          <w:position w:val="1"/>
          <w:sz w:val="18"/>
          <w:szCs w:val="18"/>
        </w:rPr>
        <w:t xml:space="preserve">44                          </w:t>
      </w:r>
      <w:r>
        <w:rPr>
          <w:rFonts w:ascii="Times New Roman" w:hAnsi="Times New Roman" w:eastAsia="Times New Roman" w:cs="Times New Roman"/>
          <w:spacing w:val="-3"/>
          <w:position w:val="1"/>
          <w:sz w:val="18"/>
          <w:szCs w:val="18"/>
        </w:rPr>
        <w:t xml:space="preserve">     </w:t>
      </w:r>
      <w:r>
        <w:rPr>
          <w:rFonts w:ascii="宋体" w:hAnsi="宋体" w:eastAsia="宋体" w:cs="宋体"/>
          <w:b/>
          <w:bCs/>
          <w:i/>
          <w:iCs/>
          <w:spacing w:val="-3"/>
          <w:sz w:val="19"/>
          <w:szCs w:val="19"/>
        </w:rPr>
        <w:t>伊犁州公共资源交易中心</w:t>
      </w:r>
    </w:p>
    <w:p w14:paraId="01DFB824">
      <w:pPr>
        <w:spacing w:line="209" w:lineRule="auto"/>
        <w:rPr>
          <w:rFonts w:ascii="宋体" w:hAnsi="宋体" w:eastAsia="宋体" w:cs="宋体"/>
          <w:sz w:val="19"/>
          <w:szCs w:val="19"/>
        </w:rPr>
        <w:sectPr>
          <w:headerReference r:id="rId26" w:type="default"/>
          <w:pgSz w:w="11905" w:h="16839"/>
          <w:pgMar w:top="1136" w:right="830" w:bottom="400" w:left="1052" w:header="854" w:footer="0" w:gutter="0"/>
          <w:cols w:space="720" w:num="1"/>
        </w:sectPr>
      </w:pPr>
    </w:p>
    <w:p w14:paraId="7AF485AB">
      <w:pPr>
        <w:spacing w:before="38"/>
      </w:pPr>
    </w:p>
    <w:tbl>
      <w:tblPr>
        <w:tblStyle w:val="5"/>
        <w:tblW w:w="90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3182"/>
        <w:gridCol w:w="3682"/>
        <w:gridCol w:w="1420"/>
      </w:tblGrid>
      <w:tr w14:paraId="09F6B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3" w:type="dxa"/>
            <w:vAlign w:val="top"/>
          </w:tcPr>
          <w:p w14:paraId="4B45E8AE">
            <w:pPr>
              <w:rPr>
                <w:rFonts w:ascii="Arial"/>
                <w:sz w:val="21"/>
              </w:rPr>
            </w:pPr>
          </w:p>
        </w:tc>
        <w:tc>
          <w:tcPr>
            <w:tcW w:w="3182" w:type="dxa"/>
            <w:vAlign w:val="top"/>
          </w:tcPr>
          <w:p w14:paraId="4117AA11">
            <w:pPr>
              <w:rPr>
                <w:rFonts w:ascii="Arial"/>
                <w:sz w:val="21"/>
              </w:rPr>
            </w:pPr>
          </w:p>
        </w:tc>
        <w:tc>
          <w:tcPr>
            <w:tcW w:w="3682" w:type="dxa"/>
            <w:vAlign w:val="top"/>
          </w:tcPr>
          <w:p w14:paraId="19088049">
            <w:pPr>
              <w:spacing w:before="109" w:line="220" w:lineRule="auto"/>
              <w:ind w:left="1239"/>
              <w:rPr>
                <w:rFonts w:ascii="宋体" w:hAnsi="宋体" w:eastAsia="宋体" w:cs="宋体"/>
                <w:sz w:val="21"/>
                <w:szCs w:val="21"/>
              </w:rPr>
            </w:pPr>
            <w:r>
              <w:rPr>
                <w:rFonts w:ascii="宋体" w:hAnsi="宋体" w:eastAsia="宋体" w:cs="宋体"/>
                <w:spacing w:val="-5"/>
                <w:sz w:val="21"/>
                <w:szCs w:val="21"/>
              </w:rPr>
              <w:t>电子胶片系统</w:t>
            </w:r>
          </w:p>
        </w:tc>
        <w:tc>
          <w:tcPr>
            <w:tcW w:w="1420" w:type="dxa"/>
            <w:vAlign w:val="top"/>
          </w:tcPr>
          <w:p w14:paraId="590F4F78">
            <w:pPr>
              <w:rPr>
                <w:rFonts w:ascii="Arial"/>
                <w:sz w:val="21"/>
              </w:rPr>
            </w:pPr>
          </w:p>
        </w:tc>
      </w:tr>
      <w:tr w14:paraId="6F1A6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83" w:type="dxa"/>
            <w:vAlign w:val="top"/>
          </w:tcPr>
          <w:p w14:paraId="7C5D4451">
            <w:pPr>
              <w:rPr>
                <w:rFonts w:ascii="Arial"/>
                <w:sz w:val="21"/>
              </w:rPr>
            </w:pPr>
          </w:p>
        </w:tc>
        <w:tc>
          <w:tcPr>
            <w:tcW w:w="3182" w:type="dxa"/>
            <w:vAlign w:val="top"/>
          </w:tcPr>
          <w:p w14:paraId="718FC508">
            <w:pPr>
              <w:spacing w:before="111" w:line="220" w:lineRule="auto"/>
              <w:ind w:left="964"/>
              <w:rPr>
                <w:rFonts w:ascii="宋体" w:hAnsi="宋体" w:eastAsia="宋体" w:cs="宋体"/>
                <w:sz w:val="21"/>
                <w:szCs w:val="21"/>
              </w:rPr>
            </w:pPr>
            <w:r>
              <w:rPr>
                <w:rFonts w:ascii="宋体" w:hAnsi="宋体" w:eastAsia="宋体" w:cs="宋体"/>
                <w:spacing w:val="-2"/>
                <w:sz w:val="21"/>
                <w:szCs w:val="21"/>
              </w:rPr>
              <w:t>历史数据迁移</w:t>
            </w:r>
          </w:p>
        </w:tc>
        <w:tc>
          <w:tcPr>
            <w:tcW w:w="3682" w:type="dxa"/>
            <w:vAlign w:val="top"/>
          </w:tcPr>
          <w:p w14:paraId="5C90523D">
            <w:pPr>
              <w:spacing w:before="111" w:line="220" w:lineRule="auto"/>
              <w:ind w:left="1217"/>
              <w:rPr>
                <w:rFonts w:ascii="宋体" w:hAnsi="宋体" w:eastAsia="宋体" w:cs="宋体"/>
                <w:sz w:val="21"/>
                <w:szCs w:val="21"/>
              </w:rPr>
            </w:pPr>
            <w:r>
              <w:rPr>
                <w:rFonts w:ascii="宋体" w:hAnsi="宋体" w:eastAsia="宋体" w:cs="宋体"/>
                <w:spacing w:val="-2"/>
                <w:sz w:val="21"/>
                <w:szCs w:val="21"/>
              </w:rPr>
              <w:t>历史数据迁移</w:t>
            </w:r>
          </w:p>
        </w:tc>
        <w:tc>
          <w:tcPr>
            <w:tcW w:w="1420" w:type="dxa"/>
            <w:vAlign w:val="top"/>
          </w:tcPr>
          <w:p w14:paraId="5C1124B2">
            <w:pPr>
              <w:rPr>
                <w:rFonts w:ascii="Arial"/>
                <w:sz w:val="21"/>
              </w:rPr>
            </w:pPr>
          </w:p>
        </w:tc>
      </w:tr>
      <w:tr w14:paraId="047A5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83" w:type="dxa"/>
            <w:vAlign w:val="top"/>
          </w:tcPr>
          <w:p w14:paraId="41AF55C4">
            <w:pPr>
              <w:rPr>
                <w:rFonts w:ascii="Arial"/>
                <w:sz w:val="21"/>
              </w:rPr>
            </w:pPr>
          </w:p>
        </w:tc>
        <w:tc>
          <w:tcPr>
            <w:tcW w:w="3182" w:type="dxa"/>
            <w:vAlign w:val="top"/>
          </w:tcPr>
          <w:p w14:paraId="4FD15ADC">
            <w:pPr>
              <w:spacing w:before="72" w:line="219" w:lineRule="auto"/>
              <w:ind w:left="646"/>
              <w:rPr>
                <w:rFonts w:ascii="宋体" w:hAnsi="宋体" w:eastAsia="宋体" w:cs="宋体"/>
                <w:sz w:val="21"/>
                <w:szCs w:val="21"/>
              </w:rPr>
            </w:pPr>
            <w:r>
              <w:rPr>
                <w:rFonts w:ascii="宋体" w:hAnsi="宋体" w:eastAsia="宋体" w:cs="宋体"/>
                <w:spacing w:val="-1"/>
                <w:sz w:val="21"/>
                <w:szCs w:val="21"/>
              </w:rPr>
              <w:t>影像诊断工作站主机</w:t>
            </w:r>
          </w:p>
        </w:tc>
        <w:tc>
          <w:tcPr>
            <w:tcW w:w="3682" w:type="dxa"/>
            <w:vAlign w:val="top"/>
          </w:tcPr>
          <w:p w14:paraId="51A02F47">
            <w:pPr>
              <w:spacing w:before="72" w:line="220" w:lineRule="auto"/>
              <w:ind w:left="1295"/>
              <w:rPr>
                <w:rFonts w:ascii="宋体" w:hAnsi="宋体" w:eastAsia="宋体" w:cs="宋体"/>
                <w:sz w:val="21"/>
                <w:szCs w:val="21"/>
              </w:rPr>
            </w:pPr>
            <w:r>
              <w:rPr>
                <w:rFonts w:ascii="宋体" w:hAnsi="宋体" w:eastAsia="宋体" w:cs="宋体"/>
                <w:spacing w:val="-2"/>
                <w:sz w:val="21"/>
                <w:szCs w:val="21"/>
              </w:rPr>
              <w:t>数量：15</w:t>
            </w:r>
            <w:r>
              <w:rPr>
                <w:rFonts w:ascii="宋体" w:hAnsi="宋体" w:eastAsia="宋体" w:cs="宋体"/>
                <w:spacing w:val="-27"/>
                <w:sz w:val="21"/>
                <w:szCs w:val="21"/>
              </w:rPr>
              <w:t xml:space="preserve"> </w:t>
            </w:r>
            <w:r>
              <w:rPr>
                <w:rFonts w:ascii="宋体" w:hAnsi="宋体" w:eastAsia="宋体" w:cs="宋体"/>
                <w:spacing w:val="-2"/>
                <w:sz w:val="21"/>
                <w:szCs w:val="21"/>
              </w:rPr>
              <w:t>台</w:t>
            </w:r>
          </w:p>
        </w:tc>
        <w:tc>
          <w:tcPr>
            <w:tcW w:w="1420" w:type="dxa"/>
            <w:vAlign w:val="top"/>
          </w:tcPr>
          <w:p w14:paraId="6B79A819">
            <w:pPr>
              <w:rPr>
                <w:rFonts w:ascii="Arial"/>
                <w:sz w:val="21"/>
              </w:rPr>
            </w:pPr>
          </w:p>
        </w:tc>
      </w:tr>
    </w:tbl>
    <w:p w14:paraId="547AC834">
      <w:pPr>
        <w:spacing w:before="141" w:line="187" w:lineRule="auto"/>
        <w:ind w:left="122"/>
        <w:rPr>
          <w:rFonts w:ascii="微软雅黑" w:hAnsi="微软雅黑" w:eastAsia="微软雅黑" w:cs="微软雅黑"/>
          <w:sz w:val="32"/>
          <w:szCs w:val="32"/>
        </w:rPr>
      </w:pPr>
      <w:r>
        <w:rPr>
          <w:rFonts w:ascii="微软雅黑" w:hAnsi="微软雅黑" w:eastAsia="微软雅黑" w:cs="微软雅黑"/>
          <w:spacing w:val="-6"/>
          <w:sz w:val="32"/>
          <w:szCs w:val="32"/>
        </w:rPr>
        <w:t>2、功能说明</w:t>
      </w:r>
    </w:p>
    <w:p w14:paraId="1A0EBB6E">
      <w:pPr>
        <w:spacing w:before="167" w:line="223" w:lineRule="auto"/>
        <w:ind w:left="122"/>
        <w:rPr>
          <w:rFonts w:ascii="楷体" w:hAnsi="楷体" w:eastAsia="楷体" w:cs="楷体"/>
          <w:sz w:val="32"/>
          <w:szCs w:val="32"/>
        </w:rPr>
      </w:pPr>
      <w:r>
        <w:rPr>
          <w:rFonts w:ascii="楷体" w:hAnsi="楷体" w:eastAsia="楷体" w:cs="楷体"/>
          <w:spacing w:val="-6"/>
          <w:sz w:val="32"/>
          <w:szCs w:val="32"/>
        </w:rPr>
        <w:t>2.1</w:t>
      </w:r>
      <w:r>
        <w:rPr>
          <w:rFonts w:ascii="楷体" w:hAnsi="楷体" w:eastAsia="楷体" w:cs="楷体"/>
          <w:spacing w:val="-29"/>
          <w:sz w:val="32"/>
          <w:szCs w:val="32"/>
        </w:rPr>
        <w:t xml:space="preserve"> </w:t>
      </w:r>
      <w:r>
        <w:rPr>
          <w:rFonts w:ascii="楷体" w:hAnsi="楷体" w:eastAsia="楷体" w:cs="楷体"/>
          <w:spacing w:val="-6"/>
          <w:sz w:val="32"/>
          <w:szCs w:val="32"/>
        </w:rPr>
        <w:t>中心服务系统</w:t>
      </w:r>
    </w:p>
    <w:p w14:paraId="09947514">
      <w:pPr>
        <w:pStyle w:val="2"/>
        <w:spacing w:line="290" w:lineRule="auto"/>
      </w:pPr>
    </w:p>
    <w:p w14:paraId="7605299B">
      <w:pPr>
        <w:spacing w:before="78" w:line="217" w:lineRule="auto"/>
        <w:ind w:left="131"/>
        <w:rPr>
          <w:rFonts w:ascii="仿宋" w:hAnsi="仿宋" w:eastAsia="仿宋" w:cs="仿宋"/>
          <w:sz w:val="24"/>
          <w:szCs w:val="24"/>
        </w:rPr>
      </w:pPr>
      <w:r>
        <w:rPr>
          <w:rFonts w:ascii="仿宋" w:hAnsi="仿宋" w:eastAsia="仿宋" w:cs="仿宋"/>
          <w:b/>
          <w:bCs/>
          <w:spacing w:val="-5"/>
          <w:sz w:val="24"/>
          <w:szCs w:val="24"/>
        </w:rPr>
        <w:t>2.1.1</w:t>
      </w:r>
      <w:r>
        <w:rPr>
          <w:rFonts w:ascii="仿宋" w:hAnsi="仿宋" w:eastAsia="仿宋" w:cs="仿宋"/>
          <w:spacing w:val="-52"/>
          <w:sz w:val="24"/>
          <w:szCs w:val="24"/>
        </w:rPr>
        <w:t xml:space="preserve"> </w:t>
      </w:r>
      <w:r>
        <w:rPr>
          <w:rFonts w:ascii="仿宋" w:hAnsi="仿宋" w:eastAsia="仿宋" w:cs="仿宋"/>
          <w:b/>
          <w:bCs/>
          <w:spacing w:val="-5"/>
          <w:sz w:val="24"/>
          <w:szCs w:val="24"/>
        </w:rPr>
        <w:t>核心管理系统</w:t>
      </w:r>
    </w:p>
    <w:p w14:paraId="19FCF975">
      <w:pPr>
        <w:pStyle w:val="2"/>
        <w:spacing w:line="352" w:lineRule="auto"/>
      </w:pPr>
    </w:p>
    <w:p w14:paraId="0BB354AE">
      <w:pPr>
        <w:spacing w:before="78" w:line="445" w:lineRule="auto"/>
        <w:ind w:left="124" w:right="85" w:firstLine="495"/>
        <w:rPr>
          <w:rFonts w:ascii="宋体" w:hAnsi="宋体" w:eastAsia="宋体" w:cs="宋体"/>
          <w:sz w:val="24"/>
          <w:szCs w:val="24"/>
        </w:rPr>
      </w:pPr>
      <w:r>
        <w:rPr>
          <w:rFonts w:ascii="宋体" w:hAnsi="宋体" w:eastAsia="宋体" w:cs="宋体"/>
          <w:sz w:val="24"/>
          <w:szCs w:val="24"/>
        </w:rPr>
        <w:t>1.支持有效的管理和利用医学图像资源，支持对全院医学图像的存储、传输、检索、显示</w:t>
      </w:r>
      <w:r>
        <w:rPr>
          <w:rFonts w:ascii="宋体" w:hAnsi="宋体" w:eastAsia="宋体" w:cs="宋体"/>
          <w:spacing w:val="11"/>
          <w:sz w:val="24"/>
          <w:szCs w:val="24"/>
        </w:rPr>
        <w:t xml:space="preserve"> </w:t>
      </w:r>
      <w:r>
        <w:rPr>
          <w:rFonts w:ascii="宋体" w:hAnsi="宋体" w:eastAsia="宋体" w:cs="宋体"/>
          <w:spacing w:val="-9"/>
          <w:sz w:val="24"/>
          <w:szCs w:val="24"/>
        </w:rPr>
        <w:t>等功能。</w:t>
      </w:r>
    </w:p>
    <w:p w14:paraId="26EEA7D3">
      <w:pPr>
        <w:spacing w:before="34" w:line="445" w:lineRule="auto"/>
        <w:ind w:left="121" w:right="85" w:firstLine="483"/>
        <w:rPr>
          <w:rFonts w:ascii="宋体" w:hAnsi="宋体" w:eastAsia="宋体" w:cs="宋体"/>
          <w:sz w:val="24"/>
          <w:szCs w:val="24"/>
        </w:rPr>
      </w:pPr>
      <w:r>
        <w:rPr>
          <w:rFonts w:ascii="宋体" w:hAnsi="宋体" w:eastAsia="宋体" w:cs="宋体"/>
          <w:sz w:val="24"/>
          <w:szCs w:val="24"/>
        </w:rPr>
        <w:t>2.支持</w:t>
      </w:r>
      <w:r>
        <w:rPr>
          <w:rFonts w:ascii="宋体" w:hAnsi="宋体" w:eastAsia="宋体" w:cs="宋体"/>
          <w:spacing w:val="-53"/>
          <w:sz w:val="24"/>
          <w:szCs w:val="24"/>
        </w:rPr>
        <w:t xml:space="preserve"> </w:t>
      </w:r>
      <w:r>
        <w:rPr>
          <w:rFonts w:ascii="宋体" w:hAnsi="宋体" w:eastAsia="宋体" w:cs="宋体"/>
          <w:sz w:val="24"/>
          <w:szCs w:val="24"/>
        </w:rPr>
        <w:t>PACS/RIS</w:t>
      </w:r>
      <w:r>
        <w:rPr>
          <w:rFonts w:ascii="宋体" w:hAnsi="宋体" w:eastAsia="宋体" w:cs="宋体"/>
          <w:spacing w:val="-51"/>
          <w:sz w:val="24"/>
          <w:szCs w:val="24"/>
        </w:rPr>
        <w:t xml:space="preserve"> </w:t>
      </w:r>
      <w:r>
        <w:rPr>
          <w:rFonts w:ascii="宋体" w:hAnsi="宋体" w:eastAsia="宋体" w:cs="宋体"/>
          <w:sz w:val="24"/>
          <w:szCs w:val="24"/>
        </w:rPr>
        <w:t>遵循</w:t>
      </w:r>
      <w:r>
        <w:rPr>
          <w:rFonts w:ascii="宋体" w:hAnsi="宋体" w:eastAsia="宋体" w:cs="宋体"/>
          <w:spacing w:val="-53"/>
          <w:sz w:val="24"/>
          <w:szCs w:val="24"/>
        </w:rPr>
        <w:t xml:space="preserve"> </w:t>
      </w:r>
      <w:r>
        <w:rPr>
          <w:rFonts w:ascii="宋体" w:hAnsi="宋体" w:eastAsia="宋体" w:cs="宋体"/>
          <w:sz w:val="24"/>
          <w:szCs w:val="24"/>
        </w:rPr>
        <w:t>DICOM3.</w:t>
      </w:r>
      <w:r>
        <w:rPr>
          <w:rFonts w:ascii="宋体" w:hAnsi="宋体" w:eastAsia="宋体" w:cs="宋体"/>
          <w:spacing w:val="-1"/>
          <w:sz w:val="24"/>
          <w:szCs w:val="24"/>
        </w:rPr>
        <w:t>0</w:t>
      </w:r>
      <w:r>
        <w:rPr>
          <w:rFonts w:ascii="宋体" w:hAnsi="宋体" w:eastAsia="宋体" w:cs="宋体"/>
          <w:spacing w:val="-47"/>
          <w:sz w:val="24"/>
          <w:szCs w:val="24"/>
        </w:rPr>
        <w:t xml:space="preserve"> </w:t>
      </w:r>
      <w:r>
        <w:rPr>
          <w:rFonts w:ascii="宋体" w:hAnsi="宋体" w:eastAsia="宋体" w:cs="宋体"/>
          <w:spacing w:val="-1"/>
          <w:sz w:val="24"/>
          <w:szCs w:val="24"/>
        </w:rPr>
        <w:t>或更新的标准设计，对符合</w:t>
      </w:r>
      <w:r>
        <w:rPr>
          <w:rFonts w:ascii="宋体" w:hAnsi="宋体" w:eastAsia="宋体" w:cs="宋体"/>
          <w:spacing w:val="-53"/>
          <w:sz w:val="24"/>
          <w:szCs w:val="24"/>
        </w:rPr>
        <w:t xml:space="preserve"> </w:t>
      </w:r>
      <w:r>
        <w:rPr>
          <w:rFonts w:ascii="宋体" w:hAnsi="宋体" w:eastAsia="宋体" w:cs="宋体"/>
          <w:spacing w:val="-1"/>
          <w:sz w:val="24"/>
          <w:szCs w:val="24"/>
        </w:rPr>
        <w:t>DICOM</w:t>
      </w:r>
      <w:r>
        <w:rPr>
          <w:rFonts w:ascii="宋体" w:hAnsi="宋体" w:eastAsia="宋体" w:cs="宋体"/>
          <w:spacing w:val="-49"/>
          <w:sz w:val="24"/>
          <w:szCs w:val="24"/>
        </w:rPr>
        <w:t xml:space="preserve"> </w:t>
      </w:r>
      <w:r>
        <w:rPr>
          <w:rFonts w:ascii="宋体" w:hAnsi="宋体" w:eastAsia="宋体" w:cs="宋体"/>
          <w:spacing w:val="-1"/>
          <w:sz w:val="24"/>
          <w:szCs w:val="24"/>
        </w:rPr>
        <w:t>标准的医学影像进行数</w:t>
      </w:r>
      <w:r>
        <w:rPr>
          <w:rFonts w:ascii="宋体" w:hAnsi="宋体" w:eastAsia="宋体" w:cs="宋体"/>
          <w:sz w:val="24"/>
          <w:szCs w:val="24"/>
        </w:rPr>
        <w:t xml:space="preserve"> </w:t>
      </w:r>
      <w:r>
        <w:rPr>
          <w:rFonts w:ascii="宋体" w:hAnsi="宋体" w:eastAsia="宋体" w:cs="宋体"/>
          <w:spacing w:val="-2"/>
          <w:sz w:val="24"/>
          <w:szCs w:val="24"/>
        </w:rPr>
        <w:t>据的标准化通讯、查询、显示、存储、处理、管理以及数据传输。</w:t>
      </w:r>
    </w:p>
    <w:p w14:paraId="43C8B4A7">
      <w:pPr>
        <w:spacing w:before="35" w:line="219" w:lineRule="auto"/>
        <w:jc w:val="right"/>
        <w:rPr>
          <w:rFonts w:ascii="宋体" w:hAnsi="宋体" w:eastAsia="宋体" w:cs="宋体"/>
          <w:sz w:val="24"/>
          <w:szCs w:val="24"/>
        </w:rPr>
      </w:pPr>
      <w:r>
        <w:rPr>
          <w:rFonts w:ascii="宋体" w:hAnsi="宋体" w:eastAsia="宋体" w:cs="宋体"/>
          <w:spacing w:val="-3"/>
          <w:sz w:val="24"/>
          <w:szCs w:val="24"/>
        </w:rPr>
        <w:t>3.支持提供标准视图</w:t>
      </w:r>
      <w:r>
        <w:rPr>
          <w:rFonts w:ascii="宋体" w:hAnsi="宋体" w:eastAsia="宋体" w:cs="宋体"/>
          <w:spacing w:val="-57"/>
          <w:sz w:val="24"/>
          <w:szCs w:val="24"/>
        </w:rPr>
        <w:t xml:space="preserve"> </w:t>
      </w:r>
      <w:r>
        <w:rPr>
          <w:rFonts w:ascii="宋体" w:hAnsi="宋体" w:eastAsia="宋体" w:cs="宋体"/>
          <w:spacing w:val="-3"/>
          <w:sz w:val="24"/>
          <w:szCs w:val="24"/>
        </w:rPr>
        <w:t>HL7、WebService</w:t>
      </w:r>
      <w:r>
        <w:rPr>
          <w:rFonts w:ascii="宋体" w:hAnsi="宋体" w:eastAsia="宋体" w:cs="宋体"/>
          <w:spacing w:val="-48"/>
          <w:sz w:val="24"/>
          <w:szCs w:val="24"/>
        </w:rPr>
        <w:t xml:space="preserve"> </w:t>
      </w:r>
      <w:r>
        <w:rPr>
          <w:rFonts w:ascii="宋体" w:hAnsi="宋体" w:eastAsia="宋体" w:cs="宋体"/>
          <w:spacing w:val="-3"/>
          <w:sz w:val="24"/>
          <w:szCs w:val="24"/>
        </w:rPr>
        <w:t>等多种接口模式完成与未来院内其它信息系</w:t>
      </w:r>
      <w:r>
        <w:rPr>
          <w:rFonts w:ascii="宋体" w:hAnsi="宋体" w:eastAsia="宋体" w:cs="宋体"/>
          <w:spacing w:val="-4"/>
          <w:sz w:val="24"/>
          <w:szCs w:val="24"/>
        </w:rPr>
        <w:t>统对接。</w:t>
      </w:r>
    </w:p>
    <w:p w14:paraId="0A4E7745">
      <w:pPr>
        <w:spacing w:before="312" w:line="445" w:lineRule="auto"/>
        <w:ind w:left="606" w:right="4600" w:hanging="5"/>
        <w:rPr>
          <w:rFonts w:ascii="宋体" w:hAnsi="宋体" w:eastAsia="宋体" w:cs="宋体"/>
          <w:sz w:val="24"/>
          <w:szCs w:val="24"/>
        </w:rPr>
      </w:pPr>
      <w:r>
        <w:rPr>
          <w:rFonts w:ascii="宋体" w:hAnsi="宋体" w:eastAsia="宋体" w:cs="宋体"/>
          <w:spacing w:val="-2"/>
          <w:sz w:val="24"/>
          <w:szCs w:val="24"/>
        </w:rPr>
        <w:t>4.支持</w:t>
      </w:r>
      <w:r>
        <w:rPr>
          <w:rFonts w:ascii="宋体" w:hAnsi="宋体" w:eastAsia="宋体" w:cs="宋体"/>
          <w:spacing w:val="-52"/>
          <w:sz w:val="24"/>
          <w:szCs w:val="24"/>
        </w:rPr>
        <w:t xml:space="preserve"> </w:t>
      </w:r>
      <w:r>
        <w:rPr>
          <w:rFonts w:ascii="宋体" w:hAnsi="宋体" w:eastAsia="宋体" w:cs="宋体"/>
          <w:spacing w:val="-2"/>
          <w:sz w:val="24"/>
          <w:szCs w:val="24"/>
        </w:rPr>
        <w:t>Oracle、PostgreSQL</w:t>
      </w:r>
      <w:r>
        <w:rPr>
          <w:rFonts w:ascii="宋体" w:hAnsi="宋体" w:eastAsia="宋体" w:cs="宋体"/>
          <w:spacing w:val="-49"/>
          <w:sz w:val="24"/>
          <w:szCs w:val="24"/>
        </w:rPr>
        <w:t xml:space="preserve"> </w:t>
      </w:r>
      <w:r>
        <w:rPr>
          <w:rFonts w:ascii="宋体" w:hAnsi="宋体" w:eastAsia="宋体" w:cs="宋体"/>
          <w:spacing w:val="-2"/>
          <w:sz w:val="24"/>
          <w:szCs w:val="24"/>
        </w:rPr>
        <w:t>等主</w:t>
      </w:r>
      <w:r>
        <w:rPr>
          <w:rFonts w:ascii="宋体" w:hAnsi="宋体" w:eastAsia="宋体" w:cs="宋体"/>
          <w:spacing w:val="-3"/>
          <w:sz w:val="24"/>
          <w:szCs w:val="24"/>
        </w:rPr>
        <w:t>流数据库等。</w:t>
      </w:r>
      <w:r>
        <w:rPr>
          <w:rFonts w:ascii="宋体" w:hAnsi="宋体" w:eastAsia="宋体" w:cs="宋体"/>
          <w:sz w:val="24"/>
          <w:szCs w:val="24"/>
        </w:rPr>
        <w:t xml:space="preserve"> </w:t>
      </w:r>
      <w:r>
        <w:rPr>
          <w:rFonts w:ascii="宋体" w:hAnsi="宋体" w:eastAsia="宋体" w:cs="宋体"/>
          <w:spacing w:val="-3"/>
          <w:sz w:val="24"/>
          <w:szCs w:val="24"/>
        </w:rPr>
        <w:t>5.具有高可靠性，支持热备切换、负载均衡。</w:t>
      </w:r>
    </w:p>
    <w:p w14:paraId="344F0CD0">
      <w:pPr>
        <w:spacing w:before="35" w:line="445" w:lineRule="auto"/>
        <w:ind w:left="124" w:right="85" w:firstLine="480"/>
        <w:rPr>
          <w:rFonts w:ascii="宋体" w:hAnsi="宋体" w:eastAsia="宋体" w:cs="宋体"/>
          <w:sz w:val="24"/>
          <w:szCs w:val="24"/>
        </w:rPr>
      </w:pPr>
      <w:r>
        <w:rPr>
          <w:rFonts w:ascii="宋体" w:hAnsi="宋体" w:eastAsia="宋体" w:cs="宋体"/>
          <w:spacing w:val="4"/>
          <w:sz w:val="24"/>
          <w:szCs w:val="24"/>
        </w:rPr>
        <w:t>6.提供影像数据的各种状态记录日志（影像存档、影像调阅</w:t>
      </w:r>
      <w:r>
        <w:rPr>
          <w:rFonts w:ascii="宋体" w:hAnsi="宋体" w:eastAsia="宋体" w:cs="宋体"/>
          <w:spacing w:val="3"/>
          <w:sz w:val="24"/>
          <w:szCs w:val="24"/>
        </w:rPr>
        <w:t>、影像传输、报告书写/修改</w:t>
      </w:r>
      <w:r>
        <w:rPr>
          <w:rFonts w:ascii="宋体" w:hAnsi="宋体" w:eastAsia="宋体" w:cs="宋体"/>
          <w:sz w:val="24"/>
          <w:szCs w:val="24"/>
        </w:rPr>
        <w:t xml:space="preserve"> </w:t>
      </w:r>
      <w:r>
        <w:rPr>
          <w:rFonts w:ascii="宋体" w:hAnsi="宋体" w:eastAsia="宋体" w:cs="宋体"/>
          <w:spacing w:val="-4"/>
          <w:sz w:val="24"/>
          <w:szCs w:val="24"/>
        </w:rPr>
        <w:t>等</w:t>
      </w:r>
      <w:r>
        <w:rPr>
          <w:rFonts w:ascii="宋体" w:hAnsi="宋体" w:eastAsia="宋体" w:cs="宋体"/>
          <w:spacing w:val="-2"/>
          <w:sz w:val="24"/>
          <w:szCs w:val="24"/>
        </w:rPr>
        <w:t>），</w:t>
      </w:r>
      <w:r>
        <w:rPr>
          <w:rFonts w:ascii="宋体" w:hAnsi="宋体" w:eastAsia="宋体" w:cs="宋体"/>
          <w:spacing w:val="-4"/>
          <w:sz w:val="24"/>
          <w:szCs w:val="24"/>
        </w:rPr>
        <w:t>易于进行系统维护。</w:t>
      </w:r>
    </w:p>
    <w:p w14:paraId="7EC226CC">
      <w:pPr>
        <w:spacing w:before="34" w:line="445" w:lineRule="auto"/>
        <w:ind w:left="120" w:right="85" w:firstLine="487"/>
        <w:rPr>
          <w:rFonts w:ascii="宋体" w:hAnsi="宋体" w:eastAsia="宋体" w:cs="宋体"/>
          <w:sz w:val="24"/>
          <w:szCs w:val="24"/>
        </w:rPr>
      </w:pPr>
      <w:r>
        <w:rPr>
          <w:rFonts w:ascii="宋体" w:hAnsi="宋体" w:eastAsia="宋体" w:cs="宋体"/>
          <w:spacing w:val="-3"/>
          <w:sz w:val="24"/>
          <w:szCs w:val="24"/>
        </w:rPr>
        <w:t>7.数据存储归档模块负责支持将影像患者检查信息归档</w:t>
      </w:r>
      <w:r>
        <w:rPr>
          <w:rFonts w:ascii="宋体" w:hAnsi="宋体" w:eastAsia="宋体" w:cs="宋体"/>
          <w:spacing w:val="-40"/>
          <w:sz w:val="24"/>
          <w:szCs w:val="24"/>
        </w:rPr>
        <w:t xml:space="preserve"> </w:t>
      </w:r>
      <w:r>
        <w:rPr>
          <w:rFonts w:ascii="宋体" w:hAnsi="宋体" w:eastAsia="宋体" w:cs="宋体"/>
          <w:spacing w:val="-3"/>
          <w:sz w:val="24"/>
          <w:szCs w:val="24"/>
        </w:rPr>
        <w:t>PACS</w:t>
      </w:r>
      <w:r>
        <w:rPr>
          <w:rFonts w:ascii="宋体" w:hAnsi="宋体" w:eastAsia="宋体" w:cs="宋体"/>
          <w:spacing w:val="-51"/>
          <w:sz w:val="24"/>
          <w:szCs w:val="24"/>
        </w:rPr>
        <w:t xml:space="preserve"> </w:t>
      </w:r>
      <w:r>
        <w:rPr>
          <w:rFonts w:ascii="宋体" w:hAnsi="宋体" w:eastAsia="宋体" w:cs="宋体"/>
          <w:spacing w:val="-3"/>
          <w:sz w:val="24"/>
          <w:szCs w:val="24"/>
        </w:rPr>
        <w:t>影像数据库，同时将影像文件</w:t>
      </w:r>
      <w:r>
        <w:rPr>
          <w:rFonts w:ascii="宋体" w:hAnsi="宋体" w:eastAsia="宋体" w:cs="宋体"/>
          <w:sz w:val="24"/>
          <w:szCs w:val="24"/>
        </w:rPr>
        <w:t xml:space="preserve"> </w:t>
      </w:r>
      <w:r>
        <w:rPr>
          <w:rFonts w:ascii="宋体" w:hAnsi="宋体" w:eastAsia="宋体" w:cs="宋体"/>
          <w:spacing w:val="-3"/>
          <w:sz w:val="24"/>
          <w:szCs w:val="24"/>
        </w:rPr>
        <w:t>进行在线存储和近线压缩存储。</w:t>
      </w:r>
    </w:p>
    <w:p w14:paraId="5F9778BC">
      <w:pPr>
        <w:spacing w:before="36" w:line="218" w:lineRule="auto"/>
        <w:ind w:left="603"/>
        <w:rPr>
          <w:rFonts w:ascii="宋体" w:hAnsi="宋体" w:eastAsia="宋体" w:cs="宋体"/>
          <w:sz w:val="24"/>
          <w:szCs w:val="24"/>
        </w:rPr>
      </w:pPr>
      <w:r>
        <w:rPr>
          <w:rFonts w:ascii="宋体" w:hAnsi="宋体" w:eastAsia="宋体" w:cs="宋体"/>
          <w:spacing w:val="-1"/>
          <w:sz w:val="24"/>
          <w:szCs w:val="24"/>
        </w:rPr>
        <w:t>8.图像存储支持非压缩，JPEG、JPEG2000</w:t>
      </w:r>
      <w:r>
        <w:rPr>
          <w:rFonts w:ascii="宋体" w:hAnsi="宋体" w:eastAsia="宋体" w:cs="宋体"/>
          <w:spacing w:val="-49"/>
          <w:sz w:val="24"/>
          <w:szCs w:val="24"/>
        </w:rPr>
        <w:t xml:space="preserve"> </w:t>
      </w:r>
      <w:r>
        <w:rPr>
          <w:rFonts w:ascii="宋体" w:hAnsi="宋体" w:eastAsia="宋体" w:cs="宋体"/>
          <w:spacing w:val="-2"/>
          <w:sz w:val="24"/>
          <w:szCs w:val="24"/>
        </w:rPr>
        <w:t>无损、有损压缩及文件级的压缩。</w:t>
      </w:r>
    </w:p>
    <w:p w14:paraId="1E8244C2">
      <w:pPr>
        <w:spacing w:before="313" w:line="445" w:lineRule="auto"/>
        <w:ind w:left="122" w:right="145" w:firstLine="480"/>
        <w:rPr>
          <w:rFonts w:ascii="宋体" w:hAnsi="宋体" w:eastAsia="宋体" w:cs="宋体"/>
          <w:sz w:val="24"/>
          <w:szCs w:val="24"/>
        </w:rPr>
      </w:pPr>
      <w:r>
        <w:rPr>
          <w:rFonts w:ascii="宋体" w:hAnsi="宋体" w:eastAsia="宋体" w:cs="宋体"/>
          <w:sz w:val="24"/>
          <w:szCs w:val="24"/>
        </w:rPr>
        <w:t>9.支持影像同步服务：影像同步服务负责将本机</w:t>
      </w:r>
      <w:r>
        <w:rPr>
          <w:rFonts w:ascii="宋体" w:hAnsi="宋体" w:eastAsia="宋体" w:cs="宋体"/>
          <w:spacing w:val="-49"/>
          <w:sz w:val="24"/>
          <w:szCs w:val="24"/>
        </w:rPr>
        <w:t xml:space="preserve"> </w:t>
      </w:r>
      <w:r>
        <w:rPr>
          <w:rFonts w:ascii="宋体" w:hAnsi="宋体" w:eastAsia="宋体" w:cs="宋体"/>
          <w:sz w:val="24"/>
          <w:szCs w:val="24"/>
        </w:rPr>
        <w:t>PACS</w:t>
      </w:r>
      <w:r>
        <w:rPr>
          <w:rFonts w:ascii="宋体" w:hAnsi="宋体" w:eastAsia="宋体" w:cs="宋体"/>
          <w:spacing w:val="-50"/>
          <w:sz w:val="24"/>
          <w:szCs w:val="24"/>
        </w:rPr>
        <w:t xml:space="preserve"> </w:t>
      </w:r>
      <w:r>
        <w:rPr>
          <w:rFonts w:ascii="宋体" w:hAnsi="宋体" w:eastAsia="宋体" w:cs="宋体"/>
          <w:sz w:val="24"/>
          <w:szCs w:val="24"/>
        </w:rPr>
        <w:t>服务器接收的影像同步到其他</w:t>
      </w:r>
      <w:r>
        <w:rPr>
          <w:rFonts w:ascii="宋体" w:hAnsi="宋体" w:eastAsia="宋体" w:cs="宋体"/>
          <w:spacing w:val="-53"/>
          <w:sz w:val="24"/>
          <w:szCs w:val="24"/>
        </w:rPr>
        <w:t xml:space="preserve"> </w:t>
      </w:r>
      <w:r>
        <w:rPr>
          <w:rFonts w:ascii="宋体" w:hAnsi="宋体" w:eastAsia="宋体" w:cs="宋体"/>
          <w:sz w:val="24"/>
          <w:szCs w:val="24"/>
        </w:rPr>
        <w:t xml:space="preserve">PACS </w:t>
      </w:r>
      <w:r>
        <w:rPr>
          <w:rFonts w:ascii="宋体" w:hAnsi="宋体" w:eastAsia="宋体" w:cs="宋体"/>
          <w:spacing w:val="-2"/>
          <w:sz w:val="24"/>
          <w:szCs w:val="24"/>
        </w:rPr>
        <w:t>服务器上，保证所有</w:t>
      </w:r>
      <w:r>
        <w:rPr>
          <w:rFonts w:ascii="宋体" w:hAnsi="宋体" w:eastAsia="宋体" w:cs="宋体"/>
          <w:spacing w:val="-37"/>
          <w:sz w:val="24"/>
          <w:szCs w:val="24"/>
        </w:rPr>
        <w:t xml:space="preserve"> </w:t>
      </w:r>
      <w:r>
        <w:rPr>
          <w:rFonts w:ascii="宋体" w:hAnsi="宋体" w:eastAsia="宋体" w:cs="宋体"/>
          <w:spacing w:val="-2"/>
          <w:sz w:val="24"/>
          <w:szCs w:val="24"/>
        </w:rPr>
        <w:t>PACS</w:t>
      </w:r>
      <w:r>
        <w:rPr>
          <w:rFonts w:ascii="宋体" w:hAnsi="宋体" w:eastAsia="宋体" w:cs="宋体"/>
          <w:spacing w:val="-51"/>
          <w:sz w:val="24"/>
          <w:szCs w:val="24"/>
        </w:rPr>
        <w:t xml:space="preserve"> </w:t>
      </w:r>
      <w:r>
        <w:rPr>
          <w:rFonts w:ascii="宋体" w:hAnsi="宋体" w:eastAsia="宋体" w:cs="宋体"/>
          <w:spacing w:val="-2"/>
          <w:sz w:val="24"/>
          <w:szCs w:val="24"/>
        </w:rPr>
        <w:t>服务器在线影像都相同，更好的保障影像文件的安全性。</w:t>
      </w:r>
    </w:p>
    <w:p w14:paraId="33946483">
      <w:pPr>
        <w:spacing w:before="34" w:line="220" w:lineRule="auto"/>
        <w:ind w:left="620"/>
        <w:rPr>
          <w:rFonts w:ascii="宋体" w:hAnsi="宋体" w:eastAsia="宋体" w:cs="宋体"/>
          <w:sz w:val="24"/>
          <w:szCs w:val="24"/>
        </w:rPr>
      </w:pPr>
      <w:r>
        <w:rPr>
          <w:rFonts w:ascii="宋体" w:hAnsi="宋体" w:eastAsia="宋体" w:cs="宋体"/>
          <w:spacing w:val="-2"/>
          <w:sz w:val="24"/>
          <w:szCs w:val="24"/>
        </w:rPr>
        <w:t>10.支持对象存储模式，支持按照标准</w:t>
      </w:r>
      <w:r>
        <w:rPr>
          <w:rFonts w:ascii="宋体" w:hAnsi="宋体" w:eastAsia="宋体" w:cs="宋体"/>
          <w:spacing w:val="-50"/>
          <w:sz w:val="24"/>
          <w:szCs w:val="24"/>
        </w:rPr>
        <w:t xml:space="preserve"> </w:t>
      </w:r>
      <w:r>
        <w:rPr>
          <w:rFonts w:ascii="宋体" w:hAnsi="宋体" w:eastAsia="宋体" w:cs="宋体"/>
          <w:spacing w:val="-2"/>
          <w:sz w:val="24"/>
          <w:szCs w:val="24"/>
        </w:rPr>
        <w:t>S3</w:t>
      </w:r>
      <w:r>
        <w:rPr>
          <w:rFonts w:ascii="宋体" w:hAnsi="宋体" w:eastAsia="宋体" w:cs="宋体"/>
          <w:spacing w:val="-49"/>
          <w:sz w:val="24"/>
          <w:szCs w:val="24"/>
        </w:rPr>
        <w:t xml:space="preserve"> </w:t>
      </w:r>
      <w:r>
        <w:rPr>
          <w:rFonts w:ascii="宋体" w:hAnsi="宋体" w:eastAsia="宋体" w:cs="宋体"/>
          <w:spacing w:val="-2"/>
          <w:sz w:val="24"/>
          <w:szCs w:val="24"/>
        </w:rPr>
        <w:t>协</w:t>
      </w:r>
      <w:r>
        <w:rPr>
          <w:rFonts w:ascii="宋体" w:hAnsi="宋体" w:eastAsia="宋体" w:cs="宋体"/>
          <w:spacing w:val="-3"/>
          <w:sz w:val="24"/>
          <w:szCs w:val="24"/>
        </w:rPr>
        <w:t>议做数据、图像存储并归档。</w:t>
      </w:r>
    </w:p>
    <w:p w14:paraId="6985916E">
      <w:pPr>
        <w:spacing w:before="311" w:line="445" w:lineRule="auto"/>
        <w:ind w:left="123" w:right="119" w:firstLine="496"/>
        <w:rPr>
          <w:rFonts w:ascii="宋体" w:hAnsi="宋体" w:eastAsia="宋体" w:cs="宋体"/>
          <w:sz w:val="24"/>
          <w:szCs w:val="24"/>
        </w:rPr>
      </w:pPr>
      <w:r>
        <w:rPr>
          <w:rFonts w:ascii="宋体" w:hAnsi="宋体" w:eastAsia="宋体" w:cs="宋体"/>
          <w:spacing w:val="2"/>
          <w:sz w:val="24"/>
          <w:szCs w:val="24"/>
        </w:rPr>
        <w:t>11.支持全面的</w:t>
      </w:r>
      <w:r>
        <w:rPr>
          <w:rFonts w:ascii="宋体" w:hAnsi="宋体" w:eastAsia="宋体" w:cs="宋体"/>
          <w:spacing w:val="-50"/>
          <w:sz w:val="24"/>
          <w:szCs w:val="24"/>
        </w:rPr>
        <w:t xml:space="preserve"> </w:t>
      </w:r>
      <w:r>
        <w:rPr>
          <w:rFonts w:ascii="宋体" w:hAnsi="宋体" w:eastAsia="宋体" w:cs="宋体"/>
          <w:sz w:val="24"/>
          <w:szCs w:val="24"/>
        </w:rPr>
        <w:t>DICOM</w:t>
      </w:r>
      <w:r>
        <w:rPr>
          <w:rFonts w:ascii="宋体" w:hAnsi="宋体" w:eastAsia="宋体" w:cs="宋体"/>
          <w:spacing w:val="-46"/>
          <w:sz w:val="24"/>
          <w:szCs w:val="24"/>
        </w:rPr>
        <w:t xml:space="preserve"> </w:t>
      </w:r>
      <w:r>
        <w:rPr>
          <w:rFonts w:ascii="宋体" w:hAnsi="宋体" w:eastAsia="宋体" w:cs="宋体"/>
          <w:spacing w:val="2"/>
          <w:sz w:val="24"/>
          <w:szCs w:val="24"/>
        </w:rPr>
        <w:t>及非标准</w:t>
      </w:r>
      <w:r>
        <w:rPr>
          <w:rFonts w:ascii="宋体" w:hAnsi="宋体" w:eastAsia="宋体" w:cs="宋体"/>
          <w:spacing w:val="-51"/>
          <w:sz w:val="24"/>
          <w:szCs w:val="24"/>
        </w:rPr>
        <w:t xml:space="preserve"> </w:t>
      </w:r>
      <w:r>
        <w:rPr>
          <w:rFonts w:ascii="宋体" w:hAnsi="宋体" w:eastAsia="宋体" w:cs="宋体"/>
          <w:sz w:val="24"/>
          <w:szCs w:val="24"/>
        </w:rPr>
        <w:t>DICOM</w:t>
      </w:r>
      <w:r>
        <w:rPr>
          <w:rFonts w:ascii="宋体" w:hAnsi="宋体" w:eastAsia="宋体" w:cs="宋体"/>
          <w:spacing w:val="-45"/>
          <w:sz w:val="24"/>
          <w:szCs w:val="24"/>
        </w:rPr>
        <w:t xml:space="preserve"> </w:t>
      </w:r>
      <w:r>
        <w:rPr>
          <w:rFonts w:ascii="宋体" w:hAnsi="宋体" w:eastAsia="宋体" w:cs="宋体"/>
          <w:spacing w:val="2"/>
          <w:sz w:val="24"/>
          <w:szCs w:val="24"/>
        </w:rPr>
        <w:t>影像类型，包括：</w:t>
      </w:r>
      <w:r>
        <w:rPr>
          <w:rFonts w:ascii="宋体" w:hAnsi="宋体" w:eastAsia="宋体" w:cs="宋体"/>
          <w:sz w:val="24"/>
          <w:szCs w:val="24"/>
        </w:rPr>
        <w:t>CT</w:t>
      </w:r>
      <w:r>
        <w:rPr>
          <w:rFonts w:ascii="宋体" w:hAnsi="宋体" w:eastAsia="宋体" w:cs="宋体"/>
          <w:spacing w:val="2"/>
          <w:sz w:val="24"/>
          <w:szCs w:val="24"/>
        </w:rPr>
        <w:t>、</w:t>
      </w:r>
      <w:r>
        <w:rPr>
          <w:rFonts w:ascii="宋体" w:hAnsi="宋体" w:eastAsia="宋体" w:cs="宋体"/>
          <w:sz w:val="24"/>
          <w:szCs w:val="24"/>
        </w:rPr>
        <w:t>MR</w:t>
      </w:r>
      <w:r>
        <w:rPr>
          <w:rFonts w:ascii="宋体" w:hAnsi="宋体" w:eastAsia="宋体" w:cs="宋体"/>
          <w:spacing w:val="2"/>
          <w:sz w:val="24"/>
          <w:szCs w:val="24"/>
        </w:rPr>
        <w:t>、</w:t>
      </w:r>
      <w:r>
        <w:rPr>
          <w:rFonts w:ascii="宋体" w:hAnsi="宋体" w:eastAsia="宋体" w:cs="宋体"/>
          <w:sz w:val="24"/>
          <w:szCs w:val="24"/>
        </w:rPr>
        <w:t>CR</w:t>
      </w:r>
      <w:r>
        <w:rPr>
          <w:rFonts w:ascii="宋体" w:hAnsi="宋体" w:eastAsia="宋体" w:cs="宋体"/>
          <w:spacing w:val="1"/>
          <w:sz w:val="24"/>
          <w:szCs w:val="24"/>
        </w:rPr>
        <w:t>、</w:t>
      </w:r>
      <w:r>
        <w:rPr>
          <w:rFonts w:ascii="宋体" w:hAnsi="宋体" w:eastAsia="宋体" w:cs="宋体"/>
          <w:sz w:val="24"/>
          <w:szCs w:val="24"/>
        </w:rPr>
        <w:t>DR</w:t>
      </w:r>
      <w:r>
        <w:rPr>
          <w:rFonts w:ascii="宋体" w:hAnsi="宋体" w:eastAsia="宋体" w:cs="宋体"/>
          <w:spacing w:val="1"/>
          <w:sz w:val="24"/>
          <w:szCs w:val="24"/>
        </w:rPr>
        <w:t>、</w:t>
      </w:r>
      <w:r>
        <w:rPr>
          <w:rFonts w:ascii="宋体" w:hAnsi="宋体" w:eastAsia="宋体" w:cs="宋体"/>
          <w:sz w:val="24"/>
          <w:szCs w:val="24"/>
        </w:rPr>
        <w:t>RF</w:t>
      </w:r>
      <w:r>
        <w:rPr>
          <w:rFonts w:ascii="宋体" w:hAnsi="宋体" w:eastAsia="宋体" w:cs="宋体"/>
          <w:spacing w:val="1"/>
          <w:sz w:val="24"/>
          <w:szCs w:val="24"/>
        </w:rPr>
        <w:t>、</w:t>
      </w:r>
      <w:r>
        <w:rPr>
          <w:rFonts w:ascii="宋体" w:hAnsi="宋体" w:eastAsia="宋体" w:cs="宋体"/>
          <w:sz w:val="24"/>
          <w:szCs w:val="24"/>
        </w:rPr>
        <w:t>MG</w:t>
      </w:r>
      <w:r>
        <w:rPr>
          <w:rFonts w:ascii="宋体" w:hAnsi="宋体" w:eastAsia="宋体" w:cs="宋体"/>
          <w:spacing w:val="1"/>
          <w:sz w:val="24"/>
          <w:szCs w:val="24"/>
        </w:rPr>
        <w:t>、</w:t>
      </w:r>
      <w:r>
        <w:rPr>
          <w:rFonts w:ascii="宋体" w:hAnsi="宋体" w:eastAsia="宋体" w:cs="宋体"/>
          <w:sz w:val="24"/>
          <w:szCs w:val="24"/>
        </w:rPr>
        <w:t>DF</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3"/>
          <w:sz w:val="24"/>
          <w:szCs w:val="24"/>
        </w:rPr>
        <w:t>SC、DSA、NM、PET、US</w:t>
      </w:r>
      <w:r>
        <w:rPr>
          <w:rFonts w:ascii="宋体" w:hAnsi="宋体" w:eastAsia="宋体" w:cs="宋体"/>
          <w:spacing w:val="-40"/>
          <w:sz w:val="24"/>
          <w:szCs w:val="24"/>
        </w:rPr>
        <w:t xml:space="preserve"> </w:t>
      </w:r>
      <w:r>
        <w:rPr>
          <w:rFonts w:ascii="宋体" w:hAnsi="宋体" w:eastAsia="宋体" w:cs="宋体"/>
          <w:spacing w:val="-3"/>
          <w:sz w:val="24"/>
          <w:szCs w:val="24"/>
        </w:rPr>
        <w:t>等；</w:t>
      </w:r>
    </w:p>
    <w:p w14:paraId="0D49220C">
      <w:pPr>
        <w:spacing w:before="34" w:line="214" w:lineRule="auto"/>
        <w:ind w:left="620"/>
        <w:rPr>
          <w:rFonts w:ascii="宋体" w:hAnsi="宋体" w:eastAsia="宋体" w:cs="宋体"/>
          <w:sz w:val="24"/>
          <w:szCs w:val="24"/>
        </w:rPr>
      </w:pPr>
      <w:r>
        <w:rPr>
          <w:rFonts w:ascii="宋体" w:hAnsi="宋体" w:eastAsia="宋体" w:cs="宋体"/>
          <w:spacing w:val="1"/>
          <w:sz w:val="24"/>
          <w:szCs w:val="24"/>
        </w:rPr>
        <w:t>12.服务器软件提供</w:t>
      </w:r>
      <w:r>
        <w:rPr>
          <w:rFonts w:ascii="宋体" w:hAnsi="宋体" w:eastAsia="宋体" w:cs="宋体"/>
          <w:spacing w:val="-40"/>
          <w:sz w:val="24"/>
          <w:szCs w:val="24"/>
        </w:rPr>
        <w:t xml:space="preserve"> </w:t>
      </w:r>
      <w:r>
        <w:rPr>
          <w:rFonts w:ascii="宋体" w:hAnsi="宋体" w:eastAsia="宋体" w:cs="宋体"/>
          <w:sz w:val="24"/>
          <w:szCs w:val="24"/>
        </w:rPr>
        <w:t>DICOMStorageSCU</w:t>
      </w:r>
      <w:r>
        <w:rPr>
          <w:rFonts w:ascii="宋体" w:hAnsi="宋体" w:eastAsia="宋体" w:cs="宋体"/>
          <w:spacing w:val="1"/>
          <w:sz w:val="24"/>
          <w:szCs w:val="24"/>
        </w:rPr>
        <w:t>/</w:t>
      </w:r>
      <w:r>
        <w:rPr>
          <w:rFonts w:ascii="宋体" w:hAnsi="宋体" w:eastAsia="宋体" w:cs="宋体"/>
          <w:sz w:val="24"/>
          <w:szCs w:val="24"/>
        </w:rPr>
        <w:t>SCPSOPClass</w:t>
      </w:r>
      <w:r>
        <w:rPr>
          <w:rFonts w:ascii="宋体" w:hAnsi="宋体" w:eastAsia="宋体" w:cs="宋体"/>
          <w:spacing w:val="1"/>
          <w:sz w:val="24"/>
          <w:szCs w:val="24"/>
        </w:rPr>
        <w:t>，可直接接收所有符合</w:t>
      </w:r>
      <w:r>
        <w:rPr>
          <w:rFonts w:ascii="宋体" w:hAnsi="宋体" w:eastAsia="宋体" w:cs="宋体"/>
          <w:spacing w:val="-50"/>
          <w:sz w:val="24"/>
          <w:szCs w:val="24"/>
        </w:rPr>
        <w:t xml:space="preserve"> </w:t>
      </w:r>
      <w:r>
        <w:rPr>
          <w:rFonts w:ascii="宋体" w:hAnsi="宋体" w:eastAsia="宋体" w:cs="宋体"/>
          <w:sz w:val="24"/>
          <w:szCs w:val="24"/>
        </w:rPr>
        <w:t>DICOM</w:t>
      </w:r>
      <w:r>
        <w:rPr>
          <w:rFonts w:ascii="宋体" w:hAnsi="宋体" w:eastAsia="宋体" w:cs="宋体"/>
          <w:spacing w:val="1"/>
          <w:sz w:val="24"/>
          <w:szCs w:val="24"/>
        </w:rPr>
        <w:t>3.0</w:t>
      </w:r>
      <w:r>
        <w:rPr>
          <w:rFonts w:ascii="宋体" w:hAnsi="宋体" w:eastAsia="宋体" w:cs="宋体"/>
          <w:spacing w:val="-45"/>
          <w:sz w:val="24"/>
          <w:szCs w:val="24"/>
        </w:rPr>
        <w:t xml:space="preserve"> </w:t>
      </w:r>
      <w:r>
        <w:rPr>
          <w:rFonts w:ascii="宋体" w:hAnsi="宋体" w:eastAsia="宋体" w:cs="宋体"/>
          <w:spacing w:val="1"/>
          <w:sz w:val="24"/>
          <w:szCs w:val="24"/>
        </w:rPr>
        <w:t>标准</w:t>
      </w:r>
    </w:p>
    <w:p w14:paraId="606CD2B1">
      <w:pPr>
        <w:pStyle w:val="2"/>
        <w:spacing w:line="351" w:lineRule="auto"/>
      </w:pPr>
    </w:p>
    <w:p w14:paraId="08D5FCEC">
      <w:pPr>
        <w:spacing w:before="62" w:line="209" w:lineRule="auto"/>
        <w:ind w:left="222"/>
        <w:rPr>
          <w:rFonts w:ascii="宋体" w:hAnsi="宋体" w:eastAsia="宋体" w:cs="宋体"/>
          <w:sz w:val="19"/>
          <w:szCs w:val="19"/>
        </w:rPr>
      </w:pPr>
      <w:r>
        <w:pict>
          <v:shape id="_x0000_s1065" o:spid="_x0000_s1065" style="position:absolute;left:0pt;margin-left:5.65pt;margin-top:11.8pt;height:0.75pt;width:494pt;z-index:251711488;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2"/>
          <w:position w:val="1"/>
          <w:sz w:val="18"/>
          <w:szCs w:val="18"/>
        </w:rPr>
        <w:t xml:space="preserve">45                          </w:t>
      </w:r>
      <w:r>
        <w:rPr>
          <w:rFonts w:ascii="Times New Roman" w:hAnsi="Times New Roman" w:eastAsia="Times New Roman" w:cs="Times New Roman"/>
          <w:spacing w:val="-3"/>
          <w:position w:val="1"/>
          <w:sz w:val="18"/>
          <w:szCs w:val="18"/>
        </w:rPr>
        <w:t xml:space="preserve">     </w:t>
      </w:r>
      <w:r>
        <w:rPr>
          <w:rFonts w:ascii="宋体" w:hAnsi="宋体" w:eastAsia="宋体" w:cs="宋体"/>
          <w:b/>
          <w:bCs/>
          <w:i/>
          <w:iCs/>
          <w:spacing w:val="-3"/>
          <w:sz w:val="19"/>
          <w:szCs w:val="19"/>
        </w:rPr>
        <w:t>伊犁州公共资源交易中心</w:t>
      </w:r>
    </w:p>
    <w:p w14:paraId="4338FFD5">
      <w:pPr>
        <w:spacing w:line="209" w:lineRule="auto"/>
        <w:rPr>
          <w:rFonts w:ascii="宋体" w:hAnsi="宋体" w:eastAsia="宋体" w:cs="宋体"/>
          <w:sz w:val="19"/>
          <w:szCs w:val="19"/>
        </w:rPr>
        <w:sectPr>
          <w:headerReference r:id="rId27" w:type="default"/>
          <w:pgSz w:w="11905" w:h="16839"/>
          <w:pgMar w:top="1136" w:right="773" w:bottom="400" w:left="1052" w:header="854" w:footer="0" w:gutter="0"/>
          <w:cols w:space="720" w:num="1"/>
        </w:sectPr>
      </w:pPr>
    </w:p>
    <w:p w14:paraId="2D5B4CD9">
      <w:pPr>
        <w:pStyle w:val="2"/>
        <w:spacing w:line="379" w:lineRule="auto"/>
      </w:pPr>
    </w:p>
    <w:p w14:paraId="1BADF4B5">
      <w:pPr>
        <w:spacing w:before="78" w:line="220" w:lineRule="auto"/>
        <w:ind w:left="58"/>
        <w:rPr>
          <w:rFonts w:ascii="宋体" w:hAnsi="宋体" w:eastAsia="宋体" w:cs="宋体"/>
          <w:sz w:val="24"/>
          <w:szCs w:val="24"/>
        </w:rPr>
      </w:pPr>
      <w:r>
        <w:rPr>
          <w:rFonts w:ascii="宋体" w:hAnsi="宋体" w:eastAsia="宋体" w:cs="宋体"/>
          <w:spacing w:val="-12"/>
          <w:sz w:val="24"/>
          <w:szCs w:val="24"/>
        </w:rPr>
        <w:t>的影像数据；</w:t>
      </w:r>
    </w:p>
    <w:p w14:paraId="5C9AD6E2">
      <w:pPr>
        <w:spacing w:before="311" w:line="445" w:lineRule="auto"/>
        <w:ind w:left="44" w:right="60" w:firstLine="491"/>
        <w:rPr>
          <w:rFonts w:ascii="宋体" w:hAnsi="宋体" w:eastAsia="宋体" w:cs="宋体"/>
          <w:sz w:val="24"/>
          <w:szCs w:val="24"/>
        </w:rPr>
      </w:pPr>
      <w:r>
        <w:rPr>
          <w:rFonts w:ascii="宋体" w:hAnsi="宋体" w:eastAsia="宋体" w:cs="宋体"/>
          <w:spacing w:val="-5"/>
          <w:sz w:val="24"/>
          <w:szCs w:val="24"/>
        </w:rPr>
        <w:t>13.支持存储管理监管服务，可对院内历史、新增</w:t>
      </w:r>
      <w:r>
        <w:rPr>
          <w:rFonts w:ascii="宋体" w:hAnsi="宋体" w:eastAsia="宋体" w:cs="宋体"/>
          <w:spacing w:val="-6"/>
          <w:sz w:val="24"/>
          <w:szCs w:val="24"/>
        </w:rPr>
        <w:t>影像数据存储进行动态监管， 包括对存储</w:t>
      </w:r>
      <w:r>
        <w:rPr>
          <w:rFonts w:ascii="宋体" w:hAnsi="宋体" w:eastAsia="宋体" w:cs="宋体"/>
          <w:sz w:val="24"/>
          <w:szCs w:val="24"/>
        </w:rPr>
        <w:t xml:space="preserve"> </w:t>
      </w:r>
      <w:r>
        <w:rPr>
          <w:rFonts w:ascii="宋体" w:hAnsi="宋体" w:eastAsia="宋体" w:cs="宋体"/>
          <w:spacing w:val="-2"/>
          <w:sz w:val="24"/>
          <w:szCs w:val="24"/>
        </w:rPr>
        <w:t>总量、使用量、存储数量、接入系统量，包括已使用、剩余存储空间分析。</w:t>
      </w:r>
    </w:p>
    <w:p w14:paraId="3512CC36">
      <w:pPr>
        <w:spacing w:before="35" w:line="218" w:lineRule="auto"/>
        <w:ind w:left="47"/>
        <w:rPr>
          <w:rFonts w:ascii="仿宋" w:hAnsi="仿宋" w:eastAsia="仿宋" w:cs="仿宋"/>
          <w:sz w:val="24"/>
          <w:szCs w:val="24"/>
        </w:rPr>
      </w:pPr>
      <w:r>
        <w:rPr>
          <w:rFonts w:ascii="仿宋" w:hAnsi="仿宋" w:eastAsia="仿宋" w:cs="仿宋"/>
          <w:b/>
          <w:bCs/>
          <w:spacing w:val="-5"/>
          <w:sz w:val="24"/>
          <w:szCs w:val="24"/>
        </w:rPr>
        <w:t>2.1.2</w:t>
      </w:r>
      <w:r>
        <w:rPr>
          <w:rFonts w:ascii="仿宋" w:hAnsi="仿宋" w:eastAsia="仿宋" w:cs="仿宋"/>
          <w:spacing w:val="-51"/>
          <w:sz w:val="24"/>
          <w:szCs w:val="24"/>
        </w:rPr>
        <w:t xml:space="preserve"> </w:t>
      </w:r>
      <w:r>
        <w:rPr>
          <w:rFonts w:ascii="仿宋" w:hAnsi="仿宋" w:eastAsia="仿宋" w:cs="仿宋"/>
          <w:b/>
          <w:bCs/>
          <w:spacing w:val="-5"/>
          <w:sz w:val="24"/>
          <w:szCs w:val="24"/>
        </w:rPr>
        <w:t>设备连接系统</w:t>
      </w:r>
    </w:p>
    <w:p w14:paraId="524A270B">
      <w:pPr>
        <w:pStyle w:val="2"/>
        <w:spacing w:line="351" w:lineRule="auto"/>
      </w:pPr>
    </w:p>
    <w:p w14:paraId="2E4D8A7E">
      <w:pPr>
        <w:spacing w:before="78" w:line="445" w:lineRule="auto"/>
        <w:ind w:left="38" w:right="60" w:firstLine="497"/>
        <w:rPr>
          <w:rFonts w:ascii="宋体" w:hAnsi="宋体" w:eastAsia="宋体" w:cs="宋体"/>
          <w:sz w:val="24"/>
          <w:szCs w:val="24"/>
        </w:rPr>
      </w:pPr>
      <w:r>
        <w:rPr>
          <w:rFonts w:ascii="宋体" w:hAnsi="宋体" w:eastAsia="宋体" w:cs="宋体"/>
          <w:spacing w:val="-1"/>
          <w:sz w:val="24"/>
          <w:szCs w:val="24"/>
        </w:rPr>
        <w:t>1.服务器软件提供</w:t>
      </w:r>
      <w:r>
        <w:rPr>
          <w:rFonts w:ascii="宋体" w:hAnsi="宋体" w:eastAsia="宋体" w:cs="宋体"/>
          <w:spacing w:val="-56"/>
          <w:sz w:val="24"/>
          <w:szCs w:val="24"/>
        </w:rPr>
        <w:t xml:space="preserve"> </w:t>
      </w:r>
      <w:r>
        <w:rPr>
          <w:rFonts w:ascii="宋体" w:hAnsi="宋体" w:eastAsia="宋体" w:cs="宋体"/>
          <w:spacing w:val="-1"/>
          <w:sz w:val="24"/>
          <w:szCs w:val="24"/>
        </w:rPr>
        <w:t>DICOMStorageSCU/SCPSOPClass，可直接接收所有符合</w:t>
      </w:r>
      <w:r>
        <w:rPr>
          <w:rFonts w:ascii="宋体" w:hAnsi="宋体" w:eastAsia="宋体" w:cs="宋体"/>
          <w:spacing w:val="-55"/>
          <w:sz w:val="24"/>
          <w:szCs w:val="24"/>
        </w:rPr>
        <w:t xml:space="preserve"> </w:t>
      </w:r>
      <w:r>
        <w:rPr>
          <w:rFonts w:ascii="宋体" w:hAnsi="宋体" w:eastAsia="宋体" w:cs="宋体"/>
          <w:spacing w:val="-2"/>
          <w:sz w:val="24"/>
          <w:szCs w:val="24"/>
        </w:rPr>
        <w:t>DICOM3.0</w:t>
      </w:r>
      <w:r>
        <w:rPr>
          <w:rFonts w:ascii="宋体" w:hAnsi="宋体" w:eastAsia="宋体" w:cs="宋体"/>
          <w:spacing w:val="-50"/>
          <w:sz w:val="24"/>
          <w:szCs w:val="24"/>
        </w:rPr>
        <w:t xml:space="preserve"> </w:t>
      </w:r>
      <w:r>
        <w:rPr>
          <w:rFonts w:ascii="宋体" w:hAnsi="宋体" w:eastAsia="宋体" w:cs="宋体"/>
          <w:spacing w:val="-2"/>
          <w:sz w:val="24"/>
          <w:szCs w:val="24"/>
        </w:rPr>
        <w:t>标准的</w:t>
      </w:r>
      <w:r>
        <w:rPr>
          <w:rFonts w:ascii="宋体" w:hAnsi="宋体" w:eastAsia="宋体" w:cs="宋体"/>
          <w:sz w:val="24"/>
          <w:szCs w:val="24"/>
        </w:rPr>
        <w:t xml:space="preserve"> </w:t>
      </w:r>
      <w:r>
        <w:rPr>
          <w:rFonts w:ascii="宋体" w:hAnsi="宋体" w:eastAsia="宋体" w:cs="宋体"/>
          <w:spacing w:val="-8"/>
          <w:sz w:val="24"/>
          <w:szCs w:val="24"/>
        </w:rPr>
        <w:t>影像数据。</w:t>
      </w:r>
    </w:p>
    <w:p w14:paraId="7837C7EB">
      <w:pPr>
        <w:spacing w:before="34" w:line="445" w:lineRule="auto"/>
        <w:ind w:left="37" w:right="60" w:firstLine="483"/>
        <w:rPr>
          <w:rFonts w:ascii="宋体" w:hAnsi="宋体" w:eastAsia="宋体" w:cs="宋体"/>
          <w:sz w:val="24"/>
          <w:szCs w:val="24"/>
        </w:rPr>
      </w:pPr>
      <w:r>
        <w:rPr>
          <w:rFonts w:ascii="宋体" w:hAnsi="宋体" w:eastAsia="宋体" w:cs="宋体"/>
          <w:sz w:val="24"/>
          <w:szCs w:val="24"/>
        </w:rPr>
        <w:t>2.接收、存储、转发</w:t>
      </w:r>
      <w:r>
        <w:rPr>
          <w:rFonts w:ascii="宋体" w:hAnsi="宋体" w:eastAsia="宋体" w:cs="宋体"/>
          <w:spacing w:val="-54"/>
          <w:sz w:val="24"/>
          <w:szCs w:val="24"/>
        </w:rPr>
        <w:t xml:space="preserve"> </w:t>
      </w:r>
      <w:r>
        <w:rPr>
          <w:rFonts w:ascii="宋体" w:hAnsi="宋体" w:eastAsia="宋体" w:cs="宋体"/>
          <w:sz w:val="24"/>
          <w:szCs w:val="24"/>
        </w:rPr>
        <w:t>DICOM</w:t>
      </w:r>
      <w:r>
        <w:rPr>
          <w:rFonts w:ascii="宋体" w:hAnsi="宋体" w:eastAsia="宋体" w:cs="宋体"/>
          <w:spacing w:val="-38"/>
          <w:sz w:val="24"/>
          <w:szCs w:val="24"/>
        </w:rPr>
        <w:t xml:space="preserve"> </w:t>
      </w:r>
      <w:r>
        <w:rPr>
          <w:rFonts w:ascii="宋体" w:hAnsi="宋体" w:eastAsia="宋体" w:cs="宋体"/>
          <w:sz w:val="24"/>
          <w:szCs w:val="24"/>
        </w:rPr>
        <w:t>医学图像。网关由三个模块组成：接收模块、发送模块、</w:t>
      </w:r>
      <w:r>
        <w:rPr>
          <w:rFonts w:ascii="宋体" w:hAnsi="宋体" w:eastAsia="宋体" w:cs="宋体"/>
          <w:spacing w:val="-1"/>
          <w:sz w:val="24"/>
          <w:szCs w:val="24"/>
        </w:rPr>
        <w:t>数据</w:t>
      </w:r>
      <w:r>
        <w:rPr>
          <w:rFonts w:ascii="宋体" w:hAnsi="宋体" w:eastAsia="宋体" w:cs="宋体"/>
          <w:sz w:val="24"/>
          <w:szCs w:val="24"/>
        </w:rPr>
        <w:t xml:space="preserve"> </w:t>
      </w:r>
      <w:r>
        <w:rPr>
          <w:rFonts w:ascii="宋体" w:hAnsi="宋体" w:eastAsia="宋体" w:cs="宋体"/>
          <w:spacing w:val="-10"/>
          <w:sz w:val="24"/>
          <w:szCs w:val="24"/>
        </w:rPr>
        <w:t>模块。</w:t>
      </w:r>
    </w:p>
    <w:p w14:paraId="53BDB05D">
      <w:pPr>
        <w:spacing w:before="34" w:line="446" w:lineRule="auto"/>
        <w:ind w:left="40" w:right="60" w:firstLine="482"/>
        <w:rPr>
          <w:rFonts w:ascii="宋体" w:hAnsi="宋体" w:eastAsia="宋体" w:cs="宋体"/>
          <w:sz w:val="24"/>
          <w:szCs w:val="24"/>
        </w:rPr>
      </w:pPr>
      <w:r>
        <w:rPr>
          <w:rFonts w:ascii="宋体" w:hAnsi="宋体" w:eastAsia="宋体" w:cs="宋体"/>
          <w:spacing w:val="1"/>
          <w:sz w:val="24"/>
          <w:szCs w:val="24"/>
        </w:rPr>
        <w:t>3.可同时接收多个不同影像设备发送的数据，支持多</w:t>
      </w:r>
      <w:r>
        <w:rPr>
          <w:rFonts w:ascii="宋体" w:hAnsi="宋体" w:eastAsia="宋体" w:cs="宋体"/>
          <w:sz w:val="24"/>
          <w:szCs w:val="24"/>
        </w:rPr>
        <w:t xml:space="preserve">个用户对同一影像数据的并发调阅请 </w:t>
      </w:r>
      <w:r>
        <w:rPr>
          <w:rFonts w:ascii="宋体" w:hAnsi="宋体" w:eastAsia="宋体" w:cs="宋体"/>
          <w:spacing w:val="-12"/>
          <w:sz w:val="24"/>
          <w:szCs w:val="24"/>
        </w:rPr>
        <w:t>求。</w:t>
      </w:r>
    </w:p>
    <w:p w14:paraId="076D7B2E">
      <w:pPr>
        <w:spacing w:before="32" w:line="450" w:lineRule="auto"/>
        <w:ind w:left="37" w:firstLine="480"/>
        <w:rPr>
          <w:rFonts w:ascii="宋体" w:hAnsi="宋体" w:eastAsia="宋体" w:cs="宋体"/>
          <w:sz w:val="24"/>
          <w:szCs w:val="24"/>
        </w:rPr>
      </w:pPr>
      <w:r>
        <w:rPr>
          <w:rFonts w:ascii="宋体" w:hAnsi="宋体" w:eastAsia="宋体" w:cs="宋体"/>
          <w:sz w:val="24"/>
          <w:szCs w:val="24"/>
        </w:rPr>
        <w:t>4.具备高效传输速率，千幅影像加载响应时</w:t>
      </w:r>
      <w:r>
        <w:rPr>
          <w:rFonts w:ascii="宋体" w:hAnsi="宋体" w:eastAsia="宋体" w:cs="宋体"/>
          <w:spacing w:val="-1"/>
          <w:sz w:val="24"/>
          <w:szCs w:val="24"/>
        </w:rPr>
        <w:t>间应小于</w:t>
      </w:r>
      <w:r>
        <w:rPr>
          <w:rFonts w:ascii="宋体" w:hAnsi="宋体" w:eastAsia="宋体" w:cs="宋体"/>
          <w:spacing w:val="-44"/>
          <w:sz w:val="24"/>
          <w:szCs w:val="24"/>
        </w:rPr>
        <w:t xml:space="preserve"> </w:t>
      </w:r>
      <w:r>
        <w:rPr>
          <w:rFonts w:ascii="宋体" w:hAnsi="宋体" w:eastAsia="宋体" w:cs="宋体"/>
          <w:spacing w:val="-1"/>
          <w:sz w:val="24"/>
          <w:szCs w:val="24"/>
        </w:rPr>
        <w:t>5</w:t>
      </w:r>
      <w:r>
        <w:rPr>
          <w:rFonts w:ascii="宋体" w:hAnsi="宋体" w:eastAsia="宋体" w:cs="宋体"/>
          <w:spacing w:val="-51"/>
          <w:sz w:val="24"/>
          <w:szCs w:val="24"/>
        </w:rPr>
        <w:t xml:space="preserve"> </w:t>
      </w:r>
      <w:r>
        <w:rPr>
          <w:rFonts w:ascii="宋体" w:hAnsi="宋体" w:eastAsia="宋体" w:cs="宋体"/>
          <w:spacing w:val="-1"/>
          <w:sz w:val="24"/>
          <w:szCs w:val="24"/>
        </w:rPr>
        <w:t>秒，三维重建响应速度应小于</w:t>
      </w:r>
      <w:r>
        <w:rPr>
          <w:rFonts w:ascii="宋体" w:hAnsi="宋体" w:eastAsia="宋体" w:cs="宋体"/>
          <w:spacing w:val="-44"/>
          <w:sz w:val="24"/>
          <w:szCs w:val="24"/>
        </w:rPr>
        <w:t xml:space="preserve"> </w:t>
      </w:r>
      <w:r>
        <w:rPr>
          <w:rFonts w:ascii="宋体" w:hAnsi="宋体" w:eastAsia="宋体" w:cs="宋体"/>
          <w:spacing w:val="-1"/>
          <w:sz w:val="24"/>
          <w:szCs w:val="24"/>
        </w:rPr>
        <w:t>5</w:t>
      </w:r>
      <w:r>
        <w:rPr>
          <w:rFonts w:ascii="宋体" w:hAnsi="宋体" w:eastAsia="宋体" w:cs="宋体"/>
          <w:spacing w:val="-51"/>
          <w:sz w:val="24"/>
          <w:szCs w:val="24"/>
        </w:rPr>
        <w:t xml:space="preserve"> </w:t>
      </w:r>
      <w:r>
        <w:rPr>
          <w:rFonts w:ascii="宋体" w:hAnsi="宋体" w:eastAsia="宋体" w:cs="宋体"/>
          <w:spacing w:val="-1"/>
          <w:sz w:val="24"/>
          <w:szCs w:val="24"/>
        </w:rPr>
        <w:t>秒</w:t>
      </w:r>
      <w:r>
        <w:rPr>
          <w:rFonts w:ascii="宋体" w:hAnsi="宋体" w:eastAsia="宋体" w:cs="宋体"/>
          <w:sz w:val="24"/>
          <w:szCs w:val="24"/>
        </w:rPr>
        <w:t xml:space="preserve"> </w:t>
      </w:r>
      <w:r>
        <w:rPr>
          <w:rFonts w:ascii="宋体" w:hAnsi="宋体" w:eastAsia="宋体" w:cs="宋体"/>
          <w:spacing w:val="-4"/>
          <w:sz w:val="24"/>
          <w:szCs w:val="24"/>
        </w:rPr>
        <w:t>（网络环境服务器在万兆网络</w:t>
      </w:r>
      <w:r>
        <w:rPr>
          <w:rFonts w:ascii="宋体" w:hAnsi="宋体" w:eastAsia="宋体" w:cs="宋体"/>
          <w:spacing w:val="-37"/>
          <w:sz w:val="24"/>
          <w:szCs w:val="24"/>
        </w:rPr>
        <w:t>）；</w:t>
      </w:r>
      <w:r>
        <w:rPr>
          <w:rFonts w:ascii="宋体" w:hAnsi="宋体" w:eastAsia="宋体" w:cs="宋体"/>
          <w:spacing w:val="-4"/>
          <w:sz w:val="24"/>
          <w:szCs w:val="24"/>
        </w:rPr>
        <w:t>百兆网络环境下，五个以内的工作站并发，响应时间应小于</w:t>
      </w:r>
      <w:r>
        <w:rPr>
          <w:rFonts w:ascii="宋体" w:hAnsi="宋体" w:eastAsia="宋体" w:cs="宋体"/>
          <w:spacing w:val="-32"/>
          <w:sz w:val="24"/>
          <w:szCs w:val="24"/>
        </w:rPr>
        <w:t xml:space="preserve"> </w:t>
      </w:r>
      <w:r>
        <w:rPr>
          <w:rFonts w:ascii="宋体" w:hAnsi="宋体" w:eastAsia="宋体" w:cs="宋体"/>
          <w:spacing w:val="-4"/>
          <w:sz w:val="24"/>
          <w:szCs w:val="24"/>
        </w:rPr>
        <w:t>15</w:t>
      </w:r>
      <w:r>
        <w:rPr>
          <w:rFonts w:ascii="宋体" w:hAnsi="宋体" w:eastAsia="宋体" w:cs="宋体"/>
          <w:sz w:val="24"/>
          <w:szCs w:val="24"/>
        </w:rPr>
        <w:t xml:space="preserve"> </w:t>
      </w:r>
      <w:r>
        <w:rPr>
          <w:rFonts w:ascii="宋体" w:hAnsi="宋体" w:eastAsia="宋体" w:cs="宋体"/>
          <w:spacing w:val="-11"/>
          <w:sz w:val="24"/>
          <w:szCs w:val="24"/>
        </w:rPr>
        <w:t>秒。</w:t>
      </w:r>
    </w:p>
    <w:p w14:paraId="6F029D10">
      <w:pPr>
        <w:spacing w:before="33" w:line="220" w:lineRule="auto"/>
        <w:ind w:left="523"/>
        <w:rPr>
          <w:rFonts w:ascii="宋体" w:hAnsi="宋体" w:eastAsia="宋体" w:cs="宋体"/>
          <w:sz w:val="24"/>
          <w:szCs w:val="24"/>
        </w:rPr>
      </w:pPr>
      <w:r>
        <w:rPr>
          <w:rFonts w:ascii="宋体" w:hAnsi="宋体" w:eastAsia="宋体" w:cs="宋体"/>
          <w:spacing w:val="-2"/>
          <w:sz w:val="24"/>
          <w:szCs w:val="24"/>
        </w:rPr>
        <w:t>5.支持影像设备图像归档，接收图像速度不低于</w:t>
      </w:r>
      <w:r>
        <w:rPr>
          <w:rFonts w:ascii="宋体" w:hAnsi="宋体" w:eastAsia="宋体" w:cs="宋体"/>
          <w:spacing w:val="-47"/>
          <w:sz w:val="24"/>
          <w:szCs w:val="24"/>
        </w:rPr>
        <w:t xml:space="preserve"> </w:t>
      </w:r>
      <w:r>
        <w:rPr>
          <w:rFonts w:ascii="宋体" w:hAnsi="宋体" w:eastAsia="宋体" w:cs="宋体"/>
          <w:spacing w:val="-2"/>
          <w:sz w:val="24"/>
          <w:szCs w:val="24"/>
        </w:rPr>
        <w:t>2</w:t>
      </w:r>
      <w:r>
        <w:rPr>
          <w:rFonts w:ascii="宋体" w:hAnsi="宋体" w:eastAsia="宋体" w:cs="宋体"/>
          <w:spacing w:val="-3"/>
          <w:sz w:val="24"/>
          <w:szCs w:val="24"/>
        </w:rPr>
        <w:t>00</w:t>
      </w:r>
      <w:r>
        <w:rPr>
          <w:rFonts w:ascii="宋体" w:hAnsi="宋体" w:eastAsia="宋体" w:cs="宋体"/>
          <w:spacing w:val="-45"/>
          <w:sz w:val="24"/>
          <w:szCs w:val="24"/>
        </w:rPr>
        <w:t xml:space="preserve"> </w:t>
      </w:r>
      <w:r>
        <w:rPr>
          <w:rFonts w:ascii="宋体" w:hAnsi="宋体" w:eastAsia="宋体" w:cs="宋体"/>
          <w:spacing w:val="-3"/>
          <w:sz w:val="24"/>
          <w:szCs w:val="24"/>
        </w:rPr>
        <w:t>张/秒。</w:t>
      </w:r>
    </w:p>
    <w:p w14:paraId="266E5519">
      <w:pPr>
        <w:spacing w:before="310" w:line="445" w:lineRule="auto"/>
        <w:ind w:left="39" w:right="60" w:firstLine="480"/>
        <w:rPr>
          <w:rFonts w:ascii="宋体" w:hAnsi="宋体" w:eastAsia="宋体" w:cs="宋体"/>
          <w:sz w:val="24"/>
          <w:szCs w:val="24"/>
        </w:rPr>
      </w:pPr>
      <w:r>
        <w:rPr>
          <w:rFonts w:ascii="宋体" w:hAnsi="宋体" w:eastAsia="宋体" w:cs="宋体"/>
          <w:sz w:val="24"/>
          <w:szCs w:val="24"/>
        </w:rPr>
        <w:t>6.支持完整的</w:t>
      </w:r>
      <w:r>
        <w:rPr>
          <w:rFonts w:ascii="宋体" w:hAnsi="宋体" w:eastAsia="宋体" w:cs="宋体"/>
          <w:spacing w:val="-54"/>
          <w:sz w:val="24"/>
          <w:szCs w:val="24"/>
        </w:rPr>
        <w:t xml:space="preserve"> </w:t>
      </w:r>
      <w:r>
        <w:rPr>
          <w:rFonts w:ascii="宋体" w:hAnsi="宋体" w:eastAsia="宋体" w:cs="宋体"/>
          <w:sz w:val="24"/>
          <w:szCs w:val="24"/>
        </w:rPr>
        <w:t>DICOMWorklist</w:t>
      </w:r>
      <w:r>
        <w:rPr>
          <w:rFonts w:ascii="宋体" w:hAnsi="宋体" w:eastAsia="宋体" w:cs="宋体"/>
          <w:spacing w:val="-46"/>
          <w:sz w:val="24"/>
          <w:szCs w:val="24"/>
        </w:rPr>
        <w:t xml:space="preserve"> </w:t>
      </w:r>
      <w:r>
        <w:rPr>
          <w:rFonts w:ascii="宋体" w:hAnsi="宋体" w:eastAsia="宋体" w:cs="宋体"/>
          <w:sz w:val="24"/>
          <w:szCs w:val="24"/>
        </w:rPr>
        <w:t>工作清单服务，为所有支持</w:t>
      </w:r>
      <w:r>
        <w:rPr>
          <w:rFonts w:ascii="宋体" w:hAnsi="宋体" w:eastAsia="宋体" w:cs="宋体"/>
          <w:spacing w:val="-54"/>
          <w:sz w:val="24"/>
          <w:szCs w:val="24"/>
        </w:rPr>
        <w:t xml:space="preserve"> </w:t>
      </w:r>
      <w:r>
        <w:rPr>
          <w:rFonts w:ascii="宋体" w:hAnsi="宋体" w:eastAsia="宋体" w:cs="宋体"/>
          <w:sz w:val="24"/>
          <w:szCs w:val="24"/>
        </w:rPr>
        <w:t>DICOMWorkli</w:t>
      </w:r>
      <w:r>
        <w:rPr>
          <w:rFonts w:ascii="宋体" w:hAnsi="宋体" w:eastAsia="宋体" w:cs="宋体"/>
          <w:spacing w:val="-1"/>
          <w:sz w:val="24"/>
          <w:szCs w:val="24"/>
        </w:rPr>
        <w:t>st</w:t>
      </w:r>
      <w:r>
        <w:rPr>
          <w:rFonts w:ascii="宋体" w:hAnsi="宋体" w:eastAsia="宋体" w:cs="宋体"/>
          <w:spacing w:val="-50"/>
          <w:sz w:val="24"/>
          <w:szCs w:val="24"/>
        </w:rPr>
        <w:t xml:space="preserve"> </w:t>
      </w:r>
      <w:r>
        <w:rPr>
          <w:rFonts w:ascii="宋体" w:hAnsi="宋体" w:eastAsia="宋体" w:cs="宋体"/>
          <w:spacing w:val="-1"/>
          <w:sz w:val="24"/>
          <w:szCs w:val="24"/>
        </w:rPr>
        <w:t>接口的影像设备</w:t>
      </w:r>
      <w:r>
        <w:rPr>
          <w:rFonts w:ascii="宋体" w:hAnsi="宋体" w:eastAsia="宋体" w:cs="宋体"/>
          <w:sz w:val="24"/>
          <w:szCs w:val="24"/>
        </w:rPr>
        <w:t xml:space="preserve"> </w:t>
      </w:r>
      <w:r>
        <w:rPr>
          <w:rFonts w:ascii="宋体" w:hAnsi="宋体" w:eastAsia="宋体" w:cs="宋体"/>
          <w:spacing w:val="-5"/>
          <w:sz w:val="24"/>
          <w:szCs w:val="24"/>
        </w:rPr>
        <w:t>提供患者和检查数据。</w:t>
      </w:r>
    </w:p>
    <w:p w14:paraId="0F93131A">
      <w:pPr>
        <w:spacing w:before="35" w:line="445" w:lineRule="auto"/>
        <w:ind w:left="519" w:right="494" w:firstLine="4"/>
        <w:rPr>
          <w:rFonts w:ascii="宋体" w:hAnsi="宋体" w:eastAsia="宋体" w:cs="宋体"/>
          <w:sz w:val="24"/>
          <w:szCs w:val="24"/>
        </w:rPr>
      </w:pPr>
      <w:r>
        <w:rPr>
          <w:rFonts w:ascii="宋体" w:hAnsi="宋体" w:eastAsia="宋体" w:cs="宋体"/>
          <w:spacing w:val="-2"/>
          <w:sz w:val="24"/>
          <w:szCs w:val="24"/>
        </w:rPr>
        <w:t>7.支持</w:t>
      </w:r>
      <w:r>
        <w:rPr>
          <w:rFonts w:ascii="宋体" w:hAnsi="宋体" w:eastAsia="宋体" w:cs="宋体"/>
          <w:spacing w:val="-51"/>
          <w:sz w:val="24"/>
          <w:szCs w:val="24"/>
        </w:rPr>
        <w:t xml:space="preserve"> </w:t>
      </w:r>
      <w:r>
        <w:rPr>
          <w:rFonts w:ascii="宋体" w:hAnsi="宋体" w:eastAsia="宋体" w:cs="宋体"/>
          <w:spacing w:val="-2"/>
          <w:sz w:val="24"/>
          <w:szCs w:val="24"/>
        </w:rPr>
        <w:t>RIS</w:t>
      </w:r>
      <w:r>
        <w:rPr>
          <w:rFonts w:ascii="宋体" w:hAnsi="宋体" w:eastAsia="宋体" w:cs="宋体"/>
          <w:spacing w:val="-46"/>
          <w:sz w:val="24"/>
          <w:szCs w:val="24"/>
        </w:rPr>
        <w:t xml:space="preserve"> </w:t>
      </w:r>
      <w:r>
        <w:rPr>
          <w:rFonts w:ascii="宋体" w:hAnsi="宋体" w:eastAsia="宋体" w:cs="宋体"/>
          <w:spacing w:val="-2"/>
          <w:sz w:val="24"/>
          <w:szCs w:val="24"/>
        </w:rPr>
        <w:t>与设备</w:t>
      </w:r>
      <w:r>
        <w:rPr>
          <w:rFonts w:ascii="宋体" w:hAnsi="宋体" w:eastAsia="宋体" w:cs="宋体"/>
          <w:spacing w:val="-58"/>
          <w:sz w:val="24"/>
          <w:szCs w:val="24"/>
        </w:rPr>
        <w:t xml:space="preserve"> </w:t>
      </w:r>
      <w:r>
        <w:rPr>
          <w:rFonts w:ascii="宋体" w:hAnsi="宋体" w:eastAsia="宋体" w:cs="宋体"/>
          <w:spacing w:val="-2"/>
          <w:sz w:val="24"/>
          <w:szCs w:val="24"/>
        </w:rPr>
        <w:t>Worklist</w:t>
      </w:r>
      <w:r>
        <w:rPr>
          <w:rFonts w:ascii="宋体" w:hAnsi="宋体" w:eastAsia="宋体" w:cs="宋体"/>
          <w:spacing w:val="-50"/>
          <w:sz w:val="24"/>
          <w:szCs w:val="24"/>
        </w:rPr>
        <w:t xml:space="preserve"> </w:t>
      </w:r>
      <w:r>
        <w:rPr>
          <w:rFonts w:ascii="宋体" w:hAnsi="宋体" w:eastAsia="宋体" w:cs="宋体"/>
          <w:spacing w:val="-2"/>
          <w:sz w:val="24"/>
          <w:szCs w:val="24"/>
        </w:rPr>
        <w:t>服务通讯，实现设备自动查询获取患者已登记相关信息。</w:t>
      </w:r>
      <w:r>
        <w:rPr>
          <w:rFonts w:ascii="宋体" w:hAnsi="宋体" w:eastAsia="宋体" w:cs="宋体"/>
          <w:sz w:val="24"/>
          <w:szCs w:val="24"/>
        </w:rPr>
        <w:t xml:space="preserve"> </w:t>
      </w:r>
      <w:r>
        <w:rPr>
          <w:rFonts w:ascii="宋体" w:hAnsi="宋体" w:eastAsia="宋体" w:cs="宋体"/>
          <w:spacing w:val="-2"/>
          <w:sz w:val="24"/>
          <w:szCs w:val="24"/>
        </w:rPr>
        <w:t>8.支持</w:t>
      </w:r>
      <w:r>
        <w:rPr>
          <w:rFonts w:ascii="宋体" w:hAnsi="宋体" w:eastAsia="宋体" w:cs="宋体"/>
          <w:spacing w:val="-44"/>
          <w:sz w:val="24"/>
          <w:szCs w:val="24"/>
        </w:rPr>
        <w:t xml:space="preserve"> </w:t>
      </w:r>
      <w:r>
        <w:rPr>
          <w:rFonts w:ascii="宋体" w:hAnsi="宋体" w:eastAsia="宋体" w:cs="宋体"/>
          <w:spacing w:val="-2"/>
          <w:sz w:val="24"/>
          <w:szCs w:val="24"/>
        </w:rPr>
        <w:t>worklist</w:t>
      </w:r>
      <w:r>
        <w:rPr>
          <w:rFonts w:ascii="宋体" w:hAnsi="宋体" w:eastAsia="宋体" w:cs="宋体"/>
          <w:spacing w:val="-51"/>
          <w:sz w:val="24"/>
          <w:szCs w:val="24"/>
        </w:rPr>
        <w:t xml:space="preserve"> </w:t>
      </w:r>
      <w:r>
        <w:rPr>
          <w:rFonts w:ascii="宋体" w:hAnsi="宋体" w:eastAsia="宋体" w:cs="宋体"/>
          <w:spacing w:val="-2"/>
          <w:sz w:val="24"/>
          <w:szCs w:val="24"/>
        </w:rPr>
        <w:t>服务提供影像设备对应检查项目、检查部位等信息。</w:t>
      </w:r>
    </w:p>
    <w:p w14:paraId="46D1AE72">
      <w:pPr>
        <w:spacing w:before="38" w:line="214" w:lineRule="auto"/>
        <w:ind w:left="47"/>
        <w:rPr>
          <w:rFonts w:ascii="仿宋" w:hAnsi="仿宋" w:eastAsia="仿宋" w:cs="仿宋"/>
          <w:sz w:val="24"/>
          <w:szCs w:val="24"/>
        </w:rPr>
      </w:pPr>
      <w:r>
        <w:rPr>
          <w:rFonts w:ascii="仿宋" w:hAnsi="仿宋" w:eastAsia="仿宋" w:cs="仿宋"/>
          <w:b/>
          <w:bCs/>
          <w:spacing w:val="-5"/>
          <w:sz w:val="24"/>
          <w:szCs w:val="24"/>
        </w:rPr>
        <w:t>2.1.3</w:t>
      </w:r>
      <w:r>
        <w:rPr>
          <w:rFonts w:ascii="仿宋" w:hAnsi="仿宋" w:eastAsia="仿宋" w:cs="仿宋"/>
          <w:spacing w:val="-52"/>
          <w:sz w:val="24"/>
          <w:szCs w:val="24"/>
        </w:rPr>
        <w:t xml:space="preserve"> </w:t>
      </w:r>
      <w:r>
        <w:rPr>
          <w:rFonts w:ascii="仿宋" w:hAnsi="仿宋" w:eastAsia="仿宋" w:cs="仿宋"/>
          <w:b/>
          <w:bCs/>
          <w:spacing w:val="-5"/>
          <w:sz w:val="24"/>
          <w:szCs w:val="24"/>
        </w:rPr>
        <w:t>存储管理系统</w:t>
      </w:r>
    </w:p>
    <w:p w14:paraId="2C1707D3">
      <w:pPr>
        <w:pStyle w:val="2"/>
        <w:spacing w:line="356" w:lineRule="auto"/>
      </w:pPr>
    </w:p>
    <w:p w14:paraId="66E34BE8">
      <w:pPr>
        <w:spacing w:before="78" w:line="445" w:lineRule="auto"/>
        <w:ind w:left="521" w:right="4956" w:firstLine="14"/>
        <w:rPr>
          <w:rFonts w:ascii="宋体" w:hAnsi="宋体" w:eastAsia="宋体" w:cs="宋体"/>
          <w:sz w:val="24"/>
          <w:szCs w:val="24"/>
        </w:rPr>
      </w:pPr>
      <w:r>
        <w:rPr>
          <w:rFonts w:ascii="宋体" w:hAnsi="宋体" w:eastAsia="宋体" w:cs="宋体"/>
          <w:spacing w:val="-5"/>
          <w:sz w:val="24"/>
          <w:szCs w:val="24"/>
        </w:rPr>
        <w:t>1.支持并实现存储模式采用对象存储形式；</w:t>
      </w:r>
      <w:r>
        <w:rPr>
          <w:rFonts w:ascii="宋体" w:hAnsi="宋体" w:eastAsia="宋体" w:cs="宋体"/>
          <w:spacing w:val="15"/>
          <w:sz w:val="24"/>
          <w:szCs w:val="24"/>
        </w:rPr>
        <w:t xml:space="preserve"> </w:t>
      </w:r>
      <w:r>
        <w:rPr>
          <w:rFonts w:ascii="宋体" w:hAnsi="宋体" w:eastAsia="宋体" w:cs="宋体"/>
          <w:spacing w:val="-5"/>
          <w:sz w:val="24"/>
          <w:szCs w:val="24"/>
        </w:rPr>
        <w:t>2.支持硬件架构平行扩容；</w:t>
      </w:r>
    </w:p>
    <w:p w14:paraId="0F3D96C4">
      <w:pPr>
        <w:spacing w:before="35" w:line="445" w:lineRule="auto"/>
        <w:ind w:left="40" w:right="60" w:firstLine="482"/>
        <w:rPr>
          <w:rFonts w:ascii="宋体" w:hAnsi="宋体" w:eastAsia="宋体" w:cs="宋体"/>
          <w:sz w:val="24"/>
          <w:szCs w:val="24"/>
        </w:rPr>
      </w:pPr>
      <w:r>
        <w:rPr>
          <w:rFonts w:ascii="宋体" w:hAnsi="宋体" w:eastAsia="宋体" w:cs="宋体"/>
          <w:spacing w:val="1"/>
          <w:sz w:val="24"/>
          <w:szCs w:val="24"/>
        </w:rPr>
        <w:t>3.系统的安全管理采用信息安全组织管理策略，为确</w:t>
      </w:r>
      <w:r>
        <w:rPr>
          <w:rFonts w:ascii="宋体" w:hAnsi="宋体" w:eastAsia="宋体" w:cs="宋体"/>
          <w:sz w:val="24"/>
          <w:szCs w:val="24"/>
        </w:rPr>
        <w:t xml:space="preserve">保系统和数据库的访问与权限均能适 </w:t>
      </w:r>
      <w:r>
        <w:rPr>
          <w:rFonts w:ascii="宋体" w:hAnsi="宋体" w:eastAsia="宋体" w:cs="宋体"/>
          <w:spacing w:val="-2"/>
          <w:sz w:val="24"/>
          <w:szCs w:val="24"/>
        </w:rPr>
        <w:t>用医院授权、分配和管理，对系统的用户账号要进行分级管理。</w:t>
      </w:r>
    </w:p>
    <w:p w14:paraId="5B1D5F39">
      <w:pPr>
        <w:spacing w:before="215"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2"/>
          <w:position w:val="1"/>
          <w:sz w:val="18"/>
          <w:szCs w:val="18"/>
        </w:rPr>
        <w:t xml:space="preserve">46                          </w:t>
      </w:r>
      <w:r>
        <w:rPr>
          <w:rFonts w:ascii="Times New Roman" w:hAnsi="Times New Roman" w:eastAsia="Times New Roman" w:cs="Times New Roman"/>
          <w:spacing w:val="-3"/>
          <w:position w:val="1"/>
          <w:sz w:val="18"/>
          <w:szCs w:val="18"/>
        </w:rPr>
        <w:t xml:space="preserve">     </w:t>
      </w:r>
      <w:r>
        <w:rPr>
          <w:rFonts w:ascii="宋体" w:hAnsi="宋体" w:eastAsia="宋体" w:cs="宋体"/>
          <w:b/>
          <w:bCs/>
          <w:i/>
          <w:iCs/>
          <w:spacing w:val="-3"/>
          <w:sz w:val="19"/>
          <w:szCs w:val="19"/>
        </w:rPr>
        <w:t>伊犁州公共资源交易中心</w:t>
      </w:r>
    </w:p>
    <w:p w14:paraId="67674465">
      <w:pPr>
        <w:spacing w:line="160" w:lineRule="auto"/>
        <w:rPr>
          <w:rFonts w:ascii="宋体" w:hAnsi="宋体" w:eastAsia="宋体" w:cs="宋体"/>
          <w:sz w:val="19"/>
          <w:szCs w:val="19"/>
        </w:rPr>
        <w:sectPr>
          <w:headerReference r:id="rId28" w:type="default"/>
          <w:footerReference r:id="rId29" w:type="default"/>
          <w:pgSz w:w="11905" w:h="16839"/>
          <w:pgMar w:top="1136" w:right="798" w:bottom="937" w:left="1136" w:header="854" w:footer="923" w:gutter="0"/>
          <w:cols w:space="720" w:num="1"/>
        </w:sectPr>
      </w:pPr>
    </w:p>
    <w:p w14:paraId="7E786820">
      <w:pPr>
        <w:pStyle w:val="2"/>
        <w:spacing w:line="379" w:lineRule="auto"/>
      </w:pPr>
    </w:p>
    <w:p w14:paraId="656833CF">
      <w:pPr>
        <w:spacing w:before="78" w:line="220" w:lineRule="auto"/>
        <w:ind w:left="517"/>
        <w:rPr>
          <w:rFonts w:ascii="宋体" w:hAnsi="宋体" w:eastAsia="宋体" w:cs="宋体"/>
          <w:sz w:val="24"/>
          <w:szCs w:val="24"/>
        </w:rPr>
      </w:pPr>
      <w:r>
        <w:rPr>
          <w:rFonts w:ascii="宋体" w:hAnsi="宋体" w:eastAsia="宋体" w:cs="宋体"/>
          <w:spacing w:val="-3"/>
          <w:sz w:val="24"/>
          <w:szCs w:val="24"/>
        </w:rPr>
        <w:t>4.禁止使用磁盘或文件夹共享方式。</w:t>
      </w:r>
    </w:p>
    <w:p w14:paraId="7E62B332">
      <w:pPr>
        <w:spacing w:before="310" w:line="445" w:lineRule="auto"/>
        <w:ind w:left="520" w:right="3943" w:firstLine="2"/>
        <w:rPr>
          <w:rFonts w:ascii="宋体" w:hAnsi="宋体" w:eastAsia="宋体" w:cs="宋体"/>
          <w:sz w:val="24"/>
          <w:szCs w:val="24"/>
        </w:rPr>
      </w:pPr>
      <w:r>
        <w:rPr>
          <w:rFonts w:ascii="宋体" w:hAnsi="宋体" w:eastAsia="宋体" w:cs="宋体"/>
          <w:spacing w:val="-3"/>
          <w:sz w:val="24"/>
          <w:szCs w:val="24"/>
        </w:rPr>
        <w:t>5.禁止使用</w:t>
      </w:r>
      <w:r>
        <w:rPr>
          <w:rFonts w:ascii="宋体" w:hAnsi="宋体" w:eastAsia="宋体" w:cs="宋体"/>
          <w:spacing w:val="-29"/>
          <w:sz w:val="24"/>
          <w:szCs w:val="24"/>
        </w:rPr>
        <w:t xml:space="preserve"> </w:t>
      </w:r>
      <w:r>
        <w:rPr>
          <w:rFonts w:ascii="宋体" w:hAnsi="宋体" w:eastAsia="宋体" w:cs="宋体"/>
          <w:spacing w:val="-3"/>
          <w:sz w:val="24"/>
          <w:szCs w:val="24"/>
        </w:rPr>
        <w:t>135、137、138、139、445</w:t>
      </w:r>
      <w:r>
        <w:rPr>
          <w:rFonts w:ascii="宋体" w:hAnsi="宋体" w:eastAsia="宋体" w:cs="宋体"/>
          <w:spacing w:val="-48"/>
          <w:sz w:val="24"/>
          <w:szCs w:val="24"/>
        </w:rPr>
        <w:t xml:space="preserve"> </w:t>
      </w:r>
      <w:r>
        <w:rPr>
          <w:rFonts w:ascii="宋体" w:hAnsi="宋体" w:eastAsia="宋体" w:cs="宋体"/>
          <w:spacing w:val="-3"/>
          <w:sz w:val="24"/>
          <w:szCs w:val="24"/>
        </w:rPr>
        <w:t>等高危端口。</w:t>
      </w:r>
      <w:r>
        <w:rPr>
          <w:rFonts w:ascii="宋体" w:hAnsi="宋体" w:eastAsia="宋体" w:cs="宋体"/>
          <w:sz w:val="24"/>
          <w:szCs w:val="24"/>
        </w:rPr>
        <w:t xml:space="preserve"> </w:t>
      </w:r>
      <w:r>
        <w:rPr>
          <w:rFonts w:ascii="宋体" w:hAnsi="宋体" w:eastAsia="宋体" w:cs="宋体"/>
          <w:spacing w:val="-2"/>
          <w:sz w:val="24"/>
          <w:szCs w:val="24"/>
        </w:rPr>
        <w:t>6.第三方系统及临床客户端系统禁止直连数据库。</w:t>
      </w:r>
    </w:p>
    <w:p w14:paraId="4ABFB1F8">
      <w:pPr>
        <w:spacing w:before="35" w:line="449" w:lineRule="auto"/>
        <w:ind w:left="40" w:right="28" w:firstLine="483"/>
        <w:jc w:val="both"/>
        <w:rPr>
          <w:rFonts w:ascii="宋体" w:hAnsi="宋体" w:eastAsia="宋体" w:cs="宋体"/>
          <w:sz w:val="24"/>
          <w:szCs w:val="24"/>
        </w:rPr>
      </w:pPr>
      <w:r>
        <w:rPr>
          <w:rFonts w:ascii="宋体" w:hAnsi="宋体" w:eastAsia="宋体" w:cs="宋体"/>
          <w:spacing w:val="1"/>
          <w:sz w:val="24"/>
          <w:szCs w:val="24"/>
        </w:rPr>
        <w:t>7.支持采用集中式数据库及独立影像储存管理机制</w:t>
      </w:r>
      <w:r>
        <w:rPr>
          <w:rFonts w:ascii="宋体" w:hAnsi="宋体" w:eastAsia="宋体" w:cs="宋体"/>
          <w:sz w:val="24"/>
          <w:szCs w:val="24"/>
        </w:rPr>
        <w:t xml:space="preserve">，记录所有影像的储存位置。支持影像 </w:t>
      </w:r>
      <w:r>
        <w:rPr>
          <w:rFonts w:ascii="宋体" w:hAnsi="宋体" w:eastAsia="宋体" w:cs="宋体"/>
          <w:spacing w:val="1"/>
          <w:sz w:val="24"/>
          <w:szCs w:val="24"/>
        </w:rPr>
        <w:t>的分级存储。支持在线、近线存储与管理，可设定存储管理策</w:t>
      </w:r>
      <w:r>
        <w:rPr>
          <w:rFonts w:ascii="宋体" w:hAnsi="宋体" w:eastAsia="宋体" w:cs="宋体"/>
          <w:sz w:val="24"/>
          <w:szCs w:val="24"/>
        </w:rPr>
        <w:t xml:space="preserve">略，支持手动方式管理。图像采 </w:t>
      </w:r>
      <w:r>
        <w:rPr>
          <w:rFonts w:ascii="宋体" w:hAnsi="宋体" w:eastAsia="宋体" w:cs="宋体"/>
          <w:spacing w:val="-2"/>
          <w:sz w:val="24"/>
          <w:szCs w:val="24"/>
        </w:rPr>
        <w:t>用无损压缩，由</w:t>
      </w:r>
      <w:r>
        <w:rPr>
          <w:rFonts w:ascii="宋体" w:hAnsi="宋体" w:eastAsia="宋体" w:cs="宋体"/>
          <w:spacing w:val="-40"/>
          <w:sz w:val="24"/>
          <w:szCs w:val="24"/>
        </w:rPr>
        <w:t xml:space="preserve"> </w:t>
      </w:r>
      <w:r>
        <w:rPr>
          <w:rFonts w:ascii="宋体" w:hAnsi="宋体" w:eastAsia="宋体" w:cs="宋体"/>
          <w:spacing w:val="-2"/>
          <w:sz w:val="24"/>
          <w:szCs w:val="24"/>
        </w:rPr>
        <w:t>PACS</w:t>
      </w:r>
      <w:r>
        <w:rPr>
          <w:rFonts w:ascii="宋体" w:hAnsi="宋体" w:eastAsia="宋体" w:cs="宋体"/>
          <w:spacing w:val="-46"/>
          <w:sz w:val="24"/>
          <w:szCs w:val="24"/>
        </w:rPr>
        <w:t xml:space="preserve"> </w:t>
      </w:r>
      <w:r>
        <w:rPr>
          <w:rFonts w:ascii="宋体" w:hAnsi="宋体" w:eastAsia="宋体" w:cs="宋体"/>
          <w:spacing w:val="-2"/>
          <w:sz w:val="24"/>
          <w:szCs w:val="24"/>
        </w:rPr>
        <w:t>系统打印出的图像硬拷贝应不低于原设备打印输出的硬拷贝质量。</w:t>
      </w:r>
    </w:p>
    <w:p w14:paraId="296FE576">
      <w:pPr>
        <w:spacing w:before="35" w:line="223" w:lineRule="auto"/>
        <w:ind w:left="36"/>
        <w:rPr>
          <w:rFonts w:ascii="楷体" w:hAnsi="楷体" w:eastAsia="楷体" w:cs="楷体"/>
          <w:sz w:val="24"/>
          <w:szCs w:val="24"/>
        </w:rPr>
      </w:pPr>
      <w:r>
        <w:rPr>
          <w:rFonts w:ascii="楷体" w:hAnsi="楷体" w:eastAsia="楷体" w:cs="楷体"/>
          <w:spacing w:val="-1"/>
          <w:sz w:val="24"/>
          <w:szCs w:val="24"/>
        </w:rPr>
        <w:t>2.2 综合管理系统</w:t>
      </w:r>
    </w:p>
    <w:p w14:paraId="7CA77DCC">
      <w:pPr>
        <w:pStyle w:val="2"/>
        <w:spacing w:line="346" w:lineRule="auto"/>
      </w:pPr>
    </w:p>
    <w:p w14:paraId="482E9399">
      <w:pPr>
        <w:spacing w:before="79" w:line="219" w:lineRule="auto"/>
        <w:ind w:left="47"/>
        <w:rPr>
          <w:rFonts w:ascii="仿宋" w:hAnsi="仿宋" w:eastAsia="仿宋" w:cs="仿宋"/>
          <w:sz w:val="24"/>
          <w:szCs w:val="24"/>
        </w:rPr>
      </w:pPr>
      <w:r>
        <w:rPr>
          <w:rFonts w:ascii="仿宋" w:hAnsi="仿宋" w:eastAsia="仿宋" w:cs="仿宋"/>
          <w:b/>
          <w:bCs/>
          <w:spacing w:val="-6"/>
          <w:sz w:val="24"/>
          <w:szCs w:val="24"/>
        </w:rPr>
        <w:t>2.2.1</w:t>
      </w:r>
      <w:r>
        <w:rPr>
          <w:rFonts w:ascii="仿宋" w:hAnsi="仿宋" w:eastAsia="仿宋" w:cs="仿宋"/>
          <w:spacing w:val="21"/>
          <w:sz w:val="24"/>
          <w:szCs w:val="24"/>
        </w:rPr>
        <w:t xml:space="preserve"> </w:t>
      </w:r>
      <w:r>
        <w:rPr>
          <w:rFonts w:ascii="仿宋" w:hAnsi="仿宋" w:eastAsia="仿宋" w:cs="仿宋"/>
          <w:b/>
          <w:bCs/>
          <w:spacing w:val="-6"/>
          <w:sz w:val="24"/>
          <w:szCs w:val="24"/>
        </w:rPr>
        <w:t>配置管理系统</w:t>
      </w:r>
    </w:p>
    <w:p w14:paraId="10D58067">
      <w:pPr>
        <w:pStyle w:val="2"/>
        <w:spacing w:line="350" w:lineRule="auto"/>
      </w:pPr>
    </w:p>
    <w:p w14:paraId="0AC0ACFD">
      <w:pPr>
        <w:spacing w:before="79" w:line="445" w:lineRule="auto"/>
        <w:ind w:left="535" w:right="1024" w:hanging="76"/>
        <w:rPr>
          <w:rFonts w:ascii="宋体" w:hAnsi="宋体" w:eastAsia="宋体" w:cs="宋体"/>
          <w:sz w:val="24"/>
          <w:szCs w:val="24"/>
        </w:rPr>
      </w:pPr>
      <w:r>
        <w:rPr>
          <w:rFonts w:ascii="宋体" w:hAnsi="宋体" w:eastAsia="宋体" w:cs="宋体"/>
          <w:spacing w:val="-3"/>
          <w:sz w:val="24"/>
          <w:szCs w:val="24"/>
        </w:rPr>
        <w:t>提供管理及维护</w:t>
      </w:r>
      <w:r>
        <w:rPr>
          <w:rFonts w:ascii="宋体" w:hAnsi="宋体" w:eastAsia="宋体" w:cs="宋体"/>
          <w:spacing w:val="-39"/>
          <w:sz w:val="24"/>
          <w:szCs w:val="24"/>
        </w:rPr>
        <w:t xml:space="preserve"> </w:t>
      </w:r>
      <w:r>
        <w:rPr>
          <w:rFonts w:ascii="宋体" w:hAnsi="宋体" w:eastAsia="宋体" w:cs="宋体"/>
          <w:spacing w:val="-3"/>
          <w:sz w:val="24"/>
          <w:szCs w:val="24"/>
        </w:rPr>
        <w:t>PACS/RIS</w:t>
      </w:r>
      <w:r>
        <w:rPr>
          <w:rFonts w:ascii="宋体" w:hAnsi="宋体" w:eastAsia="宋体" w:cs="宋体"/>
          <w:spacing w:val="-31"/>
          <w:sz w:val="24"/>
          <w:szCs w:val="24"/>
        </w:rPr>
        <w:t xml:space="preserve"> </w:t>
      </w:r>
      <w:r>
        <w:rPr>
          <w:rFonts w:ascii="宋体" w:hAnsi="宋体" w:eastAsia="宋体" w:cs="宋体"/>
          <w:spacing w:val="-3"/>
          <w:sz w:val="24"/>
          <w:szCs w:val="24"/>
        </w:rPr>
        <w:t>的日常工作的基础数据，支持多级的用户权限管理如：</w:t>
      </w:r>
      <w:r>
        <w:rPr>
          <w:rFonts w:ascii="宋体" w:hAnsi="宋体" w:eastAsia="宋体" w:cs="宋体"/>
          <w:sz w:val="24"/>
          <w:szCs w:val="24"/>
        </w:rPr>
        <w:t xml:space="preserve"> </w:t>
      </w:r>
      <w:r>
        <w:rPr>
          <w:rFonts w:ascii="宋体" w:hAnsi="宋体" w:eastAsia="宋体" w:cs="宋体"/>
          <w:spacing w:val="-3"/>
          <w:sz w:val="24"/>
          <w:szCs w:val="24"/>
        </w:rPr>
        <w:t>1.设备管理：设备信息的添加与修改与删除。</w:t>
      </w:r>
    </w:p>
    <w:p w14:paraId="62CB7116">
      <w:pPr>
        <w:spacing w:before="34" w:line="445" w:lineRule="auto"/>
        <w:ind w:left="522" w:right="4663" w:hanging="1"/>
        <w:rPr>
          <w:rFonts w:ascii="宋体" w:hAnsi="宋体" w:eastAsia="宋体" w:cs="宋体"/>
          <w:sz w:val="24"/>
          <w:szCs w:val="24"/>
        </w:rPr>
      </w:pPr>
      <w:r>
        <w:rPr>
          <w:rFonts w:ascii="宋体" w:hAnsi="宋体" w:eastAsia="宋体" w:cs="宋体"/>
          <w:spacing w:val="-3"/>
          <w:sz w:val="24"/>
          <w:szCs w:val="24"/>
        </w:rPr>
        <w:t>2.科室管理：科室信息的添加与修改与删除。</w:t>
      </w:r>
      <w:r>
        <w:rPr>
          <w:rFonts w:ascii="宋体" w:hAnsi="宋体" w:eastAsia="宋体" w:cs="宋体"/>
          <w:spacing w:val="14"/>
          <w:sz w:val="24"/>
          <w:szCs w:val="24"/>
        </w:rPr>
        <w:t xml:space="preserve"> </w:t>
      </w:r>
      <w:r>
        <w:rPr>
          <w:rFonts w:ascii="宋体" w:hAnsi="宋体" w:eastAsia="宋体" w:cs="宋体"/>
          <w:spacing w:val="-3"/>
          <w:sz w:val="24"/>
          <w:szCs w:val="24"/>
        </w:rPr>
        <w:t>3.角色管理：角色信息的添加与修改与删除。</w:t>
      </w:r>
    </w:p>
    <w:p w14:paraId="6FB4A31B">
      <w:pPr>
        <w:spacing w:before="34" w:line="450" w:lineRule="auto"/>
        <w:ind w:left="519" w:right="3703" w:hanging="2"/>
        <w:jc w:val="both"/>
        <w:rPr>
          <w:rFonts w:ascii="宋体" w:hAnsi="宋体" w:eastAsia="宋体" w:cs="宋体"/>
          <w:sz w:val="24"/>
          <w:szCs w:val="24"/>
        </w:rPr>
      </w:pPr>
      <w:r>
        <w:rPr>
          <w:rFonts w:ascii="宋体" w:hAnsi="宋体" w:eastAsia="宋体" w:cs="宋体"/>
          <w:spacing w:val="-2"/>
          <w:sz w:val="24"/>
          <w:szCs w:val="24"/>
        </w:rPr>
        <w:t>4.用户账号管理：用户账号信息的添加与修改与删除。</w:t>
      </w:r>
      <w:r>
        <w:rPr>
          <w:rFonts w:ascii="宋体" w:hAnsi="宋体" w:eastAsia="宋体" w:cs="宋体"/>
          <w:spacing w:val="5"/>
          <w:sz w:val="24"/>
          <w:szCs w:val="24"/>
        </w:rPr>
        <w:t xml:space="preserve"> </w:t>
      </w:r>
      <w:r>
        <w:rPr>
          <w:rFonts w:ascii="宋体" w:hAnsi="宋体" w:eastAsia="宋体" w:cs="宋体"/>
          <w:spacing w:val="-2"/>
          <w:sz w:val="24"/>
          <w:szCs w:val="24"/>
        </w:rPr>
        <w:t>5.医疗机构管理：医疗机构信息的添加与修改与删除。</w:t>
      </w:r>
      <w:r>
        <w:rPr>
          <w:rFonts w:ascii="宋体" w:hAnsi="宋体" w:eastAsia="宋体" w:cs="宋体"/>
          <w:spacing w:val="2"/>
          <w:sz w:val="24"/>
          <w:szCs w:val="24"/>
        </w:rPr>
        <w:t xml:space="preserve"> </w:t>
      </w:r>
      <w:r>
        <w:rPr>
          <w:rFonts w:ascii="宋体" w:hAnsi="宋体" w:eastAsia="宋体" w:cs="宋体"/>
          <w:spacing w:val="-3"/>
          <w:sz w:val="24"/>
          <w:szCs w:val="24"/>
        </w:rPr>
        <w:t>6.检查部位及检查方法管理等。</w:t>
      </w:r>
    </w:p>
    <w:p w14:paraId="02334475">
      <w:pPr>
        <w:spacing w:before="36" w:line="217" w:lineRule="auto"/>
        <w:ind w:left="47"/>
        <w:rPr>
          <w:rFonts w:ascii="仿宋" w:hAnsi="仿宋" w:eastAsia="仿宋" w:cs="仿宋"/>
          <w:sz w:val="24"/>
          <w:szCs w:val="24"/>
        </w:rPr>
      </w:pPr>
      <w:r>
        <w:rPr>
          <w:rFonts w:ascii="仿宋" w:hAnsi="仿宋" w:eastAsia="仿宋" w:cs="仿宋"/>
          <w:b/>
          <w:bCs/>
          <w:spacing w:val="-5"/>
          <w:sz w:val="24"/>
          <w:szCs w:val="24"/>
        </w:rPr>
        <w:t>2.2.2</w:t>
      </w:r>
      <w:r>
        <w:rPr>
          <w:rFonts w:ascii="仿宋" w:hAnsi="仿宋" w:eastAsia="仿宋" w:cs="仿宋"/>
          <w:spacing w:val="-51"/>
          <w:sz w:val="24"/>
          <w:szCs w:val="24"/>
        </w:rPr>
        <w:t xml:space="preserve"> </w:t>
      </w:r>
      <w:r>
        <w:rPr>
          <w:rFonts w:ascii="仿宋" w:hAnsi="仿宋" w:eastAsia="仿宋" w:cs="仿宋"/>
          <w:b/>
          <w:bCs/>
          <w:spacing w:val="-5"/>
          <w:sz w:val="24"/>
          <w:szCs w:val="24"/>
        </w:rPr>
        <w:t>查询统计系统</w:t>
      </w:r>
    </w:p>
    <w:p w14:paraId="004ABDF4">
      <w:pPr>
        <w:pStyle w:val="2"/>
        <w:spacing w:line="352" w:lineRule="auto"/>
      </w:pPr>
    </w:p>
    <w:p w14:paraId="155F774B">
      <w:pPr>
        <w:spacing w:before="78" w:line="445" w:lineRule="auto"/>
        <w:ind w:left="521" w:right="4423" w:firstLine="14"/>
        <w:rPr>
          <w:rFonts w:ascii="宋体" w:hAnsi="宋体" w:eastAsia="宋体" w:cs="宋体"/>
          <w:sz w:val="24"/>
          <w:szCs w:val="24"/>
        </w:rPr>
      </w:pPr>
      <w:r>
        <w:rPr>
          <w:rFonts w:ascii="宋体" w:hAnsi="宋体" w:eastAsia="宋体" w:cs="宋体"/>
          <w:spacing w:val="-3"/>
          <w:sz w:val="24"/>
          <w:szCs w:val="24"/>
        </w:rPr>
        <w:t>1.支持科室的日常科室运行数据统计分析报表。</w:t>
      </w:r>
      <w:r>
        <w:rPr>
          <w:rFonts w:ascii="宋体" w:hAnsi="宋体" w:eastAsia="宋体" w:cs="宋体"/>
          <w:spacing w:val="3"/>
          <w:sz w:val="24"/>
          <w:szCs w:val="24"/>
        </w:rPr>
        <w:t xml:space="preserve"> </w:t>
      </w:r>
      <w:r>
        <w:rPr>
          <w:rFonts w:ascii="宋体" w:hAnsi="宋体" w:eastAsia="宋体" w:cs="宋体"/>
          <w:spacing w:val="-4"/>
          <w:sz w:val="24"/>
          <w:szCs w:val="24"/>
        </w:rPr>
        <w:t>2.特殊疾病的统计和查询。</w:t>
      </w:r>
    </w:p>
    <w:p w14:paraId="06D7BBD4">
      <w:pPr>
        <w:spacing w:before="34" w:line="220" w:lineRule="auto"/>
        <w:ind w:left="523"/>
        <w:rPr>
          <w:rFonts w:ascii="宋体" w:hAnsi="宋体" w:eastAsia="宋体" w:cs="宋体"/>
          <w:sz w:val="24"/>
          <w:szCs w:val="24"/>
        </w:rPr>
      </w:pPr>
      <w:r>
        <w:rPr>
          <w:rFonts w:ascii="宋体" w:hAnsi="宋体" w:eastAsia="宋体" w:cs="宋体"/>
          <w:spacing w:val="-1"/>
          <w:sz w:val="24"/>
          <w:szCs w:val="24"/>
        </w:rPr>
        <w:t>3.对描述及诊断内容能关键字检索</w:t>
      </w:r>
    </w:p>
    <w:p w14:paraId="7829D45E">
      <w:pPr>
        <w:spacing w:before="311" w:line="219" w:lineRule="auto"/>
        <w:ind w:left="517"/>
        <w:rPr>
          <w:rFonts w:ascii="宋体" w:hAnsi="宋体" w:eastAsia="宋体" w:cs="宋体"/>
          <w:sz w:val="24"/>
          <w:szCs w:val="24"/>
        </w:rPr>
      </w:pPr>
      <w:r>
        <w:rPr>
          <w:rFonts w:ascii="宋体" w:hAnsi="宋体" w:eastAsia="宋体" w:cs="宋体"/>
          <w:spacing w:val="-2"/>
          <w:sz w:val="24"/>
          <w:szCs w:val="24"/>
        </w:rPr>
        <w:t>4.支持统计登记、技师相关科室人员工作量。</w:t>
      </w:r>
    </w:p>
    <w:p w14:paraId="1C7B73DA">
      <w:pPr>
        <w:spacing w:before="312" w:line="445" w:lineRule="auto"/>
        <w:ind w:left="520" w:right="1783" w:firstLine="2"/>
        <w:rPr>
          <w:rFonts w:ascii="宋体" w:hAnsi="宋体" w:eastAsia="宋体" w:cs="宋体"/>
          <w:sz w:val="24"/>
          <w:szCs w:val="24"/>
        </w:rPr>
      </w:pPr>
      <w:r>
        <w:rPr>
          <w:rFonts w:ascii="宋体" w:hAnsi="宋体" w:eastAsia="宋体" w:cs="宋体"/>
          <w:spacing w:val="-2"/>
          <w:sz w:val="24"/>
          <w:szCs w:val="24"/>
        </w:rPr>
        <w:t>5.诊断医生、报告医生、审核医生等工作量统计，按时间段工作量统计。</w:t>
      </w:r>
      <w:r>
        <w:rPr>
          <w:rFonts w:ascii="宋体" w:hAnsi="宋体" w:eastAsia="宋体" w:cs="宋体"/>
          <w:spacing w:val="16"/>
          <w:sz w:val="24"/>
          <w:szCs w:val="24"/>
        </w:rPr>
        <w:t xml:space="preserve"> </w:t>
      </w:r>
      <w:r>
        <w:rPr>
          <w:rFonts w:ascii="宋体" w:hAnsi="宋体" w:eastAsia="宋体" w:cs="宋体"/>
          <w:spacing w:val="-3"/>
          <w:sz w:val="24"/>
          <w:szCs w:val="24"/>
        </w:rPr>
        <w:t>6.检查项目数量和计费情况统计。</w:t>
      </w:r>
    </w:p>
    <w:p w14:paraId="0E154DFC">
      <w:pPr>
        <w:spacing w:before="34" w:line="220" w:lineRule="auto"/>
        <w:ind w:left="524"/>
        <w:rPr>
          <w:rFonts w:ascii="宋体" w:hAnsi="宋体" w:eastAsia="宋体" w:cs="宋体"/>
          <w:sz w:val="24"/>
          <w:szCs w:val="24"/>
        </w:rPr>
      </w:pPr>
      <w:r>
        <w:rPr>
          <w:rFonts w:ascii="宋体" w:hAnsi="宋体" w:eastAsia="宋体" w:cs="宋体"/>
          <w:spacing w:val="-4"/>
          <w:sz w:val="24"/>
          <w:szCs w:val="24"/>
        </w:rPr>
        <w:t>7.统计报表导出</w:t>
      </w:r>
      <w:r>
        <w:rPr>
          <w:rFonts w:ascii="宋体" w:hAnsi="宋体" w:eastAsia="宋体" w:cs="宋体"/>
          <w:spacing w:val="-43"/>
          <w:sz w:val="24"/>
          <w:szCs w:val="24"/>
        </w:rPr>
        <w:t xml:space="preserve"> </w:t>
      </w:r>
      <w:r>
        <w:rPr>
          <w:rFonts w:ascii="宋体" w:hAnsi="宋体" w:eastAsia="宋体" w:cs="宋体"/>
          <w:spacing w:val="-4"/>
          <w:sz w:val="24"/>
          <w:szCs w:val="24"/>
        </w:rPr>
        <w:t>Excel</w:t>
      </w:r>
      <w:r>
        <w:rPr>
          <w:rFonts w:ascii="宋体" w:hAnsi="宋体" w:eastAsia="宋体" w:cs="宋体"/>
          <w:spacing w:val="-49"/>
          <w:sz w:val="24"/>
          <w:szCs w:val="24"/>
        </w:rPr>
        <w:t xml:space="preserve"> </w:t>
      </w:r>
      <w:r>
        <w:rPr>
          <w:rFonts w:ascii="宋体" w:hAnsi="宋体" w:eastAsia="宋体" w:cs="宋体"/>
          <w:spacing w:val="-4"/>
          <w:sz w:val="24"/>
          <w:szCs w:val="24"/>
        </w:rPr>
        <w:t>等格式。</w:t>
      </w:r>
    </w:p>
    <w:p w14:paraId="177D3445">
      <w:pPr>
        <w:pStyle w:val="2"/>
        <w:spacing w:line="307" w:lineRule="auto"/>
      </w:pPr>
    </w:p>
    <w:p w14:paraId="7EC25375">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2"/>
          <w:position w:val="1"/>
          <w:sz w:val="18"/>
          <w:szCs w:val="18"/>
        </w:rPr>
        <w:t xml:space="preserve">47                          </w:t>
      </w:r>
      <w:r>
        <w:rPr>
          <w:rFonts w:ascii="Times New Roman" w:hAnsi="Times New Roman" w:eastAsia="Times New Roman" w:cs="Times New Roman"/>
          <w:spacing w:val="-3"/>
          <w:position w:val="1"/>
          <w:sz w:val="18"/>
          <w:szCs w:val="18"/>
        </w:rPr>
        <w:t xml:space="preserve">     </w:t>
      </w:r>
      <w:r>
        <w:rPr>
          <w:rFonts w:ascii="宋体" w:hAnsi="宋体" w:eastAsia="宋体" w:cs="宋体"/>
          <w:b/>
          <w:bCs/>
          <w:i/>
          <w:iCs/>
          <w:spacing w:val="-3"/>
          <w:sz w:val="19"/>
          <w:szCs w:val="19"/>
        </w:rPr>
        <w:t>伊犁州公共资源交易中心</w:t>
      </w:r>
    </w:p>
    <w:p w14:paraId="2266C823">
      <w:pPr>
        <w:spacing w:line="160" w:lineRule="auto"/>
        <w:rPr>
          <w:rFonts w:ascii="宋体" w:hAnsi="宋体" w:eastAsia="宋体" w:cs="宋体"/>
          <w:sz w:val="19"/>
          <w:szCs w:val="19"/>
        </w:rPr>
        <w:sectPr>
          <w:headerReference r:id="rId30" w:type="default"/>
          <w:footerReference r:id="rId31" w:type="default"/>
          <w:pgSz w:w="11905" w:h="16839"/>
          <w:pgMar w:top="1136" w:right="830" w:bottom="937" w:left="1136" w:header="854" w:footer="923" w:gutter="0"/>
          <w:cols w:space="720" w:num="1"/>
        </w:sectPr>
      </w:pPr>
    </w:p>
    <w:p w14:paraId="661866CF">
      <w:pPr>
        <w:pStyle w:val="2"/>
        <w:spacing w:line="379" w:lineRule="auto"/>
      </w:pPr>
    </w:p>
    <w:p w14:paraId="0A28BA80">
      <w:pPr>
        <w:spacing w:before="78" w:line="220" w:lineRule="auto"/>
        <w:ind w:left="519"/>
        <w:rPr>
          <w:rFonts w:ascii="宋体" w:hAnsi="宋体" w:eastAsia="宋体" w:cs="宋体"/>
          <w:sz w:val="24"/>
          <w:szCs w:val="24"/>
        </w:rPr>
      </w:pPr>
      <w:r>
        <w:rPr>
          <w:rFonts w:ascii="宋体" w:hAnsi="宋体" w:eastAsia="宋体" w:cs="宋体"/>
          <w:spacing w:val="-3"/>
          <w:sz w:val="24"/>
          <w:szCs w:val="24"/>
        </w:rPr>
        <w:t>8.所有统计结果都支持</w:t>
      </w:r>
      <w:r>
        <w:rPr>
          <w:rFonts w:ascii="宋体" w:hAnsi="宋体" w:eastAsia="宋体" w:cs="宋体"/>
          <w:spacing w:val="-46"/>
          <w:sz w:val="24"/>
          <w:szCs w:val="24"/>
        </w:rPr>
        <w:t xml:space="preserve"> </w:t>
      </w:r>
      <w:r>
        <w:rPr>
          <w:rFonts w:ascii="宋体" w:hAnsi="宋体" w:eastAsia="宋体" w:cs="宋体"/>
          <w:spacing w:val="-3"/>
          <w:sz w:val="24"/>
          <w:szCs w:val="24"/>
        </w:rPr>
        <w:t>EXCEL</w:t>
      </w:r>
      <w:r>
        <w:rPr>
          <w:rFonts w:ascii="宋体" w:hAnsi="宋体" w:eastAsia="宋体" w:cs="宋体"/>
          <w:spacing w:val="-48"/>
          <w:sz w:val="24"/>
          <w:szCs w:val="24"/>
        </w:rPr>
        <w:t xml:space="preserve"> </w:t>
      </w:r>
      <w:r>
        <w:rPr>
          <w:rFonts w:ascii="宋体" w:hAnsi="宋体" w:eastAsia="宋体" w:cs="宋体"/>
          <w:spacing w:val="-3"/>
          <w:sz w:val="24"/>
          <w:szCs w:val="24"/>
        </w:rPr>
        <w:t>文件导出。</w:t>
      </w:r>
    </w:p>
    <w:p w14:paraId="57B5CEE1">
      <w:pPr>
        <w:spacing w:before="310" w:line="220" w:lineRule="auto"/>
        <w:ind w:left="519"/>
        <w:rPr>
          <w:rFonts w:ascii="宋体" w:hAnsi="宋体" w:eastAsia="宋体" w:cs="宋体"/>
          <w:sz w:val="24"/>
          <w:szCs w:val="24"/>
        </w:rPr>
      </w:pPr>
      <w:r>
        <w:rPr>
          <w:rFonts w:ascii="宋体" w:hAnsi="宋体" w:eastAsia="宋体" w:cs="宋体"/>
          <w:spacing w:val="-2"/>
          <w:sz w:val="24"/>
          <w:szCs w:val="24"/>
        </w:rPr>
        <w:t>9.关于检查相关的十三项核心指标报表统</w:t>
      </w:r>
      <w:r>
        <w:rPr>
          <w:rFonts w:ascii="宋体" w:hAnsi="宋体" w:eastAsia="宋体" w:cs="宋体"/>
          <w:spacing w:val="-3"/>
          <w:sz w:val="24"/>
          <w:szCs w:val="24"/>
        </w:rPr>
        <w:t>计。</w:t>
      </w:r>
    </w:p>
    <w:p w14:paraId="1DCB02CF">
      <w:pPr>
        <w:spacing w:before="311" w:line="217" w:lineRule="auto"/>
        <w:ind w:left="47"/>
        <w:rPr>
          <w:rFonts w:ascii="仿宋" w:hAnsi="仿宋" w:eastAsia="仿宋" w:cs="仿宋"/>
          <w:sz w:val="24"/>
          <w:szCs w:val="24"/>
        </w:rPr>
      </w:pPr>
      <w:r>
        <w:rPr>
          <w:rFonts w:ascii="仿宋" w:hAnsi="仿宋" w:eastAsia="仿宋" w:cs="仿宋"/>
          <w:b/>
          <w:bCs/>
          <w:spacing w:val="-5"/>
          <w:sz w:val="24"/>
          <w:szCs w:val="24"/>
        </w:rPr>
        <w:t>2.2.3</w:t>
      </w:r>
      <w:r>
        <w:rPr>
          <w:rFonts w:ascii="仿宋" w:hAnsi="仿宋" w:eastAsia="仿宋" w:cs="仿宋"/>
          <w:spacing w:val="-44"/>
          <w:sz w:val="24"/>
          <w:szCs w:val="24"/>
        </w:rPr>
        <w:t xml:space="preserve"> </w:t>
      </w:r>
      <w:r>
        <w:rPr>
          <w:rFonts w:ascii="仿宋" w:hAnsi="仿宋" w:eastAsia="仿宋" w:cs="仿宋"/>
          <w:b/>
          <w:bCs/>
          <w:spacing w:val="-5"/>
          <w:sz w:val="24"/>
          <w:szCs w:val="24"/>
        </w:rPr>
        <w:t>排队叫号系统或接口</w:t>
      </w:r>
    </w:p>
    <w:p w14:paraId="36CBE1C4">
      <w:pPr>
        <w:pStyle w:val="2"/>
        <w:spacing w:line="352" w:lineRule="auto"/>
      </w:pPr>
    </w:p>
    <w:p w14:paraId="17BFB3CC">
      <w:pPr>
        <w:spacing w:before="78" w:line="220" w:lineRule="auto"/>
        <w:ind w:left="944"/>
        <w:rPr>
          <w:rFonts w:ascii="宋体" w:hAnsi="宋体" w:eastAsia="宋体" w:cs="宋体"/>
          <w:sz w:val="24"/>
          <w:szCs w:val="24"/>
        </w:rPr>
      </w:pPr>
      <w:r>
        <w:rPr>
          <w:rFonts w:ascii="宋体" w:hAnsi="宋体" w:eastAsia="宋体" w:cs="宋体"/>
          <w:b/>
          <w:bCs/>
          <w:spacing w:val="-5"/>
          <w:sz w:val="24"/>
          <w:szCs w:val="24"/>
        </w:rPr>
        <w:t>（1）队列管理</w:t>
      </w:r>
    </w:p>
    <w:p w14:paraId="6F8FE1A3">
      <w:pPr>
        <w:spacing w:before="310" w:line="220" w:lineRule="auto"/>
        <w:ind w:left="956"/>
        <w:rPr>
          <w:rFonts w:ascii="宋体" w:hAnsi="宋体" w:eastAsia="宋体" w:cs="宋体"/>
          <w:sz w:val="24"/>
          <w:szCs w:val="24"/>
        </w:rPr>
      </w:pPr>
      <w:r>
        <w:rPr>
          <w:rFonts w:ascii="宋体" w:hAnsi="宋体" w:eastAsia="宋体" w:cs="宋体"/>
          <w:spacing w:val="-4"/>
          <w:sz w:val="24"/>
          <w:szCs w:val="24"/>
        </w:rPr>
        <w:t>1.登记室医护人员可登录队列管理系统。</w:t>
      </w:r>
    </w:p>
    <w:p w14:paraId="4F08611A">
      <w:pPr>
        <w:spacing w:before="310" w:line="445" w:lineRule="auto"/>
        <w:ind w:left="942" w:right="4559" w:hanging="1"/>
        <w:rPr>
          <w:rFonts w:ascii="宋体" w:hAnsi="宋体" w:eastAsia="宋体" w:cs="宋体"/>
          <w:sz w:val="24"/>
          <w:szCs w:val="24"/>
        </w:rPr>
      </w:pPr>
      <w:r>
        <w:rPr>
          <w:rFonts w:ascii="宋体" w:hAnsi="宋体" w:eastAsia="宋体" w:cs="宋体"/>
          <w:spacing w:val="-3"/>
          <w:sz w:val="24"/>
          <w:szCs w:val="24"/>
        </w:rPr>
        <w:t>2.查询患者信息，分诊排队患者就诊诊室。</w:t>
      </w:r>
      <w:r>
        <w:rPr>
          <w:rFonts w:ascii="宋体" w:hAnsi="宋体" w:eastAsia="宋体" w:cs="宋体"/>
          <w:spacing w:val="11"/>
          <w:sz w:val="24"/>
          <w:szCs w:val="24"/>
        </w:rPr>
        <w:t xml:space="preserve"> </w:t>
      </w:r>
      <w:r>
        <w:rPr>
          <w:rFonts w:ascii="宋体" w:hAnsi="宋体" w:eastAsia="宋体" w:cs="宋体"/>
          <w:spacing w:val="-3"/>
          <w:sz w:val="24"/>
          <w:szCs w:val="24"/>
        </w:rPr>
        <w:t>3.查看科室内各检查诊室患者排队情况。</w:t>
      </w:r>
    </w:p>
    <w:p w14:paraId="5867D1FA">
      <w:pPr>
        <w:spacing w:before="34" w:line="220" w:lineRule="auto"/>
        <w:ind w:left="937"/>
        <w:rPr>
          <w:rFonts w:ascii="宋体" w:hAnsi="宋体" w:eastAsia="宋体" w:cs="宋体"/>
          <w:sz w:val="24"/>
          <w:szCs w:val="24"/>
        </w:rPr>
      </w:pPr>
      <w:r>
        <w:rPr>
          <w:rFonts w:ascii="宋体" w:hAnsi="宋体" w:eastAsia="宋体" w:cs="宋体"/>
          <w:spacing w:val="-2"/>
          <w:sz w:val="24"/>
          <w:szCs w:val="24"/>
        </w:rPr>
        <w:t>4.根据患者排队状态，管理或调整患者就诊诊室。</w:t>
      </w:r>
    </w:p>
    <w:p w14:paraId="0E4F1482">
      <w:pPr>
        <w:spacing w:before="310" w:line="220" w:lineRule="auto"/>
        <w:ind w:left="944"/>
        <w:rPr>
          <w:rFonts w:ascii="宋体" w:hAnsi="宋体" w:eastAsia="宋体" w:cs="宋体"/>
          <w:sz w:val="24"/>
          <w:szCs w:val="24"/>
        </w:rPr>
      </w:pPr>
      <w:r>
        <w:rPr>
          <w:rFonts w:ascii="宋体" w:hAnsi="宋体" w:eastAsia="宋体" w:cs="宋体"/>
          <w:b/>
          <w:bCs/>
          <w:spacing w:val="-5"/>
          <w:sz w:val="24"/>
          <w:szCs w:val="24"/>
        </w:rPr>
        <w:t>（2）就诊呼叫</w:t>
      </w:r>
    </w:p>
    <w:p w14:paraId="02339CA0">
      <w:pPr>
        <w:spacing w:before="309" w:line="220" w:lineRule="auto"/>
        <w:ind w:left="956"/>
        <w:rPr>
          <w:rFonts w:ascii="宋体" w:hAnsi="宋体" w:eastAsia="宋体" w:cs="宋体"/>
          <w:sz w:val="24"/>
          <w:szCs w:val="24"/>
        </w:rPr>
      </w:pPr>
      <w:r>
        <w:rPr>
          <w:rFonts w:ascii="宋体" w:hAnsi="宋体" w:eastAsia="宋体" w:cs="宋体"/>
          <w:spacing w:val="-4"/>
          <w:sz w:val="24"/>
          <w:szCs w:val="24"/>
        </w:rPr>
        <w:t>1.查看当前诊室在大厅排队队列。</w:t>
      </w:r>
    </w:p>
    <w:p w14:paraId="3DB89FED">
      <w:pPr>
        <w:spacing w:before="311" w:line="219" w:lineRule="auto"/>
        <w:ind w:left="941"/>
        <w:rPr>
          <w:rFonts w:ascii="宋体" w:hAnsi="宋体" w:eastAsia="宋体" w:cs="宋体"/>
          <w:sz w:val="24"/>
          <w:szCs w:val="24"/>
        </w:rPr>
      </w:pPr>
      <w:r>
        <w:rPr>
          <w:rFonts w:ascii="宋体" w:hAnsi="宋体" w:eastAsia="宋体" w:cs="宋体"/>
          <w:spacing w:val="-2"/>
          <w:sz w:val="24"/>
          <w:szCs w:val="24"/>
        </w:rPr>
        <w:t>2.支持对诊室排队队列患者进行呼叫、重叫、过号等指令。</w:t>
      </w:r>
    </w:p>
    <w:p w14:paraId="26F800CA">
      <w:pPr>
        <w:spacing w:before="311" w:line="220" w:lineRule="auto"/>
        <w:ind w:left="944"/>
        <w:rPr>
          <w:rFonts w:ascii="宋体" w:hAnsi="宋体" w:eastAsia="宋体" w:cs="宋体"/>
          <w:sz w:val="24"/>
          <w:szCs w:val="24"/>
        </w:rPr>
      </w:pPr>
      <w:r>
        <w:rPr>
          <w:rFonts w:ascii="宋体" w:hAnsi="宋体" w:eastAsia="宋体" w:cs="宋体"/>
          <w:b/>
          <w:bCs/>
          <w:spacing w:val="-5"/>
          <w:sz w:val="24"/>
          <w:szCs w:val="24"/>
        </w:rPr>
        <w:t>（3）大屏管理</w:t>
      </w:r>
    </w:p>
    <w:p w14:paraId="06DA6A91">
      <w:pPr>
        <w:spacing w:before="310" w:line="219" w:lineRule="auto"/>
        <w:ind w:left="956"/>
        <w:rPr>
          <w:rFonts w:ascii="宋体" w:hAnsi="宋体" w:eastAsia="宋体" w:cs="宋体"/>
          <w:sz w:val="24"/>
          <w:szCs w:val="24"/>
        </w:rPr>
      </w:pPr>
      <w:r>
        <w:rPr>
          <w:rFonts w:ascii="宋体" w:hAnsi="宋体" w:eastAsia="宋体" w:cs="宋体"/>
          <w:spacing w:val="-2"/>
          <w:sz w:val="24"/>
          <w:szCs w:val="24"/>
        </w:rPr>
        <w:t>1.大屏幕显示模块：在大屏幕上显示各诊室的患者队列情况及相关信息。</w:t>
      </w:r>
    </w:p>
    <w:p w14:paraId="296FED29">
      <w:pPr>
        <w:spacing w:before="311" w:line="445" w:lineRule="auto"/>
        <w:ind w:left="457" w:right="18" w:firstLine="483"/>
        <w:rPr>
          <w:rFonts w:ascii="宋体" w:hAnsi="宋体" w:eastAsia="宋体" w:cs="宋体"/>
          <w:sz w:val="24"/>
          <w:szCs w:val="24"/>
        </w:rPr>
      </w:pPr>
      <w:r>
        <w:rPr>
          <w:rFonts w:ascii="宋体" w:hAnsi="宋体" w:eastAsia="宋体" w:cs="宋体"/>
          <w:spacing w:val="2"/>
          <w:sz w:val="24"/>
          <w:szCs w:val="24"/>
        </w:rPr>
        <w:t>2.★大屏显示模板管理，分诊叫号大屏显示管理：支持无代码编译模式，支持大屏可</w:t>
      </w:r>
      <w:r>
        <w:rPr>
          <w:rFonts w:ascii="宋体" w:hAnsi="宋体" w:eastAsia="宋体" w:cs="宋体"/>
          <w:spacing w:val="10"/>
          <w:sz w:val="24"/>
          <w:szCs w:val="24"/>
        </w:rPr>
        <w:t xml:space="preserve"> </w:t>
      </w:r>
      <w:r>
        <w:rPr>
          <w:rFonts w:ascii="宋体" w:hAnsi="宋体" w:eastAsia="宋体" w:cs="宋体"/>
          <w:spacing w:val="-2"/>
          <w:sz w:val="24"/>
          <w:szCs w:val="24"/>
        </w:rPr>
        <w:t>视化配置，可由用户自定义按照组件方式配置多种大屏格式。（提供系统界面功能截图）。</w:t>
      </w:r>
    </w:p>
    <w:p w14:paraId="748AA756">
      <w:pPr>
        <w:spacing w:before="35" w:line="220" w:lineRule="auto"/>
        <w:ind w:left="944"/>
        <w:rPr>
          <w:rFonts w:ascii="宋体" w:hAnsi="宋体" w:eastAsia="宋体" w:cs="宋体"/>
          <w:sz w:val="24"/>
          <w:szCs w:val="24"/>
        </w:rPr>
      </w:pPr>
      <w:r>
        <w:rPr>
          <w:rFonts w:ascii="宋体" w:hAnsi="宋体" w:eastAsia="宋体" w:cs="宋体"/>
          <w:b/>
          <w:bCs/>
          <w:spacing w:val="-5"/>
          <w:sz w:val="24"/>
          <w:szCs w:val="24"/>
        </w:rPr>
        <w:t>（4）语音播叫</w:t>
      </w:r>
    </w:p>
    <w:p w14:paraId="39EE2A53">
      <w:pPr>
        <w:spacing w:before="310" w:line="220" w:lineRule="auto"/>
        <w:ind w:left="956"/>
        <w:rPr>
          <w:rFonts w:ascii="宋体" w:hAnsi="宋体" w:eastAsia="宋体" w:cs="宋体"/>
          <w:sz w:val="24"/>
          <w:szCs w:val="24"/>
        </w:rPr>
      </w:pPr>
      <w:r>
        <w:rPr>
          <w:rFonts w:ascii="宋体" w:hAnsi="宋体" w:eastAsia="宋体" w:cs="宋体"/>
          <w:spacing w:val="-1"/>
          <w:sz w:val="24"/>
          <w:szCs w:val="24"/>
        </w:rPr>
        <w:t>1.语音播叫模块：语音播叫，呼叫相应的患者</w:t>
      </w:r>
      <w:r>
        <w:rPr>
          <w:rFonts w:ascii="宋体" w:hAnsi="宋体" w:eastAsia="宋体" w:cs="宋体"/>
          <w:spacing w:val="-2"/>
          <w:sz w:val="24"/>
          <w:szCs w:val="24"/>
        </w:rPr>
        <w:t>进行就诊</w:t>
      </w:r>
    </w:p>
    <w:p w14:paraId="092B7D97">
      <w:pPr>
        <w:spacing w:before="312" w:line="218" w:lineRule="auto"/>
        <w:ind w:left="47"/>
        <w:rPr>
          <w:rFonts w:ascii="仿宋" w:hAnsi="仿宋" w:eastAsia="仿宋" w:cs="仿宋"/>
          <w:sz w:val="24"/>
          <w:szCs w:val="24"/>
        </w:rPr>
      </w:pPr>
      <w:r>
        <w:rPr>
          <w:rFonts w:ascii="仿宋" w:hAnsi="仿宋" w:eastAsia="仿宋" w:cs="仿宋"/>
          <w:b/>
          <w:bCs/>
          <w:spacing w:val="-6"/>
          <w:sz w:val="24"/>
          <w:szCs w:val="24"/>
        </w:rPr>
        <w:t>2.2.4</w:t>
      </w:r>
      <w:r>
        <w:rPr>
          <w:rFonts w:ascii="仿宋" w:hAnsi="仿宋" w:eastAsia="仿宋" w:cs="仿宋"/>
          <w:spacing w:val="-40"/>
          <w:sz w:val="24"/>
          <w:szCs w:val="24"/>
        </w:rPr>
        <w:t xml:space="preserve"> </w:t>
      </w:r>
      <w:r>
        <w:rPr>
          <w:rFonts w:ascii="仿宋" w:hAnsi="仿宋" w:eastAsia="仿宋" w:cs="仿宋"/>
          <w:b/>
          <w:bCs/>
          <w:spacing w:val="-6"/>
          <w:sz w:val="24"/>
          <w:szCs w:val="24"/>
        </w:rPr>
        <w:t>质控管理系统</w:t>
      </w:r>
    </w:p>
    <w:p w14:paraId="6D9DC4B7">
      <w:pPr>
        <w:pStyle w:val="2"/>
        <w:spacing w:line="352" w:lineRule="auto"/>
      </w:pPr>
    </w:p>
    <w:p w14:paraId="51C1DCD2">
      <w:pPr>
        <w:spacing w:before="78" w:line="444" w:lineRule="auto"/>
        <w:ind w:left="39" w:right="157" w:firstLine="496"/>
        <w:rPr>
          <w:rFonts w:ascii="宋体" w:hAnsi="宋体" w:eastAsia="宋体" w:cs="宋体"/>
          <w:sz w:val="24"/>
          <w:szCs w:val="24"/>
        </w:rPr>
      </w:pPr>
      <w:r>
        <w:rPr>
          <w:rFonts w:ascii="宋体" w:hAnsi="宋体" w:eastAsia="宋体" w:cs="宋体"/>
          <w:spacing w:val="-1"/>
          <w:sz w:val="24"/>
          <w:szCs w:val="24"/>
        </w:rPr>
        <w:t>1.提供全流程质控管理，从申请单、图像、报告进行流程化质控：支持申请单内容质</w:t>
      </w:r>
      <w:r>
        <w:rPr>
          <w:rFonts w:ascii="宋体" w:hAnsi="宋体" w:eastAsia="宋体" w:cs="宋体"/>
          <w:spacing w:val="-2"/>
          <w:sz w:val="24"/>
          <w:szCs w:val="24"/>
        </w:rPr>
        <w:t>控，</w:t>
      </w:r>
      <w:r>
        <w:rPr>
          <w:rFonts w:ascii="宋体" w:hAnsi="宋体" w:eastAsia="宋体" w:cs="宋体"/>
          <w:sz w:val="24"/>
          <w:szCs w:val="24"/>
        </w:rPr>
        <w:t xml:space="preserve"> </w:t>
      </w:r>
      <w:r>
        <w:rPr>
          <w:rFonts w:ascii="宋体" w:hAnsi="宋体" w:eastAsia="宋体" w:cs="宋体"/>
          <w:spacing w:val="-1"/>
          <w:sz w:val="24"/>
          <w:szCs w:val="24"/>
        </w:rPr>
        <w:t>支持报告医生提交报告前进行影像质控评分，支持审核医生审核报告前进行报告</w:t>
      </w:r>
      <w:r>
        <w:rPr>
          <w:rFonts w:ascii="宋体" w:hAnsi="宋体" w:eastAsia="宋体" w:cs="宋体"/>
          <w:spacing w:val="-2"/>
          <w:sz w:val="24"/>
          <w:szCs w:val="24"/>
        </w:rPr>
        <w:t>质控评分。</w:t>
      </w:r>
    </w:p>
    <w:p w14:paraId="48908A51">
      <w:pPr>
        <w:spacing w:before="37" w:line="445" w:lineRule="auto"/>
        <w:ind w:left="37" w:right="104" w:firstLine="483"/>
        <w:rPr>
          <w:rFonts w:ascii="宋体" w:hAnsi="宋体" w:eastAsia="宋体" w:cs="宋体"/>
          <w:sz w:val="24"/>
          <w:szCs w:val="24"/>
        </w:rPr>
      </w:pPr>
      <w:r>
        <w:rPr>
          <w:rFonts w:ascii="宋体" w:hAnsi="宋体" w:eastAsia="宋体" w:cs="宋体"/>
          <w:spacing w:val="1"/>
          <w:sz w:val="24"/>
          <w:szCs w:val="24"/>
        </w:rPr>
        <w:t>2.支持按批次质控，批次下可建立对应的任务，同时能够</w:t>
      </w:r>
      <w:r>
        <w:rPr>
          <w:rFonts w:ascii="宋体" w:hAnsi="宋体" w:eastAsia="宋体" w:cs="宋体"/>
          <w:sz w:val="24"/>
          <w:szCs w:val="24"/>
        </w:rPr>
        <w:t xml:space="preserve">灵活查看影像质控批次管理、质 </w:t>
      </w:r>
      <w:r>
        <w:rPr>
          <w:rFonts w:ascii="宋体" w:hAnsi="宋体" w:eastAsia="宋体" w:cs="宋体"/>
          <w:spacing w:val="-4"/>
          <w:sz w:val="24"/>
          <w:szCs w:val="24"/>
        </w:rPr>
        <w:t>控任务管理、质控进度跟踪等信息；</w:t>
      </w:r>
    </w:p>
    <w:p w14:paraId="0AC7EC07">
      <w:pPr>
        <w:spacing w:before="34" w:line="219" w:lineRule="auto"/>
        <w:jc w:val="right"/>
        <w:rPr>
          <w:rFonts w:ascii="宋体" w:hAnsi="宋体" w:eastAsia="宋体" w:cs="宋体"/>
          <w:sz w:val="24"/>
          <w:szCs w:val="24"/>
        </w:rPr>
      </w:pPr>
      <w:r>
        <w:rPr>
          <w:rFonts w:ascii="宋体" w:hAnsi="宋体" w:eastAsia="宋体" w:cs="宋体"/>
          <w:spacing w:val="-3"/>
          <w:sz w:val="24"/>
          <w:szCs w:val="24"/>
        </w:rPr>
        <w:t>3.★支持质控标准自定义维护，支持以单选、多选、描述评分。（提供系统界面功能截图）</w:t>
      </w:r>
    </w:p>
    <w:p w14:paraId="39FB523D">
      <w:pPr>
        <w:pStyle w:val="2"/>
        <w:spacing w:line="427" w:lineRule="auto"/>
      </w:pPr>
    </w:p>
    <w:p w14:paraId="690E37E8">
      <w:pPr>
        <w:spacing w:before="63"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2"/>
          <w:position w:val="1"/>
          <w:sz w:val="18"/>
          <w:szCs w:val="18"/>
        </w:rPr>
        <w:t xml:space="preserve">48                          </w:t>
      </w:r>
      <w:r>
        <w:rPr>
          <w:rFonts w:ascii="Times New Roman" w:hAnsi="Times New Roman" w:eastAsia="Times New Roman" w:cs="Times New Roman"/>
          <w:spacing w:val="-3"/>
          <w:position w:val="1"/>
          <w:sz w:val="18"/>
          <w:szCs w:val="18"/>
        </w:rPr>
        <w:t xml:space="preserve">     </w:t>
      </w:r>
      <w:r>
        <w:rPr>
          <w:rFonts w:ascii="宋体" w:hAnsi="宋体" w:eastAsia="宋体" w:cs="宋体"/>
          <w:b/>
          <w:bCs/>
          <w:i/>
          <w:iCs/>
          <w:spacing w:val="-3"/>
          <w:sz w:val="19"/>
          <w:szCs w:val="19"/>
        </w:rPr>
        <w:t>伊犁州公共资源交易中心</w:t>
      </w:r>
    </w:p>
    <w:p w14:paraId="3B0D9D62">
      <w:pPr>
        <w:spacing w:line="160" w:lineRule="auto"/>
        <w:rPr>
          <w:rFonts w:ascii="宋体" w:hAnsi="宋体" w:eastAsia="宋体" w:cs="宋体"/>
          <w:sz w:val="19"/>
          <w:szCs w:val="19"/>
        </w:rPr>
        <w:sectPr>
          <w:headerReference r:id="rId32" w:type="default"/>
          <w:footerReference r:id="rId33" w:type="default"/>
          <w:pgSz w:w="11905" w:h="16839"/>
          <w:pgMar w:top="1136" w:right="754" w:bottom="937" w:left="1136" w:header="854" w:footer="923" w:gutter="0"/>
          <w:cols w:space="720" w:num="1"/>
        </w:sectPr>
      </w:pPr>
    </w:p>
    <w:p w14:paraId="181C6013">
      <w:pPr>
        <w:pStyle w:val="2"/>
        <w:spacing w:line="379" w:lineRule="auto"/>
      </w:pPr>
    </w:p>
    <w:p w14:paraId="18CE59D4">
      <w:pPr>
        <w:spacing w:before="78" w:line="220" w:lineRule="auto"/>
        <w:ind w:left="517"/>
        <w:rPr>
          <w:rFonts w:ascii="宋体" w:hAnsi="宋体" w:eastAsia="宋体" w:cs="宋体"/>
          <w:sz w:val="24"/>
          <w:szCs w:val="24"/>
        </w:rPr>
      </w:pPr>
      <w:r>
        <w:rPr>
          <w:rFonts w:ascii="宋体" w:hAnsi="宋体" w:eastAsia="宋体" w:cs="宋体"/>
          <w:spacing w:val="-2"/>
          <w:sz w:val="24"/>
          <w:szCs w:val="24"/>
        </w:rPr>
        <w:t>4.支持创建标准等级：支持给每种质控类型配置一套等级。</w:t>
      </w:r>
    </w:p>
    <w:p w14:paraId="2C27F395">
      <w:pPr>
        <w:spacing w:before="310" w:line="445" w:lineRule="auto"/>
        <w:ind w:left="520" w:right="659" w:firstLine="2"/>
        <w:rPr>
          <w:rFonts w:ascii="宋体" w:hAnsi="宋体" w:eastAsia="宋体" w:cs="宋体"/>
          <w:sz w:val="24"/>
          <w:szCs w:val="24"/>
        </w:rPr>
      </w:pPr>
      <w:r>
        <w:rPr>
          <w:rFonts w:ascii="宋体" w:hAnsi="宋体" w:eastAsia="宋体" w:cs="宋体"/>
          <w:spacing w:val="-1"/>
          <w:sz w:val="24"/>
          <w:szCs w:val="24"/>
        </w:rPr>
        <w:t>5.支持按用户权限科室展示流程内和批次质控任务抽取的</w:t>
      </w:r>
      <w:r>
        <w:rPr>
          <w:rFonts w:ascii="宋体" w:hAnsi="宋体" w:eastAsia="宋体" w:cs="宋体"/>
          <w:spacing w:val="-2"/>
          <w:sz w:val="24"/>
          <w:szCs w:val="24"/>
        </w:rPr>
        <w:t>质控检查的相关数据统计。</w:t>
      </w:r>
      <w:r>
        <w:rPr>
          <w:rFonts w:ascii="宋体" w:hAnsi="宋体" w:eastAsia="宋体" w:cs="宋体"/>
          <w:sz w:val="24"/>
          <w:szCs w:val="24"/>
        </w:rPr>
        <w:t xml:space="preserve"> </w:t>
      </w:r>
      <w:r>
        <w:rPr>
          <w:rFonts w:ascii="宋体" w:hAnsi="宋体" w:eastAsia="宋体" w:cs="宋体"/>
          <w:spacing w:val="-1"/>
          <w:sz w:val="24"/>
          <w:szCs w:val="24"/>
        </w:rPr>
        <w:t>6.支持统计生成表格，可以导出、打印；支持基本的统计工具及图表</w:t>
      </w:r>
    </w:p>
    <w:p w14:paraId="16257FBC">
      <w:pPr>
        <w:spacing w:before="35" w:line="445" w:lineRule="auto"/>
        <w:ind w:left="39" w:right="104" w:firstLine="484"/>
        <w:rPr>
          <w:rFonts w:ascii="宋体" w:hAnsi="宋体" w:eastAsia="宋体" w:cs="宋体"/>
          <w:sz w:val="24"/>
          <w:szCs w:val="24"/>
        </w:rPr>
      </w:pPr>
      <w:r>
        <w:rPr>
          <w:rFonts w:ascii="宋体" w:hAnsi="宋体" w:eastAsia="宋体" w:cs="宋体"/>
          <w:spacing w:val="1"/>
          <w:sz w:val="24"/>
          <w:szCs w:val="24"/>
        </w:rPr>
        <w:t>7.★确保质控客观公平性，可以按百分比或自定义</w:t>
      </w:r>
      <w:r>
        <w:rPr>
          <w:rFonts w:ascii="宋体" w:hAnsi="宋体" w:eastAsia="宋体" w:cs="宋体"/>
          <w:sz w:val="24"/>
          <w:szCs w:val="24"/>
        </w:rPr>
        <w:t xml:space="preserve">数据抽取影像，支持选择指定医生成立 </w:t>
      </w:r>
      <w:r>
        <w:rPr>
          <w:rFonts w:ascii="宋体" w:hAnsi="宋体" w:eastAsia="宋体" w:cs="宋体"/>
          <w:spacing w:val="-1"/>
          <w:sz w:val="24"/>
          <w:szCs w:val="24"/>
        </w:rPr>
        <w:t>质控专家组进行影像质控。（提供系统界面功能</w:t>
      </w:r>
      <w:r>
        <w:rPr>
          <w:rFonts w:ascii="宋体" w:hAnsi="宋体" w:eastAsia="宋体" w:cs="宋体"/>
          <w:spacing w:val="-2"/>
          <w:sz w:val="24"/>
          <w:szCs w:val="24"/>
        </w:rPr>
        <w:t>截图）</w:t>
      </w:r>
    </w:p>
    <w:p w14:paraId="0832E04F">
      <w:pPr>
        <w:spacing w:before="35" w:line="445" w:lineRule="auto"/>
        <w:ind w:left="44" w:right="104" w:firstLine="475"/>
        <w:rPr>
          <w:rFonts w:ascii="宋体" w:hAnsi="宋体" w:eastAsia="宋体" w:cs="宋体"/>
          <w:sz w:val="24"/>
          <w:szCs w:val="24"/>
        </w:rPr>
      </w:pPr>
      <w:r>
        <w:rPr>
          <w:rFonts w:ascii="宋体" w:hAnsi="宋体" w:eastAsia="宋体" w:cs="宋体"/>
          <w:spacing w:val="1"/>
          <w:sz w:val="24"/>
          <w:szCs w:val="24"/>
        </w:rPr>
        <w:t>8.影像质控批次管理内质控数据获取范围可灵活配置，提供质</w:t>
      </w:r>
      <w:r>
        <w:rPr>
          <w:rFonts w:ascii="宋体" w:hAnsi="宋体" w:eastAsia="宋体" w:cs="宋体"/>
          <w:sz w:val="24"/>
          <w:szCs w:val="24"/>
        </w:rPr>
        <w:t xml:space="preserve">控人员信息管理、开放权限 </w:t>
      </w:r>
      <w:r>
        <w:rPr>
          <w:rFonts w:ascii="宋体" w:hAnsi="宋体" w:eastAsia="宋体" w:cs="宋体"/>
          <w:spacing w:val="-12"/>
          <w:sz w:val="24"/>
          <w:szCs w:val="24"/>
        </w:rPr>
        <w:t>管理。</w:t>
      </w:r>
    </w:p>
    <w:p w14:paraId="59875C73">
      <w:pPr>
        <w:spacing w:before="33" w:line="220" w:lineRule="auto"/>
        <w:ind w:left="519"/>
        <w:rPr>
          <w:rFonts w:ascii="宋体" w:hAnsi="宋体" w:eastAsia="宋体" w:cs="宋体"/>
          <w:sz w:val="24"/>
          <w:szCs w:val="24"/>
        </w:rPr>
      </w:pPr>
      <w:r>
        <w:rPr>
          <w:rFonts w:ascii="宋体" w:hAnsi="宋体" w:eastAsia="宋体" w:cs="宋体"/>
          <w:spacing w:val="-2"/>
          <w:sz w:val="24"/>
          <w:szCs w:val="24"/>
        </w:rPr>
        <w:t>9.在质控时支持设备类型多选、一票否决、等级选择、分值小数。</w:t>
      </w:r>
    </w:p>
    <w:p w14:paraId="369260EB">
      <w:pPr>
        <w:spacing w:before="312" w:line="217" w:lineRule="auto"/>
        <w:ind w:left="47"/>
        <w:rPr>
          <w:rFonts w:ascii="仿宋" w:hAnsi="仿宋" w:eastAsia="仿宋" w:cs="仿宋"/>
          <w:sz w:val="24"/>
          <w:szCs w:val="24"/>
        </w:rPr>
      </w:pPr>
      <w:r>
        <w:rPr>
          <w:rFonts w:ascii="仿宋" w:hAnsi="仿宋" w:eastAsia="仿宋" w:cs="仿宋"/>
          <w:b/>
          <w:bCs/>
          <w:spacing w:val="-6"/>
          <w:sz w:val="24"/>
          <w:szCs w:val="24"/>
        </w:rPr>
        <w:t>2.2.5</w:t>
      </w:r>
      <w:r>
        <w:rPr>
          <w:rFonts w:ascii="仿宋" w:hAnsi="仿宋" w:eastAsia="仿宋" w:cs="仿宋"/>
          <w:spacing w:val="-40"/>
          <w:sz w:val="24"/>
          <w:szCs w:val="24"/>
        </w:rPr>
        <w:t xml:space="preserve"> </w:t>
      </w:r>
      <w:r>
        <w:rPr>
          <w:rFonts w:ascii="仿宋" w:hAnsi="仿宋" w:eastAsia="仿宋" w:cs="仿宋"/>
          <w:b/>
          <w:bCs/>
          <w:spacing w:val="-6"/>
          <w:sz w:val="24"/>
          <w:szCs w:val="24"/>
        </w:rPr>
        <w:t>排班绩效系统</w:t>
      </w:r>
    </w:p>
    <w:p w14:paraId="24743830">
      <w:pPr>
        <w:pStyle w:val="2"/>
        <w:spacing w:line="352" w:lineRule="auto"/>
      </w:pPr>
    </w:p>
    <w:p w14:paraId="26E70441">
      <w:pPr>
        <w:spacing w:before="78" w:line="445" w:lineRule="auto"/>
        <w:ind w:left="535" w:right="2659" w:hanging="76"/>
        <w:rPr>
          <w:rFonts w:ascii="宋体" w:hAnsi="宋体" w:eastAsia="宋体" w:cs="宋体"/>
          <w:sz w:val="24"/>
          <w:szCs w:val="24"/>
        </w:rPr>
      </w:pPr>
      <w:r>
        <w:rPr>
          <w:rFonts w:ascii="宋体" w:hAnsi="宋体" w:eastAsia="宋体" w:cs="宋体"/>
          <w:spacing w:val="-2"/>
          <w:sz w:val="24"/>
          <w:szCs w:val="24"/>
        </w:rPr>
        <w:t>提供放射科室人员录入，岗位维护及报告分发</w:t>
      </w:r>
      <w:r>
        <w:rPr>
          <w:rFonts w:ascii="宋体" w:hAnsi="宋体" w:eastAsia="宋体" w:cs="宋体"/>
          <w:spacing w:val="-3"/>
          <w:sz w:val="24"/>
          <w:szCs w:val="24"/>
        </w:rPr>
        <w:t>等，具体功能如下：</w:t>
      </w:r>
      <w:r>
        <w:rPr>
          <w:rFonts w:ascii="宋体" w:hAnsi="宋体" w:eastAsia="宋体" w:cs="宋体"/>
          <w:sz w:val="24"/>
          <w:szCs w:val="24"/>
        </w:rPr>
        <w:t xml:space="preserve"> </w:t>
      </w:r>
      <w:r>
        <w:rPr>
          <w:rFonts w:ascii="宋体" w:hAnsi="宋体" w:eastAsia="宋体" w:cs="宋体"/>
          <w:spacing w:val="-2"/>
          <w:sz w:val="24"/>
          <w:szCs w:val="24"/>
        </w:rPr>
        <w:t>1.支持排班查看，支持切换周次查看</w:t>
      </w:r>
    </w:p>
    <w:p w14:paraId="2A083FEC">
      <w:pPr>
        <w:spacing w:before="34" w:line="445" w:lineRule="auto"/>
        <w:ind w:left="39" w:right="104" w:firstLine="481"/>
        <w:rPr>
          <w:rFonts w:ascii="宋体" w:hAnsi="宋体" w:eastAsia="宋体" w:cs="宋体"/>
          <w:sz w:val="24"/>
          <w:szCs w:val="24"/>
        </w:rPr>
      </w:pPr>
      <w:r>
        <w:rPr>
          <w:rFonts w:ascii="宋体" w:hAnsi="宋体" w:eastAsia="宋体" w:cs="宋体"/>
          <w:spacing w:val="1"/>
          <w:sz w:val="24"/>
          <w:szCs w:val="24"/>
        </w:rPr>
        <w:t>2.排班表管理可根据不同站点上传排班表，例如预约管理</w:t>
      </w:r>
      <w:r>
        <w:rPr>
          <w:rFonts w:ascii="宋体" w:hAnsi="宋体" w:eastAsia="宋体" w:cs="宋体"/>
          <w:sz w:val="24"/>
          <w:szCs w:val="24"/>
        </w:rPr>
        <w:t xml:space="preserve">系统支持预约排班、技师工作站 </w:t>
      </w:r>
      <w:r>
        <w:rPr>
          <w:rFonts w:ascii="宋体" w:hAnsi="宋体" w:eastAsia="宋体" w:cs="宋体"/>
          <w:spacing w:val="-2"/>
          <w:sz w:val="24"/>
          <w:szCs w:val="24"/>
        </w:rPr>
        <w:t>支持上传技师排班</w:t>
      </w:r>
    </w:p>
    <w:p w14:paraId="2EF321D1">
      <w:pPr>
        <w:spacing w:before="36" w:line="219" w:lineRule="auto"/>
        <w:ind w:left="523"/>
        <w:rPr>
          <w:rFonts w:ascii="宋体" w:hAnsi="宋体" w:eastAsia="宋体" w:cs="宋体"/>
          <w:sz w:val="24"/>
          <w:szCs w:val="24"/>
        </w:rPr>
      </w:pPr>
      <w:r>
        <w:rPr>
          <w:rFonts w:ascii="宋体" w:hAnsi="宋体" w:eastAsia="宋体" w:cs="宋体"/>
          <w:spacing w:val="-1"/>
          <w:sz w:val="24"/>
          <w:szCs w:val="24"/>
        </w:rPr>
        <w:t>3.支持随机分发、手动分发、定向分发不同的分发模式</w:t>
      </w:r>
    </w:p>
    <w:p w14:paraId="6153577C">
      <w:pPr>
        <w:spacing w:before="311" w:line="445" w:lineRule="auto"/>
        <w:ind w:left="38" w:right="104" w:firstLine="479"/>
        <w:rPr>
          <w:rFonts w:ascii="宋体" w:hAnsi="宋体" w:eastAsia="宋体" w:cs="宋体"/>
          <w:sz w:val="24"/>
          <w:szCs w:val="24"/>
        </w:rPr>
      </w:pPr>
      <w:r>
        <w:rPr>
          <w:rFonts w:ascii="宋体" w:hAnsi="宋体" w:eastAsia="宋体" w:cs="宋体"/>
          <w:spacing w:val="1"/>
          <w:sz w:val="24"/>
          <w:szCs w:val="24"/>
        </w:rPr>
        <w:t>4.★可自定义报告分发规则，支持根据检查部位设置权重系数，通</w:t>
      </w:r>
      <w:r>
        <w:rPr>
          <w:rFonts w:ascii="宋体" w:hAnsi="宋体" w:eastAsia="宋体" w:cs="宋体"/>
          <w:sz w:val="24"/>
          <w:szCs w:val="24"/>
        </w:rPr>
        <w:t xml:space="preserve">过后台排班规则和权重 </w:t>
      </w:r>
      <w:r>
        <w:rPr>
          <w:rFonts w:ascii="宋体" w:hAnsi="宋体" w:eastAsia="宋体" w:cs="宋体"/>
          <w:spacing w:val="-1"/>
          <w:sz w:val="24"/>
          <w:szCs w:val="24"/>
        </w:rPr>
        <w:t>值设置来分发任务（提供系统证明界面图）支持根据岗位和日期</w:t>
      </w:r>
      <w:r>
        <w:rPr>
          <w:rFonts w:ascii="宋体" w:hAnsi="宋体" w:eastAsia="宋体" w:cs="宋体"/>
          <w:spacing w:val="-2"/>
          <w:sz w:val="24"/>
          <w:szCs w:val="24"/>
        </w:rPr>
        <w:t>，设置医生排班。</w:t>
      </w:r>
    </w:p>
    <w:p w14:paraId="07480BEE">
      <w:pPr>
        <w:spacing w:before="35" w:line="445" w:lineRule="auto"/>
        <w:ind w:left="50" w:firstLine="472"/>
        <w:rPr>
          <w:rFonts w:ascii="宋体" w:hAnsi="宋体" w:eastAsia="宋体" w:cs="宋体"/>
          <w:sz w:val="24"/>
          <w:szCs w:val="24"/>
        </w:rPr>
      </w:pPr>
      <w:r>
        <w:rPr>
          <w:rFonts w:ascii="宋体" w:hAnsi="宋体" w:eastAsia="宋体" w:cs="宋体"/>
          <w:sz w:val="24"/>
          <w:szCs w:val="24"/>
        </w:rPr>
        <w:t>5.★支持自定义检查分类，可根据检查状态、设备类型、申请科</w:t>
      </w:r>
      <w:r>
        <w:rPr>
          <w:rFonts w:ascii="宋体" w:hAnsi="宋体" w:eastAsia="宋体" w:cs="宋体"/>
          <w:spacing w:val="-1"/>
          <w:sz w:val="24"/>
          <w:szCs w:val="24"/>
        </w:rPr>
        <w:t>室、亚专业、初写医生、</w:t>
      </w:r>
      <w:r>
        <w:rPr>
          <w:rFonts w:ascii="宋体" w:hAnsi="宋体" w:eastAsia="宋体" w:cs="宋体"/>
          <w:sz w:val="24"/>
          <w:szCs w:val="24"/>
        </w:rPr>
        <w:t xml:space="preserve">  </w:t>
      </w:r>
      <w:r>
        <w:rPr>
          <w:rFonts w:ascii="宋体" w:hAnsi="宋体" w:eastAsia="宋体" w:cs="宋体"/>
          <w:spacing w:val="-3"/>
          <w:sz w:val="24"/>
          <w:szCs w:val="24"/>
        </w:rPr>
        <w:t>审核医生等进行检查数据的自定义分类，并支持分类的优先级设置。（提供系统界面功能截图）</w:t>
      </w:r>
    </w:p>
    <w:p w14:paraId="1EFF615B">
      <w:pPr>
        <w:spacing w:before="36" w:line="219" w:lineRule="auto"/>
        <w:ind w:left="47"/>
        <w:rPr>
          <w:rFonts w:ascii="仿宋" w:hAnsi="仿宋" w:eastAsia="仿宋" w:cs="仿宋"/>
          <w:sz w:val="24"/>
          <w:szCs w:val="24"/>
        </w:rPr>
      </w:pPr>
      <w:r>
        <w:rPr>
          <w:rFonts w:ascii="仿宋" w:hAnsi="仿宋" w:eastAsia="仿宋" w:cs="仿宋"/>
          <w:b/>
          <w:bCs/>
          <w:spacing w:val="-7"/>
          <w:sz w:val="24"/>
          <w:szCs w:val="24"/>
        </w:rPr>
        <w:t>2.2.6</w:t>
      </w:r>
      <w:r>
        <w:rPr>
          <w:rFonts w:ascii="仿宋" w:hAnsi="仿宋" w:eastAsia="仿宋" w:cs="仿宋"/>
          <w:spacing w:val="-27"/>
          <w:sz w:val="24"/>
          <w:szCs w:val="24"/>
        </w:rPr>
        <w:t xml:space="preserve"> </w:t>
      </w:r>
      <w:r>
        <w:rPr>
          <w:rFonts w:ascii="仿宋" w:hAnsi="仿宋" w:eastAsia="仿宋" w:cs="仿宋"/>
          <w:b/>
          <w:bCs/>
          <w:spacing w:val="-7"/>
          <w:sz w:val="24"/>
          <w:szCs w:val="24"/>
        </w:rPr>
        <w:t>随访管理系统</w:t>
      </w:r>
    </w:p>
    <w:p w14:paraId="6BC61C44">
      <w:pPr>
        <w:pStyle w:val="2"/>
        <w:spacing w:line="349" w:lineRule="auto"/>
      </w:pPr>
    </w:p>
    <w:p w14:paraId="74DDC389">
      <w:pPr>
        <w:spacing w:before="79" w:line="445" w:lineRule="auto"/>
        <w:ind w:left="38" w:right="104" w:firstLine="497"/>
        <w:rPr>
          <w:rFonts w:ascii="宋体" w:hAnsi="宋体" w:eastAsia="宋体" w:cs="宋体"/>
          <w:sz w:val="24"/>
          <w:szCs w:val="24"/>
        </w:rPr>
      </w:pPr>
      <w:r>
        <w:rPr>
          <w:rFonts w:ascii="宋体" w:hAnsi="宋体" w:eastAsia="宋体" w:cs="宋体"/>
          <w:sz w:val="24"/>
          <w:szCs w:val="24"/>
        </w:rPr>
        <w:t>1.支持对科室工作中发现的典型病例、急诊病例或阳性报告患者进行随访跟踪管理，支持</w:t>
      </w:r>
      <w:r>
        <w:rPr>
          <w:rFonts w:ascii="宋体" w:hAnsi="宋体" w:eastAsia="宋体" w:cs="宋体"/>
          <w:spacing w:val="11"/>
          <w:sz w:val="24"/>
          <w:szCs w:val="24"/>
        </w:rPr>
        <w:t xml:space="preserve"> </w:t>
      </w:r>
      <w:r>
        <w:rPr>
          <w:rFonts w:ascii="宋体" w:hAnsi="宋体" w:eastAsia="宋体" w:cs="宋体"/>
          <w:spacing w:val="-2"/>
          <w:sz w:val="24"/>
          <w:szCs w:val="24"/>
        </w:rPr>
        <w:t>科室人员对患者创建随访档案和记录，并记录患者随访结果。</w:t>
      </w:r>
    </w:p>
    <w:p w14:paraId="407B0779">
      <w:pPr>
        <w:spacing w:before="36" w:line="445" w:lineRule="auto"/>
        <w:ind w:left="522" w:right="1859" w:hanging="1"/>
        <w:rPr>
          <w:rFonts w:ascii="宋体" w:hAnsi="宋体" w:eastAsia="宋体" w:cs="宋体"/>
          <w:sz w:val="24"/>
          <w:szCs w:val="24"/>
        </w:rPr>
      </w:pPr>
      <w:r>
        <w:rPr>
          <w:rFonts w:ascii="宋体" w:hAnsi="宋体" w:eastAsia="宋体" w:cs="宋体"/>
          <w:spacing w:val="-2"/>
          <w:sz w:val="24"/>
          <w:szCs w:val="24"/>
        </w:rPr>
        <w:t>2.具有随访内容录入、标记等功能，并保留录入时间、人员记录等信息。</w:t>
      </w:r>
      <w:r>
        <w:rPr>
          <w:rFonts w:ascii="宋体" w:hAnsi="宋体" w:eastAsia="宋体" w:cs="宋体"/>
          <w:spacing w:val="17"/>
          <w:sz w:val="24"/>
          <w:szCs w:val="24"/>
        </w:rPr>
        <w:t xml:space="preserve"> </w:t>
      </w:r>
      <w:r>
        <w:rPr>
          <w:rFonts w:ascii="宋体" w:hAnsi="宋体" w:eastAsia="宋体" w:cs="宋体"/>
          <w:spacing w:val="-4"/>
          <w:sz w:val="24"/>
          <w:szCs w:val="24"/>
        </w:rPr>
        <w:t>3.支持随访分类及阳性率统计。</w:t>
      </w:r>
    </w:p>
    <w:p w14:paraId="23D2D3C7">
      <w:pPr>
        <w:spacing w:before="215"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Times New Roman" w:hAnsi="Times New Roman" w:eastAsia="Times New Roman" w:cs="Times New Roman"/>
          <w:spacing w:val="-2"/>
          <w:position w:val="1"/>
          <w:sz w:val="18"/>
          <w:szCs w:val="18"/>
        </w:rPr>
        <w:t xml:space="preserve">49                          </w:t>
      </w:r>
      <w:r>
        <w:rPr>
          <w:rFonts w:ascii="Times New Roman" w:hAnsi="Times New Roman" w:eastAsia="Times New Roman" w:cs="Times New Roman"/>
          <w:spacing w:val="-3"/>
          <w:position w:val="1"/>
          <w:sz w:val="18"/>
          <w:szCs w:val="18"/>
        </w:rPr>
        <w:t xml:space="preserve">     </w:t>
      </w:r>
      <w:r>
        <w:rPr>
          <w:rFonts w:ascii="宋体" w:hAnsi="宋体" w:eastAsia="宋体" w:cs="宋体"/>
          <w:b/>
          <w:bCs/>
          <w:i/>
          <w:iCs/>
          <w:spacing w:val="-3"/>
          <w:sz w:val="19"/>
          <w:szCs w:val="19"/>
        </w:rPr>
        <w:t>伊犁州公共资源交易中心</w:t>
      </w:r>
    </w:p>
    <w:p w14:paraId="763E68A7">
      <w:pPr>
        <w:spacing w:line="160" w:lineRule="auto"/>
        <w:rPr>
          <w:rFonts w:ascii="宋体" w:hAnsi="宋体" w:eastAsia="宋体" w:cs="宋体"/>
          <w:sz w:val="19"/>
          <w:szCs w:val="19"/>
        </w:rPr>
        <w:sectPr>
          <w:pgSz w:w="11905" w:h="16839"/>
          <w:pgMar w:top="1136" w:right="754" w:bottom="937" w:left="1136" w:header="854" w:footer="923" w:gutter="0"/>
          <w:cols w:space="720" w:num="1"/>
        </w:sectPr>
      </w:pPr>
    </w:p>
    <w:p w14:paraId="0235FC6A">
      <w:pPr>
        <w:pStyle w:val="2"/>
        <w:spacing w:line="380" w:lineRule="auto"/>
      </w:pPr>
    </w:p>
    <w:p w14:paraId="68DD70C6">
      <w:pPr>
        <w:spacing w:before="78" w:line="445" w:lineRule="auto"/>
        <w:ind w:left="51" w:right="85" w:firstLine="465"/>
        <w:rPr>
          <w:rFonts w:ascii="宋体" w:hAnsi="宋体" w:eastAsia="宋体" w:cs="宋体"/>
          <w:sz w:val="24"/>
          <w:szCs w:val="24"/>
        </w:rPr>
      </w:pPr>
      <w:r>
        <w:rPr>
          <w:rFonts w:ascii="宋体" w:hAnsi="宋体" w:eastAsia="宋体" w:cs="宋体"/>
          <w:spacing w:val="1"/>
          <w:sz w:val="24"/>
          <w:szCs w:val="24"/>
        </w:rPr>
        <w:t>4.随访内容录入时支持随访原因选择，支持手动输入随访描述信息</w:t>
      </w:r>
      <w:r>
        <w:rPr>
          <w:rFonts w:ascii="宋体" w:hAnsi="宋体" w:eastAsia="宋体" w:cs="宋体"/>
          <w:sz w:val="24"/>
          <w:szCs w:val="24"/>
        </w:rPr>
        <w:t xml:space="preserve">，随访完成时能够结束 </w:t>
      </w:r>
      <w:r>
        <w:rPr>
          <w:rFonts w:ascii="宋体" w:hAnsi="宋体" w:eastAsia="宋体" w:cs="宋体"/>
          <w:spacing w:val="-10"/>
          <w:sz w:val="24"/>
          <w:szCs w:val="24"/>
        </w:rPr>
        <w:t>随访形成闭环；</w:t>
      </w:r>
    </w:p>
    <w:p w14:paraId="755F928D">
      <w:pPr>
        <w:spacing w:before="34" w:line="219" w:lineRule="auto"/>
        <w:ind w:left="523"/>
        <w:rPr>
          <w:rFonts w:ascii="宋体" w:hAnsi="宋体" w:eastAsia="宋体" w:cs="宋体"/>
          <w:sz w:val="24"/>
          <w:szCs w:val="24"/>
        </w:rPr>
      </w:pPr>
      <w:r>
        <w:rPr>
          <w:rFonts w:ascii="宋体" w:hAnsi="宋体" w:eastAsia="宋体" w:cs="宋体"/>
          <w:spacing w:val="-2"/>
          <w:sz w:val="24"/>
          <w:szCs w:val="24"/>
        </w:rPr>
        <w:t>5.提供随访患者特殊颜色标记提醒；支持随访原因过滤查询。</w:t>
      </w:r>
    </w:p>
    <w:p w14:paraId="183FC43F">
      <w:pPr>
        <w:spacing w:before="312" w:line="217" w:lineRule="auto"/>
        <w:ind w:left="47"/>
        <w:rPr>
          <w:rFonts w:ascii="仿宋" w:hAnsi="仿宋" w:eastAsia="仿宋" w:cs="仿宋"/>
          <w:sz w:val="24"/>
          <w:szCs w:val="24"/>
        </w:rPr>
      </w:pPr>
      <w:r>
        <w:rPr>
          <w:rFonts w:ascii="仿宋" w:hAnsi="仿宋" w:eastAsia="仿宋" w:cs="仿宋"/>
          <w:b/>
          <w:bCs/>
          <w:spacing w:val="-5"/>
          <w:sz w:val="24"/>
          <w:szCs w:val="24"/>
        </w:rPr>
        <w:t>2.2.7</w:t>
      </w:r>
      <w:r>
        <w:rPr>
          <w:rFonts w:ascii="仿宋" w:hAnsi="仿宋" w:eastAsia="仿宋" w:cs="仿宋"/>
          <w:spacing w:val="-44"/>
          <w:sz w:val="24"/>
          <w:szCs w:val="24"/>
        </w:rPr>
        <w:t xml:space="preserve"> </w:t>
      </w:r>
      <w:r>
        <w:rPr>
          <w:rFonts w:ascii="仿宋" w:hAnsi="仿宋" w:eastAsia="仿宋" w:cs="仿宋"/>
          <w:b/>
          <w:bCs/>
          <w:spacing w:val="-5"/>
          <w:sz w:val="24"/>
          <w:szCs w:val="24"/>
        </w:rPr>
        <w:t>危急值闭环管理系统</w:t>
      </w:r>
    </w:p>
    <w:p w14:paraId="65761F3C">
      <w:pPr>
        <w:pStyle w:val="2"/>
        <w:spacing w:line="353" w:lineRule="auto"/>
      </w:pPr>
    </w:p>
    <w:p w14:paraId="1F7E5EBD">
      <w:pPr>
        <w:spacing w:before="78" w:line="218" w:lineRule="auto"/>
        <w:ind w:left="536"/>
        <w:rPr>
          <w:rFonts w:ascii="宋体" w:hAnsi="宋体" w:eastAsia="宋体" w:cs="宋体"/>
          <w:sz w:val="24"/>
          <w:szCs w:val="24"/>
        </w:rPr>
      </w:pPr>
      <w:r>
        <w:rPr>
          <w:rFonts w:ascii="宋体" w:hAnsi="宋体" w:eastAsia="宋体" w:cs="宋体"/>
          <w:spacing w:val="-4"/>
          <w:sz w:val="24"/>
          <w:szCs w:val="24"/>
        </w:rPr>
        <w:t>1.危急值报告发送与结果处理通知。</w:t>
      </w:r>
    </w:p>
    <w:p w14:paraId="523603C9">
      <w:pPr>
        <w:spacing w:before="311" w:line="445" w:lineRule="auto"/>
        <w:ind w:left="47" w:right="85" w:firstLine="473"/>
        <w:rPr>
          <w:rFonts w:ascii="宋体" w:hAnsi="宋体" w:eastAsia="宋体" w:cs="宋体"/>
          <w:sz w:val="24"/>
          <w:szCs w:val="24"/>
        </w:rPr>
      </w:pPr>
      <w:r>
        <w:rPr>
          <w:rFonts w:ascii="宋体" w:hAnsi="宋体" w:eastAsia="宋体" w:cs="宋体"/>
          <w:spacing w:val="1"/>
          <w:sz w:val="24"/>
          <w:szCs w:val="24"/>
        </w:rPr>
        <w:t>2.★支持在报告编辑过程中发现危机情况在点击提交按钮</w:t>
      </w:r>
      <w:r>
        <w:rPr>
          <w:rFonts w:ascii="宋体" w:hAnsi="宋体" w:eastAsia="宋体" w:cs="宋体"/>
          <w:sz w:val="24"/>
          <w:szCs w:val="24"/>
        </w:rPr>
        <w:t xml:space="preserve">时，会进行弹窗提醒，临床医生 </w:t>
      </w:r>
      <w:r>
        <w:rPr>
          <w:rFonts w:ascii="宋体" w:hAnsi="宋体" w:eastAsia="宋体" w:cs="宋体"/>
          <w:spacing w:val="-2"/>
          <w:sz w:val="24"/>
          <w:szCs w:val="24"/>
        </w:rPr>
        <w:t>能弹出危急值救治提醒。（提供系统界面功能截图）</w:t>
      </w:r>
    </w:p>
    <w:p w14:paraId="040BEEF9">
      <w:pPr>
        <w:spacing w:before="33" w:line="452" w:lineRule="auto"/>
        <w:ind w:left="37" w:right="85" w:firstLine="485"/>
        <w:rPr>
          <w:rFonts w:ascii="宋体" w:hAnsi="宋体" w:eastAsia="宋体" w:cs="宋体"/>
          <w:sz w:val="24"/>
          <w:szCs w:val="24"/>
        </w:rPr>
      </w:pPr>
      <w:r>
        <w:rPr>
          <w:rFonts w:ascii="宋体" w:hAnsi="宋体" w:eastAsia="宋体" w:cs="宋体"/>
          <w:spacing w:val="1"/>
          <w:sz w:val="24"/>
          <w:szCs w:val="24"/>
        </w:rPr>
        <w:t>3.★支持危急值等级管理，支持灵活创建危急程度设</w:t>
      </w:r>
      <w:r>
        <w:rPr>
          <w:rFonts w:ascii="宋体" w:hAnsi="宋体" w:eastAsia="宋体" w:cs="宋体"/>
          <w:sz w:val="24"/>
          <w:szCs w:val="24"/>
        </w:rPr>
        <w:t xml:space="preserve">置等级名称、超时时长、通知范围以 </w:t>
      </w:r>
      <w:r>
        <w:rPr>
          <w:rFonts w:ascii="宋体" w:hAnsi="宋体" w:eastAsia="宋体" w:cs="宋体"/>
          <w:spacing w:val="1"/>
          <w:sz w:val="24"/>
          <w:szCs w:val="24"/>
        </w:rPr>
        <w:t>及设置等级标签颜色。能够设置危急值触发阈值，能够选择触发性别</w:t>
      </w:r>
      <w:r>
        <w:rPr>
          <w:rFonts w:ascii="宋体" w:hAnsi="宋体" w:eastAsia="宋体" w:cs="宋体"/>
          <w:sz w:val="24"/>
          <w:szCs w:val="24"/>
        </w:rPr>
        <w:t>，支持范围检测和文本检 测两种触发类型，范围检测支持自定义阈值范围，文本检测支持自定义匹配文本和</w:t>
      </w:r>
      <w:r>
        <w:rPr>
          <w:rFonts w:ascii="宋体" w:hAnsi="宋体" w:eastAsia="宋体" w:cs="宋体"/>
          <w:spacing w:val="-1"/>
          <w:sz w:val="24"/>
          <w:szCs w:val="24"/>
        </w:rPr>
        <w:t>提醒文本。</w:t>
      </w:r>
      <w:r>
        <w:rPr>
          <w:rFonts w:ascii="宋体" w:hAnsi="宋体" w:eastAsia="宋体" w:cs="宋体"/>
          <w:sz w:val="24"/>
          <w:szCs w:val="24"/>
        </w:rPr>
        <w:t xml:space="preserve"> </w:t>
      </w:r>
      <w:r>
        <w:rPr>
          <w:rFonts w:ascii="宋体" w:hAnsi="宋体" w:eastAsia="宋体" w:cs="宋体"/>
          <w:spacing w:val="-2"/>
          <w:sz w:val="24"/>
          <w:szCs w:val="24"/>
        </w:rPr>
        <w:t>（提供系统界面功能截图）</w:t>
      </w:r>
    </w:p>
    <w:p w14:paraId="54572571">
      <w:pPr>
        <w:spacing w:before="35" w:line="445" w:lineRule="auto"/>
        <w:ind w:left="49" w:right="21" w:firstLine="467"/>
        <w:rPr>
          <w:rFonts w:ascii="宋体" w:hAnsi="宋体" w:eastAsia="宋体" w:cs="宋体"/>
          <w:sz w:val="24"/>
          <w:szCs w:val="24"/>
        </w:rPr>
      </w:pPr>
      <w:r>
        <w:rPr>
          <w:rFonts w:ascii="宋体" w:hAnsi="宋体" w:eastAsia="宋体" w:cs="宋体"/>
          <w:spacing w:val="1"/>
          <w:sz w:val="24"/>
          <w:szCs w:val="24"/>
        </w:rPr>
        <w:t>4.提供危急值管理模版分组、内容自定义创建；提供危急值知识库</w:t>
      </w:r>
      <w:r>
        <w:rPr>
          <w:rFonts w:ascii="宋体" w:hAnsi="宋体" w:eastAsia="宋体" w:cs="宋体"/>
          <w:sz w:val="24"/>
          <w:szCs w:val="24"/>
        </w:rPr>
        <w:t xml:space="preserve">自定义配置管理；提供 </w:t>
      </w:r>
      <w:r>
        <w:rPr>
          <w:rFonts w:ascii="宋体" w:hAnsi="宋体" w:eastAsia="宋体" w:cs="宋体"/>
          <w:spacing w:val="-4"/>
          <w:sz w:val="24"/>
          <w:szCs w:val="24"/>
        </w:rPr>
        <w:t>患者当前检查多条危急值上报处理；提供危急值状态管理、显示；提供危急值自定义过滤查询；</w:t>
      </w:r>
    </w:p>
    <w:p w14:paraId="55AB868D">
      <w:pPr>
        <w:spacing w:before="35" w:line="219" w:lineRule="auto"/>
        <w:ind w:left="523"/>
        <w:rPr>
          <w:rFonts w:ascii="宋体" w:hAnsi="宋体" w:eastAsia="宋体" w:cs="宋体"/>
          <w:sz w:val="24"/>
          <w:szCs w:val="24"/>
        </w:rPr>
      </w:pPr>
      <w:r>
        <w:rPr>
          <w:rFonts w:ascii="宋体" w:hAnsi="宋体" w:eastAsia="宋体" w:cs="宋体"/>
          <w:spacing w:val="-1"/>
          <w:sz w:val="24"/>
          <w:szCs w:val="24"/>
        </w:rPr>
        <w:t>5.★支持危急值通知范围设置（提供系统界面功</w:t>
      </w:r>
      <w:r>
        <w:rPr>
          <w:rFonts w:ascii="宋体" w:hAnsi="宋体" w:eastAsia="宋体" w:cs="宋体"/>
          <w:spacing w:val="-2"/>
          <w:sz w:val="24"/>
          <w:szCs w:val="24"/>
        </w:rPr>
        <w:t>能截图）</w:t>
      </w:r>
    </w:p>
    <w:p w14:paraId="57253ADE">
      <w:pPr>
        <w:spacing w:before="311" w:line="219" w:lineRule="auto"/>
        <w:ind w:left="520"/>
        <w:rPr>
          <w:rFonts w:ascii="宋体" w:hAnsi="宋体" w:eastAsia="宋体" w:cs="宋体"/>
          <w:sz w:val="24"/>
          <w:szCs w:val="24"/>
        </w:rPr>
      </w:pPr>
      <w:r>
        <w:rPr>
          <w:rFonts w:ascii="宋体" w:hAnsi="宋体" w:eastAsia="宋体" w:cs="宋体"/>
          <w:spacing w:val="-1"/>
          <w:sz w:val="24"/>
          <w:szCs w:val="24"/>
        </w:rPr>
        <w:t>6.★支持设置危急值等级、不同等级支持不同颜色区分显示（提供系统界面功能截图）</w:t>
      </w:r>
    </w:p>
    <w:p w14:paraId="2EBECEA7">
      <w:pPr>
        <w:spacing w:before="312" w:line="445" w:lineRule="auto"/>
        <w:ind w:left="42" w:right="85" w:firstLine="481"/>
        <w:rPr>
          <w:rFonts w:ascii="宋体" w:hAnsi="宋体" w:eastAsia="宋体" w:cs="宋体"/>
          <w:sz w:val="24"/>
          <w:szCs w:val="24"/>
        </w:rPr>
      </w:pPr>
      <w:r>
        <w:rPr>
          <w:rFonts w:ascii="宋体" w:hAnsi="宋体" w:eastAsia="宋体" w:cs="宋体"/>
          <w:spacing w:val="1"/>
          <w:sz w:val="24"/>
          <w:szCs w:val="24"/>
        </w:rPr>
        <w:t>7.支持危急值分组管理，支持用户根据特定的标准</w:t>
      </w:r>
      <w:r>
        <w:rPr>
          <w:rFonts w:ascii="宋体" w:hAnsi="宋体" w:eastAsia="宋体" w:cs="宋体"/>
          <w:sz w:val="24"/>
          <w:szCs w:val="24"/>
        </w:rPr>
        <w:t xml:space="preserve">（如科室、疾病类型、测试类别等）将 </w:t>
      </w:r>
      <w:r>
        <w:rPr>
          <w:rFonts w:ascii="宋体" w:hAnsi="宋体" w:eastAsia="宋体" w:cs="宋体"/>
          <w:spacing w:val="-2"/>
          <w:sz w:val="24"/>
          <w:szCs w:val="24"/>
        </w:rPr>
        <w:t>不同的危急值进行分类</w:t>
      </w:r>
    </w:p>
    <w:p w14:paraId="638EB122">
      <w:pPr>
        <w:spacing w:before="35" w:line="445" w:lineRule="auto"/>
        <w:ind w:left="41" w:right="85" w:firstLine="478"/>
        <w:rPr>
          <w:rFonts w:ascii="宋体" w:hAnsi="宋体" w:eastAsia="宋体" w:cs="宋体"/>
          <w:sz w:val="24"/>
          <w:szCs w:val="24"/>
        </w:rPr>
      </w:pPr>
      <w:r>
        <w:rPr>
          <w:rFonts w:ascii="宋体" w:hAnsi="宋体" w:eastAsia="宋体" w:cs="宋体"/>
          <w:spacing w:val="1"/>
          <w:sz w:val="24"/>
          <w:szCs w:val="24"/>
        </w:rPr>
        <w:t>8.支持危急值内容管理，功能支持用户对危急值进行组织和排</w:t>
      </w:r>
      <w:r>
        <w:rPr>
          <w:rFonts w:ascii="宋体" w:hAnsi="宋体" w:eastAsia="宋体" w:cs="宋体"/>
          <w:sz w:val="24"/>
          <w:szCs w:val="24"/>
        </w:rPr>
        <w:t xml:space="preserve">序，确保常用或高优先级的 </w:t>
      </w:r>
      <w:r>
        <w:rPr>
          <w:rFonts w:ascii="宋体" w:hAnsi="宋体" w:eastAsia="宋体" w:cs="宋体"/>
          <w:spacing w:val="-1"/>
          <w:sz w:val="24"/>
          <w:szCs w:val="24"/>
        </w:rPr>
        <w:t>危急值能够更容易地被识别和访问</w:t>
      </w:r>
    </w:p>
    <w:p w14:paraId="64DCB8B7">
      <w:pPr>
        <w:spacing w:before="34" w:line="445" w:lineRule="auto"/>
        <w:ind w:left="39" w:firstLine="480"/>
        <w:rPr>
          <w:rFonts w:ascii="宋体" w:hAnsi="宋体" w:eastAsia="宋体" w:cs="宋体"/>
          <w:sz w:val="24"/>
          <w:szCs w:val="24"/>
        </w:rPr>
      </w:pPr>
      <w:r>
        <w:rPr>
          <w:rFonts w:ascii="宋体" w:hAnsi="宋体" w:eastAsia="宋体" w:cs="宋体"/>
          <w:spacing w:val="-3"/>
          <w:sz w:val="24"/>
          <w:szCs w:val="24"/>
        </w:rPr>
        <w:t>9.★支持危急值阈值管理，可以根据报告编辑过程中的不同位置（如报告描述、报</w:t>
      </w:r>
      <w:r>
        <w:rPr>
          <w:rFonts w:ascii="宋体" w:hAnsi="宋体" w:eastAsia="宋体" w:cs="宋体"/>
          <w:spacing w:val="-4"/>
          <w:sz w:val="24"/>
          <w:szCs w:val="24"/>
        </w:rPr>
        <w:t>告结论、</w:t>
      </w:r>
      <w:r>
        <w:rPr>
          <w:rFonts w:ascii="宋体" w:hAnsi="宋体" w:eastAsia="宋体" w:cs="宋体"/>
          <w:sz w:val="24"/>
          <w:szCs w:val="24"/>
        </w:rPr>
        <w:t xml:space="preserve"> </w:t>
      </w:r>
      <w:r>
        <w:rPr>
          <w:rFonts w:ascii="宋体" w:hAnsi="宋体" w:eastAsia="宋体" w:cs="宋体"/>
          <w:spacing w:val="-1"/>
          <w:sz w:val="24"/>
          <w:szCs w:val="24"/>
        </w:rPr>
        <w:t>诊断建议等）设置不同的危急值触发条件。（提供系统界面功能截图）</w:t>
      </w:r>
    </w:p>
    <w:p w14:paraId="7920BAB3">
      <w:pPr>
        <w:spacing w:before="36" w:line="223" w:lineRule="auto"/>
        <w:ind w:left="36"/>
        <w:rPr>
          <w:rFonts w:ascii="楷体" w:hAnsi="楷体" w:eastAsia="楷体" w:cs="楷体"/>
          <w:sz w:val="24"/>
          <w:szCs w:val="24"/>
        </w:rPr>
      </w:pPr>
      <w:r>
        <w:rPr>
          <w:rFonts w:ascii="楷体" w:hAnsi="楷体" w:eastAsia="楷体" w:cs="楷体"/>
          <w:spacing w:val="-1"/>
          <w:sz w:val="24"/>
          <w:szCs w:val="24"/>
        </w:rPr>
        <w:t>2.3 影像预约平台系统</w:t>
      </w:r>
    </w:p>
    <w:p w14:paraId="67B68BB4">
      <w:pPr>
        <w:pStyle w:val="2"/>
        <w:spacing w:line="346" w:lineRule="auto"/>
      </w:pPr>
    </w:p>
    <w:p w14:paraId="2DB1B06C">
      <w:pPr>
        <w:spacing w:before="79" w:line="215" w:lineRule="auto"/>
        <w:ind w:left="47"/>
        <w:rPr>
          <w:rFonts w:ascii="仿宋" w:hAnsi="仿宋" w:eastAsia="仿宋" w:cs="仿宋"/>
          <w:sz w:val="24"/>
          <w:szCs w:val="24"/>
        </w:rPr>
      </w:pPr>
      <w:r>
        <w:rPr>
          <w:rFonts w:ascii="仿宋" w:hAnsi="仿宋" w:eastAsia="仿宋" w:cs="仿宋"/>
          <w:b/>
          <w:bCs/>
          <w:spacing w:val="-4"/>
          <w:sz w:val="24"/>
          <w:szCs w:val="24"/>
        </w:rPr>
        <w:t>2.3.1</w:t>
      </w:r>
      <w:r>
        <w:rPr>
          <w:rFonts w:ascii="仿宋" w:hAnsi="仿宋" w:eastAsia="仿宋" w:cs="仿宋"/>
          <w:spacing w:val="-4"/>
          <w:sz w:val="24"/>
          <w:szCs w:val="24"/>
        </w:rPr>
        <w:t xml:space="preserve"> </w:t>
      </w:r>
      <w:r>
        <w:rPr>
          <w:rFonts w:ascii="仿宋" w:hAnsi="仿宋" w:eastAsia="仿宋" w:cs="仿宋"/>
          <w:b/>
          <w:bCs/>
          <w:spacing w:val="-4"/>
          <w:sz w:val="24"/>
          <w:szCs w:val="24"/>
        </w:rPr>
        <w:t>检查预约系统</w:t>
      </w:r>
    </w:p>
    <w:p w14:paraId="73A3B837">
      <w:pPr>
        <w:pStyle w:val="2"/>
        <w:spacing w:line="431" w:lineRule="auto"/>
      </w:pPr>
    </w:p>
    <w:p w14:paraId="372533BA">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50                                </w:t>
      </w:r>
      <w:r>
        <w:rPr>
          <w:rFonts w:ascii="宋体" w:hAnsi="宋体" w:eastAsia="宋体" w:cs="宋体"/>
          <w:b/>
          <w:bCs/>
          <w:i/>
          <w:iCs/>
          <w:spacing w:val="-3"/>
          <w:sz w:val="19"/>
          <w:szCs w:val="19"/>
        </w:rPr>
        <w:t>伊犁州公共资源交易中心</w:t>
      </w:r>
    </w:p>
    <w:p w14:paraId="1FD55AEE">
      <w:pPr>
        <w:spacing w:line="160" w:lineRule="auto"/>
        <w:rPr>
          <w:rFonts w:ascii="宋体" w:hAnsi="宋体" w:eastAsia="宋体" w:cs="宋体"/>
          <w:sz w:val="19"/>
          <w:szCs w:val="19"/>
        </w:rPr>
        <w:sectPr>
          <w:headerReference r:id="rId34" w:type="default"/>
          <w:footerReference r:id="rId35" w:type="default"/>
          <w:pgSz w:w="11905" w:h="16839"/>
          <w:pgMar w:top="1136" w:right="773" w:bottom="937" w:left="1136" w:header="854" w:footer="923" w:gutter="0"/>
          <w:cols w:space="720" w:num="1"/>
        </w:sectPr>
      </w:pPr>
    </w:p>
    <w:p w14:paraId="1E61E438">
      <w:pPr>
        <w:pStyle w:val="2"/>
        <w:spacing w:line="379" w:lineRule="auto"/>
      </w:pPr>
    </w:p>
    <w:p w14:paraId="2A193CAF">
      <w:pPr>
        <w:spacing w:before="78" w:line="219" w:lineRule="auto"/>
        <w:ind w:left="536"/>
        <w:rPr>
          <w:rFonts w:ascii="宋体" w:hAnsi="宋体" w:eastAsia="宋体" w:cs="宋体"/>
          <w:sz w:val="24"/>
          <w:szCs w:val="24"/>
        </w:rPr>
      </w:pPr>
      <w:r>
        <w:rPr>
          <w:rFonts w:ascii="宋体" w:hAnsi="宋体" w:eastAsia="宋体" w:cs="宋体"/>
          <w:spacing w:val="-2"/>
          <w:sz w:val="24"/>
          <w:szCs w:val="24"/>
        </w:rPr>
        <w:t>1.患者预约到诊配置管理，包括到诊、加急到诊、静默到诊等设置。</w:t>
      </w:r>
    </w:p>
    <w:p w14:paraId="33EF1B9C">
      <w:pPr>
        <w:spacing w:before="311" w:line="219" w:lineRule="auto"/>
        <w:jc w:val="right"/>
        <w:rPr>
          <w:rFonts w:ascii="宋体" w:hAnsi="宋体" w:eastAsia="宋体" w:cs="宋体"/>
          <w:sz w:val="24"/>
          <w:szCs w:val="24"/>
        </w:rPr>
      </w:pPr>
      <w:r>
        <w:rPr>
          <w:rFonts w:ascii="宋体" w:hAnsi="宋体" w:eastAsia="宋体" w:cs="宋体"/>
          <w:spacing w:val="-3"/>
          <w:sz w:val="24"/>
          <w:szCs w:val="24"/>
        </w:rPr>
        <w:t>2.点选静默到诊，患者信息不经过排队叫号大屏显示，不经过语音播报直接进入</w:t>
      </w:r>
      <w:r>
        <w:rPr>
          <w:rFonts w:ascii="宋体" w:hAnsi="宋体" w:eastAsia="宋体" w:cs="宋体"/>
          <w:spacing w:val="-4"/>
          <w:sz w:val="24"/>
          <w:szCs w:val="24"/>
        </w:rPr>
        <w:t>诊室问诊。</w:t>
      </w:r>
    </w:p>
    <w:p w14:paraId="6B2A971C">
      <w:pPr>
        <w:spacing w:before="311" w:line="446" w:lineRule="auto"/>
        <w:ind w:left="37" w:right="85" w:firstLine="485"/>
        <w:rPr>
          <w:rFonts w:ascii="宋体" w:hAnsi="宋体" w:eastAsia="宋体" w:cs="宋体"/>
          <w:sz w:val="24"/>
          <w:szCs w:val="24"/>
        </w:rPr>
      </w:pPr>
      <w:r>
        <w:rPr>
          <w:rFonts w:ascii="宋体" w:hAnsi="宋体" w:eastAsia="宋体" w:cs="宋体"/>
          <w:spacing w:val="1"/>
          <w:sz w:val="24"/>
          <w:szCs w:val="24"/>
        </w:rPr>
        <w:t>3.在预约时间选择时，默认显示系统智能推荐的最优</w:t>
      </w:r>
      <w:r>
        <w:rPr>
          <w:rFonts w:ascii="宋体" w:hAnsi="宋体" w:eastAsia="宋体" w:cs="宋体"/>
          <w:sz w:val="24"/>
          <w:szCs w:val="24"/>
        </w:rPr>
        <w:t xml:space="preserve">预约资源位置，可手动修改选择此优 </w:t>
      </w:r>
      <w:r>
        <w:rPr>
          <w:rFonts w:ascii="宋体" w:hAnsi="宋体" w:eastAsia="宋体" w:cs="宋体"/>
          <w:spacing w:val="-9"/>
          <w:sz w:val="24"/>
          <w:szCs w:val="24"/>
        </w:rPr>
        <w:t>选资源。</w:t>
      </w:r>
    </w:p>
    <w:p w14:paraId="13B2F3EC">
      <w:pPr>
        <w:spacing w:before="34" w:line="217" w:lineRule="auto"/>
        <w:ind w:left="47"/>
        <w:rPr>
          <w:rFonts w:ascii="仿宋" w:hAnsi="仿宋" w:eastAsia="仿宋" w:cs="仿宋"/>
          <w:sz w:val="24"/>
          <w:szCs w:val="24"/>
        </w:rPr>
      </w:pPr>
      <w:r>
        <w:rPr>
          <w:rFonts w:ascii="仿宋" w:hAnsi="仿宋" w:eastAsia="仿宋" w:cs="仿宋"/>
          <w:b/>
          <w:bCs/>
          <w:spacing w:val="-6"/>
          <w:sz w:val="24"/>
          <w:szCs w:val="24"/>
        </w:rPr>
        <w:t>2.3.2</w:t>
      </w:r>
      <w:r>
        <w:rPr>
          <w:rFonts w:ascii="仿宋" w:hAnsi="仿宋" w:eastAsia="仿宋" w:cs="仿宋"/>
          <w:spacing w:val="-29"/>
          <w:sz w:val="24"/>
          <w:szCs w:val="24"/>
        </w:rPr>
        <w:t xml:space="preserve"> </w:t>
      </w:r>
      <w:r>
        <w:rPr>
          <w:rFonts w:ascii="仿宋" w:hAnsi="仿宋" w:eastAsia="仿宋" w:cs="仿宋"/>
          <w:b/>
          <w:bCs/>
          <w:spacing w:val="-6"/>
          <w:sz w:val="24"/>
          <w:szCs w:val="24"/>
        </w:rPr>
        <w:t>资源配置与统计系统</w:t>
      </w:r>
    </w:p>
    <w:p w14:paraId="2BF53FE8">
      <w:pPr>
        <w:pStyle w:val="2"/>
        <w:spacing w:line="352" w:lineRule="auto"/>
      </w:pPr>
    </w:p>
    <w:p w14:paraId="1209D102">
      <w:pPr>
        <w:spacing w:before="78" w:line="445" w:lineRule="auto"/>
        <w:ind w:left="521" w:right="160" w:firstLine="14"/>
        <w:rPr>
          <w:rFonts w:ascii="宋体" w:hAnsi="宋体" w:eastAsia="宋体" w:cs="宋体"/>
          <w:sz w:val="24"/>
          <w:szCs w:val="24"/>
        </w:rPr>
      </w:pPr>
      <w:r>
        <w:rPr>
          <w:rFonts w:ascii="宋体" w:hAnsi="宋体" w:eastAsia="宋体" w:cs="宋体"/>
          <w:spacing w:val="-2"/>
          <w:sz w:val="24"/>
          <w:szCs w:val="24"/>
        </w:rPr>
        <w:t>1.可配置科室检查预约资源，预约资源可设置管理，包括设备的地址及设备信息录入等。</w:t>
      </w:r>
      <w:r>
        <w:rPr>
          <w:rFonts w:ascii="宋体" w:hAnsi="宋体" w:eastAsia="宋体" w:cs="宋体"/>
          <w:spacing w:val="17"/>
          <w:sz w:val="24"/>
          <w:szCs w:val="24"/>
        </w:rPr>
        <w:t xml:space="preserve"> </w:t>
      </w:r>
      <w:r>
        <w:rPr>
          <w:rFonts w:ascii="宋体" w:hAnsi="宋体" w:eastAsia="宋体" w:cs="宋体"/>
          <w:spacing w:val="-2"/>
          <w:sz w:val="24"/>
          <w:szCs w:val="24"/>
        </w:rPr>
        <w:t>2.支持预约方案信息维护，各设备的使用时段维护。</w:t>
      </w:r>
    </w:p>
    <w:p w14:paraId="2C29EBA7">
      <w:pPr>
        <w:spacing w:before="34" w:line="220" w:lineRule="auto"/>
        <w:ind w:left="523"/>
        <w:rPr>
          <w:rFonts w:ascii="宋体" w:hAnsi="宋体" w:eastAsia="宋体" w:cs="宋体"/>
          <w:sz w:val="24"/>
          <w:szCs w:val="24"/>
        </w:rPr>
      </w:pPr>
      <w:r>
        <w:rPr>
          <w:rFonts w:ascii="宋体" w:hAnsi="宋体" w:eastAsia="宋体" w:cs="宋体"/>
          <w:spacing w:val="-2"/>
          <w:sz w:val="24"/>
          <w:szCs w:val="24"/>
        </w:rPr>
        <w:t>3.支持修改预约规则，支持取消预约、修改预约时间等。</w:t>
      </w:r>
    </w:p>
    <w:p w14:paraId="02643DA4">
      <w:pPr>
        <w:spacing w:before="310" w:line="445" w:lineRule="auto"/>
        <w:ind w:left="39" w:right="85" w:firstLine="478"/>
        <w:rPr>
          <w:rFonts w:ascii="宋体" w:hAnsi="宋体" w:eastAsia="宋体" w:cs="宋体"/>
          <w:sz w:val="24"/>
          <w:szCs w:val="24"/>
        </w:rPr>
      </w:pPr>
      <w:r>
        <w:rPr>
          <w:rFonts w:ascii="宋体" w:hAnsi="宋体" w:eastAsia="宋体" w:cs="宋体"/>
          <w:spacing w:val="1"/>
          <w:sz w:val="24"/>
          <w:szCs w:val="24"/>
        </w:rPr>
        <w:t>4.★支持根据科室突发情况进行预约特殊资源配置，可以设置单位</w:t>
      </w:r>
      <w:r>
        <w:rPr>
          <w:rFonts w:ascii="宋体" w:hAnsi="宋体" w:eastAsia="宋体" w:cs="宋体"/>
          <w:sz w:val="24"/>
          <w:szCs w:val="24"/>
        </w:rPr>
        <w:t xml:space="preserve">时长。特殊规则设置可 </w:t>
      </w:r>
      <w:r>
        <w:rPr>
          <w:rFonts w:ascii="宋体" w:hAnsi="宋体" w:eastAsia="宋体" w:cs="宋体"/>
          <w:spacing w:val="-2"/>
          <w:sz w:val="24"/>
          <w:szCs w:val="24"/>
        </w:rPr>
        <w:t>覆盖通用规则。（提供系统界面功能截图）</w:t>
      </w:r>
    </w:p>
    <w:p w14:paraId="6589A167">
      <w:pPr>
        <w:spacing w:before="34" w:line="220" w:lineRule="auto"/>
        <w:ind w:left="523"/>
        <w:rPr>
          <w:rFonts w:ascii="宋体" w:hAnsi="宋体" w:eastAsia="宋体" w:cs="宋体"/>
          <w:sz w:val="24"/>
          <w:szCs w:val="24"/>
        </w:rPr>
      </w:pPr>
      <w:r>
        <w:rPr>
          <w:rFonts w:ascii="宋体" w:hAnsi="宋体" w:eastAsia="宋体" w:cs="宋体"/>
          <w:spacing w:val="-2"/>
          <w:sz w:val="24"/>
          <w:szCs w:val="24"/>
        </w:rPr>
        <w:t>5.支持自定义预约权限设置，可选择检查队列和预约时间等。</w:t>
      </w:r>
    </w:p>
    <w:p w14:paraId="7EE7D030">
      <w:pPr>
        <w:spacing w:before="311" w:line="445" w:lineRule="auto"/>
        <w:ind w:left="523" w:right="640" w:hanging="3"/>
        <w:rPr>
          <w:rFonts w:ascii="宋体" w:hAnsi="宋体" w:eastAsia="宋体" w:cs="宋体"/>
          <w:sz w:val="24"/>
          <w:szCs w:val="24"/>
        </w:rPr>
      </w:pPr>
      <w:r>
        <w:rPr>
          <w:rFonts w:ascii="宋体" w:hAnsi="宋体" w:eastAsia="宋体" w:cs="宋体"/>
          <w:spacing w:val="-1"/>
          <w:sz w:val="24"/>
          <w:szCs w:val="24"/>
        </w:rPr>
        <w:t>6.可以设置每台设备的每天的预约数量，当预约资源被同时占</w:t>
      </w:r>
      <w:r>
        <w:rPr>
          <w:rFonts w:ascii="宋体" w:hAnsi="宋体" w:eastAsia="宋体" w:cs="宋体"/>
          <w:spacing w:val="-2"/>
          <w:sz w:val="24"/>
          <w:szCs w:val="24"/>
        </w:rPr>
        <w:t>用时，系统提示用户。</w:t>
      </w:r>
      <w:r>
        <w:rPr>
          <w:rFonts w:ascii="宋体" w:hAnsi="宋体" w:eastAsia="宋体" w:cs="宋体"/>
          <w:sz w:val="24"/>
          <w:szCs w:val="24"/>
        </w:rPr>
        <w:t xml:space="preserve"> </w:t>
      </w:r>
      <w:r>
        <w:rPr>
          <w:rFonts w:ascii="宋体" w:hAnsi="宋体" w:eastAsia="宋体" w:cs="宋体"/>
          <w:spacing w:val="-1"/>
          <w:sz w:val="24"/>
          <w:szCs w:val="24"/>
        </w:rPr>
        <w:t>7.可以进行预约调整和删除：时间段的调整，设备地</w:t>
      </w:r>
      <w:r>
        <w:rPr>
          <w:rFonts w:ascii="宋体" w:hAnsi="宋体" w:eastAsia="宋体" w:cs="宋体"/>
          <w:spacing w:val="-2"/>
          <w:sz w:val="24"/>
          <w:szCs w:val="24"/>
        </w:rPr>
        <w:t>点的调整，检查部位的调整。</w:t>
      </w:r>
    </w:p>
    <w:p w14:paraId="26E4611A">
      <w:pPr>
        <w:spacing w:before="34" w:line="220" w:lineRule="auto"/>
        <w:ind w:left="519"/>
        <w:rPr>
          <w:rFonts w:ascii="宋体" w:hAnsi="宋体" w:eastAsia="宋体" w:cs="宋体"/>
          <w:sz w:val="24"/>
          <w:szCs w:val="24"/>
        </w:rPr>
      </w:pPr>
      <w:r>
        <w:rPr>
          <w:rFonts w:ascii="宋体" w:hAnsi="宋体" w:eastAsia="宋体" w:cs="宋体"/>
          <w:spacing w:val="-1"/>
          <w:sz w:val="24"/>
          <w:szCs w:val="24"/>
        </w:rPr>
        <w:t>8.支持设置预约周期按照周一至周天选择、并根据预约周期</w:t>
      </w:r>
      <w:r>
        <w:rPr>
          <w:rFonts w:ascii="宋体" w:hAnsi="宋体" w:eastAsia="宋体" w:cs="宋体"/>
          <w:spacing w:val="-2"/>
          <w:sz w:val="24"/>
          <w:szCs w:val="24"/>
        </w:rPr>
        <w:t>设置预约生效时间。</w:t>
      </w:r>
    </w:p>
    <w:p w14:paraId="4E9E368C">
      <w:pPr>
        <w:spacing w:before="311" w:line="223" w:lineRule="auto"/>
        <w:ind w:left="36"/>
        <w:rPr>
          <w:rFonts w:ascii="楷体" w:hAnsi="楷体" w:eastAsia="楷体" w:cs="楷体"/>
          <w:sz w:val="24"/>
          <w:szCs w:val="24"/>
        </w:rPr>
      </w:pPr>
      <w:r>
        <w:rPr>
          <w:rFonts w:ascii="楷体" w:hAnsi="楷体" w:eastAsia="楷体" w:cs="楷体"/>
          <w:spacing w:val="-1"/>
          <w:sz w:val="24"/>
          <w:szCs w:val="24"/>
        </w:rPr>
        <w:t>2.4 放射管理系统</w:t>
      </w:r>
    </w:p>
    <w:p w14:paraId="5FC1A550">
      <w:pPr>
        <w:pStyle w:val="2"/>
        <w:spacing w:line="346" w:lineRule="auto"/>
      </w:pPr>
    </w:p>
    <w:p w14:paraId="39DC007F">
      <w:pPr>
        <w:spacing w:before="79" w:line="215" w:lineRule="auto"/>
        <w:ind w:left="47"/>
        <w:rPr>
          <w:rFonts w:ascii="仿宋" w:hAnsi="仿宋" w:eastAsia="仿宋" w:cs="仿宋"/>
          <w:sz w:val="24"/>
          <w:szCs w:val="24"/>
        </w:rPr>
      </w:pPr>
      <w:r>
        <w:rPr>
          <w:rFonts w:ascii="仿宋" w:hAnsi="仿宋" w:eastAsia="仿宋" w:cs="仿宋"/>
          <w:b/>
          <w:bCs/>
          <w:spacing w:val="-4"/>
          <w:sz w:val="24"/>
          <w:szCs w:val="24"/>
        </w:rPr>
        <w:t>2.4.1</w:t>
      </w:r>
      <w:r>
        <w:rPr>
          <w:rFonts w:ascii="仿宋" w:hAnsi="仿宋" w:eastAsia="仿宋" w:cs="仿宋"/>
          <w:spacing w:val="-4"/>
          <w:sz w:val="24"/>
          <w:szCs w:val="24"/>
        </w:rPr>
        <w:t xml:space="preserve"> </w:t>
      </w:r>
      <w:r>
        <w:rPr>
          <w:rFonts w:ascii="仿宋" w:hAnsi="仿宋" w:eastAsia="仿宋" w:cs="仿宋"/>
          <w:b/>
          <w:bCs/>
          <w:spacing w:val="-4"/>
          <w:sz w:val="24"/>
          <w:szCs w:val="24"/>
        </w:rPr>
        <w:t>检查登记系统</w:t>
      </w:r>
    </w:p>
    <w:p w14:paraId="079798DE">
      <w:pPr>
        <w:pStyle w:val="2"/>
        <w:spacing w:line="353" w:lineRule="auto"/>
      </w:pPr>
    </w:p>
    <w:p w14:paraId="3F446E55">
      <w:pPr>
        <w:spacing w:before="79" w:line="450" w:lineRule="auto"/>
        <w:ind w:left="37" w:right="85" w:firstLine="498"/>
        <w:jc w:val="both"/>
        <w:rPr>
          <w:rFonts w:ascii="宋体" w:hAnsi="宋体" w:eastAsia="宋体" w:cs="宋体"/>
          <w:sz w:val="24"/>
          <w:szCs w:val="24"/>
        </w:rPr>
      </w:pPr>
      <w:r>
        <w:rPr>
          <w:rFonts w:ascii="宋体" w:hAnsi="宋体" w:eastAsia="宋体" w:cs="宋体"/>
          <w:spacing w:val="-1"/>
          <w:sz w:val="24"/>
          <w:szCs w:val="24"/>
        </w:rPr>
        <w:t>1.支持与</w:t>
      </w:r>
      <w:r>
        <w:rPr>
          <w:rFonts w:ascii="宋体" w:hAnsi="宋体" w:eastAsia="宋体" w:cs="宋体"/>
          <w:spacing w:val="-39"/>
          <w:sz w:val="24"/>
          <w:szCs w:val="24"/>
        </w:rPr>
        <w:t xml:space="preserve"> </w:t>
      </w:r>
      <w:r>
        <w:rPr>
          <w:rFonts w:ascii="宋体" w:hAnsi="宋体" w:eastAsia="宋体" w:cs="宋体"/>
          <w:spacing w:val="-1"/>
          <w:sz w:val="24"/>
          <w:szCs w:val="24"/>
        </w:rPr>
        <w:t>HIS</w:t>
      </w:r>
      <w:r>
        <w:rPr>
          <w:rFonts w:ascii="宋体" w:hAnsi="宋体" w:eastAsia="宋体" w:cs="宋体"/>
          <w:spacing w:val="-45"/>
          <w:sz w:val="24"/>
          <w:szCs w:val="24"/>
        </w:rPr>
        <w:t xml:space="preserve"> </w:t>
      </w:r>
      <w:r>
        <w:rPr>
          <w:rFonts w:ascii="宋体" w:hAnsi="宋体" w:eastAsia="宋体" w:cs="宋体"/>
          <w:spacing w:val="-1"/>
          <w:sz w:val="24"/>
          <w:szCs w:val="24"/>
        </w:rPr>
        <w:t>系统集成，实现检查登记时输入病历号后从</w:t>
      </w:r>
      <w:r>
        <w:rPr>
          <w:rFonts w:ascii="宋体" w:hAnsi="宋体" w:eastAsia="宋体" w:cs="宋体"/>
          <w:spacing w:val="-55"/>
          <w:sz w:val="24"/>
          <w:szCs w:val="24"/>
        </w:rPr>
        <w:t xml:space="preserve"> </w:t>
      </w:r>
      <w:r>
        <w:rPr>
          <w:rFonts w:ascii="宋体" w:hAnsi="宋体" w:eastAsia="宋体" w:cs="宋体"/>
          <w:spacing w:val="-1"/>
          <w:sz w:val="24"/>
          <w:szCs w:val="24"/>
        </w:rPr>
        <w:t>HIS</w:t>
      </w:r>
      <w:r>
        <w:rPr>
          <w:rFonts w:ascii="宋体" w:hAnsi="宋体" w:eastAsia="宋体" w:cs="宋体"/>
          <w:spacing w:val="-48"/>
          <w:sz w:val="24"/>
          <w:szCs w:val="24"/>
        </w:rPr>
        <w:t xml:space="preserve"> </w:t>
      </w:r>
      <w:r>
        <w:rPr>
          <w:rFonts w:ascii="宋体" w:hAnsi="宋体" w:eastAsia="宋体" w:cs="宋体"/>
          <w:spacing w:val="-1"/>
          <w:sz w:val="24"/>
          <w:szCs w:val="24"/>
        </w:rPr>
        <w:t>调入病人信息，一次完成登</w:t>
      </w:r>
      <w:r>
        <w:rPr>
          <w:rFonts w:ascii="宋体" w:hAnsi="宋体" w:eastAsia="宋体" w:cs="宋体"/>
          <w:sz w:val="24"/>
          <w:szCs w:val="24"/>
        </w:rPr>
        <w:t xml:space="preserve"> </w:t>
      </w:r>
      <w:r>
        <w:rPr>
          <w:rFonts w:ascii="宋体" w:hAnsi="宋体" w:eastAsia="宋体" w:cs="宋体"/>
          <w:spacing w:val="-1"/>
          <w:sz w:val="24"/>
          <w:szCs w:val="24"/>
        </w:rPr>
        <w:t>记工作；联合</w:t>
      </w:r>
      <w:r>
        <w:rPr>
          <w:rFonts w:ascii="宋体" w:hAnsi="宋体" w:eastAsia="宋体" w:cs="宋体"/>
          <w:spacing w:val="-56"/>
          <w:sz w:val="24"/>
          <w:szCs w:val="24"/>
        </w:rPr>
        <w:t xml:space="preserve"> </w:t>
      </w:r>
      <w:r>
        <w:rPr>
          <w:rFonts w:ascii="宋体" w:hAnsi="宋体" w:eastAsia="宋体" w:cs="宋体"/>
          <w:spacing w:val="-1"/>
          <w:sz w:val="24"/>
          <w:szCs w:val="24"/>
        </w:rPr>
        <w:t>HIS，实现患者一人一个唯一编</w:t>
      </w:r>
      <w:r>
        <w:rPr>
          <w:rFonts w:ascii="宋体" w:hAnsi="宋体" w:eastAsia="宋体" w:cs="宋体"/>
          <w:spacing w:val="-2"/>
          <w:sz w:val="24"/>
          <w:szCs w:val="24"/>
        </w:rPr>
        <w:t>码管理，在</w:t>
      </w:r>
      <w:r>
        <w:rPr>
          <w:rFonts w:ascii="宋体" w:hAnsi="宋体" w:eastAsia="宋体" w:cs="宋体"/>
          <w:spacing w:val="-53"/>
          <w:sz w:val="24"/>
          <w:szCs w:val="24"/>
        </w:rPr>
        <w:t xml:space="preserve"> </w:t>
      </w:r>
      <w:r>
        <w:rPr>
          <w:rFonts w:ascii="宋体" w:hAnsi="宋体" w:eastAsia="宋体" w:cs="宋体"/>
          <w:spacing w:val="-2"/>
          <w:sz w:val="24"/>
          <w:szCs w:val="24"/>
        </w:rPr>
        <w:t>RIS</w:t>
      </w:r>
      <w:r>
        <w:rPr>
          <w:rFonts w:ascii="宋体" w:hAnsi="宋体" w:eastAsia="宋体" w:cs="宋体"/>
          <w:spacing w:val="-51"/>
          <w:sz w:val="24"/>
          <w:szCs w:val="24"/>
        </w:rPr>
        <w:t xml:space="preserve"> </w:t>
      </w:r>
      <w:r>
        <w:rPr>
          <w:rFonts w:ascii="宋体" w:hAnsi="宋体" w:eastAsia="宋体" w:cs="宋体"/>
          <w:spacing w:val="-2"/>
          <w:sz w:val="24"/>
          <w:szCs w:val="24"/>
        </w:rPr>
        <w:t>及</w:t>
      </w:r>
      <w:r>
        <w:rPr>
          <w:rFonts w:ascii="宋体" w:hAnsi="宋体" w:eastAsia="宋体" w:cs="宋体"/>
          <w:spacing w:val="-55"/>
          <w:sz w:val="24"/>
          <w:szCs w:val="24"/>
        </w:rPr>
        <w:t xml:space="preserve"> </w:t>
      </w:r>
      <w:r>
        <w:rPr>
          <w:rFonts w:ascii="宋体" w:hAnsi="宋体" w:eastAsia="宋体" w:cs="宋体"/>
          <w:spacing w:val="-2"/>
          <w:sz w:val="24"/>
          <w:szCs w:val="24"/>
        </w:rPr>
        <w:t>PACS</w:t>
      </w:r>
      <w:r>
        <w:rPr>
          <w:rFonts w:ascii="宋体" w:hAnsi="宋体" w:eastAsia="宋体" w:cs="宋体"/>
          <w:spacing w:val="-46"/>
          <w:sz w:val="24"/>
          <w:szCs w:val="24"/>
        </w:rPr>
        <w:t xml:space="preserve"> </w:t>
      </w:r>
      <w:r>
        <w:rPr>
          <w:rFonts w:ascii="宋体" w:hAnsi="宋体" w:eastAsia="宋体" w:cs="宋体"/>
          <w:spacing w:val="-2"/>
          <w:sz w:val="24"/>
          <w:szCs w:val="24"/>
        </w:rPr>
        <w:t>系统中能查看各影像检查</w:t>
      </w:r>
      <w:r>
        <w:rPr>
          <w:rFonts w:ascii="宋体" w:hAnsi="宋体" w:eastAsia="宋体" w:cs="宋体"/>
          <w:sz w:val="24"/>
          <w:szCs w:val="24"/>
        </w:rPr>
        <w:t xml:space="preserve"> </w:t>
      </w:r>
      <w:r>
        <w:rPr>
          <w:rFonts w:ascii="宋体" w:hAnsi="宋体" w:eastAsia="宋体" w:cs="宋体"/>
          <w:spacing w:val="-6"/>
          <w:sz w:val="24"/>
          <w:szCs w:val="24"/>
        </w:rPr>
        <w:t>项目患者编码。</w:t>
      </w:r>
    </w:p>
    <w:p w14:paraId="5990FBB7">
      <w:pPr>
        <w:spacing w:before="34" w:line="445" w:lineRule="auto"/>
        <w:ind w:left="44" w:right="120" w:firstLine="476"/>
        <w:rPr>
          <w:rFonts w:ascii="宋体" w:hAnsi="宋体" w:eastAsia="宋体" w:cs="宋体"/>
          <w:sz w:val="24"/>
          <w:szCs w:val="24"/>
        </w:rPr>
      </w:pPr>
      <w:r>
        <w:rPr>
          <w:rFonts w:ascii="宋体" w:hAnsi="宋体" w:eastAsia="宋体" w:cs="宋体"/>
          <w:sz w:val="24"/>
          <w:szCs w:val="24"/>
        </w:rPr>
        <w:t>2.★支持检查登记，并在分诊或诊断环节灵活进行费用确认，确保流</w:t>
      </w:r>
      <w:r>
        <w:rPr>
          <w:rFonts w:ascii="宋体" w:hAnsi="宋体" w:eastAsia="宋体" w:cs="宋体"/>
          <w:spacing w:val="-1"/>
          <w:sz w:val="24"/>
          <w:szCs w:val="24"/>
        </w:rPr>
        <w:t>程的高效与适应性。</w:t>
      </w:r>
      <w:r>
        <w:rPr>
          <w:rFonts w:ascii="宋体" w:hAnsi="宋体" w:eastAsia="宋体" w:cs="宋体"/>
          <w:sz w:val="24"/>
          <w:szCs w:val="24"/>
        </w:rPr>
        <w:t xml:space="preserve"> </w:t>
      </w:r>
      <w:r>
        <w:rPr>
          <w:rFonts w:ascii="宋体" w:hAnsi="宋体" w:eastAsia="宋体" w:cs="宋体"/>
          <w:spacing w:val="-4"/>
          <w:sz w:val="24"/>
          <w:szCs w:val="24"/>
        </w:rPr>
        <w:t>（提供系统界面功能截图）。</w:t>
      </w:r>
    </w:p>
    <w:p w14:paraId="0ED707EE">
      <w:pPr>
        <w:spacing w:before="35" w:line="220" w:lineRule="auto"/>
        <w:ind w:left="523"/>
        <w:rPr>
          <w:rFonts w:ascii="宋体" w:hAnsi="宋体" w:eastAsia="宋体" w:cs="宋体"/>
          <w:sz w:val="24"/>
          <w:szCs w:val="24"/>
        </w:rPr>
      </w:pPr>
      <w:r>
        <w:rPr>
          <w:rFonts w:ascii="宋体" w:hAnsi="宋体" w:eastAsia="宋体" w:cs="宋体"/>
          <w:spacing w:val="-3"/>
          <w:sz w:val="24"/>
          <w:szCs w:val="24"/>
        </w:rPr>
        <w:t>3.支持检查单打印，可打印条码。</w:t>
      </w:r>
    </w:p>
    <w:p w14:paraId="22FCD709">
      <w:pPr>
        <w:spacing w:before="310" w:line="220" w:lineRule="auto"/>
        <w:jc w:val="right"/>
        <w:rPr>
          <w:rFonts w:ascii="宋体" w:hAnsi="宋体" w:eastAsia="宋体" w:cs="宋体"/>
          <w:sz w:val="24"/>
          <w:szCs w:val="24"/>
        </w:rPr>
      </w:pPr>
      <w:r>
        <w:rPr>
          <w:rFonts w:ascii="宋体" w:hAnsi="宋体" w:eastAsia="宋体" w:cs="宋体"/>
          <w:spacing w:val="-7"/>
          <w:sz w:val="24"/>
          <w:szCs w:val="24"/>
        </w:rPr>
        <w:t>4.检查申请单可以按检查类型和检查项目自由配置格式和内容，支持医保卡、磁卡、</w:t>
      </w:r>
      <w:r>
        <w:rPr>
          <w:rFonts w:ascii="宋体" w:hAnsi="宋体" w:eastAsia="宋体" w:cs="宋体"/>
          <w:spacing w:val="-23"/>
          <w:sz w:val="24"/>
          <w:szCs w:val="24"/>
        </w:rPr>
        <w:t xml:space="preserve"> </w:t>
      </w:r>
      <w:r>
        <w:rPr>
          <w:rFonts w:ascii="宋体" w:hAnsi="宋体" w:eastAsia="宋体" w:cs="宋体"/>
          <w:spacing w:val="-7"/>
          <w:sz w:val="24"/>
          <w:szCs w:val="24"/>
        </w:rPr>
        <w:t>IC</w:t>
      </w:r>
      <w:r>
        <w:rPr>
          <w:rFonts w:ascii="宋体" w:hAnsi="宋体" w:eastAsia="宋体" w:cs="宋体"/>
          <w:spacing w:val="-48"/>
          <w:sz w:val="24"/>
          <w:szCs w:val="24"/>
        </w:rPr>
        <w:t xml:space="preserve"> </w:t>
      </w:r>
      <w:r>
        <w:rPr>
          <w:rFonts w:ascii="宋体" w:hAnsi="宋体" w:eastAsia="宋体" w:cs="宋体"/>
          <w:spacing w:val="-7"/>
          <w:sz w:val="24"/>
          <w:szCs w:val="24"/>
        </w:rPr>
        <w:t>卡、</w:t>
      </w:r>
    </w:p>
    <w:p w14:paraId="57D0DD65">
      <w:pPr>
        <w:pStyle w:val="2"/>
        <w:spacing w:line="307" w:lineRule="auto"/>
      </w:pPr>
    </w:p>
    <w:p w14:paraId="477D1332">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51                                </w:t>
      </w:r>
      <w:r>
        <w:rPr>
          <w:rFonts w:ascii="宋体" w:hAnsi="宋体" w:eastAsia="宋体" w:cs="宋体"/>
          <w:b/>
          <w:bCs/>
          <w:i/>
          <w:iCs/>
          <w:spacing w:val="-3"/>
          <w:sz w:val="19"/>
          <w:szCs w:val="19"/>
        </w:rPr>
        <w:t>伊犁州公共资源交易中心</w:t>
      </w:r>
    </w:p>
    <w:p w14:paraId="55BA6C8C">
      <w:pPr>
        <w:spacing w:line="160" w:lineRule="auto"/>
        <w:rPr>
          <w:rFonts w:ascii="宋体" w:hAnsi="宋体" w:eastAsia="宋体" w:cs="宋体"/>
          <w:sz w:val="19"/>
          <w:szCs w:val="19"/>
        </w:rPr>
        <w:sectPr>
          <w:pgSz w:w="11905" w:h="16839"/>
          <w:pgMar w:top="1136" w:right="773" w:bottom="937" w:left="1136" w:header="854" w:footer="923" w:gutter="0"/>
          <w:cols w:space="720" w:num="1"/>
        </w:sectPr>
      </w:pPr>
    </w:p>
    <w:p w14:paraId="4F160F83">
      <w:pPr>
        <w:pStyle w:val="2"/>
        <w:spacing w:line="379" w:lineRule="auto"/>
      </w:pPr>
    </w:p>
    <w:p w14:paraId="638A5677">
      <w:pPr>
        <w:spacing w:before="78" w:line="220" w:lineRule="auto"/>
        <w:ind w:left="40"/>
        <w:rPr>
          <w:rFonts w:ascii="宋体" w:hAnsi="宋体" w:eastAsia="宋体" w:cs="宋体"/>
          <w:sz w:val="24"/>
          <w:szCs w:val="24"/>
        </w:rPr>
      </w:pPr>
      <w:r>
        <w:rPr>
          <w:rFonts w:ascii="宋体" w:hAnsi="宋体" w:eastAsia="宋体" w:cs="宋体"/>
          <w:spacing w:val="-5"/>
          <w:sz w:val="24"/>
          <w:szCs w:val="24"/>
        </w:rPr>
        <w:t>条码输入、手工输入。</w:t>
      </w:r>
    </w:p>
    <w:p w14:paraId="3E53D658">
      <w:pPr>
        <w:spacing w:before="310" w:line="220" w:lineRule="auto"/>
        <w:ind w:left="523"/>
        <w:rPr>
          <w:rFonts w:ascii="宋体" w:hAnsi="宋体" w:eastAsia="宋体" w:cs="宋体"/>
          <w:sz w:val="24"/>
          <w:szCs w:val="24"/>
        </w:rPr>
      </w:pPr>
      <w:r>
        <w:rPr>
          <w:rFonts w:ascii="宋体" w:hAnsi="宋体" w:eastAsia="宋体" w:cs="宋体"/>
          <w:spacing w:val="-2"/>
          <w:sz w:val="24"/>
          <w:szCs w:val="24"/>
        </w:rPr>
        <w:t>5.支持动态查看设备使用情况如：检查量、排队量、已完成等信息。</w:t>
      </w:r>
    </w:p>
    <w:p w14:paraId="46CBA0AE">
      <w:pPr>
        <w:spacing w:before="311" w:line="445" w:lineRule="auto"/>
        <w:ind w:left="38" w:right="29" w:firstLine="481"/>
        <w:rPr>
          <w:rFonts w:ascii="宋体" w:hAnsi="宋体" w:eastAsia="宋体" w:cs="宋体"/>
          <w:sz w:val="24"/>
          <w:szCs w:val="24"/>
        </w:rPr>
      </w:pPr>
      <w:r>
        <w:rPr>
          <w:rFonts w:ascii="宋体" w:hAnsi="宋体" w:eastAsia="宋体" w:cs="宋体"/>
          <w:spacing w:val="1"/>
          <w:sz w:val="24"/>
          <w:szCs w:val="24"/>
        </w:rPr>
        <w:t>6.支持修改患者类型、病人姓名、年龄等患者信息，也可修</w:t>
      </w:r>
      <w:r>
        <w:rPr>
          <w:rFonts w:ascii="宋体" w:hAnsi="宋体" w:eastAsia="宋体" w:cs="宋体"/>
          <w:sz w:val="24"/>
          <w:szCs w:val="24"/>
        </w:rPr>
        <w:t xml:space="preserve">改检查项目，检查部位等检查 </w:t>
      </w:r>
      <w:r>
        <w:rPr>
          <w:rFonts w:ascii="宋体" w:hAnsi="宋体" w:eastAsia="宋体" w:cs="宋体"/>
          <w:spacing w:val="-10"/>
          <w:sz w:val="24"/>
          <w:szCs w:val="24"/>
        </w:rPr>
        <w:t>信息。</w:t>
      </w:r>
    </w:p>
    <w:p w14:paraId="37FB1569">
      <w:pPr>
        <w:spacing w:before="33" w:line="446" w:lineRule="auto"/>
        <w:ind w:left="43" w:right="29" w:firstLine="480"/>
        <w:rPr>
          <w:rFonts w:ascii="宋体" w:hAnsi="宋体" w:eastAsia="宋体" w:cs="宋体"/>
          <w:sz w:val="24"/>
          <w:szCs w:val="24"/>
        </w:rPr>
      </w:pPr>
      <w:r>
        <w:rPr>
          <w:rFonts w:ascii="宋体" w:hAnsi="宋体" w:eastAsia="宋体" w:cs="宋体"/>
          <w:spacing w:val="1"/>
          <w:sz w:val="24"/>
          <w:szCs w:val="24"/>
        </w:rPr>
        <w:t>7.支持手动登记，即无法自动获取患者的基本信息</w:t>
      </w:r>
      <w:r>
        <w:rPr>
          <w:rFonts w:ascii="宋体" w:hAnsi="宋体" w:eastAsia="宋体" w:cs="宋体"/>
          <w:sz w:val="24"/>
          <w:szCs w:val="24"/>
        </w:rPr>
        <w:t xml:space="preserve">及检查信息，能通过手动录入信息的方 </w:t>
      </w:r>
      <w:r>
        <w:rPr>
          <w:rFonts w:ascii="宋体" w:hAnsi="宋体" w:eastAsia="宋体" w:cs="宋体"/>
          <w:spacing w:val="-7"/>
          <w:sz w:val="24"/>
          <w:szCs w:val="24"/>
        </w:rPr>
        <w:t>式进行登记。</w:t>
      </w:r>
    </w:p>
    <w:p w14:paraId="532DD367">
      <w:pPr>
        <w:spacing w:before="33" w:line="219" w:lineRule="auto"/>
        <w:ind w:left="519"/>
        <w:rPr>
          <w:rFonts w:ascii="宋体" w:hAnsi="宋体" w:eastAsia="宋体" w:cs="宋体"/>
          <w:sz w:val="24"/>
          <w:szCs w:val="24"/>
        </w:rPr>
      </w:pPr>
      <w:r>
        <w:rPr>
          <w:rFonts w:ascii="宋体" w:hAnsi="宋体" w:eastAsia="宋体" w:cs="宋体"/>
          <w:spacing w:val="-1"/>
          <w:sz w:val="24"/>
          <w:szCs w:val="24"/>
        </w:rPr>
        <w:t>8.支持纸质申请单通过扫描申请单功能扫描、上传，</w:t>
      </w:r>
      <w:r>
        <w:rPr>
          <w:rFonts w:ascii="宋体" w:hAnsi="宋体" w:eastAsia="宋体" w:cs="宋体"/>
          <w:spacing w:val="-2"/>
          <w:sz w:val="24"/>
          <w:szCs w:val="24"/>
        </w:rPr>
        <w:t>方便诊断参考相关信息。</w:t>
      </w:r>
    </w:p>
    <w:p w14:paraId="08347052">
      <w:pPr>
        <w:spacing w:before="311" w:line="445" w:lineRule="auto"/>
        <w:ind w:left="39" w:right="29" w:firstLine="480"/>
        <w:rPr>
          <w:rFonts w:ascii="宋体" w:hAnsi="宋体" w:eastAsia="宋体" w:cs="宋体"/>
          <w:sz w:val="24"/>
          <w:szCs w:val="24"/>
        </w:rPr>
      </w:pPr>
      <w:r>
        <w:rPr>
          <w:rFonts w:ascii="宋体" w:hAnsi="宋体" w:eastAsia="宋体" w:cs="宋体"/>
          <w:sz w:val="24"/>
          <w:szCs w:val="24"/>
        </w:rPr>
        <w:t>9.支持分诊时查看各个诊室设备的“排队</w:t>
      </w:r>
      <w:r>
        <w:rPr>
          <w:rFonts w:ascii="宋体" w:hAnsi="宋体" w:eastAsia="宋体" w:cs="宋体"/>
          <w:spacing w:val="-87"/>
          <w:sz w:val="24"/>
          <w:szCs w:val="24"/>
        </w:rPr>
        <w:t xml:space="preserve"> </w:t>
      </w:r>
      <w:r>
        <w:rPr>
          <w:rFonts w:ascii="宋体" w:hAnsi="宋体" w:eastAsia="宋体" w:cs="宋体"/>
          <w:sz w:val="24"/>
          <w:szCs w:val="24"/>
        </w:rPr>
        <w:t>”患者数量，从而做出更好的资源分</w:t>
      </w:r>
      <w:r>
        <w:rPr>
          <w:rFonts w:ascii="宋体" w:hAnsi="宋体" w:eastAsia="宋体" w:cs="宋体"/>
          <w:spacing w:val="-1"/>
          <w:sz w:val="24"/>
          <w:szCs w:val="24"/>
        </w:rPr>
        <w:t>配、提高工</w:t>
      </w:r>
      <w:r>
        <w:rPr>
          <w:rFonts w:ascii="宋体" w:hAnsi="宋体" w:eastAsia="宋体" w:cs="宋体"/>
          <w:sz w:val="24"/>
          <w:szCs w:val="24"/>
        </w:rPr>
        <w:t xml:space="preserve"> </w:t>
      </w:r>
      <w:r>
        <w:rPr>
          <w:rFonts w:ascii="宋体" w:hAnsi="宋体" w:eastAsia="宋体" w:cs="宋体"/>
          <w:spacing w:val="-6"/>
          <w:sz w:val="24"/>
          <w:szCs w:val="24"/>
        </w:rPr>
        <w:t>作速度和效率。</w:t>
      </w:r>
    </w:p>
    <w:p w14:paraId="4D692D96">
      <w:pPr>
        <w:spacing w:before="34" w:line="445" w:lineRule="auto"/>
        <w:ind w:left="58" w:right="28" w:firstLine="478"/>
        <w:rPr>
          <w:rFonts w:ascii="宋体" w:hAnsi="宋体" w:eastAsia="宋体" w:cs="宋体"/>
          <w:sz w:val="24"/>
          <w:szCs w:val="24"/>
        </w:rPr>
      </w:pPr>
      <w:r>
        <w:rPr>
          <w:rFonts w:ascii="宋体" w:hAnsi="宋体" w:eastAsia="宋体" w:cs="宋体"/>
          <w:spacing w:val="-3"/>
          <w:sz w:val="24"/>
          <w:szCs w:val="24"/>
        </w:rPr>
        <w:t>10.当检查科室有组套检查时，支持设置组套快捷键，输入快捷键后自动匹配符合该快捷键</w:t>
      </w:r>
      <w:r>
        <w:rPr>
          <w:rFonts w:ascii="宋体" w:hAnsi="宋体" w:eastAsia="宋体" w:cs="宋体"/>
          <w:spacing w:val="14"/>
          <w:sz w:val="24"/>
          <w:szCs w:val="24"/>
        </w:rPr>
        <w:t xml:space="preserve"> </w:t>
      </w:r>
      <w:r>
        <w:rPr>
          <w:rFonts w:ascii="宋体" w:hAnsi="宋体" w:eastAsia="宋体" w:cs="宋体"/>
          <w:spacing w:val="-2"/>
          <w:sz w:val="24"/>
          <w:szCs w:val="24"/>
        </w:rPr>
        <w:t>的组套信息，选择组套信息后可以一次性录</w:t>
      </w:r>
      <w:r>
        <w:rPr>
          <w:rFonts w:ascii="宋体" w:hAnsi="宋体" w:eastAsia="宋体" w:cs="宋体"/>
          <w:spacing w:val="-3"/>
          <w:sz w:val="24"/>
          <w:szCs w:val="24"/>
        </w:rPr>
        <w:t>入多个检查部位。</w:t>
      </w:r>
    </w:p>
    <w:p w14:paraId="7F9CCD7F">
      <w:pPr>
        <w:spacing w:before="36" w:line="217" w:lineRule="auto"/>
        <w:ind w:left="47"/>
        <w:rPr>
          <w:rFonts w:ascii="仿宋" w:hAnsi="仿宋" w:eastAsia="仿宋" w:cs="仿宋"/>
          <w:sz w:val="24"/>
          <w:szCs w:val="24"/>
        </w:rPr>
      </w:pPr>
      <w:r>
        <w:rPr>
          <w:rFonts w:ascii="仿宋" w:hAnsi="仿宋" w:eastAsia="仿宋" w:cs="仿宋"/>
          <w:b/>
          <w:bCs/>
          <w:spacing w:val="-6"/>
          <w:sz w:val="24"/>
          <w:szCs w:val="24"/>
        </w:rPr>
        <w:t>2.4.2</w:t>
      </w:r>
      <w:r>
        <w:rPr>
          <w:rFonts w:ascii="仿宋" w:hAnsi="仿宋" w:eastAsia="仿宋" w:cs="仿宋"/>
          <w:spacing w:val="-40"/>
          <w:sz w:val="24"/>
          <w:szCs w:val="24"/>
        </w:rPr>
        <w:t xml:space="preserve"> </w:t>
      </w:r>
      <w:r>
        <w:rPr>
          <w:rFonts w:ascii="仿宋" w:hAnsi="仿宋" w:eastAsia="仿宋" w:cs="仿宋"/>
          <w:b/>
          <w:bCs/>
          <w:spacing w:val="-6"/>
          <w:sz w:val="24"/>
          <w:szCs w:val="24"/>
        </w:rPr>
        <w:t>技师管理系统</w:t>
      </w:r>
    </w:p>
    <w:p w14:paraId="5D1816FD">
      <w:pPr>
        <w:pStyle w:val="2"/>
        <w:spacing w:line="353" w:lineRule="auto"/>
      </w:pPr>
    </w:p>
    <w:p w14:paraId="6907F407">
      <w:pPr>
        <w:spacing w:before="79" w:line="444" w:lineRule="auto"/>
        <w:ind w:left="521" w:right="103" w:firstLine="14"/>
        <w:rPr>
          <w:rFonts w:ascii="宋体" w:hAnsi="宋体" w:eastAsia="宋体" w:cs="宋体"/>
          <w:sz w:val="24"/>
          <w:szCs w:val="24"/>
        </w:rPr>
      </w:pPr>
      <w:r>
        <w:rPr>
          <w:rFonts w:ascii="宋体" w:hAnsi="宋体" w:eastAsia="宋体" w:cs="宋体"/>
          <w:spacing w:val="-2"/>
          <w:sz w:val="24"/>
          <w:szCs w:val="24"/>
        </w:rPr>
        <w:t>1.支持查询患者信息呼叫患者、查看电子申请单，患者检查状态更新，检查情况的记录。</w:t>
      </w:r>
      <w:r>
        <w:rPr>
          <w:rFonts w:ascii="宋体" w:hAnsi="宋体" w:eastAsia="宋体" w:cs="宋体"/>
          <w:spacing w:val="17"/>
          <w:sz w:val="24"/>
          <w:szCs w:val="24"/>
        </w:rPr>
        <w:t xml:space="preserve"> </w:t>
      </w:r>
      <w:r>
        <w:rPr>
          <w:rFonts w:ascii="宋体" w:hAnsi="宋体" w:eastAsia="宋体" w:cs="宋体"/>
          <w:spacing w:val="-3"/>
          <w:sz w:val="24"/>
          <w:szCs w:val="24"/>
        </w:rPr>
        <w:t>2.支持叫号系统的排序和告知信息更新。</w:t>
      </w:r>
    </w:p>
    <w:p w14:paraId="02E1DE69">
      <w:pPr>
        <w:spacing w:before="36" w:line="220" w:lineRule="auto"/>
        <w:ind w:left="523"/>
        <w:rPr>
          <w:rFonts w:ascii="宋体" w:hAnsi="宋体" w:eastAsia="宋体" w:cs="宋体"/>
          <w:sz w:val="24"/>
          <w:szCs w:val="24"/>
        </w:rPr>
      </w:pPr>
      <w:r>
        <w:rPr>
          <w:rFonts w:ascii="宋体" w:hAnsi="宋体" w:eastAsia="宋体" w:cs="宋体"/>
          <w:spacing w:val="-2"/>
          <w:sz w:val="24"/>
          <w:szCs w:val="24"/>
        </w:rPr>
        <w:t>3.可设置自动叫号，可以自动呼叫，支持时间间隔设置。</w:t>
      </w:r>
    </w:p>
    <w:p w14:paraId="65738F7D">
      <w:pPr>
        <w:spacing w:before="310" w:line="445" w:lineRule="auto"/>
        <w:ind w:left="67" w:right="29" w:firstLine="450"/>
        <w:rPr>
          <w:rFonts w:ascii="宋体" w:hAnsi="宋体" w:eastAsia="宋体" w:cs="宋体"/>
          <w:sz w:val="24"/>
          <w:szCs w:val="24"/>
        </w:rPr>
      </w:pPr>
      <w:r>
        <w:rPr>
          <w:rFonts w:ascii="宋体" w:hAnsi="宋体" w:eastAsia="宋体" w:cs="宋体"/>
          <w:spacing w:val="1"/>
          <w:sz w:val="24"/>
          <w:szCs w:val="24"/>
        </w:rPr>
        <w:t>4.★支持自定义创建语音播报内容，并发布语音播报内容；支持自</w:t>
      </w:r>
      <w:r>
        <w:rPr>
          <w:rFonts w:ascii="宋体" w:hAnsi="宋体" w:eastAsia="宋体" w:cs="宋体"/>
          <w:sz w:val="24"/>
          <w:szCs w:val="24"/>
        </w:rPr>
        <w:t xml:space="preserve">定义创建科室消息播报 </w:t>
      </w:r>
      <w:r>
        <w:rPr>
          <w:rFonts w:ascii="宋体" w:hAnsi="宋体" w:eastAsia="宋体" w:cs="宋体"/>
          <w:spacing w:val="-2"/>
          <w:sz w:val="24"/>
          <w:szCs w:val="24"/>
        </w:rPr>
        <w:t>内容，并发布消息播报内容。（提供系统界面功</w:t>
      </w:r>
      <w:r>
        <w:rPr>
          <w:rFonts w:ascii="宋体" w:hAnsi="宋体" w:eastAsia="宋体" w:cs="宋体"/>
          <w:spacing w:val="-3"/>
          <w:sz w:val="24"/>
          <w:szCs w:val="24"/>
        </w:rPr>
        <w:t>能截图）</w:t>
      </w:r>
    </w:p>
    <w:p w14:paraId="0671DAE0">
      <w:pPr>
        <w:spacing w:before="35" w:line="220" w:lineRule="auto"/>
        <w:ind w:left="523"/>
        <w:rPr>
          <w:rFonts w:ascii="宋体" w:hAnsi="宋体" w:eastAsia="宋体" w:cs="宋体"/>
          <w:sz w:val="24"/>
          <w:szCs w:val="24"/>
        </w:rPr>
      </w:pPr>
      <w:r>
        <w:rPr>
          <w:rFonts w:ascii="宋体" w:hAnsi="宋体" w:eastAsia="宋体" w:cs="宋体"/>
          <w:spacing w:val="-4"/>
          <w:sz w:val="24"/>
          <w:szCs w:val="24"/>
        </w:rPr>
        <w:t>5.支持技师留言提醒确认。</w:t>
      </w:r>
    </w:p>
    <w:p w14:paraId="58C3BD24">
      <w:pPr>
        <w:spacing w:before="310" w:line="445" w:lineRule="auto"/>
        <w:ind w:left="37" w:right="63" w:firstLine="482"/>
        <w:rPr>
          <w:rFonts w:ascii="宋体" w:hAnsi="宋体" w:eastAsia="宋体" w:cs="宋体"/>
          <w:sz w:val="24"/>
          <w:szCs w:val="24"/>
        </w:rPr>
      </w:pPr>
      <w:r>
        <w:rPr>
          <w:rFonts w:ascii="宋体" w:hAnsi="宋体" w:eastAsia="宋体" w:cs="宋体"/>
          <w:sz w:val="24"/>
          <w:szCs w:val="24"/>
        </w:rPr>
        <w:t>6.检查技师可记录患者在检查过程中的特殊情况，如对比剂外渗及处理</w:t>
      </w:r>
      <w:r>
        <w:rPr>
          <w:rFonts w:ascii="宋体" w:hAnsi="宋体" w:eastAsia="宋体" w:cs="宋体"/>
          <w:spacing w:val="-1"/>
          <w:sz w:val="24"/>
          <w:szCs w:val="24"/>
        </w:rPr>
        <w:t>、患者拒绝检查、</w:t>
      </w:r>
      <w:r>
        <w:rPr>
          <w:rFonts w:ascii="宋体" w:hAnsi="宋体" w:eastAsia="宋体" w:cs="宋体"/>
          <w:sz w:val="24"/>
          <w:szCs w:val="24"/>
        </w:rPr>
        <w:t xml:space="preserve"> </w:t>
      </w:r>
      <w:r>
        <w:rPr>
          <w:rFonts w:ascii="宋体" w:hAnsi="宋体" w:eastAsia="宋体" w:cs="宋体"/>
          <w:spacing w:val="-4"/>
          <w:sz w:val="24"/>
          <w:szCs w:val="24"/>
        </w:rPr>
        <w:t>对比剂过敏及处理等。</w:t>
      </w:r>
    </w:p>
    <w:p w14:paraId="2103D053">
      <w:pPr>
        <w:spacing w:before="35" w:line="445" w:lineRule="auto"/>
        <w:ind w:left="519" w:right="1303" w:firstLine="4"/>
        <w:rPr>
          <w:rFonts w:ascii="宋体" w:hAnsi="宋体" w:eastAsia="宋体" w:cs="宋体"/>
          <w:sz w:val="24"/>
          <w:szCs w:val="24"/>
        </w:rPr>
      </w:pPr>
      <w:r>
        <w:rPr>
          <w:rFonts w:ascii="宋体" w:hAnsi="宋体" w:eastAsia="宋体" w:cs="宋体"/>
          <w:spacing w:val="-1"/>
          <w:sz w:val="24"/>
          <w:szCs w:val="24"/>
        </w:rPr>
        <w:t>7.支持患者检查图像删除、图像序列迁移</w:t>
      </w:r>
      <w:r>
        <w:rPr>
          <w:rFonts w:ascii="宋体" w:hAnsi="宋体" w:eastAsia="宋体" w:cs="宋体"/>
          <w:spacing w:val="-2"/>
          <w:sz w:val="24"/>
          <w:szCs w:val="24"/>
        </w:rPr>
        <w:t>等操作；支持技师工作量补充登记。</w:t>
      </w:r>
      <w:r>
        <w:rPr>
          <w:rFonts w:ascii="宋体" w:hAnsi="宋体" w:eastAsia="宋体" w:cs="宋体"/>
          <w:sz w:val="24"/>
          <w:szCs w:val="24"/>
        </w:rPr>
        <w:t xml:space="preserve"> </w:t>
      </w:r>
      <w:r>
        <w:rPr>
          <w:rFonts w:ascii="宋体" w:hAnsi="宋体" w:eastAsia="宋体" w:cs="宋体"/>
          <w:spacing w:val="-2"/>
          <w:sz w:val="24"/>
          <w:szCs w:val="24"/>
        </w:rPr>
        <w:t>8.支持拍片技师、摆位技师多种角色的工作量记录。</w:t>
      </w:r>
    </w:p>
    <w:p w14:paraId="25B58869">
      <w:pPr>
        <w:spacing w:before="35" w:line="220" w:lineRule="auto"/>
        <w:ind w:left="519"/>
        <w:rPr>
          <w:rFonts w:ascii="宋体" w:hAnsi="宋体" w:eastAsia="宋体" w:cs="宋体"/>
          <w:sz w:val="24"/>
          <w:szCs w:val="24"/>
        </w:rPr>
      </w:pPr>
      <w:r>
        <w:rPr>
          <w:rFonts w:ascii="宋体" w:hAnsi="宋体" w:eastAsia="宋体" w:cs="宋体"/>
          <w:spacing w:val="-2"/>
          <w:sz w:val="24"/>
          <w:szCs w:val="24"/>
        </w:rPr>
        <w:t>9.叫号过号患者均未到诊，恢复队列将患者再次分诊。</w:t>
      </w:r>
    </w:p>
    <w:p w14:paraId="7FF1C93F">
      <w:pPr>
        <w:pStyle w:val="2"/>
        <w:spacing w:line="273" w:lineRule="auto"/>
      </w:pPr>
    </w:p>
    <w:p w14:paraId="0220F214">
      <w:pPr>
        <w:pStyle w:val="2"/>
        <w:spacing w:line="273" w:lineRule="auto"/>
      </w:pPr>
    </w:p>
    <w:p w14:paraId="1994C797">
      <w:pPr>
        <w:spacing w:before="61"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52                                </w:t>
      </w:r>
      <w:r>
        <w:rPr>
          <w:rFonts w:ascii="宋体" w:hAnsi="宋体" w:eastAsia="宋体" w:cs="宋体"/>
          <w:b/>
          <w:bCs/>
          <w:i/>
          <w:iCs/>
          <w:spacing w:val="-3"/>
          <w:sz w:val="19"/>
          <w:szCs w:val="19"/>
        </w:rPr>
        <w:t>伊犁州公共资源交易中心</w:t>
      </w:r>
    </w:p>
    <w:p w14:paraId="2B14E8F4">
      <w:pPr>
        <w:spacing w:line="160" w:lineRule="auto"/>
        <w:rPr>
          <w:rFonts w:ascii="宋体" w:hAnsi="宋体" w:eastAsia="宋体" w:cs="宋体"/>
          <w:sz w:val="19"/>
          <w:szCs w:val="19"/>
        </w:rPr>
        <w:sectPr>
          <w:headerReference r:id="rId36" w:type="default"/>
          <w:footerReference r:id="rId37" w:type="default"/>
          <w:pgSz w:w="11905" w:h="16839"/>
          <w:pgMar w:top="1136" w:right="830" w:bottom="937" w:left="1136" w:header="854" w:footer="923" w:gutter="0"/>
          <w:cols w:space="720" w:num="1"/>
        </w:sectPr>
      </w:pPr>
    </w:p>
    <w:p w14:paraId="6291503C">
      <w:pPr>
        <w:pStyle w:val="2"/>
        <w:spacing w:line="379" w:lineRule="auto"/>
      </w:pPr>
    </w:p>
    <w:p w14:paraId="0BA866CB">
      <w:pPr>
        <w:spacing w:before="78" w:line="220" w:lineRule="auto"/>
        <w:ind w:left="536"/>
        <w:rPr>
          <w:rFonts w:ascii="宋体" w:hAnsi="宋体" w:eastAsia="宋体" w:cs="宋体"/>
          <w:sz w:val="24"/>
          <w:szCs w:val="24"/>
        </w:rPr>
      </w:pPr>
      <w:r>
        <w:rPr>
          <w:rFonts w:ascii="宋体" w:hAnsi="宋体" w:eastAsia="宋体" w:cs="宋体"/>
          <w:spacing w:val="-3"/>
          <w:sz w:val="24"/>
          <w:szCs w:val="24"/>
        </w:rPr>
        <w:t>10.能够自动将已发送的图像与</w:t>
      </w:r>
      <w:r>
        <w:rPr>
          <w:rFonts w:ascii="宋体" w:hAnsi="宋体" w:eastAsia="宋体" w:cs="宋体"/>
          <w:spacing w:val="-51"/>
          <w:sz w:val="24"/>
          <w:szCs w:val="24"/>
        </w:rPr>
        <w:t xml:space="preserve"> </w:t>
      </w:r>
      <w:r>
        <w:rPr>
          <w:rFonts w:ascii="宋体" w:hAnsi="宋体" w:eastAsia="宋体" w:cs="宋体"/>
          <w:spacing w:val="-3"/>
          <w:sz w:val="24"/>
          <w:szCs w:val="24"/>
        </w:rPr>
        <w:t>RIS</w:t>
      </w:r>
      <w:r>
        <w:rPr>
          <w:rFonts w:ascii="宋体" w:hAnsi="宋体" w:eastAsia="宋体" w:cs="宋体"/>
          <w:spacing w:val="-51"/>
          <w:sz w:val="24"/>
          <w:szCs w:val="24"/>
        </w:rPr>
        <w:t xml:space="preserve"> </w:t>
      </w:r>
      <w:r>
        <w:rPr>
          <w:rFonts w:ascii="宋体" w:hAnsi="宋体" w:eastAsia="宋体" w:cs="宋体"/>
          <w:spacing w:val="-3"/>
          <w:sz w:val="24"/>
          <w:szCs w:val="24"/>
        </w:rPr>
        <w:t>信息进行关联。</w:t>
      </w:r>
    </w:p>
    <w:p w14:paraId="291738E4">
      <w:pPr>
        <w:spacing w:before="311" w:line="444" w:lineRule="auto"/>
        <w:ind w:left="536" w:right="3583"/>
        <w:rPr>
          <w:rFonts w:ascii="宋体" w:hAnsi="宋体" w:eastAsia="宋体" w:cs="宋体"/>
          <w:sz w:val="24"/>
          <w:szCs w:val="24"/>
        </w:rPr>
      </w:pPr>
      <w:r>
        <w:rPr>
          <w:rFonts w:ascii="宋体" w:hAnsi="宋体" w:eastAsia="宋体" w:cs="宋体"/>
          <w:spacing w:val="-3"/>
          <w:sz w:val="24"/>
          <w:szCs w:val="24"/>
        </w:rPr>
        <w:t>11.可在技师工作站中直接浏览影像，不需要切换系统。</w:t>
      </w:r>
      <w:r>
        <w:rPr>
          <w:rFonts w:ascii="宋体" w:hAnsi="宋体" w:eastAsia="宋体" w:cs="宋体"/>
          <w:spacing w:val="15"/>
          <w:sz w:val="24"/>
          <w:szCs w:val="24"/>
        </w:rPr>
        <w:t xml:space="preserve"> </w:t>
      </w:r>
      <w:r>
        <w:rPr>
          <w:rFonts w:ascii="宋体" w:hAnsi="宋体" w:eastAsia="宋体" w:cs="宋体"/>
          <w:spacing w:val="-6"/>
          <w:sz w:val="24"/>
          <w:szCs w:val="24"/>
        </w:rPr>
        <w:t>12.可直接打印报告。</w:t>
      </w:r>
    </w:p>
    <w:p w14:paraId="7567445E">
      <w:pPr>
        <w:spacing w:before="35" w:line="445" w:lineRule="auto"/>
        <w:ind w:left="536" w:right="6703"/>
        <w:rPr>
          <w:rFonts w:ascii="宋体" w:hAnsi="宋体" w:eastAsia="宋体" w:cs="宋体"/>
          <w:sz w:val="24"/>
          <w:szCs w:val="24"/>
        </w:rPr>
      </w:pPr>
      <w:r>
        <w:rPr>
          <w:rFonts w:ascii="宋体" w:hAnsi="宋体" w:eastAsia="宋体" w:cs="宋体"/>
          <w:spacing w:val="-5"/>
          <w:sz w:val="24"/>
          <w:szCs w:val="24"/>
        </w:rPr>
        <w:t>13.可修改患者登记信息。</w:t>
      </w:r>
      <w:r>
        <w:rPr>
          <w:rFonts w:ascii="宋体" w:hAnsi="宋体" w:eastAsia="宋体" w:cs="宋体"/>
          <w:spacing w:val="2"/>
          <w:sz w:val="24"/>
          <w:szCs w:val="24"/>
        </w:rPr>
        <w:t xml:space="preserve"> </w:t>
      </w:r>
      <w:r>
        <w:rPr>
          <w:rFonts w:ascii="宋体" w:hAnsi="宋体" w:eastAsia="宋体" w:cs="宋体"/>
          <w:spacing w:val="-6"/>
          <w:sz w:val="24"/>
          <w:szCs w:val="24"/>
        </w:rPr>
        <w:t>14.支持造影剂管理。</w:t>
      </w:r>
    </w:p>
    <w:p w14:paraId="6EAB5148">
      <w:pPr>
        <w:spacing w:before="34" w:line="220" w:lineRule="auto"/>
        <w:ind w:left="536"/>
        <w:rPr>
          <w:rFonts w:ascii="宋体" w:hAnsi="宋体" w:eastAsia="宋体" w:cs="宋体"/>
          <w:sz w:val="24"/>
          <w:szCs w:val="24"/>
        </w:rPr>
      </w:pPr>
      <w:r>
        <w:rPr>
          <w:rFonts w:ascii="宋体" w:hAnsi="宋体" w:eastAsia="宋体" w:cs="宋体"/>
          <w:spacing w:val="-3"/>
          <w:sz w:val="24"/>
          <w:szCs w:val="24"/>
        </w:rPr>
        <w:t>15.支持院内候诊大屏显示全部检查队列全部患者信息。</w:t>
      </w:r>
    </w:p>
    <w:p w14:paraId="7944B2EE">
      <w:pPr>
        <w:spacing w:before="311" w:line="445" w:lineRule="auto"/>
        <w:ind w:left="38" w:right="28" w:firstLine="497"/>
        <w:rPr>
          <w:rFonts w:ascii="宋体" w:hAnsi="宋体" w:eastAsia="宋体" w:cs="宋体"/>
          <w:sz w:val="24"/>
          <w:szCs w:val="24"/>
        </w:rPr>
      </w:pPr>
      <w:r>
        <w:rPr>
          <w:rFonts w:ascii="宋体" w:hAnsi="宋体" w:eastAsia="宋体" w:cs="宋体"/>
          <w:spacing w:val="-3"/>
          <w:sz w:val="24"/>
          <w:szCs w:val="24"/>
        </w:rPr>
        <w:t>16.支持检查室的等候区有队列大屏展示</w:t>
      </w:r>
      <w:r>
        <w:rPr>
          <w:rFonts w:ascii="宋体" w:hAnsi="宋体" w:eastAsia="宋体" w:cs="宋体"/>
          <w:spacing w:val="-4"/>
          <w:sz w:val="24"/>
          <w:szCs w:val="24"/>
        </w:rPr>
        <w:t>当前诊室队列信息，例如</w:t>
      </w:r>
      <w:r>
        <w:rPr>
          <w:rFonts w:ascii="宋体" w:hAnsi="宋体" w:eastAsia="宋体" w:cs="宋体"/>
          <w:spacing w:val="-52"/>
          <w:sz w:val="24"/>
          <w:szCs w:val="24"/>
        </w:rPr>
        <w:t xml:space="preserve"> </w:t>
      </w:r>
      <w:r>
        <w:rPr>
          <w:rFonts w:ascii="宋体" w:hAnsi="宋体" w:eastAsia="宋体" w:cs="宋体"/>
          <w:spacing w:val="-4"/>
          <w:sz w:val="24"/>
          <w:szCs w:val="24"/>
        </w:rPr>
        <w:t>CT</w:t>
      </w:r>
      <w:r>
        <w:rPr>
          <w:rFonts w:ascii="宋体" w:hAnsi="宋体" w:eastAsia="宋体" w:cs="宋体"/>
          <w:spacing w:val="-49"/>
          <w:sz w:val="24"/>
          <w:szCs w:val="24"/>
        </w:rPr>
        <w:t xml:space="preserve"> </w:t>
      </w:r>
      <w:r>
        <w:rPr>
          <w:rFonts w:ascii="宋体" w:hAnsi="宋体" w:eastAsia="宋体" w:cs="宋体"/>
          <w:spacing w:val="-4"/>
          <w:sz w:val="24"/>
          <w:szCs w:val="24"/>
        </w:rPr>
        <w:t>展示前</w:t>
      </w:r>
      <w:r>
        <w:rPr>
          <w:rFonts w:ascii="宋体" w:hAnsi="宋体" w:eastAsia="宋体" w:cs="宋体"/>
          <w:spacing w:val="-48"/>
          <w:sz w:val="24"/>
          <w:szCs w:val="24"/>
        </w:rPr>
        <w:t xml:space="preserve"> </w:t>
      </w:r>
      <w:r>
        <w:rPr>
          <w:rFonts w:ascii="宋体" w:hAnsi="宋体" w:eastAsia="宋体" w:cs="宋体"/>
          <w:spacing w:val="-4"/>
          <w:sz w:val="24"/>
          <w:szCs w:val="24"/>
        </w:rPr>
        <w:t>20</w:t>
      </w:r>
      <w:r>
        <w:rPr>
          <w:rFonts w:ascii="宋体" w:hAnsi="宋体" w:eastAsia="宋体" w:cs="宋体"/>
          <w:spacing w:val="-51"/>
          <w:sz w:val="24"/>
          <w:szCs w:val="24"/>
        </w:rPr>
        <w:t xml:space="preserve"> </w:t>
      </w:r>
      <w:r>
        <w:rPr>
          <w:rFonts w:ascii="宋体" w:hAnsi="宋体" w:eastAsia="宋体" w:cs="宋体"/>
          <w:spacing w:val="-4"/>
          <w:sz w:val="24"/>
          <w:szCs w:val="24"/>
        </w:rPr>
        <w:t>个排队患者</w:t>
      </w:r>
      <w:r>
        <w:rPr>
          <w:rFonts w:ascii="宋体" w:hAnsi="宋体" w:eastAsia="宋体" w:cs="宋体"/>
          <w:sz w:val="24"/>
          <w:szCs w:val="24"/>
        </w:rPr>
        <w:t xml:space="preserve"> </w:t>
      </w:r>
      <w:r>
        <w:rPr>
          <w:rFonts w:ascii="宋体" w:hAnsi="宋体" w:eastAsia="宋体" w:cs="宋体"/>
          <w:spacing w:val="-5"/>
          <w:sz w:val="24"/>
          <w:szCs w:val="24"/>
        </w:rPr>
        <w:t>信息，或</w:t>
      </w:r>
      <w:r>
        <w:rPr>
          <w:rFonts w:ascii="宋体" w:hAnsi="宋体" w:eastAsia="宋体" w:cs="宋体"/>
          <w:spacing w:val="-45"/>
          <w:sz w:val="24"/>
          <w:szCs w:val="24"/>
        </w:rPr>
        <w:t xml:space="preserve"> </w:t>
      </w:r>
      <w:r>
        <w:rPr>
          <w:rFonts w:ascii="宋体" w:hAnsi="宋体" w:eastAsia="宋体" w:cs="宋体"/>
          <w:spacing w:val="-5"/>
          <w:sz w:val="24"/>
          <w:szCs w:val="24"/>
        </w:rPr>
        <w:t>MR</w:t>
      </w:r>
      <w:r>
        <w:rPr>
          <w:rFonts w:ascii="宋体" w:hAnsi="宋体" w:eastAsia="宋体" w:cs="宋体"/>
          <w:spacing w:val="-49"/>
          <w:sz w:val="24"/>
          <w:szCs w:val="24"/>
        </w:rPr>
        <w:t xml:space="preserve"> </w:t>
      </w:r>
      <w:r>
        <w:rPr>
          <w:rFonts w:ascii="宋体" w:hAnsi="宋体" w:eastAsia="宋体" w:cs="宋体"/>
          <w:spacing w:val="-5"/>
          <w:sz w:val="24"/>
          <w:szCs w:val="24"/>
        </w:rPr>
        <w:t>展示前</w:t>
      </w:r>
      <w:r>
        <w:rPr>
          <w:rFonts w:ascii="宋体" w:hAnsi="宋体" w:eastAsia="宋体" w:cs="宋体"/>
          <w:spacing w:val="-46"/>
          <w:sz w:val="24"/>
          <w:szCs w:val="24"/>
        </w:rPr>
        <w:t xml:space="preserve"> </w:t>
      </w:r>
      <w:r>
        <w:rPr>
          <w:rFonts w:ascii="宋体" w:hAnsi="宋体" w:eastAsia="宋体" w:cs="宋体"/>
          <w:spacing w:val="-5"/>
          <w:sz w:val="24"/>
          <w:szCs w:val="24"/>
        </w:rPr>
        <w:t>5</w:t>
      </w:r>
      <w:r>
        <w:rPr>
          <w:rFonts w:ascii="宋体" w:hAnsi="宋体" w:eastAsia="宋体" w:cs="宋体"/>
          <w:spacing w:val="-50"/>
          <w:sz w:val="24"/>
          <w:szCs w:val="24"/>
        </w:rPr>
        <w:t xml:space="preserve"> </w:t>
      </w:r>
      <w:r>
        <w:rPr>
          <w:rFonts w:ascii="宋体" w:hAnsi="宋体" w:eastAsia="宋体" w:cs="宋体"/>
          <w:spacing w:val="-5"/>
          <w:sz w:val="24"/>
          <w:szCs w:val="24"/>
        </w:rPr>
        <w:t>个排队患者信息。</w:t>
      </w:r>
    </w:p>
    <w:p w14:paraId="41E11F78">
      <w:pPr>
        <w:spacing w:before="36" w:line="217" w:lineRule="auto"/>
        <w:ind w:left="47"/>
        <w:rPr>
          <w:rFonts w:ascii="仿宋" w:hAnsi="仿宋" w:eastAsia="仿宋" w:cs="仿宋"/>
          <w:sz w:val="24"/>
          <w:szCs w:val="24"/>
        </w:rPr>
      </w:pPr>
      <w:r>
        <w:rPr>
          <w:rFonts w:ascii="仿宋" w:hAnsi="仿宋" w:eastAsia="仿宋" w:cs="仿宋"/>
          <w:b/>
          <w:bCs/>
          <w:spacing w:val="-6"/>
          <w:sz w:val="24"/>
          <w:szCs w:val="24"/>
        </w:rPr>
        <w:t>2.4.3</w:t>
      </w:r>
      <w:r>
        <w:rPr>
          <w:rFonts w:ascii="仿宋" w:hAnsi="仿宋" w:eastAsia="仿宋" w:cs="仿宋"/>
          <w:spacing w:val="-39"/>
          <w:sz w:val="24"/>
          <w:szCs w:val="24"/>
        </w:rPr>
        <w:t xml:space="preserve"> </w:t>
      </w:r>
      <w:r>
        <w:rPr>
          <w:rFonts w:ascii="仿宋" w:hAnsi="仿宋" w:eastAsia="仿宋" w:cs="仿宋"/>
          <w:b/>
          <w:bCs/>
          <w:spacing w:val="-6"/>
          <w:sz w:val="24"/>
          <w:szCs w:val="24"/>
        </w:rPr>
        <w:t>护士管理系统</w:t>
      </w:r>
    </w:p>
    <w:p w14:paraId="2B94949F">
      <w:pPr>
        <w:pStyle w:val="2"/>
        <w:spacing w:line="352" w:lineRule="auto"/>
      </w:pPr>
    </w:p>
    <w:p w14:paraId="003530C0">
      <w:pPr>
        <w:spacing w:before="79" w:line="445" w:lineRule="auto"/>
        <w:ind w:left="521" w:right="2285" w:firstLine="14"/>
        <w:rPr>
          <w:rFonts w:ascii="宋体" w:hAnsi="宋体" w:eastAsia="宋体" w:cs="宋体"/>
          <w:sz w:val="24"/>
          <w:szCs w:val="24"/>
        </w:rPr>
      </w:pPr>
      <w:r>
        <w:rPr>
          <w:rFonts w:ascii="宋体" w:hAnsi="宋体" w:eastAsia="宋体" w:cs="宋体"/>
          <w:spacing w:val="-3"/>
          <w:sz w:val="24"/>
          <w:szCs w:val="24"/>
        </w:rPr>
        <w:t>1.支持护士工作站根据科室分区管理，支持同步排队叫号大屏展示；</w:t>
      </w:r>
      <w:r>
        <w:rPr>
          <w:rFonts w:ascii="宋体" w:hAnsi="宋体" w:eastAsia="宋体" w:cs="宋体"/>
          <w:spacing w:val="8"/>
          <w:sz w:val="24"/>
          <w:szCs w:val="24"/>
        </w:rPr>
        <w:t xml:space="preserve"> </w:t>
      </w:r>
      <w:r>
        <w:rPr>
          <w:rFonts w:ascii="宋体" w:hAnsi="宋体" w:eastAsia="宋体" w:cs="宋体"/>
          <w:spacing w:val="-4"/>
          <w:sz w:val="24"/>
          <w:szCs w:val="24"/>
        </w:rPr>
        <w:t>2.支持队列总览；支持暂缓检查、恢复队列；</w:t>
      </w:r>
    </w:p>
    <w:p w14:paraId="195A6838">
      <w:pPr>
        <w:spacing w:before="35" w:line="445" w:lineRule="auto"/>
        <w:ind w:left="517" w:right="1989" w:firstLine="5"/>
        <w:rPr>
          <w:rFonts w:ascii="宋体" w:hAnsi="宋体" w:eastAsia="宋体" w:cs="宋体"/>
          <w:sz w:val="24"/>
          <w:szCs w:val="24"/>
        </w:rPr>
      </w:pPr>
      <w:r>
        <w:rPr>
          <w:rFonts w:ascii="宋体" w:hAnsi="宋体" w:eastAsia="宋体" w:cs="宋体"/>
          <w:spacing w:val="-1"/>
          <w:sz w:val="24"/>
          <w:szCs w:val="24"/>
        </w:rPr>
        <w:t>3.支持患者类型优先级排队，如：急诊，老人，儿童，军人干部等类型</w:t>
      </w:r>
      <w:r>
        <w:rPr>
          <w:rFonts w:ascii="宋体" w:hAnsi="宋体" w:eastAsia="宋体" w:cs="宋体"/>
          <w:spacing w:val="16"/>
          <w:sz w:val="24"/>
          <w:szCs w:val="24"/>
        </w:rPr>
        <w:t xml:space="preserve"> </w:t>
      </w:r>
      <w:r>
        <w:rPr>
          <w:rFonts w:ascii="宋体" w:hAnsi="宋体" w:eastAsia="宋体" w:cs="宋体"/>
          <w:spacing w:val="-3"/>
          <w:sz w:val="24"/>
          <w:szCs w:val="24"/>
        </w:rPr>
        <w:t>4.可优先排序，可调整检查队列顺序。</w:t>
      </w:r>
    </w:p>
    <w:p w14:paraId="71CED0F9">
      <w:pPr>
        <w:spacing w:before="34" w:line="220" w:lineRule="auto"/>
        <w:ind w:left="523"/>
        <w:rPr>
          <w:rFonts w:ascii="宋体" w:hAnsi="宋体" w:eastAsia="宋体" w:cs="宋体"/>
          <w:sz w:val="24"/>
          <w:szCs w:val="24"/>
        </w:rPr>
      </w:pPr>
      <w:r>
        <w:rPr>
          <w:rFonts w:ascii="宋体" w:hAnsi="宋体" w:eastAsia="宋体" w:cs="宋体"/>
          <w:spacing w:val="-5"/>
          <w:sz w:val="24"/>
          <w:szCs w:val="24"/>
        </w:rPr>
        <w:t>5.支持切换检查队列。</w:t>
      </w:r>
    </w:p>
    <w:p w14:paraId="250C051E">
      <w:pPr>
        <w:spacing w:before="311" w:line="216" w:lineRule="auto"/>
        <w:ind w:left="47"/>
        <w:rPr>
          <w:rFonts w:ascii="仿宋" w:hAnsi="仿宋" w:eastAsia="仿宋" w:cs="仿宋"/>
          <w:sz w:val="24"/>
          <w:szCs w:val="24"/>
        </w:rPr>
      </w:pPr>
      <w:r>
        <w:rPr>
          <w:rFonts w:ascii="仿宋" w:hAnsi="仿宋" w:eastAsia="仿宋" w:cs="仿宋"/>
          <w:b/>
          <w:bCs/>
          <w:spacing w:val="-6"/>
          <w:sz w:val="24"/>
          <w:szCs w:val="24"/>
        </w:rPr>
        <w:t>2.4.5</w:t>
      </w:r>
      <w:r>
        <w:rPr>
          <w:rFonts w:ascii="仿宋" w:hAnsi="仿宋" w:eastAsia="仿宋" w:cs="仿宋"/>
          <w:spacing w:val="-39"/>
          <w:sz w:val="24"/>
          <w:szCs w:val="24"/>
        </w:rPr>
        <w:t xml:space="preserve"> </w:t>
      </w:r>
      <w:r>
        <w:rPr>
          <w:rFonts w:ascii="仿宋" w:hAnsi="仿宋" w:eastAsia="仿宋" w:cs="仿宋"/>
          <w:b/>
          <w:bCs/>
          <w:spacing w:val="-6"/>
          <w:sz w:val="24"/>
          <w:szCs w:val="24"/>
        </w:rPr>
        <w:t>影像诊断系统</w:t>
      </w:r>
    </w:p>
    <w:p w14:paraId="66F7FDB8">
      <w:pPr>
        <w:pStyle w:val="2"/>
        <w:spacing w:line="353" w:lineRule="auto"/>
      </w:pPr>
    </w:p>
    <w:p w14:paraId="7E0F0EEC">
      <w:pPr>
        <w:spacing w:before="79" w:line="220" w:lineRule="auto"/>
        <w:ind w:left="464"/>
        <w:rPr>
          <w:rFonts w:ascii="宋体" w:hAnsi="宋体" w:eastAsia="宋体" w:cs="宋体"/>
          <w:sz w:val="24"/>
          <w:szCs w:val="24"/>
        </w:rPr>
      </w:pPr>
      <w:r>
        <w:rPr>
          <w:rFonts w:ascii="宋体" w:hAnsi="宋体" w:eastAsia="宋体" w:cs="宋体"/>
          <w:b/>
          <w:bCs/>
          <w:spacing w:val="-4"/>
          <w:sz w:val="24"/>
          <w:szCs w:val="24"/>
        </w:rPr>
        <w:t>（1）信息查询与管理</w:t>
      </w:r>
    </w:p>
    <w:p w14:paraId="6588930F">
      <w:pPr>
        <w:spacing w:before="311" w:line="445" w:lineRule="auto"/>
        <w:ind w:left="57" w:right="29" w:firstLine="479"/>
        <w:rPr>
          <w:rFonts w:ascii="宋体" w:hAnsi="宋体" w:eastAsia="宋体" w:cs="宋体"/>
          <w:sz w:val="24"/>
          <w:szCs w:val="24"/>
        </w:rPr>
      </w:pPr>
      <w:r>
        <w:rPr>
          <w:rFonts w:ascii="宋体" w:hAnsi="宋体" w:eastAsia="宋体" w:cs="宋体"/>
          <w:sz w:val="24"/>
          <w:szCs w:val="24"/>
        </w:rPr>
        <w:t>1.基本信息查询：根据患者的影像号、姓名、年龄、性别、设备类型、检查状态、检查时</w:t>
      </w:r>
      <w:r>
        <w:rPr>
          <w:rFonts w:ascii="宋体" w:hAnsi="宋体" w:eastAsia="宋体" w:cs="宋体"/>
          <w:spacing w:val="11"/>
          <w:sz w:val="24"/>
          <w:szCs w:val="24"/>
        </w:rPr>
        <w:t xml:space="preserve"> </w:t>
      </w:r>
      <w:r>
        <w:rPr>
          <w:rFonts w:ascii="宋体" w:hAnsi="宋体" w:eastAsia="宋体" w:cs="宋体"/>
          <w:spacing w:val="-7"/>
          <w:sz w:val="24"/>
          <w:szCs w:val="24"/>
        </w:rPr>
        <w:t>间等条件进行查询。</w:t>
      </w:r>
    </w:p>
    <w:p w14:paraId="672EE26B">
      <w:pPr>
        <w:spacing w:before="33" w:line="450" w:lineRule="auto"/>
        <w:ind w:left="44" w:right="28" w:firstLine="477"/>
        <w:jc w:val="both"/>
        <w:rPr>
          <w:rFonts w:ascii="宋体" w:hAnsi="宋体" w:eastAsia="宋体" w:cs="宋体"/>
          <w:sz w:val="24"/>
          <w:szCs w:val="24"/>
        </w:rPr>
      </w:pPr>
      <w:r>
        <w:rPr>
          <w:rFonts w:ascii="宋体" w:hAnsi="宋体" w:eastAsia="宋体" w:cs="宋体"/>
          <w:spacing w:val="1"/>
          <w:sz w:val="24"/>
          <w:szCs w:val="24"/>
        </w:rPr>
        <w:t>2.高级查询：高级查询可用于在科研、教学特定条件下的</w:t>
      </w:r>
      <w:r>
        <w:rPr>
          <w:rFonts w:ascii="宋体" w:hAnsi="宋体" w:eastAsia="宋体" w:cs="宋体"/>
          <w:sz w:val="24"/>
          <w:szCs w:val="24"/>
        </w:rPr>
        <w:t xml:space="preserve">影像资料查询，根据患者的住院 </w:t>
      </w:r>
      <w:r>
        <w:rPr>
          <w:rFonts w:ascii="宋体" w:hAnsi="宋体" w:eastAsia="宋体" w:cs="宋体"/>
          <w:spacing w:val="1"/>
          <w:sz w:val="24"/>
          <w:szCs w:val="24"/>
        </w:rPr>
        <w:t>号（门诊号）、检查部位、检查项目、申请科室、科</w:t>
      </w:r>
      <w:r>
        <w:rPr>
          <w:rFonts w:ascii="宋体" w:hAnsi="宋体" w:eastAsia="宋体" w:cs="宋体"/>
          <w:sz w:val="24"/>
          <w:szCs w:val="24"/>
        </w:rPr>
        <w:t xml:space="preserve">研病例、特殊病例、一线医生姓名、二线 </w:t>
      </w:r>
      <w:r>
        <w:rPr>
          <w:rFonts w:ascii="宋体" w:hAnsi="宋体" w:eastAsia="宋体" w:cs="宋体"/>
          <w:spacing w:val="-4"/>
          <w:sz w:val="24"/>
          <w:szCs w:val="24"/>
        </w:rPr>
        <w:t>医生姓名等条件进行查询。</w:t>
      </w:r>
    </w:p>
    <w:p w14:paraId="15FE0EDB">
      <w:pPr>
        <w:spacing w:before="35" w:line="220" w:lineRule="auto"/>
        <w:ind w:left="464"/>
        <w:rPr>
          <w:rFonts w:ascii="宋体" w:hAnsi="宋体" w:eastAsia="宋体" w:cs="宋体"/>
          <w:sz w:val="24"/>
          <w:szCs w:val="24"/>
        </w:rPr>
      </w:pPr>
      <w:r>
        <w:rPr>
          <w:rFonts w:ascii="宋体" w:hAnsi="宋体" w:eastAsia="宋体" w:cs="宋体"/>
          <w:b/>
          <w:bCs/>
          <w:spacing w:val="-9"/>
          <w:sz w:val="24"/>
          <w:szCs w:val="24"/>
        </w:rPr>
        <w:t>（2）</w:t>
      </w:r>
      <w:r>
        <w:rPr>
          <w:rFonts w:ascii="宋体" w:hAnsi="宋体" w:eastAsia="宋体" w:cs="宋体"/>
          <w:spacing w:val="-65"/>
          <w:sz w:val="24"/>
          <w:szCs w:val="24"/>
        </w:rPr>
        <w:t xml:space="preserve"> </w:t>
      </w:r>
      <w:r>
        <w:rPr>
          <w:rFonts w:ascii="宋体" w:hAnsi="宋体" w:eastAsia="宋体" w:cs="宋体"/>
          <w:b/>
          <w:bCs/>
          <w:spacing w:val="-9"/>
          <w:sz w:val="24"/>
          <w:szCs w:val="24"/>
        </w:rPr>
        <w:t>自定义显示列表</w:t>
      </w:r>
    </w:p>
    <w:p w14:paraId="3F1F0D5C">
      <w:pPr>
        <w:spacing w:before="309" w:line="220" w:lineRule="auto"/>
        <w:ind w:right="29"/>
        <w:jc w:val="right"/>
        <w:rPr>
          <w:rFonts w:ascii="宋体" w:hAnsi="宋体" w:eastAsia="宋体" w:cs="宋体"/>
          <w:sz w:val="24"/>
          <w:szCs w:val="24"/>
        </w:rPr>
      </w:pPr>
      <w:r>
        <w:rPr>
          <w:rFonts w:ascii="宋体" w:hAnsi="宋体" w:eastAsia="宋体" w:cs="宋体"/>
          <w:sz w:val="24"/>
          <w:szCs w:val="24"/>
        </w:rPr>
        <w:t>1.在患者信息列表中，将显示设备类型、检查部位、影像号、姓名、年龄、性别、检查状</w:t>
      </w:r>
    </w:p>
    <w:p w14:paraId="4F0AE848">
      <w:pPr>
        <w:pStyle w:val="2"/>
        <w:spacing w:line="426" w:lineRule="auto"/>
      </w:pPr>
    </w:p>
    <w:p w14:paraId="03610233">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53                                </w:t>
      </w:r>
      <w:r>
        <w:rPr>
          <w:rFonts w:ascii="宋体" w:hAnsi="宋体" w:eastAsia="宋体" w:cs="宋体"/>
          <w:b/>
          <w:bCs/>
          <w:i/>
          <w:iCs/>
          <w:spacing w:val="-3"/>
          <w:sz w:val="19"/>
          <w:szCs w:val="19"/>
        </w:rPr>
        <w:t>伊犁州公共资源交易中心</w:t>
      </w:r>
    </w:p>
    <w:p w14:paraId="4B927313">
      <w:pPr>
        <w:spacing w:line="160" w:lineRule="auto"/>
        <w:rPr>
          <w:rFonts w:ascii="宋体" w:hAnsi="宋体" w:eastAsia="宋体" w:cs="宋体"/>
          <w:sz w:val="19"/>
          <w:szCs w:val="19"/>
        </w:rPr>
        <w:sectPr>
          <w:pgSz w:w="11905" w:h="16839"/>
          <w:pgMar w:top="1136" w:right="830" w:bottom="937" w:left="1136" w:header="854" w:footer="923" w:gutter="0"/>
          <w:cols w:space="720" w:num="1"/>
        </w:sectPr>
      </w:pPr>
    </w:p>
    <w:p w14:paraId="6C85C48F">
      <w:pPr>
        <w:pStyle w:val="2"/>
        <w:spacing w:line="378" w:lineRule="auto"/>
      </w:pPr>
    </w:p>
    <w:p w14:paraId="1374DC0B">
      <w:pPr>
        <w:spacing w:before="78" w:line="452" w:lineRule="auto"/>
        <w:ind w:left="37" w:right="66"/>
        <w:jc w:val="both"/>
        <w:rPr>
          <w:rFonts w:ascii="宋体" w:hAnsi="宋体" w:eastAsia="宋体" w:cs="宋体"/>
          <w:sz w:val="24"/>
          <w:szCs w:val="24"/>
        </w:rPr>
      </w:pPr>
      <w:r>
        <w:rPr>
          <w:rFonts w:ascii="宋体" w:hAnsi="宋体" w:eastAsia="宋体" w:cs="宋体"/>
          <w:spacing w:val="1"/>
          <w:sz w:val="24"/>
          <w:szCs w:val="24"/>
        </w:rPr>
        <w:t>态、检查时间、住院号（门诊号）、检查部位、检查项目、申请科</w:t>
      </w:r>
      <w:r>
        <w:rPr>
          <w:rFonts w:ascii="宋体" w:hAnsi="宋体" w:eastAsia="宋体" w:cs="宋体"/>
          <w:sz w:val="24"/>
          <w:szCs w:val="24"/>
        </w:rPr>
        <w:t xml:space="preserve">室、图像数量、检查次数等 </w:t>
      </w:r>
      <w:r>
        <w:rPr>
          <w:rFonts w:ascii="宋体" w:hAnsi="宋体" w:eastAsia="宋体" w:cs="宋体"/>
          <w:spacing w:val="1"/>
          <w:sz w:val="24"/>
          <w:szCs w:val="24"/>
        </w:rPr>
        <w:t>信息，医生可根据个人的需要，将显示的信息进行左右移动以排定信</w:t>
      </w:r>
      <w:r>
        <w:rPr>
          <w:rFonts w:ascii="宋体" w:hAnsi="宋体" w:eastAsia="宋体" w:cs="宋体"/>
          <w:sz w:val="24"/>
          <w:szCs w:val="24"/>
        </w:rPr>
        <w:t>息显示的顺序，将医生关 心的信息列到前面，设置完毕后，下次进入系统</w:t>
      </w:r>
      <w:r>
        <w:rPr>
          <w:rFonts w:ascii="宋体" w:hAnsi="宋体" w:eastAsia="宋体" w:cs="宋体"/>
          <w:spacing w:val="-1"/>
          <w:sz w:val="24"/>
          <w:szCs w:val="24"/>
        </w:rPr>
        <w:t>将根据医生的个人习惯，</w:t>
      </w:r>
      <w:r>
        <w:rPr>
          <w:rFonts w:ascii="宋体" w:hAnsi="宋体" w:eastAsia="宋体" w:cs="宋体"/>
          <w:spacing w:val="-70"/>
          <w:sz w:val="24"/>
          <w:szCs w:val="24"/>
        </w:rPr>
        <w:t xml:space="preserve"> </w:t>
      </w:r>
      <w:r>
        <w:rPr>
          <w:rFonts w:ascii="宋体" w:hAnsi="宋体" w:eastAsia="宋体" w:cs="宋体"/>
          <w:spacing w:val="-1"/>
          <w:sz w:val="24"/>
          <w:szCs w:val="24"/>
        </w:rPr>
        <w:t>自动加载已设置的顺</w:t>
      </w:r>
      <w:r>
        <w:rPr>
          <w:rFonts w:ascii="宋体" w:hAnsi="宋体" w:eastAsia="宋体" w:cs="宋体"/>
          <w:sz w:val="24"/>
          <w:szCs w:val="24"/>
        </w:rPr>
        <w:t xml:space="preserve"> </w:t>
      </w:r>
      <w:r>
        <w:rPr>
          <w:rFonts w:ascii="宋体" w:hAnsi="宋体" w:eastAsia="宋体" w:cs="宋体"/>
          <w:spacing w:val="-4"/>
          <w:sz w:val="24"/>
          <w:szCs w:val="24"/>
        </w:rPr>
        <w:t>序显示患者的相关信息。</w:t>
      </w:r>
    </w:p>
    <w:p w14:paraId="46ECA32D">
      <w:pPr>
        <w:spacing w:before="34" w:line="448" w:lineRule="auto"/>
        <w:ind w:left="36" w:right="66" w:firstLine="484"/>
        <w:rPr>
          <w:rFonts w:ascii="宋体" w:hAnsi="宋体" w:eastAsia="宋体" w:cs="宋体"/>
          <w:sz w:val="24"/>
          <w:szCs w:val="24"/>
        </w:rPr>
      </w:pPr>
      <w:r>
        <w:rPr>
          <w:rFonts w:ascii="宋体" w:hAnsi="宋体" w:eastAsia="宋体" w:cs="宋体"/>
          <w:spacing w:val="1"/>
          <w:sz w:val="24"/>
          <w:szCs w:val="24"/>
        </w:rPr>
        <w:t>2.支持个性化列表快捷操作设置，可以配置双击操作、快</w:t>
      </w:r>
      <w:r>
        <w:rPr>
          <w:rFonts w:ascii="宋体" w:hAnsi="宋体" w:eastAsia="宋体" w:cs="宋体"/>
          <w:sz w:val="24"/>
          <w:szCs w:val="24"/>
        </w:rPr>
        <w:t xml:space="preserve">捷操作、更多操作、右键操作设 </w:t>
      </w:r>
      <w:r>
        <w:rPr>
          <w:rFonts w:ascii="宋体" w:hAnsi="宋体" w:eastAsia="宋体" w:cs="宋体"/>
          <w:spacing w:val="-11"/>
          <w:sz w:val="24"/>
          <w:szCs w:val="24"/>
        </w:rPr>
        <w:t>置。</w:t>
      </w:r>
    </w:p>
    <w:p w14:paraId="772130C8">
      <w:pPr>
        <w:spacing w:before="26" w:line="220" w:lineRule="auto"/>
        <w:ind w:left="464"/>
        <w:rPr>
          <w:rFonts w:ascii="宋体" w:hAnsi="宋体" w:eastAsia="宋体" w:cs="宋体"/>
          <w:sz w:val="24"/>
          <w:szCs w:val="24"/>
        </w:rPr>
      </w:pPr>
      <w:r>
        <w:rPr>
          <w:rFonts w:ascii="宋体" w:hAnsi="宋体" w:eastAsia="宋体" w:cs="宋体"/>
          <w:b/>
          <w:bCs/>
          <w:spacing w:val="-4"/>
          <w:sz w:val="24"/>
          <w:szCs w:val="24"/>
        </w:rPr>
        <w:t>（3）个性化设置管理功能</w:t>
      </w:r>
    </w:p>
    <w:p w14:paraId="4AABDA37">
      <w:pPr>
        <w:spacing w:before="309" w:line="452" w:lineRule="auto"/>
        <w:ind w:left="38" w:right="66" w:firstLine="497"/>
        <w:jc w:val="both"/>
        <w:rPr>
          <w:rFonts w:ascii="宋体" w:hAnsi="宋体" w:eastAsia="宋体" w:cs="宋体"/>
          <w:sz w:val="24"/>
          <w:szCs w:val="24"/>
        </w:rPr>
      </w:pPr>
      <w:r>
        <w:rPr>
          <w:rFonts w:ascii="宋体" w:hAnsi="宋体" w:eastAsia="宋体" w:cs="宋体"/>
          <w:spacing w:val="-3"/>
          <w:sz w:val="24"/>
          <w:szCs w:val="24"/>
        </w:rPr>
        <w:t>1.个性化设置是</w:t>
      </w:r>
      <w:r>
        <w:rPr>
          <w:rFonts w:ascii="宋体" w:hAnsi="宋体" w:eastAsia="宋体" w:cs="宋体"/>
          <w:spacing w:val="-55"/>
          <w:sz w:val="24"/>
          <w:szCs w:val="24"/>
        </w:rPr>
        <w:t xml:space="preserve"> </w:t>
      </w:r>
      <w:r>
        <w:rPr>
          <w:rFonts w:ascii="宋体" w:hAnsi="宋体" w:eastAsia="宋体" w:cs="宋体"/>
          <w:spacing w:val="-3"/>
          <w:sz w:val="24"/>
          <w:szCs w:val="24"/>
        </w:rPr>
        <w:t>PACS</w:t>
      </w:r>
      <w:r>
        <w:rPr>
          <w:rFonts w:ascii="宋体" w:hAnsi="宋体" w:eastAsia="宋体" w:cs="宋体"/>
          <w:spacing w:val="-46"/>
          <w:sz w:val="24"/>
          <w:szCs w:val="24"/>
        </w:rPr>
        <w:t xml:space="preserve"> </w:t>
      </w:r>
      <w:r>
        <w:rPr>
          <w:rFonts w:ascii="宋体" w:hAnsi="宋体" w:eastAsia="宋体" w:cs="宋体"/>
          <w:spacing w:val="-3"/>
          <w:sz w:val="24"/>
          <w:szCs w:val="24"/>
        </w:rPr>
        <w:t>系统提供的重要功能，个性化设置内容包括显示设置、窗体设置</w:t>
      </w:r>
      <w:r>
        <w:rPr>
          <w:rFonts w:ascii="宋体" w:hAnsi="宋体" w:eastAsia="宋体" w:cs="宋体"/>
          <w:spacing w:val="-4"/>
          <w:sz w:val="24"/>
          <w:szCs w:val="24"/>
        </w:rPr>
        <w:t>、预</w:t>
      </w:r>
      <w:r>
        <w:rPr>
          <w:rFonts w:ascii="宋体" w:hAnsi="宋体" w:eastAsia="宋体" w:cs="宋体"/>
          <w:sz w:val="24"/>
          <w:szCs w:val="24"/>
        </w:rPr>
        <w:t xml:space="preserve"> </w:t>
      </w:r>
      <w:r>
        <w:rPr>
          <w:rFonts w:ascii="宋体" w:hAnsi="宋体" w:eastAsia="宋体" w:cs="宋体"/>
          <w:spacing w:val="1"/>
          <w:sz w:val="24"/>
          <w:szCs w:val="24"/>
        </w:rPr>
        <w:t>设值设置、报告设置、其它等设置内容。个性化设置是将医生的操</w:t>
      </w:r>
      <w:r>
        <w:rPr>
          <w:rFonts w:ascii="宋体" w:hAnsi="宋体" w:eastAsia="宋体" w:cs="宋体"/>
          <w:sz w:val="24"/>
          <w:szCs w:val="24"/>
        </w:rPr>
        <w:t xml:space="preserve">作诊断习惯设置成固定的参 </w:t>
      </w:r>
      <w:r>
        <w:rPr>
          <w:rFonts w:ascii="宋体" w:hAnsi="宋体" w:eastAsia="宋体" w:cs="宋体"/>
          <w:spacing w:val="1"/>
          <w:sz w:val="24"/>
          <w:szCs w:val="24"/>
        </w:rPr>
        <w:t>数，保存在系统中，当医生下次进入系统时，系统会自动按照医生</w:t>
      </w:r>
      <w:r>
        <w:rPr>
          <w:rFonts w:ascii="宋体" w:hAnsi="宋体" w:eastAsia="宋体" w:cs="宋体"/>
          <w:sz w:val="24"/>
          <w:szCs w:val="24"/>
        </w:rPr>
        <w:t xml:space="preserve">的操作习惯加载已设置的各 </w:t>
      </w:r>
      <w:r>
        <w:rPr>
          <w:rFonts w:ascii="宋体" w:hAnsi="宋体" w:eastAsia="宋体" w:cs="宋体"/>
          <w:spacing w:val="-6"/>
          <w:sz w:val="24"/>
          <w:szCs w:val="24"/>
        </w:rPr>
        <w:t>种个性化设置。</w:t>
      </w:r>
    </w:p>
    <w:p w14:paraId="344980DC">
      <w:pPr>
        <w:spacing w:before="34" w:line="220" w:lineRule="auto"/>
        <w:ind w:left="464"/>
        <w:rPr>
          <w:rFonts w:ascii="宋体" w:hAnsi="宋体" w:eastAsia="宋体" w:cs="宋体"/>
          <w:sz w:val="24"/>
          <w:szCs w:val="24"/>
        </w:rPr>
      </w:pPr>
      <w:r>
        <w:rPr>
          <w:rFonts w:ascii="宋体" w:hAnsi="宋体" w:eastAsia="宋体" w:cs="宋体"/>
          <w:b/>
          <w:bCs/>
          <w:spacing w:val="-8"/>
          <w:sz w:val="24"/>
          <w:szCs w:val="24"/>
        </w:rPr>
        <w:t>（4）</w:t>
      </w:r>
      <w:r>
        <w:rPr>
          <w:rFonts w:ascii="宋体" w:hAnsi="宋体" w:eastAsia="宋体" w:cs="宋体"/>
          <w:spacing w:val="-62"/>
          <w:sz w:val="24"/>
          <w:szCs w:val="24"/>
        </w:rPr>
        <w:t xml:space="preserve"> </w:t>
      </w:r>
      <w:r>
        <w:rPr>
          <w:rFonts w:ascii="宋体" w:hAnsi="宋体" w:eastAsia="宋体" w:cs="宋体"/>
          <w:b/>
          <w:bCs/>
          <w:spacing w:val="-8"/>
          <w:sz w:val="24"/>
          <w:szCs w:val="24"/>
        </w:rPr>
        <w:t>自定义快捷操作功能</w:t>
      </w:r>
    </w:p>
    <w:p w14:paraId="59700221">
      <w:pPr>
        <w:spacing w:before="312" w:line="449" w:lineRule="auto"/>
        <w:ind w:left="38" w:firstLine="497"/>
        <w:jc w:val="both"/>
        <w:rPr>
          <w:rFonts w:ascii="宋体" w:hAnsi="宋体" w:eastAsia="宋体" w:cs="宋体"/>
          <w:sz w:val="24"/>
          <w:szCs w:val="24"/>
        </w:rPr>
      </w:pPr>
      <w:r>
        <w:rPr>
          <w:rFonts w:ascii="宋体" w:hAnsi="宋体" w:eastAsia="宋体" w:cs="宋体"/>
          <w:spacing w:val="-4"/>
          <w:sz w:val="24"/>
          <w:szCs w:val="24"/>
        </w:rPr>
        <w:t>1.★可根据不同的工作场景，自定义快捷按钮，如诊断场景设置快捷浏览图像，编辑报告，</w:t>
      </w:r>
      <w:r>
        <w:rPr>
          <w:rFonts w:ascii="宋体" w:hAnsi="宋体" w:eastAsia="宋体" w:cs="宋体"/>
          <w:spacing w:val="2"/>
          <w:sz w:val="24"/>
          <w:szCs w:val="24"/>
        </w:rPr>
        <w:t xml:space="preserve"> </w:t>
      </w:r>
      <w:r>
        <w:rPr>
          <w:rFonts w:ascii="宋体" w:hAnsi="宋体" w:eastAsia="宋体" w:cs="宋体"/>
          <w:spacing w:val="1"/>
          <w:sz w:val="24"/>
          <w:szCs w:val="24"/>
        </w:rPr>
        <w:t>查看检查详情等常用功能，可同时支持自定义快捷操作按钮，也可</w:t>
      </w:r>
      <w:r>
        <w:rPr>
          <w:rFonts w:ascii="宋体" w:hAnsi="宋体" w:eastAsia="宋体" w:cs="宋体"/>
          <w:sz w:val="24"/>
          <w:szCs w:val="24"/>
        </w:rPr>
        <w:t xml:space="preserve">自定义加入右键菜单。（提 </w:t>
      </w:r>
      <w:r>
        <w:rPr>
          <w:rFonts w:ascii="宋体" w:hAnsi="宋体" w:eastAsia="宋体" w:cs="宋体"/>
          <w:spacing w:val="-3"/>
          <w:sz w:val="24"/>
          <w:szCs w:val="24"/>
        </w:rPr>
        <w:t>供系统证明界面图）</w:t>
      </w:r>
    </w:p>
    <w:p w14:paraId="6CE77ABF">
      <w:pPr>
        <w:spacing w:before="35" w:line="219" w:lineRule="auto"/>
        <w:ind w:left="464"/>
        <w:rPr>
          <w:rFonts w:ascii="宋体" w:hAnsi="宋体" w:eastAsia="宋体" w:cs="宋体"/>
          <w:sz w:val="24"/>
          <w:szCs w:val="24"/>
        </w:rPr>
      </w:pPr>
      <w:r>
        <w:rPr>
          <w:rFonts w:ascii="宋体" w:hAnsi="宋体" w:eastAsia="宋体" w:cs="宋体"/>
          <w:b/>
          <w:bCs/>
          <w:spacing w:val="-4"/>
          <w:sz w:val="24"/>
          <w:szCs w:val="24"/>
        </w:rPr>
        <w:t>（5）工作站基本功能</w:t>
      </w:r>
    </w:p>
    <w:p w14:paraId="4A659925">
      <w:pPr>
        <w:spacing w:before="311" w:line="445" w:lineRule="auto"/>
        <w:ind w:left="36" w:right="66" w:firstLine="499"/>
        <w:rPr>
          <w:rFonts w:ascii="宋体" w:hAnsi="宋体" w:eastAsia="宋体" w:cs="宋体"/>
          <w:sz w:val="24"/>
          <w:szCs w:val="24"/>
        </w:rPr>
      </w:pPr>
      <w:r>
        <w:rPr>
          <w:rFonts w:ascii="宋体" w:hAnsi="宋体" w:eastAsia="宋体" w:cs="宋体"/>
          <w:sz w:val="24"/>
          <w:szCs w:val="24"/>
        </w:rPr>
        <w:t>1.急诊患者图像管理：针对急诊患者可不进行分诊操作，直接进入到设备进行检查，系统</w:t>
      </w:r>
      <w:r>
        <w:rPr>
          <w:rFonts w:ascii="宋体" w:hAnsi="宋体" w:eastAsia="宋体" w:cs="宋体"/>
          <w:spacing w:val="11"/>
          <w:sz w:val="24"/>
          <w:szCs w:val="24"/>
        </w:rPr>
        <w:t xml:space="preserve"> </w:t>
      </w:r>
      <w:r>
        <w:rPr>
          <w:rFonts w:ascii="宋体" w:hAnsi="宋体" w:eastAsia="宋体" w:cs="宋体"/>
          <w:spacing w:val="-2"/>
          <w:sz w:val="24"/>
          <w:szCs w:val="24"/>
        </w:rPr>
        <w:t>将根据</w:t>
      </w:r>
      <w:r>
        <w:rPr>
          <w:rFonts w:ascii="宋体" w:hAnsi="宋体" w:eastAsia="宋体" w:cs="宋体"/>
          <w:spacing w:val="-56"/>
          <w:sz w:val="24"/>
          <w:szCs w:val="24"/>
        </w:rPr>
        <w:t xml:space="preserve"> </w:t>
      </w:r>
      <w:r>
        <w:rPr>
          <w:rFonts w:ascii="宋体" w:hAnsi="宋体" w:eastAsia="宋体" w:cs="宋体"/>
          <w:spacing w:val="-2"/>
          <w:sz w:val="24"/>
          <w:szCs w:val="24"/>
        </w:rPr>
        <w:t>DICOM</w:t>
      </w:r>
      <w:r>
        <w:rPr>
          <w:rFonts w:ascii="宋体" w:hAnsi="宋体" w:eastAsia="宋体" w:cs="宋体"/>
          <w:spacing w:val="-50"/>
          <w:sz w:val="24"/>
          <w:szCs w:val="24"/>
        </w:rPr>
        <w:t xml:space="preserve"> </w:t>
      </w:r>
      <w:r>
        <w:rPr>
          <w:rFonts w:ascii="宋体" w:hAnsi="宋体" w:eastAsia="宋体" w:cs="宋体"/>
          <w:spacing w:val="-2"/>
          <w:sz w:val="24"/>
          <w:szCs w:val="24"/>
        </w:rPr>
        <w:t>信息病人图像资料的传输并</w:t>
      </w:r>
      <w:r>
        <w:rPr>
          <w:rFonts w:ascii="宋体" w:hAnsi="宋体" w:eastAsia="宋体" w:cs="宋体"/>
          <w:spacing w:val="-3"/>
          <w:sz w:val="24"/>
          <w:szCs w:val="24"/>
        </w:rPr>
        <w:t>自动分诊。</w:t>
      </w:r>
    </w:p>
    <w:p w14:paraId="53E6EF56">
      <w:pPr>
        <w:spacing w:before="36" w:line="218" w:lineRule="auto"/>
        <w:ind w:left="521"/>
        <w:rPr>
          <w:rFonts w:ascii="宋体" w:hAnsi="宋体" w:eastAsia="宋体" w:cs="宋体"/>
          <w:sz w:val="24"/>
          <w:szCs w:val="24"/>
        </w:rPr>
      </w:pPr>
      <w:r>
        <w:rPr>
          <w:rFonts w:ascii="宋体" w:hAnsi="宋体" w:eastAsia="宋体" w:cs="宋体"/>
          <w:spacing w:val="-1"/>
          <w:sz w:val="24"/>
          <w:szCs w:val="24"/>
        </w:rPr>
        <w:t>2.图像导入/导出：导出/导入</w:t>
      </w:r>
      <w:r>
        <w:rPr>
          <w:rFonts w:ascii="宋体" w:hAnsi="宋体" w:eastAsia="宋体" w:cs="宋体"/>
          <w:spacing w:val="-55"/>
          <w:sz w:val="24"/>
          <w:szCs w:val="24"/>
        </w:rPr>
        <w:t xml:space="preserve"> </w:t>
      </w:r>
      <w:r>
        <w:rPr>
          <w:rFonts w:ascii="宋体" w:hAnsi="宋体" w:eastAsia="宋体" w:cs="宋体"/>
          <w:spacing w:val="-1"/>
          <w:sz w:val="24"/>
          <w:szCs w:val="24"/>
        </w:rPr>
        <w:t>DICOM3.</w:t>
      </w:r>
      <w:r>
        <w:rPr>
          <w:rFonts w:ascii="宋体" w:hAnsi="宋体" w:eastAsia="宋体" w:cs="宋体"/>
          <w:spacing w:val="-2"/>
          <w:sz w:val="24"/>
          <w:szCs w:val="24"/>
        </w:rPr>
        <w:t>0</w:t>
      </w:r>
      <w:r>
        <w:rPr>
          <w:rFonts w:ascii="宋体" w:hAnsi="宋体" w:eastAsia="宋体" w:cs="宋体"/>
          <w:spacing w:val="-51"/>
          <w:sz w:val="24"/>
          <w:szCs w:val="24"/>
        </w:rPr>
        <w:t xml:space="preserve"> </w:t>
      </w:r>
      <w:r>
        <w:rPr>
          <w:rFonts w:ascii="宋体" w:hAnsi="宋体" w:eastAsia="宋体" w:cs="宋体"/>
          <w:spacing w:val="-2"/>
          <w:sz w:val="24"/>
          <w:szCs w:val="24"/>
        </w:rPr>
        <w:t>格式、BMP、JPEG、AVI</w:t>
      </w:r>
      <w:r>
        <w:rPr>
          <w:rFonts w:ascii="宋体" w:hAnsi="宋体" w:eastAsia="宋体" w:cs="宋体"/>
          <w:spacing w:val="-49"/>
          <w:sz w:val="24"/>
          <w:szCs w:val="24"/>
        </w:rPr>
        <w:t xml:space="preserve"> </w:t>
      </w:r>
      <w:r>
        <w:rPr>
          <w:rFonts w:ascii="宋体" w:hAnsi="宋体" w:eastAsia="宋体" w:cs="宋体"/>
          <w:spacing w:val="-2"/>
          <w:sz w:val="24"/>
          <w:szCs w:val="24"/>
        </w:rPr>
        <w:t>等格式文件。</w:t>
      </w:r>
    </w:p>
    <w:p w14:paraId="6F5B42A0">
      <w:pPr>
        <w:spacing w:before="313" w:line="445" w:lineRule="auto"/>
        <w:ind w:left="38" w:right="66" w:firstLine="484"/>
        <w:rPr>
          <w:rFonts w:ascii="宋体" w:hAnsi="宋体" w:eastAsia="宋体" w:cs="宋体"/>
          <w:sz w:val="24"/>
          <w:szCs w:val="24"/>
        </w:rPr>
      </w:pPr>
      <w:r>
        <w:rPr>
          <w:rFonts w:ascii="宋体" w:hAnsi="宋体" w:eastAsia="宋体" w:cs="宋体"/>
          <w:spacing w:val="1"/>
          <w:sz w:val="24"/>
          <w:szCs w:val="24"/>
        </w:rPr>
        <w:t>3.相关诊断功能：显示本病人的所有不同时间、不同</w:t>
      </w:r>
      <w:r>
        <w:rPr>
          <w:rFonts w:ascii="宋体" w:hAnsi="宋体" w:eastAsia="宋体" w:cs="宋体"/>
          <w:sz w:val="24"/>
          <w:szCs w:val="24"/>
        </w:rPr>
        <w:t xml:space="preserve">设备的相关影像检查资料；同时可查 </w:t>
      </w:r>
      <w:r>
        <w:rPr>
          <w:rFonts w:ascii="宋体" w:hAnsi="宋体" w:eastAsia="宋体" w:cs="宋体"/>
          <w:spacing w:val="-2"/>
          <w:sz w:val="24"/>
          <w:szCs w:val="24"/>
        </w:rPr>
        <w:t>询调阅其他患者不同时间、不同设备的相关影像检查资料。</w:t>
      </w:r>
    </w:p>
    <w:p w14:paraId="6700C9E8">
      <w:pPr>
        <w:spacing w:before="35" w:line="444" w:lineRule="auto"/>
        <w:ind w:left="38" w:right="66" w:firstLine="479"/>
        <w:rPr>
          <w:rFonts w:ascii="宋体" w:hAnsi="宋体" w:eastAsia="宋体" w:cs="宋体"/>
          <w:sz w:val="24"/>
          <w:szCs w:val="24"/>
        </w:rPr>
      </w:pPr>
      <w:r>
        <w:rPr>
          <w:rFonts w:ascii="宋体" w:hAnsi="宋体" w:eastAsia="宋体" w:cs="宋体"/>
          <w:spacing w:val="1"/>
          <w:sz w:val="24"/>
          <w:szCs w:val="24"/>
        </w:rPr>
        <w:t>4.迅速进入工作状态：系统支持在调入图像的同时进行图像显示和</w:t>
      </w:r>
      <w:r>
        <w:rPr>
          <w:rFonts w:ascii="宋体" w:hAnsi="宋体" w:eastAsia="宋体" w:cs="宋体"/>
          <w:sz w:val="24"/>
          <w:szCs w:val="24"/>
        </w:rPr>
        <w:t xml:space="preserve">诊断工作，医生可以在 </w:t>
      </w:r>
      <w:r>
        <w:rPr>
          <w:rFonts w:ascii="宋体" w:hAnsi="宋体" w:eastAsia="宋体" w:cs="宋体"/>
          <w:spacing w:val="-3"/>
          <w:sz w:val="24"/>
          <w:szCs w:val="24"/>
        </w:rPr>
        <w:t>第一幅图调入后就可以进入阅片工作状态。</w:t>
      </w:r>
    </w:p>
    <w:p w14:paraId="341185DD">
      <w:pPr>
        <w:pStyle w:val="2"/>
        <w:spacing w:line="392" w:lineRule="auto"/>
      </w:pPr>
    </w:p>
    <w:p w14:paraId="3BF49532">
      <w:pPr>
        <w:spacing w:before="63"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54                                </w:t>
      </w:r>
      <w:r>
        <w:rPr>
          <w:rFonts w:ascii="宋体" w:hAnsi="宋体" w:eastAsia="宋体" w:cs="宋体"/>
          <w:b/>
          <w:bCs/>
          <w:i/>
          <w:iCs/>
          <w:spacing w:val="-3"/>
          <w:sz w:val="19"/>
          <w:szCs w:val="19"/>
        </w:rPr>
        <w:t>伊犁州公共资源交易中心</w:t>
      </w:r>
    </w:p>
    <w:p w14:paraId="095B298E">
      <w:pPr>
        <w:spacing w:line="160" w:lineRule="auto"/>
        <w:rPr>
          <w:rFonts w:ascii="宋体" w:hAnsi="宋体" w:eastAsia="宋体" w:cs="宋体"/>
          <w:sz w:val="19"/>
          <w:szCs w:val="19"/>
        </w:rPr>
        <w:sectPr>
          <w:headerReference r:id="rId38" w:type="default"/>
          <w:footerReference r:id="rId39" w:type="default"/>
          <w:pgSz w:w="11905" w:h="16839"/>
          <w:pgMar w:top="1136" w:right="792" w:bottom="937" w:left="1136" w:header="854" w:footer="923" w:gutter="0"/>
          <w:cols w:space="720" w:num="1"/>
        </w:sectPr>
      </w:pPr>
    </w:p>
    <w:p w14:paraId="60CF0AC2">
      <w:pPr>
        <w:pStyle w:val="2"/>
        <w:spacing w:line="379" w:lineRule="auto"/>
      </w:pPr>
    </w:p>
    <w:p w14:paraId="46FA0A95">
      <w:pPr>
        <w:spacing w:before="78" w:line="220" w:lineRule="auto"/>
        <w:ind w:left="523"/>
        <w:rPr>
          <w:rFonts w:ascii="宋体" w:hAnsi="宋体" w:eastAsia="宋体" w:cs="宋体"/>
          <w:sz w:val="24"/>
          <w:szCs w:val="24"/>
        </w:rPr>
      </w:pPr>
      <w:r>
        <w:rPr>
          <w:rFonts w:ascii="宋体" w:hAnsi="宋体" w:eastAsia="宋体" w:cs="宋体"/>
          <w:spacing w:val="-2"/>
          <w:sz w:val="24"/>
          <w:szCs w:val="24"/>
        </w:rPr>
        <w:t>5.历史检查图像可选择加载和自动加载两种模</w:t>
      </w:r>
      <w:r>
        <w:rPr>
          <w:rFonts w:ascii="宋体" w:hAnsi="宋体" w:eastAsia="宋体" w:cs="宋体"/>
          <w:spacing w:val="-3"/>
          <w:sz w:val="24"/>
          <w:szCs w:val="24"/>
        </w:rPr>
        <w:t>式。</w:t>
      </w:r>
    </w:p>
    <w:p w14:paraId="36787914">
      <w:pPr>
        <w:spacing w:before="310" w:line="220" w:lineRule="auto"/>
        <w:ind w:left="464"/>
        <w:rPr>
          <w:rFonts w:ascii="宋体" w:hAnsi="宋体" w:eastAsia="宋体" w:cs="宋体"/>
          <w:sz w:val="24"/>
          <w:szCs w:val="24"/>
        </w:rPr>
      </w:pPr>
      <w:r>
        <w:rPr>
          <w:rFonts w:ascii="宋体" w:hAnsi="宋体" w:eastAsia="宋体" w:cs="宋体"/>
          <w:b/>
          <w:bCs/>
          <w:spacing w:val="-4"/>
          <w:sz w:val="24"/>
          <w:szCs w:val="24"/>
        </w:rPr>
        <w:t>（6）影像浏览功能</w:t>
      </w:r>
    </w:p>
    <w:p w14:paraId="606D04B5">
      <w:pPr>
        <w:spacing w:before="310" w:line="219" w:lineRule="auto"/>
        <w:ind w:left="536"/>
        <w:rPr>
          <w:rFonts w:ascii="宋体" w:hAnsi="宋体" w:eastAsia="宋体" w:cs="宋体"/>
          <w:sz w:val="24"/>
          <w:szCs w:val="24"/>
        </w:rPr>
      </w:pPr>
      <w:r>
        <w:rPr>
          <w:rFonts w:ascii="宋体" w:hAnsi="宋体" w:eastAsia="宋体" w:cs="宋体"/>
          <w:spacing w:val="-6"/>
          <w:sz w:val="24"/>
          <w:szCs w:val="24"/>
        </w:rPr>
        <w:t>1.提供图像缩放功能。</w:t>
      </w:r>
    </w:p>
    <w:p w14:paraId="492417D7">
      <w:pPr>
        <w:spacing w:before="311" w:line="445" w:lineRule="auto"/>
        <w:ind w:left="522" w:right="6583" w:hanging="1"/>
        <w:rPr>
          <w:rFonts w:ascii="宋体" w:hAnsi="宋体" w:eastAsia="宋体" w:cs="宋体"/>
          <w:sz w:val="24"/>
          <w:szCs w:val="24"/>
        </w:rPr>
      </w:pPr>
      <w:r>
        <w:rPr>
          <w:rFonts w:ascii="宋体" w:hAnsi="宋体" w:eastAsia="宋体" w:cs="宋体"/>
          <w:spacing w:val="-4"/>
          <w:sz w:val="24"/>
          <w:szCs w:val="24"/>
        </w:rPr>
        <w:t>2.提供左右上下旋转功能。</w:t>
      </w:r>
      <w:r>
        <w:rPr>
          <w:rFonts w:ascii="宋体" w:hAnsi="宋体" w:eastAsia="宋体" w:cs="宋体"/>
          <w:spacing w:val="3"/>
          <w:sz w:val="24"/>
          <w:szCs w:val="24"/>
        </w:rPr>
        <w:t xml:space="preserve"> </w:t>
      </w:r>
      <w:r>
        <w:rPr>
          <w:rFonts w:ascii="宋体" w:hAnsi="宋体" w:eastAsia="宋体" w:cs="宋体"/>
          <w:spacing w:val="-5"/>
          <w:sz w:val="24"/>
          <w:szCs w:val="24"/>
        </w:rPr>
        <w:t>3.提供镜像功能。</w:t>
      </w:r>
    </w:p>
    <w:p w14:paraId="3C453DAD">
      <w:pPr>
        <w:spacing w:before="36" w:line="449" w:lineRule="auto"/>
        <w:ind w:left="519" w:right="7063" w:hanging="2"/>
        <w:jc w:val="both"/>
        <w:rPr>
          <w:rFonts w:ascii="宋体" w:hAnsi="宋体" w:eastAsia="宋体" w:cs="宋体"/>
          <w:sz w:val="24"/>
          <w:szCs w:val="24"/>
        </w:rPr>
      </w:pPr>
      <w:r>
        <w:rPr>
          <w:rFonts w:ascii="宋体" w:hAnsi="宋体" w:eastAsia="宋体" w:cs="宋体"/>
          <w:spacing w:val="-4"/>
          <w:sz w:val="24"/>
          <w:szCs w:val="24"/>
        </w:rPr>
        <w:t>4.提供图像漫游功能。</w:t>
      </w:r>
      <w:r>
        <w:rPr>
          <w:rFonts w:ascii="宋体" w:hAnsi="宋体" w:eastAsia="宋体" w:cs="宋体"/>
          <w:sz w:val="24"/>
          <w:szCs w:val="24"/>
        </w:rPr>
        <w:t xml:space="preserve"> </w:t>
      </w:r>
      <w:r>
        <w:rPr>
          <w:rFonts w:ascii="宋体" w:hAnsi="宋体" w:eastAsia="宋体" w:cs="宋体"/>
          <w:spacing w:val="-5"/>
          <w:sz w:val="24"/>
          <w:szCs w:val="24"/>
        </w:rPr>
        <w:t>5.提供黑白反相功能。</w:t>
      </w:r>
      <w:r>
        <w:rPr>
          <w:rFonts w:ascii="宋体" w:hAnsi="宋体" w:eastAsia="宋体" w:cs="宋体"/>
          <w:spacing w:val="7"/>
          <w:sz w:val="24"/>
          <w:szCs w:val="24"/>
        </w:rPr>
        <w:t xml:space="preserve"> </w:t>
      </w:r>
      <w:r>
        <w:rPr>
          <w:rFonts w:ascii="宋体" w:hAnsi="宋体" w:eastAsia="宋体" w:cs="宋体"/>
          <w:spacing w:val="-5"/>
          <w:sz w:val="24"/>
          <w:szCs w:val="24"/>
        </w:rPr>
        <w:t>6.提供放大镜功能。</w:t>
      </w:r>
    </w:p>
    <w:p w14:paraId="069FEB1D">
      <w:pPr>
        <w:spacing w:before="35" w:line="445" w:lineRule="auto"/>
        <w:ind w:left="519" w:right="7543" w:firstLine="4"/>
        <w:rPr>
          <w:rFonts w:ascii="宋体" w:hAnsi="宋体" w:eastAsia="宋体" w:cs="宋体"/>
          <w:sz w:val="24"/>
          <w:szCs w:val="24"/>
        </w:rPr>
      </w:pPr>
      <w:r>
        <w:rPr>
          <w:rFonts w:ascii="宋体" w:hAnsi="宋体" w:eastAsia="宋体" w:cs="宋体"/>
          <w:spacing w:val="-6"/>
          <w:sz w:val="24"/>
          <w:szCs w:val="24"/>
        </w:rPr>
        <w:t>7.提供滤波功能。</w:t>
      </w:r>
      <w:r>
        <w:rPr>
          <w:rFonts w:ascii="宋体" w:hAnsi="宋体" w:eastAsia="宋体" w:cs="宋体"/>
          <w:spacing w:val="3"/>
          <w:sz w:val="24"/>
          <w:szCs w:val="24"/>
        </w:rPr>
        <w:t xml:space="preserve"> </w:t>
      </w:r>
      <w:r>
        <w:rPr>
          <w:rFonts w:ascii="宋体" w:hAnsi="宋体" w:eastAsia="宋体" w:cs="宋体"/>
          <w:spacing w:val="-6"/>
          <w:sz w:val="24"/>
          <w:szCs w:val="24"/>
        </w:rPr>
        <w:t>8.提供伪彩功能。</w:t>
      </w:r>
    </w:p>
    <w:p w14:paraId="0A01FA1D">
      <w:pPr>
        <w:spacing w:before="34" w:line="445" w:lineRule="auto"/>
        <w:ind w:left="535" w:right="6343" w:hanging="16"/>
        <w:rPr>
          <w:rFonts w:ascii="宋体" w:hAnsi="宋体" w:eastAsia="宋体" w:cs="宋体"/>
          <w:sz w:val="24"/>
          <w:szCs w:val="24"/>
        </w:rPr>
      </w:pPr>
      <w:r>
        <w:rPr>
          <w:rFonts w:ascii="宋体" w:hAnsi="宋体" w:eastAsia="宋体" w:cs="宋体"/>
          <w:spacing w:val="-4"/>
          <w:sz w:val="24"/>
          <w:szCs w:val="24"/>
        </w:rPr>
        <w:t>9.提供窗宽、窗位调节功能。</w:t>
      </w:r>
      <w:r>
        <w:rPr>
          <w:rFonts w:ascii="宋体" w:hAnsi="宋体" w:eastAsia="宋体" w:cs="宋体"/>
          <w:spacing w:val="9"/>
          <w:sz w:val="24"/>
          <w:szCs w:val="24"/>
        </w:rPr>
        <w:t xml:space="preserve"> </w:t>
      </w:r>
      <w:r>
        <w:rPr>
          <w:rFonts w:ascii="宋体" w:hAnsi="宋体" w:eastAsia="宋体" w:cs="宋体"/>
          <w:spacing w:val="-5"/>
          <w:sz w:val="24"/>
          <w:szCs w:val="24"/>
        </w:rPr>
        <w:t>10.提供序列播放功能。</w:t>
      </w:r>
    </w:p>
    <w:p w14:paraId="36F47293">
      <w:pPr>
        <w:spacing w:before="36" w:line="220" w:lineRule="auto"/>
        <w:ind w:left="464"/>
        <w:rPr>
          <w:rFonts w:ascii="宋体" w:hAnsi="宋体" w:eastAsia="宋体" w:cs="宋体"/>
          <w:sz w:val="24"/>
          <w:szCs w:val="24"/>
        </w:rPr>
      </w:pPr>
      <w:r>
        <w:rPr>
          <w:rFonts w:ascii="宋体" w:hAnsi="宋体" w:eastAsia="宋体" w:cs="宋体"/>
          <w:b/>
          <w:bCs/>
          <w:spacing w:val="-4"/>
          <w:sz w:val="24"/>
          <w:szCs w:val="24"/>
        </w:rPr>
        <w:t>（7）辅助测量与标注功能</w:t>
      </w:r>
    </w:p>
    <w:p w14:paraId="3BB610F3">
      <w:pPr>
        <w:spacing w:before="309" w:line="445" w:lineRule="auto"/>
        <w:ind w:left="521" w:right="6583" w:firstLine="14"/>
        <w:rPr>
          <w:rFonts w:ascii="宋体" w:hAnsi="宋体" w:eastAsia="宋体" w:cs="宋体"/>
          <w:sz w:val="24"/>
          <w:szCs w:val="24"/>
        </w:rPr>
      </w:pPr>
      <w:r>
        <w:rPr>
          <w:rFonts w:ascii="宋体" w:hAnsi="宋体" w:eastAsia="宋体" w:cs="宋体"/>
          <w:spacing w:val="-5"/>
          <w:sz w:val="24"/>
          <w:szCs w:val="24"/>
        </w:rPr>
        <w:t>1.提供直线距离测量功能。</w:t>
      </w:r>
      <w:r>
        <w:rPr>
          <w:rFonts w:ascii="宋体" w:hAnsi="宋体" w:eastAsia="宋体" w:cs="宋体"/>
          <w:spacing w:val="2"/>
          <w:sz w:val="24"/>
          <w:szCs w:val="24"/>
        </w:rPr>
        <w:t xml:space="preserve"> </w:t>
      </w:r>
      <w:r>
        <w:rPr>
          <w:rFonts w:ascii="宋体" w:hAnsi="宋体" w:eastAsia="宋体" w:cs="宋体"/>
          <w:spacing w:val="-4"/>
          <w:sz w:val="24"/>
          <w:szCs w:val="24"/>
        </w:rPr>
        <w:t>2.提供角度测量功能。</w:t>
      </w:r>
    </w:p>
    <w:p w14:paraId="7AFC98E8">
      <w:pPr>
        <w:spacing w:before="35" w:line="445" w:lineRule="auto"/>
        <w:ind w:left="517" w:right="7063" w:firstLine="5"/>
        <w:rPr>
          <w:rFonts w:ascii="宋体" w:hAnsi="宋体" w:eastAsia="宋体" w:cs="宋体"/>
          <w:sz w:val="24"/>
          <w:szCs w:val="24"/>
        </w:rPr>
      </w:pPr>
      <w:r>
        <w:rPr>
          <w:rFonts w:ascii="宋体" w:hAnsi="宋体" w:eastAsia="宋体" w:cs="宋体"/>
          <w:spacing w:val="-5"/>
          <w:sz w:val="24"/>
          <w:szCs w:val="24"/>
        </w:rPr>
        <w:t>3.提供椭圆测量功能。</w:t>
      </w:r>
      <w:r>
        <w:rPr>
          <w:rFonts w:ascii="宋体" w:hAnsi="宋体" w:eastAsia="宋体" w:cs="宋体"/>
          <w:spacing w:val="5"/>
          <w:sz w:val="24"/>
          <w:szCs w:val="24"/>
        </w:rPr>
        <w:t xml:space="preserve"> </w:t>
      </w:r>
      <w:r>
        <w:rPr>
          <w:rFonts w:ascii="宋体" w:hAnsi="宋体" w:eastAsia="宋体" w:cs="宋体"/>
          <w:spacing w:val="-4"/>
          <w:sz w:val="24"/>
          <w:szCs w:val="24"/>
        </w:rPr>
        <w:t>4.提供矩形测量功能。</w:t>
      </w:r>
    </w:p>
    <w:p w14:paraId="02BEE945">
      <w:pPr>
        <w:spacing w:before="35" w:line="219" w:lineRule="auto"/>
        <w:ind w:left="523"/>
        <w:rPr>
          <w:rFonts w:ascii="宋体" w:hAnsi="宋体" w:eastAsia="宋体" w:cs="宋体"/>
          <w:sz w:val="24"/>
          <w:szCs w:val="24"/>
        </w:rPr>
      </w:pPr>
      <w:r>
        <w:rPr>
          <w:rFonts w:ascii="宋体" w:hAnsi="宋体" w:eastAsia="宋体" w:cs="宋体"/>
          <w:spacing w:val="-3"/>
          <w:sz w:val="24"/>
          <w:szCs w:val="24"/>
        </w:rPr>
        <w:t>5.提供不规则多边形区域测量功能。</w:t>
      </w:r>
    </w:p>
    <w:p w14:paraId="34EDEAC8">
      <w:pPr>
        <w:spacing w:before="311" w:line="220" w:lineRule="auto"/>
        <w:ind w:left="464"/>
        <w:rPr>
          <w:rFonts w:ascii="宋体" w:hAnsi="宋体" w:eastAsia="宋体" w:cs="宋体"/>
          <w:sz w:val="24"/>
          <w:szCs w:val="24"/>
        </w:rPr>
      </w:pPr>
      <w:r>
        <w:rPr>
          <w:rFonts w:ascii="宋体" w:hAnsi="宋体" w:eastAsia="宋体" w:cs="宋体"/>
          <w:b/>
          <w:bCs/>
          <w:spacing w:val="-4"/>
          <w:sz w:val="24"/>
          <w:szCs w:val="24"/>
        </w:rPr>
        <w:t>（8）图像显示功能</w:t>
      </w:r>
    </w:p>
    <w:p w14:paraId="159C519D">
      <w:pPr>
        <w:spacing w:before="310" w:line="445" w:lineRule="auto"/>
        <w:ind w:left="521" w:right="4663" w:firstLine="14"/>
        <w:rPr>
          <w:rFonts w:ascii="宋体" w:hAnsi="宋体" w:eastAsia="宋体" w:cs="宋体"/>
          <w:sz w:val="24"/>
          <w:szCs w:val="24"/>
        </w:rPr>
      </w:pPr>
      <w:r>
        <w:rPr>
          <w:rFonts w:ascii="宋体" w:hAnsi="宋体" w:eastAsia="宋体" w:cs="宋体"/>
          <w:spacing w:val="-3"/>
          <w:sz w:val="24"/>
          <w:szCs w:val="24"/>
        </w:rPr>
        <w:t>1.提供拼图模式下多个病人的图像对比功能。</w:t>
      </w:r>
      <w:r>
        <w:rPr>
          <w:rFonts w:ascii="宋体" w:hAnsi="宋体" w:eastAsia="宋体" w:cs="宋体"/>
          <w:sz w:val="24"/>
          <w:szCs w:val="24"/>
        </w:rPr>
        <w:t xml:space="preserve"> </w:t>
      </w:r>
      <w:r>
        <w:rPr>
          <w:rFonts w:ascii="宋体" w:hAnsi="宋体" w:eastAsia="宋体" w:cs="宋体"/>
          <w:spacing w:val="-3"/>
          <w:sz w:val="24"/>
          <w:szCs w:val="24"/>
        </w:rPr>
        <w:t>2.提供不同时间的图像同屏显示功能。</w:t>
      </w:r>
    </w:p>
    <w:p w14:paraId="2CDE04E5">
      <w:pPr>
        <w:spacing w:before="35" w:line="219" w:lineRule="auto"/>
        <w:ind w:left="523"/>
        <w:rPr>
          <w:rFonts w:ascii="宋体" w:hAnsi="宋体" w:eastAsia="宋体" w:cs="宋体"/>
          <w:sz w:val="24"/>
          <w:szCs w:val="24"/>
        </w:rPr>
      </w:pPr>
      <w:r>
        <w:rPr>
          <w:rFonts w:ascii="宋体" w:hAnsi="宋体" w:eastAsia="宋体" w:cs="宋体"/>
          <w:spacing w:val="-4"/>
          <w:sz w:val="24"/>
          <w:szCs w:val="24"/>
        </w:rPr>
        <w:t>3.提供恢复原始图像功能功能。</w:t>
      </w:r>
    </w:p>
    <w:p w14:paraId="0C36C4A8">
      <w:pPr>
        <w:spacing w:before="312" w:line="219" w:lineRule="auto"/>
        <w:ind w:left="517"/>
        <w:rPr>
          <w:rFonts w:ascii="宋体" w:hAnsi="宋体" w:eastAsia="宋体" w:cs="宋体"/>
          <w:sz w:val="24"/>
          <w:szCs w:val="24"/>
        </w:rPr>
      </w:pPr>
      <w:r>
        <w:rPr>
          <w:rFonts w:ascii="宋体" w:hAnsi="宋体" w:eastAsia="宋体" w:cs="宋体"/>
          <w:spacing w:val="-4"/>
          <w:sz w:val="24"/>
          <w:szCs w:val="24"/>
        </w:rPr>
        <w:t>4.提供显示</w:t>
      </w:r>
      <w:r>
        <w:rPr>
          <w:rFonts w:ascii="宋体" w:hAnsi="宋体" w:eastAsia="宋体" w:cs="宋体"/>
          <w:spacing w:val="-46"/>
          <w:sz w:val="24"/>
          <w:szCs w:val="24"/>
        </w:rPr>
        <w:t xml:space="preserve"> </w:t>
      </w:r>
      <w:r>
        <w:rPr>
          <w:rFonts w:ascii="宋体" w:hAnsi="宋体" w:eastAsia="宋体" w:cs="宋体"/>
          <w:spacing w:val="-4"/>
          <w:sz w:val="24"/>
          <w:szCs w:val="24"/>
        </w:rPr>
        <w:t>CT、MRI</w:t>
      </w:r>
      <w:r>
        <w:rPr>
          <w:rFonts w:ascii="宋体" w:hAnsi="宋体" w:eastAsia="宋体" w:cs="宋体"/>
          <w:spacing w:val="-27"/>
          <w:sz w:val="24"/>
          <w:szCs w:val="24"/>
        </w:rPr>
        <w:t xml:space="preserve"> </w:t>
      </w:r>
      <w:r>
        <w:rPr>
          <w:rFonts w:ascii="宋体" w:hAnsi="宋体" w:eastAsia="宋体" w:cs="宋体"/>
          <w:spacing w:val="-4"/>
          <w:sz w:val="24"/>
          <w:szCs w:val="24"/>
        </w:rPr>
        <w:t>图像的密度值功能。</w:t>
      </w:r>
    </w:p>
    <w:p w14:paraId="2DEC4102">
      <w:pPr>
        <w:pStyle w:val="2"/>
        <w:spacing w:line="333" w:lineRule="auto"/>
      </w:pPr>
    </w:p>
    <w:p w14:paraId="20822086">
      <w:pPr>
        <w:pStyle w:val="2"/>
        <w:spacing w:line="333" w:lineRule="auto"/>
      </w:pPr>
    </w:p>
    <w:p w14:paraId="6607581F">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55                                </w:t>
      </w:r>
      <w:r>
        <w:rPr>
          <w:rFonts w:ascii="宋体" w:hAnsi="宋体" w:eastAsia="宋体" w:cs="宋体"/>
          <w:b/>
          <w:bCs/>
          <w:i/>
          <w:iCs/>
          <w:spacing w:val="-3"/>
          <w:sz w:val="19"/>
          <w:szCs w:val="19"/>
        </w:rPr>
        <w:t>伊犁州公共资源交易中心</w:t>
      </w:r>
    </w:p>
    <w:p w14:paraId="6E3A84CA">
      <w:pPr>
        <w:spacing w:line="160" w:lineRule="auto"/>
        <w:rPr>
          <w:rFonts w:ascii="宋体" w:hAnsi="宋体" w:eastAsia="宋体" w:cs="宋体"/>
          <w:sz w:val="19"/>
          <w:szCs w:val="19"/>
        </w:rPr>
        <w:sectPr>
          <w:headerReference r:id="rId40" w:type="default"/>
          <w:footerReference r:id="rId41" w:type="default"/>
          <w:pgSz w:w="11905" w:h="16839"/>
          <w:pgMar w:top="1136" w:right="830" w:bottom="937" w:left="1136" w:header="854" w:footer="923" w:gutter="0"/>
          <w:cols w:space="720" w:num="1"/>
        </w:sectPr>
      </w:pPr>
    </w:p>
    <w:p w14:paraId="0FB6D764">
      <w:pPr>
        <w:pStyle w:val="2"/>
        <w:spacing w:line="379" w:lineRule="auto"/>
      </w:pPr>
    </w:p>
    <w:p w14:paraId="778D9AD9">
      <w:pPr>
        <w:spacing w:before="78" w:line="219" w:lineRule="auto"/>
        <w:ind w:left="523"/>
        <w:rPr>
          <w:rFonts w:ascii="宋体" w:hAnsi="宋体" w:eastAsia="宋体" w:cs="宋体"/>
          <w:sz w:val="24"/>
          <w:szCs w:val="24"/>
        </w:rPr>
      </w:pPr>
      <w:r>
        <w:rPr>
          <w:rFonts w:ascii="宋体" w:hAnsi="宋体" w:eastAsia="宋体" w:cs="宋体"/>
          <w:spacing w:val="-5"/>
          <w:sz w:val="24"/>
          <w:szCs w:val="24"/>
        </w:rPr>
        <w:t>5.提供</w:t>
      </w:r>
      <w:r>
        <w:rPr>
          <w:rFonts w:ascii="宋体" w:hAnsi="宋体" w:eastAsia="宋体" w:cs="宋体"/>
          <w:spacing w:val="-50"/>
          <w:sz w:val="24"/>
          <w:szCs w:val="24"/>
        </w:rPr>
        <w:t xml:space="preserve"> </w:t>
      </w:r>
      <w:r>
        <w:rPr>
          <w:rFonts w:ascii="宋体" w:hAnsi="宋体" w:eastAsia="宋体" w:cs="宋体"/>
          <w:spacing w:val="-5"/>
          <w:sz w:val="24"/>
          <w:szCs w:val="24"/>
        </w:rPr>
        <w:t>MRI</w:t>
      </w:r>
      <w:r>
        <w:rPr>
          <w:rFonts w:ascii="宋体" w:hAnsi="宋体" w:eastAsia="宋体" w:cs="宋体"/>
          <w:spacing w:val="-50"/>
          <w:sz w:val="24"/>
          <w:szCs w:val="24"/>
        </w:rPr>
        <w:t xml:space="preserve"> </w:t>
      </w:r>
      <w:r>
        <w:rPr>
          <w:rFonts w:ascii="宋体" w:hAnsi="宋体" w:eastAsia="宋体" w:cs="宋体"/>
          <w:spacing w:val="-5"/>
          <w:sz w:val="24"/>
          <w:szCs w:val="24"/>
        </w:rPr>
        <w:t>和</w:t>
      </w:r>
      <w:r>
        <w:rPr>
          <w:rFonts w:ascii="宋体" w:hAnsi="宋体" w:eastAsia="宋体" w:cs="宋体"/>
          <w:spacing w:val="-52"/>
          <w:sz w:val="24"/>
          <w:szCs w:val="24"/>
        </w:rPr>
        <w:t xml:space="preserve"> </w:t>
      </w:r>
      <w:r>
        <w:rPr>
          <w:rFonts w:ascii="宋体" w:hAnsi="宋体" w:eastAsia="宋体" w:cs="宋体"/>
          <w:spacing w:val="-5"/>
          <w:sz w:val="24"/>
          <w:szCs w:val="24"/>
        </w:rPr>
        <w:t>CT</w:t>
      </w:r>
      <w:r>
        <w:rPr>
          <w:rFonts w:ascii="宋体" w:hAnsi="宋体" w:eastAsia="宋体" w:cs="宋体"/>
          <w:spacing w:val="-27"/>
          <w:sz w:val="24"/>
          <w:szCs w:val="24"/>
        </w:rPr>
        <w:t xml:space="preserve"> </w:t>
      </w:r>
      <w:r>
        <w:rPr>
          <w:rFonts w:ascii="宋体" w:hAnsi="宋体" w:eastAsia="宋体" w:cs="宋体"/>
          <w:spacing w:val="-5"/>
          <w:sz w:val="24"/>
          <w:szCs w:val="24"/>
        </w:rPr>
        <w:t>图像的定位线显示功能。</w:t>
      </w:r>
    </w:p>
    <w:p w14:paraId="2ED27613">
      <w:pPr>
        <w:spacing w:before="310" w:line="445" w:lineRule="auto"/>
        <w:ind w:left="523" w:right="4480" w:hanging="3"/>
        <w:rPr>
          <w:rFonts w:ascii="宋体" w:hAnsi="宋体" w:eastAsia="宋体" w:cs="宋体"/>
          <w:sz w:val="24"/>
          <w:szCs w:val="24"/>
        </w:rPr>
      </w:pPr>
      <w:r>
        <w:rPr>
          <w:rFonts w:ascii="宋体" w:hAnsi="宋体" w:eastAsia="宋体" w:cs="宋体"/>
          <w:spacing w:val="-3"/>
          <w:sz w:val="24"/>
          <w:szCs w:val="24"/>
        </w:rPr>
        <w:t>6.提供依据</w:t>
      </w:r>
      <w:r>
        <w:rPr>
          <w:rFonts w:ascii="宋体" w:hAnsi="宋体" w:eastAsia="宋体" w:cs="宋体"/>
          <w:spacing w:val="-51"/>
          <w:sz w:val="24"/>
          <w:szCs w:val="24"/>
        </w:rPr>
        <w:t xml:space="preserve"> </w:t>
      </w:r>
      <w:r>
        <w:rPr>
          <w:rFonts w:ascii="宋体" w:hAnsi="宋体" w:eastAsia="宋体" w:cs="宋体"/>
          <w:spacing w:val="-3"/>
          <w:sz w:val="24"/>
          <w:szCs w:val="24"/>
        </w:rPr>
        <w:t>MRI、CT</w:t>
      </w:r>
      <w:r>
        <w:rPr>
          <w:rFonts w:ascii="宋体" w:hAnsi="宋体" w:eastAsia="宋体" w:cs="宋体"/>
          <w:spacing w:val="-45"/>
          <w:sz w:val="24"/>
          <w:szCs w:val="24"/>
        </w:rPr>
        <w:t xml:space="preserve"> </w:t>
      </w:r>
      <w:r>
        <w:rPr>
          <w:rFonts w:ascii="宋体" w:hAnsi="宋体" w:eastAsia="宋体" w:cs="宋体"/>
          <w:spacing w:val="-3"/>
          <w:sz w:val="24"/>
          <w:szCs w:val="24"/>
        </w:rPr>
        <w:t>定位线查找相关图像功能。</w:t>
      </w:r>
      <w:r>
        <w:rPr>
          <w:rFonts w:ascii="宋体" w:hAnsi="宋体" w:eastAsia="宋体" w:cs="宋体"/>
          <w:sz w:val="24"/>
          <w:szCs w:val="24"/>
        </w:rPr>
        <w:t xml:space="preserve"> </w:t>
      </w:r>
      <w:r>
        <w:rPr>
          <w:rFonts w:ascii="宋体" w:hAnsi="宋体" w:eastAsia="宋体" w:cs="宋体"/>
          <w:spacing w:val="-4"/>
          <w:sz w:val="24"/>
          <w:szCs w:val="24"/>
        </w:rPr>
        <w:t>7.提供滚动显示图像功能。</w:t>
      </w:r>
    </w:p>
    <w:p w14:paraId="05221C38">
      <w:pPr>
        <w:spacing w:before="35" w:line="445" w:lineRule="auto"/>
        <w:ind w:left="519" w:right="4960"/>
        <w:rPr>
          <w:rFonts w:ascii="宋体" w:hAnsi="宋体" w:eastAsia="宋体" w:cs="宋体"/>
          <w:sz w:val="24"/>
          <w:szCs w:val="24"/>
        </w:rPr>
      </w:pPr>
      <w:r>
        <w:rPr>
          <w:rFonts w:ascii="宋体" w:hAnsi="宋体" w:eastAsia="宋体" w:cs="宋体"/>
          <w:spacing w:val="-3"/>
          <w:sz w:val="24"/>
          <w:szCs w:val="24"/>
        </w:rPr>
        <w:t>8.提供</w:t>
      </w:r>
      <w:r>
        <w:rPr>
          <w:rFonts w:ascii="宋体" w:hAnsi="宋体" w:eastAsia="宋体" w:cs="宋体"/>
          <w:spacing w:val="-54"/>
          <w:sz w:val="24"/>
          <w:szCs w:val="24"/>
        </w:rPr>
        <w:t xml:space="preserve"> </w:t>
      </w:r>
      <w:r>
        <w:rPr>
          <w:rFonts w:ascii="宋体" w:hAnsi="宋体" w:eastAsia="宋体" w:cs="宋体"/>
          <w:spacing w:val="-3"/>
          <w:sz w:val="24"/>
          <w:szCs w:val="24"/>
        </w:rPr>
        <w:t>DICOM</w:t>
      </w:r>
      <w:r>
        <w:rPr>
          <w:rFonts w:ascii="宋体" w:hAnsi="宋体" w:eastAsia="宋体" w:cs="宋体"/>
          <w:spacing w:val="-47"/>
          <w:sz w:val="24"/>
          <w:szCs w:val="24"/>
        </w:rPr>
        <w:t xml:space="preserve"> </w:t>
      </w:r>
      <w:r>
        <w:rPr>
          <w:rFonts w:ascii="宋体" w:hAnsi="宋体" w:eastAsia="宋体" w:cs="宋体"/>
          <w:spacing w:val="-3"/>
          <w:sz w:val="24"/>
          <w:szCs w:val="24"/>
        </w:rPr>
        <w:t>头文件信息可选择显示功能。</w:t>
      </w:r>
      <w:r>
        <w:rPr>
          <w:rFonts w:ascii="宋体" w:hAnsi="宋体" w:eastAsia="宋体" w:cs="宋体"/>
          <w:sz w:val="24"/>
          <w:szCs w:val="24"/>
        </w:rPr>
        <w:t xml:space="preserve"> </w:t>
      </w:r>
      <w:r>
        <w:rPr>
          <w:rFonts w:ascii="宋体" w:hAnsi="宋体" w:eastAsia="宋体" w:cs="宋体"/>
          <w:spacing w:val="-3"/>
          <w:sz w:val="24"/>
          <w:szCs w:val="24"/>
        </w:rPr>
        <w:t>9.提供动态图像播放显示功能。</w:t>
      </w:r>
    </w:p>
    <w:p w14:paraId="74D43E75">
      <w:pPr>
        <w:spacing w:before="35" w:line="219" w:lineRule="auto"/>
        <w:ind w:left="536"/>
        <w:rPr>
          <w:rFonts w:ascii="宋体" w:hAnsi="宋体" w:eastAsia="宋体" w:cs="宋体"/>
          <w:sz w:val="24"/>
          <w:szCs w:val="24"/>
        </w:rPr>
      </w:pPr>
      <w:r>
        <w:rPr>
          <w:rFonts w:ascii="宋体" w:hAnsi="宋体" w:eastAsia="宋体" w:cs="宋体"/>
          <w:spacing w:val="-5"/>
          <w:sz w:val="24"/>
          <w:szCs w:val="24"/>
        </w:rPr>
        <w:t>10.提供关键图像标记功能。</w:t>
      </w:r>
    </w:p>
    <w:p w14:paraId="17604DC9">
      <w:pPr>
        <w:spacing w:before="311" w:line="219" w:lineRule="auto"/>
        <w:ind w:left="536"/>
        <w:rPr>
          <w:rFonts w:ascii="宋体" w:hAnsi="宋体" w:eastAsia="宋体" w:cs="宋体"/>
          <w:sz w:val="24"/>
          <w:szCs w:val="24"/>
        </w:rPr>
      </w:pPr>
      <w:r>
        <w:rPr>
          <w:rFonts w:ascii="宋体" w:hAnsi="宋体" w:eastAsia="宋体" w:cs="宋体"/>
          <w:spacing w:val="-4"/>
          <w:sz w:val="24"/>
          <w:szCs w:val="24"/>
        </w:rPr>
        <w:t>11.提供多屏幕图像显示功能。</w:t>
      </w:r>
    </w:p>
    <w:p w14:paraId="7BFC5821">
      <w:pPr>
        <w:spacing w:before="310" w:line="220" w:lineRule="auto"/>
        <w:ind w:left="536"/>
        <w:rPr>
          <w:rFonts w:ascii="宋体" w:hAnsi="宋体" w:eastAsia="宋体" w:cs="宋体"/>
          <w:sz w:val="24"/>
          <w:szCs w:val="24"/>
        </w:rPr>
      </w:pPr>
      <w:r>
        <w:rPr>
          <w:rFonts w:ascii="宋体" w:hAnsi="宋体" w:eastAsia="宋体" w:cs="宋体"/>
          <w:spacing w:val="-2"/>
          <w:sz w:val="24"/>
          <w:szCs w:val="24"/>
        </w:rPr>
        <w:t>12.支持图像自动联动功能，不同序列自</w:t>
      </w:r>
      <w:r>
        <w:rPr>
          <w:rFonts w:ascii="宋体" w:hAnsi="宋体" w:eastAsia="宋体" w:cs="宋体"/>
          <w:spacing w:val="-3"/>
          <w:sz w:val="24"/>
          <w:szCs w:val="24"/>
        </w:rPr>
        <w:t>动定位相同层面。</w:t>
      </w:r>
    </w:p>
    <w:p w14:paraId="299719DD">
      <w:pPr>
        <w:spacing w:before="311" w:line="218" w:lineRule="auto"/>
        <w:ind w:left="464"/>
        <w:rPr>
          <w:rFonts w:ascii="宋体" w:hAnsi="宋体" w:eastAsia="宋体" w:cs="宋体"/>
          <w:sz w:val="24"/>
          <w:szCs w:val="24"/>
        </w:rPr>
      </w:pPr>
      <w:r>
        <w:rPr>
          <w:rFonts w:ascii="宋体" w:hAnsi="宋体" w:eastAsia="宋体" w:cs="宋体"/>
          <w:b/>
          <w:bCs/>
          <w:spacing w:val="-5"/>
          <w:sz w:val="24"/>
          <w:szCs w:val="24"/>
        </w:rPr>
        <w:t>（9）报告编辑</w:t>
      </w:r>
    </w:p>
    <w:p w14:paraId="02405D20">
      <w:pPr>
        <w:spacing w:before="312" w:line="445" w:lineRule="auto"/>
        <w:ind w:left="40" w:right="85" w:firstLine="495"/>
        <w:rPr>
          <w:rFonts w:ascii="宋体" w:hAnsi="宋体" w:eastAsia="宋体" w:cs="宋体"/>
          <w:sz w:val="24"/>
          <w:szCs w:val="24"/>
        </w:rPr>
      </w:pPr>
      <w:r>
        <w:rPr>
          <w:rFonts w:ascii="宋体" w:hAnsi="宋体" w:eastAsia="宋体" w:cs="宋体"/>
          <w:sz w:val="24"/>
          <w:szCs w:val="24"/>
        </w:rPr>
        <w:t>1.全部模板：根据登录账号权限显示所有的分类及模板。其中全部模板包括共享模板和个</w:t>
      </w:r>
      <w:r>
        <w:rPr>
          <w:rFonts w:ascii="宋体" w:hAnsi="宋体" w:eastAsia="宋体" w:cs="宋体"/>
          <w:spacing w:val="11"/>
          <w:sz w:val="24"/>
          <w:szCs w:val="24"/>
        </w:rPr>
        <w:t xml:space="preserve"> </w:t>
      </w:r>
      <w:r>
        <w:rPr>
          <w:rFonts w:ascii="宋体" w:hAnsi="宋体" w:eastAsia="宋体" w:cs="宋体"/>
          <w:spacing w:val="-9"/>
          <w:sz w:val="24"/>
          <w:szCs w:val="24"/>
        </w:rPr>
        <w:t>人模板。</w:t>
      </w:r>
    </w:p>
    <w:p w14:paraId="51076ECC">
      <w:pPr>
        <w:spacing w:before="35" w:line="445" w:lineRule="auto"/>
        <w:ind w:left="41" w:right="85" w:firstLine="480"/>
        <w:rPr>
          <w:rFonts w:ascii="宋体" w:hAnsi="宋体" w:eastAsia="宋体" w:cs="宋体"/>
          <w:sz w:val="24"/>
          <w:szCs w:val="24"/>
        </w:rPr>
      </w:pPr>
      <w:r>
        <w:rPr>
          <w:rFonts w:ascii="宋体" w:hAnsi="宋体" w:eastAsia="宋体" w:cs="宋体"/>
          <w:spacing w:val="1"/>
          <w:sz w:val="24"/>
          <w:szCs w:val="24"/>
        </w:rPr>
        <w:t>2.共享模板：普通用户仅支持查看模板分类及内容模板，</w:t>
      </w:r>
      <w:r>
        <w:rPr>
          <w:rFonts w:ascii="宋体" w:hAnsi="宋体" w:eastAsia="宋体" w:cs="宋体"/>
          <w:sz w:val="24"/>
          <w:szCs w:val="24"/>
        </w:rPr>
        <w:t xml:space="preserve">管理员权限的用户，可以对模板 </w:t>
      </w:r>
      <w:r>
        <w:rPr>
          <w:rFonts w:ascii="宋体" w:hAnsi="宋体" w:eastAsia="宋体" w:cs="宋体"/>
          <w:spacing w:val="-1"/>
          <w:sz w:val="24"/>
          <w:szCs w:val="24"/>
        </w:rPr>
        <w:t>分类及内容模板进行导入/导出、新建分类、修改分类、</w:t>
      </w:r>
      <w:r>
        <w:rPr>
          <w:rFonts w:ascii="宋体" w:hAnsi="宋体" w:eastAsia="宋体" w:cs="宋体"/>
          <w:spacing w:val="-2"/>
          <w:sz w:val="24"/>
          <w:szCs w:val="24"/>
        </w:rPr>
        <w:t>新建模板、删除模板等。</w:t>
      </w:r>
    </w:p>
    <w:p w14:paraId="304F4CEC">
      <w:pPr>
        <w:spacing w:before="35" w:line="445" w:lineRule="auto"/>
        <w:ind w:left="67" w:right="85" w:firstLine="455"/>
        <w:rPr>
          <w:rFonts w:ascii="宋体" w:hAnsi="宋体" w:eastAsia="宋体" w:cs="宋体"/>
          <w:sz w:val="24"/>
          <w:szCs w:val="24"/>
        </w:rPr>
      </w:pPr>
      <w:r>
        <w:rPr>
          <w:rFonts w:ascii="宋体" w:hAnsi="宋体" w:eastAsia="宋体" w:cs="宋体"/>
          <w:spacing w:val="1"/>
          <w:sz w:val="24"/>
          <w:szCs w:val="24"/>
        </w:rPr>
        <w:t>3.个人模板：可由专家自行维护，用户可以按照使用</w:t>
      </w:r>
      <w:r>
        <w:rPr>
          <w:rFonts w:ascii="宋体" w:hAnsi="宋体" w:eastAsia="宋体" w:cs="宋体"/>
          <w:sz w:val="24"/>
          <w:szCs w:val="24"/>
        </w:rPr>
        <w:t xml:space="preserve">习惯自定义模板且可以对模板分类及 </w:t>
      </w:r>
      <w:r>
        <w:rPr>
          <w:rFonts w:ascii="宋体" w:hAnsi="宋体" w:eastAsia="宋体" w:cs="宋体"/>
          <w:spacing w:val="-2"/>
          <w:sz w:val="24"/>
          <w:szCs w:val="24"/>
        </w:rPr>
        <w:t>内容模板进行导入/导出、新建分类、修改分类、新建模板、删除模板等</w:t>
      </w:r>
      <w:r>
        <w:rPr>
          <w:rFonts w:ascii="宋体" w:hAnsi="宋体" w:eastAsia="宋体" w:cs="宋体"/>
          <w:spacing w:val="-3"/>
          <w:sz w:val="24"/>
          <w:szCs w:val="24"/>
        </w:rPr>
        <w:t>操作。</w:t>
      </w:r>
    </w:p>
    <w:p w14:paraId="2F0B09EC">
      <w:pPr>
        <w:spacing w:before="37" w:line="444" w:lineRule="auto"/>
        <w:ind w:left="522" w:hanging="5"/>
        <w:rPr>
          <w:rFonts w:ascii="宋体" w:hAnsi="宋体" w:eastAsia="宋体" w:cs="宋体"/>
          <w:sz w:val="24"/>
          <w:szCs w:val="24"/>
        </w:rPr>
      </w:pPr>
      <w:r>
        <w:rPr>
          <w:rFonts w:ascii="宋体" w:hAnsi="宋体" w:eastAsia="宋体" w:cs="宋体"/>
          <w:spacing w:val="-3"/>
          <w:sz w:val="24"/>
          <w:szCs w:val="24"/>
        </w:rPr>
        <w:t>4.支持报告模板、多级审核、报告录入、预览、打印、查看修改记录、查看相关诊断功</w:t>
      </w:r>
      <w:r>
        <w:rPr>
          <w:rFonts w:ascii="宋体" w:hAnsi="宋体" w:eastAsia="宋体" w:cs="宋体"/>
          <w:spacing w:val="-4"/>
          <w:sz w:val="24"/>
          <w:szCs w:val="24"/>
        </w:rPr>
        <w:t>能。</w:t>
      </w:r>
      <w:r>
        <w:rPr>
          <w:rFonts w:ascii="宋体" w:hAnsi="宋体" w:eastAsia="宋体" w:cs="宋体"/>
          <w:sz w:val="24"/>
          <w:szCs w:val="24"/>
        </w:rPr>
        <w:t xml:space="preserve"> </w:t>
      </w:r>
      <w:r>
        <w:rPr>
          <w:rFonts w:ascii="宋体" w:hAnsi="宋体" w:eastAsia="宋体" w:cs="宋体"/>
          <w:spacing w:val="-3"/>
          <w:sz w:val="24"/>
          <w:szCs w:val="24"/>
        </w:rPr>
        <w:t>5.支持自定义报告模板，结构化报告。</w:t>
      </w:r>
    </w:p>
    <w:p w14:paraId="5215F718">
      <w:pPr>
        <w:spacing w:before="37" w:line="445" w:lineRule="auto"/>
        <w:ind w:left="523" w:right="3520" w:hanging="3"/>
        <w:rPr>
          <w:rFonts w:ascii="宋体" w:hAnsi="宋体" w:eastAsia="宋体" w:cs="宋体"/>
          <w:sz w:val="24"/>
          <w:szCs w:val="24"/>
        </w:rPr>
      </w:pPr>
      <w:r>
        <w:rPr>
          <w:rFonts w:ascii="宋体" w:hAnsi="宋体" w:eastAsia="宋体" w:cs="宋体"/>
          <w:spacing w:val="-2"/>
          <w:sz w:val="24"/>
          <w:szCs w:val="24"/>
        </w:rPr>
        <w:t>6.支持查看报告的修订记录，可以进行前后的差异对比。</w:t>
      </w:r>
      <w:r>
        <w:rPr>
          <w:rFonts w:ascii="宋体" w:hAnsi="宋体" w:eastAsia="宋体" w:cs="宋体"/>
          <w:spacing w:val="4"/>
          <w:sz w:val="24"/>
          <w:szCs w:val="24"/>
        </w:rPr>
        <w:t xml:space="preserve"> </w:t>
      </w:r>
      <w:r>
        <w:rPr>
          <w:rFonts w:ascii="宋体" w:hAnsi="宋体" w:eastAsia="宋体" w:cs="宋体"/>
          <w:spacing w:val="-4"/>
          <w:sz w:val="24"/>
          <w:szCs w:val="24"/>
        </w:rPr>
        <w:t>7.支持阳性率的标记与确认。</w:t>
      </w:r>
    </w:p>
    <w:p w14:paraId="6BBAF08E">
      <w:pPr>
        <w:spacing w:before="34" w:line="446" w:lineRule="auto"/>
        <w:ind w:left="44" w:right="85" w:firstLine="474"/>
        <w:rPr>
          <w:rFonts w:ascii="宋体" w:hAnsi="宋体" w:eastAsia="宋体" w:cs="宋体"/>
          <w:sz w:val="24"/>
          <w:szCs w:val="24"/>
        </w:rPr>
      </w:pPr>
      <w:r>
        <w:rPr>
          <w:rFonts w:ascii="宋体" w:hAnsi="宋体" w:eastAsia="宋体" w:cs="宋体"/>
          <w:spacing w:val="1"/>
          <w:sz w:val="24"/>
          <w:szCs w:val="24"/>
        </w:rPr>
        <w:t>8.支持报告内容校验，对报告内容中的性别、部位等矛盾用词</w:t>
      </w:r>
      <w:r>
        <w:rPr>
          <w:rFonts w:ascii="宋体" w:hAnsi="宋体" w:eastAsia="宋体" w:cs="宋体"/>
          <w:sz w:val="24"/>
          <w:szCs w:val="24"/>
        </w:rPr>
        <w:t xml:space="preserve">校验并做提示，避免医生书 </w:t>
      </w:r>
      <w:r>
        <w:rPr>
          <w:rFonts w:ascii="宋体" w:hAnsi="宋体" w:eastAsia="宋体" w:cs="宋体"/>
          <w:spacing w:val="-10"/>
          <w:sz w:val="24"/>
          <w:szCs w:val="24"/>
        </w:rPr>
        <w:t>写失误。</w:t>
      </w:r>
    </w:p>
    <w:p w14:paraId="03019AAA">
      <w:pPr>
        <w:spacing w:before="34" w:line="444" w:lineRule="auto"/>
        <w:ind w:left="535" w:right="5920" w:hanging="16"/>
        <w:rPr>
          <w:rFonts w:ascii="宋体" w:hAnsi="宋体" w:eastAsia="宋体" w:cs="宋体"/>
          <w:sz w:val="24"/>
          <w:szCs w:val="24"/>
        </w:rPr>
      </w:pPr>
      <w:r>
        <w:rPr>
          <w:rFonts w:ascii="宋体" w:hAnsi="宋体" w:eastAsia="宋体" w:cs="宋体"/>
          <w:spacing w:val="-3"/>
          <w:sz w:val="24"/>
          <w:szCs w:val="24"/>
        </w:rPr>
        <w:t>9.支持完整的报告发布审核功能。</w:t>
      </w:r>
      <w:r>
        <w:rPr>
          <w:rFonts w:ascii="宋体" w:hAnsi="宋体" w:eastAsia="宋体" w:cs="宋体"/>
          <w:spacing w:val="1"/>
          <w:sz w:val="24"/>
          <w:szCs w:val="24"/>
        </w:rPr>
        <w:t xml:space="preserve"> </w:t>
      </w:r>
      <w:r>
        <w:rPr>
          <w:rFonts w:ascii="宋体" w:hAnsi="宋体" w:eastAsia="宋体" w:cs="宋体"/>
          <w:spacing w:val="-6"/>
          <w:sz w:val="24"/>
          <w:szCs w:val="24"/>
        </w:rPr>
        <w:t>10.支持</w:t>
      </w:r>
      <w:r>
        <w:rPr>
          <w:rFonts w:ascii="宋体" w:hAnsi="宋体" w:eastAsia="宋体" w:cs="宋体"/>
          <w:spacing w:val="-47"/>
          <w:sz w:val="24"/>
          <w:szCs w:val="24"/>
        </w:rPr>
        <w:t xml:space="preserve"> </w:t>
      </w:r>
      <w:r>
        <w:rPr>
          <w:rFonts w:ascii="宋体" w:hAnsi="宋体" w:eastAsia="宋体" w:cs="宋体"/>
          <w:spacing w:val="-6"/>
          <w:sz w:val="24"/>
          <w:szCs w:val="24"/>
        </w:rPr>
        <w:t>VIP</w:t>
      </w:r>
      <w:r>
        <w:rPr>
          <w:rFonts w:ascii="宋体" w:hAnsi="宋体" w:eastAsia="宋体" w:cs="宋体"/>
          <w:spacing w:val="-51"/>
          <w:sz w:val="24"/>
          <w:szCs w:val="24"/>
        </w:rPr>
        <w:t xml:space="preserve"> </w:t>
      </w:r>
      <w:r>
        <w:rPr>
          <w:rFonts w:ascii="宋体" w:hAnsi="宋体" w:eastAsia="宋体" w:cs="宋体"/>
          <w:spacing w:val="-6"/>
          <w:sz w:val="24"/>
          <w:szCs w:val="24"/>
        </w:rPr>
        <w:t>病人的报告管理，</w:t>
      </w:r>
    </w:p>
    <w:p w14:paraId="7434C4FC">
      <w:pPr>
        <w:pStyle w:val="2"/>
        <w:spacing w:line="392" w:lineRule="auto"/>
      </w:pPr>
    </w:p>
    <w:p w14:paraId="410BF43A">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56                                </w:t>
      </w:r>
      <w:r>
        <w:rPr>
          <w:rFonts w:ascii="宋体" w:hAnsi="宋体" w:eastAsia="宋体" w:cs="宋体"/>
          <w:b/>
          <w:bCs/>
          <w:i/>
          <w:iCs/>
          <w:spacing w:val="-3"/>
          <w:sz w:val="19"/>
          <w:szCs w:val="19"/>
        </w:rPr>
        <w:t>伊犁州公共资源交易中心</w:t>
      </w:r>
    </w:p>
    <w:p w14:paraId="2FF3ED85">
      <w:pPr>
        <w:spacing w:line="160" w:lineRule="auto"/>
        <w:rPr>
          <w:rFonts w:ascii="宋体" w:hAnsi="宋体" w:eastAsia="宋体" w:cs="宋体"/>
          <w:sz w:val="19"/>
          <w:szCs w:val="19"/>
        </w:rPr>
        <w:sectPr>
          <w:headerReference r:id="rId42" w:type="default"/>
          <w:footerReference r:id="rId43" w:type="default"/>
          <w:pgSz w:w="11905" w:h="16839"/>
          <w:pgMar w:top="1136" w:right="773" w:bottom="937" w:left="1136" w:header="854" w:footer="923" w:gutter="0"/>
          <w:cols w:space="720" w:num="1"/>
        </w:sectPr>
      </w:pPr>
    </w:p>
    <w:p w14:paraId="7360A054">
      <w:pPr>
        <w:pStyle w:val="2"/>
        <w:spacing w:line="379" w:lineRule="auto"/>
      </w:pPr>
    </w:p>
    <w:p w14:paraId="3FA175E0">
      <w:pPr>
        <w:spacing w:before="78" w:line="447" w:lineRule="auto"/>
        <w:ind w:left="37" w:right="28" w:firstLine="498"/>
        <w:rPr>
          <w:rFonts w:ascii="宋体" w:hAnsi="宋体" w:eastAsia="宋体" w:cs="宋体"/>
          <w:sz w:val="24"/>
          <w:szCs w:val="24"/>
        </w:rPr>
      </w:pPr>
      <w:r>
        <w:rPr>
          <w:rFonts w:ascii="宋体" w:hAnsi="宋体" w:eastAsia="宋体" w:cs="宋体"/>
          <w:spacing w:val="-5"/>
          <w:sz w:val="24"/>
          <w:szCs w:val="24"/>
        </w:rPr>
        <w:t>11.支持报告收藏、自定义术语模板， 公有和私</w:t>
      </w:r>
      <w:r>
        <w:rPr>
          <w:rFonts w:ascii="宋体" w:hAnsi="宋体" w:eastAsia="宋体" w:cs="宋体"/>
          <w:spacing w:val="-6"/>
          <w:sz w:val="24"/>
          <w:szCs w:val="24"/>
        </w:rPr>
        <w:t>有术语模板，模板加载方式可自定义为新增</w:t>
      </w:r>
      <w:r>
        <w:rPr>
          <w:rFonts w:ascii="宋体" w:hAnsi="宋体" w:eastAsia="宋体" w:cs="宋体"/>
          <w:sz w:val="24"/>
          <w:szCs w:val="24"/>
        </w:rPr>
        <w:t xml:space="preserve"> </w:t>
      </w:r>
      <w:r>
        <w:rPr>
          <w:rFonts w:ascii="宋体" w:hAnsi="宋体" w:eastAsia="宋体" w:cs="宋体"/>
          <w:spacing w:val="-8"/>
          <w:sz w:val="24"/>
          <w:szCs w:val="24"/>
        </w:rPr>
        <w:t>/追加。</w:t>
      </w:r>
    </w:p>
    <w:p w14:paraId="1BE5620D">
      <w:pPr>
        <w:spacing w:before="30" w:line="218" w:lineRule="auto"/>
        <w:ind w:left="536"/>
        <w:rPr>
          <w:rFonts w:ascii="宋体" w:hAnsi="宋体" w:eastAsia="宋体" w:cs="宋体"/>
          <w:sz w:val="24"/>
          <w:szCs w:val="24"/>
        </w:rPr>
      </w:pPr>
      <w:r>
        <w:rPr>
          <w:rFonts w:ascii="宋体" w:hAnsi="宋体" w:eastAsia="宋体" w:cs="宋体"/>
          <w:spacing w:val="-3"/>
          <w:sz w:val="24"/>
          <w:szCs w:val="24"/>
        </w:rPr>
        <w:t>12.支持显示检查具体时间及报告具体时间等。</w:t>
      </w:r>
    </w:p>
    <w:p w14:paraId="098F7119">
      <w:pPr>
        <w:spacing w:before="313" w:line="444" w:lineRule="auto"/>
        <w:ind w:left="41" w:right="28" w:firstLine="494"/>
        <w:rPr>
          <w:rFonts w:ascii="宋体" w:hAnsi="宋体" w:eastAsia="宋体" w:cs="宋体"/>
          <w:sz w:val="24"/>
          <w:szCs w:val="24"/>
        </w:rPr>
      </w:pPr>
      <w:r>
        <w:rPr>
          <w:rFonts w:ascii="宋体" w:hAnsi="宋体" w:eastAsia="宋体" w:cs="宋体"/>
          <w:spacing w:val="-3"/>
          <w:sz w:val="24"/>
          <w:szCs w:val="24"/>
        </w:rPr>
        <w:t>13.当系统出现问题时，图像及报告会临时存储在本地系统中，当系统恢复后，自动将图像</w:t>
      </w:r>
      <w:r>
        <w:rPr>
          <w:rFonts w:ascii="宋体" w:hAnsi="宋体" w:eastAsia="宋体" w:cs="宋体"/>
          <w:spacing w:val="14"/>
          <w:sz w:val="24"/>
          <w:szCs w:val="24"/>
        </w:rPr>
        <w:t xml:space="preserve"> </w:t>
      </w:r>
      <w:r>
        <w:rPr>
          <w:rFonts w:ascii="宋体" w:hAnsi="宋体" w:eastAsia="宋体" w:cs="宋体"/>
          <w:spacing w:val="-3"/>
          <w:sz w:val="24"/>
          <w:szCs w:val="24"/>
        </w:rPr>
        <w:t>续传至服务器端并提醒医生是否恢复临时报告。</w:t>
      </w:r>
    </w:p>
    <w:p w14:paraId="1257CF7A">
      <w:pPr>
        <w:spacing w:before="35" w:line="445" w:lineRule="auto"/>
        <w:ind w:left="38" w:right="28" w:firstLine="497"/>
        <w:rPr>
          <w:rFonts w:ascii="宋体" w:hAnsi="宋体" w:eastAsia="宋体" w:cs="宋体"/>
          <w:sz w:val="24"/>
          <w:szCs w:val="24"/>
        </w:rPr>
      </w:pPr>
      <w:r>
        <w:rPr>
          <w:rFonts w:ascii="宋体" w:hAnsi="宋体" w:eastAsia="宋体" w:cs="宋体"/>
          <w:spacing w:val="-3"/>
          <w:sz w:val="24"/>
          <w:szCs w:val="24"/>
        </w:rPr>
        <w:t>14.相关诊断功能：能分别显示该患者在本科室及跨科室的所有不同时间、不同设备的相关</w:t>
      </w:r>
      <w:r>
        <w:rPr>
          <w:rFonts w:ascii="宋体" w:hAnsi="宋体" w:eastAsia="宋体" w:cs="宋体"/>
          <w:spacing w:val="14"/>
          <w:sz w:val="24"/>
          <w:szCs w:val="24"/>
        </w:rPr>
        <w:t xml:space="preserve"> </w:t>
      </w:r>
      <w:r>
        <w:rPr>
          <w:rFonts w:ascii="宋体" w:hAnsi="宋体" w:eastAsia="宋体" w:cs="宋体"/>
          <w:spacing w:val="-1"/>
          <w:sz w:val="24"/>
          <w:szCs w:val="24"/>
        </w:rPr>
        <w:t>影像检查资料，并且支持在本科室或跨科室条件下按设备类型、时间日期等进行</w:t>
      </w:r>
      <w:r>
        <w:rPr>
          <w:rFonts w:ascii="宋体" w:hAnsi="宋体" w:eastAsia="宋体" w:cs="宋体"/>
          <w:spacing w:val="-2"/>
          <w:sz w:val="24"/>
          <w:szCs w:val="24"/>
        </w:rPr>
        <w:t>条件筛选。</w:t>
      </w:r>
    </w:p>
    <w:p w14:paraId="5D8BD800">
      <w:pPr>
        <w:spacing w:before="36" w:line="444" w:lineRule="auto"/>
        <w:ind w:left="44" w:right="28" w:firstLine="492"/>
        <w:rPr>
          <w:rFonts w:ascii="宋体" w:hAnsi="宋体" w:eastAsia="宋体" w:cs="宋体"/>
          <w:sz w:val="24"/>
          <w:szCs w:val="24"/>
        </w:rPr>
      </w:pPr>
      <w:r>
        <w:rPr>
          <w:rFonts w:ascii="宋体" w:hAnsi="宋体" w:eastAsia="宋体" w:cs="宋体"/>
          <w:spacing w:val="-2"/>
          <w:sz w:val="24"/>
          <w:szCs w:val="24"/>
        </w:rPr>
        <w:t>15.针对不同检查部位，支持提供丰富的专家模板，包括</w:t>
      </w:r>
      <w:r>
        <w:rPr>
          <w:rFonts w:ascii="宋体" w:hAnsi="宋体" w:eastAsia="宋体" w:cs="宋体"/>
          <w:spacing w:val="-3"/>
          <w:sz w:val="24"/>
          <w:szCs w:val="24"/>
        </w:rPr>
        <w:t>普放、CT、MR、DSA(血管造影介入</w:t>
      </w:r>
      <w:r>
        <w:rPr>
          <w:rFonts w:ascii="宋体" w:hAnsi="宋体" w:eastAsia="宋体" w:cs="宋体"/>
          <w:sz w:val="24"/>
          <w:szCs w:val="24"/>
        </w:rPr>
        <w:t xml:space="preserve"> </w:t>
      </w:r>
      <w:r>
        <w:rPr>
          <w:rFonts w:ascii="宋体" w:hAnsi="宋体" w:eastAsia="宋体" w:cs="宋体"/>
          <w:spacing w:val="-2"/>
          <w:sz w:val="24"/>
          <w:szCs w:val="24"/>
        </w:rPr>
        <w:t>治疗等，形成特有的专家模块库。支持报告模板自动匹配报告检查类别。</w:t>
      </w:r>
    </w:p>
    <w:p w14:paraId="10EEA0CF">
      <w:pPr>
        <w:spacing w:before="38" w:line="444" w:lineRule="auto"/>
        <w:ind w:left="39" w:right="28" w:firstLine="496"/>
        <w:rPr>
          <w:rFonts w:ascii="宋体" w:hAnsi="宋体" w:eastAsia="宋体" w:cs="宋体"/>
          <w:sz w:val="24"/>
          <w:szCs w:val="24"/>
        </w:rPr>
      </w:pPr>
      <w:r>
        <w:rPr>
          <w:rFonts w:ascii="宋体" w:hAnsi="宋体" w:eastAsia="宋体" w:cs="宋体"/>
          <w:spacing w:val="-3"/>
          <w:sz w:val="24"/>
          <w:szCs w:val="24"/>
        </w:rPr>
        <w:t>16.支持“阴阳性”模板配置，即创建报告模板时，可以选择模板的阴阳性，当用户应用模</w:t>
      </w:r>
      <w:r>
        <w:rPr>
          <w:rFonts w:ascii="宋体" w:hAnsi="宋体" w:eastAsia="宋体" w:cs="宋体"/>
          <w:spacing w:val="14"/>
          <w:sz w:val="24"/>
          <w:szCs w:val="24"/>
        </w:rPr>
        <w:t xml:space="preserve"> </w:t>
      </w:r>
      <w:r>
        <w:rPr>
          <w:rFonts w:ascii="宋体" w:hAnsi="宋体" w:eastAsia="宋体" w:cs="宋体"/>
          <w:sz w:val="24"/>
          <w:szCs w:val="24"/>
        </w:rPr>
        <w:t>板时，可直接在报告信息中回填，创建完成后在报</w:t>
      </w:r>
      <w:r>
        <w:rPr>
          <w:rFonts w:ascii="宋体" w:hAnsi="宋体" w:eastAsia="宋体" w:cs="宋体"/>
          <w:spacing w:val="-1"/>
          <w:sz w:val="24"/>
          <w:szCs w:val="24"/>
        </w:rPr>
        <w:t>告模板中有阴阳性图标显示</w:t>
      </w:r>
    </w:p>
    <w:p w14:paraId="6A3E803D">
      <w:pPr>
        <w:spacing w:before="37" w:line="444" w:lineRule="auto"/>
        <w:ind w:left="536" w:right="1423"/>
        <w:rPr>
          <w:rFonts w:ascii="宋体" w:hAnsi="宋体" w:eastAsia="宋体" w:cs="宋体"/>
          <w:sz w:val="24"/>
          <w:szCs w:val="24"/>
        </w:rPr>
      </w:pPr>
      <w:r>
        <w:rPr>
          <w:rFonts w:ascii="宋体" w:hAnsi="宋体" w:eastAsia="宋体" w:cs="宋体"/>
          <w:spacing w:val="-2"/>
          <w:sz w:val="24"/>
          <w:szCs w:val="24"/>
        </w:rPr>
        <w:t>17.支持报告快捷键自定义设置，如提交、暂存、预览、打印等快捷键设置。</w:t>
      </w:r>
      <w:r>
        <w:rPr>
          <w:rFonts w:ascii="宋体" w:hAnsi="宋体" w:eastAsia="宋体" w:cs="宋体"/>
          <w:spacing w:val="7"/>
          <w:sz w:val="24"/>
          <w:szCs w:val="24"/>
        </w:rPr>
        <w:t xml:space="preserve"> </w:t>
      </w:r>
      <w:r>
        <w:rPr>
          <w:rFonts w:ascii="宋体" w:hAnsi="宋体" w:eastAsia="宋体" w:cs="宋体"/>
          <w:spacing w:val="-3"/>
          <w:sz w:val="24"/>
          <w:szCs w:val="24"/>
        </w:rPr>
        <w:t>18.报告编辑时，默认相应部位正常报告模板。</w:t>
      </w:r>
    </w:p>
    <w:p w14:paraId="7627EBCC">
      <w:pPr>
        <w:spacing w:before="37" w:line="445" w:lineRule="auto"/>
        <w:ind w:left="37" w:right="28" w:firstLine="498"/>
        <w:rPr>
          <w:rFonts w:ascii="宋体" w:hAnsi="宋体" w:eastAsia="宋体" w:cs="宋体"/>
          <w:sz w:val="24"/>
          <w:szCs w:val="24"/>
        </w:rPr>
      </w:pPr>
      <w:r>
        <w:rPr>
          <w:rFonts w:ascii="宋体" w:hAnsi="宋体" w:eastAsia="宋体" w:cs="宋体"/>
          <w:spacing w:val="-3"/>
          <w:sz w:val="24"/>
          <w:szCs w:val="24"/>
        </w:rPr>
        <w:t>19.结构化报告编辑过程中自定义配置结构化控件快捷键操作，自定义快捷键来切换上一控</w:t>
      </w:r>
      <w:r>
        <w:rPr>
          <w:rFonts w:ascii="宋体" w:hAnsi="宋体" w:eastAsia="宋体" w:cs="宋体"/>
          <w:spacing w:val="14"/>
          <w:sz w:val="24"/>
          <w:szCs w:val="24"/>
        </w:rPr>
        <w:t xml:space="preserve"> </w:t>
      </w:r>
      <w:r>
        <w:rPr>
          <w:rFonts w:ascii="宋体" w:hAnsi="宋体" w:eastAsia="宋体" w:cs="宋体"/>
          <w:spacing w:val="-3"/>
          <w:sz w:val="24"/>
          <w:szCs w:val="24"/>
        </w:rPr>
        <w:t>件或下一控件，支持自由配置功能是否开启。</w:t>
      </w:r>
    </w:p>
    <w:p w14:paraId="6C2C1BB7">
      <w:pPr>
        <w:spacing w:before="35" w:line="218" w:lineRule="auto"/>
        <w:ind w:left="521"/>
        <w:rPr>
          <w:rFonts w:ascii="宋体" w:hAnsi="宋体" w:eastAsia="宋体" w:cs="宋体"/>
          <w:sz w:val="24"/>
          <w:szCs w:val="24"/>
        </w:rPr>
      </w:pPr>
      <w:r>
        <w:rPr>
          <w:rFonts w:ascii="宋体" w:hAnsi="宋体" w:eastAsia="宋体" w:cs="宋体"/>
          <w:spacing w:val="-3"/>
          <w:sz w:val="24"/>
          <w:szCs w:val="24"/>
        </w:rPr>
        <w:t>20.提供当前检查报告编辑多页报告。</w:t>
      </w:r>
    </w:p>
    <w:p w14:paraId="30708DB2">
      <w:pPr>
        <w:spacing w:before="314" w:line="444" w:lineRule="auto"/>
        <w:ind w:left="521" w:right="3823"/>
        <w:rPr>
          <w:rFonts w:ascii="宋体" w:hAnsi="宋体" w:eastAsia="宋体" w:cs="宋体"/>
          <w:sz w:val="24"/>
          <w:szCs w:val="24"/>
        </w:rPr>
      </w:pPr>
      <w:r>
        <w:rPr>
          <w:rFonts w:ascii="宋体" w:hAnsi="宋体" w:eastAsia="宋体" w:cs="宋体"/>
          <w:spacing w:val="-2"/>
          <w:sz w:val="24"/>
          <w:szCs w:val="24"/>
        </w:rPr>
        <w:t>21.提供报告编辑过程，单检查多部位分配多份报告。</w:t>
      </w:r>
      <w:r>
        <w:rPr>
          <w:rFonts w:ascii="宋体" w:hAnsi="宋体" w:eastAsia="宋体" w:cs="宋体"/>
          <w:spacing w:val="1"/>
          <w:sz w:val="24"/>
          <w:szCs w:val="24"/>
        </w:rPr>
        <w:t xml:space="preserve"> </w:t>
      </w:r>
      <w:r>
        <w:rPr>
          <w:rFonts w:ascii="宋体" w:hAnsi="宋体" w:eastAsia="宋体" w:cs="宋体"/>
          <w:spacing w:val="-3"/>
          <w:sz w:val="24"/>
          <w:szCs w:val="24"/>
        </w:rPr>
        <w:t>22.提供诊断报告编辑超页报告提醒。</w:t>
      </w:r>
    </w:p>
    <w:p w14:paraId="1857044F">
      <w:pPr>
        <w:spacing w:before="37" w:line="444" w:lineRule="auto"/>
        <w:ind w:left="521" w:right="2863"/>
        <w:rPr>
          <w:rFonts w:ascii="宋体" w:hAnsi="宋体" w:eastAsia="宋体" w:cs="宋体"/>
          <w:sz w:val="24"/>
          <w:szCs w:val="24"/>
        </w:rPr>
      </w:pPr>
      <w:r>
        <w:rPr>
          <w:rFonts w:ascii="宋体" w:hAnsi="宋体" w:eastAsia="宋体" w:cs="宋体"/>
          <w:spacing w:val="-2"/>
          <w:sz w:val="24"/>
          <w:szCs w:val="24"/>
        </w:rPr>
        <w:t>23.提供患者报告编辑过程，提醒相关未完成本科室检查报告。</w:t>
      </w:r>
      <w:r>
        <w:rPr>
          <w:rFonts w:ascii="宋体" w:hAnsi="宋体" w:eastAsia="宋体" w:cs="宋体"/>
          <w:spacing w:val="9"/>
          <w:sz w:val="24"/>
          <w:szCs w:val="24"/>
        </w:rPr>
        <w:t xml:space="preserve"> </w:t>
      </w:r>
      <w:r>
        <w:rPr>
          <w:rFonts w:ascii="宋体" w:hAnsi="宋体" w:eastAsia="宋体" w:cs="宋体"/>
          <w:spacing w:val="-3"/>
          <w:sz w:val="24"/>
          <w:szCs w:val="24"/>
        </w:rPr>
        <w:t>24.提供已发布报告撤回操作，撤回后，检查状态自动更新；</w:t>
      </w:r>
    </w:p>
    <w:p w14:paraId="1F46C228">
      <w:pPr>
        <w:spacing w:before="38" w:line="449" w:lineRule="auto"/>
        <w:ind w:left="41" w:right="28" w:firstLine="480"/>
        <w:jc w:val="both"/>
        <w:rPr>
          <w:rFonts w:ascii="宋体" w:hAnsi="宋体" w:eastAsia="宋体" w:cs="宋体"/>
          <w:sz w:val="24"/>
          <w:szCs w:val="24"/>
        </w:rPr>
      </w:pPr>
      <w:r>
        <w:rPr>
          <w:rFonts w:ascii="宋体" w:hAnsi="宋体" w:eastAsia="宋体" w:cs="宋体"/>
          <w:spacing w:val="-2"/>
          <w:sz w:val="24"/>
          <w:szCs w:val="24"/>
        </w:rPr>
        <w:t>25.★提供报告内容编辑支持富文本编辑模式，支持结构化报告</w:t>
      </w:r>
      <w:r>
        <w:rPr>
          <w:rFonts w:ascii="宋体" w:hAnsi="宋体" w:eastAsia="宋体" w:cs="宋体"/>
          <w:spacing w:val="-3"/>
          <w:sz w:val="24"/>
          <w:szCs w:val="24"/>
        </w:rPr>
        <w:t>控件自定义表达式配置，支</w:t>
      </w:r>
      <w:r>
        <w:rPr>
          <w:rFonts w:ascii="宋体" w:hAnsi="宋体" w:eastAsia="宋体" w:cs="宋体"/>
          <w:sz w:val="24"/>
          <w:szCs w:val="24"/>
        </w:rPr>
        <w:t xml:space="preserve"> </w:t>
      </w:r>
      <w:r>
        <w:rPr>
          <w:rFonts w:ascii="宋体" w:hAnsi="宋体" w:eastAsia="宋体" w:cs="宋体"/>
          <w:spacing w:val="1"/>
          <w:sz w:val="24"/>
          <w:szCs w:val="24"/>
        </w:rPr>
        <w:t>持对控件添加规则，可设置输入项规则和四则运算规则，并</w:t>
      </w:r>
      <w:r>
        <w:rPr>
          <w:rFonts w:ascii="宋体" w:hAnsi="宋体" w:eastAsia="宋体" w:cs="宋体"/>
          <w:sz w:val="24"/>
          <w:szCs w:val="24"/>
        </w:rPr>
        <w:t xml:space="preserve">配置对应的执行结果，执行结果支 </w:t>
      </w:r>
      <w:r>
        <w:rPr>
          <w:rFonts w:ascii="宋体" w:hAnsi="宋体" w:eastAsia="宋体" w:cs="宋体"/>
          <w:spacing w:val="-1"/>
          <w:sz w:val="24"/>
          <w:szCs w:val="24"/>
        </w:rPr>
        <w:t>持以自定义文本或自定义运算方式展示。（提供系统界面功能截图）</w:t>
      </w:r>
    </w:p>
    <w:p w14:paraId="65CBBF2E">
      <w:pPr>
        <w:pStyle w:val="2"/>
        <w:spacing w:line="391" w:lineRule="auto"/>
      </w:pPr>
    </w:p>
    <w:p w14:paraId="4AA2740C">
      <w:pPr>
        <w:spacing w:before="63"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57                                </w:t>
      </w:r>
      <w:r>
        <w:rPr>
          <w:rFonts w:ascii="宋体" w:hAnsi="宋体" w:eastAsia="宋体" w:cs="宋体"/>
          <w:b/>
          <w:bCs/>
          <w:i/>
          <w:iCs/>
          <w:spacing w:val="-3"/>
          <w:sz w:val="19"/>
          <w:szCs w:val="19"/>
        </w:rPr>
        <w:t>伊犁州公共资源交易中心</w:t>
      </w:r>
    </w:p>
    <w:p w14:paraId="223E1B58">
      <w:pPr>
        <w:spacing w:line="160" w:lineRule="auto"/>
        <w:rPr>
          <w:rFonts w:ascii="宋体" w:hAnsi="宋体" w:eastAsia="宋体" w:cs="宋体"/>
          <w:sz w:val="19"/>
          <w:szCs w:val="19"/>
        </w:rPr>
        <w:sectPr>
          <w:headerReference r:id="rId44" w:type="default"/>
          <w:footerReference r:id="rId45" w:type="default"/>
          <w:pgSz w:w="11905" w:h="16839"/>
          <w:pgMar w:top="1136" w:right="830" w:bottom="937" w:left="1136" w:header="854" w:footer="923" w:gutter="0"/>
          <w:cols w:space="720" w:num="1"/>
        </w:sectPr>
      </w:pPr>
    </w:p>
    <w:p w14:paraId="36A646DB">
      <w:pPr>
        <w:pStyle w:val="2"/>
        <w:spacing w:line="379" w:lineRule="auto"/>
      </w:pPr>
    </w:p>
    <w:p w14:paraId="156A30CD">
      <w:pPr>
        <w:spacing w:before="78" w:line="218" w:lineRule="auto"/>
        <w:ind w:left="521"/>
        <w:rPr>
          <w:rFonts w:ascii="宋体" w:hAnsi="宋体" w:eastAsia="宋体" w:cs="宋体"/>
          <w:sz w:val="24"/>
          <w:szCs w:val="24"/>
        </w:rPr>
      </w:pPr>
      <w:r>
        <w:rPr>
          <w:rFonts w:ascii="宋体" w:hAnsi="宋体" w:eastAsia="宋体" w:cs="宋体"/>
          <w:spacing w:val="-4"/>
          <w:sz w:val="24"/>
          <w:szCs w:val="24"/>
        </w:rPr>
        <w:t>26.提供</w:t>
      </w:r>
      <w:r>
        <w:rPr>
          <w:rFonts w:ascii="宋体" w:hAnsi="宋体" w:eastAsia="宋体" w:cs="宋体"/>
          <w:spacing w:val="-56"/>
          <w:sz w:val="24"/>
          <w:szCs w:val="24"/>
        </w:rPr>
        <w:t xml:space="preserve"> </w:t>
      </w:r>
      <w:r>
        <w:rPr>
          <w:rFonts w:ascii="宋体" w:hAnsi="宋体" w:eastAsia="宋体" w:cs="宋体"/>
          <w:spacing w:val="-4"/>
          <w:sz w:val="24"/>
          <w:szCs w:val="24"/>
        </w:rPr>
        <w:t>B/S</w:t>
      </w:r>
      <w:r>
        <w:rPr>
          <w:rFonts w:ascii="宋体" w:hAnsi="宋体" w:eastAsia="宋体" w:cs="宋体"/>
          <w:spacing w:val="-52"/>
          <w:sz w:val="24"/>
          <w:szCs w:val="24"/>
        </w:rPr>
        <w:t xml:space="preserve"> </w:t>
      </w:r>
      <w:r>
        <w:rPr>
          <w:rFonts w:ascii="宋体" w:hAnsi="宋体" w:eastAsia="宋体" w:cs="宋体"/>
          <w:spacing w:val="-4"/>
          <w:sz w:val="24"/>
          <w:szCs w:val="24"/>
        </w:rPr>
        <w:t>模式诊断报告编辑页面；</w:t>
      </w:r>
    </w:p>
    <w:p w14:paraId="020558A1">
      <w:pPr>
        <w:spacing w:before="311" w:line="220" w:lineRule="auto"/>
        <w:ind w:left="521"/>
        <w:rPr>
          <w:rFonts w:ascii="宋体" w:hAnsi="宋体" w:eastAsia="宋体" w:cs="宋体"/>
          <w:sz w:val="24"/>
          <w:szCs w:val="24"/>
        </w:rPr>
      </w:pPr>
      <w:r>
        <w:rPr>
          <w:rFonts w:ascii="宋体" w:hAnsi="宋体" w:eastAsia="宋体" w:cs="宋体"/>
          <w:spacing w:val="-3"/>
          <w:sz w:val="24"/>
          <w:szCs w:val="24"/>
        </w:rPr>
        <w:t>27.可以浏览电子申请单和已拍摄申请单。</w:t>
      </w:r>
    </w:p>
    <w:p w14:paraId="79DE2C3A">
      <w:pPr>
        <w:spacing w:before="310" w:line="218" w:lineRule="auto"/>
        <w:ind w:left="521"/>
        <w:rPr>
          <w:rFonts w:ascii="宋体" w:hAnsi="宋体" w:eastAsia="宋体" w:cs="宋体"/>
          <w:sz w:val="24"/>
          <w:szCs w:val="24"/>
        </w:rPr>
      </w:pPr>
      <w:r>
        <w:rPr>
          <w:rFonts w:ascii="宋体" w:hAnsi="宋体" w:eastAsia="宋体" w:cs="宋体"/>
          <w:spacing w:val="-2"/>
          <w:sz w:val="24"/>
          <w:szCs w:val="24"/>
        </w:rPr>
        <w:t>28.报告单预览功能（在书写、审核、打印时都可随时预览报告）。</w:t>
      </w:r>
    </w:p>
    <w:p w14:paraId="403F1334">
      <w:pPr>
        <w:spacing w:before="312" w:line="445" w:lineRule="auto"/>
        <w:ind w:left="40" w:right="28" w:firstLine="480"/>
        <w:rPr>
          <w:rFonts w:ascii="宋体" w:hAnsi="宋体" w:eastAsia="宋体" w:cs="宋体"/>
          <w:sz w:val="24"/>
          <w:szCs w:val="24"/>
        </w:rPr>
      </w:pPr>
      <w:r>
        <w:rPr>
          <w:rFonts w:ascii="宋体" w:hAnsi="宋体" w:eastAsia="宋体" w:cs="宋体"/>
          <w:spacing w:val="-2"/>
          <w:sz w:val="24"/>
          <w:szCs w:val="24"/>
        </w:rPr>
        <w:t>29.报告模板可以按设备类型和检查部位进行分类；支持输出报</w:t>
      </w:r>
      <w:r>
        <w:rPr>
          <w:rFonts w:ascii="宋体" w:hAnsi="宋体" w:eastAsia="宋体" w:cs="宋体"/>
          <w:spacing w:val="-3"/>
          <w:sz w:val="24"/>
          <w:szCs w:val="24"/>
        </w:rPr>
        <w:t>告设计，功能包括输出模板</w:t>
      </w:r>
      <w:r>
        <w:rPr>
          <w:rFonts w:ascii="宋体" w:hAnsi="宋体" w:eastAsia="宋体" w:cs="宋体"/>
          <w:sz w:val="24"/>
          <w:szCs w:val="24"/>
        </w:rPr>
        <w:t xml:space="preserve"> </w:t>
      </w:r>
      <w:r>
        <w:rPr>
          <w:rFonts w:ascii="宋体" w:hAnsi="宋体" w:eastAsia="宋体" w:cs="宋体"/>
          <w:spacing w:val="-2"/>
          <w:sz w:val="24"/>
          <w:szCs w:val="24"/>
        </w:rPr>
        <w:t>文件管理，模板编辑功能，图像内容编辑，文字内容编辑和布局编辑。</w:t>
      </w:r>
    </w:p>
    <w:p w14:paraId="013B55D0">
      <w:pPr>
        <w:spacing w:before="36" w:line="444" w:lineRule="auto"/>
        <w:ind w:left="523" w:right="4543"/>
        <w:rPr>
          <w:rFonts w:ascii="宋体" w:hAnsi="宋体" w:eastAsia="宋体" w:cs="宋体"/>
          <w:sz w:val="24"/>
          <w:szCs w:val="24"/>
        </w:rPr>
      </w:pPr>
      <w:r>
        <w:rPr>
          <w:rFonts w:ascii="宋体" w:hAnsi="宋体" w:eastAsia="宋体" w:cs="宋体"/>
          <w:spacing w:val="-3"/>
          <w:sz w:val="24"/>
          <w:szCs w:val="24"/>
        </w:rPr>
        <w:t>30.在书写报告过程中可随时切换报告单样式。</w:t>
      </w:r>
      <w:r>
        <w:rPr>
          <w:rFonts w:ascii="宋体" w:hAnsi="宋体" w:eastAsia="宋体" w:cs="宋体"/>
          <w:spacing w:val="16"/>
          <w:sz w:val="24"/>
          <w:szCs w:val="24"/>
        </w:rPr>
        <w:t xml:space="preserve"> </w:t>
      </w:r>
      <w:r>
        <w:rPr>
          <w:rFonts w:ascii="宋体" w:hAnsi="宋体" w:eastAsia="宋体" w:cs="宋体"/>
          <w:spacing w:val="-4"/>
          <w:sz w:val="24"/>
          <w:szCs w:val="24"/>
        </w:rPr>
        <w:t>31.支持报告回退流程。</w:t>
      </w:r>
    </w:p>
    <w:p w14:paraId="0D38FFAF">
      <w:pPr>
        <w:spacing w:before="38" w:line="444" w:lineRule="auto"/>
        <w:ind w:left="523" w:right="1183"/>
        <w:rPr>
          <w:rFonts w:ascii="宋体" w:hAnsi="宋体" w:eastAsia="宋体" w:cs="宋体"/>
          <w:sz w:val="24"/>
          <w:szCs w:val="24"/>
        </w:rPr>
      </w:pPr>
      <w:r>
        <w:rPr>
          <w:rFonts w:ascii="宋体" w:hAnsi="宋体" w:eastAsia="宋体" w:cs="宋体"/>
          <w:spacing w:val="-1"/>
          <w:sz w:val="24"/>
          <w:szCs w:val="24"/>
        </w:rPr>
        <w:t>32.历史诊断报告列表功能，审核医生可查看当</w:t>
      </w:r>
      <w:r>
        <w:rPr>
          <w:rFonts w:ascii="宋体" w:hAnsi="宋体" w:eastAsia="宋体" w:cs="宋体"/>
          <w:spacing w:val="-2"/>
          <w:sz w:val="24"/>
          <w:szCs w:val="24"/>
        </w:rPr>
        <w:t>前病人同模态的历史诊断报告。</w:t>
      </w:r>
      <w:r>
        <w:rPr>
          <w:rFonts w:ascii="宋体" w:hAnsi="宋体" w:eastAsia="宋体" w:cs="宋体"/>
          <w:sz w:val="24"/>
          <w:szCs w:val="24"/>
        </w:rPr>
        <w:t xml:space="preserve"> </w:t>
      </w:r>
      <w:r>
        <w:rPr>
          <w:rFonts w:ascii="宋体" w:hAnsi="宋体" w:eastAsia="宋体" w:cs="宋体"/>
          <w:spacing w:val="-3"/>
          <w:sz w:val="24"/>
          <w:szCs w:val="24"/>
        </w:rPr>
        <w:t>33.常用词汇管理，支持报告模板管理。</w:t>
      </w:r>
    </w:p>
    <w:p w14:paraId="43B1C322">
      <w:pPr>
        <w:spacing w:before="38" w:line="444" w:lineRule="auto"/>
        <w:ind w:left="523" w:right="103"/>
        <w:rPr>
          <w:rFonts w:ascii="宋体" w:hAnsi="宋体" w:eastAsia="宋体" w:cs="宋体"/>
          <w:sz w:val="24"/>
          <w:szCs w:val="24"/>
        </w:rPr>
      </w:pPr>
      <w:r>
        <w:rPr>
          <w:rFonts w:ascii="宋体" w:hAnsi="宋体" w:eastAsia="宋体" w:cs="宋体"/>
          <w:spacing w:val="-1"/>
          <w:sz w:val="24"/>
          <w:szCs w:val="24"/>
        </w:rPr>
        <w:t>34.报告模版功能,有常见疾病的模版，模版分为公有模版和私有模版</w:t>
      </w:r>
      <w:r>
        <w:rPr>
          <w:rFonts w:ascii="宋体" w:hAnsi="宋体" w:eastAsia="宋体" w:cs="宋体"/>
          <w:spacing w:val="-2"/>
          <w:sz w:val="24"/>
          <w:szCs w:val="24"/>
        </w:rPr>
        <w:t>，并可以互相转换。</w:t>
      </w:r>
      <w:r>
        <w:rPr>
          <w:rFonts w:ascii="宋体" w:hAnsi="宋体" w:eastAsia="宋体" w:cs="宋体"/>
          <w:sz w:val="24"/>
          <w:szCs w:val="24"/>
        </w:rPr>
        <w:t xml:space="preserve"> </w:t>
      </w:r>
      <w:r>
        <w:rPr>
          <w:rFonts w:ascii="宋体" w:hAnsi="宋体" w:eastAsia="宋体" w:cs="宋体"/>
          <w:spacing w:val="-2"/>
          <w:sz w:val="24"/>
          <w:szCs w:val="24"/>
        </w:rPr>
        <w:t>35.报告内容模板分级管理（检查大部位/详细检查部位/内容模板）。</w:t>
      </w:r>
    </w:p>
    <w:p w14:paraId="3C143B91">
      <w:pPr>
        <w:spacing w:before="36" w:line="218" w:lineRule="auto"/>
        <w:ind w:left="523"/>
        <w:rPr>
          <w:rFonts w:ascii="宋体" w:hAnsi="宋体" w:eastAsia="宋体" w:cs="宋体"/>
          <w:sz w:val="24"/>
          <w:szCs w:val="24"/>
        </w:rPr>
      </w:pPr>
      <w:r>
        <w:rPr>
          <w:rFonts w:ascii="宋体" w:hAnsi="宋体" w:eastAsia="宋体" w:cs="宋体"/>
          <w:spacing w:val="-2"/>
          <w:sz w:val="24"/>
          <w:szCs w:val="24"/>
        </w:rPr>
        <w:t>36.按照使用频率自动调整报告内容模板排列顺序。</w:t>
      </w:r>
    </w:p>
    <w:p w14:paraId="08012DBC">
      <w:pPr>
        <w:spacing w:before="313" w:line="218" w:lineRule="auto"/>
        <w:ind w:left="523"/>
        <w:rPr>
          <w:rFonts w:ascii="宋体" w:hAnsi="宋体" w:eastAsia="宋体" w:cs="宋体"/>
          <w:sz w:val="24"/>
          <w:szCs w:val="24"/>
        </w:rPr>
      </w:pPr>
      <w:r>
        <w:rPr>
          <w:rFonts w:ascii="宋体" w:hAnsi="宋体" w:eastAsia="宋体" w:cs="宋体"/>
          <w:spacing w:val="-2"/>
          <w:sz w:val="24"/>
          <w:szCs w:val="24"/>
        </w:rPr>
        <w:t>37.通过为诊断报告设置关键词，可以按关键词分类检索诊断报告。</w:t>
      </w:r>
    </w:p>
    <w:p w14:paraId="4EE1B4C4">
      <w:pPr>
        <w:spacing w:before="313" w:line="445" w:lineRule="auto"/>
        <w:ind w:left="38" w:right="29" w:firstLine="484"/>
        <w:rPr>
          <w:rFonts w:ascii="宋体" w:hAnsi="宋体" w:eastAsia="宋体" w:cs="宋体"/>
          <w:sz w:val="24"/>
          <w:szCs w:val="24"/>
        </w:rPr>
      </w:pPr>
      <w:r>
        <w:rPr>
          <w:rFonts w:ascii="宋体" w:hAnsi="宋体" w:eastAsia="宋体" w:cs="宋体"/>
          <w:spacing w:val="1"/>
          <w:sz w:val="24"/>
          <w:szCs w:val="24"/>
        </w:rPr>
        <w:t>38.报告书写/审核权限分为三级：报告/审核/审</w:t>
      </w:r>
      <w:r>
        <w:rPr>
          <w:rFonts w:ascii="宋体" w:hAnsi="宋体" w:eastAsia="宋体" w:cs="宋体"/>
          <w:sz w:val="24"/>
          <w:szCs w:val="24"/>
        </w:rPr>
        <w:t xml:space="preserve">核后修改权限。报告打印或审核后，可以 </w:t>
      </w:r>
      <w:r>
        <w:rPr>
          <w:rFonts w:ascii="宋体" w:hAnsi="宋体" w:eastAsia="宋体" w:cs="宋体"/>
          <w:spacing w:val="-6"/>
          <w:sz w:val="24"/>
          <w:szCs w:val="24"/>
        </w:rPr>
        <w:t>修改并留痕迹。</w:t>
      </w:r>
    </w:p>
    <w:p w14:paraId="1754ACF7">
      <w:pPr>
        <w:spacing w:before="35" w:line="444" w:lineRule="auto"/>
        <w:ind w:left="36" w:right="28" w:firstLine="486"/>
        <w:rPr>
          <w:rFonts w:ascii="宋体" w:hAnsi="宋体" w:eastAsia="宋体" w:cs="宋体"/>
          <w:sz w:val="24"/>
          <w:szCs w:val="24"/>
        </w:rPr>
      </w:pPr>
      <w:r>
        <w:rPr>
          <w:rFonts w:ascii="宋体" w:hAnsi="宋体" w:eastAsia="宋体" w:cs="宋体"/>
          <w:spacing w:val="-6"/>
          <w:sz w:val="24"/>
          <w:szCs w:val="24"/>
        </w:rPr>
        <w:t>39.支持设置报告匹配阈值、匹配内容、校验范围、校</w:t>
      </w:r>
      <w:r>
        <w:rPr>
          <w:rFonts w:ascii="宋体" w:hAnsi="宋体" w:eastAsia="宋体" w:cs="宋体"/>
          <w:spacing w:val="-7"/>
          <w:sz w:val="24"/>
          <w:szCs w:val="24"/>
        </w:rPr>
        <w:t>验内容后，</w:t>
      </w:r>
      <w:r>
        <w:rPr>
          <w:rFonts w:ascii="宋体" w:hAnsi="宋体" w:eastAsia="宋体" w:cs="宋体"/>
          <w:spacing w:val="46"/>
          <w:sz w:val="24"/>
          <w:szCs w:val="24"/>
        </w:rPr>
        <w:t xml:space="preserve"> </w:t>
      </w:r>
      <w:r>
        <w:rPr>
          <w:rFonts w:ascii="宋体" w:hAnsi="宋体" w:eastAsia="宋体" w:cs="宋体"/>
          <w:spacing w:val="-7"/>
          <w:sz w:val="24"/>
          <w:szCs w:val="24"/>
        </w:rPr>
        <w:t>根据阈值的设置，在编写</w:t>
      </w:r>
      <w:r>
        <w:rPr>
          <w:rFonts w:ascii="宋体" w:hAnsi="宋体" w:eastAsia="宋体" w:cs="宋体"/>
          <w:sz w:val="24"/>
          <w:szCs w:val="24"/>
        </w:rPr>
        <w:t xml:space="preserve"> </w:t>
      </w:r>
      <w:r>
        <w:rPr>
          <w:rFonts w:ascii="宋体" w:hAnsi="宋体" w:eastAsia="宋体" w:cs="宋体"/>
          <w:spacing w:val="-2"/>
          <w:sz w:val="24"/>
          <w:szCs w:val="24"/>
        </w:rPr>
        <w:t>报告时自动进行检测，如出现超过设置的范围则会自动标记。</w:t>
      </w:r>
    </w:p>
    <w:p w14:paraId="1A67DEAD">
      <w:pPr>
        <w:spacing w:before="36" w:line="445" w:lineRule="auto"/>
        <w:ind w:left="36" w:right="28" w:firstLine="480"/>
        <w:rPr>
          <w:rFonts w:ascii="宋体" w:hAnsi="宋体" w:eastAsia="宋体" w:cs="宋体"/>
          <w:sz w:val="24"/>
          <w:szCs w:val="24"/>
        </w:rPr>
      </w:pPr>
      <w:r>
        <w:rPr>
          <w:rFonts w:ascii="宋体" w:hAnsi="宋体" w:eastAsia="宋体" w:cs="宋体"/>
          <w:spacing w:val="-2"/>
          <w:sz w:val="24"/>
          <w:szCs w:val="24"/>
        </w:rPr>
        <w:t>40.★支持在诊断环节进行修改申请单，如在诊断过程中增加项目，进行</w:t>
      </w:r>
      <w:r>
        <w:rPr>
          <w:rFonts w:ascii="宋体" w:hAnsi="宋体" w:eastAsia="宋体" w:cs="宋体"/>
          <w:spacing w:val="-3"/>
          <w:sz w:val="24"/>
          <w:szCs w:val="24"/>
        </w:rPr>
        <w:t>补充申请单，以及</w:t>
      </w:r>
      <w:r>
        <w:rPr>
          <w:rFonts w:ascii="宋体" w:hAnsi="宋体" w:eastAsia="宋体" w:cs="宋体"/>
          <w:sz w:val="24"/>
          <w:szCs w:val="24"/>
        </w:rPr>
        <w:t xml:space="preserve"> </w:t>
      </w:r>
      <w:r>
        <w:rPr>
          <w:rFonts w:ascii="宋体" w:hAnsi="宋体" w:eastAsia="宋体" w:cs="宋体"/>
          <w:spacing w:val="-1"/>
          <w:sz w:val="24"/>
          <w:szCs w:val="24"/>
        </w:rPr>
        <w:t>将临时的手动申请单替换成</w:t>
      </w:r>
      <w:r>
        <w:rPr>
          <w:rFonts w:ascii="宋体" w:hAnsi="宋体" w:eastAsia="宋体" w:cs="宋体"/>
          <w:spacing w:val="-56"/>
          <w:sz w:val="24"/>
          <w:szCs w:val="24"/>
        </w:rPr>
        <w:t xml:space="preserve"> </w:t>
      </w:r>
      <w:r>
        <w:rPr>
          <w:rFonts w:ascii="宋体" w:hAnsi="宋体" w:eastAsia="宋体" w:cs="宋体"/>
          <w:spacing w:val="-1"/>
          <w:sz w:val="24"/>
          <w:szCs w:val="24"/>
        </w:rPr>
        <w:t>HIS</w:t>
      </w:r>
      <w:r>
        <w:rPr>
          <w:rFonts w:ascii="宋体" w:hAnsi="宋体" w:eastAsia="宋体" w:cs="宋体"/>
          <w:spacing w:val="-53"/>
          <w:sz w:val="24"/>
          <w:szCs w:val="24"/>
        </w:rPr>
        <w:t xml:space="preserve"> </w:t>
      </w:r>
      <w:r>
        <w:rPr>
          <w:rFonts w:ascii="宋体" w:hAnsi="宋体" w:eastAsia="宋体" w:cs="宋体"/>
          <w:spacing w:val="-1"/>
          <w:sz w:val="24"/>
          <w:szCs w:val="24"/>
        </w:rPr>
        <w:t>传过来的电子</w:t>
      </w:r>
      <w:r>
        <w:rPr>
          <w:rFonts w:ascii="宋体" w:hAnsi="宋体" w:eastAsia="宋体" w:cs="宋体"/>
          <w:spacing w:val="-2"/>
          <w:sz w:val="24"/>
          <w:szCs w:val="24"/>
        </w:rPr>
        <w:t>申请单（提供系统界面功能截图）。</w:t>
      </w:r>
    </w:p>
    <w:p w14:paraId="4E25F2CB">
      <w:pPr>
        <w:spacing w:before="35" w:line="445" w:lineRule="auto"/>
        <w:ind w:left="43" w:right="2" w:firstLine="474"/>
        <w:rPr>
          <w:rFonts w:ascii="宋体" w:hAnsi="宋体" w:eastAsia="宋体" w:cs="宋体"/>
          <w:sz w:val="24"/>
          <w:szCs w:val="24"/>
        </w:rPr>
      </w:pPr>
      <w:r>
        <w:rPr>
          <w:rFonts w:ascii="宋体" w:hAnsi="宋体" w:eastAsia="宋体" w:cs="宋体"/>
          <w:spacing w:val="-2"/>
          <w:sz w:val="24"/>
          <w:szCs w:val="24"/>
        </w:rPr>
        <w:t>41.★支持报告测值数据特殊颜色显示，对于报告中出现的异常数值（极大值或极小值</w:t>
      </w:r>
      <w:r>
        <w:rPr>
          <w:rFonts w:ascii="宋体" w:hAnsi="宋体" w:eastAsia="宋体" w:cs="宋体"/>
          <w:spacing w:val="7"/>
          <w:sz w:val="24"/>
          <w:szCs w:val="24"/>
        </w:rPr>
        <w:t>），</w:t>
      </w:r>
      <w:r>
        <w:rPr>
          <w:rFonts w:ascii="宋体" w:hAnsi="宋体" w:eastAsia="宋体" w:cs="宋体"/>
          <w:spacing w:val="1"/>
          <w:sz w:val="24"/>
          <w:szCs w:val="24"/>
        </w:rPr>
        <w:t xml:space="preserve"> </w:t>
      </w:r>
      <w:r>
        <w:rPr>
          <w:rFonts w:ascii="宋体" w:hAnsi="宋体" w:eastAsia="宋体" w:cs="宋体"/>
          <w:spacing w:val="-1"/>
          <w:sz w:val="24"/>
          <w:szCs w:val="24"/>
        </w:rPr>
        <w:t>系统将自动使用特殊颜色进行高亮标记。（提供系统界面功能截图）</w:t>
      </w:r>
    </w:p>
    <w:p w14:paraId="7B8C496E">
      <w:pPr>
        <w:spacing w:before="36" w:line="223" w:lineRule="auto"/>
        <w:ind w:left="36"/>
        <w:rPr>
          <w:rFonts w:ascii="楷体" w:hAnsi="楷体" w:eastAsia="楷体" w:cs="楷体"/>
          <w:sz w:val="24"/>
          <w:szCs w:val="24"/>
        </w:rPr>
      </w:pPr>
      <w:r>
        <w:rPr>
          <w:rFonts w:ascii="楷体" w:hAnsi="楷体" w:eastAsia="楷体" w:cs="楷体"/>
          <w:spacing w:val="-1"/>
          <w:sz w:val="24"/>
          <w:szCs w:val="24"/>
        </w:rPr>
        <w:t>2.5 超声管理系统</w:t>
      </w:r>
    </w:p>
    <w:p w14:paraId="247406EC">
      <w:pPr>
        <w:pStyle w:val="2"/>
        <w:spacing w:line="346" w:lineRule="auto"/>
      </w:pPr>
    </w:p>
    <w:p w14:paraId="3B9DAF8D">
      <w:pPr>
        <w:spacing w:before="79" w:line="215" w:lineRule="auto"/>
        <w:ind w:left="47"/>
        <w:rPr>
          <w:rFonts w:ascii="仿宋" w:hAnsi="仿宋" w:eastAsia="仿宋" w:cs="仿宋"/>
          <w:sz w:val="24"/>
          <w:szCs w:val="24"/>
        </w:rPr>
      </w:pPr>
      <w:r>
        <w:rPr>
          <w:rFonts w:ascii="仿宋" w:hAnsi="仿宋" w:eastAsia="仿宋" w:cs="仿宋"/>
          <w:b/>
          <w:bCs/>
          <w:spacing w:val="-4"/>
          <w:sz w:val="24"/>
          <w:szCs w:val="24"/>
        </w:rPr>
        <w:t>2.5.1</w:t>
      </w:r>
      <w:r>
        <w:rPr>
          <w:rFonts w:ascii="仿宋" w:hAnsi="仿宋" w:eastAsia="仿宋" w:cs="仿宋"/>
          <w:spacing w:val="-4"/>
          <w:sz w:val="24"/>
          <w:szCs w:val="24"/>
        </w:rPr>
        <w:t xml:space="preserve"> </w:t>
      </w:r>
      <w:r>
        <w:rPr>
          <w:rFonts w:ascii="仿宋" w:hAnsi="仿宋" w:eastAsia="仿宋" w:cs="仿宋"/>
          <w:b/>
          <w:bCs/>
          <w:spacing w:val="-4"/>
          <w:sz w:val="24"/>
          <w:szCs w:val="24"/>
        </w:rPr>
        <w:t>检查登记系统</w:t>
      </w:r>
    </w:p>
    <w:p w14:paraId="083AC285">
      <w:pPr>
        <w:pStyle w:val="2"/>
        <w:spacing w:line="275" w:lineRule="auto"/>
      </w:pPr>
    </w:p>
    <w:p w14:paraId="6E33791D">
      <w:pPr>
        <w:pStyle w:val="2"/>
        <w:spacing w:line="275" w:lineRule="auto"/>
      </w:pPr>
    </w:p>
    <w:p w14:paraId="1220BA10">
      <w:pPr>
        <w:spacing w:before="63"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58                                </w:t>
      </w:r>
      <w:r>
        <w:rPr>
          <w:rFonts w:ascii="宋体" w:hAnsi="宋体" w:eastAsia="宋体" w:cs="宋体"/>
          <w:b/>
          <w:bCs/>
          <w:i/>
          <w:iCs/>
          <w:spacing w:val="-3"/>
          <w:sz w:val="19"/>
          <w:szCs w:val="19"/>
        </w:rPr>
        <w:t>伊犁州公共资源交易中心</w:t>
      </w:r>
    </w:p>
    <w:p w14:paraId="1E0283D1">
      <w:pPr>
        <w:spacing w:line="160" w:lineRule="auto"/>
        <w:rPr>
          <w:rFonts w:ascii="宋体" w:hAnsi="宋体" w:eastAsia="宋体" w:cs="宋体"/>
          <w:sz w:val="19"/>
          <w:szCs w:val="19"/>
        </w:rPr>
        <w:sectPr>
          <w:pgSz w:w="11905" w:h="16839"/>
          <w:pgMar w:top="1136" w:right="830" w:bottom="937" w:left="1136" w:header="854" w:footer="923" w:gutter="0"/>
          <w:cols w:space="720" w:num="1"/>
        </w:sectPr>
      </w:pPr>
    </w:p>
    <w:p w14:paraId="3D4BC012">
      <w:pPr>
        <w:pStyle w:val="2"/>
        <w:spacing w:line="378" w:lineRule="auto"/>
      </w:pPr>
    </w:p>
    <w:p w14:paraId="62E62A2C">
      <w:pPr>
        <w:spacing w:before="78" w:line="450" w:lineRule="auto"/>
        <w:ind w:left="37" w:right="85" w:firstLine="498"/>
        <w:jc w:val="both"/>
        <w:rPr>
          <w:rFonts w:ascii="宋体" w:hAnsi="宋体" w:eastAsia="宋体" w:cs="宋体"/>
          <w:sz w:val="24"/>
          <w:szCs w:val="24"/>
        </w:rPr>
      </w:pPr>
      <w:r>
        <w:rPr>
          <w:rFonts w:ascii="宋体" w:hAnsi="宋体" w:eastAsia="宋体" w:cs="宋体"/>
          <w:spacing w:val="-1"/>
          <w:sz w:val="24"/>
          <w:szCs w:val="24"/>
        </w:rPr>
        <w:t>1.支持与</w:t>
      </w:r>
      <w:r>
        <w:rPr>
          <w:rFonts w:ascii="宋体" w:hAnsi="宋体" w:eastAsia="宋体" w:cs="宋体"/>
          <w:spacing w:val="-42"/>
          <w:sz w:val="24"/>
          <w:szCs w:val="24"/>
        </w:rPr>
        <w:t xml:space="preserve"> </w:t>
      </w:r>
      <w:r>
        <w:rPr>
          <w:rFonts w:ascii="宋体" w:hAnsi="宋体" w:eastAsia="宋体" w:cs="宋体"/>
          <w:spacing w:val="-1"/>
          <w:sz w:val="24"/>
          <w:szCs w:val="24"/>
        </w:rPr>
        <w:t>HIS</w:t>
      </w:r>
      <w:r>
        <w:rPr>
          <w:rFonts w:ascii="宋体" w:hAnsi="宋体" w:eastAsia="宋体" w:cs="宋体"/>
          <w:spacing w:val="-44"/>
          <w:sz w:val="24"/>
          <w:szCs w:val="24"/>
        </w:rPr>
        <w:t xml:space="preserve"> </w:t>
      </w:r>
      <w:r>
        <w:rPr>
          <w:rFonts w:ascii="宋体" w:hAnsi="宋体" w:eastAsia="宋体" w:cs="宋体"/>
          <w:spacing w:val="-1"/>
          <w:sz w:val="24"/>
          <w:szCs w:val="24"/>
        </w:rPr>
        <w:t>系统集成，实现检查登记时输入病历号后从</w:t>
      </w:r>
      <w:r>
        <w:rPr>
          <w:rFonts w:ascii="宋体" w:hAnsi="宋体" w:eastAsia="宋体" w:cs="宋体"/>
          <w:spacing w:val="-55"/>
          <w:sz w:val="24"/>
          <w:szCs w:val="24"/>
        </w:rPr>
        <w:t xml:space="preserve"> </w:t>
      </w:r>
      <w:r>
        <w:rPr>
          <w:rFonts w:ascii="宋体" w:hAnsi="宋体" w:eastAsia="宋体" w:cs="宋体"/>
          <w:spacing w:val="-1"/>
          <w:sz w:val="24"/>
          <w:szCs w:val="24"/>
        </w:rPr>
        <w:t>HIS</w:t>
      </w:r>
      <w:r>
        <w:rPr>
          <w:rFonts w:ascii="宋体" w:hAnsi="宋体" w:eastAsia="宋体" w:cs="宋体"/>
          <w:spacing w:val="-46"/>
          <w:sz w:val="24"/>
          <w:szCs w:val="24"/>
        </w:rPr>
        <w:t xml:space="preserve"> </w:t>
      </w:r>
      <w:r>
        <w:rPr>
          <w:rFonts w:ascii="宋体" w:hAnsi="宋体" w:eastAsia="宋体" w:cs="宋体"/>
          <w:spacing w:val="-1"/>
          <w:sz w:val="24"/>
          <w:szCs w:val="24"/>
        </w:rPr>
        <w:t>调入病人信息，一次完成登</w:t>
      </w:r>
      <w:r>
        <w:rPr>
          <w:rFonts w:ascii="宋体" w:hAnsi="宋体" w:eastAsia="宋体" w:cs="宋体"/>
          <w:sz w:val="24"/>
          <w:szCs w:val="24"/>
        </w:rPr>
        <w:t xml:space="preserve"> </w:t>
      </w:r>
      <w:r>
        <w:rPr>
          <w:rFonts w:ascii="宋体" w:hAnsi="宋体" w:eastAsia="宋体" w:cs="宋体"/>
          <w:spacing w:val="-1"/>
          <w:sz w:val="24"/>
          <w:szCs w:val="24"/>
        </w:rPr>
        <w:t>记工作；联合</w:t>
      </w:r>
      <w:r>
        <w:rPr>
          <w:rFonts w:ascii="宋体" w:hAnsi="宋体" w:eastAsia="宋体" w:cs="宋体"/>
          <w:spacing w:val="-56"/>
          <w:sz w:val="24"/>
          <w:szCs w:val="24"/>
        </w:rPr>
        <w:t xml:space="preserve"> </w:t>
      </w:r>
      <w:r>
        <w:rPr>
          <w:rFonts w:ascii="宋体" w:hAnsi="宋体" w:eastAsia="宋体" w:cs="宋体"/>
          <w:spacing w:val="-1"/>
          <w:sz w:val="24"/>
          <w:szCs w:val="24"/>
        </w:rPr>
        <w:t>HIS，实现患者一人一个唯一编</w:t>
      </w:r>
      <w:r>
        <w:rPr>
          <w:rFonts w:ascii="宋体" w:hAnsi="宋体" w:eastAsia="宋体" w:cs="宋体"/>
          <w:spacing w:val="-2"/>
          <w:sz w:val="24"/>
          <w:szCs w:val="24"/>
        </w:rPr>
        <w:t>码管理，在</w:t>
      </w:r>
      <w:r>
        <w:rPr>
          <w:rFonts w:ascii="宋体" w:hAnsi="宋体" w:eastAsia="宋体" w:cs="宋体"/>
          <w:spacing w:val="-53"/>
          <w:sz w:val="24"/>
          <w:szCs w:val="24"/>
        </w:rPr>
        <w:t xml:space="preserve"> </w:t>
      </w:r>
      <w:r>
        <w:rPr>
          <w:rFonts w:ascii="宋体" w:hAnsi="宋体" w:eastAsia="宋体" w:cs="宋体"/>
          <w:spacing w:val="-2"/>
          <w:sz w:val="24"/>
          <w:szCs w:val="24"/>
        </w:rPr>
        <w:t>RIS</w:t>
      </w:r>
      <w:r>
        <w:rPr>
          <w:rFonts w:ascii="宋体" w:hAnsi="宋体" w:eastAsia="宋体" w:cs="宋体"/>
          <w:spacing w:val="-51"/>
          <w:sz w:val="24"/>
          <w:szCs w:val="24"/>
        </w:rPr>
        <w:t xml:space="preserve"> </w:t>
      </w:r>
      <w:r>
        <w:rPr>
          <w:rFonts w:ascii="宋体" w:hAnsi="宋体" w:eastAsia="宋体" w:cs="宋体"/>
          <w:spacing w:val="-2"/>
          <w:sz w:val="24"/>
          <w:szCs w:val="24"/>
        </w:rPr>
        <w:t>及</w:t>
      </w:r>
      <w:r>
        <w:rPr>
          <w:rFonts w:ascii="宋体" w:hAnsi="宋体" w:eastAsia="宋体" w:cs="宋体"/>
          <w:spacing w:val="-55"/>
          <w:sz w:val="24"/>
          <w:szCs w:val="24"/>
        </w:rPr>
        <w:t xml:space="preserve"> </w:t>
      </w:r>
      <w:r>
        <w:rPr>
          <w:rFonts w:ascii="宋体" w:hAnsi="宋体" w:eastAsia="宋体" w:cs="宋体"/>
          <w:spacing w:val="-2"/>
          <w:sz w:val="24"/>
          <w:szCs w:val="24"/>
        </w:rPr>
        <w:t>PACS</w:t>
      </w:r>
      <w:r>
        <w:rPr>
          <w:rFonts w:ascii="宋体" w:hAnsi="宋体" w:eastAsia="宋体" w:cs="宋体"/>
          <w:spacing w:val="-46"/>
          <w:sz w:val="24"/>
          <w:szCs w:val="24"/>
        </w:rPr>
        <w:t xml:space="preserve"> </w:t>
      </w:r>
      <w:r>
        <w:rPr>
          <w:rFonts w:ascii="宋体" w:hAnsi="宋体" w:eastAsia="宋体" w:cs="宋体"/>
          <w:spacing w:val="-2"/>
          <w:sz w:val="24"/>
          <w:szCs w:val="24"/>
        </w:rPr>
        <w:t>系统中能查看各影像检查</w:t>
      </w:r>
      <w:r>
        <w:rPr>
          <w:rFonts w:ascii="宋体" w:hAnsi="宋体" w:eastAsia="宋体" w:cs="宋体"/>
          <w:sz w:val="24"/>
          <w:szCs w:val="24"/>
        </w:rPr>
        <w:t xml:space="preserve"> </w:t>
      </w:r>
      <w:r>
        <w:rPr>
          <w:rFonts w:ascii="宋体" w:hAnsi="宋体" w:eastAsia="宋体" w:cs="宋体"/>
          <w:spacing w:val="-6"/>
          <w:sz w:val="24"/>
          <w:szCs w:val="24"/>
        </w:rPr>
        <w:t>项目患者编码。</w:t>
      </w:r>
    </w:p>
    <w:p w14:paraId="1797EF96">
      <w:pPr>
        <w:spacing w:before="34" w:line="445" w:lineRule="auto"/>
        <w:ind w:left="522" w:right="400" w:hanging="1"/>
        <w:rPr>
          <w:rFonts w:ascii="宋体" w:hAnsi="宋体" w:eastAsia="宋体" w:cs="宋体"/>
          <w:sz w:val="24"/>
          <w:szCs w:val="24"/>
        </w:rPr>
      </w:pPr>
      <w:r>
        <w:rPr>
          <w:rFonts w:ascii="宋体" w:hAnsi="宋体" w:eastAsia="宋体" w:cs="宋体"/>
          <w:spacing w:val="-1"/>
          <w:sz w:val="24"/>
          <w:szCs w:val="24"/>
        </w:rPr>
        <w:t>2.支持检查登记，并在分诊或诊断环节灵活进行费用确认，确保</w:t>
      </w:r>
      <w:r>
        <w:rPr>
          <w:rFonts w:ascii="宋体" w:hAnsi="宋体" w:eastAsia="宋体" w:cs="宋体"/>
          <w:spacing w:val="-2"/>
          <w:sz w:val="24"/>
          <w:szCs w:val="24"/>
        </w:rPr>
        <w:t>流程的高效与适应性。</w:t>
      </w:r>
      <w:r>
        <w:rPr>
          <w:rFonts w:ascii="宋体" w:hAnsi="宋体" w:eastAsia="宋体" w:cs="宋体"/>
          <w:sz w:val="24"/>
          <w:szCs w:val="24"/>
        </w:rPr>
        <w:t xml:space="preserve"> </w:t>
      </w:r>
      <w:r>
        <w:rPr>
          <w:rFonts w:ascii="宋体" w:hAnsi="宋体" w:eastAsia="宋体" w:cs="宋体"/>
          <w:spacing w:val="-3"/>
          <w:sz w:val="24"/>
          <w:szCs w:val="24"/>
        </w:rPr>
        <w:t>3.支持检查单打印，可打印条码。</w:t>
      </w:r>
    </w:p>
    <w:p w14:paraId="7FAC7636">
      <w:pPr>
        <w:spacing w:before="34" w:line="445" w:lineRule="auto"/>
        <w:ind w:left="522" w:hanging="5"/>
        <w:rPr>
          <w:rFonts w:ascii="宋体" w:hAnsi="宋体" w:eastAsia="宋体" w:cs="宋体"/>
          <w:sz w:val="24"/>
          <w:szCs w:val="24"/>
        </w:rPr>
      </w:pPr>
      <w:r>
        <w:rPr>
          <w:rFonts w:ascii="宋体" w:hAnsi="宋体" w:eastAsia="宋体" w:cs="宋体"/>
          <w:spacing w:val="-3"/>
          <w:sz w:val="24"/>
          <w:szCs w:val="24"/>
        </w:rPr>
        <w:t>4.检查申请单可以按检查类型和检查项目自由配置格式和内容，支持条码输入、手工输</w:t>
      </w:r>
      <w:r>
        <w:rPr>
          <w:rFonts w:ascii="宋体" w:hAnsi="宋体" w:eastAsia="宋体" w:cs="宋体"/>
          <w:spacing w:val="-4"/>
          <w:sz w:val="24"/>
          <w:szCs w:val="24"/>
        </w:rPr>
        <w:t>入。</w:t>
      </w:r>
      <w:r>
        <w:rPr>
          <w:rFonts w:ascii="宋体" w:hAnsi="宋体" w:eastAsia="宋体" w:cs="宋体"/>
          <w:sz w:val="24"/>
          <w:szCs w:val="24"/>
        </w:rPr>
        <w:t xml:space="preserve"> </w:t>
      </w:r>
      <w:r>
        <w:rPr>
          <w:rFonts w:ascii="宋体" w:hAnsi="宋体" w:eastAsia="宋体" w:cs="宋体"/>
          <w:spacing w:val="-2"/>
          <w:sz w:val="24"/>
          <w:szCs w:val="24"/>
        </w:rPr>
        <w:t>5.支持动态查看设备使用情况如：检查量、排队量、已完成等信息。</w:t>
      </w:r>
    </w:p>
    <w:p w14:paraId="55B040C3">
      <w:pPr>
        <w:spacing w:before="35" w:line="445" w:lineRule="auto"/>
        <w:ind w:left="38" w:right="85" w:firstLine="481"/>
        <w:rPr>
          <w:rFonts w:ascii="宋体" w:hAnsi="宋体" w:eastAsia="宋体" w:cs="宋体"/>
          <w:sz w:val="24"/>
          <w:szCs w:val="24"/>
        </w:rPr>
      </w:pPr>
      <w:r>
        <w:rPr>
          <w:rFonts w:ascii="宋体" w:hAnsi="宋体" w:eastAsia="宋体" w:cs="宋体"/>
          <w:spacing w:val="1"/>
          <w:sz w:val="24"/>
          <w:szCs w:val="24"/>
        </w:rPr>
        <w:t>6.支持修改患者类型、病人姓名、年龄等患者信息，也可修</w:t>
      </w:r>
      <w:r>
        <w:rPr>
          <w:rFonts w:ascii="宋体" w:hAnsi="宋体" w:eastAsia="宋体" w:cs="宋体"/>
          <w:sz w:val="24"/>
          <w:szCs w:val="24"/>
        </w:rPr>
        <w:t xml:space="preserve">改检查项目，检查部位等检查 </w:t>
      </w:r>
      <w:r>
        <w:rPr>
          <w:rFonts w:ascii="宋体" w:hAnsi="宋体" w:eastAsia="宋体" w:cs="宋体"/>
          <w:spacing w:val="-10"/>
          <w:sz w:val="24"/>
          <w:szCs w:val="24"/>
        </w:rPr>
        <w:t>信息。</w:t>
      </w:r>
    </w:p>
    <w:p w14:paraId="2C3B725F">
      <w:pPr>
        <w:spacing w:before="33" w:line="446" w:lineRule="auto"/>
        <w:ind w:left="43" w:right="85" w:firstLine="480"/>
        <w:rPr>
          <w:rFonts w:ascii="宋体" w:hAnsi="宋体" w:eastAsia="宋体" w:cs="宋体"/>
          <w:sz w:val="24"/>
          <w:szCs w:val="24"/>
        </w:rPr>
      </w:pPr>
      <w:r>
        <w:rPr>
          <w:rFonts w:ascii="宋体" w:hAnsi="宋体" w:eastAsia="宋体" w:cs="宋体"/>
          <w:spacing w:val="1"/>
          <w:sz w:val="24"/>
          <w:szCs w:val="24"/>
        </w:rPr>
        <w:t>7.支持手动登记，即无法自动获取患者的基本信息</w:t>
      </w:r>
      <w:r>
        <w:rPr>
          <w:rFonts w:ascii="宋体" w:hAnsi="宋体" w:eastAsia="宋体" w:cs="宋体"/>
          <w:sz w:val="24"/>
          <w:szCs w:val="24"/>
        </w:rPr>
        <w:t xml:space="preserve">及检查信息，能通过手动录入信息的方 </w:t>
      </w:r>
      <w:r>
        <w:rPr>
          <w:rFonts w:ascii="宋体" w:hAnsi="宋体" w:eastAsia="宋体" w:cs="宋体"/>
          <w:spacing w:val="-7"/>
          <w:sz w:val="24"/>
          <w:szCs w:val="24"/>
        </w:rPr>
        <w:t>式进行登记。</w:t>
      </w:r>
    </w:p>
    <w:p w14:paraId="33FBB656">
      <w:pPr>
        <w:spacing w:before="33" w:line="219" w:lineRule="auto"/>
        <w:ind w:left="519"/>
        <w:rPr>
          <w:rFonts w:ascii="宋体" w:hAnsi="宋体" w:eastAsia="宋体" w:cs="宋体"/>
          <w:sz w:val="24"/>
          <w:szCs w:val="24"/>
        </w:rPr>
      </w:pPr>
      <w:r>
        <w:rPr>
          <w:rFonts w:ascii="宋体" w:hAnsi="宋体" w:eastAsia="宋体" w:cs="宋体"/>
          <w:spacing w:val="-1"/>
          <w:sz w:val="24"/>
          <w:szCs w:val="24"/>
        </w:rPr>
        <w:t>8.支持纸质申请单通过扫描申请单功能扫描、上传，</w:t>
      </w:r>
      <w:r>
        <w:rPr>
          <w:rFonts w:ascii="宋体" w:hAnsi="宋体" w:eastAsia="宋体" w:cs="宋体"/>
          <w:spacing w:val="-2"/>
          <w:sz w:val="24"/>
          <w:szCs w:val="24"/>
        </w:rPr>
        <w:t>方便诊断参考相关信息。</w:t>
      </w:r>
    </w:p>
    <w:p w14:paraId="1568817C">
      <w:pPr>
        <w:spacing w:before="312" w:line="445" w:lineRule="auto"/>
        <w:ind w:left="39" w:right="85" w:firstLine="480"/>
        <w:rPr>
          <w:rFonts w:ascii="宋体" w:hAnsi="宋体" w:eastAsia="宋体" w:cs="宋体"/>
          <w:sz w:val="24"/>
          <w:szCs w:val="24"/>
        </w:rPr>
      </w:pPr>
      <w:r>
        <w:rPr>
          <w:rFonts w:ascii="宋体" w:hAnsi="宋体" w:eastAsia="宋体" w:cs="宋体"/>
          <w:sz w:val="24"/>
          <w:szCs w:val="24"/>
        </w:rPr>
        <w:t>9.支持分诊时查看各个诊室设备的“排队</w:t>
      </w:r>
      <w:r>
        <w:rPr>
          <w:rFonts w:ascii="宋体" w:hAnsi="宋体" w:eastAsia="宋体" w:cs="宋体"/>
          <w:spacing w:val="-87"/>
          <w:sz w:val="24"/>
          <w:szCs w:val="24"/>
        </w:rPr>
        <w:t xml:space="preserve"> </w:t>
      </w:r>
      <w:r>
        <w:rPr>
          <w:rFonts w:ascii="宋体" w:hAnsi="宋体" w:eastAsia="宋体" w:cs="宋体"/>
          <w:sz w:val="24"/>
          <w:szCs w:val="24"/>
        </w:rPr>
        <w:t>”患者数量，从而做出更好的资源分</w:t>
      </w:r>
      <w:r>
        <w:rPr>
          <w:rFonts w:ascii="宋体" w:hAnsi="宋体" w:eastAsia="宋体" w:cs="宋体"/>
          <w:spacing w:val="-1"/>
          <w:sz w:val="24"/>
          <w:szCs w:val="24"/>
        </w:rPr>
        <w:t>配、提高工</w:t>
      </w:r>
      <w:r>
        <w:rPr>
          <w:rFonts w:ascii="宋体" w:hAnsi="宋体" w:eastAsia="宋体" w:cs="宋体"/>
          <w:sz w:val="24"/>
          <w:szCs w:val="24"/>
        </w:rPr>
        <w:t xml:space="preserve"> </w:t>
      </w:r>
      <w:r>
        <w:rPr>
          <w:rFonts w:ascii="宋体" w:hAnsi="宋体" w:eastAsia="宋体" w:cs="宋体"/>
          <w:spacing w:val="-6"/>
          <w:sz w:val="24"/>
          <w:szCs w:val="24"/>
        </w:rPr>
        <w:t>作速度和效率。</w:t>
      </w:r>
    </w:p>
    <w:p w14:paraId="10FA8DA8">
      <w:pPr>
        <w:spacing w:before="35" w:line="445" w:lineRule="auto"/>
        <w:ind w:left="58" w:right="85" w:firstLine="478"/>
        <w:rPr>
          <w:rFonts w:ascii="宋体" w:hAnsi="宋体" w:eastAsia="宋体" w:cs="宋体"/>
          <w:sz w:val="24"/>
          <w:szCs w:val="24"/>
        </w:rPr>
      </w:pPr>
      <w:r>
        <w:rPr>
          <w:rFonts w:ascii="宋体" w:hAnsi="宋体" w:eastAsia="宋体" w:cs="宋体"/>
          <w:spacing w:val="-3"/>
          <w:sz w:val="24"/>
          <w:szCs w:val="24"/>
        </w:rPr>
        <w:t>10.当检查科室有组套检查时，支持设置组套快捷键，输入快捷键后自动匹配符合该快捷键</w:t>
      </w:r>
      <w:r>
        <w:rPr>
          <w:rFonts w:ascii="宋体" w:hAnsi="宋体" w:eastAsia="宋体" w:cs="宋体"/>
          <w:spacing w:val="14"/>
          <w:sz w:val="24"/>
          <w:szCs w:val="24"/>
        </w:rPr>
        <w:t xml:space="preserve"> </w:t>
      </w:r>
      <w:r>
        <w:rPr>
          <w:rFonts w:ascii="宋体" w:hAnsi="宋体" w:eastAsia="宋体" w:cs="宋体"/>
          <w:spacing w:val="-2"/>
          <w:sz w:val="24"/>
          <w:szCs w:val="24"/>
        </w:rPr>
        <w:t>的组套信息，选择组套信息后可以一次性录</w:t>
      </w:r>
      <w:r>
        <w:rPr>
          <w:rFonts w:ascii="宋体" w:hAnsi="宋体" w:eastAsia="宋体" w:cs="宋体"/>
          <w:spacing w:val="-3"/>
          <w:sz w:val="24"/>
          <w:szCs w:val="24"/>
        </w:rPr>
        <w:t>入多个检查部位。</w:t>
      </w:r>
    </w:p>
    <w:p w14:paraId="6B95C3FE">
      <w:pPr>
        <w:spacing w:before="36" w:line="216" w:lineRule="auto"/>
        <w:ind w:left="47"/>
        <w:rPr>
          <w:rFonts w:ascii="仿宋" w:hAnsi="仿宋" w:eastAsia="仿宋" w:cs="仿宋"/>
          <w:sz w:val="24"/>
          <w:szCs w:val="24"/>
        </w:rPr>
      </w:pPr>
      <w:r>
        <w:rPr>
          <w:rFonts w:ascii="仿宋" w:hAnsi="仿宋" w:eastAsia="仿宋" w:cs="仿宋"/>
          <w:b/>
          <w:bCs/>
          <w:spacing w:val="-5"/>
          <w:sz w:val="24"/>
          <w:szCs w:val="24"/>
        </w:rPr>
        <w:t>2.5.2</w:t>
      </w:r>
      <w:r>
        <w:rPr>
          <w:rFonts w:ascii="仿宋" w:hAnsi="仿宋" w:eastAsia="仿宋" w:cs="仿宋"/>
          <w:spacing w:val="-52"/>
          <w:sz w:val="24"/>
          <w:szCs w:val="24"/>
        </w:rPr>
        <w:t xml:space="preserve"> </w:t>
      </w:r>
      <w:r>
        <w:rPr>
          <w:rFonts w:ascii="仿宋" w:hAnsi="仿宋" w:eastAsia="仿宋" w:cs="仿宋"/>
          <w:b/>
          <w:bCs/>
          <w:spacing w:val="-5"/>
          <w:sz w:val="24"/>
          <w:szCs w:val="24"/>
        </w:rPr>
        <w:t>超声诊断系统</w:t>
      </w:r>
    </w:p>
    <w:p w14:paraId="6B3503BA">
      <w:pPr>
        <w:pStyle w:val="2"/>
        <w:spacing w:line="353" w:lineRule="auto"/>
      </w:pPr>
    </w:p>
    <w:p w14:paraId="60390C11">
      <w:pPr>
        <w:spacing w:before="79" w:line="219" w:lineRule="auto"/>
        <w:ind w:left="536"/>
        <w:rPr>
          <w:rFonts w:ascii="宋体" w:hAnsi="宋体" w:eastAsia="宋体" w:cs="宋体"/>
          <w:sz w:val="24"/>
          <w:szCs w:val="24"/>
        </w:rPr>
      </w:pPr>
      <w:r>
        <w:rPr>
          <w:rFonts w:ascii="宋体" w:hAnsi="宋体" w:eastAsia="宋体" w:cs="宋体"/>
          <w:spacing w:val="-2"/>
          <w:sz w:val="24"/>
          <w:szCs w:val="24"/>
        </w:rPr>
        <w:t>1.通过采集卡，可以实时显示设备图像并采集。支持动</w:t>
      </w:r>
      <w:r>
        <w:rPr>
          <w:rFonts w:ascii="宋体" w:hAnsi="宋体" w:eastAsia="宋体" w:cs="宋体"/>
          <w:spacing w:val="-3"/>
          <w:sz w:val="24"/>
          <w:szCs w:val="24"/>
        </w:rPr>
        <w:t>态图像。</w:t>
      </w:r>
    </w:p>
    <w:p w14:paraId="4DF33AB4">
      <w:pPr>
        <w:spacing w:before="312" w:line="445" w:lineRule="auto"/>
        <w:ind w:left="522" w:right="400" w:hanging="1"/>
        <w:rPr>
          <w:rFonts w:ascii="宋体" w:hAnsi="宋体" w:eastAsia="宋体" w:cs="宋体"/>
          <w:sz w:val="24"/>
          <w:szCs w:val="24"/>
        </w:rPr>
      </w:pPr>
      <w:r>
        <w:rPr>
          <w:rFonts w:ascii="宋体" w:hAnsi="宋体" w:eastAsia="宋体" w:cs="宋体"/>
          <w:spacing w:val="-3"/>
          <w:sz w:val="24"/>
          <w:szCs w:val="24"/>
        </w:rPr>
        <w:t>2.对有</w:t>
      </w:r>
      <w:r>
        <w:rPr>
          <w:rFonts w:ascii="宋体" w:hAnsi="宋体" w:eastAsia="宋体" w:cs="宋体"/>
          <w:spacing w:val="-56"/>
          <w:sz w:val="24"/>
          <w:szCs w:val="24"/>
        </w:rPr>
        <w:t xml:space="preserve"> </w:t>
      </w:r>
      <w:r>
        <w:rPr>
          <w:rFonts w:ascii="宋体" w:hAnsi="宋体" w:eastAsia="宋体" w:cs="宋体"/>
          <w:spacing w:val="-3"/>
          <w:sz w:val="24"/>
          <w:szCs w:val="24"/>
        </w:rPr>
        <w:t>DICOM</w:t>
      </w:r>
      <w:r>
        <w:rPr>
          <w:rFonts w:ascii="宋体" w:hAnsi="宋体" w:eastAsia="宋体" w:cs="宋体"/>
          <w:spacing w:val="-51"/>
          <w:sz w:val="24"/>
          <w:szCs w:val="24"/>
        </w:rPr>
        <w:t xml:space="preserve"> </w:t>
      </w:r>
      <w:r>
        <w:rPr>
          <w:rFonts w:ascii="宋体" w:hAnsi="宋体" w:eastAsia="宋体" w:cs="宋体"/>
          <w:spacing w:val="-3"/>
          <w:sz w:val="24"/>
          <w:szCs w:val="24"/>
        </w:rPr>
        <w:t>接口的设备实现</w:t>
      </w:r>
      <w:r>
        <w:rPr>
          <w:rFonts w:ascii="宋体" w:hAnsi="宋体" w:eastAsia="宋体" w:cs="宋体"/>
          <w:spacing w:val="-55"/>
          <w:sz w:val="24"/>
          <w:szCs w:val="24"/>
        </w:rPr>
        <w:t xml:space="preserve"> </w:t>
      </w:r>
      <w:r>
        <w:rPr>
          <w:rFonts w:ascii="宋体" w:hAnsi="宋体" w:eastAsia="宋体" w:cs="宋体"/>
          <w:spacing w:val="-3"/>
          <w:sz w:val="24"/>
          <w:szCs w:val="24"/>
        </w:rPr>
        <w:t>DICOM</w:t>
      </w:r>
      <w:r>
        <w:rPr>
          <w:rFonts w:ascii="宋体" w:hAnsi="宋体" w:eastAsia="宋体" w:cs="宋体"/>
          <w:spacing w:val="-52"/>
          <w:sz w:val="24"/>
          <w:szCs w:val="24"/>
        </w:rPr>
        <w:t xml:space="preserve"> </w:t>
      </w:r>
      <w:r>
        <w:rPr>
          <w:rFonts w:ascii="宋体" w:hAnsi="宋体" w:eastAsia="宋体" w:cs="宋体"/>
          <w:spacing w:val="-3"/>
          <w:sz w:val="24"/>
          <w:szCs w:val="24"/>
        </w:rPr>
        <w:t>采集图像。可将非</w:t>
      </w:r>
      <w:r>
        <w:rPr>
          <w:rFonts w:ascii="宋体" w:hAnsi="宋体" w:eastAsia="宋体" w:cs="宋体"/>
          <w:spacing w:val="-55"/>
          <w:sz w:val="24"/>
          <w:szCs w:val="24"/>
        </w:rPr>
        <w:t xml:space="preserve"> </w:t>
      </w:r>
      <w:r>
        <w:rPr>
          <w:rFonts w:ascii="宋体" w:hAnsi="宋体" w:eastAsia="宋体" w:cs="宋体"/>
          <w:spacing w:val="-3"/>
          <w:sz w:val="24"/>
          <w:szCs w:val="24"/>
        </w:rPr>
        <w:t>DICOM</w:t>
      </w:r>
      <w:r>
        <w:rPr>
          <w:rFonts w:ascii="宋体" w:hAnsi="宋体" w:eastAsia="宋体" w:cs="宋体"/>
          <w:spacing w:val="-27"/>
          <w:sz w:val="24"/>
          <w:szCs w:val="24"/>
        </w:rPr>
        <w:t xml:space="preserve"> </w:t>
      </w:r>
      <w:r>
        <w:rPr>
          <w:rFonts w:ascii="宋体" w:hAnsi="宋体" w:eastAsia="宋体" w:cs="宋体"/>
          <w:spacing w:val="-3"/>
          <w:sz w:val="24"/>
          <w:szCs w:val="24"/>
        </w:rPr>
        <w:t>图像转化</w:t>
      </w:r>
      <w:r>
        <w:rPr>
          <w:rFonts w:ascii="宋体" w:hAnsi="宋体" w:eastAsia="宋体" w:cs="宋体"/>
          <w:spacing w:val="-4"/>
          <w:sz w:val="24"/>
          <w:szCs w:val="24"/>
        </w:rPr>
        <w:t>为</w:t>
      </w:r>
      <w:r>
        <w:rPr>
          <w:rFonts w:ascii="宋体" w:hAnsi="宋体" w:eastAsia="宋体" w:cs="宋体"/>
          <w:spacing w:val="-55"/>
          <w:sz w:val="24"/>
          <w:szCs w:val="24"/>
        </w:rPr>
        <w:t xml:space="preserve"> </w:t>
      </w:r>
      <w:r>
        <w:rPr>
          <w:rFonts w:ascii="宋体" w:hAnsi="宋体" w:eastAsia="宋体" w:cs="宋体"/>
          <w:spacing w:val="-4"/>
          <w:sz w:val="24"/>
          <w:szCs w:val="24"/>
        </w:rPr>
        <w:t>DICOM</w:t>
      </w:r>
      <w:r>
        <w:rPr>
          <w:rFonts w:ascii="宋体" w:hAnsi="宋体" w:eastAsia="宋体" w:cs="宋体"/>
          <w:spacing w:val="-28"/>
          <w:sz w:val="24"/>
          <w:szCs w:val="24"/>
        </w:rPr>
        <w:t xml:space="preserve"> </w:t>
      </w:r>
      <w:r>
        <w:rPr>
          <w:rFonts w:ascii="宋体" w:hAnsi="宋体" w:eastAsia="宋体" w:cs="宋体"/>
          <w:spacing w:val="-4"/>
          <w:sz w:val="24"/>
          <w:szCs w:val="24"/>
        </w:rPr>
        <w:t>图像。</w:t>
      </w:r>
      <w:r>
        <w:rPr>
          <w:rFonts w:ascii="宋体" w:hAnsi="宋体" w:eastAsia="宋体" w:cs="宋体"/>
          <w:sz w:val="24"/>
          <w:szCs w:val="24"/>
        </w:rPr>
        <w:t xml:space="preserve"> </w:t>
      </w:r>
      <w:r>
        <w:rPr>
          <w:rFonts w:ascii="宋体" w:hAnsi="宋体" w:eastAsia="宋体" w:cs="宋体"/>
          <w:spacing w:val="-3"/>
          <w:sz w:val="24"/>
          <w:szCs w:val="24"/>
        </w:rPr>
        <w:t>3.支持单帧，限时录像、无限时录像。</w:t>
      </w:r>
    </w:p>
    <w:p w14:paraId="396A3ADC">
      <w:pPr>
        <w:spacing w:before="34" w:line="220" w:lineRule="auto"/>
        <w:ind w:left="517"/>
        <w:rPr>
          <w:rFonts w:ascii="宋体" w:hAnsi="宋体" w:eastAsia="宋体" w:cs="宋体"/>
          <w:sz w:val="24"/>
          <w:szCs w:val="24"/>
        </w:rPr>
      </w:pPr>
      <w:r>
        <w:rPr>
          <w:rFonts w:ascii="宋体" w:hAnsi="宋体" w:eastAsia="宋体" w:cs="宋体"/>
          <w:spacing w:val="-3"/>
          <w:sz w:val="24"/>
          <w:szCs w:val="24"/>
        </w:rPr>
        <w:t>4.支持图像和视频的导出、导入。</w:t>
      </w:r>
    </w:p>
    <w:p w14:paraId="2009B347">
      <w:pPr>
        <w:spacing w:before="310" w:line="218" w:lineRule="auto"/>
        <w:ind w:left="523"/>
        <w:rPr>
          <w:rFonts w:ascii="宋体" w:hAnsi="宋体" w:eastAsia="宋体" w:cs="宋体"/>
          <w:sz w:val="24"/>
          <w:szCs w:val="24"/>
        </w:rPr>
      </w:pPr>
      <w:r>
        <w:rPr>
          <w:rFonts w:ascii="宋体" w:hAnsi="宋体" w:eastAsia="宋体" w:cs="宋体"/>
          <w:spacing w:val="-2"/>
          <w:sz w:val="24"/>
          <w:szCs w:val="24"/>
        </w:rPr>
        <w:t>5.异步图像采集，医师书写报告时，不影响图像采集。</w:t>
      </w:r>
    </w:p>
    <w:p w14:paraId="6D6E76D6">
      <w:pPr>
        <w:spacing w:before="313" w:line="218" w:lineRule="auto"/>
        <w:ind w:left="520"/>
        <w:rPr>
          <w:rFonts w:ascii="宋体" w:hAnsi="宋体" w:eastAsia="宋体" w:cs="宋体"/>
          <w:sz w:val="24"/>
          <w:szCs w:val="24"/>
        </w:rPr>
      </w:pPr>
      <w:r>
        <w:rPr>
          <w:rFonts w:ascii="宋体" w:hAnsi="宋体" w:eastAsia="宋体" w:cs="宋体"/>
          <w:spacing w:val="1"/>
          <w:sz w:val="24"/>
          <w:szCs w:val="24"/>
        </w:rPr>
        <w:t>6.在图像采集之后，需要对诊断报告进行编辑，在诊断报告</w:t>
      </w:r>
      <w:r>
        <w:rPr>
          <w:rFonts w:ascii="宋体" w:hAnsi="宋体" w:eastAsia="宋体" w:cs="宋体"/>
          <w:sz w:val="24"/>
          <w:szCs w:val="24"/>
        </w:rPr>
        <w:t>编辑过程中可以调入已有的报</w:t>
      </w:r>
    </w:p>
    <w:p w14:paraId="5DF712EB">
      <w:pPr>
        <w:pStyle w:val="2"/>
        <w:spacing w:line="273" w:lineRule="auto"/>
      </w:pPr>
    </w:p>
    <w:p w14:paraId="529F1FCD">
      <w:pPr>
        <w:pStyle w:val="2"/>
        <w:spacing w:line="274" w:lineRule="auto"/>
      </w:pPr>
    </w:p>
    <w:p w14:paraId="501E2C5A">
      <w:pPr>
        <w:spacing w:before="63"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59                                </w:t>
      </w:r>
      <w:r>
        <w:rPr>
          <w:rFonts w:ascii="宋体" w:hAnsi="宋体" w:eastAsia="宋体" w:cs="宋体"/>
          <w:b/>
          <w:bCs/>
          <w:i/>
          <w:iCs/>
          <w:spacing w:val="-3"/>
          <w:sz w:val="19"/>
          <w:szCs w:val="19"/>
        </w:rPr>
        <w:t>伊犁州公共资源交易中心</w:t>
      </w:r>
    </w:p>
    <w:p w14:paraId="04F1ABD0">
      <w:pPr>
        <w:spacing w:line="160" w:lineRule="auto"/>
        <w:rPr>
          <w:rFonts w:ascii="宋体" w:hAnsi="宋体" w:eastAsia="宋体" w:cs="宋体"/>
          <w:sz w:val="19"/>
          <w:szCs w:val="19"/>
        </w:rPr>
        <w:sectPr>
          <w:headerReference r:id="rId46" w:type="default"/>
          <w:footerReference r:id="rId47" w:type="default"/>
          <w:pgSz w:w="11905" w:h="16839"/>
          <w:pgMar w:top="1136" w:right="773" w:bottom="937" w:left="1136" w:header="854" w:footer="923" w:gutter="0"/>
          <w:cols w:space="720" w:num="1"/>
        </w:sectPr>
      </w:pPr>
    </w:p>
    <w:p w14:paraId="1B08DFB5">
      <w:pPr>
        <w:pStyle w:val="2"/>
        <w:spacing w:line="379" w:lineRule="auto"/>
      </w:pPr>
    </w:p>
    <w:p w14:paraId="7E4011DF">
      <w:pPr>
        <w:spacing w:before="78" w:line="218" w:lineRule="auto"/>
        <w:ind w:left="44"/>
        <w:rPr>
          <w:rFonts w:ascii="宋体" w:hAnsi="宋体" w:eastAsia="宋体" w:cs="宋体"/>
          <w:sz w:val="24"/>
          <w:szCs w:val="24"/>
        </w:rPr>
      </w:pPr>
      <w:r>
        <w:rPr>
          <w:rFonts w:ascii="宋体" w:hAnsi="宋体" w:eastAsia="宋体" w:cs="宋体"/>
          <w:spacing w:val="-1"/>
          <w:sz w:val="24"/>
          <w:szCs w:val="24"/>
        </w:rPr>
        <w:t>告模板，同时也可以将新写的报告以报告模板的形式保</w:t>
      </w:r>
      <w:r>
        <w:rPr>
          <w:rFonts w:ascii="宋体" w:hAnsi="宋体" w:eastAsia="宋体" w:cs="宋体"/>
          <w:spacing w:val="-2"/>
          <w:sz w:val="24"/>
          <w:szCs w:val="24"/>
        </w:rPr>
        <w:t>存起来，供以后的诊断应用。</w:t>
      </w:r>
    </w:p>
    <w:p w14:paraId="38E3794E">
      <w:pPr>
        <w:spacing w:before="313" w:line="444" w:lineRule="auto"/>
        <w:ind w:left="40" w:right="66" w:firstLine="483"/>
        <w:rPr>
          <w:rFonts w:ascii="宋体" w:hAnsi="宋体" w:eastAsia="宋体" w:cs="宋体"/>
          <w:sz w:val="24"/>
          <w:szCs w:val="24"/>
        </w:rPr>
      </w:pPr>
      <w:r>
        <w:rPr>
          <w:rFonts w:ascii="宋体" w:hAnsi="宋体" w:eastAsia="宋体" w:cs="宋体"/>
          <w:spacing w:val="1"/>
          <w:sz w:val="24"/>
          <w:szCs w:val="24"/>
        </w:rPr>
        <w:t>7.选择报告模板：诊断医生根据患者的检查类型调</w:t>
      </w:r>
      <w:r>
        <w:rPr>
          <w:rFonts w:ascii="宋体" w:hAnsi="宋体" w:eastAsia="宋体" w:cs="宋体"/>
          <w:sz w:val="24"/>
          <w:szCs w:val="24"/>
        </w:rPr>
        <w:t xml:space="preserve">用已定义的典型报告模板，模板调入后 </w:t>
      </w:r>
      <w:r>
        <w:rPr>
          <w:rFonts w:ascii="宋体" w:hAnsi="宋体" w:eastAsia="宋体" w:cs="宋体"/>
          <w:spacing w:val="-3"/>
          <w:sz w:val="24"/>
          <w:szCs w:val="24"/>
        </w:rPr>
        <w:t>可进行简单的编辑，快速生成影像诊断报告。</w:t>
      </w:r>
    </w:p>
    <w:p w14:paraId="4DE0AE9E">
      <w:pPr>
        <w:spacing w:before="36" w:line="218" w:lineRule="auto"/>
        <w:ind w:left="519"/>
        <w:rPr>
          <w:rFonts w:ascii="宋体" w:hAnsi="宋体" w:eastAsia="宋体" w:cs="宋体"/>
          <w:sz w:val="24"/>
          <w:szCs w:val="24"/>
        </w:rPr>
      </w:pPr>
      <w:r>
        <w:rPr>
          <w:rFonts w:ascii="宋体" w:hAnsi="宋体" w:eastAsia="宋体" w:cs="宋体"/>
          <w:spacing w:val="-2"/>
          <w:sz w:val="24"/>
          <w:szCs w:val="24"/>
        </w:rPr>
        <w:t>8.报告编辑时，支持快速插入私有及公有词汇短语，提速撰写效率。</w:t>
      </w:r>
    </w:p>
    <w:p w14:paraId="6AD74F3A">
      <w:pPr>
        <w:spacing w:before="312" w:line="445" w:lineRule="auto"/>
        <w:ind w:left="49" w:right="66" w:firstLine="469"/>
        <w:rPr>
          <w:rFonts w:ascii="宋体" w:hAnsi="宋体" w:eastAsia="宋体" w:cs="宋体"/>
          <w:sz w:val="24"/>
          <w:szCs w:val="24"/>
        </w:rPr>
      </w:pPr>
      <w:r>
        <w:rPr>
          <w:rFonts w:ascii="宋体" w:hAnsi="宋体" w:eastAsia="宋体" w:cs="宋体"/>
          <w:spacing w:val="1"/>
          <w:sz w:val="24"/>
          <w:szCs w:val="24"/>
        </w:rPr>
        <w:t>9.特殊符号输入：对μ、γ、ξ、θ、π等特殊符号，系统提</w:t>
      </w:r>
      <w:r>
        <w:rPr>
          <w:rFonts w:ascii="宋体" w:hAnsi="宋体" w:eastAsia="宋体" w:cs="宋体"/>
          <w:sz w:val="24"/>
          <w:szCs w:val="24"/>
        </w:rPr>
        <w:t xml:space="preserve">供特殊符号的工具栏，可由 </w:t>
      </w:r>
      <w:r>
        <w:rPr>
          <w:rFonts w:ascii="宋体" w:hAnsi="宋体" w:eastAsia="宋体" w:cs="宋体"/>
          <w:spacing w:val="-5"/>
          <w:sz w:val="24"/>
          <w:szCs w:val="24"/>
        </w:rPr>
        <w:t>医生从中选择特殊符号。</w:t>
      </w:r>
    </w:p>
    <w:p w14:paraId="5F60F1DB">
      <w:pPr>
        <w:spacing w:before="36" w:line="444" w:lineRule="auto"/>
        <w:ind w:left="40" w:right="66" w:firstLine="495"/>
        <w:rPr>
          <w:rFonts w:ascii="宋体" w:hAnsi="宋体" w:eastAsia="宋体" w:cs="宋体"/>
          <w:sz w:val="24"/>
          <w:szCs w:val="24"/>
        </w:rPr>
      </w:pPr>
      <w:r>
        <w:rPr>
          <w:rFonts w:ascii="宋体" w:hAnsi="宋体" w:eastAsia="宋体" w:cs="宋体"/>
          <w:spacing w:val="1"/>
          <w:sz w:val="24"/>
          <w:szCs w:val="24"/>
        </w:rPr>
        <w:t>10.动态图像输出选择：双击动态图像，系统会自动播放动态图像（</w:t>
      </w:r>
      <w:r>
        <w:rPr>
          <w:rFonts w:ascii="宋体" w:hAnsi="宋体" w:eastAsia="宋体" w:cs="宋体"/>
          <w:sz w:val="24"/>
          <w:szCs w:val="24"/>
        </w:rPr>
        <w:t>DICOM</w:t>
      </w:r>
      <w:r>
        <w:rPr>
          <w:rFonts w:ascii="宋体" w:hAnsi="宋体" w:eastAsia="宋体" w:cs="宋体"/>
          <w:spacing w:val="1"/>
          <w:sz w:val="24"/>
          <w:szCs w:val="24"/>
        </w:rPr>
        <w:t>3.0</w:t>
      </w:r>
      <w:r>
        <w:rPr>
          <w:rFonts w:ascii="宋体" w:hAnsi="宋体" w:eastAsia="宋体" w:cs="宋体"/>
          <w:spacing w:val="-44"/>
          <w:sz w:val="24"/>
          <w:szCs w:val="24"/>
        </w:rPr>
        <w:t xml:space="preserve"> </w:t>
      </w:r>
      <w:r>
        <w:rPr>
          <w:rFonts w:ascii="宋体" w:hAnsi="宋体" w:eastAsia="宋体" w:cs="宋体"/>
          <w:spacing w:val="1"/>
          <w:sz w:val="24"/>
          <w:szCs w:val="24"/>
        </w:rPr>
        <w:t>或</w:t>
      </w:r>
      <w:r>
        <w:rPr>
          <w:rFonts w:ascii="宋体" w:hAnsi="宋体" w:eastAsia="宋体" w:cs="宋体"/>
          <w:spacing w:val="-55"/>
          <w:sz w:val="24"/>
          <w:szCs w:val="24"/>
        </w:rPr>
        <w:t xml:space="preserve"> </w:t>
      </w:r>
      <w:r>
        <w:rPr>
          <w:rFonts w:ascii="宋体" w:hAnsi="宋体" w:eastAsia="宋体" w:cs="宋体"/>
          <w:sz w:val="24"/>
          <w:szCs w:val="24"/>
        </w:rPr>
        <w:t>AVI</w:t>
      </w:r>
      <w:r>
        <w:rPr>
          <w:rFonts w:ascii="宋体" w:hAnsi="宋体" w:eastAsia="宋体" w:cs="宋体"/>
          <w:spacing w:val="-47"/>
          <w:sz w:val="24"/>
          <w:szCs w:val="24"/>
        </w:rPr>
        <w:t xml:space="preserve"> </w:t>
      </w:r>
      <w:r>
        <w:rPr>
          <w:rFonts w:ascii="宋体" w:hAnsi="宋体" w:eastAsia="宋体" w:cs="宋体"/>
          <w:spacing w:val="1"/>
          <w:sz w:val="24"/>
          <w:szCs w:val="24"/>
        </w:rPr>
        <w:t>录像</w:t>
      </w:r>
      <w:r>
        <w:rPr>
          <w:rFonts w:ascii="宋体" w:hAnsi="宋体" w:eastAsia="宋体" w:cs="宋体"/>
          <w:sz w:val="24"/>
          <w:szCs w:val="24"/>
        </w:rPr>
        <w:t xml:space="preserve"> </w:t>
      </w:r>
      <w:r>
        <w:rPr>
          <w:rFonts w:ascii="宋体" w:hAnsi="宋体" w:eastAsia="宋体" w:cs="宋体"/>
          <w:spacing w:val="-3"/>
          <w:sz w:val="24"/>
          <w:szCs w:val="24"/>
        </w:rPr>
        <w:t>文件</w:t>
      </w:r>
      <w:r>
        <w:rPr>
          <w:rFonts w:ascii="宋体" w:hAnsi="宋体" w:eastAsia="宋体" w:cs="宋体"/>
          <w:spacing w:val="1"/>
          <w:sz w:val="24"/>
          <w:szCs w:val="24"/>
        </w:rPr>
        <w:t>），</w:t>
      </w:r>
      <w:r>
        <w:rPr>
          <w:rFonts w:ascii="宋体" w:hAnsi="宋体" w:eastAsia="宋体" w:cs="宋体"/>
          <w:spacing w:val="-3"/>
          <w:sz w:val="24"/>
          <w:szCs w:val="24"/>
        </w:rPr>
        <w:t>操作人员可截取多幅重点图像。</w:t>
      </w:r>
    </w:p>
    <w:p w14:paraId="24D6600B">
      <w:pPr>
        <w:spacing w:before="37" w:line="218" w:lineRule="auto"/>
        <w:ind w:left="536"/>
        <w:rPr>
          <w:rFonts w:ascii="宋体" w:hAnsi="宋体" w:eastAsia="宋体" w:cs="宋体"/>
          <w:sz w:val="24"/>
          <w:szCs w:val="24"/>
        </w:rPr>
      </w:pPr>
      <w:r>
        <w:rPr>
          <w:rFonts w:ascii="宋体" w:hAnsi="宋体" w:eastAsia="宋体" w:cs="宋体"/>
          <w:spacing w:val="-2"/>
          <w:sz w:val="24"/>
          <w:szCs w:val="24"/>
        </w:rPr>
        <w:t>11.静态图像输出选择：从静态图像列表中选择需要打印到报告上的重点图像。</w:t>
      </w:r>
    </w:p>
    <w:p w14:paraId="51A2CBC7">
      <w:pPr>
        <w:spacing w:before="312" w:line="445" w:lineRule="auto"/>
        <w:ind w:left="39" w:firstLine="496"/>
        <w:rPr>
          <w:rFonts w:ascii="宋体" w:hAnsi="宋体" w:eastAsia="宋体" w:cs="宋体"/>
          <w:sz w:val="24"/>
          <w:szCs w:val="24"/>
        </w:rPr>
      </w:pPr>
      <w:r>
        <w:rPr>
          <w:rFonts w:ascii="宋体" w:hAnsi="宋体" w:eastAsia="宋体" w:cs="宋体"/>
          <w:spacing w:val="-7"/>
          <w:sz w:val="24"/>
          <w:szCs w:val="24"/>
        </w:rPr>
        <w:t>12.图像处理工具：系统提供对图像的移动、翻转、镜像、放大、缩小等图像显示处理工具，</w:t>
      </w:r>
      <w:r>
        <w:rPr>
          <w:rFonts w:ascii="宋体" w:hAnsi="宋体" w:eastAsia="宋体" w:cs="宋体"/>
          <w:spacing w:val="12"/>
          <w:sz w:val="24"/>
          <w:szCs w:val="24"/>
        </w:rPr>
        <w:t xml:space="preserve"> </w:t>
      </w:r>
      <w:r>
        <w:rPr>
          <w:rFonts w:ascii="宋体" w:hAnsi="宋体" w:eastAsia="宋体" w:cs="宋体"/>
          <w:spacing w:val="-1"/>
          <w:sz w:val="24"/>
          <w:szCs w:val="24"/>
        </w:rPr>
        <w:t>提供角度、直线、箭头、圆、矩形、多边形</w:t>
      </w:r>
      <w:r>
        <w:rPr>
          <w:rFonts w:ascii="宋体" w:hAnsi="宋体" w:eastAsia="宋体" w:cs="宋体"/>
          <w:spacing w:val="-2"/>
          <w:sz w:val="24"/>
          <w:szCs w:val="24"/>
        </w:rPr>
        <w:t>、手绘线和文字等批注工具。</w:t>
      </w:r>
    </w:p>
    <w:p w14:paraId="12F13919">
      <w:pPr>
        <w:spacing w:before="36" w:line="444" w:lineRule="auto"/>
        <w:ind w:left="44" w:right="66" w:firstLine="492"/>
        <w:rPr>
          <w:rFonts w:ascii="宋体" w:hAnsi="宋体" w:eastAsia="宋体" w:cs="宋体"/>
          <w:sz w:val="24"/>
          <w:szCs w:val="24"/>
        </w:rPr>
      </w:pPr>
      <w:r>
        <w:rPr>
          <w:rFonts w:ascii="宋体" w:hAnsi="宋体" w:eastAsia="宋体" w:cs="宋体"/>
          <w:spacing w:val="-3"/>
          <w:sz w:val="24"/>
          <w:szCs w:val="24"/>
        </w:rPr>
        <w:t>13.输出报告格式选择：可选择根据医院的输出报告样自定义的输出报告模板，作为输出报</w:t>
      </w:r>
      <w:r>
        <w:rPr>
          <w:rFonts w:ascii="宋体" w:hAnsi="宋体" w:eastAsia="宋体" w:cs="宋体"/>
          <w:spacing w:val="14"/>
          <w:sz w:val="24"/>
          <w:szCs w:val="24"/>
        </w:rPr>
        <w:t xml:space="preserve"> </w:t>
      </w:r>
      <w:r>
        <w:rPr>
          <w:rFonts w:ascii="宋体" w:hAnsi="宋体" w:eastAsia="宋体" w:cs="宋体"/>
          <w:spacing w:val="-8"/>
          <w:sz w:val="24"/>
          <w:szCs w:val="24"/>
        </w:rPr>
        <w:t>告的样式。</w:t>
      </w:r>
    </w:p>
    <w:p w14:paraId="648D8082">
      <w:pPr>
        <w:spacing w:before="38" w:line="444" w:lineRule="auto"/>
        <w:ind w:left="40" w:right="66" w:firstLine="495"/>
        <w:rPr>
          <w:rFonts w:ascii="宋体" w:hAnsi="宋体" w:eastAsia="宋体" w:cs="宋体"/>
          <w:sz w:val="24"/>
          <w:szCs w:val="24"/>
        </w:rPr>
      </w:pPr>
      <w:r>
        <w:rPr>
          <w:rFonts w:ascii="宋体" w:hAnsi="宋体" w:eastAsia="宋体" w:cs="宋体"/>
          <w:spacing w:val="-3"/>
          <w:sz w:val="24"/>
          <w:szCs w:val="24"/>
        </w:rPr>
        <w:t>14.图像描述：报告的图像一般有文字说明，是对图像性质等的描述，其文字内容由诊断医</w:t>
      </w:r>
      <w:r>
        <w:rPr>
          <w:rFonts w:ascii="宋体" w:hAnsi="宋体" w:eastAsia="宋体" w:cs="宋体"/>
          <w:spacing w:val="14"/>
          <w:sz w:val="24"/>
          <w:szCs w:val="24"/>
        </w:rPr>
        <w:t xml:space="preserve"> </w:t>
      </w:r>
      <w:r>
        <w:rPr>
          <w:rFonts w:ascii="宋体" w:hAnsi="宋体" w:eastAsia="宋体" w:cs="宋体"/>
          <w:spacing w:val="-3"/>
          <w:sz w:val="24"/>
          <w:szCs w:val="24"/>
        </w:rPr>
        <w:t>生输入，并将在报告上打印出来。</w:t>
      </w:r>
    </w:p>
    <w:p w14:paraId="3426D823">
      <w:pPr>
        <w:spacing w:before="36" w:line="445" w:lineRule="auto"/>
        <w:ind w:left="65" w:right="66" w:firstLine="470"/>
        <w:rPr>
          <w:rFonts w:ascii="宋体" w:hAnsi="宋体" w:eastAsia="宋体" w:cs="宋体"/>
          <w:sz w:val="24"/>
          <w:szCs w:val="24"/>
        </w:rPr>
      </w:pPr>
      <w:r>
        <w:rPr>
          <w:rFonts w:ascii="宋体" w:hAnsi="宋体" w:eastAsia="宋体" w:cs="宋体"/>
          <w:spacing w:val="-3"/>
          <w:sz w:val="24"/>
          <w:szCs w:val="24"/>
        </w:rPr>
        <w:t>15.存为模板：当医生在完成一份诊断报告之后，认为该报告可作为典型模板保存起来，可</w:t>
      </w:r>
      <w:r>
        <w:rPr>
          <w:rFonts w:ascii="宋体" w:hAnsi="宋体" w:eastAsia="宋体" w:cs="宋体"/>
          <w:spacing w:val="14"/>
          <w:sz w:val="24"/>
          <w:szCs w:val="24"/>
        </w:rPr>
        <w:t xml:space="preserve"> </w:t>
      </w:r>
      <w:r>
        <w:rPr>
          <w:rFonts w:ascii="宋体" w:hAnsi="宋体" w:eastAsia="宋体" w:cs="宋体"/>
          <w:spacing w:val="-3"/>
          <w:sz w:val="24"/>
          <w:szCs w:val="24"/>
        </w:rPr>
        <w:t>以使用该功能，保存为私有模板，便于以后同类型诊断使用。</w:t>
      </w:r>
    </w:p>
    <w:p w14:paraId="1593B36A">
      <w:pPr>
        <w:spacing w:before="35" w:line="219" w:lineRule="auto"/>
        <w:ind w:left="536"/>
        <w:rPr>
          <w:rFonts w:ascii="宋体" w:hAnsi="宋体" w:eastAsia="宋体" w:cs="宋体"/>
          <w:sz w:val="24"/>
          <w:szCs w:val="24"/>
        </w:rPr>
      </w:pPr>
      <w:r>
        <w:rPr>
          <w:rFonts w:ascii="宋体" w:hAnsi="宋体" w:eastAsia="宋体" w:cs="宋体"/>
          <w:spacing w:val="-2"/>
          <w:sz w:val="24"/>
          <w:szCs w:val="24"/>
        </w:rPr>
        <w:t>16.相关诊断功能：显示本病人的所有不同时间、不同设备的相关影像检查资料。</w:t>
      </w:r>
    </w:p>
    <w:p w14:paraId="073FD1B8">
      <w:pPr>
        <w:spacing w:before="310" w:line="450" w:lineRule="auto"/>
        <w:ind w:left="37" w:right="66" w:firstLine="498"/>
        <w:rPr>
          <w:rFonts w:ascii="宋体" w:hAnsi="宋体" w:eastAsia="宋体" w:cs="宋体"/>
          <w:sz w:val="24"/>
          <w:szCs w:val="24"/>
        </w:rPr>
      </w:pPr>
      <w:r>
        <w:rPr>
          <w:rFonts w:ascii="宋体" w:hAnsi="宋体" w:eastAsia="宋体" w:cs="宋体"/>
          <w:spacing w:val="-3"/>
          <w:sz w:val="24"/>
          <w:szCs w:val="24"/>
        </w:rPr>
        <w:t>17.★支持“阴阳性”模板配置，即创建报告模板时，可以选择模板的阴阳性，当用户应用</w:t>
      </w:r>
      <w:r>
        <w:rPr>
          <w:rFonts w:ascii="宋体" w:hAnsi="宋体" w:eastAsia="宋体" w:cs="宋体"/>
          <w:spacing w:val="14"/>
          <w:sz w:val="24"/>
          <w:szCs w:val="24"/>
        </w:rPr>
        <w:t xml:space="preserve"> </w:t>
      </w:r>
      <w:r>
        <w:rPr>
          <w:rFonts w:ascii="宋体" w:hAnsi="宋体" w:eastAsia="宋体" w:cs="宋体"/>
          <w:spacing w:val="1"/>
          <w:sz w:val="24"/>
          <w:szCs w:val="24"/>
        </w:rPr>
        <w:t>模板时，可直接在报告信息中回填，创建完成后在报告模板中有阴阳</w:t>
      </w:r>
      <w:r>
        <w:rPr>
          <w:rFonts w:ascii="宋体" w:hAnsi="宋体" w:eastAsia="宋体" w:cs="宋体"/>
          <w:sz w:val="24"/>
          <w:szCs w:val="24"/>
        </w:rPr>
        <w:t xml:space="preserve">性图标显示。（需提供软 </w:t>
      </w:r>
      <w:r>
        <w:rPr>
          <w:rFonts w:ascii="宋体" w:hAnsi="宋体" w:eastAsia="宋体" w:cs="宋体"/>
          <w:spacing w:val="-4"/>
          <w:sz w:val="24"/>
          <w:szCs w:val="24"/>
        </w:rPr>
        <w:t>件截图证明）</w:t>
      </w:r>
    </w:p>
    <w:p w14:paraId="7AE70AAA">
      <w:pPr>
        <w:spacing w:before="36" w:line="444" w:lineRule="auto"/>
        <w:ind w:left="36" w:right="66" w:firstLine="499"/>
        <w:rPr>
          <w:rFonts w:ascii="宋体" w:hAnsi="宋体" w:eastAsia="宋体" w:cs="宋体"/>
          <w:sz w:val="24"/>
          <w:szCs w:val="24"/>
        </w:rPr>
      </w:pPr>
      <w:r>
        <w:rPr>
          <w:rFonts w:ascii="宋体" w:hAnsi="宋体" w:eastAsia="宋体" w:cs="宋体"/>
          <w:spacing w:val="-3"/>
          <w:sz w:val="24"/>
          <w:szCs w:val="24"/>
        </w:rPr>
        <w:t>18.报告的打印和预览：在打印之前可以选择系统中已定义好的输出报告模板，以确定输出</w:t>
      </w:r>
      <w:r>
        <w:rPr>
          <w:rFonts w:ascii="宋体" w:hAnsi="宋体" w:eastAsia="宋体" w:cs="宋体"/>
          <w:spacing w:val="14"/>
          <w:sz w:val="24"/>
          <w:szCs w:val="24"/>
        </w:rPr>
        <w:t xml:space="preserve"> </w:t>
      </w:r>
      <w:r>
        <w:rPr>
          <w:rFonts w:ascii="宋体" w:hAnsi="宋体" w:eastAsia="宋体" w:cs="宋体"/>
          <w:spacing w:val="-6"/>
          <w:sz w:val="24"/>
          <w:szCs w:val="24"/>
        </w:rPr>
        <w:t>报告的形式。</w:t>
      </w:r>
    </w:p>
    <w:p w14:paraId="7B05993F">
      <w:pPr>
        <w:pStyle w:val="2"/>
        <w:spacing w:line="392" w:lineRule="auto"/>
      </w:pPr>
    </w:p>
    <w:p w14:paraId="1036B860">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60                                </w:t>
      </w:r>
      <w:r>
        <w:rPr>
          <w:rFonts w:ascii="宋体" w:hAnsi="宋体" w:eastAsia="宋体" w:cs="宋体"/>
          <w:b/>
          <w:bCs/>
          <w:i/>
          <w:iCs/>
          <w:spacing w:val="-3"/>
          <w:sz w:val="19"/>
          <w:szCs w:val="19"/>
        </w:rPr>
        <w:t>伊犁州公共资源交易中心</w:t>
      </w:r>
    </w:p>
    <w:p w14:paraId="194A50FF">
      <w:pPr>
        <w:spacing w:line="160" w:lineRule="auto"/>
        <w:rPr>
          <w:rFonts w:ascii="宋体" w:hAnsi="宋体" w:eastAsia="宋体" w:cs="宋体"/>
          <w:sz w:val="19"/>
          <w:szCs w:val="19"/>
        </w:rPr>
        <w:sectPr>
          <w:headerReference r:id="rId48" w:type="default"/>
          <w:footerReference r:id="rId49" w:type="default"/>
          <w:pgSz w:w="11905" w:h="16839"/>
          <w:pgMar w:top="1136" w:right="792" w:bottom="937" w:left="1136" w:header="854" w:footer="923" w:gutter="0"/>
          <w:cols w:space="720" w:num="1"/>
        </w:sectPr>
      </w:pPr>
    </w:p>
    <w:p w14:paraId="79D27516">
      <w:pPr>
        <w:pStyle w:val="2"/>
        <w:spacing w:line="379" w:lineRule="auto"/>
      </w:pPr>
    </w:p>
    <w:p w14:paraId="244F26EF">
      <w:pPr>
        <w:spacing w:before="78" w:line="218" w:lineRule="auto"/>
        <w:ind w:left="536"/>
        <w:rPr>
          <w:rFonts w:ascii="宋体" w:hAnsi="宋体" w:eastAsia="宋体" w:cs="宋体"/>
          <w:sz w:val="24"/>
          <w:szCs w:val="24"/>
        </w:rPr>
      </w:pPr>
      <w:r>
        <w:rPr>
          <w:rFonts w:ascii="宋体" w:hAnsi="宋体" w:eastAsia="宋体" w:cs="宋体"/>
          <w:spacing w:val="-4"/>
          <w:sz w:val="24"/>
          <w:szCs w:val="24"/>
        </w:rPr>
        <w:t>19.支持查看报告的修改痕迹对比。</w:t>
      </w:r>
    </w:p>
    <w:p w14:paraId="559304A1">
      <w:pPr>
        <w:spacing w:before="312" w:line="445" w:lineRule="auto"/>
        <w:ind w:left="42" w:right="85" w:firstLine="479"/>
        <w:rPr>
          <w:rFonts w:ascii="宋体" w:hAnsi="宋体" w:eastAsia="宋体" w:cs="宋体"/>
          <w:sz w:val="24"/>
          <w:szCs w:val="24"/>
        </w:rPr>
      </w:pPr>
      <w:r>
        <w:rPr>
          <w:rFonts w:ascii="宋体" w:hAnsi="宋体" w:eastAsia="宋体" w:cs="宋体"/>
          <w:spacing w:val="-2"/>
          <w:sz w:val="24"/>
          <w:szCs w:val="24"/>
        </w:rPr>
        <w:t>20.支持结构化报告，支持报告规则设置，包括四则混合运算和</w:t>
      </w:r>
      <w:r>
        <w:rPr>
          <w:rFonts w:ascii="宋体" w:hAnsi="宋体" w:eastAsia="宋体" w:cs="宋体"/>
          <w:spacing w:val="-3"/>
          <w:sz w:val="24"/>
          <w:szCs w:val="24"/>
        </w:rPr>
        <w:t>逻辑因果判断等；支持未填</w:t>
      </w:r>
      <w:r>
        <w:rPr>
          <w:rFonts w:ascii="宋体" w:hAnsi="宋体" w:eastAsia="宋体" w:cs="宋体"/>
          <w:sz w:val="24"/>
          <w:szCs w:val="24"/>
        </w:rPr>
        <w:t xml:space="preserve"> </w:t>
      </w:r>
      <w:r>
        <w:rPr>
          <w:rFonts w:ascii="宋体" w:hAnsi="宋体" w:eastAsia="宋体" w:cs="宋体"/>
          <w:spacing w:val="-3"/>
          <w:sz w:val="24"/>
          <w:szCs w:val="24"/>
        </w:rPr>
        <w:t>项段落隐藏，支持自定义控件添加等功能。</w:t>
      </w:r>
    </w:p>
    <w:p w14:paraId="2F2C54CE">
      <w:pPr>
        <w:spacing w:before="34" w:line="223" w:lineRule="auto"/>
        <w:ind w:left="36"/>
        <w:rPr>
          <w:rFonts w:ascii="楷体" w:hAnsi="楷体" w:eastAsia="楷体" w:cs="楷体"/>
          <w:sz w:val="24"/>
          <w:szCs w:val="24"/>
        </w:rPr>
      </w:pPr>
      <w:r>
        <w:rPr>
          <w:rFonts w:ascii="楷体" w:hAnsi="楷体" w:eastAsia="楷体" w:cs="楷体"/>
          <w:spacing w:val="-5"/>
          <w:sz w:val="24"/>
          <w:szCs w:val="24"/>
        </w:rPr>
        <w:t>2.6</w:t>
      </w:r>
      <w:r>
        <w:rPr>
          <w:rFonts w:ascii="楷体" w:hAnsi="楷体" w:eastAsia="楷体" w:cs="楷体"/>
          <w:spacing w:val="43"/>
          <w:sz w:val="24"/>
          <w:szCs w:val="24"/>
        </w:rPr>
        <w:t xml:space="preserve"> </w:t>
      </w:r>
      <w:r>
        <w:rPr>
          <w:rFonts w:ascii="楷体" w:hAnsi="楷体" w:eastAsia="楷体" w:cs="楷体"/>
          <w:spacing w:val="-5"/>
          <w:sz w:val="24"/>
          <w:szCs w:val="24"/>
        </w:rPr>
        <w:t>内镜管理系统</w:t>
      </w:r>
    </w:p>
    <w:p w14:paraId="3D13A7D6">
      <w:pPr>
        <w:pStyle w:val="2"/>
        <w:spacing w:line="346" w:lineRule="auto"/>
      </w:pPr>
    </w:p>
    <w:p w14:paraId="15C84547">
      <w:pPr>
        <w:spacing w:before="79" w:line="215" w:lineRule="auto"/>
        <w:ind w:left="47"/>
        <w:rPr>
          <w:rFonts w:ascii="仿宋" w:hAnsi="仿宋" w:eastAsia="仿宋" w:cs="仿宋"/>
          <w:sz w:val="24"/>
          <w:szCs w:val="24"/>
        </w:rPr>
      </w:pPr>
      <w:r>
        <w:rPr>
          <w:rFonts w:ascii="仿宋" w:hAnsi="仿宋" w:eastAsia="仿宋" w:cs="仿宋"/>
          <w:b/>
          <w:bCs/>
          <w:spacing w:val="-4"/>
          <w:sz w:val="24"/>
          <w:szCs w:val="24"/>
        </w:rPr>
        <w:t>2.6.1</w:t>
      </w:r>
      <w:r>
        <w:rPr>
          <w:rFonts w:ascii="仿宋" w:hAnsi="仿宋" w:eastAsia="仿宋" w:cs="仿宋"/>
          <w:spacing w:val="-4"/>
          <w:sz w:val="24"/>
          <w:szCs w:val="24"/>
        </w:rPr>
        <w:t xml:space="preserve"> </w:t>
      </w:r>
      <w:r>
        <w:rPr>
          <w:rFonts w:ascii="仿宋" w:hAnsi="仿宋" w:eastAsia="仿宋" w:cs="仿宋"/>
          <w:b/>
          <w:bCs/>
          <w:spacing w:val="-4"/>
          <w:sz w:val="24"/>
          <w:szCs w:val="24"/>
        </w:rPr>
        <w:t>检查登记系统</w:t>
      </w:r>
    </w:p>
    <w:p w14:paraId="2F3E9512">
      <w:pPr>
        <w:pStyle w:val="2"/>
        <w:spacing w:line="353" w:lineRule="auto"/>
      </w:pPr>
    </w:p>
    <w:p w14:paraId="7BDB9A38">
      <w:pPr>
        <w:spacing w:before="78" w:line="450" w:lineRule="auto"/>
        <w:ind w:left="37" w:right="85" w:firstLine="498"/>
        <w:jc w:val="both"/>
        <w:rPr>
          <w:rFonts w:ascii="宋体" w:hAnsi="宋体" w:eastAsia="宋体" w:cs="宋体"/>
          <w:sz w:val="24"/>
          <w:szCs w:val="24"/>
        </w:rPr>
      </w:pPr>
      <w:r>
        <w:rPr>
          <w:rFonts w:ascii="宋体" w:hAnsi="宋体" w:eastAsia="宋体" w:cs="宋体"/>
          <w:spacing w:val="-1"/>
          <w:sz w:val="24"/>
          <w:szCs w:val="24"/>
        </w:rPr>
        <w:t>1.支持与</w:t>
      </w:r>
      <w:r>
        <w:rPr>
          <w:rFonts w:ascii="宋体" w:hAnsi="宋体" w:eastAsia="宋体" w:cs="宋体"/>
          <w:spacing w:val="-39"/>
          <w:sz w:val="24"/>
          <w:szCs w:val="24"/>
        </w:rPr>
        <w:t xml:space="preserve"> </w:t>
      </w:r>
      <w:r>
        <w:rPr>
          <w:rFonts w:ascii="宋体" w:hAnsi="宋体" w:eastAsia="宋体" w:cs="宋体"/>
          <w:spacing w:val="-1"/>
          <w:sz w:val="24"/>
          <w:szCs w:val="24"/>
        </w:rPr>
        <w:t>HIS</w:t>
      </w:r>
      <w:r>
        <w:rPr>
          <w:rFonts w:ascii="宋体" w:hAnsi="宋体" w:eastAsia="宋体" w:cs="宋体"/>
          <w:spacing w:val="-45"/>
          <w:sz w:val="24"/>
          <w:szCs w:val="24"/>
        </w:rPr>
        <w:t xml:space="preserve"> </w:t>
      </w:r>
      <w:r>
        <w:rPr>
          <w:rFonts w:ascii="宋体" w:hAnsi="宋体" w:eastAsia="宋体" w:cs="宋体"/>
          <w:spacing w:val="-1"/>
          <w:sz w:val="24"/>
          <w:szCs w:val="24"/>
        </w:rPr>
        <w:t>系统集成，实现检查登记时输入病历号后从</w:t>
      </w:r>
      <w:r>
        <w:rPr>
          <w:rFonts w:ascii="宋体" w:hAnsi="宋体" w:eastAsia="宋体" w:cs="宋体"/>
          <w:spacing w:val="-55"/>
          <w:sz w:val="24"/>
          <w:szCs w:val="24"/>
        </w:rPr>
        <w:t xml:space="preserve"> </w:t>
      </w:r>
      <w:r>
        <w:rPr>
          <w:rFonts w:ascii="宋体" w:hAnsi="宋体" w:eastAsia="宋体" w:cs="宋体"/>
          <w:spacing w:val="-1"/>
          <w:sz w:val="24"/>
          <w:szCs w:val="24"/>
        </w:rPr>
        <w:t>HIS</w:t>
      </w:r>
      <w:r>
        <w:rPr>
          <w:rFonts w:ascii="宋体" w:hAnsi="宋体" w:eastAsia="宋体" w:cs="宋体"/>
          <w:spacing w:val="-48"/>
          <w:sz w:val="24"/>
          <w:szCs w:val="24"/>
        </w:rPr>
        <w:t xml:space="preserve"> </w:t>
      </w:r>
      <w:r>
        <w:rPr>
          <w:rFonts w:ascii="宋体" w:hAnsi="宋体" w:eastAsia="宋体" w:cs="宋体"/>
          <w:spacing w:val="-1"/>
          <w:sz w:val="24"/>
          <w:szCs w:val="24"/>
        </w:rPr>
        <w:t>调入病人信息，一次完成登</w:t>
      </w:r>
      <w:r>
        <w:rPr>
          <w:rFonts w:ascii="宋体" w:hAnsi="宋体" w:eastAsia="宋体" w:cs="宋体"/>
          <w:sz w:val="24"/>
          <w:szCs w:val="24"/>
        </w:rPr>
        <w:t xml:space="preserve"> </w:t>
      </w:r>
      <w:r>
        <w:rPr>
          <w:rFonts w:ascii="宋体" w:hAnsi="宋体" w:eastAsia="宋体" w:cs="宋体"/>
          <w:spacing w:val="-1"/>
          <w:sz w:val="24"/>
          <w:szCs w:val="24"/>
        </w:rPr>
        <w:t>记工作；联合</w:t>
      </w:r>
      <w:r>
        <w:rPr>
          <w:rFonts w:ascii="宋体" w:hAnsi="宋体" w:eastAsia="宋体" w:cs="宋体"/>
          <w:spacing w:val="-56"/>
          <w:sz w:val="24"/>
          <w:szCs w:val="24"/>
        </w:rPr>
        <w:t xml:space="preserve"> </w:t>
      </w:r>
      <w:r>
        <w:rPr>
          <w:rFonts w:ascii="宋体" w:hAnsi="宋体" w:eastAsia="宋体" w:cs="宋体"/>
          <w:spacing w:val="-1"/>
          <w:sz w:val="24"/>
          <w:szCs w:val="24"/>
        </w:rPr>
        <w:t>HIS，实现患者一人一个唯一编</w:t>
      </w:r>
      <w:r>
        <w:rPr>
          <w:rFonts w:ascii="宋体" w:hAnsi="宋体" w:eastAsia="宋体" w:cs="宋体"/>
          <w:spacing w:val="-2"/>
          <w:sz w:val="24"/>
          <w:szCs w:val="24"/>
        </w:rPr>
        <w:t>码管理，在</w:t>
      </w:r>
      <w:r>
        <w:rPr>
          <w:rFonts w:ascii="宋体" w:hAnsi="宋体" w:eastAsia="宋体" w:cs="宋体"/>
          <w:spacing w:val="-53"/>
          <w:sz w:val="24"/>
          <w:szCs w:val="24"/>
        </w:rPr>
        <w:t xml:space="preserve"> </w:t>
      </w:r>
      <w:r>
        <w:rPr>
          <w:rFonts w:ascii="宋体" w:hAnsi="宋体" w:eastAsia="宋体" w:cs="宋体"/>
          <w:spacing w:val="-2"/>
          <w:sz w:val="24"/>
          <w:szCs w:val="24"/>
        </w:rPr>
        <w:t>RIS</w:t>
      </w:r>
      <w:r>
        <w:rPr>
          <w:rFonts w:ascii="宋体" w:hAnsi="宋体" w:eastAsia="宋体" w:cs="宋体"/>
          <w:spacing w:val="-51"/>
          <w:sz w:val="24"/>
          <w:szCs w:val="24"/>
        </w:rPr>
        <w:t xml:space="preserve"> </w:t>
      </w:r>
      <w:r>
        <w:rPr>
          <w:rFonts w:ascii="宋体" w:hAnsi="宋体" w:eastAsia="宋体" w:cs="宋体"/>
          <w:spacing w:val="-2"/>
          <w:sz w:val="24"/>
          <w:szCs w:val="24"/>
        </w:rPr>
        <w:t>及</w:t>
      </w:r>
      <w:r>
        <w:rPr>
          <w:rFonts w:ascii="宋体" w:hAnsi="宋体" w:eastAsia="宋体" w:cs="宋体"/>
          <w:spacing w:val="-55"/>
          <w:sz w:val="24"/>
          <w:szCs w:val="24"/>
        </w:rPr>
        <w:t xml:space="preserve"> </w:t>
      </w:r>
      <w:r>
        <w:rPr>
          <w:rFonts w:ascii="宋体" w:hAnsi="宋体" w:eastAsia="宋体" w:cs="宋体"/>
          <w:spacing w:val="-2"/>
          <w:sz w:val="24"/>
          <w:szCs w:val="24"/>
        </w:rPr>
        <w:t>PACS</w:t>
      </w:r>
      <w:r>
        <w:rPr>
          <w:rFonts w:ascii="宋体" w:hAnsi="宋体" w:eastAsia="宋体" w:cs="宋体"/>
          <w:spacing w:val="-46"/>
          <w:sz w:val="24"/>
          <w:szCs w:val="24"/>
        </w:rPr>
        <w:t xml:space="preserve"> </w:t>
      </w:r>
      <w:r>
        <w:rPr>
          <w:rFonts w:ascii="宋体" w:hAnsi="宋体" w:eastAsia="宋体" w:cs="宋体"/>
          <w:spacing w:val="-2"/>
          <w:sz w:val="24"/>
          <w:szCs w:val="24"/>
        </w:rPr>
        <w:t>系统中能查看各影像检查</w:t>
      </w:r>
      <w:r>
        <w:rPr>
          <w:rFonts w:ascii="宋体" w:hAnsi="宋体" w:eastAsia="宋体" w:cs="宋体"/>
          <w:sz w:val="24"/>
          <w:szCs w:val="24"/>
        </w:rPr>
        <w:t xml:space="preserve"> </w:t>
      </w:r>
      <w:r>
        <w:rPr>
          <w:rFonts w:ascii="宋体" w:hAnsi="宋体" w:eastAsia="宋体" w:cs="宋体"/>
          <w:spacing w:val="-6"/>
          <w:sz w:val="24"/>
          <w:szCs w:val="24"/>
        </w:rPr>
        <w:t>项目患者编码。</w:t>
      </w:r>
    </w:p>
    <w:p w14:paraId="76E54791">
      <w:pPr>
        <w:spacing w:before="35" w:line="445" w:lineRule="auto"/>
        <w:ind w:left="522" w:right="400" w:hanging="1"/>
        <w:rPr>
          <w:rFonts w:ascii="宋体" w:hAnsi="宋体" w:eastAsia="宋体" w:cs="宋体"/>
          <w:sz w:val="24"/>
          <w:szCs w:val="24"/>
        </w:rPr>
      </w:pPr>
      <w:r>
        <w:rPr>
          <w:rFonts w:ascii="宋体" w:hAnsi="宋体" w:eastAsia="宋体" w:cs="宋体"/>
          <w:spacing w:val="-1"/>
          <w:sz w:val="24"/>
          <w:szCs w:val="24"/>
        </w:rPr>
        <w:t>2.支持检查登记，并在分诊或诊断环节灵活进行费用确认，确保</w:t>
      </w:r>
      <w:r>
        <w:rPr>
          <w:rFonts w:ascii="宋体" w:hAnsi="宋体" w:eastAsia="宋体" w:cs="宋体"/>
          <w:spacing w:val="-2"/>
          <w:sz w:val="24"/>
          <w:szCs w:val="24"/>
        </w:rPr>
        <w:t>流程的高效与适应性。</w:t>
      </w:r>
      <w:r>
        <w:rPr>
          <w:rFonts w:ascii="宋体" w:hAnsi="宋体" w:eastAsia="宋体" w:cs="宋体"/>
          <w:sz w:val="24"/>
          <w:szCs w:val="24"/>
        </w:rPr>
        <w:t xml:space="preserve"> </w:t>
      </w:r>
      <w:r>
        <w:rPr>
          <w:rFonts w:ascii="宋体" w:hAnsi="宋体" w:eastAsia="宋体" w:cs="宋体"/>
          <w:spacing w:val="-3"/>
          <w:sz w:val="24"/>
          <w:szCs w:val="24"/>
        </w:rPr>
        <w:t>3.支持检查单打印，可打印条码。</w:t>
      </w:r>
    </w:p>
    <w:p w14:paraId="341ED24A">
      <w:pPr>
        <w:spacing w:before="35" w:line="445" w:lineRule="auto"/>
        <w:ind w:left="40" w:firstLine="477"/>
        <w:rPr>
          <w:rFonts w:ascii="宋体" w:hAnsi="宋体" w:eastAsia="宋体" w:cs="宋体"/>
          <w:sz w:val="24"/>
          <w:szCs w:val="24"/>
        </w:rPr>
      </w:pPr>
      <w:r>
        <w:rPr>
          <w:rFonts w:ascii="宋体" w:hAnsi="宋体" w:eastAsia="宋体" w:cs="宋体"/>
          <w:spacing w:val="-7"/>
          <w:sz w:val="24"/>
          <w:szCs w:val="24"/>
        </w:rPr>
        <w:t>4.检查申请单可以按检查类型和检查项目自由配置格式和内容，支持医保卡、磁卡、</w:t>
      </w:r>
      <w:r>
        <w:rPr>
          <w:rFonts w:ascii="宋体" w:hAnsi="宋体" w:eastAsia="宋体" w:cs="宋体"/>
          <w:spacing w:val="-23"/>
          <w:sz w:val="24"/>
          <w:szCs w:val="24"/>
        </w:rPr>
        <w:t xml:space="preserve"> </w:t>
      </w:r>
      <w:r>
        <w:rPr>
          <w:rFonts w:ascii="宋体" w:hAnsi="宋体" w:eastAsia="宋体" w:cs="宋体"/>
          <w:spacing w:val="-7"/>
          <w:sz w:val="24"/>
          <w:szCs w:val="24"/>
        </w:rPr>
        <w:t>IC</w:t>
      </w:r>
      <w:r>
        <w:rPr>
          <w:rFonts w:ascii="宋体" w:hAnsi="宋体" w:eastAsia="宋体" w:cs="宋体"/>
          <w:spacing w:val="-48"/>
          <w:sz w:val="24"/>
          <w:szCs w:val="24"/>
        </w:rPr>
        <w:t xml:space="preserve"> </w:t>
      </w:r>
      <w:r>
        <w:rPr>
          <w:rFonts w:ascii="宋体" w:hAnsi="宋体" w:eastAsia="宋体" w:cs="宋体"/>
          <w:spacing w:val="-7"/>
          <w:sz w:val="24"/>
          <w:szCs w:val="24"/>
        </w:rPr>
        <w:t>卡、</w:t>
      </w:r>
      <w:r>
        <w:rPr>
          <w:rFonts w:ascii="宋体" w:hAnsi="宋体" w:eastAsia="宋体" w:cs="宋体"/>
          <w:sz w:val="24"/>
          <w:szCs w:val="24"/>
        </w:rPr>
        <w:t xml:space="preserve"> </w:t>
      </w:r>
      <w:r>
        <w:rPr>
          <w:rFonts w:ascii="宋体" w:hAnsi="宋体" w:eastAsia="宋体" w:cs="宋体"/>
          <w:spacing w:val="-5"/>
          <w:sz w:val="24"/>
          <w:szCs w:val="24"/>
        </w:rPr>
        <w:t>条码输入、手工输入。</w:t>
      </w:r>
    </w:p>
    <w:p w14:paraId="1F4EB44F">
      <w:pPr>
        <w:spacing w:before="34" w:line="220" w:lineRule="auto"/>
        <w:ind w:left="523"/>
        <w:rPr>
          <w:rFonts w:ascii="宋体" w:hAnsi="宋体" w:eastAsia="宋体" w:cs="宋体"/>
          <w:sz w:val="24"/>
          <w:szCs w:val="24"/>
        </w:rPr>
      </w:pPr>
      <w:r>
        <w:rPr>
          <w:rFonts w:ascii="宋体" w:hAnsi="宋体" w:eastAsia="宋体" w:cs="宋体"/>
          <w:spacing w:val="-2"/>
          <w:sz w:val="24"/>
          <w:szCs w:val="24"/>
        </w:rPr>
        <w:t>5.支持动态查看设备使用情况如：检查量、排队量、已完成等信息。</w:t>
      </w:r>
    </w:p>
    <w:p w14:paraId="0D8B8481">
      <w:pPr>
        <w:spacing w:before="311" w:line="445" w:lineRule="auto"/>
        <w:ind w:left="38" w:right="85" w:firstLine="481"/>
        <w:rPr>
          <w:rFonts w:ascii="宋体" w:hAnsi="宋体" w:eastAsia="宋体" w:cs="宋体"/>
          <w:sz w:val="24"/>
          <w:szCs w:val="24"/>
        </w:rPr>
      </w:pPr>
      <w:r>
        <w:rPr>
          <w:rFonts w:ascii="宋体" w:hAnsi="宋体" w:eastAsia="宋体" w:cs="宋体"/>
          <w:spacing w:val="1"/>
          <w:sz w:val="24"/>
          <w:szCs w:val="24"/>
        </w:rPr>
        <w:t>6.支持修改患者类型、病人姓名、年龄等患者信息，也可修</w:t>
      </w:r>
      <w:r>
        <w:rPr>
          <w:rFonts w:ascii="宋体" w:hAnsi="宋体" w:eastAsia="宋体" w:cs="宋体"/>
          <w:sz w:val="24"/>
          <w:szCs w:val="24"/>
        </w:rPr>
        <w:t xml:space="preserve">改检查项目，检查部位等检查 </w:t>
      </w:r>
      <w:r>
        <w:rPr>
          <w:rFonts w:ascii="宋体" w:hAnsi="宋体" w:eastAsia="宋体" w:cs="宋体"/>
          <w:spacing w:val="-10"/>
          <w:sz w:val="24"/>
          <w:szCs w:val="24"/>
        </w:rPr>
        <w:t>信息。</w:t>
      </w:r>
    </w:p>
    <w:p w14:paraId="5FD9F44B">
      <w:pPr>
        <w:spacing w:before="34" w:line="446" w:lineRule="auto"/>
        <w:ind w:left="43" w:right="85" w:firstLine="480"/>
        <w:rPr>
          <w:rFonts w:ascii="宋体" w:hAnsi="宋体" w:eastAsia="宋体" w:cs="宋体"/>
          <w:sz w:val="24"/>
          <w:szCs w:val="24"/>
        </w:rPr>
      </w:pPr>
      <w:r>
        <w:rPr>
          <w:rFonts w:ascii="宋体" w:hAnsi="宋体" w:eastAsia="宋体" w:cs="宋体"/>
          <w:spacing w:val="1"/>
          <w:sz w:val="24"/>
          <w:szCs w:val="24"/>
        </w:rPr>
        <w:t>7.支持手动登记，即无法自动获取患者的基本信息</w:t>
      </w:r>
      <w:r>
        <w:rPr>
          <w:rFonts w:ascii="宋体" w:hAnsi="宋体" w:eastAsia="宋体" w:cs="宋体"/>
          <w:sz w:val="24"/>
          <w:szCs w:val="24"/>
        </w:rPr>
        <w:t xml:space="preserve">及检查信息，能通过手动录入信息的方 </w:t>
      </w:r>
      <w:r>
        <w:rPr>
          <w:rFonts w:ascii="宋体" w:hAnsi="宋体" w:eastAsia="宋体" w:cs="宋体"/>
          <w:spacing w:val="-7"/>
          <w:sz w:val="24"/>
          <w:szCs w:val="24"/>
        </w:rPr>
        <w:t>式进行登记。</w:t>
      </w:r>
    </w:p>
    <w:p w14:paraId="018ED03D">
      <w:pPr>
        <w:spacing w:before="33" w:line="219" w:lineRule="auto"/>
        <w:ind w:left="519"/>
        <w:rPr>
          <w:rFonts w:ascii="宋体" w:hAnsi="宋体" w:eastAsia="宋体" w:cs="宋体"/>
          <w:sz w:val="24"/>
          <w:szCs w:val="24"/>
        </w:rPr>
      </w:pPr>
      <w:r>
        <w:rPr>
          <w:rFonts w:ascii="宋体" w:hAnsi="宋体" w:eastAsia="宋体" w:cs="宋体"/>
          <w:spacing w:val="-1"/>
          <w:sz w:val="24"/>
          <w:szCs w:val="24"/>
        </w:rPr>
        <w:t>8.支持纸质申请单通过扫描申请单功能扫描、上传，</w:t>
      </w:r>
      <w:r>
        <w:rPr>
          <w:rFonts w:ascii="宋体" w:hAnsi="宋体" w:eastAsia="宋体" w:cs="宋体"/>
          <w:spacing w:val="-2"/>
          <w:sz w:val="24"/>
          <w:szCs w:val="24"/>
        </w:rPr>
        <w:t>方便诊断参考相关信息。</w:t>
      </w:r>
    </w:p>
    <w:p w14:paraId="170B9665">
      <w:pPr>
        <w:spacing w:before="312" w:line="445" w:lineRule="auto"/>
        <w:ind w:left="39" w:right="85" w:firstLine="480"/>
        <w:rPr>
          <w:rFonts w:ascii="宋体" w:hAnsi="宋体" w:eastAsia="宋体" w:cs="宋体"/>
          <w:sz w:val="24"/>
          <w:szCs w:val="24"/>
        </w:rPr>
      </w:pPr>
      <w:r>
        <w:rPr>
          <w:rFonts w:ascii="宋体" w:hAnsi="宋体" w:eastAsia="宋体" w:cs="宋体"/>
          <w:sz w:val="24"/>
          <w:szCs w:val="24"/>
        </w:rPr>
        <w:t>9.支持分诊时查看各个诊室设备的“排队</w:t>
      </w:r>
      <w:r>
        <w:rPr>
          <w:rFonts w:ascii="宋体" w:hAnsi="宋体" w:eastAsia="宋体" w:cs="宋体"/>
          <w:spacing w:val="-87"/>
          <w:sz w:val="24"/>
          <w:szCs w:val="24"/>
        </w:rPr>
        <w:t xml:space="preserve"> </w:t>
      </w:r>
      <w:r>
        <w:rPr>
          <w:rFonts w:ascii="宋体" w:hAnsi="宋体" w:eastAsia="宋体" w:cs="宋体"/>
          <w:sz w:val="24"/>
          <w:szCs w:val="24"/>
        </w:rPr>
        <w:t>”患者数量，从而做出更好的资源分</w:t>
      </w:r>
      <w:r>
        <w:rPr>
          <w:rFonts w:ascii="宋体" w:hAnsi="宋体" w:eastAsia="宋体" w:cs="宋体"/>
          <w:spacing w:val="-1"/>
          <w:sz w:val="24"/>
          <w:szCs w:val="24"/>
        </w:rPr>
        <w:t>配、提高工</w:t>
      </w:r>
      <w:r>
        <w:rPr>
          <w:rFonts w:ascii="宋体" w:hAnsi="宋体" w:eastAsia="宋体" w:cs="宋体"/>
          <w:sz w:val="24"/>
          <w:szCs w:val="24"/>
        </w:rPr>
        <w:t xml:space="preserve"> </w:t>
      </w:r>
      <w:r>
        <w:rPr>
          <w:rFonts w:ascii="宋体" w:hAnsi="宋体" w:eastAsia="宋体" w:cs="宋体"/>
          <w:spacing w:val="-6"/>
          <w:sz w:val="24"/>
          <w:szCs w:val="24"/>
        </w:rPr>
        <w:t>作速度和效率。</w:t>
      </w:r>
    </w:p>
    <w:p w14:paraId="1559CC36">
      <w:pPr>
        <w:spacing w:before="35" w:line="445" w:lineRule="auto"/>
        <w:ind w:left="58" w:right="85" w:firstLine="478"/>
        <w:rPr>
          <w:rFonts w:ascii="宋体" w:hAnsi="宋体" w:eastAsia="宋体" w:cs="宋体"/>
          <w:sz w:val="24"/>
          <w:szCs w:val="24"/>
        </w:rPr>
      </w:pPr>
      <w:r>
        <w:rPr>
          <w:rFonts w:ascii="宋体" w:hAnsi="宋体" w:eastAsia="宋体" w:cs="宋体"/>
          <w:spacing w:val="-3"/>
          <w:sz w:val="24"/>
          <w:szCs w:val="24"/>
        </w:rPr>
        <w:t>10.当检查科室有组套检查时，支持设置组套快捷键，输入快捷键后自动匹配符合该快捷键</w:t>
      </w:r>
      <w:r>
        <w:rPr>
          <w:rFonts w:ascii="宋体" w:hAnsi="宋体" w:eastAsia="宋体" w:cs="宋体"/>
          <w:spacing w:val="14"/>
          <w:sz w:val="24"/>
          <w:szCs w:val="24"/>
        </w:rPr>
        <w:t xml:space="preserve"> </w:t>
      </w:r>
      <w:r>
        <w:rPr>
          <w:rFonts w:ascii="宋体" w:hAnsi="宋体" w:eastAsia="宋体" w:cs="宋体"/>
          <w:spacing w:val="-2"/>
          <w:sz w:val="24"/>
          <w:szCs w:val="24"/>
        </w:rPr>
        <w:t>的组套信息，选择组套信息后可以一次性录</w:t>
      </w:r>
      <w:r>
        <w:rPr>
          <w:rFonts w:ascii="宋体" w:hAnsi="宋体" w:eastAsia="宋体" w:cs="宋体"/>
          <w:spacing w:val="-3"/>
          <w:sz w:val="24"/>
          <w:szCs w:val="24"/>
        </w:rPr>
        <w:t>入多个检查部位。</w:t>
      </w:r>
    </w:p>
    <w:p w14:paraId="3CFAAE90">
      <w:pPr>
        <w:spacing w:before="36" w:line="216" w:lineRule="auto"/>
        <w:ind w:left="47"/>
        <w:rPr>
          <w:rFonts w:ascii="仿宋" w:hAnsi="仿宋" w:eastAsia="仿宋" w:cs="仿宋"/>
          <w:sz w:val="24"/>
          <w:szCs w:val="24"/>
        </w:rPr>
      </w:pPr>
      <w:r>
        <w:rPr>
          <w:rFonts w:ascii="仿宋" w:hAnsi="仿宋" w:eastAsia="仿宋" w:cs="仿宋"/>
          <w:b/>
          <w:bCs/>
          <w:spacing w:val="-9"/>
          <w:sz w:val="24"/>
          <w:szCs w:val="24"/>
        </w:rPr>
        <w:t>2.6.2</w:t>
      </w:r>
      <w:r>
        <w:rPr>
          <w:rFonts w:ascii="仿宋" w:hAnsi="仿宋" w:eastAsia="仿宋" w:cs="仿宋"/>
          <w:spacing w:val="-9"/>
          <w:sz w:val="24"/>
          <w:szCs w:val="24"/>
        </w:rPr>
        <w:t xml:space="preserve"> </w:t>
      </w:r>
      <w:r>
        <w:rPr>
          <w:rFonts w:ascii="仿宋" w:hAnsi="仿宋" w:eastAsia="仿宋" w:cs="仿宋"/>
          <w:b/>
          <w:bCs/>
          <w:spacing w:val="-9"/>
          <w:sz w:val="24"/>
          <w:szCs w:val="24"/>
        </w:rPr>
        <w:t>内镜诊断系统</w:t>
      </w:r>
    </w:p>
    <w:p w14:paraId="11B0EE65">
      <w:pPr>
        <w:pStyle w:val="2"/>
        <w:spacing w:line="430" w:lineRule="auto"/>
      </w:pPr>
    </w:p>
    <w:p w14:paraId="7D6EFCB3">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61                                </w:t>
      </w:r>
      <w:r>
        <w:rPr>
          <w:rFonts w:ascii="宋体" w:hAnsi="宋体" w:eastAsia="宋体" w:cs="宋体"/>
          <w:b/>
          <w:bCs/>
          <w:i/>
          <w:iCs/>
          <w:spacing w:val="-3"/>
          <w:sz w:val="19"/>
          <w:szCs w:val="19"/>
        </w:rPr>
        <w:t>伊犁州公共资源交易中心</w:t>
      </w:r>
    </w:p>
    <w:p w14:paraId="7236CD26">
      <w:pPr>
        <w:spacing w:line="160" w:lineRule="auto"/>
        <w:rPr>
          <w:rFonts w:ascii="宋体" w:hAnsi="宋体" w:eastAsia="宋体" w:cs="宋体"/>
          <w:sz w:val="19"/>
          <w:szCs w:val="19"/>
        </w:rPr>
        <w:sectPr>
          <w:headerReference r:id="rId50" w:type="default"/>
          <w:footerReference r:id="rId51" w:type="default"/>
          <w:pgSz w:w="11905" w:h="16839"/>
          <w:pgMar w:top="1136" w:right="773" w:bottom="937" w:left="1136" w:header="854" w:footer="923" w:gutter="0"/>
          <w:cols w:space="720" w:num="1"/>
        </w:sectPr>
      </w:pPr>
    </w:p>
    <w:p w14:paraId="3B108F00">
      <w:pPr>
        <w:pStyle w:val="2"/>
        <w:spacing w:line="379" w:lineRule="auto"/>
      </w:pPr>
    </w:p>
    <w:p w14:paraId="4C8DF7DD">
      <w:pPr>
        <w:spacing w:before="78" w:line="219" w:lineRule="auto"/>
        <w:ind w:left="536"/>
        <w:rPr>
          <w:rFonts w:ascii="宋体" w:hAnsi="宋体" w:eastAsia="宋体" w:cs="宋体"/>
          <w:sz w:val="24"/>
          <w:szCs w:val="24"/>
        </w:rPr>
      </w:pPr>
      <w:r>
        <w:rPr>
          <w:rFonts w:ascii="宋体" w:hAnsi="宋体" w:eastAsia="宋体" w:cs="宋体"/>
          <w:spacing w:val="-2"/>
          <w:sz w:val="24"/>
          <w:szCs w:val="24"/>
        </w:rPr>
        <w:t>1.通过采集卡，可以实时显示设备图像并采集。支持动</w:t>
      </w:r>
      <w:r>
        <w:rPr>
          <w:rFonts w:ascii="宋体" w:hAnsi="宋体" w:eastAsia="宋体" w:cs="宋体"/>
          <w:spacing w:val="-3"/>
          <w:sz w:val="24"/>
          <w:szCs w:val="24"/>
        </w:rPr>
        <w:t>态图像。</w:t>
      </w:r>
    </w:p>
    <w:p w14:paraId="05C05529">
      <w:pPr>
        <w:spacing w:before="311" w:line="445" w:lineRule="auto"/>
        <w:ind w:left="522" w:right="381" w:hanging="1"/>
        <w:rPr>
          <w:rFonts w:ascii="宋体" w:hAnsi="宋体" w:eastAsia="宋体" w:cs="宋体"/>
          <w:sz w:val="24"/>
          <w:szCs w:val="24"/>
        </w:rPr>
      </w:pPr>
      <w:r>
        <w:rPr>
          <w:rFonts w:ascii="宋体" w:hAnsi="宋体" w:eastAsia="宋体" w:cs="宋体"/>
          <w:spacing w:val="-3"/>
          <w:sz w:val="24"/>
          <w:szCs w:val="24"/>
        </w:rPr>
        <w:t>2.对有</w:t>
      </w:r>
      <w:r>
        <w:rPr>
          <w:rFonts w:ascii="宋体" w:hAnsi="宋体" w:eastAsia="宋体" w:cs="宋体"/>
          <w:spacing w:val="-56"/>
          <w:sz w:val="24"/>
          <w:szCs w:val="24"/>
        </w:rPr>
        <w:t xml:space="preserve"> </w:t>
      </w:r>
      <w:r>
        <w:rPr>
          <w:rFonts w:ascii="宋体" w:hAnsi="宋体" w:eastAsia="宋体" w:cs="宋体"/>
          <w:spacing w:val="-3"/>
          <w:sz w:val="24"/>
          <w:szCs w:val="24"/>
        </w:rPr>
        <w:t>DICOM</w:t>
      </w:r>
      <w:r>
        <w:rPr>
          <w:rFonts w:ascii="宋体" w:hAnsi="宋体" w:eastAsia="宋体" w:cs="宋体"/>
          <w:spacing w:val="-51"/>
          <w:sz w:val="24"/>
          <w:szCs w:val="24"/>
        </w:rPr>
        <w:t xml:space="preserve"> </w:t>
      </w:r>
      <w:r>
        <w:rPr>
          <w:rFonts w:ascii="宋体" w:hAnsi="宋体" w:eastAsia="宋体" w:cs="宋体"/>
          <w:spacing w:val="-3"/>
          <w:sz w:val="24"/>
          <w:szCs w:val="24"/>
        </w:rPr>
        <w:t>接口的设备实现</w:t>
      </w:r>
      <w:r>
        <w:rPr>
          <w:rFonts w:ascii="宋体" w:hAnsi="宋体" w:eastAsia="宋体" w:cs="宋体"/>
          <w:spacing w:val="-55"/>
          <w:sz w:val="24"/>
          <w:szCs w:val="24"/>
        </w:rPr>
        <w:t xml:space="preserve"> </w:t>
      </w:r>
      <w:r>
        <w:rPr>
          <w:rFonts w:ascii="宋体" w:hAnsi="宋体" w:eastAsia="宋体" w:cs="宋体"/>
          <w:spacing w:val="-3"/>
          <w:sz w:val="24"/>
          <w:szCs w:val="24"/>
        </w:rPr>
        <w:t>DICOM</w:t>
      </w:r>
      <w:r>
        <w:rPr>
          <w:rFonts w:ascii="宋体" w:hAnsi="宋体" w:eastAsia="宋体" w:cs="宋体"/>
          <w:spacing w:val="-52"/>
          <w:sz w:val="24"/>
          <w:szCs w:val="24"/>
        </w:rPr>
        <w:t xml:space="preserve"> </w:t>
      </w:r>
      <w:r>
        <w:rPr>
          <w:rFonts w:ascii="宋体" w:hAnsi="宋体" w:eastAsia="宋体" w:cs="宋体"/>
          <w:spacing w:val="-3"/>
          <w:sz w:val="24"/>
          <w:szCs w:val="24"/>
        </w:rPr>
        <w:t>采集图像。可将非</w:t>
      </w:r>
      <w:r>
        <w:rPr>
          <w:rFonts w:ascii="宋体" w:hAnsi="宋体" w:eastAsia="宋体" w:cs="宋体"/>
          <w:spacing w:val="-55"/>
          <w:sz w:val="24"/>
          <w:szCs w:val="24"/>
        </w:rPr>
        <w:t xml:space="preserve"> </w:t>
      </w:r>
      <w:r>
        <w:rPr>
          <w:rFonts w:ascii="宋体" w:hAnsi="宋体" w:eastAsia="宋体" w:cs="宋体"/>
          <w:spacing w:val="-3"/>
          <w:sz w:val="24"/>
          <w:szCs w:val="24"/>
        </w:rPr>
        <w:t>DICOM</w:t>
      </w:r>
      <w:r>
        <w:rPr>
          <w:rFonts w:ascii="宋体" w:hAnsi="宋体" w:eastAsia="宋体" w:cs="宋体"/>
          <w:spacing w:val="-27"/>
          <w:sz w:val="24"/>
          <w:szCs w:val="24"/>
        </w:rPr>
        <w:t xml:space="preserve"> </w:t>
      </w:r>
      <w:r>
        <w:rPr>
          <w:rFonts w:ascii="宋体" w:hAnsi="宋体" w:eastAsia="宋体" w:cs="宋体"/>
          <w:spacing w:val="-3"/>
          <w:sz w:val="24"/>
          <w:szCs w:val="24"/>
        </w:rPr>
        <w:t>图像转化</w:t>
      </w:r>
      <w:r>
        <w:rPr>
          <w:rFonts w:ascii="宋体" w:hAnsi="宋体" w:eastAsia="宋体" w:cs="宋体"/>
          <w:spacing w:val="-4"/>
          <w:sz w:val="24"/>
          <w:szCs w:val="24"/>
        </w:rPr>
        <w:t>为</w:t>
      </w:r>
      <w:r>
        <w:rPr>
          <w:rFonts w:ascii="宋体" w:hAnsi="宋体" w:eastAsia="宋体" w:cs="宋体"/>
          <w:spacing w:val="-55"/>
          <w:sz w:val="24"/>
          <w:szCs w:val="24"/>
        </w:rPr>
        <w:t xml:space="preserve"> </w:t>
      </w:r>
      <w:r>
        <w:rPr>
          <w:rFonts w:ascii="宋体" w:hAnsi="宋体" w:eastAsia="宋体" w:cs="宋体"/>
          <w:spacing w:val="-4"/>
          <w:sz w:val="24"/>
          <w:szCs w:val="24"/>
        </w:rPr>
        <w:t>DICOM</w:t>
      </w:r>
      <w:r>
        <w:rPr>
          <w:rFonts w:ascii="宋体" w:hAnsi="宋体" w:eastAsia="宋体" w:cs="宋体"/>
          <w:spacing w:val="-28"/>
          <w:sz w:val="24"/>
          <w:szCs w:val="24"/>
        </w:rPr>
        <w:t xml:space="preserve"> </w:t>
      </w:r>
      <w:r>
        <w:rPr>
          <w:rFonts w:ascii="宋体" w:hAnsi="宋体" w:eastAsia="宋体" w:cs="宋体"/>
          <w:spacing w:val="-4"/>
          <w:sz w:val="24"/>
          <w:szCs w:val="24"/>
        </w:rPr>
        <w:t>图像。</w:t>
      </w:r>
      <w:r>
        <w:rPr>
          <w:rFonts w:ascii="宋体" w:hAnsi="宋体" w:eastAsia="宋体" w:cs="宋体"/>
          <w:sz w:val="24"/>
          <w:szCs w:val="24"/>
        </w:rPr>
        <w:t xml:space="preserve"> </w:t>
      </w:r>
      <w:r>
        <w:rPr>
          <w:rFonts w:ascii="宋体" w:hAnsi="宋体" w:eastAsia="宋体" w:cs="宋体"/>
          <w:spacing w:val="-4"/>
          <w:sz w:val="24"/>
          <w:szCs w:val="24"/>
        </w:rPr>
        <w:t>3.支持单帧，限时录像。</w:t>
      </w:r>
    </w:p>
    <w:p w14:paraId="71C71C13">
      <w:pPr>
        <w:spacing w:before="34" w:line="220" w:lineRule="auto"/>
        <w:ind w:left="517"/>
        <w:rPr>
          <w:rFonts w:ascii="宋体" w:hAnsi="宋体" w:eastAsia="宋体" w:cs="宋体"/>
          <w:sz w:val="24"/>
          <w:szCs w:val="24"/>
        </w:rPr>
      </w:pPr>
      <w:r>
        <w:rPr>
          <w:rFonts w:ascii="宋体" w:hAnsi="宋体" w:eastAsia="宋体" w:cs="宋体"/>
          <w:spacing w:val="-3"/>
          <w:sz w:val="24"/>
          <w:szCs w:val="24"/>
        </w:rPr>
        <w:t>4.支持图像和视频的导出、导入。</w:t>
      </w:r>
    </w:p>
    <w:p w14:paraId="0519666A">
      <w:pPr>
        <w:spacing w:before="310" w:line="218" w:lineRule="auto"/>
        <w:ind w:left="523"/>
        <w:rPr>
          <w:rFonts w:ascii="宋体" w:hAnsi="宋体" w:eastAsia="宋体" w:cs="宋体"/>
          <w:sz w:val="24"/>
          <w:szCs w:val="24"/>
        </w:rPr>
      </w:pPr>
      <w:r>
        <w:rPr>
          <w:rFonts w:ascii="宋体" w:hAnsi="宋体" w:eastAsia="宋体" w:cs="宋体"/>
          <w:spacing w:val="-2"/>
          <w:sz w:val="24"/>
          <w:szCs w:val="24"/>
        </w:rPr>
        <w:t>5.异步图像采集，医师书写报告时，不影响图像采集。</w:t>
      </w:r>
    </w:p>
    <w:p w14:paraId="0C9A7492">
      <w:pPr>
        <w:spacing w:before="313" w:line="444" w:lineRule="auto"/>
        <w:ind w:left="44" w:right="66" w:firstLine="476"/>
        <w:rPr>
          <w:rFonts w:ascii="宋体" w:hAnsi="宋体" w:eastAsia="宋体" w:cs="宋体"/>
          <w:sz w:val="24"/>
          <w:szCs w:val="24"/>
        </w:rPr>
      </w:pPr>
      <w:r>
        <w:rPr>
          <w:rFonts w:ascii="宋体" w:hAnsi="宋体" w:eastAsia="宋体" w:cs="宋体"/>
          <w:spacing w:val="1"/>
          <w:sz w:val="24"/>
          <w:szCs w:val="24"/>
        </w:rPr>
        <w:t>6.在图像采集之后，需要对诊断报告进行编辑，在诊断报告</w:t>
      </w:r>
      <w:r>
        <w:rPr>
          <w:rFonts w:ascii="宋体" w:hAnsi="宋体" w:eastAsia="宋体" w:cs="宋体"/>
          <w:sz w:val="24"/>
          <w:szCs w:val="24"/>
        </w:rPr>
        <w:t xml:space="preserve">编辑过程中可以调入已有的报 </w:t>
      </w:r>
      <w:r>
        <w:rPr>
          <w:rFonts w:ascii="宋体" w:hAnsi="宋体" w:eastAsia="宋体" w:cs="宋体"/>
          <w:spacing w:val="-1"/>
          <w:sz w:val="24"/>
          <w:szCs w:val="24"/>
        </w:rPr>
        <w:t>告模板，同时也可以将新写的报告以报告模板的形式保</w:t>
      </w:r>
      <w:r>
        <w:rPr>
          <w:rFonts w:ascii="宋体" w:hAnsi="宋体" w:eastAsia="宋体" w:cs="宋体"/>
          <w:spacing w:val="-2"/>
          <w:sz w:val="24"/>
          <w:szCs w:val="24"/>
        </w:rPr>
        <w:t>存起来，供以后的诊断应用。</w:t>
      </w:r>
    </w:p>
    <w:p w14:paraId="199A475F">
      <w:pPr>
        <w:spacing w:before="38" w:line="444" w:lineRule="auto"/>
        <w:ind w:left="40" w:right="66" w:firstLine="483"/>
        <w:rPr>
          <w:rFonts w:ascii="宋体" w:hAnsi="宋体" w:eastAsia="宋体" w:cs="宋体"/>
          <w:sz w:val="24"/>
          <w:szCs w:val="24"/>
        </w:rPr>
      </w:pPr>
      <w:r>
        <w:rPr>
          <w:rFonts w:ascii="宋体" w:hAnsi="宋体" w:eastAsia="宋体" w:cs="宋体"/>
          <w:spacing w:val="1"/>
          <w:sz w:val="24"/>
          <w:szCs w:val="24"/>
        </w:rPr>
        <w:t>7.选择报告模板：诊断医生根据患者的检查类型调</w:t>
      </w:r>
      <w:r>
        <w:rPr>
          <w:rFonts w:ascii="宋体" w:hAnsi="宋体" w:eastAsia="宋体" w:cs="宋体"/>
          <w:sz w:val="24"/>
          <w:szCs w:val="24"/>
        </w:rPr>
        <w:t xml:space="preserve">用已定义的典型报告模板，模板调入后 </w:t>
      </w:r>
      <w:r>
        <w:rPr>
          <w:rFonts w:ascii="宋体" w:hAnsi="宋体" w:eastAsia="宋体" w:cs="宋体"/>
          <w:spacing w:val="-3"/>
          <w:sz w:val="24"/>
          <w:szCs w:val="24"/>
        </w:rPr>
        <w:t>可进行简单的编辑，快速生成影像诊断报告。</w:t>
      </w:r>
    </w:p>
    <w:p w14:paraId="081AA895">
      <w:pPr>
        <w:spacing w:before="37" w:line="445" w:lineRule="auto"/>
        <w:ind w:left="49" w:right="66" w:firstLine="469"/>
        <w:rPr>
          <w:rFonts w:ascii="宋体" w:hAnsi="宋体" w:eastAsia="宋体" w:cs="宋体"/>
          <w:sz w:val="24"/>
          <w:szCs w:val="24"/>
        </w:rPr>
      </w:pPr>
      <w:r>
        <w:rPr>
          <w:rFonts w:ascii="宋体" w:hAnsi="宋体" w:eastAsia="宋体" w:cs="宋体"/>
          <w:spacing w:val="1"/>
          <w:sz w:val="24"/>
          <w:szCs w:val="24"/>
        </w:rPr>
        <w:t>8.特殊符号输入：对μ、γ、ξ、θ、π等特殊符号，系统提</w:t>
      </w:r>
      <w:r>
        <w:rPr>
          <w:rFonts w:ascii="宋体" w:hAnsi="宋体" w:eastAsia="宋体" w:cs="宋体"/>
          <w:sz w:val="24"/>
          <w:szCs w:val="24"/>
        </w:rPr>
        <w:t xml:space="preserve">供特殊符号的工具栏，可由 </w:t>
      </w:r>
      <w:r>
        <w:rPr>
          <w:rFonts w:ascii="宋体" w:hAnsi="宋体" w:eastAsia="宋体" w:cs="宋体"/>
          <w:spacing w:val="-5"/>
          <w:sz w:val="24"/>
          <w:szCs w:val="24"/>
        </w:rPr>
        <w:t>医生从中选择特殊符号。</w:t>
      </w:r>
    </w:p>
    <w:p w14:paraId="314B582E">
      <w:pPr>
        <w:spacing w:before="35" w:line="444" w:lineRule="auto"/>
        <w:ind w:left="37" w:right="66" w:firstLine="481"/>
        <w:rPr>
          <w:rFonts w:ascii="宋体" w:hAnsi="宋体" w:eastAsia="宋体" w:cs="宋体"/>
          <w:sz w:val="24"/>
          <w:szCs w:val="24"/>
        </w:rPr>
      </w:pPr>
      <w:r>
        <w:rPr>
          <w:rFonts w:ascii="宋体" w:hAnsi="宋体" w:eastAsia="宋体" w:cs="宋体"/>
          <w:spacing w:val="-1"/>
          <w:sz w:val="24"/>
          <w:szCs w:val="24"/>
        </w:rPr>
        <w:t>9.动态图像输出选择：双击动态图像，系统会自动播放动态图像（DICO</w:t>
      </w:r>
      <w:r>
        <w:rPr>
          <w:rFonts w:ascii="宋体" w:hAnsi="宋体" w:eastAsia="宋体" w:cs="宋体"/>
          <w:spacing w:val="-2"/>
          <w:sz w:val="24"/>
          <w:szCs w:val="24"/>
        </w:rPr>
        <w:t>M3.0</w:t>
      </w:r>
      <w:r>
        <w:rPr>
          <w:rFonts w:ascii="宋体" w:hAnsi="宋体" w:eastAsia="宋体" w:cs="宋体"/>
          <w:spacing w:val="-48"/>
          <w:sz w:val="24"/>
          <w:szCs w:val="24"/>
        </w:rPr>
        <w:t xml:space="preserve"> </w:t>
      </w:r>
      <w:r>
        <w:rPr>
          <w:rFonts w:ascii="宋体" w:hAnsi="宋体" w:eastAsia="宋体" w:cs="宋体"/>
          <w:spacing w:val="-2"/>
          <w:sz w:val="24"/>
          <w:szCs w:val="24"/>
        </w:rPr>
        <w:t>或</w:t>
      </w:r>
      <w:r>
        <w:rPr>
          <w:rFonts w:ascii="宋体" w:hAnsi="宋体" w:eastAsia="宋体" w:cs="宋体"/>
          <w:spacing w:val="-58"/>
          <w:sz w:val="24"/>
          <w:szCs w:val="24"/>
        </w:rPr>
        <w:t xml:space="preserve"> </w:t>
      </w:r>
      <w:r>
        <w:rPr>
          <w:rFonts w:ascii="宋体" w:hAnsi="宋体" w:eastAsia="宋体" w:cs="宋体"/>
          <w:spacing w:val="-2"/>
          <w:sz w:val="24"/>
          <w:szCs w:val="24"/>
        </w:rPr>
        <w:t>AVI</w:t>
      </w:r>
      <w:r>
        <w:rPr>
          <w:rFonts w:ascii="宋体" w:hAnsi="宋体" w:eastAsia="宋体" w:cs="宋体"/>
          <w:spacing w:val="-50"/>
          <w:sz w:val="24"/>
          <w:szCs w:val="24"/>
        </w:rPr>
        <w:t xml:space="preserve"> </w:t>
      </w:r>
      <w:r>
        <w:rPr>
          <w:rFonts w:ascii="宋体" w:hAnsi="宋体" w:eastAsia="宋体" w:cs="宋体"/>
          <w:spacing w:val="-2"/>
          <w:sz w:val="24"/>
          <w:szCs w:val="24"/>
        </w:rPr>
        <w:t>录像文</w:t>
      </w:r>
      <w:r>
        <w:rPr>
          <w:rFonts w:ascii="宋体" w:hAnsi="宋体" w:eastAsia="宋体" w:cs="宋体"/>
          <w:sz w:val="24"/>
          <w:szCs w:val="24"/>
        </w:rPr>
        <w:t xml:space="preserve"> </w:t>
      </w:r>
      <w:r>
        <w:rPr>
          <w:rFonts w:ascii="宋体" w:hAnsi="宋体" w:eastAsia="宋体" w:cs="宋体"/>
          <w:spacing w:val="-3"/>
          <w:sz w:val="24"/>
          <w:szCs w:val="24"/>
        </w:rPr>
        <w:t>件</w:t>
      </w:r>
      <w:r>
        <w:rPr>
          <w:rFonts w:ascii="宋体" w:hAnsi="宋体" w:eastAsia="宋体" w:cs="宋体"/>
          <w:spacing w:val="1"/>
          <w:sz w:val="24"/>
          <w:szCs w:val="24"/>
        </w:rPr>
        <w:t>），</w:t>
      </w:r>
      <w:r>
        <w:rPr>
          <w:rFonts w:ascii="宋体" w:hAnsi="宋体" w:eastAsia="宋体" w:cs="宋体"/>
          <w:spacing w:val="-3"/>
          <w:sz w:val="24"/>
          <w:szCs w:val="24"/>
        </w:rPr>
        <w:t>操作人员可截取多幅重点图像。</w:t>
      </w:r>
    </w:p>
    <w:p w14:paraId="3856FAD3">
      <w:pPr>
        <w:spacing w:before="37" w:line="218" w:lineRule="auto"/>
        <w:ind w:left="536"/>
        <w:rPr>
          <w:rFonts w:ascii="宋体" w:hAnsi="宋体" w:eastAsia="宋体" w:cs="宋体"/>
          <w:sz w:val="24"/>
          <w:szCs w:val="24"/>
        </w:rPr>
      </w:pPr>
      <w:r>
        <w:rPr>
          <w:rFonts w:ascii="宋体" w:hAnsi="宋体" w:eastAsia="宋体" w:cs="宋体"/>
          <w:spacing w:val="-2"/>
          <w:sz w:val="24"/>
          <w:szCs w:val="24"/>
        </w:rPr>
        <w:t>10.静态图像输出选择：从静态图像列表中选择需要打印到报告上的重点图像。</w:t>
      </w:r>
    </w:p>
    <w:p w14:paraId="4E727AE4">
      <w:pPr>
        <w:spacing w:before="312" w:line="445" w:lineRule="auto"/>
        <w:ind w:left="39" w:firstLine="496"/>
        <w:rPr>
          <w:rFonts w:ascii="宋体" w:hAnsi="宋体" w:eastAsia="宋体" w:cs="宋体"/>
          <w:sz w:val="24"/>
          <w:szCs w:val="24"/>
        </w:rPr>
      </w:pPr>
      <w:r>
        <w:rPr>
          <w:rFonts w:ascii="宋体" w:hAnsi="宋体" w:eastAsia="宋体" w:cs="宋体"/>
          <w:spacing w:val="-7"/>
          <w:sz w:val="24"/>
          <w:szCs w:val="24"/>
        </w:rPr>
        <w:t>11.图像处理工具：系统提供对图像的移动、翻转、镜像、放大、缩小等图像显示处理工具，</w:t>
      </w:r>
      <w:r>
        <w:rPr>
          <w:rFonts w:ascii="宋体" w:hAnsi="宋体" w:eastAsia="宋体" w:cs="宋体"/>
          <w:spacing w:val="12"/>
          <w:sz w:val="24"/>
          <w:szCs w:val="24"/>
        </w:rPr>
        <w:t xml:space="preserve"> </w:t>
      </w:r>
      <w:r>
        <w:rPr>
          <w:rFonts w:ascii="宋体" w:hAnsi="宋体" w:eastAsia="宋体" w:cs="宋体"/>
          <w:spacing w:val="-1"/>
          <w:sz w:val="24"/>
          <w:szCs w:val="24"/>
        </w:rPr>
        <w:t>提供角度、直线、箭头、圆、矩形、多边形</w:t>
      </w:r>
      <w:r>
        <w:rPr>
          <w:rFonts w:ascii="宋体" w:hAnsi="宋体" w:eastAsia="宋体" w:cs="宋体"/>
          <w:spacing w:val="-2"/>
          <w:sz w:val="24"/>
          <w:szCs w:val="24"/>
        </w:rPr>
        <w:t>、手绘线和文字等批注工具。</w:t>
      </w:r>
    </w:p>
    <w:p w14:paraId="7829C098">
      <w:pPr>
        <w:spacing w:before="37" w:line="444" w:lineRule="auto"/>
        <w:ind w:left="40" w:right="66" w:firstLine="495"/>
        <w:rPr>
          <w:rFonts w:ascii="宋体" w:hAnsi="宋体" w:eastAsia="宋体" w:cs="宋体"/>
          <w:sz w:val="24"/>
          <w:szCs w:val="24"/>
        </w:rPr>
      </w:pPr>
      <w:r>
        <w:rPr>
          <w:rFonts w:ascii="宋体" w:hAnsi="宋体" w:eastAsia="宋体" w:cs="宋体"/>
          <w:spacing w:val="-3"/>
          <w:sz w:val="24"/>
          <w:szCs w:val="24"/>
        </w:rPr>
        <w:t>12.图像描述：报告的图像一般有文字说明，是对图像性质等的描述，其文字内容由诊断医</w:t>
      </w:r>
      <w:r>
        <w:rPr>
          <w:rFonts w:ascii="宋体" w:hAnsi="宋体" w:eastAsia="宋体" w:cs="宋体"/>
          <w:spacing w:val="14"/>
          <w:sz w:val="24"/>
          <w:szCs w:val="24"/>
        </w:rPr>
        <w:t xml:space="preserve"> </w:t>
      </w:r>
      <w:r>
        <w:rPr>
          <w:rFonts w:ascii="宋体" w:hAnsi="宋体" w:eastAsia="宋体" w:cs="宋体"/>
          <w:spacing w:val="-3"/>
          <w:sz w:val="24"/>
          <w:szCs w:val="24"/>
        </w:rPr>
        <w:t>生输入，并将在报告上打印出来。</w:t>
      </w:r>
    </w:p>
    <w:p w14:paraId="51BF851A">
      <w:pPr>
        <w:spacing w:before="37" w:line="444" w:lineRule="auto"/>
        <w:ind w:left="36" w:right="66" w:firstLine="499"/>
        <w:rPr>
          <w:rFonts w:ascii="宋体" w:hAnsi="宋体" w:eastAsia="宋体" w:cs="宋体"/>
          <w:sz w:val="24"/>
          <w:szCs w:val="24"/>
        </w:rPr>
      </w:pPr>
      <w:r>
        <w:rPr>
          <w:rFonts w:ascii="宋体" w:hAnsi="宋体" w:eastAsia="宋体" w:cs="宋体"/>
          <w:spacing w:val="-3"/>
          <w:sz w:val="24"/>
          <w:szCs w:val="24"/>
        </w:rPr>
        <w:t>13.报告的打印和预览：在打印之前可以选择系统中已定义好的输出报告模板，以确定输出</w:t>
      </w:r>
      <w:r>
        <w:rPr>
          <w:rFonts w:ascii="宋体" w:hAnsi="宋体" w:eastAsia="宋体" w:cs="宋体"/>
          <w:spacing w:val="14"/>
          <w:sz w:val="24"/>
          <w:szCs w:val="24"/>
        </w:rPr>
        <w:t xml:space="preserve"> </w:t>
      </w:r>
      <w:r>
        <w:rPr>
          <w:rFonts w:ascii="宋体" w:hAnsi="宋体" w:eastAsia="宋体" w:cs="宋体"/>
          <w:spacing w:val="-6"/>
          <w:sz w:val="24"/>
          <w:szCs w:val="24"/>
        </w:rPr>
        <w:t>报告的形式。</w:t>
      </w:r>
    </w:p>
    <w:p w14:paraId="5135CEC6">
      <w:pPr>
        <w:spacing w:before="37" w:line="223" w:lineRule="auto"/>
        <w:ind w:left="36"/>
        <w:rPr>
          <w:rFonts w:ascii="楷体" w:hAnsi="楷体" w:eastAsia="楷体" w:cs="楷体"/>
          <w:sz w:val="24"/>
          <w:szCs w:val="24"/>
        </w:rPr>
      </w:pPr>
      <w:r>
        <w:rPr>
          <w:rFonts w:ascii="楷体" w:hAnsi="楷体" w:eastAsia="楷体" w:cs="楷体"/>
          <w:spacing w:val="-1"/>
          <w:sz w:val="24"/>
          <w:szCs w:val="24"/>
        </w:rPr>
        <w:t>2.7 病理管理系统</w:t>
      </w:r>
    </w:p>
    <w:p w14:paraId="135D5617">
      <w:pPr>
        <w:pStyle w:val="2"/>
        <w:spacing w:line="346" w:lineRule="auto"/>
      </w:pPr>
    </w:p>
    <w:p w14:paraId="0377D337">
      <w:pPr>
        <w:spacing w:before="79" w:line="218" w:lineRule="auto"/>
        <w:ind w:left="47"/>
        <w:rPr>
          <w:rFonts w:ascii="仿宋" w:hAnsi="仿宋" w:eastAsia="仿宋" w:cs="仿宋"/>
          <w:sz w:val="24"/>
          <w:szCs w:val="24"/>
        </w:rPr>
      </w:pPr>
      <w:r>
        <w:rPr>
          <w:rFonts w:ascii="仿宋" w:hAnsi="仿宋" w:eastAsia="仿宋" w:cs="仿宋"/>
          <w:b/>
          <w:bCs/>
          <w:spacing w:val="-4"/>
          <w:sz w:val="24"/>
          <w:szCs w:val="24"/>
        </w:rPr>
        <w:t>2.7.1</w:t>
      </w:r>
      <w:r>
        <w:rPr>
          <w:rFonts w:ascii="仿宋" w:hAnsi="仿宋" w:eastAsia="仿宋" w:cs="仿宋"/>
          <w:spacing w:val="-4"/>
          <w:sz w:val="24"/>
          <w:szCs w:val="24"/>
        </w:rPr>
        <w:t xml:space="preserve"> </w:t>
      </w:r>
      <w:r>
        <w:rPr>
          <w:rFonts w:ascii="仿宋" w:hAnsi="仿宋" w:eastAsia="仿宋" w:cs="仿宋"/>
          <w:b/>
          <w:bCs/>
          <w:spacing w:val="-4"/>
          <w:sz w:val="24"/>
          <w:szCs w:val="24"/>
        </w:rPr>
        <w:t>病理登记系统</w:t>
      </w:r>
    </w:p>
    <w:p w14:paraId="711C9F16">
      <w:pPr>
        <w:pStyle w:val="2"/>
        <w:spacing w:line="350" w:lineRule="auto"/>
      </w:pPr>
    </w:p>
    <w:p w14:paraId="7E47EE76">
      <w:pPr>
        <w:spacing w:before="78" w:line="220" w:lineRule="auto"/>
        <w:ind w:left="536"/>
        <w:rPr>
          <w:rFonts w:ascii="宋体" w:hAnsi="宋体" w:eastAsia="宋体" w:cs="宋体"/>
          <w:sz w:val="24"/>
          <w:szCs w:val="24"/>
        </w:rPr>
      </w:pPr>
      <w:r>
        <w:rPr>
          <w:rFonts w:ascii="宋体" w:hAnsi="宋体" w:eastAsia="宋体" w:cs="宋体"/>
          <w:spacing w:val="-2"/>
          <w:sz w:val="24"/>
          <w:szCs w:val="24"/>
        </w:rPr>
        <w:t>1.支持对患者信息的登记、修改、退单，并记录操作人和操作时间。</w:t>
      </w:r>
    </w:p>
    <w:p w14:paraId="0E90D20D">
      <w:pPr>
        <w:pStyle w:val="2"/>
        <w:spacing w:line="426" w:lineRule="auto"/>
      </w:pPr>
    </w:p>
    <w:p w14:paraId="348CAB82">
      <w:pPr>
        <w:spacing w:before="63"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62                                </w:t>
      </w:r>
      <w:r>
        <w:rPr>
          <w:rFonts w:ascii="宋体" w:hAnsi="宋体" w:eastAsia="宋体" w:cs="宋体"/>
          <w:b/>
          <w:bCs/>
          <w:i/>
          <w:iCs/>
          <w:spacing w:val="-3"/>
          <w:sz w:val="19"/>
          <w:szCs w:val="19"/>
        </w:rPr>
        <w:t>伊犁州公共资源交易中心</w:t>
      </w:r>
    </w:p>
    <w:p w14:paraId="328DADEA">
      <w:pPr>
        <w:spacing w:line="160" w:lineRule="auto"/>
        <w:rPr>
          <w:rFonts w:ascii="宋体" w:hAnsi="宋体" w:eastAsia="宋体" w:cs="宋体"/>
          <w:sz w:val="19"/>
          <w:szCs w:val="19"/>
        </w:rPr>
        <w:sectPr>
          <w:headerReference r:id="rId52" w:type="default"/>
          <w:footerReference r:id="rId53" w:type="default"/>
          <w:pgSz w:w="11905" w:h="16839"/>
          <w:pgMar w:top="1136" w:right="792" w:bottom="937" w:left="1136" w:header="854" w:footer="923" w:gutter="0"/>
          <w:cols w:space="720" w:num="1"/>
        </w:sectPr>
      </w:pPr>
    </w:p>
    <w:p w14:paraId="2167F11D">
      <w:pPr>
        <w:pStyle w:val="2"/>
        <w:spacing w:line="380" w:lineRule="auto"/>
      </w:pPr>
    </w:p>
    <w:p w14:paraId="59E92BB8">
      <w:pPr>
        <w:spacing w:before="78" w:line="445" w:lineRule="auto"/>
        <w:ind w:left="522" w:right="4903" w:hanging="1"/>
        <w:rPr>
          <w:rFonts w:ascii="宋体" w:hAnsi="宋体" w:eastAsia="宋体" w:cs="宋体"/>
          <w:sz w:val="24"/>
          <w:szCs w:val="24"/>
        </w:rPr>
      </w:pPr>
      <w:r>
        <w:rPr>
          <w:rFonts w:ascii="宋体" w:hAnsi="宋体" w:eastAsia="宋体" w:cs="宋体"/>
          <w:spacing w:val="-3"/>
          <w:sz w:val="24"/>
          <w:szCs w:val="24"/>
        </w:rPr>
        <w:t>2.支持通过患者识别码获取患者基本信息。</w:t>
      </w:r>
      <w:r>
        <w:rPr>
          <w:rFonts w:ascii="宋体" w:hAnsi="宋体" w:eastAsia="宋体" w:cs="宋体"/>
          <w:spacing w:val="11"/>
          <w:sz w:val="24"/>
          <w:szCs w:val="24"/>
        </w:rPr>
        <w:t xml:space="preserve"> </w:t>
      </w:r>
      <w:r>
        <w:rPr>
          <w:rFonts w:ascii="宋体" w:hAnsi="宋体" w:eastAsia="宋体" w:cs="宋体"/>
          <w:spacing w:val="-3"/>
          <w:sz w:val="24"/>
          <w:szCs w:val="24"/>
        </w:rPr>
        <w:t>3.支持通过电子申请单获取信息。</w:t>
      </w:r>
    </w:p>
    <w:p w14:paraId="5627B715">
      <w:pPr>
        <w:spacing w:before="34" w:line="220" w:lineRule="auto"/>
        <w:ind w:left="517"/>
        <w:rPr>
          <w:rFonts w:ascii="宋体" w:hAnsi="宋体" w:eastAsia="宋体" w:cs="宋体"/>
          <w:sz w:val="24"/>
          <w:szCs w:val="24"/>
        </w:rPr>
      </w:pPr>
      <w:r>
        <w:rPr>
          <w:rFonts w:ascii="宋体" w:hAnsi="宋体" w:eastAsia="宋体" w:cs="宋体"/>
          <w:spacing w:val="-3"/>
          <w:sz w:val="24"/>
          <w:szCs w:val="24"/>
        </w:rPr>
        <w:t>4.支持全键盘操作，回车顺序可设置。</w:t>
      </w:r>
    </w:p>
    <w:p w14:paraId="72B30158">
      <w:pPr>
        <w:spacing w:before="311" w:line="445" w:lineRule="auto"/>
        <w:ind w:left="520" w:right="4063" w:firstLine="2"/>
        <w:rPr>
          <w:rFonts w:ascii="宋体" w:hAnsi="宋体" w:eastAsia="宋体" w:cs="宋体"/>
          <w:sz w:val="24"/>
          <w:szCs w:val="24"/>
        </w:rPr>
      </w:pPr>
      <w:r>
        <w:rPr>
          <w:rFonts w:ascii="宋体" w:hAnsi="宋体" w:eastAsia="宋体" w:cs="宋体"/>
          <w:spacing w:val="-2"/>
          <w:sz w:val="24"/>
          <w:szCs w:val="24"/>
        </w:rPr>
        <w:t>5.支持根据病例库不同,设置不同的回车选中顺</w:t>
      </w:r>
      <w:r>
        <w:rPr>
          <w:rFonts w:ascii="宋体" w:hAnsi="宋体" w:eastAsia="宋体" w:cs="宋体"/>
          <w:spacing w:val="-3"/>
          <w:sz w:val="24"/>
          <w:szCs w:val="24"/>
        </w:rPr>
        <w:t>序。</w:t>
      </w:r>
      <w:r>
        <w:rPr>
          <w:rFonts w:ascii="宋体" w:hAnsi="宋体" w:eastAsia="宋体" w:cs="宋体"/>
          <w:sz w:val="24"/>
          <w:szCs w:val="24"/>
        </w:rPr>
        <w:t xml:space="preserve"> </w:t>
      </w:r>
      <w:r>
        <w:rPr>
          <w:rFonts w:ascii="宋体" w:hAnsi="宋体" w:eastAsia="宋体" w:cs="宋体"/>
          <w:spacing w:val="-4"/>
          <w:sz w:val="24"/>
          <w:szCs w:val="24"/>
        </w:rPr>
        <w:t>6.支持纸质申请单的扫描。</w:t>
      </w:r>
    </w:p>
    <w:p w14:paraId="1BF608B9">
      <w:pPr>
        <w:spacing w:before="34" w:line="445" w:lineRule="auto"/>
        <w:ind w:left="519" w:right="3703" w:firstLine="4"/>
        <w:rPr>
          <w:rFonts w:ascii="宋体" w:hAnsi="宋体" w:eastAsia="宋体" w:cs="宋体"/>
          <w:sz w:val="24"/>
          <w:szCs w:val="24"/>
        </w:rPr>
      </w:pPr>
      <w:r>
        <w:rPr>
          <w:rFonts w:ascii="宋体" w:hAnsi="宋体" w:eastAsia="宋体" w:cs="宋体"/>
          <w:spacing w:val="-2"/>
          <w:sz w:val="24"/>
          <w:szCs w:val="24"/>
        </w:rPr>
        <w:t>7.支持根据病例库不同，按规则自动生成对应病理号。</w:t>
      </w:r>
      <w:r>
        <w:rPr>
          <w:rFonts w:ascii="宋体" w:hAnsi="宋体" w:eastAsia="宋体" w:cs="宋体"/>
          <w:sz w:val="24"/>
          <w:szCs w:val="24"/>
        </w:rPr>
        <w:t xml:space="preserve"> </w:t>
      </w:r>
      <w:r>
        <w:rPr>
          <w:rFonts w:ascii="宋体" w:hAnsi="宋体" w:eastAsia="宋体" w:cs="宋体"/>
          <w:spacing w:val="-4"/>
          <w:sz w:val="24"/>
          <w:szCs w:val="24"/>
        </w:rPr>
        <w:t>8.支持手动修改病理号。</w:t>
      </w:r>
    </w:p>
    <w:p w14:paraId="110E7D1E">
      <w:pPr>
        <w:spacing w:before="34" w:line="220" w:lineRule="auto"/>
        <w:ind w:left="519"/>
        <w:rPr>
          <w:rFonts w:ascii="宋体" w:hAnsi="宋体" w:eastAsia="宋体" w:cs="宋体"/>
          <w:sz w:val="24"/>
          <w:szCs w:val="24"/>
        </w:rPr>
      </w:pPr>
      <w:r>
        <w:rPr>
          <w:rFonts w:ascii="宋体" w:hAnsi="宋体" w:eastAsia="宋体" w:cs="宋体"/>
          <w:spacing w:val="-4"/>
          <w:sz w:val="24"/>
          <w:szCs w:val="24"/>
        </w:rPr>
        <w:t>9.支持无规则录入病理号。</w:t>
      </w:r>
    </w:p>
    <w:p w14:paraId="424B719F">
      <w:pPr>
        <w:spacing w:before="311" w:line="445" w:lineRule="auto"/>
        <w:ind w:left="536" w:right="5983"/>
        <w:rPr>
          <w:rFonts w:ascii="宋体" w:hAnsi="宋体" w:eastAsia="宋体" w:cs="宋体"/>
          <w:sz w:val="24"/>
          <w:szCs w:val="24"/>
        </w:rPr>
      </w:pPr>
      <w:r>
        <w:rPr>
          <w:rFonts w:ascii="宋体" w:hAnsi="宋体" w:eastAsia="宋体" w:cs="宋体"/>
          <w:spacing w:val="-4"/>
          <w:sz w:val="24"/>
          <w:szCs w:val="24"/>
        </w:rPr>
        <w:t>10.支持退单的病理号重复利用。</w:t>
      </w:r>
      <w:r>
        <w:rPr>
          <w:rFonts w:ascii="宋体" w:hAnsi="宋体" w:eastAsia="宋体" w:cs="宋体"/>
          <w:spacing w:val="1"/>
          <w:sz w:val="24"/>
          <w:szCs w:val="24"/>
        </w:rPr>
        <w:t xml:space="preserve"> </w:t>
      </w:r>
      <w:r>
        <w:rPr>
          <w:rFonts w:ascii="宋体" w:hAnsi="宋体" w:eastAsia="宋体" w:cs="宋体"/>
          <w:spacing w:val="-4"/>
          <w:sz w:val="24"/>
          <w:szCs w:val="24"/>
        </w:rPr>
        <w:t>11.支持病理号预留空段功能。</w:t>
      </w:r>
    </w:p>
    <w:p w14:paraId="1C81D65B">
      <w:pPr>
        <w:spacing w:before="34" w:line="219" w:lineRule="auto"/>
        <w:ind w:left="536"/>
        <w:rPr>
          <w:rFonts w:ascii="宋体" w:hAnsi="宋体" w:eastAsia="宋体" w:cs="宋体"/>
          <w:sz w:val="24"/>
          <w:szCs w:val="24"/>
        </w:rPr>
      </w:pPr>
      <w:r>
        <w:rPr>
          <w:rFonts w:ascii="宋体" w:hAnsi="宋体" w:eastAsia="宋体" w:cs="宋体"/>
          <w:spacing w:val="-2"/>
          <w:sz w:val="24"/>
          <w:szCs w:val="24"/>
        </w:rPr>
        <w:t>12.支持通过检查状态查询（登记、取材、诊断、审核、打印、延迟）。</w:t>
      </w:r>
    </w:p>
    <w:p w14:paraId="31C46C2F">
      <w:pPr>
        <w:spacing w:before="311" w:line="445" w:lineRule="auto"/>
        <w:ind w:left="536" w:right="1303"/>
        <w:rPr>
          <w:rFonts w:ascii="宋体" w:hAnsi="宋体" w:eastAsia="宋体" w:cs="宋体"/>
          <w:sz w:val="24"/>
          <w:szCs w:val="24"/>
        </w:rPr>
      </w:pPr>
      <w:r>
        <w:rPr>
          <w:rFonts w:ascii="宋体" w:hAnsi="宋体" w:eastAsia="宋体" w:cs="宋体"/>
          <w:spacing w:val="-2"/>
          <w:sz w:val="24"/>
          <w:szCs w:val="24"/>
        </w:rPr>
        <w:t>13.支持通过患者信息查询（病理号、门诊/住院号、患者姓名、姓名简拼）。</w:t>
      </w:r>
      <w:r>
        <w:rPr>
          <w:rFonts w:ascii="宋体" w:hAnsi="宋体" w:eastAsia="宋体" w:cs="宋体"/>
          <w:spacing w:val="9"/>
          <w:sz w:val="24"/>
          <w:szCs w:val="24"/>
        </w:rPr>
        <w:t xml:space="preserve"> </w:t>
      </w:r>
      <w:r>
        <w:rPr>
          <w:rFonts w:ascii="宋体" w:hAnsi="宋体" w:eastAsia="宋体" w:cs="宋体"/>
          <w:spacing w:val="-5"/>
          <w:sz w:val="24"/>
          <w:szCs w:val="24"/>
        </w:rPr>
        <w:t>14.支持精确或模糊查询。</w:t>
      </w:r>
    </w:p>
    <w:p w14:paraId="32089176">
      <w:pPr>
        <w:spacing w:before="35" w:line="445" w:lineRule="auto"/>
        <w:ind w:left="536" w:right="5023"/>
        <w:rPr>
          <w:rFonts w:ascii="宋体" w:hAnsi="宋体" w:eastAsia="宋体" w:cs="宋体"/>
          <w:sz w:val="24"/>
          <w:szCs w:val="24"/>
        </w:rPr>
      </w:pPr>
      <w:r>
        <w:rPr>
          <w:rFonts w:ascii="宋体" w:hAnsi="宋体" w:eastAsia="宋体" w:cs="宋体"/>
          <w:spacing w:val="-4"/>
          <w:sz w:val="24"/>
          <w:szCs w:val="24"/>
        </w:rPr>
        <w:t>15.支持按院区、病例库、全库进行查询。</w:t>
      </w:r>
      <w:r>
        <w:rPr>
          <w:rFonts w:ascii="宋体" w:hAnsi="宋体" w:eastAsia="宋体" w:cs="宋体"/>
          <w:spacing w:val="17"/>
          <w:sz w:val="24"/>
          <w:szCs w:val="24"/>
        </w:rPr>
        <w:t xml:space="preserve"> </w:t>
      </w:r>
      <w:r>
        <w:rPr>
          <w:rFonts w:ascii="宋体" w:hAnsi="宋体" w:eastAsia="宋体" w:cs="宋体"/>
          <w:spacing w:val="-4"/>
          <w:sz w:val="24"/>
          <w:szCs w:val="24"/>
        </w:rPr>
        <w:t>16.支持通过扫码方式查询患者信息。</w:t>
      </w:r>
    </w:p>
    <w:p w14:paraId="7E0D80A7">
      <w:pPr>
        <w:spacing w:before="35" w:line="218" w:lineRule="auto"/>
        <w:ind w:left="536"/>
        <w:rPr>
          <w:rFonts w:ascii="宋体" w:hAnsi="宋体" w:eastAsia="宋体" w:cs="宋体"/>
          <w:sz w:val="24"/>
          <w:szCs w:val="24"/>
        </w:rPr>
      </w:pPr>
      <w:r>
        <w:rPr>
          <w:rFonts w:ascii="宋体" w:hAnsi="宋体" w:eastAsia="宋体" w:cs="宋体"/>
          <w:spacing w:val="-5"/>
          <w:sz w:val="24"/>
          <w:szCs w:val="24"/>
        </w:rPr>
        <w:t>17.支持查询患者报告结果。</w:t>
      </w:r>
    </w:p>
    <w:p w14:paraId="0BECCF14">
      <w:pPr>
        <w:spacing w:before="312" w:line="445" w:lineRule="auto"/>
        <w:ind w:left="536" w:right="6223"/>
        <w:rPr>
          <w:rFonts w:ascii="宋体" w:hAnsi="宋体" w:eastAsia="宋体" w:cs="宋体"/>
          <w:sz w:val="24"/>
          <w:szCs w:val="24"/>
        </w:rPr>
      </w:pPr>
      <w:r>
        <w:rPr>
          <w:rFonts w:ascii="宋体" w:hAnsi="宋体" w:eastAsia="宋体" w:cs="宋体"/>
          <w:spacing w:val="-5"/>
          <w:sz w:val="24"/>
          <w:szCs w:val="24"/>
        </w:rPr>
        <w:t>18.支持查询检查的延迟原因。</w:t>
      </w:r>
      <w:r>
        <w:rPr>
          <w:rFonts w:ascii="宋体" w:hAnsi="宋体" w:eastAsia="宋体" w:cs="宋体"/>
          <w:spacing w:val="12"/>
          <w:sz w:val="24"/>
          <w:szCs w:val="24"/>
        </w:rPr>
        <w:t xml:space="preserve"> </w:t>
      </w:r>
      <w:r>
        <w:rPr>
          <w:rFonts w:ascii="宋体" w:hAnsi="宋体" w:eastAsia="宋体" w:cs="宋体"/>
          <w:spacing w:val="-5"/>
          <w:sz w:val="24"/>
          <w:szCs w:val="24"/>
        </w:rPr>
        <w:t>19.支持查询患者的登记信息。</w:t>
      </w:r>
    </w:p>
    <w:p w14:paraId="63280A7F">
      <w:pPr>
        <w:spacing w:before="34" w:line="445" w:lineRule="auto"/>
        <w:ind w:left="521" w:right="4063"/>
        <w:rPr>
          <w:rFonts w:ascii="宋体" w:hAnsi="宋体" w:eastAsia="宋体" w:cs="宋体"/>
          <w:sz w:val="24"/>
          <w:szCs w:val="24"/>
        </w:rPr>
      </w:pPr>
      <w:r>
        <w:rPr>
          <w:rFonts w:ascii="宋体" w:hAnsi="宋体" w:eastAsia="宋体" w:cs="宋体"/>
          <w:spacing w:val="-2"/>
          <w:sz w:val="24"/>
          <w:szCs w:val="24"/>
        </w:rPr>
        <w:t>20.支持查询患者的电子申请单或扫描纸质申请单。</w:t>
      </w:r>
      <w:r>
        <w:rPr>
          <w:rFonts w:ascii="宋体" w:hAnsi="宋体" w:eastAsia="宋体" w:cs="宋体"/>
          <w:sz w:val="24"/>
          <w:szCs w:val="24"/>
        </w:rPr>
        <w:t xml:space="preserve"> </w:t>
      </w:r>
      <w:r>
        <w:rPr>
          <w:rFonts w:ascii="宋体" w:hAnsi="宋体" w:eastAsia="宋体" w:cs="宋体"/>
          <w:spacing w:val="-2"/>
          <w:sz w:val="24"/>
          <w:szCs w:val="24"/>
        </w:rPr>
        <w:t>21.支持对接收的标本进行自动或手动的标签打印。</w:t>
      </w:r>
    </w:p>
    <w:p w14:paraId="43AE6F80">
      <w:pPr>
        <w:spacing w:before="37" w:line="444" w:lineRule="auto"/>
        <w:ind w:left="521" w:right="3103"/>
        <w:rPr>
          <w:rFonts w:ascii="宋体" w:hAnsi="宋体" w:eastAsia="宋体" w:cs="宋体"/>
          <w:sz w:val="24"/>
          <w:szCs w:val="24"/>
        </w:rPr>
      </w:pPr>
      <w:r>
        <w:rPr>
          <w:rFonts w:ascii="宋体" w:hAnsi="宋体" w:eastAsia="宋体" w:cs="宋体"/>
          <w:spacing w:val="-2"/>
          <w:sz w:val="24"/>
          <w:szCs w:val="24"/>
        </w:rPr>
        <w:t>22.支持根据病例库、患者类型等信息设置自动打印的个数。</w:t>
      </w:r>
      <w:r>
        <w:rPr>
          <w:rFonts w:ascii="宋体" w:hAnsi="宋体" w:eastAsia="宋体" w:cs="宋体"/>
          <w:spacing w:val="7"/>
          <w:sz w:val="24"/>
          <w:szCs w:val="24"/>
        </w:rPr>
        <w:t xml:space="preserve"> </w:t>
      </w:r>
      <w:r>
        <w:rPr>
          <w:rFonts w:ascii="宋体" w:hAnsi="宋体" w:eastAsia="宋体" w:cs="宋体"/>
          <w:spacing w:val="-3"/>
          <w:sz w:val="24"/>
          <w:szCs w:val="24"/>
        </w:rPr>
        <w:t>23.支持对已经审核的报告进行打印。</w:t>
      </w:r>
    </w:p>
    <w:p w14:paraId="1631EC0C">
      <w:pPr>
        <w:spacing w:before="36" w:line="220" w:lineRule="auto"/>
        <w:ind w:left="521"/>
        <w:rPr>
          <w:rFonts w:ascii="宋体" w:hAnsi="宋体" w:eastAsia="宋体" w:cs="宋体"/>
          <w:sz w:val="24"/>
          <w:szCs w:val="24"/>
        </w:rPr>
      </w:pPr>
      <w:r>
        <w:rPr>
          <w:rFonts w:ascii="宋体" w:hAnsi="宋体" w:eastAsia="宋体" w:cs="宋体"/>
          <w:spacing w:val="-4"/>
          <w:sz w:val="24"/>
          <w:szCs w:val="24"/>
        </w:rPr>
        <w:t>24.支持查询特检医嘱。</w:t>
      </w:r>
    </w:p>
    <w:p w14:paraId="5CC7C40D">
      <w:pPr>
        <w:pStyle w:val="2"/>
        <w:spacing w:line="332" w:lineRule="auto"/>
      </w:pPr>
    </w:p>
    <w:p w14:paraId="3BFED6EA">
      <w:pPr>
        <w:pStyle w:val="2"/>
        <w:spacing w:line="333" w:lineRule="auto"/>
      </w:pPr>
    </w:p>
    <w:p w14:paraId="7B63B33E">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63                                </w:t>
      </w:r>
      <w:r>
        <w:rPr>
          <w:rFonts w:ascii="宋体" w:hAnsi="宋体" w:eastAsia="宋体" w:cs="宋体"/>
          <w:b/>
          <w:bCs/>
          <w:i/>
          <w:iCs/>
          <w:spacing w:val="-3"/>
          <w:sz w:val="19"/>
          <w:szCs w:val="19"/>
        </w:rPr>
        <w:t>伊犁州公共资源交易中心</w:t>
      </w:r>
    </w:p>
    <w:p w14:paraId="63E8F32E">
      <w:pPr>
        <w:spacing w:line="160" w:lineRule="auto"/>
        <w:rPr>
          <w:rFonts w:ascii="宋体" w:hAnsi="宋体" w:eastAsia="宋体" w:cs="宋体"/>
          <w:sz w:val="19"/>
          <w:szCs w:val="19"/>
        </w:rPr>
        <w:sectPr>
          <w:headerReference r:id="rId54" w:type="default"/>
          <w:footerReference r:id="rId55" w:type="default"/>
          <w:pgSz w:w="11905" w:h="16839"/>
          <w:pgMar w:top="1136" w:right="830" w:bottom="937" w:left="1136" w:header="854" w:footer="923" w:gutter="0"/>
          <w:cols w:space="720" w:num="1"/>
        </w:sectPr>
      </w:pPr>
    </w:p>
    <w:p w14:paraId="606F9267">
      <w:pPr>
        <w:pStyle w:val="2"/>
        <w:spacing w:line="380" w:lineRule="auto"/>
      </w:pPr>
    </w:p>
    <w:p w14:paraId="3D110439">
      <w:pPr>
        <w:spacing w:before="78" w:line="445" w:lineRule="auto"/>
        <w:ind w:left="521" w:right="6223"/>
        <w:rPr>
          <w:rFonts w:ascii="宋体" w:hAnsi="宋体" w:eastAsia="宋体" w:cs="宋体"/>
          <w:sz w:val="24"/>
          <w:szCs w:val="24"/>
        </w:rPr>
      </w:pPr>
      <w:r>
        <w:rPr>
          <w:rFonts w:ascii="宋体" w:hAnsi="宋体" w:eastAsia="宋体" w:cs="宋体"/>
          <w:spacing w:val="-4"/>
          <w:sz w:val="24"/>
          <w:szCs w:val="24"/>
        </w:rPr>
        <w:t>25.支持打印特检医嘱申请单。</w:t>
      </w:r>
      <w:r>
        <w:rPr>
          <w:rFonts w:ascii="宋体" w:hAnsi="宋体" w:eastAsia="宋体" w:cs="宋体"/>
          <w:spacing w:val="11"/>
          <w:sz w:val="24"/>
          <w:szCs w:val="24"/>
        </w:rPr>
        <w:t xml:space="preserve"> </w:t>
      </w:r>
      <w:r>
        <w:rPr>
          <w:rFonts w:ascii="宋体" w:hAnsi="宋体" w:eastAsia="宋体" w:cs="宋体"/>
          <w:spacing w:val="-4"/>
          <w:sz w:val="24"/>
          <w:szCs w:val="24"/>
        </w:rPr>
        <w:t>26.支持生成新特检检查登记。</w:t>
      </w:r>
    </w:p>
    <w:p w14:paraId="6400602D">
      <w:pPr>
        <w:spacing w:before="35" w:line="445" w:lineRule="auto"/>
        <w:ind w:left="521" w:right="5383"/>
        <w:rPr>
          <w:rFonts w:ascii="宋体" w:hAnsi="宋体" w:eastAsia="宋体" w:cs="宋体"/>
          <w:sz w:val="24"/>
          <w:szCs w:val="24"/>
        </w:rPr>
      </w:pPr>
      <w:r>
        <w:rPr>
          <w:rFonts w:ascii="宋体" w:hAnsi="宋体" w:eastAsia="宋体" w:cs="宋体"/>
          <w:spacing w:val="-3"/>
          <w:sz w:val="24"/>
          <w:szCs w:val="24"/>
        </w:rPr>
        <w:t>27.支持将两个检查进行关联/解关联。</w:t>
      </w:r>
      <w:r>
        <w:rPr>
          <w:rFonts w:ascii="宋体" w:hAnsi="宋体" w:eastAsia="宋体" w:cs="宋体"/>
          <w:spacing w:val="8"/>
          <w:sz w:val="24"/>
          <w:szCs w:val="24"/>
        </w:rPr>
        <w:t xml:space="preserve"> </w:t>
      </w:r>
      <w:r>
        <w:rPr>
          <w:rFonts w:ascii="宋体" w:hAnsi="宋体" w:eastAsia="宋体" w:cs="宋体"/>
          <w:spacing w:val="-3"/>
          <w:sz w:val="24"/>
          <w:szCs w:val="24"/>
        </w:rPr>
        <w:t>28.支持查询关联的检查病理号。</w:t>
      </w:r>
    </w:p>
    <w:p w14:paraId="12AB562C">
      <w:pPr>
        <w:spacing w:before="33" w:line="449" w:lineRule="auto"/>
        <w:ind w:left="522" w:right="5023" w:hanging="1"/>
        <w:jc w:val="both"/>
        <w:rPr>
          <w:rFonts w:ascii="宋体" w:hAnsi="宋体" w:eastAsia="宋体" w:cs="宋体"/>
          <w:sz w:val="24"/>
          <w:szCs w:val="24"/>
        </w:rPr>
      </w:pPr>
      <w:r>
        <w:rPr>
          <w:rFonts w:ascii="宋体" w:hAnsi="宋体" w:eastAsia="宋体" w:cs="宋体"/>
          <w:spacing w:val="-3"/>
          <w:sz w:val="24"/>
          <w:szCs w:val="24"/>
        </w:rPr>
        <w:t>29.支持对冰冻检查自动的关联冻后检查。</w:t>
      </w:r>
      <w:r>
        <w:rPr>
          <w:rFonts w:ascii="宋体" w:hAnsi="宋体" w:eastAsia="宋体" w:cs="宋体"/>
          <w:spacing w:val="11"/>
          <w:sz w:val="24"/>
          <w:szCs w:val="24"/>
        </w:rPr>
        <w:t xml:space="preserve"> </w:t>
      </w:r>
      <w:r>
        <w:rPr>
          <w:rFonts w:ascii="宋体" w:hAnsi="宋体" w:eastAsia="宋体" w:cs="宋体"/>
          <w:spacing w:val="-3"/>
          <w:sz w:val="24"/>
          <w:szCs w:val="24"/>
        </w:rPr>
        <w:t>30.支持对常规检查自动的关联特检检查。</w:t>
      </w:r>
      <w:r>
        <w:rPr>
          <w:rFonts w:ascii="宋体" w:hAnsi="宋体" w:eastAsia="宋体" w:cs="宋体"/>
          <w:spacing w:val="10"/>
          <w:sz w:val="24"/>
          <w:szCs w:val="24"/>
        </w:rPr>
        <w:t xml:space="preserve"> </w:t>
      </w:r>
      <w:r>
        <w:rPr>
          <w:rFonts w:ascii="宋体" w:hAnsi="宋体" w:eastAsia="宋体" w:cs="宋体"/>
          <w:spacing w:val="-3"/>
          <w:sz w:val="24"/>
          <w:szCs w:val="24"/>
        </w:rPr>
        <w:t>31.支持对登记完的检查,打印接收列表。</w:t>
      </w:r>
    </w:p>
    <w:p w14:paraId="70C80C60">
      <w:pPr>
        <w:spacing w:before="39" w:line="217" w:lineRule="auto"/>
        <w:ind w:left="47"/>
        <w:rPr>
          <w:rFonts w:ascii="仿宋" w:hAnsi="仿宋" w:eastAsia="仿宋" w:cs="仿宋"/>
          <w:sz w:val="24"/>
          <w:szCs w:val="24"/>
        </w:rPr>
      </w:pPr>
      <w:r>
        <w:rPr>
          <w:rFonts w:ascii="仿宋" w:hAnsi="仿宋" w:eastAsia="仿宋" w:cs="仿宋"/>
          <w:b/>
          <w:bCs/>
          <w:spacing w:val="-6"/>
          <w:sz w:val="24"/>
          <w:szCs w:val="24"/>
        </w:rPr>
        <w:t>2.7.2</w:t>
      </w:r>
      <w:r>
        <w:rPr>
          <w:rFonts w:ascii="仿宋" w:hAnsi="仿宋" w:eastAsia="仿宋" w:cs="仿宋"/>
          <w:spacing w:val="-40"/>
          <w:sz w:val="24"/>
          <w:szCs w:val="24"/>
        </w:rPr>
        <w:t xml:space="preserve"> </w:t>
      </w:r>
      <w:r>
        <w:rPr>
          <w:rFonts w:ascii="仿宋" w:hAnsi="仿宋" w:eastAsia="仿宋" w:cs="仿宋"/>
          <w:b/>
          <w:bCs/>
          <w:spacing w:val="-6"/>
          <w:sz w:val="24"/>
          <w:szCs w:val="24"/>
        </w:rPr>
        <w:t>病理取材系统</w:t>
      </w:r>
    </w:p>
    <w:p w14:paraId="5516E6F8">
      <w:pPr>
        <w:pStyle w:val="2"/>
        <w:spacing w:line="351" w:lineRule="auto"/>
      </w:pPr>
    </w:p>
    <w:p w14:paraId="0269AAD0">
      <w:pPr>
        <w:spacing w:before="78" w:line="220" w:lineRule="auto"/>
        <w:ind w:left="536"/>
        <w:rPr>
          <w:rFonts w:ascii="宋体" w:hAnsi="宋体" w:eastAsia="宋体" w:cs="宋体"/>
          <w:sz w:val="24"/>
          <w:szCs w:val="24"/>
        </w:rPr>
      </w:pPr>
      <w:r>
        <w:rPr>
          <w:rFonts w:ascii="宋体" w:hAnsi="宋体" w:eastAsia="宋体" w:cs="宋体"/>
          <w:spacing w:val="-5"/>
          <w:sz w:val="24"/>
          <w:szCs w:val="24"/>
        </w:rPr>
        <w:t>1.支持通过检查状态查询。</w:t>
      </w:r>
    </w:p>
    <w:p w14:paraId="782DF321">
      <w:pPr>
        <w:spacing w:before="310" w:line="220" w:lineRule="auto"/>
        <w:ind w:left="521"/>
        <w:rPr>
          <w:rFonts w:ascii="宋体" w:hAnsi="宋体" w:eastAsia="宋体" w:cs="宋体"/>
          <w:sz w:val="24"/>
          <w:szCs w:val="24"/>
        </w:rPr>
      </w:pPr>
      <w:r>
        <w:rPr>
          <w:rFonts w:ascii="宋体" w:hAnsi="宋体" w:eastAsia="宋体" w:cs="宋体"/>
          <w:spacing w:val="-3"/>
          <w:sz w:val="24"/>
          <w:szCs w:val="24"/>
        </w:rPr>
        <w:t>2.支持通过扫码方式查询患者信息。</w:t>
      </w:r>
    </w:p>
    <w:p w14:paraId="24C77000">
      <w:pPr>
        <w:spacing w:before="310" w:line="445" w:lineRule="auto"/>
        <w:ind w:left="517" w:right="4423" w:firstLine="5"/>
        <w:rPr>
          <w:rFonts w:ascii="宋体" w:hAnsi="宋体" w:eastAsia="宋体" w:cs="宋体"/>
          <w:sz w:val="24"/>
          <w:szCs w:val="24"/>
        </w:rPr>
      </w:pPr>
      <w:r>
        <w:rPr>
          <w:rFonts w:ascii="宋体" w:hAnsi="宋体" w:eastAsia="宋体" w:cs="宋体"/>
          <w:spacing w:val="-3"/>
          <w:sz w:val="24"/>
          <w:szCs w:val="24"/>
        </w:rPr>
        <w:t>3.支持通过取材医生姓名查询已经取材的信息。</w:t>
      </w:r>
      <w:r>
        <w:rPr>
          <w:rFonts w:ascii="宋体" w:hAnsi="宋体" w:eastAsia="宋体" w:cs="宋体"/>
          <w:spacing w:val="16"/>
          <w:sz w:val="24"/>
          <w:szCs w:val="24"/>
        </w:rPr>
        <w:t xml:space="preserve"> </w:t>
      </w:r>
      <w:r>
        <w:rPr>
          <w:rFonts w:ascii="宋体" w:hAnsi="宋体" w:eastAsia="宋体" w:cs="宋体"/>
          <w:spacing w:val="-3"/>
          <w:sz w:val="24"/>
          <w:szCs w:val="24"/>
        </w:rPr>
        <w:t>4.支持在关联检查之间进行检查切换。</w:t>
      </w:r>
    </w:p>
    <w:p w14:paraId="6BF43105">
      <w:pPr>
        <w:spacing w:before="35" w:line="445" w:lineRule="auto"/>
        <w:ind w:left="520" w:right="4183" w:firstLine="2"/>
        <w:rPr>
          <w:rFonts w:ascii="宋体" w:hAnsi="宋体" w:eastAsia="宋体" w:cs="宋体"/>
          <w:sz w:val="24"/>
          <w:szCs w:val="24"/>
        </w:rPr>
      </w:pPr>
      <w:r>
        <w:rPr>
          <w:rFonts w:ascii="宋体" w:hAnsi="宋体" w:eastAsia="宋体" w:cs="宋体"/>
          <w:spacing w:val="-2"/>
          <w:sz w:val="24"/>
          <w:szCs w:val="24"/>
        </w:rPr>
        <w:t>5.支持通过上一条、下一条功能查找需要</w:t>
      </w:r>
      <w:r>
        <w:rPr>
          <w:rFonts w:ascii="宋体" w:hAnsi="宋体" w:eastAsia="宋体" w:cs="宋体"/>
          <w:spacing w:val="-3"/>
          <w:sz w:val="24"/>
          <w:szCs w:val="24"/>
        </w:rPr>
        <w:t>的检查。</w:t>
      </w:r>
      <w:r>
        <w:rPr>
          <w:rFonts w:ascii="宋体" w:hAnsi="宋体" w:eastAsia="宋体" w:cs="宋体"/>
          <w:sz w:val="24"/>
          <w:szCs w:val="24"/>
        </w:rPr>
        <w:t xml:space="preserve"> </w:t>
      </w:r>
      <w:r>
        <w:rPr>
          <w:rFonts w:ascii="宋体" w:hAnsi="宋体" w:eastAsia="宋体" w:cs="宋体"/>
          <w:spacing w:val="-3"/>
          <w:sz w:val="24"/>
          <w:szCs w:val="24"/>
        </w:rPr>
        <w:t>6.支持在程序的标题处显示患者的检查信息。</w:t>
      </w:r>
    </w:p>
    <w:p w14:paraId="7C2B058C">
      <w:pPr>
        <w:spacing w:before="35" w:line="219" w:lineRule="auto"/>
        <w:ind w:left="524"/>
        <w:rPr>
          <w:rFonts w:ascii="宋体" w:hAnsi="宋体" w:eastAsia="宋体" w:cs="宋体"/>
          <w:sz w:val="24"/>
          <w:szCs w:val="24"/>
        </w:rPr>
      </w:pPr>
      <w:r>
        <w:rPr>
          <w:rFonts w:ascii="宋体" w:hAnsi="宋体" w:eastAsia="宋体" w:cs="宋体"/>
          <w:spacing w:val="-3"/>
          <w:sz w:val="24"/>
          <w:szCs w:val="24"/>
        </w:rPr>
        <w:t>7.支持单条或批量添加材块信息。</w:t>
      </w:r>
    </w:p>
    <w:p w14:paraId="4898A859">
      <w:pPr>
        <w:spacing w:before="311" w:line="445" w:lineRule="auto"/>
        <w:ind w:left="519" w:right="4663"/>
        <w:rPr>
          <w:rFonts w:ascii="宋体" w:hAnsi="宋体" w:eastAsia="宋体" w:cs="宋体"/>
          <w:sz w:val="24"/>
          <w:szCs w:val="24"/>
        </w:rPr>
      </w:pPr>
      <w:r>
        <w:rPr>
          <w:rFonts w:ascii="宋体" w:hAnsi="宋体" w:eastAsia="宋体" w:cs="宋体"/>
          <w:spacing w:val="-3"/>
          <w:sz w:val="24"/>
          <w:szCs w:val="24"/>
        </w:rPr>
        <w:t>8.支持选择或手动输入部位名称、材块单位。</w:t>
      </w:r>
      <w:r>
        <w:rPr>
          <w:rFonts w:ascii="宋体" w:hAnsi="宋体" w:eastAsia="宋体" w:cs="宋体"/>
          <w:spacing w:val="16"/>
          <w:sz w:val="24"/>
          <w:szCs w:val="24"/>
        </w:rPr>
        <w:t xml:space="preserve"> </w:t>
      </w:r>
      <w:r>
        <w:rPr>
          <w:rFonts w:ascii="宋体" w:hAnsi="宋体" w:eastAsia="宋体" w:cs="宋体"/>
          <w:spacing w:val="-5"/>
          <w:sz w:val="24"/>
          <w:szCs w:val="24"/>
        </w:rPr>
        <w:t>9.支持手动录入。</w:t>
      </w:r>
    </w:p>
    <w:p w14:paraId="4EF5801A">
      <w:pPr>
        <w:spacing w:before="35" w:line="445" w:lineRule="auto"/>
        <w:ind w:left="536" w:right="1783"/>
        <w:rPr>
          <w:rFonts w:ascii="宋体" w:hAnsi="宋体" w:eastAsia="宋体" w:cs="宋体"/>
          <w:sz w:val="24"/>
          <w:szCs w:val="24"/>
        </w:rPr>
      </w:pPr>
      <w:r>
        <w:rPr>
          <w:rFonts w:ascii="宋体" w:hAnsi="宋体" w:eastAsia="宋体" w:cs="宋体"/>
          <w:spacing w:val="-2"/>
          <w:sz w:val="24"/>
          <w:szCs w:val="24"/>
        </w:rPr>
        <w:t>10.支持以选择模板方式录入，四级模板（标本类型\系统\部位\病种）。</w:t>
      </w:r>
      <w:r>
        <w:rPr>
          <w:rFonts w:ascii="宋体" w:hAnsi="宋体" w:eastAsia="宋体" w:cs="宋体"/>
          <w:spacing w:val="7"/>
          <w:sz w:val="24"/>
          <w:szCs w:val="24"/>
        </w:rPr>
        <w:t xml:space="preserve"> </w:t>
      </w:r>
      <w:r>
        <w:rPr>
          <w:rFonts w:ascii="宋体" w:hAnsi="宋体" w:eastAsia="宋体" w:cs="宋体"/>
          <w:spacing w:val="-4"/>
          <w:sz w:val="24"/>
          <w:szCs w:val="24"/>
        </w:rPr>
        <w:t>11.支持自定义大体描述模板。</w:t>
      </w:r>
    </w:p>
    <w:p w14:paraId="5FFE33AF">
      <w:pPr>
        <w:spacing w:before="35" w:line="219" w:lineRule="auto"/>
        <w:ind w:left="536"/>
        <w:rPr>
          <w:rFonts w:ascii="宋体" w:hAnsi="宋体" w:eastAsia="宋体" w:cs="宋体"/>
          <w:sz w:val="24"/>
          <w:szCs w:val="24"/>
        </w:rPr>
      </w:pPr>
      <w:r>
        <w:rPr>
          <w:rFonts w:ascii="宋体" w:hAnsi="宋体" w:eastAsia="宋体" w:cs="宋体"/>
          <w:spacing w:val="-3"/>
          <w:sz w:val="24"/>
          <w:szCs w:val="24"/>
        </w:rPr>
        <w:t>12.支持将取材医生和记录人、取材时间保存。</w:t>
      </w:r>
    </w:p>
    <w:p w14:paraId="4E6B41E6">
      <w:pPr>
        <w:spacing w:before="312" w:line="445" w:lineRule="auto"/>
        <w:ind w:left="536" w:right="5023"/>
        <w:rPr>
          <w:rFonts w:ascii="宋体" w:hAnsi="宋体" w:eastAsia="宋体" w:cs="宋体"/>
          <w:sz w:val="24"/>
          <w:szCs w:val="24"/>
        </w:rPr>
      </w:pPr>
      <w:r>
        <w:rPr>
          <w:rFonts w:ascii="宋体" w:hAnsi="宋体" w:eastAsia="宋体" w:cs="宋体"/>
          <w:spacing w:val="-4"/>
          <w:sz w:val="24"/>
          <w:szCs w:val="24"/>
        </w:rPr>
        <w:t>13.支持对取材剩余的标本进行保留标记。</w:t>
      </w:r>
      <w:r>
        <w:rPr>
          <w:rFonts w:ascii="宋体" w:hAnsi="宋体" w:eastAsia="宋体" w:cs="宋体"/>
          <w:spacing w:val="17"/>
          <w:sz w:val="24"/>
          <w:szCs w:val="24"/>
        </w:rPr>
        <w:t xml:space="preserve"> </w:t>
      </w:r>
      <w:r>
        <w:rPr>
          <w:rFonts w:ascii="宋体" w:hAnsi="宋体" w:eastAsia="宋体" w:cs="宋体"/>
          <w:spacing w:val="-6"/>
          <w:sz w:val="24"/>
          <w:szCs w:val="24"/>
        </w:rPr>
        <w:t>14.支持大体拍照。</w:t>
      </w:r>
    </w:p>
    <w:p w14:paraId="4C54AFB9">
      <w:pPr>
        <w:spacing w:before="34" w:line="220" w:lineRule="auto"/>
        <w:ind w:left="536"/>
        <w:rPr>
          <w:rFonts w:ascii="宋体" w:hAnsi="宋体" w:eastAsia="宋体" w:cs="宋体"/>
          <w:sz w:val="24"/>
          <w:szCs w:val="24"/>
        </w:rPr>
      </w:pPr>
      <w:r>
        <w:rPr>
          <w:rFonts w:ascii="宋体" w:hAnsi="宋体" w:eastAsia="宋体" w:cs="宋体"/>
          <w:spacing w:val="-2"/>
          <w:sz w:val="24"/>
          <w:szCs w:val="24"/>
        </w:rPr>
        <w:t>15.支持包埋盒单个或批量打印，生成系</w:t>
      </w:r>
      <w:r>
        <w:rPr>
          <w:rFonts w:ascii="宋体" w:hAnsi="宋体" w:eastAsia="宋体" w:cs="宋体"/>
          <w:spacing w:val="-3"/>
          <w:sz w:val="24"/>
          <w:szCs w:val="24"/>
        </w:rPr>
        <w:t>统识别的二维码。</w:t>
      </w:r>
    </w:p>
    <w:p w14:paraId="1EB449D3">
      <w:pPr>
        <w:pStyle w:val="2"/>
        <w:spacing w:line="273" w:lineRule="auto"/>
      </w:pPr>
    </w:p>
    <w:p w14:paraId="3E790FA4">
      <w:pPr>
        <w:pStyle w:val="2"/>
        <w:spacing w:line="273" w:lineRule="auto"/>
      </w:pPr>
    </w:p>
    <w:p w14:paraId="43814DCD">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64                                </w:t>
      </w:r>
      <w:r>
        <w:rPr>
          <w:rFonts w:ascii="宋体" w:hAnsi="宋体" w:eastAsia="宋体" w:cs="宋体"/>
          <w:b/>
          <w:bCs/>
          <w:i/>
          <w:iCs/>
          <w:spacing w:val="-3"/>
          <w:sz w:val="19"/>
          <w:szCs w:val="19"/>
        </w:rPr>
        <w:t>伊犁州公共资源交易中心</w:t>
      </w:r>
    </w:p>
    <w:p w14:paraId="157226DE">
      <w:pPr>
        <w:spacing w:line="160" w:lineRule="auto"/>
        <w:rPr>
          <w:rFonts w:ascii="宋体" w:hAnsi="宋体" w:eastAsia="宋体" w:cs="宋体"/>
          <w:sz w:val="19"/>
          <w:szCs w:val="19"/>
        </w:rPr>
        <w:sectPr>
          <w:pgSz w:w="11905" w:h="16839"/>
          <w:pgMar w:top="1136" w:right="830" w:bottom="937" w:left="1136" w:header="854" w:footer="923" w:gutter="0"/>
          <w:cols w:space="720" w:num="1"/>
        </w:sectPr>
      </w:pPr>
    </w:p>
    <w:p w14:paraId="7ECD1683">
      <w:pPr>
        <w:pStyle w:val="2"/>
        <w:spacing w:line="379" w:lineRule="auto"/>
      </w:pPr>
    </w:p>
    <w:p w14:paraId="21F40912">
      <w:pPr>
        <w:spacing w:before="78" w:line="219" w:lineRule="auto"/>
        <w:ind w:left="536"/>
        <w:rPr>
          <w:rFonts w:ascii="宋体" w:hAnsi="宋体" w:eastAsia="宋体" w:cs="宋体"/>
          <w:sz w:val="24"/>
          <w:szCs w:val="24"/>
        </w:rPr>
      </w:pPr>
      <w:r>
        <w:rPr>
          <w:rFonts w:ascii="宋体" w:hAnsi="宋体" w:eastAsia="宋体" w:cs="宋体"/>
          <w:spacing w:val="-4"/>
          <w:sz w:val="24"/>
          <w:szCs w:val="24"/>
        </w:rPr>
        <w:t>16.支持取材信息打印，支持批量打印。</w:t>
      </w:r>
    </w:p>
    <w:p w14:paraId="78D36889">
      <w:pPr>
        <w:spacing w:before="310" w:line="445" w:lineRule="auto"/>
        <w:ind w:left="536" w:right="4543"/>
        <w:rPr>
          <w:rFonts w:ascii="宋体" w:hAnsi="宋体" w:eastAsia="宋体" w:cs="宋体"/>
          <w:sz w:val="24"/>
          <w:szCs w:val="24"/>
        </w:rPr>
      </w:pPr>
      <w:r>
        <w:rPr>
          <w:rFonts w:ascii="宋体" w:hAnsi="宋体" w:eastAsia="宋体" w:cs="宋体"/>
          <w:spacing w:val="-3"/>
          <w:sz w:val="24"/>
          <w:szCs w:val="24"/>
        </w:rPr>
        <w:t>17.支持电子申请单信息打印，支持批量打印。</w:t>
      </w:r>
      <w:r>
        <w:rPr>
          <w:rFonts w:ascii="宋体" w:hAnsi="宋体" w:eastAsia="宋体" w:cs="宋体"/>
          <w:spacing w:val="3"/>
          <w:sz w:val="24"/>
          <w:szCs w:val="24"/>
        </w:rPr>
        <w:t xml:space="preserve"> </w:t>
      </w:r>
      <w:r>
        <w:rPr>
          <w:rFonts w:ascii="宋体" w:hAnsi="宋体" w:eastAsia="宋体" w:cs="宋体"/>
          <w:spacing w:val="-4"/>
          <w:sz w:val="24"/>
          <w:szCs w:val="24"/>
        </w:rPr>
        <w:t>18.支持打印取材工作交接单。</w:t>
      </w:r>
    </w:p>
    <w:p w14:paraId="78EF11A8">
      <w:pPr>
        <w:spacing w:before="34" w:line="220" w:lineRule="auto"/>
        <w:ind w:left="536"/>
        <w:rPr>
          <w:rFonts w:ascii="宋体" w:hAnsi="宋体" w:eastAsia="宋体" w:cs="宋体"/>
          <w:sz w:val="24"/>
          <w:szCs w:val="24"/>
        </w:rPr>
      </w:pPr>
      <w:r>
        <w:rPr>
          <w:rFonts w:ascii="宋体" w:hAnsi="宋体" w:eastAsia="宋体" w:cs="宋体"/>
          <w:spacing w:val="-4"/>
          <w:sz w:val="24"/>
          <w:szCs w:val="24"/>
        </w:rPr>
        <w:t>19.支持显示诊断医生开立的补取医嘱。</w:t>
      </w:r>
    </w:p>
    <w:p w14:paraId="7E89B2FC">
      <w:pPr>
        <w:spacing w:before="311" w:line="217" w:lineRule="auto"/>
        <w:ind w:left="47"/>
        <w:rPr>
          <w:rFonts w:ascii="仿宋" w:hAnsi="仿宋" w:eastAsia="仿宋" w:cs="仿宋"/>
          <w:sz w:val="24"/>
          <w:szCs w:val="24"/>
        </w:rPr>
      </w:pPr>
      <w:r>
        <w:rPr>
          <w:rFonts w:ascii="仿宋" w:hAnsi="仿宋" w:eastAsia="仿宋" w:cs="仿宋"/>
          <w:b/>
          <w:bCs/>
          <w:spacing w:val="-6"/>
          <w:sz w:val="24"/>
          <w:szCs w:val="24"/>
        </w:rPr>
        <w:t>2.7.3</w:t>
      </w:r>
      <w:r>
        <w:rPr>
          <w:rFonts w:ascii="仿宋" w:hAnsi="仿宋" w:eastAsia="仿宋" w:cs="仿宋"/>
          <w:spacing w:val="-40"/>
          <w:sz w:val="24"/>
          <w:szCs w:val="24"/>
        </w:rPr>
        <w:t xml:space="preserve"> </w:t>
      </w:r>
      <w:r>
        <w:rPr>
          <w:rFonts w:ascii="仿宋" w:hAnsi="仿宋" w:eastAsia="仿宋" w:cs="仿宋"/>
          <w:b/>
          <w:bCs/>
          <w:spacing w:val="-6"/>
          <w:sz w:val="24"/>
          <w:szCs w:val="24"/>
        </w:rPr>
        <w:t>病理制片系统</w:t>
      </w:r>
    </w:p>
    <w:p w14:paraId="143C939F">
      <w:pPr>
        <w:pStyle w:val="2"/>
        <w:spacing w:line="353" w:lineRule="auto"/>
      </w:pPr>
    </w:p>
    <w:p w14:paraId="1BC27A21">
      <w:pPr>
        <w:spacing w:before="79" w:line="445" w:lineRule="auto"/>
        <w:ind w:left="521" w:right="2743" w:firstLine="14"/>
        <w:rPr>
          <w:rFonts w:ascii="宋体" w:hAnsi="宋体" w:eastAsia="宋体" w:cs="宋体"/>
          <w:sz w:val="24"/>
          <w:szCs w:val="24"/>
        </w:rPr>
      </w:pPr>
      <w:r>
        <w:rPr>
          <w:rFonts w:ascii="宋体" w:hAnsi="宋体" w:eastAsia="宋体" w:cs="宋体"/>
          <w:spacing w:val="-2"/>
          <w:sz w:val="24"/>
          <w:szCs w:val="24"/>
        </w:rPr>
        <w:t>1.支持按院区、病例库、取材时间的范围，检索待包</w:t>
      </w:r>
      <w:r>
        <w:rPr>
          <w:rFonts w:ascii="宋体" w:hAnsi="宋体" w:eastAsia="宋体" w:cs="宋体"/>
          <w:spacing w:val="-3"/>
          <w:sz w:val="24"/>
          <w:szCs w:val="24"/>
        </w:rPr>
        <w:t>埋的信息。</w:t>
      </w:r>
      <w:r>
        <w:rPr>
          <w:rFonts w:ascii="宋体" w:hAnsi="宋体" w:eastAsia="宋体" w:cs="宋体"/>
          <w:sz w:val="24"/>
          <w:szCs w:val="24"/>
        </w:rPr>
        <w:t xml:space="preserve"> </w:t>
      </w:r>
      <w:r>
        <w:rPr>
          <w:rFonts w:ascii="宋体" w:hAnsi="宋体" w:eastAsia="宋体" w:cs="宋体"/>
          <w:spacing w:val="-3"/>
          <w:sz w:val="24"/>
          <w:szCs w:val="24"/>
        </w:rPr>
        <w:t>2.支持通过病理号进行查询待包埋的信息。</w:t>
      </w:r>
    </w:p>
    <w:p w14:paraId="66BA4866">
      <w:pPr>
        <w:spacing w:before="35" w:line="445" w:lineRule="auto"/>
        <w:ind w:left="517" w:right="583" w:firstLine="5"/>
        <w:rPr>
          <w:rFonts w:ascii="宋体" w:hAnsi="宋体" w:eastAsia="宋体" w:cs="宋体"/>
          <w:sz w:val="24"/>
          <w:szCs w:val="24"/>
        </w:rPr>
      </w:pPr>
      <w:r>
        <w:rPr>
          <w:rFonts w:ascii="宋体" w:hAnsi="宋体" w:eastAsia="宋体" w:cs="宋体"/>
          <w:spacing w:val="-1"/>
          <w:sz w:val="24"/>
          <w:szCs w:val="24"/>
        </w:rPr>
        <w:t>3.支持通过扫描包埋盒上的二维码自动审核包埋，并将审</w:t>
      </w:r>
      <w:r>
        <w:rPr>
          <w:rFonts w:ascii="宋体" w:hAnsi="宋体" w:eastAsia="宋体" w:cs="宋体"/>
          <w:spacing w:val="-2"/>
          <w:sz w:val="24"/>
          <w:szCs w:val="24"/>
        </w:rPr>
        <w:t>核人、审核时间信息记录。</w:t>
      </w:r>
      <w:r>
        <w:rPr>
          <w:rFonts w:ascii="宋体" w:hAnsi="宋体" w:eastAsia="宋体" w:cs="宋体"/>
          <w:sz w:val="24"/>
          <w:szCs w:val="24"/>
        </w:rPr>
        <w:t xml:space="preserve"> </w:t>
      </w:r>
      <w:r>
        <w:rPr>
          <w:rFonts w:ascii="宋体" w:hAnsi="宋体" w:eastAsia="宋体" w:cs="宋体"/>
          <w:spacing w:val="-3"/>
          <w:sz w:val="24"/>
          <w:szCs w:val="24"/>
        </w:rPr>
        <w:t>4.支持切片的打印，支持批量打印。</w:t>
      </w:r>
    </w:p>
    <w:p w14:paraId="192620A3">
      <w:pPr>
        <w:spacing w:before="34" w:line="220" w:lineRule="auto"/>
        <w:ind w:left="523"/>
        <w:rPr>
          <w:rFonts w:ascii="宋体" w:hAnsi="宋体" w:eastAsia="宋体" w:cs="宋体"/>
          <w:sz w:val="24"/>
          <w:szCs w:val="24"/>
        </w:rPr>
      </w:pPr>
      <w:r>
        <w:rPr>
          <w:rFonts w:ascii="宋体" w:hAnsi="宋体" w:eastAsia="宋体" w:cs="宋体"/>
          <w:spacing w:val="-3"/>
          <w:sz w:val="24"/>
          <w:szCs w:val="24"/>
        </w:rPr>
        <w:t>5.支持查询当天登陆人的包埋信息。</w:t>
      </w:r>
    </w:p>
    <w:p w14:paraId="37A973F0">
      <w:pPr>
        <w:spacing w:before="311" w:line="445" w:lineRule="auto"/>
        <w:ind w:left="523" w:right="3703" w:hanging="3"/>
        <w:rPr>
          <w:rFonts w:ascii="宋体" w:hAnsi="宋体" w:eastAsia="宋体" w:cs="宋体"/>
          <w:sz w:val="24"/>
          <w:szCs w:val="24"/>
        </w:rPr>
      </w:pPr>
      <w:r>
        <w:rPr>
          <w:rFonts w:ascii="宋体" w:hAnsi="宋体" w:eastAsia="宋体" w:cs="宋体"/>
          <w:spacing w:val="-2"/>
          <w:sz w:val="24"/>
          <w:szCs w:val="24"/>
        </w:rPr>
        <w:t>6.支持回顾当天登陆人的包埋核对时出现的错误日志。</w:t>
      </w:r>
      <w:r>
        <w:rPr>
          <w:rFonts w:ascii="宋体" w:hAnsi="宋体" w:eastAsia="宋体" w:cs="宋体"/>
          <w:spacing w:val="2"/>
          <w:sz w:val="24"/>
          <w:szCs w:val="24"/>
        </w:rPr>
        <w:t xml:space="preserve"> </w:t>
      </w:r>
      <w:r>
        <w:rPr>
          <w:rFonts w:ascii="宋体" w:hAnsi="宋体" w:eastAsia="宋体" w:cs="宋体"/>
          <w:spacing w:val="-3"/>
          <w:sz w:val="24"/>
          <w:szCs w:val="24"/>
        </w:rPr>
        <w:t>7.支持查询病理号下所有的包埋信息。</w:t>
      </w:r>
    </w:p>
    <w:p w14:paraId="01C02BEB">
      <w:pPr>
        <w:spacing w:before="35" w:line="445" w:lineRule="auto"/>
        <w:ind w:left="519" w:right="2743"/>
        <w:rPr>
          <w:rFonts w:ascii="宋体" w:hAnsi="宋体" w:eastAsia="宋体" w:cs="宋体"/>
          <w:sz w:val="24"/>
          <w:szCs w:val="24"/>
        </w:rPr>
      </w:pPr>
      <w:r>
        <w:rPr>
          <w:rFonts w:ascii="宋体" w:hAnsi="宋体" w:eastAsia="宋体" w:cs="宋体"/>
          <w:spacing w:val="-2"/>
          <w:sz w:val="24"/>
          <w:szCs w:val="24"/>
        </w:rPr>
        <w:t>8.支持按院区、病例库、包埋时间的范围，检索待切片的信息。</w:t>
      </w:r>
      <w:r>
        <w:rPr>
          <w:rFonts w:ascii="宋体" w:hAnsi="宋体" w:eastAsia="宋体" w:cs="宋体"/>
          <w:spacing w:val="11"/>
          <w:sz w:val="24"/>
          <w:szCs w:val="24"/>
        </w:rPr>
        <w:t xml:space="preserve"> </w:t>
      </w:r>
      <w:r>
        <w:rPr>
          <w:rFonts w:ascii="宋体" w:hAnsi="宋体" w:eastAsia="宋体" w:cs="宋体"/>
          <w:spacing w:val="-3"/>
          <w:sz w:val="24"/>
          <w:szCs w:val="24"/>
        </w:rPr>
        <w:t>9.支持通过病理号进行查询待切片的信息。</w:t>
      </w:r>
    </w:p>
    <w:p w14:paraId="03E8F4F7">
      <w:pPr>
        <w:spacing w:before="35" w:line="445" w:lineRule="auto"/>
        <w:ind w:left="536" w:right="463"/>
        <w:rPr>
          <w:rFonts w:ascii="宋体" w:hAnsi="宋体" w:eastAsia="宋体" w:cs="宋体"/>
          <w:sz w:val="24"/>
          <w:szCs w:val="24"/>
        </w:rPr>
      </w:pPr>
      <w:r>
        <w:rPr>
          <w:rFonts w:ascii="宋体" w:hAnsi="宋体" w:eastAsia="宋体" w:cs="宋体"/>
          <w:spacing w:val="-2"/>
          <w:sz w:val="24"/>
          <w:szCs w:val="24"/>
        </w:rPr>
        <w:t>10.支持通过扫描包埋盒上的二维码自动切片确认，并将切片人、切片时间信息记录。</w:t>
      </w:r>
      <w:r>
        <w:rPr>
          <w:rFonts w:ascii="宋体" w:hAnsi="宋体" w:eastAsia="宋体" w:cs="宋体"/>
          <w:spacing w:val="15"/>
          <w:sz w:val="24"/>
          <w:szCs w:val="24"/>
        </w:rPr>
        <w:t xml:space="preserve"> </w:t>
      </w:r>
      <w:r>
        <w:rPr>
          <w:rFonts w:ascii="宋体" w:hAnsi="宋体" w:eastAsia="宋体" w:cs="宋体"/>
          <w:spacing w:val="-4"/>
          <w:sz w:val="24"/>
          <w:szCs w:val="24"/>
        </w:rPr>
        <w:t>11.支持切片的打印，支持批量打印。</w:t>
      </w:r>
    </w:p>
    <w:p w14:paraId="217A701D">
      <w:pPr>
        <w:spacing w:before="34" w:line="220" w:lineRule="auto"/>
        <w:ind w:left="536"/>
        <w:rPr>
          <w:rFonts w:ascii="宋体" w:hAnsi="宋体" w:eastAsia="宋体" w:cs="宋体"/>
          <w:sz w:val="24"/>
          <w:szCs w:val="24"/>
        </w:rPr>
      </w:pPr>
      <w:r>
        <w:rPr>
          <w:rFonts w:ascii="宋体" w:hAnsi="宋体" w:eastAsia="宋体" w:cs="宋体"/>
          <w:spacing w:val="-4"/>
          <w:sz w:val="24"/>
          <w:szCs w:val="24"/>
        </w:rPr>
        <w:t>12.支持查询当天登陆人的切片信息。</w:t>
      </w:r>
    </w:p>
    <w:p w14:paraId="38A7EA6B">
      <w:pPr>
        <w:spacing w:before="311" w:line="445" w:lineRule="auto"/>
        <w:ind w:left="536" w:right="3583"/>
        <w:rPr>
          <w:rFonts w:ascii="宋体" w:hAnsi="宋体" w:eastAsia="宋体" w:cs="宋体"/>
          <w:sz w:val="24"/>
          <w:szCs w:val="24"/>
        </w:rPr>
      </w:pPr>
      <w:r>
        <w:rPr>
          <w:rFonts w:ascii="宋体" w:hAnsi="宋体" w:eastAsia="宋体" w:cs="宋体"/>
          <w:spacing w:val="-3"/>
          <w:sz w:val="24"/>
          <w:szCs w:val="24"/>
        </w:rPr>
        <w:t>13.支持回顾当天登陆人的切片确认时出现的错误日志。</w:t>
      </w:r>
      <w:r>
        <w:rPr>
          <w:rFonts w:ascii="宋体" w:hAnsi="宋体" w:eastAsia="宋体" w:cs="宋体"/>
          <w:spacing w:val="15"/>
          <w:sz w:val="24"/>
          <w:szCs w:val="24"/>
        </w:rPr>
        <w:t xml:space="preserve"> </w:t>
      </w:r>
      <w:r>
        <w:rPr>
          <w:rFonts w:ascii="宋体" w:hAnsi="宋体" w:eastAsia="宋体" w:cs="宋体"/>
          <w:spacing w:val="-4"/>
          <w:sz w:val="24"/>
          <w:szCs w:val="24"/>
        </w:rPr>
        <w:t>14.支持查询病理号下所有的包埋信息。</w:t>
      </w:r>
    </w:p>
    <w:p w14:paraId="0DF8C9F8">
      <w:pPr>
        <w:spacing w:before="35" w:line="445" w:lineRule="auto"/>
        <w:ind w:left="536" w:right="2863"/>
        <w:rPr>
          <w:rFonts w:ascii="宋体" w:hAnsi="宋体" w:eastAsia="宋体" w:cs="宋体"/>
          <w:sz w:val="24"/>
          <w:szCs w:val="24"/>
        </w:rPr>
      </w:pPr>
      <w:r>
        <w:rPr>
          <w:rFonts w:ascii="宋体" w:hAnsi="宋体" w:eastAsia="宋体" w:cs="宋体"/>
          <w:spacing w:val="-2"/>
          <w:sz w:val="24"/>
          <w:szCs w:val="24"/>
        </w:rPr>
        <w:t>15.支持按院区、病例库、切片时间的范围，检索制</w:t>
      </w:r>
      <w:r>
        <w:rPr>
          <w:rFonts w:ascii="宋体" w:hAnsi="宋体" w:eastAsia="宋体" w:cs="宋体"/>
          <w:spacing w:val="-3"/>
          <w:sz w:val="24"/>
          <w:szCs w:val="24"/>
        </w:rPr>
        <w:t>片的信息。</w:t>
      </w:r>
      <w:r>
        <w:rPr>
          <w:rFonts w:ascii="宋体" w:hAnsi="宋体" w:eastAsia="宋体" w:cs="宋体"/>
          <w:sz w:val="24"/>
          <w:szCs w:val="24"/>
        </w:rPr>
        <w:t xml:space="preserve"> </w:t>
      </w:r>
      <w:r>
        <w:rPr>
          <w:rFonts w:ascii="宋体" w:hAnsi="宋体" w:eastAsia="宋体" w:cs="宋体"/>
          <w:spacing w:val="-3"/>
          <w:sz w:val="24"/>
          <w:szCs w:val="24"/>
        </w:rPr>
        <w:t>16.支持通过病理号进行查询制片的信息。</w:t>
      </w:r>
    </w:p>
    <w:p w14:paraId="7FB60FDB">
      <w:pPr>
        <w:spacing w:before="35" w:line="445" w:lineRule="auto"/>
        <w:ind w:left="536" w:right="463"/>
        <w:rPr>
          <w:rFonts w:ascii="宋体" w:hAnsi="宋体" w:eastAsia="宋体" w:cs="宋体"/>
          <w:sz w:val="24"/>
          <w:szCs w:val="24"/>
        </w:rPr>
      </w:pPr>
      <w:r>
        <w:rPr>
          <w:rFonts w:ascii="宋体" w:hAnsi="宋体" w:eastAsia="宋体" w:cs="宋体"/>
          <w:spacing w:val="-2"/>
          <w:sz w:val="24"/>
          <w:szCs w:val="24"/>
        </w:rPr>
        <w:t>17.支持通过扫描包埋盒上的二维码自动制片确认，并将校片人、校片时间信息记录。</w:t>
      </w:r>
      <w:r>
        <w:rPr>
          <w:rFonts w:ascii="宋体" w:hAnsi="宋体" w:eastAsia="宋体" w:cs="宋体"/>
          <w:spacing w:val="15"/>
          <w:sz w:val="24"/>
          <w:szCs w:val="24"/>
        </w:rPr>
        <w:t xml:space="preserve"> </w:t>
      </w:r>
      <w:r>
        <w:rPr>
          <w:rFonts w:ascii="宋体" w:hAnsi="宋体" w:eastAsia="宋体" w:cs="宋体"/>
          <w:spacing w:val="-4"/>
          <w:sz w:val="24"/>
          <w:szCs w:val="24"/>
        </w:rPr>
        <w:t>18.支持切片的打印，支持批量打印。</w:t>
      </w:r>
    </w:p>
    <w:p w14:paraId="61AF5DC0">
      <w:pPr>
        <w:pStyle w:val="2"/>
        <w:spacing w:line="271" w:lineRule="auto"/>
      </w:pPr>
    </w:p>
    <w:p w14:paraId="1572FCFB">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65                                </w:t>
      </w:r>
      <w:r>
        <w:rPr>
          <w:rFonts w:ascii="宋体" w:hAnsi="宋体" w:eastAsia="宋体" w:cs="宋体"/>
          <w:b/>
          <w:bCs/>
          <w:i/>
          <w:iCs/>
          <w:spacing w:val="-3"/>
          <w:sz w:val="19"/>
          <w:szCs w:val="19"/>
        </w:rPr>
        <w:t>伊犁州公共资源交易中心</w:t>
      </w:r>
    </w:p>
    <w:p w14:paraId="16ABE7C0">
      <w:pPr>
        <w:spacing w:line="160" w:lineRule="auto"/>
        <w:rPr>
          <w:rFonts w:ascii="宋体" w:hAnsi="宋体" w:eastAsia="宋体" w:cs="宋体"/>
          <w:sz w:val="19"/>
          <w:szCs w:val="19"/>
        </w:rPr>
        <w:sectPr>
          <w:pgSz w:w="11905" w:h="16839"/>
          <w:pgMar w:top="1136" w:right="830" w:bottom="937" w:left="1136" w:header="854" w:footer="923" w:gutter="0"/>
          <w:cols w:space="720" w:num="1"/>
        </w:sectPr>
      </w:pPr>
    </w:p>
    <w:p w14:paraId="5628C263">
      <w:pPr>
        <w:pStyle w:val="2"/>
        <w:spacing w:line="379" w:lineRule="auto"/>
      </w:pPr>
    </w:p>
    <w:p w14:paraId="66A8562B">
      <w:pPr>
        <w:spacing w:before="78" w:line="220" w:lineRule="auto"/>
        <w:ind w:left="536"/>
        <w:rPr>
          <w:rFonts w:ascii="宋体" w:hAnsi="宋体" w:eastAsia="宋体" w:cs="宋体"/>
          <w:sz w:val="24"/>
          <w:szCs w:val="24"/>
        </w:rPr>
      </w:pPr>
      <w:r>
        <w:rPr>
          <w:rFonts w:ascii="宋体" w:hAnsi="宋体" w:eastAsia="宋体" w:cs="宋体"/>
          <w:spacing w:val="-4"/>
          <w:sz w:val="24"/>
          <w:szCs w:val="24"/>
        </w:rPr>
        <w:t>19.支持添加/删除切片信息。</w:t>
      </w:r>
    </w:p>
    <w:p w14:paraId="314D5D6F">
      <w:pPr>
        <w:spacing w:before="310" w:line="220" w:lineRule="auto"/>
        <w:ind w:left="521"/>
        <w:rPr>
          <w:rFonts w:ascii="宋体" w:hAnsi="宋体" w:eastAsia="宋体" w:cs="宋体"/>
          <w:sz w:val="24"/>
          <w:szCs w:val="24"/>
        </w:rPr>
      </w:pPr>
      <w:r>
        <w:rPr>
          <w:rFonts w:ascii="宋体" w:hAnsi="宋体" w:eastAsia="宋体" w:cs="宋体"/>
          <w:spacing w:val="-3"/>
          <w:sz w:val="24"/>
          <w:szCs w:val="24"/>
        </w:rPr>
        <w:t>20.支持查询当天登陆人的切片信息。</w:t>
      </w:r>
    </w:p>
    <w:p w14:paraId="783371B7">
      <w:pPr>
        <w:spacing w:before="311" w:line="445" w:lineRule="auto"/>
        <w:ind w:left="521" w:right="3640"/>
        <w:rPr>
          <w:rFonts w:ascii="宋体" w:hAnsi="宋体" w:eastAsia="宋体" w:cs="宋体"/>
          <w:sz w:val="24"/>
          <w:szCs w:val="24"/>
        </w:rPr>
      </w:pPr>
      <w:r>
        <w:rPr>
          <w:rFonts w:ascii="宋体" w:hAnsi="宋体" w:eastAsia="宋体" w:cs="宋体"/>
          <w:spacing w:val="-2"/>
          <w:sz w:val="24"/>
          <w:szCs w:val="24"/>
        </w:rPr>
        <w:t>21.支持回顾当天登陆人的切片确认时出现的错误日志。</w:t>
      </w:r>
      <w:r>
        <w:rPr>
          <w:rFonts w:ascii="宋体" w:hAnsi="宋体" w:eastAsia="宋体" w:cs="宋体"/>
          <w:spacing w:val="3"/>
          <w:sz w:val="24"/>
          <w:szCs w:val="24"/>
        </w:rPr>
        <w:t xml:space="preserve"> </w:t>
      </w:r>
      <w:r>
        <w:rPr>
          <w:rFonts w:ascii="宋体" w:hAnsi="宋体" w:eastAsia="宋体" w:cs="宋体"/>
          <w:spacing w:val="-3"/>
          <w:sz w:val="24"/>
          <w:szCs w:val="24"/>
        </w:rPr>
        <w:t>22.支持查询病理号下所有的制片信息。</w:t>
      </w:r>
    </w:p>
    <w:p w14:paraId="5ECAC4F3">
      <w:pPr>
        <w:spacing w:before="33" w:line="220" w:lineRule="auto"/>
        <w:ind w:left="521"/>
        <w:rPr>
          <w:rFonts w:ascii="宋体" w:hAnsi="宋体" w:eastAsia="宋体" w:cs="宋体"/>
          <w:sz w:val="24"/>
          <w:szCs w:val="24"/>
        </w:rPr>
      </w:pPr>
      <w:r>
        <w:rPr>
          <w:rFonts w:ascii="宋体" w:hAnsi="宋体" w:eastAsia="宋体" w:cs="宋体"/>
          <w:spacing w:val="-3"/>
          <w:sz w:val="24"/>
          <w:szCs w:val="24"/>
        </w:rPr>
        <w:t>23.支持打印制片工作交接单。</w:t>
      </w:r>
    </w:p>
    <w:p w14:paraId="0534C0AA">
      <w:pPr>
        <w:spacing w:before="310" w:line="445" w:lineRule="auto"/>
        <w:ind w:left="521" w:right="4840"/>
        <w:rPr>
          <w:rFonts w:ascii="宋体" w:hAnsi="宋体" w:eastAsia="宋体" w:cs="宋体"/>
          <w:sz w:val="24"/>
          <w:szCs w:val="24"/>
        </w:rPr>
      </w:pPr>
      <w:r>
        <w:rPr>
          <w:rFonts w:ascii="宋体" w:hAnsi="宋体" w:eastAsia="宋体" w:cs="宋体"/>
          <w:spacing w:val="-3"/>
          <w:sz w:val="24"/>
          <w:szCs w:val="24"/>
        </w:rPr>
        <w:t>24.支持按医嘱种类检索未执行的医嘱信息。</w:t>
      </w:r>
      <w:r>
        <w:rPr>
          <w:rFonts w:ascii="宋体" w:hAnsi="宋体" w:eastAsia="宋体" w:cs="宋体"/>
          <w:spacing w:val="14"/>
          <w:sz w:val="24"/>
          <w:szCs w:val="24"/>
        </w:rPr>
        <w:t xml:space="preserve"> </w:t>
      </w:r>
      <w:r>
        <w:rPr>
          <w:rFonts w:ascii="宋体" w:hAnsi="宋体" w:eastAsia="宋体" w:cs="宋体"/>
          <w:spacing w:val="-3"/>
          <w:sz w:val="24"/>
          <w:szCs w:val="24"/>
        </w:rPr>
        <w:t>25.支持医嘱信息的自动提醒功能。</w:t>
      </w:r>
    </w:p>
    <w:p w14:paraId="508422BD">
      <w:pPr>
        <w:spacing w:before="34" w:line="220" w:lineRule="auto"/>
        <w:ind w:left="521"/>
        <w:rPr>
          <w:rFonts w:ascii="宋体" w:hAnsi="宋体" w:eastAsia="宋体" w:cs="宋体"/>
          <w:sz w:val="24"/>
          <w:szCs w:val="24"/>
        </w:rPr>
      </w:pPr>
      <w:r>
        <w:rPr>
          <w:rFonts w:ascii="宋体" w:hAnsi="宋体" w:eastAsia="宋体" w:cs="宋体"/>
          <w:spacing w:val="-4"/>
          <w:sz w:val="24"/>
          <w:szCs w:val="24"/>
        </w:rPr>
        <w:t>26.支持打印医嘱工作单。</w:t>
      </w:r>
    </w:p>
    <w:p w14:paraId="7F64F8B9">
      <w:pPr>
        <w:spacing w:before="310" w:line="220" w:lineRule="auto"/>
        <w:ind w:left="521"/>
        <w:rPr>
          <w:rFonts w:ascii="宋体" w:hAnsi="宋体" w:eastAsia="宋体" w:cs="宋体"/>
          <w:sz w:val="24"/>
          <w:szCs w:val="24"/>
        </w:rPr>
      </w:pPr>
      <w:r>
        <w:rPr>
          <w:rFonts w:ascii="宋体" w:hAnsi="宋体" w:eastAsia="宋体" w:cs="宋体"/>
          <w:spacing w:val="-3"/>
          <w:sz w:val="24"/>
          <w:szCs w:val="24"/>
        </w:rPr>
        <w:t>27.支持医嘱的执行人，执行时间信息记录。</w:t>
      </w:r>
    </w:p>
    <w:p w14:paraId="18A5EA74">
      <w:pPr>
        <w:spacing w:before="311" w:line="216" w:lineRule="auto"/>
        <w:ind w:left="47"/>
        <w:rPr>
          <w:rFonts w:ascii="仿宋" w:hAnsi="仿宋" w:eastAsia="仿宋" w:cs="仿宋"/>
          <w:sz w:val="24"/>
          <w:szCs w:val="24"/>
        </w:rPr>
      </w:pPr>
      <w:r>
        <w:rPr>
          <w:rFonts w:ascii="仿宋" w:hAnsi="仿宋" w:eastAsia="仿宋" w:cs="仿宋"/>
          <w:b/>
          <w:bCs/>
          <w:spacing w:val="-6"/>
          <w:sz w:val="24"/>
          <w:szCs w:val="24"/>
        </w:rPr>
        <w:t>2.7.4</w:t>
      </w:r>
      <w:r>
        <w:rPr>
          <w:rFonts w:ascii="仿宋" w:hAnsi="仿宋" w:eastAsia="仿宋" w:cs="仿宋"/>
          <w:spacing w:val="-40"/>
          <w:sz w:val="24"/>
          <w:szCs w:val="24"/>
        </w:rPr>
        <w:t xml:space="preserve"> </w:t>
      </w:r>
      <w:r>
        <w:rPr>
          <w:rFonts w:ascii="仿宋" w:hAnsi="仿宋" w:eastAsia="仿宋" w:cs="仿宋"/>
          <w:b/>
          <w:bCs/>
          <w:spacing w:val="-6"/>
          <w:sz w:val="24"/>
          <w:szCs w:val="24"/>
        </w:rPr>
        <w:t>病理诊断系统</w:t>
      </w:r>
    </w:p>
    <w:p w14:paraId="2790EAF5">
      <w:pPr>
        <w:pStyle w:val="2"/>
        <w:spacing w:line="354" w:lineRule="auto"/>
      </w:pPr>
    </w:p>
    <w:p w14:paraId="7B1F6D7F">
      <w:pPr>
        <w:spacing w:before="79" w:line="445" w:lineRule="auto"/>
        <w:ind w:left="41" w:right="85" w:firstLine="494"/>
        <w:rPr>
          <w:rFonts w:ascii="宋体" w:hAnsi="宋体" w:eastAsia="宋体" w:cs="宋体"/>
          <w:sz w:val="24"/>
          <w:szCs w:val="24"/>
        </w:rPr>
      </w:pPr>
      <w:r>
        <w:rPr>
          <w:rFonts w:ascii="宋体" w:hAnsi="宋体" w:eastAsia="宋体" w:cs="宋体"/>
          <w:spacing w:val="-3"/>
          <w:sz w:val="24"/>
          <w:szCs w:val="24"/>
        </w:rPr>
        <w:t>1.支持按条件检索(申请单号、病理号、门诊住院号、姓名、院区、病例库、检查状态、病</w:t>
      </w:r>
      <w:r>
        <w:rPr>
          <w:rFonts w:ascii="宋体" w:hAnsi="宋体" w:eastAsia="宋体" w:cs="宋体"/>
          <w:spacing w:val="14"/>
          <w:sz w:val="24"/>
          <w:szCs w:val="24"/>
        </w:rPr>
        <w:t xml:space="preserve"> </w:t>
      </w:r>
      <w:r>
        <w:rPr>
          <w:rFonts w:ascii="宋体" w:hAnsi="宋体" w:eastAsia="宋体" w:cs="宋体"/>
          <w:spacing w:val="-4"/>
          <w:sz w:val="24"/>
          <w:szCs w:val="24"/>
        </w:rPr>
        <w:t>理号区间、检查时间)。</w:t>
      </w:r>
    </w:p>
    <w:p w14:paraId="09384905">
      <w:pPr>
        <w:spacing w:before="34" w:line="219" w:lineRule="auto"/>
        <w:ind w:left="521"/>
        <w:rPr>
          <w:rFonts w:ascii="宋体" w:hAnsi="宋体" w:eastAsia="宋体" w:cs="宋体"/>
          <w:sz w:val="24"/>
          <w:szCs w:val="24"/>
        </w:rPr>
      </w:pPr>
      <w:r>
        <w:rPr>
          <w:rFonts w:ascii="宋体" w:hAnsi="宋体" w:eastAsia="宋体" w:cs="宋体"/>
          <w:spacing w:val="-1"/>
          <w:sz w:val="24"/>
          <w:szCs w:val="24"/>
        </w:rPr>
        <w:t>2.支持检查状态的快捷查询（登记、取材</w:t>
      </w:r>
      <w:r>
        <w:rPr>
          <w:rFonts w:ascii="宋体" w:hAnsi="宋体" w:eastAsia="宋体" w:cs="宋体"/>
          <w:spacing w:val="-2"/>
          <w:sz w:val="24"/>
          <w:szCs w:val="24"/>
        </w:rPr>
        <w:t>、诊断、审核、打印、延期）。</w:t>
      </w:r>
    </w:p>
    <w:p w14:paraId="06DA3241">
      <w:pPr>
        <w:spacing w:before="311" w:line="445" w:lineRule="auto"/>
        <w:ind w:left="41" w:firstLine="481"/>
        <w:rPr>
          <w:rFonts w:ascii="宋体" w:hAnsi="宋体" w:eastAsia="宋体" w:cs="宋体"/>
          <w:sz w:val="24"/>
          <w:szCs w:val="24"/>
        </w:rPr>
      </w:pPr>
      <w:r>
        <w:rPr>
          <w:rFonts w:ascii="宋体" w:hAnsi="宋体" w:eastAsia="宋体" w:cs="宋体"/>
          <w:spacing w:val="-3"/>
          <w:sz w:val="24"/>
          <w:szCs w:val="24"/>
        </w:rPr>
        <w:t>3.支持按条件检索（患者类别、性别、年龄、审核医生、申请医生、申请医</w:t>
      </w:r>
      <w:r>
        <w:rPr>
          <w:rFonts w:ascii="宋体" w:hAnsi="宋体" w:eastAsia="宋体" w:cs="宋体"/>
          <w:spacing w:val="-4"/>
          <w:sz w:val="24"/>
          <w:szCs w:val="24"/>
        </w:rPr>
        <w:t>院、申请科室、</w:t>
      </w:r>
      <w:r>
        <w:rPr>
          <w:rFonts w:ascii="宋体" w:hAnsi="宋体" w:eastAsia="宋体" w:cs="宋体"/>
          <w:sz w:val="24"/>
          <w:szCs w:val="24"/>
        </w:rPr>
        <w:t xml:space="preserve"> </w:t>
      </w:r>
      <w:r>
        <w:rPr>
          <w:rFonts w:ascii="宋体" w:hAnsi="宋体" w:eastAsia="宋体" w:cs="宋体"/>
          <w:spacing w:val="-2"/>
          <w:sz w:val="24"/>
          <w:szCs w:val="24"/>
        </w:rPr>
        <w:t>大体所见描述、镜下所见描述、诊断描述、送检材料）。</w:t>
      </w:r>
    </w:p>
    <w:p w14:paraId="49DF432E">
      <w:pPr>
        <w:spacing w:before="35" w:line="220" w:lineRule="auto"/>
        <w:ind w:left="517"/>
        <w:rPr>
          <w:rFonts w:ascii="宋体" w:hAnsi="宋体" w:eastAsia="宋体" w:cs="宋体"/>
          <w:sz w:val="24"/>
          <w:szCs w:val="24"/>
        </w:rPr>
      </w:pPr>
      <w:r>
        <w:rPr>
          <w:rFonts w:ascii="宋体" w:hAnsi="宋体" w:eastAsia="宋体" w:cs="宋体"/>
          <w:spacing w:val="-3"/>
          <w:sz w:val="24"/>
          <w:szCs w:val="24"/>
        </w:rPr>
        <w:t>4.支持查询该患者的相关检查结果。</w:t>
      </w:r>
    </w:p>
    <w:p w14:paraId="38B76218">
      <w:pPr>
        <w:spacing w:before="310" w:line="445" w:lineRule="auto"/>
        <w:ind w:left="520" w:right="5440" w:firstLine="2"/>
        <w:rPr>
          <w:rFonts w:ascii="宋体" w:hAnsi="宋体" w:eastAsia="宋体" w:cs="宋体"/>
          <w:sz w:val="24"/>
          <w:szCs w:val="24"/>
        </w:rPr>
      </w:pPr>
      <w:r>
        <w:rPr>
          <w:rFonts w:ascii="宋体" w:hAnsi="宋体" w:eastAsia="宋体" w:cs="宋体"/>
          <w:spacing w:val="-3"/>
          <w:sz w:val="24"/>
          <w:szCs w:val="24"/>
        </w:rPr>
        <w:t>5.支持查询有关登陆医生的报告信息。</w:t>
      </w:r>
      <w:r>
        <w:rPr>
          <w:rFonts w:ascii="宋体" w:hAnsi="宋体" w:eastAsia="宋体" w:cs="宋体"/>
          <w:spacing w:val="4"/>
          <w:sz w:val="24"/>
          <w:szCs w:val="24"/>
        </w:rPr>
        <w:t xml:space="preserve"> </w:t>
      </w:r>
      <w:r>
        <w:rPr>
          <w:rFonts w:ascii="宋体" w:hAnsi="宋体" w:eastAsia="宋体" w:cs="宋体"/>
          <w:spacing w:val="-3"/>
          <w:sz w:val="24"/>
          <w:szCs w:val="24"/>
        </w:rPr>
        <w:t>6.支持采图功能、支持集中采图功能。</w:t>
      </w:r>
    </w:p>
    <w:p w14:paraId="4567CBC5">
      <w:pPr>
        <w:spacing w:before="37" w:line="444" w:lineRule="auto"/>
        <w:ind w:left="519" w:right="4480" w:firstLine="4"/>
        <w:rPr>
          <w:rFonts w:ascii="宋体" w:hAnsi="宋体" w:eastAsia="宋体" w:cs="宋体"/>
          <w:sz w:val="24"/>
          <w:szCs w:val="24"/>
        </w:rPr>
      </w:pPr>
      <w:r>
        <w:rPr>
          <w:rFonts w:ascii="宋体" w:hAnsi="宋体" w:eastAsia="宋体" w:cs="宋体"/>
          <w:spacing w:val="-3"/>
          <w:sz w:val="24"/>
          <w:szCs w:val="24"/>
        </w:rPr>
        <w:t>7.支持有编辑报告权限的用户打开并编辑报告。</w:t>
      </w:r>
      <w:r>
        <w:rPr>
          <w:rFonts w:ascii="宋体" w:hAnsi="宋体" w:eastAsia="宋体" w:cs="宋体"/>
          <w:spacing w:val="15"/>
          <w:sz w:val="24"/>
          <w:szCs w:val="24"/>
        </w:rPr>
        <w:t xml:space="preserve"> </w:t>
      </w:r>
      <w:r>
        <w:rPr>
          <w:rFonts w:ascii="宋体" w:hAnsi="宋体" w:eastAsia="宋体" w:cs="宋体"/>
          <w:spacing w:val="-3"/>
          <w:sz w:val="24"/>
          <w:szCs w:val="24"/>
        </w:rPr>
        <w:t>8.支持打开报告时默认的输入法。</w:t>
      </w:r>
    </w:p>
    <w:p w14:paraId="3299A311">
      <w:pPr>
        <w:spacing w:before="37" w:line="444" w:lineRule="auto"/>
        <w:ind w:left="535" w:right="4960" w:hanging="16"/>
        <w:rPr>
          <w:rFonts w:ascii="宋体" w:hAnsi="宋体" w:eastAsia="宋体" w:cs="宋体"/>
          <w:sz w:val="24"/>
          <w:szCs w:val="24"/>
        </w:rPr>
      </w:pPr>
      <w:r>
        <w:rPr>
          <w:rFonts w:ascii="宋体" w:hAnsi="宋体" w:eastAsia="宋体" w:cs="宋体"/>
          <w:spacing w:val="-3"/>
          <w:sz w:val="24"/>
          <w:szCs w:val="24"/>
        </w:rPr>
        <w:t>9.支持打自动选择对应病例库的报告模板。</w:t>
      </w:r>
      <w:r>
        <w:rPr>
          <w:rFonts w:ascii="宋体" w:hAnsi="宋体" w:eastAsia="宋体" w:cs="宋体"/>
          <w:spacing w:val="13"/>
          <w:sz w:val="24"/>
          <w:szCs w:val="24"/>
        </w:rPr>
        <w:t xml:space="preserve"> </w:t>
      </w:r>
      <w:r>
        <w:rPr>
          <w:rFonts w:ascii="宋体" w:hAnsi="宋体" w:eastAsia="宋体" w:cs="宋体"/>
          <w:spacing w:val="-4"/>
          <w:sz w:val="24"/>
          <w:szCs w:val="24"/>
        </w:rPr>
        <w:t>10.支持记录所有报告的操作记录。</w:t>
      </w:r>
    </w:p>
    <w:p w14:paraId="41F98756">
      <w:pPr>
        <w:spacing w:before="36" w:line="219" w:lineRule="auto"/>
        <w:ind w:left="536"/>
        <w:rPr>
          <w:rFonts w:ascii="宋体" w:hAnsi="宋体" w:eastAsia="宋体" w:cs="宋体"/>
          <w:sz w:val="24"/>
          <w:szCs w:val="24"/>
        </w:rPr>
      </w:pPr>
      <w:r>
        <w:rPr>
          <w:rFonts w:ascii="宋体" w:hAnsi="宋体" w:eastAsia="宋体" w:cs="宋体"/>
          <w:spacing w:val="-2"/>
          <w:sz w:val="24"/>
          <w:szCs w:val="24"/>
        </w:rPr>
        <w:t>11.支持通过选择模板的方式书写诊断结果，支持自定义输入模板。</w:t>
      </w:r>
    </w:p>
    <w:p w14:paraId="206DF0F0">
      <w:pPr>
        <w:pStyle w:val="2"/>
        <w:spacing w:line="273" w:lineRule="auto"/>
      </w:pPr>
    </w:p>
    <w:p w14:paraId="16F20173">
      <w:pPr>
        <w:pStyle w:val="2"/>
        <w:spacing w:line="274" w:lineRule="auto"/>
      </w:pPr>
    </w:p>
    <w:p w14:paraId="712561B8">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66                                </w:t>
      </w:r>
      <w:r>
        <w:rPr>
          <w:rFonts w:ascii="宋体" w:hAnsi="宋体" w:eastAsia="宋体" w:cs="宋体"/>
          <w:b/>
          <w:bCs/>
          <w:i/>
          <w:iCs/>
          <w:spacing w:val="-3"/>
          <w:sz w:val="19"/>
          <w:szCs w:val="19"/>
        </w:rPr>
        <w:t>伊犁州公共资源交易中心</w:t>
      </w:r>
    </w:p>
    <w:p w14:paraId="69E766A7">
      <w:pPr>
        <w:spacing w:line="160" w:lineRule="auto"/>
        <w:rPr>
          <w:rFonts w:ascii="宋体" w:hAnsi="宋体" w:eastAsia="宋体" w:cs="宋体"/>
          <w:sz w:val="19"/>
          <w:szCs w:val="19"/>
        </w:rPr>
        <w:sectPr>
          <w:headerReference r:id="rId56" w:type="default"/>
          <w:footerReference r:id="rId57" w:type="default"/>
          <w:pgSz w:w="11905" w:h="16839"/>
          <w:pgMar w:top="1136" w:right="773" w:bottom="937" w:left="1136" w:header="854" w:footer="923" w:gutter="0"/>
          <w:cols w:space="720" w:num="1"/>
        </w:sectPr>
      </w:pPr>
    </w:p>
    <w:p w14:paraId="5522BBDC">
      <w:pPr>
        <w:pStyle w:val="2"/>
        <w:spacing w:line="379" w:lineRule="auto"/>
      </w:pPr>
    </w:p>
    <w:p w14:paraId="66B9EBDD">
      <w:pPr>
        <w:spacing w:before="78" w:line="445" w:lineRule="auto"/>
        <w:ind w:left="536" w:right="1663"/>
        <w:rPr>
          <w:rFonts w:ascii="宋体" w:hAnsi="宋体" w:eastAsia="宋体" w:cs="宋体"/>
          <w:sz w:val="24"/>
          <w:szCs w:val="24"/>
        </w:rPr>
      </w:pPr>
      <w:r>
        <w:rPr>
          <w:rFonts w:ascii="宋体" w:hAnsi="宋体" w:eastAsia="宋体" w:cs="宋体"/>
          <w:spacing w:val="-2"/>
          <w:sz w:val="24"/>
          <w:szCs w:val="24"/>
        </w:rPr>
        <w:t>12.支持针对不同病例库提供对应的输出模板方式，支持自定义输出模板。</w:t>
      </w:r>
      <w:r>
        <w:rPr>
          <w:rFonts w:ascii="宋体" w:hAnsi="宋体" w:eastAsia="宋体" w:cs="宋体"/>
          <w:spacing w:val="5"/>
          <w:sz w:val="24"/>
          <w:szCs w:val="24"/>
        </w:rPr>
        <w:t xml:space="preserve"> </w:t>
      </w:r>
      <w:r>
        <w:rPr>
          <w:rFonts w:ascii="宋体" w:hAnsi="宋体" w:eastAsia="宋体" w:cs="宋体"/>
          <w:spacing w:val="-4"/>
          <w:sz w:val="24"/>
          <w:szCs w:val="24"/>
        </w:rPr>
        <w:t>13.支持查询检查的取材信息。</w:t>
      </w:r>
    </w:p>
    <w:p w14:paraId="5FE06E01">
      <w:pPr>
        <w:spacing w:before="35" w:line="445" w:lineRule="auto"/>
        <w:ind w:left="536" w:right="6223"/>
        <w:rPr>
          <w:rFonts w:ascii="宋体" w:hAnsi="宋体" w:eastAsia="宋体" w:cs="宋体"/>
          <w:sz w:val="24"/>
          <w:szCs w:val="24"/>
        </w:rPr>
      </w:pPr>
      <w:r>
        <w:rPr>
          <w:rFonts w:ascii="宋体" w:hAnsi="宋体" w:eastAsia="宋体" w:cs="宋体"/>
          <w:spacing w:val="-5"/>
          <w:sz w:val="24"/>
          <w:szCs w:val="24"/>
        </w:rPr>
        <w:t>14.支持查询检查的切片信息。</w:t>
      </w:r>
      <w:r>
        <w:rPr>
          <w:rFonts w:ascii="宋体" w:hAnsi="宋体" w:eastAsia="宋体" w:cs="宋体"/>
          <w:spacing w:val="12"/>
          <w:sz w:val="24"/>
          <w:szCs w:val="24"/>
        </w:rPr>
        <w:t xml:space="preserve"> </w:t>
      </w:r>
      <w:r>
        <w:rPr>
          <w:rFonts w:ascii="宋体" w:hAnsi="宋体" w:eastAsia="宋体" w:cs="宋体"/>
          <w:spacing w:val="-5"/>
          <w:sz w:val="24"/>
          <w:szCs w:val="24"/>
        </w:rPr>
        <w:t>15.支持对切片进行评级。</w:t>
      </w:r>
    </w:p>
    <w:p w14:paraId="56D62962">
      <w:pPr>
        <w:spacing w:before="34" w:line="445" w:lineRule="auto"/>
        <w:ind w:left="536" w:right="3823"/>
        <w:rPr>
          <w:rFonts w:ascii="宋体" w:hAnsi="宋体" w:eastAsia="宋体" w:cs="宋体"/>
          <w:sz w:val="24"/>
          <w:szCs w:val="24"/>
        </w:rPr>
      </w:pPr>
      <w:r>
        <w:rPr>
          <w:rFonts w:ascii="宋体" w:hAnsi="宋体" w:eastAsia="宋体" w:cs="宋体"/>
          <w:spacing w:val="-3"/>
          <w:sz w:val="24"/>
          <w:szCs w:val="24"/>
        </w:rPr>
        <w:t>16.支持开立技术医嘱（补取、重切、番切等医嘱）。</w:t>
      </w:r>
      <w:r>
        <w:rPr>
          <w:rFonts w:ascii="宋体" w:hAnsi="宋体" w:eastAsia="宋体" w:cs="宋体"/>
          <w:spacing w:val="12"/>
          <w:sz w:val="24"/>
          <w:szCs w:val="24"/>
        </w:rPr>
        <w:t xml:space="preserve"> </w:t>
      </w:r>
      <w:r>
        <w:rPr>
          <w:rFonts w:ascii="宋体" w:hAnsi="宋体" w:eastAsia="宋体" w:cs="宋体"/>
          <w:spacing w:val="-3"/>
          <w:sz w:val="24"/>
          <w:szCs w:val="24"/>
        </w:rPr>
        <w:t>17.支持开立特检医嘱（特检、免疫组化等医嘱）。</w:t>
      </w:r>
    </w:p>
    <w:p w14:paraId="552AEDC7">
      <w:pPr>
        <w:spacing w:before="34" w:line="218" w:lineRule="auto"/>
        <w:ind w:left="536"/>
        <w:rPr>
          <w:rFonts w:ascii="宋体" w:hAnsi="宋体" w:eastAsia="宋体" w:cs="宋体"/>
          <w:sz w:val="24"/>
          <w:szCs w:val="24"/>
        </w:rPr>
      </w:pPr>
      <w:r>
        <w:rPr>
          <w:rFonts w:ascii="宋体" w:hAnsi="宋体" w:eastAsia="宋体" w:cs="宋体"/>
          <w:spacing w:val="-5"/>
          <w:sz w:val="24"/>
          <w:szCs w:val="24"/>
        </w:rPr>
        <w:t>18.支持冰冻报告的编辑。</w:t>
      </w:r>
    </w:p>
    <w:p w14:paraId="2893BDB4">
      <w:pPr>
        <w:spacing w:before="314" w:line="444" w:lineRule="auto"/>
        <w:ind w:left="521" w:right="5023" w:firstLine="14"/>
        <w:rPr>
          <w:rFonts w:ascii="宋体" w:hAnsi="宋体" w:eastAsia="宋体" w:cs="宋体"/>
          <w:sz w:val="24"/>
          <w:szCs w:val="24"/>
        </w:rPr>
      </w:pPr>
      <w:r>
        <w:rPr>
          <w:rFonts w:ascii="宋体" w:hAnsi="宋体" w:eastAsia="宋体" w:cs="宋体"/>
          <w:spacing w:val="-4"/>
          <w:sz w:val="24"/>
          <w:szCs w:val="24"/>
        </w:rPr>
        <w:t>19.支持冰冻报告医生和诊断医生的记录。</w:t>
      </w:r>
      <w:r>
        <w:rPr>
          <w:rFonts w:ascii="宋体" w:hAnsi="宋体" w:eastAsia="宋体" w:cs="宋体"/>
          <w:spacing w:val="17"/>
          <w:sz w:val="24"/>
          <w:szCs w:val="24"/>
        </w:rPr>
        <w:t xml:space="preserve"> </w:t>
      </w:r>
      <w:r>
        <w:rPr>
          <w:rFonts w:ascii="宋体" w:hAnsi="宋体" w:eastAsia="宋体" w:cs="宋体"/>
          <w:spacing w:val="-4"/>
          <w:sz w:val="24"/>
          <w:szCs w:val="24"/>
        </w:rPr>
        <w:t>20.支持冰冻报告的打印。</w:t>
      </w:r>
    </w:p>
    <w:p w14:paraId="51D7689E">
      <w:pPr>
        <w:spacing w:before="37" w:line="445" w:lineRule="auto"/>
        <w:ind w:left="521" w:right="5503"/>
        <w:rPr>
          <w:rFonts w:ascii="宋体" w:hAnsi="宋体" w:eastAsia="宋体" w:cs="宋体"/>
          <w:sz w:val="24"/>
          <w:szCs w:val="24"/>
        </w:rPr>
      </w:pPr>
      <w:r>
        <w:rPr>
          <w:rFonts w:ascii="宋体" w:hAnsi="宋体" w:eastAsia="宋体" w:cs="宋体"/>
          <w:spacing w:val="-3"/>
          <w:sz w:val="24"/>
          <w:szCs w:val="24"/>
        </w:rPr>
        <w:t>21.支持冰冻冰冻报告符合率的记录。</w:t>
      </w:r>
      <w:r>
        <w:rPr>
          <w:rFonts w:ascii="宋体" w:hAnsi="宋体" w:eastAsia="宋体" w:cs="宋体"/>
          <w:spacing w:val="5"/>
          <w:sz w:val="24"/>
          <w:szCs w:val="24"/>
        </w:rPr>
        <w:t xml:space="preserve"> </w:t>
      </w:r>
      <w:r>
        <w:rPr>
          <w:rFonts w:ascii="宋体" w:hAnsi="宋体" w:eastAsia="宋体" w:cs="宋体"/>
          <w:spacing w:val="-4"/>
          <w:sz w:val="24"/>
          <w:szCs w:val="24"/>
        </w:rPr>
        <w:t>22.支持冰冻符合率的统计。</w:t>
      </w:r>
    </w:p>
    <w:p w14:paraId="6CDC4691">
      <w:pPr>
        <w:spacing w:before="34" w:line="220" w:lineRule="auto"/>
        <w:ind w:left="521"/>
        <w:rPr>
          <w:rFonts w:ascii="宋体" w:hAnsi="宋体" w:eastAsia="宋体" w:cs="宋体"/>
          <w:sz w:val="24"/>
          <w:szCs w:val="24"/>
        </w:rPr>
      </w:pPr>
      <w:r>
        <w:rPr>
          <w:rFonts w:ascii="宋体" w:hAnsi="宋体" w:eastAsia="宋体" w:cs="宋体"/>
          <w:spacing w:val="-4"/>
          <w:sz w:val="24"/>
          <w:szCs w:val="24"/>
        </w:rPr>
        <w:t>23.支持冰冻延迟统计。</w:t>
      </w:r>
    </w:p>
    <w:p w14:paraId="28E78920">
      <w:pPr>
        <w:spacing w:before="310" w:line="220" w:lineRule="auto"/>
        <w:ind w:left="521"/>
        <w:rPr>
          <w:rFonts w:ascii="宋体" w:hAnsi="宋体" w:eastAsia="宋体" w:cs="宋体"/>
          <w:sz w:val="24"/>
          <w:szCs w:val="24"/>
        </w:rPr>
      </w:pPr>
      <w:r>
        <w:rPr>
          <w:rFonts w:ascii="宋体" w:hAnsi="宋体" w:eastAsia="宋体" w:cs="宋体"/>
          <w:spacing w:val="-3"/>
          <w:sz w:val="24"/>
          <w:szCs w:val="24"/>
        </w:rPr>
        <w:t>24.支持检查的单级和多级审核流程。</w:t>
      </w:r>
    </w:p>
    <w:p w14:paraId="75AB373C">
      <w:pPr>
        <w:spacing w:before="311" w:line="444" w:lineRule="auto"/>
        <w:ind w:left="521" w:right="5023"/>
        <w:rPr>
          <w:rFonts w:ascii="宋体" w:hAnsi="宋体" w:eastAsia="宋体" w:cs="宋体"/>
          <w:sz w:val="24"/>
          <w:szCs w:val="24"/>
        </w:rPr>
      </w:pPr>
      <w:r>
        <w:rPr>
          <w:rFonts w:ascii="宋体" w:hAnsi="宋体" w:eastAsia="宋体" w:cs="宋体"/>
          <w:spacing w:val="-3"/>
          <w:sz w:val="24"/>
          <w:szCs w:val="24"/>
        </w:rPr>
        <w:t>25.支持打印报告并支持报告的集中打印。</w:t>
      </w:r>
      <w:r>
        <w:rPr>
          <w:rFonts w:ascii="宋体" w:hAnsi="宋体" w:eastAsia="宋体" w:cs="宋体"/>
          <w:spacing w:val="11"/>
          <w:sz w:val="24"/>
          <w:szCs w:val="24"/>
        </w:rPr>
        <w:t xml:space="preserve"> </w:t>
      </w:r>
      <w:r>
        <w:rPr>
          <w:rFonts w:ascii="宋体" w:hAnsi="宋体" w:eastAsia="宋体" w:cs="宋体"/>
          <w:spacing w:val="-4"/>
          <w:sz w:val="24"/>
          <w:szCs w:val="24"/>
        </w:rPr>
        <w:t>26.支持浏览报告诊断结果。</w:t>
      </w:r>
    </w:p>
    <w:p w14:paraId="706DFE76">
      <w:pPr>
        <w:spacing w:before="36" w:line="220" w:lineRule="auto"/>
        <w:ind w:left="521"/>
        <w:rPr>
          <w:rFonts w:ascii="宋体" w:hAnsi="宋体" w:eastAsia="宋体" w:cs="宋体"/>
          <w:sz w:val="24"/>
          <w:szCs w:val="24"/>
        </w:rPr>
      </w:pPr>
      <w:r>
        <w:rPr>
          <w:rFonts w:ascii="宋体" w:hAnsi="宋体" w:eastAsia="宋体" w:cs="宋体"/>
          <w:spacing w:val="-3"/>
          <w:sz w:val="24"/>
          <w:szCs w:val="24"/>
        </w:rPr>
        <w:t>27.支持查询患者的电子病历。</w:t>
      </w:r>
    </w:p>
    <w:p w14:paraId="61289875">
      <w:pPr>
        <w:spacing w:before="310" w:line="220" w:lineRule="auto"/>
        <w:ind w:left="521"/>
        <w:rPr>
          <w:rFonts w:ascii="宋体" w:hAnsi="宋体" w:eastAsia="宋体" w:cs="宋体"/>
          <w:sz w:val="24"/>
          <w:szCs w:val="24"/>
        </w:rPr>
      </w:pPr>
      <w:r>
        <w:rPr>
          <w:rFonts w:ascii="宋体" w:hAnsi="宋体" w:eastAsia="宋体" w:cs="宋体"/>
          <w:spacing w:val="-3"/>
          <w:sz w:val="24"/>
          <w:szCs w:val="24"/>
        </w:rPr>
        <w:t>28.支持将查询出的检查导出</w:t>
      </w:r>
      <w:r>
        <w:rPr>
          <w:rFonts w:ascii="宋体" w:hAnsi="宋体" w:eastAsia="宋体" w:cs="宋体"/>
          <w:spacing w:val="-38"/>
          <w:sz w:val="24"/>
          <w:szCs w:val="24"/>
        </w:rPr>
        <w:t xml:space="preserve"> </w:t>
      </w:r>
      <w:r>
        <w:rPr>
          <w:rFonts w:ascii="宋体" w:hAnsi="宋体" w:eastAsia="宋体" w:cs="宋体"/>
          <w:spacing w:val="-3"/>
          <w:sz w:val="24"/>
          <w:szCs w:val="24"/>
        </w:rPr>
        <w:t>Excel</w:t>
      </w:r>
      <w:r>
        <w:rPr>
          <w:rFonts w:ascii="宋体" w:hAnsi="宋体" w:eastAsia="宋体" w:cs="宋体"/>
          <w:spacing w:val="-49"/>
          <w:sz w:val="24"/>
          <w:szCs w:val="24"/>
        </w:rPr>
        <w:t xml:space="preserve"> </w:t>
      </w:r>
      <w:r>
        <w:rPr>
          <w:rFonts w:ascii="宋体" w:hAnsi="宋体" w:eastAsia="宋体" w:cs="宋体"/>
          <w:spacing w:val="-3"/>
          <w:sz w:val="24"/>
          <w:szCs w:val="24"/>
        </w:rPr>
        <w:t>文件。</w:t>
      </w:r>
    </w:p>
    <w:p w14:paraId="036238EE">
      <w:pPr>
        <w:spacing w:before="311" w:line="445" w:lineRule="auto"/>
        <w:ind w:left="522" w:right="4063" w:hanging="1"/>
        <w:rPr>
          <w:rFonts w:ascii="宋体" w:hAnsi="宋体" w:eastAsia="宋体" w:cs="宋体"/>
          <w:sz w:val="24"/>
          <w:szCs w:val="24"/>
        </w:rPr>
      </w:pPr>
      <w:r>
        <w:rPr>
          <w:rFonts w:ascii="宋体" w:hAnsi="宋体" w:eastAsia="宋体" w:cs="宋体"/>
          <w:spacing w:val="-2"/>
          <w:sz w:val="24"/>
          <w:szCs w:val="24"/>
        </w:rPr>
        <w:t>29.支持登记操作、修改患者登记信息、退单操作。</w:t>
      </w:r>
      <w:r>
        <w:rPr>
          <w:rFonts w:ascii="宋体" w:hAnsi="宋体" w:eastAsia="宋体" w:cs="宋体"/>
          <w:sz w:val="24"/>
          <w:szCs w:val="24"/>
        </w:rPr>
        <w:t xml:space="preserve"> </w:t>
      </w:r>
      <w:r>
        <w:rPr>
          <w:rFonts w:ascii="宋体" w:hAnsi="宋体" w:eastAsia="宋体" w:cs="宋体"/>
          <w:spacing w:val="-4"/>
          <w:sz w:val="24"/>
          <w:szCs w:val="24"/>
        </w:rPr>
        <w:t>30.支持对典型检查进行收藏。</w:t>
      </w:r>
    </w:p>
    <w:p w14:paraId="05B7C5AB">
      <w:pPr>
        <w:spacing w:before="35" w:line="218" w:lineRule="auto"/>
        <w:ind w:left="523"/>
        <w:rPr>
          <w:rFonts w:ascii="宋体" w:hAnsi="宋体" w:eastAsia="宋体" w:cs="宋体"/>
          <w:sz w:val="24"/>
          <w:szCs w:val="24"/>
        </w:rPr>
      </w:pPr>
      <w:r>
        <w:rPr>
          <w:rFonts w:ascii="宋体" w:hAnsi="宋体" w:eastAsia="宋体" w:cs="宋体"/>
          <w:spacing w:val="-4"/>
          <w:sz w:val="24"/>
          <w:szCs w:val="24"/>
        </w:rPr>
        <w:t>31.支持浏览检查的关联报告。</w:t>
      </w:r>
    </w:p>
    <w:p w14:paraId="1760D9DE">
      <w:pPr>
        <w:spacing w:before="313" w:line="218" w:lineRule="auto"/>
        <w:ind w:left="523"/>
        <w:rPr>
          <w:rFonts w:ascii="宋体" w:hAnsi="宋体" w:eastAsia="宋体" w:cs="宋体"/>
          <w:sz w:val="24"/>
          <w:szCs w:val="24"/>
        </w:rPr>
      </w:pPr>
      <w:r>
        <w:rPr>
          <w:rFonts w:ascii="宋体" w:hAnsi="宋体" w:eastAsia="宋体" w:cs="宋体"/>
          <w:spacing w:val="-2"/>
          <w:sz w:val="24"/>
          <w:szCs w:val="24"/>
        </w:rPr>
        <w:t>32.支持主动的申请报告延期，并录入延期</w:t>
      </w:r>
      <w:r>
        <w:rPr>
          <w:rFonts w:ascii="宋体" w:hAnsi="宋体" w:eastAsia="宋体" w:cs="宋体"/>
          <w:spacing w:val="-3"/>
          <w:sz w:val="24"/>
          <w:szCs w:val="24"/>
        </w:rPr>
        <w:t>原因。</w:t>
      </w:r>
    </w:p>
    <w:p w14:paraId="7EEDD0D2">
      <w:pPr>
        <w:spacing w:before="313" w:line="215" w:lineRule="auto"/>
        <w:ind w:left="47"/>
        <w:rPr>
          <w:rFonts w:ascii="仿宋" w:hAnsi="仿宋" w:eastAsia="仿宋" w:cs="仿宋"/>
          <w:sz w:val="24"/>
          <w:szCs w:val="24"/>
        </w:rPr>
      </w:pPr>
      <w:r>
        <w:rPr>
          <w:rFonts w:ascii="仿宋" w:hAnsi="仿宋" w:eastAsia="仿宋" w:cs="仿宋"/>
          <w:b/>
          <w:bCs/>
          <w:spacing w:val="-6"/>
          <w:sz w:val="24"/>
          <w:szCs w:val="24"/>
        </w:rPr>
        <w:t>2.7.5</w:t>
      </w:r>
      <w:r>
        <w:rPr>
          <w:rFonts w:ascii="仿宋" w:hAnsi="仿宋" w:eastAsia="仿宋" w:cs="仿宋"/>
          <w:spacing w:val="-40"/>
          <w:sz w:val="24"/>
          <w:szCs w:val="24"/>
        </w:rPr>
        <w:t xml:space="preserve"> </w:t>
      </w:r>
      <w:r>
        <w:rPr>
          <w:rFonts w:ascii="仿宋" w:hAnsi="仿宋" w:eastAsia="仿宋" w:cs="仿宋"/>
          <w:b/>
          <w:bCs/>
          <w:spacing w:val="-6"/>
          <w:sz w:val="24"/>
          <w:szCs w:val="24"/>
        </w:rPr>
        <w:t>病理特检系统</w:t>
      </w:r>
    </w:p>
    <w:p w14:paraId="481296C0">
      <w:pPr>
        <w:pStyle w:val="2"/>
        <w:spacing w:line="354" w:lineRule="auto"/>
      </w:pPr>
    </w:p>
    <w:p w14:paraId="743A781A">
      <w:pPr>
        <w:spacing w:before="79" w:line="220" w:lineRule="auto"/>
        <w:ind w:left="536"/>
        <w:rPr>
          <w:rFonts w:ascii="宋体" w:hAnsi="宋体" w:eastAsia="宋体" w:cs="宋体"/>
          <w:sz w:val="24"/>
          <w:szCs w:val="24"/>
        </w:rPr>
      </w:pPr>
      <w:r>
        <w:rPr>
          <w:rFonts w:ascii="宋体" w:hAnsi="宋体" w:eastAsia="宋体" w:cs="宋体"/>
          <w:spacing w:val="-3"/>
          <w:sz w:val="24"/>
          <w:szCs w:val="24"/>
        </w:rPr>
        <w:t>1.支持按医嘱种类检索未执行的医嘱信息。</w:t>
      </w:r>
    </w:p>
    <w:p w14:paraId="38C40AA3">
      <w:pPr>
        <w:pStyle w:val="2"/>
        <w:spacing w:line="273" w:lineRule="auto"/>
      </w:pPr>
    </w:p>
    <w:p w14:paraId="1BC17E00">
      <w:pPr>
        <w:pStyle w:val="2"/>
        <w:spacing w:line="273" w:lineRule="auto"/>
      </w:pPr>
    </w:p>
    <w:p w14:paraId="427EE94C">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67                                </w:t>
      </w:r>
      <w:r>
        <w:rPr>
          <w:rFonts w:ascii="宋体" w:hAnsi="宋体" w:eastAsia="宋体" w:cs="宋体"/>
          <w:b/>
          <w:bCs/>
          <w:i/>
          <w:iCs/>
          <w:spacing w:val="-3"/>
          <w:sz w:val="19"/>
          <w:szCs w:val="19"/>
        </w:rPr>
        <w:t>伊犁州公共资源交易中心</w:t>
      </w:r>
    </w:p>
    <w:p w14:paraId="4DEED1C9">
      <w:pPr>
        <w:spacing w:line="160" w:lineRule="auto"/>
        <w:rPr>
          <w:rFonts w:ascii="宋体" w:hAnsi="宋体" w:eastAsia="宋体" w:cs="宋体"/>
          <w:sz w:val="19"/>
          <w:szCs w:val="19"/>
        </w:rPr>
        <w:sectPr>
          <w:headerReference r:id="rId58" w:type="default"/>
          <w:footerReference r:id="rId59" w:type="default"/>
          <w:pgSz w:w="11905" w:h="16839"/>
          <w:pgMar w:top="1136" w:right="830" w:bottom="937" w:left="1136" w:header="854" w:footer="923" w:gutter="0"/>
          <w:cols w:space="720" w:num="1"/>
        </w:sectPr>
      </w:pPr>
    </w:p>
    <w:p w14:paraId="2BDEDF50">
      <w:pPr>
        <w:pStyle w:val="2"/>
        <w:spacing w:line="380" w:lineRule="auto"/>
      </w:pPr>
    </w:p>
    <w:p w14:paraId="122CB6F5">
      <w:pPr>
        <w:spacing w:before="78" w:line="445" w:lineRule="auto"/>
        <w:ind w:left="522" w:right="5863" w:hanging="1"/>
        <w:rPr>
          <w:rFonts w:ascii="宋体" w:hAnsi="宋体" w:eastAsia="宋体" w:cs="宋体"/>
          <w:sz w:val="24"/>
          <w:szCs w:val="24"/>
        </w:rPr>
      </w:pPr>
      <w:r>
        <w:rPr>
          <w:rFonts w:ascii="宋体" w:hAnsi="宋体" w:eastAsia="宋体" w:cs="宋体"/>
          <w:spacing w:val="-3"/>
          <w:sz w:val="24"/>
          <w:szCs w:val="24"/>
        </w:rPr>
        <w:t>2.支持医嘱信息的自动提醒功能。</w:t>
      </w:r>
      <w:r>
        <w:rPr>
          <w:rFonts w:ascii="宋体" w:hAnsi="宋体" w:eastAsia="宋体" w:cs="宋体"/>
          <w:sz w:val="24"/>
          <w:szCs w:val="24"/>
        </w:rPr>
        <w:t xml:space="preserve"> </w:t>
      </w:r>
      <w:r>
        <w:rPr>
          <w:rFonts w:ascii="宋体" w:hAnsi="宋体" w:eastAsia="宋体" w:cs="宋体"/>
          <w:spacing w:val="-4"/>
          <w:sz w:val="24"/>
          <w:szCs w:val="24"/>
        </w:rPr>
        <w:t>3.支持打印医嘱工作单。</w:t>
      </w:r>
    </w:p>
    <w:p w14:paraId="5A829ED5">
      <w:pPr>
        <w:spacing w:before="34" w:line="220" w:lineRule="auto"/>
        <w:ind w:left="517"/>
        <w:rPr>
          <w:rFonts w:ascii="宋体" w:hAnsi="宋体" w:eastAsia="宋体" w:cs="宋体"/>
          <w:sz w:val="24"/>
          <w:szCs w:val="24"/>
        </w:rPr>
      </w:pPr>
      <w:r>
        <w:rPr>
          <w:rFonts w:ascii="宋体" w:hAnsi="宋体" w:eastAsia="宋体" w:cs="宋体"/>
          <w:spacing w:val="-3"/>
          <w:sz w:val="24"/>
          <w:szCs w:val="24"/>
        </w:rPr>
        <w:t>4.支持医嘱的执行人，执行时间信息记录。</w:t>
      </w:r>
    </w:p>
    <w:p w14:paraId="08220B73">
      <w:pPr>
        <w:spacing w:before="311" w:line="445" w:lineRule="auto"/>
        <w:ind w:left="520" w:right="2983" w:firstLine="2"/>
        <w:rPr>
          <w:rFonts w:ascii="宋体" w:hAnsi="宋体" w:eastAsia="宋体" w:cs="宋体"/>
          <w:sz w:val="24"/>
          <w:szCs w:val="24"/>
        </w:rPr>
      </w:pPr>
      <w:r>
        <w:rPr>
          <w:rFonts w:ascii="宋体" w:hAnsi="宋体" w:eastAsia="宋体" w:cs="宋体"/>
          <w:spacing w:val="-2"/>
          <w:sz w:val="24"/>
          <w:szCs w:val="24"/>
        </w:rPr>
        <w:t>5.支持按院区、病例库、切片时间的范围，检索制片的信息。</w:t>
      </w:r>
      <w:r>
        <w:rPr>
          <w:rFonts w:ascii="宋体" w:hAnsi="宋体" w:eastAsia="宋体" w:cs="宋体"/>
          <w:spacing w:val="6"/>
          <w:sz w:val="24"/>
          <w:szCs w:val="24"/>
        </w:rPr>
        <w:t xml:space="preserve"> </w:t>
      </w:r>
      <w:r>
        <w:rPr>
          <w:rFonts w:ascii="宋体" w:hAnsi="宋体" w:eastAsia="宋体" w:cs="宋体"/>
          <w:spacing w:val="-3"/>
          <w:sz w:val="24"/>
          <w:szCs w:val="24"/>
        </w:rPr>
        <w:t>6.支持通过病理号进行查询制片的信息。</w:t>
      </w:r>
    </w:p>
    <w:p w14:paraId="3DB93506">
      <w:pPr>
        <w:spacing w:before="34" w:line="445" w:lineRule="auto"/>
        <w:ind w:left="519" w:right="583" w:firstLine="4"/>
        <w:rPr>
          <w:rFonts w:ascii="宋体" w:hAnsi="宋体" w:eastAsia="宋体" w:cs="宋体"/>
          <w:sz w:val="24"/>
          <w:szCs w:val="24"/>
        </w:rPr>
      </w:pPr>
      <w:r>
        <w:rPr>
          <w:rFonts w:ascii="宋体" w:hAnsi="宋体" w:eastAsia="宋体" w:cs="宋体"/>
          <w:spacing w:val="-1"/>
          <w:sz w:val="24"/>
          <w:szCs w:val="24"/>
        </w:rPr>
        <w:t>7.支持通过扫描包埋盒上的二维码自动制片确认，并将</w:t>
      </w:r>
      <w:r>
        <w:rPr>
          <w:rFonts w:ascii="宋体" w:hAnsi="宋体" w:eastAsia="宋体" w:cs="宋体"/>
          <w:spacing w:val="-2"/>
          <w:sz w:val="24"/>
          <w:szCs w:val="24"/>
        </w:rPr>
        <w:t>校片人、校片时间信息记录。</w:t>
      </w:r>
      <w:r>
        <w:rPr>
          <w:rFonts w:ascii="宋体" w:hAnsi="宋体" w:eastAsia="宋体" w:cs="宋体"/>
          <w:sz w:val="24"/>
          <w:szCs w:val="24"/>
        </w:rPr>
        <w:t xml:space="preserve"> </w:t>
      </w:r>
      <w:r>
        <w:rPr>
          <w:rFonts w:ascii="宋体" w:hAnsi="宋体" w:eastAsia="宋体" w:cs="宋体"/>
          <w:spacing w:val="-3"/>
          <w:sz w:val="24"/>
          <w:szCs w:val="24"/>
        </w:rPr>
        <w:t>8.支持切片的打印，支持批量打印。</w:t>
      </w:r>
    </w:p>
    <w:p w14:paraId="5EBC2EE8">
      <w:pPr>
        <w:spacing w:before="34" w:line="220" w:lineRule="auto"/>
        <w:ind w:left="519"/>
        <w:rPr>
          <w:rFonts w:ascii="宋体" w:hAnsi="宋体" w:eastAsia="宋体" w:cs="宋体"/>
          <w:sz w:val="24"/>
          <w:szCs w:val="24"/>
        </w:rPr>
      </w:pPr>
      <w:r>
        <w:rPr>
          <w:rFonts w:ascii="宋体" w:hAnsi="宋体" w:eastAsia="宋体" w:cs="宋体"/>
          <w:spacing w:val="-4"/>
          <w:sz w:val="24"/>
          <w:szCs w:val="24"/>
        </w:rPr>
        <w:t>9.支持添加/删除切片信息。</w:t>
      </w:r>
    </w:p>
    <w:p w14:paraId="05C73352">
      <w:pPr>
        <w:spacing w:before="310" w:line="220" w:lineRule="auto"/>
        <w:ind w:left="536"/>
        <w:rPr>
          <w:rFonts w:ascii="宋体" w:hAnsi="宋体" w:eastAsia="宋体" w:cs="宋体"/>
          <w:sz w:val="24"/>
          <w:szCs w:val="24"/>
        </w:rPr>
      </w:pPr>
      <w:r>
        <w:rPr>
          <w:rFonts w:ascii="宋体" w:hAnsi="宋体" w:eastAsia="宋体" w:cs="宋体"/>
          <w:spacing w:val="-4"/>
          <w:sz w:val="24"/>
          <w:szCs w:val="24"/>
        </w:rPr>
        <w:t>10.支持查询当天登陆人的切片信息。</w:t>
      </w:r>
    </w:p>
    <w:p w14:paraId="4A0183CA">
      <w:pPr>
        <w:spacing w:before="311" w:line="445" w:lineRule="auto"/>
        <w:ind w:left="536" w:right="3583"/>
        <w:rPr>
          <w:rFonts w:ascii="宋体" w:hAnsi="宋体" w:eastAsia="宋体" w:cs="宋体"/>
          <w:sz w:val="24"/>
          <w:szCs w:val="24"/>
        </w:rPr>
      </w:pPr>
      <w:r>
        <w:rPr>
          <w:rFonts w:ascii="宋体" w:hAnsi="宋体" w:eastAsia="宋体" w:cs="宋体"/>
          <w:spacing w:val="-3"/>
          <w:sz w:val="24"/>
          <w:szCs w:val="24"/>
        </w:rPr>
        <w:t>11.支持回顾当天登陆人的切片确认时出现的错误日志。</w:t>
      </w:r>
      <w:r>
        <w:rPr>
          <w:rFonts w:ascii="宋体" w:hAnsi="宋体" w:eastAsia="宋体" w:cs="宋体"/>
          <w:spacing w:val="15"/>
          <w:sz w:val="24"/>
          <w:szCs w:val="24"/>
        </w:rPr>
        <w:t xml:space="preserve"> </w:t>
      </w:r>
      <w:r>
        <w:rPr>
          <w:rFonts w:ascii="宋体" w:hAnsi="宋体" w:eastAsia="宋体" w:cs="宋体"/>
          <w:spacing w:val="-4"/>
          <w:sz w:val="24"/>
          <w:szCs w:val="24"/>
        </w:rPr>
        <w:t>12.支持查询病理号下所有的包埋信息。</w:t>
      </w:r>
    </w:p>
    <w:p w14:paraId="417C3345">
      <w:pPr>
        <w:spacing w:before="36" w:line="217" w:lineRule="auto"/>
        <w:ind w:left="47"/>
        <w:rPr>
          <w:rFonts w:ascii="仿宋" w:hAnsi="仿宋" w:eastAsia="仿宋" w:cs="仿宋"/>
          <w:sz w:val="24"/>
          <w:szCs w:val="24"/>
        </w:rPr>
      </w:pPr>
      <w:r>
        <w:rPr>
          <w:rFonts w:ascii="仿宋" w:hAnsi="仿宋" w:eastAsia="仿宋" w:cs="仿宋"/>
          <w:b/>
          <w:bCs/>
          <w:spacing w:val="-6"/>
          <w:sz w:val="24"/>
          <w:szCs w:val="24"/>
        </w:rPr>
        <w:t>2.7.6</w:t>
      </w:r>
      <w:r>
        <w:rPr>
          <w:rFonts w:ascii="仿宋" w:hAnsi="仿宋" w:eastAsia="仿宋" w:cs="仿宋"/>
          <w:spacing w:val="-40"/>
          <w:sz w:val="24"/>
          <w:szCs w:val="24"/>
        </w:rPr>
        <w:t xml:space="preserve"> </w:t>
      </w:r>
      <w:r>
        <w:rPr>
          <w:rFonts w:ascii="仿宋" w:hAnsi="仿宋" w:eastAsia="仿宋" w:cs="仿宋"/>
          <w:b/>
          <w:bCs/>
          <w:spacing w:val="-6"/>
          <w:sz w:val="24"/>
          <w:szCs w:val="24"/>
        </w:rPr>
        <w:t>病理归档系统</w:t>
      </w:r>
    </w:p>
    <w:p w14:paraId="328CA1CA">
      <w:pPr>
        <w:pStyle w:val="2"/>
        <w:spacing w:line="350" w:lineRule="auto"/>
      </w:pPr>
    </w:p>
    <w:p w14:paraId="560D9B93">
      <w:pPr>
        <w:spacing w:before="78" w:line="450" w:lineRule="auto"/>
        <w:ind w:left="521" w:right="6223" w:firstLine="14"/>
        <w:jc w:val="both"/>
        <w:rPr>
          <w:rFonts w:ascii="宋体" w:hAnsi="宋体" w:eastAsia="宋体" w:cs="宋体"/>
          <w:sz w:val="24"/>
          <w:szCs w:val="24"/>
        </w:rPr>
      </w:pPr>
      <w:r>
        <w:rPr>
          <w:rFonts w:ascii="宋体" w:hAnsi="宋体" w:eastAsia="宋体" w:cs="宋体"/>
          <w:spacing w:val="-5"/>
          <w:sz w:val="24"/>
          <w:szCs w:val="24"/>
        </w:rPr>
        <w:t>1.支持对蜡块进行归档管理。</w:t>
      </w:r>
      <w:r>
        <w:rPr>
          <w:rFonts w:ascii="宋体" w:hAnsi="宋体" w:eastAsia="宋体" w:cs="宋体"/>
          <w:spacing w:val="3"/>
          <w:sz w:val="24"/>
          <w:szCs w:val="24"/>
        </w:rPr>
        <w:t xml:space="preserve">  </w:t>
      </w:r>
      <w:r>
        <w:rPr>
          <w:rFonts w:ascii="宋体" w:hAnsi="宋体" w:eastAsia="宋体" w:cs="宋体"/>
          <w:spacing w:val="-4"/>
          <w:sz w:val="24"/>
          <w:szCs w:val="24"/>
        </w:rPr>
        <w:t>2.支持对蜡块进行借/还管理。</w:t>
      </w:r>
      <w:r>
        <w:rPr>
          <w:rFonts w:ascii="宋体" w:hAnsi="宋体" w:eastAsia="宋体" w:cs="宋体"/>
          <w:spacing w:val="11"/>
          <w:sz w:val="24"/>
          <w:szCs w:val="24"/>
        </w:rPr>
        <w:t xml:space="preserve"> </w:t>
      </w:r>
      <w:r>
        <w:rPr>
          <w:rFonts w:ascii="宋体" w:hAnsi="宋体" w:eastAsia="宋体" w:cs="宋体"/>
          <w:spacing w:val="-4"/>
          <w:sz w:val="24"/>
          <w:szCs w:val="24"/>
        </w:rPr>
        <w:t>3.支持对切片进行归档管理。</w:t>
      </w:r>
    </w:p>
    <w:p w14:paraId="381A0218">
      <w:pPr>
        <w:spacing w:before="34" w:line="219" w:lineRule="auto"/>
        <w:ind w:left="517"/>
        <w:rPr>
          <w:rFonts w:ascii="宋体" w:hAnsi="宋体" w:eastAsia="宋体" w:cs="宋体"/>
          <w:sz w:val="24"/>
          <w:szCs w:val="24"/>
        </w:rPr>
      </w:pPr>
      <w:r>
        <w:rPr>
          <w:rFonts w:ascii="宋体" w:hAnsi="宋体" w:eastAsia="宋体" w:cs="宋体"/>
          <w:spacing w:val="-3"/>
          <w:sz w:val="24"/>
          <w:szCs w:val="24"/>
        </w:rPr>
        <w:t>4.支持对切片进行借/还管理。</w:t>
      </w:r>
    </w:p>
    <w:p w14:paraId="02A9758C">
      <w:pPr>
        <w:spacing w:before="311" w:line="218" w:lineRule="auto"/>
        <w:ind w:left="523"/>
        <w:rPr>
          <w:rFonts w:ascii="宋体" w:hAnsi="宋体" w:eastAsia="宋体" w:cs="宋体"/>
          <w:sz w:val="24"/>
          <w:szCs w:val="24"/>
        </w:rPr>
      </w:pPr>
      <w:r>
        <w:rPr>
          <w:rFonts w:ascii="宋体" w:hAnsi="宋体" w:eastAsia="宋体" w:cs="宋体"/>
          <w:spacing w:val="-3"/>
          <w:sz w:val="24"/>
          <w:szCs w:val="24"/>
        </w:rPr>
        <w:t>5.支持对报告底单进行归档管理。</w:t>
      </w:r>
    </w:p>
    <w:p w14:paraId="713BF4D6">
      <w:pPr>
        <w:spacing w:before="313" w:line="223" w:lineRule="auto"/>
        <w:ind w:left="36"/>
        <w:rPr>
          <w:rFonts w:ascii="楷体" w:hAnsi="楷体" w:eastAsia="楷体" w:cs="楷体"/>
          <w:sz w:val="24"/>
          <w:szCs w:val="24"/>
        </w:rPr>
      </w:pPr>
      <w:r>
        <w:rPr>
          <w:rFonts w:ascii="楷体" w:hAnsi="楷体" w:eastAsia="楷体" w:cs="楷体"/>
          <w:spacing w:val="-1"/>
          <w:sz w:val="24"/>
          <w:szCs w:val="24"/>
        </w:rPr>
        <w:t>2.8 相关系统接口</w:t>
      </w:r>
    </w:p>
    <w:p w14:paraId="706F395F">
      <w:pPr>
        <w:pStyle w:val="2"/>
        <w:spacing w:line="346" w:lineRule="auto"/>
      </w:pPr>
    </w:p>
    <w:p w14:paraId="1E96BDA5">
      <w:pPr>
        <w:spacing w:before="79" w:line="218" w:lineRule="auto"/>
        <w:ind w:left="47"/>
        <w:rPr>
          <w:rFonts w:ascii="仿宋" w:hAnsi="仿宋" w:eastAsia="仿宋" w:cs="仿宋"/>
          <w:sz w:val="24"/>
          <w:szCs w:val="24"/>
        </w:rPr>
      </w:pPr>
      <w:r>
        <w:rPr>
          <w:rFonts w:ascii="仿宋" w:hAnsi="仿宋" w:eastAsia="仿宋" w:cs="仿宋"/>
          <w:b/>
          <w:bCs/>
          <w:spacing w:val="-4"/>
          <w:sz w:val="24"/>
          <w:szCs w:val="24"/>
        </w:rPr>
        <w:t>2.8.1</w:t>
      </w:r>
      <w:r>
        <w:rPr>
          <w:rFonts w:ascii="仿宋" w:hAnsi="仿宋" w:eastAsia="仿宋" w:cs="仿宋"/>
          <w:spacing w:val="-4"/>
          <w:sz w:val="24"/>
          <w:szCs w:val="24"/>
        </w:rPr>
        <w:t xml:space="preserve"> </w:t>
      </w:r>
      <w:r>
        <w:rPr>
          <w:rFonts w:ascii="仿宋" w:hAnsi="仿宋" w:eastAsia="仿宋" w:cs="仿宋"/>
          <w:b/>
          <w:bCs/>
          <w:spacing w:val="-4"/>
          <w:sz w:val="24"/>
          <w:szCs w:val="24"/>
        </w:rPr>
        <w:t>HIS</w:t>
      </w:r>
      <w:r>
        <w:rPr>
          <w:rFonts w:ascii="仿宋" w:hAnsi="仿宋" w:eastAsia="仿宋" w:cs="仿宋"/>
          <w:spacing w:val="-55"/>
          <w:sz w:val="24"/>
          <w:szCs w:val="24"/>
        </w:rPr>
        <w:t xml:space="preserve"> </w:t>
      </w:r>
      <w:r>
        <w:rPr>
          <w:rFonts w:ascii="仿宋" w:hAnsi="仿宋" w:eastAsia="仿宋" w:cs="仿宋"/>
          <w:b/>
          <w:bCs/>
          <w:spacing w:val="-4"/>
          <w:sz w:val="24"/>
          <w:szCs w:val="24"/>
        </w:rPr>
        <w:t>基础数据接口</w:t>
      </w:r>
    </w:p>
    <w:p w14:paraId="0D11D3EE">
      <w:pPr>
        <w:pStyle w:val="2"/>
        <w:spacing w:line="351" w:lineRule="auto"/>
      </w:pPr>
    </w:p>
    <w:p w14:paraId="3A67C1D0">
      <w:pPr>
        <w:spacing w:before="79" w:line="445" w:lineRule="auto"/>
        <w:ind w:left="66" w:right="83" w:firstLine="469"/>
        <w:rPr>
          <w:rFonts w:ascii="宋体" w:hAnsi="宋体" w:eastAsia="宋体" w:cs="宋体"/>
          <w:sz w:val="24"/>
          <w:szCs w:val="24"/>
        </w:rPr>
      </w:pPr>
      <w:r>
        <w:rPr>
          <w:rFonts w:ascii="宋体" w:hAnsi="宋体" w:eastAsia="宋体" w:cs="宋体"/>
          <w:sz w:val="24"/>
          <w:szCs w:val="24"/>
        </w:rPr>
        <w:t>1.支持读取患者基本信息接口，够获取患者身份：病人</w:t>
      </w:r>
      <w:r>
        <w:rPr>
          <w:rFonts w:ascii="宋体" w:hAnsi="宋体" w:eastAsia="宋体" w:cs="宋体"/>
          <w:spacing w:val="-32"/>
          <w:sz w:val="24"/>
          <w:szCs w:val="24"/>
        </w:rPr>
        <w:t xml:space="preserve"> </w:t>
      </w:r>
      <w:r>
        <w:rPr>
          <w:rFonts w:ascii="宋体" w:hAnsi="宋体" w:eastAsia="宋体" w:cs="宋体"/>
          <w:sz w:val="24"/>
          <w:szCs w:val="24"/>
        </w:rPr>
        <w:t>id,姓名</w:t>
      </w:r>
      <w:r>
        <w:rPr>
          <w:rFonts w:ascii="宋体" w:hAnsi="宋体" w:eastAsia="宋体" w:cs="宋体"/>
          <w:spacing w:val="-1"/>
          <w:sz w:val="24"/>
          <w:szCs w:val="24"/>
        </w:rPr>
        <w:t>，年龄，性别，身份证，</w:t>
      </w:r>
      <w:r>
        <w:rPr>
          <w:rFonts w:ascii="宋体" w:hAnsi="宋体" w:eastAsia="宋体" w:cs="宋体"/>
          <w:sz w:val="24"/>
          <w:szCs w:val="24"/>
        </w:rPr>
        <w:t xml:space="preserve"> </w:t>
      </w:r>
      <w:r>
        <w:rPr>
          <w:rFonts w:ascii="宋体" w:hAnsi="宋体" w:eastAsia="宋体" w:cs="宋体"/>
          <w:spacing w:val="-6"/>
          <w:sz w:val="24"/>
          <w:szCs w:val="24"/>
        </w:rPr>
        <w:t>电话号码，家庭地址等信息。</w:t>
      </w:r>
    </w:p>
    <w:p w14:paraId="3FD44E0B">
      <w:pPr>
        <w:spacing w:before="35" w:line="445" w:lineRule="auto"/>
        <w:ind w:left="521" w:right="3583"/>
        <w:jc w:val="right"/>
        <w:rPr>
          <w:rFonts w:ascii="宋体" w:hAnsi="宋体" w:eastAsia="宋体" w:cs="宋体"/>
          <w:sz w:val="24"/>
          <w:szCs w:val="24"/>
        </w:rPr>
      </w:pPr>
      <w:r>
        <w:rPr>
          <w:rFonts w:ascii="宋体" w:hAnsi="宋体" w:eastAsia="宋体" w:cs="宋体"/>
          <w:spacing w:val="-2"/>
          <w:sz w:val="24"/>
          <w:szCs w:val="24"/>
        </w:rPr>
        <w:t>2.接收患者编号：注册编号，外来/住院患者位置信息。</w:t>
      </w:r>
      <w:r>
        <w:rPr>
          <w:rFonts w:ascii="宋体" w:hAnsi="宋体" w:eastAsia="宋体" w:cs="宋体"/>
          <w:spacing w:val="3"/>
          <w:sz w:val="24"/>
          <w:szCs w:val="24"/>
        </w:rPr>
        <w:t xml:space="preserve"> </w:t>
      </w:r>
      <w:r>
        <w:rPr>
          <w:rFonts w:ascii="宋体" w:hAnsi="宋体" w:eastAsia="宋体" w:cs="宋体"/>
          <w:spacing w:val="-3"/>
          <w:sz w:val="24"/>
          <w:szCs w:val="24"/>
        </w:rPr>
        <w:t>3.支持</w:t>
      </w:r>
      <w:r>
        <w:rPr>
          <w:rFonts w:ascii="宋体" w:hAnsi="宋体" w:eastAsia="宋体" w:cs="宋体"/>
          <w:spacing w:val="-39"/>
          <w:sz w:val="24"/>
          <w:szCs w:val="24"/>
        </w:rPr>
        <w:t xml:space="preserve"> </w:t>
      </w:r>
      <w:r>
        <w:rPr>
          <w:rFonts w:ascii="宋体" w:hAnsi="宋体" w:eastAsia="宋体" w:cs="宋体"/>
          <w:spacing w:val="-3"/>
          <w:sz w:val="24"/>
          <w:szCs w:val="24"/>
        </w:rPr>
        <w:t>PACS</w:t>
      </w:r>
      <w:r>
        <w:rPr>
          <w:rFonts w:ascii="宋体" w:hAnsi="宋体" w:eastAsia="宋体" w:cs="宋体"/>
          <w:spacing w:val="-28"/>
          <w:sz w:val="24"/>
          <w:szCs w:val="24"/>
        </w:rPr>
        <w:t xml:space="preserve"> </w:t>
      </w:r>
      <w:r>
        <w:rPr>
          <w:rFonts w:ascii="宋体" w:hAnsi="宋体" w:eastAsia="宋体" w:cs="宋体"/>
          <w:spacing w:val="-3"/>
          <w:sz w:val="24"/>
          <w:szCs w:val="24"/>
        </w:rPr>
        <w:t>中进行费用确认接口(需</w:t>
      </w:r>
      <w:r>
        <w:rPr>
          <w:rFonts w:ascii="宋体" w:hAnsi="宋体" w:eastAsia="宋体" w:cs="宋体"/>
          <w:spacing w:val="-56"/>
          <w:sz w:val="24"/>
          <w:szCs w:val="24"/>
        </w:rPr>
        <w:t xml:space="preserve"> </w:t>
      </w:r>
      <w:r>
        <w:rPr>
          <w:rFonts w:ascii="宋体" w:hAnsi="宋体" w:eastAsia="宋体" w:cs="宋体"/>
          <w:spacing w:val="-3"/>
          <w:sz w:val="24"/>
          <w:szCs w:val="24"/>
        </w:rPr>
        <w:t>HIS</w:t>
      </w:r>
      <w:r>
        <w:rPr>
          <w:rFonts w:ascii="宋体" w:hAnsi="宋体" w:eastAsia="宋体" w:cs="宋体"/>
          <w:spacing w:val="-51"/>
          <w:sz w:val="24"/>
          <w:szCs w:val="24"/>
        </w:rPr>
        <w:t xml:space="preserve"> </w:t>
      </w:r>
      <w:r>
        <w:rPr>
          <w:rFonts w:ascii="宋体" w:hAnsi="宋体" w:eastAsia="宋体" w:cs="宋体"/>
          <w:spacing w:val="-3"/>
          <w:sz w:val="24"/>
          <w:szCs w:val="24"/>
        </w:rPr>
        <w:t>配合支持)</w:t>
      </w:r>
    </w:p>
    <w:p w14:paraId="02058D36">
      <w:pPr>
        <w:spacing w:before="95"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68                                </w:t>
      </w:r>
      <w:r>
        <w:rPr>
          <w:rFonts w:ascii="宋体" w:hAnsi="宋体" w:eastAsia="宋体" w:cs="宋体"/>
          <w:b/>
          <w:bCs/>
          <w:i/>
          <w:iCs/>
          <w:spacing w:val="-3"/>
          <w:sz w:val="19"/>
          <w:szCs w:val="19"/>
        </w:rPr>
        <w:t>伊犁州公共资源交易中心</w:t>
      </w:r>
    </w:p>
    <w:p w14:paraId="5BE4285C">
      <w:pPr>
        <w:spacing w:line="160" w:lineRule="auto"/>
        <w:rPr>
          <w:rFonts w:ascii="宋体" w:hAnsi="宋体" w:eastAsia="宋体" w:cs="宋体"/>
          <w:sz w:val="19"/>
          <w:szCs w:val="19"/>
        </w:rPr>
        <w:sectPr>
          <w:pgSz w:w="11905" w:h="16839"/>
          <w:pgMar w:top="1136" w:right="830" w:bottom="937" w:left="1136" w:header="854" w:footer="923" w:gutter="0"/>
          <w:cols w:space="720" w:num="1"/>
        </w:sectPr>
      </w:pPr>
    </w:p>
    <w:p w14:paraId="67C1A88D">
      <w:pPr>
        <w:pStyle w:val="2"/>
        <w:spacing w:line="380" w:lineRule="auto"/>
      </w:pPr>
    </w:p>
    <w:p w14:paraId="7434CA7F">
      <w:pPr>
        <w:spacing w:before="78" w:line="215" w:lineRule="auto"/>
        <w:ind w:left="47"/>
        <w:rPr>
          <w:rFonts w:ascii="仿宋" w:hAnsi="仿宋" w:eastAsia="仿宋" w:cs="仿宋"/>
          <w:sz w:val="24"/>
          <w:szCs w:val="24"/>
        </w:rPr>
      </w:pPr>
      <w:r>
        <w:rPr>
          <w:rFonts w:ascii="仿宋" w:hAnsi="仿宋" w:eastAsia="仿宋" w:cs="仿宋"/>
          <w:b/>
          <w:bCs/>
          <w:spacing w:val="-7"/>
          <w:sz w:val="24"/>
          <w:szCs w:val="24"/>
        </w:rPr>
        <w:t>2.8.2</w:t>
      </w:r>
      <w:r>
        <w:rPr>
          <w:rFonts w:ascii="仿宋" w:hAnsi="仿宋" w:eastAsia="仿宋" w:cs="仿宋"/>
          <w:spacing w:val="-7"/>
          <w:sz w:val="24"/>
          <w:szCs w:val="24"/>
        </w:rPr>
        <w:t xml:space="preserve"> </w:t>
      </w:r>
      <w:r>
        <w:rPr>
          <w:rFonts w:ascii="仿宋" w:hAnsi="仿宋" w:eastAsia="仿宋" w:cs="仿宋"/>
          <w:b/>
          <w:bCs/>
          <w:spacing w:val="-7"/>
          <w:sz w:val="24"/>
          <w:szCs w:val="24"/>
        </w:rPr>
        <w:t>HIS</w:t>
      </w:r>
      <w:r>
        <w:rPr>
          <w:rFonts w:ascii="仿宋" w:hAnsi="仿宋" w:eastAsia="仿宋" w:cs="仿宋"/>
          <w:spacing w:val="-7"/>
          <w:sz w:val="24"/>
          <w:szCs w:val="24"/>
        </w:rPr>
        <w:t xml:space="preserve"> </w:t>
      </w:r>
      <w:r>
        <w:rPr>
          <w:rFonts w:ascii="仿宋" w:hAnsi="仿宋" w:eastAsia="仿宋" w:cs="仿宋"/>
          <w:b/>
          <w:bCs/>
          <w:spacing w:val="-7"/>
          <w:sz w:val="24"/>
          <w:szCs w:val="24"/>
        </w:rPr>
        <w:t>申请单接口</w:t>
      </w:r>
    </w:p>
    <w:p w14:paraId="4FE22932">
      <w:pPr>
        <w:pStyle w:val="2"/>
        <w:spacing w:line="354" w:lineRule="auto"/>
      </w:pPr>
    </w:p>
    <w:p w14:paraId="1EA3901F">
      <w:pPr>
        <w:spacing w:before="78" w:line="220" w:lineRule="auto"/>
        <w:ind w:left="541"/>
        <w:rPr>
          <w:rFonts w:ascii="宋体" w:hAnsi="宋体" w:eastAsia="宋体" w:cs="宋体"/>
          <w:sz w:val="24"/>
          <w:szCs w:val="24"/>
        </w:rPr>
      </w:pPr>
      <w:r>
        <w:rPr>
          <w:rFonts w:ascii="宋体" w:hAnsi="宋体" w:eastAsia="宋体" w:cs="宋体"/>
          <w:spacing w:val="-2"/>
          <w:sz w:val="24"/>
          <w:szCs w:val="24"/>
        </w:rPr>
        <w:t>1.支持申请单接口对接，如检查时间、录入检查注意事项等其他信息。</w:t>
      </w:r>
    </w:p>
    <w:p w14:paraId="7E15F4F1">
      <w:pPr>
        <w:spacing w:before="311" w:line="218" w:lineRule="auto"/>
        <w:ind w:left="47"/>
        <w:rPr>
          <w:rFonts w:ascii="仿宋" w:hAnsi="仿宋" w:eastAsia="仿宋" w:cs="仿宋"/>
          <w:sz w:val="24"/>
          <w:szCs w:val="24"/>
        </w:rPr>
      </w:pPr>
      <w:r>
        <w:rPr>
          <w:rFonts w:ascii="仿宋" w:hAnsi="仿宋" w:eastAsia="仿宋" w:cs="仿宋"/>
          <w:b/>
          <w:bCs/>
          <w:spacing w:val="-8"/>
          <w:sz w:val="24"/>
          <w:szCs w:val="24"/>
        </w:rPr>
        <w:t>2.8.3</w:t>
      </w:r>
      <w:r>
        <w:rPr>
          <w:rFonts w:ascii="仿宋" w:hAnsi="仿宋" w:eastAsia="仿宋" w:cs="仿宋"/>
          <w:spacing w:val="-14"/>
          <w:sz w:val="24"/>
          <w:szCs w:val="24"/>
        </w:rPr>
        <w:t xml:space="preserve"> </w:t>
      </w:r>
      <w:r>
        <w:rPr>
          <w:rFonts w:ascii="仿宋" w:hAnsi="仿宋" w:eastAsia="仿宋" w:cs="仿宋"/>
          <w:b/>
          <w:bCs/>
          <w:spacing w:val="-8"/>
          <w:sz w:val="24"/>
          <w:szCs w:val="24"/>
        </w:rPr>
        <w:t>电子病历接口</w:t>
      </w:r>
    </w:p>
    <w:p w14:paraId="25F4A862">
      <w:pPr>
        <w:pStyle w:val="2"/>
        <w:spacing w:line="351" w:lineRule="auto"/>
      </w:pPr>
    </w:p>
    <w:p w14:paraId="23E05308">
      <w:pPr>
        <w:spacing w:before="78" w:line="219" w:lineRule="auto"/>
        <w:jc w:val="right"/>
        <w:rPr>
          <w:rFonts w:ascii="宋体" w:hAnsi="宋体" w:eastAsia="宋体" w:cs="宋体"/>
          <w:sz w:val="24"/>
          <w:szCs w:val="24"/>
        </w:rPr>
      </w:pPr>
      <w:r>
        <w:rPr>
          <w:rFonts w:ascii="宋体" w:hAnsi="宋体" w:eastAsia="宋体" w:cs="宋体"/>
          <w:spacing w:val="-4"/>
          <w:sz w:val="24"/>
          <w:szCs w:val="24"/>
        </w:rPr>
        <w:t>1.提供电子病历接口，将院内电子病历系统通过</w:t>
      </w:r>
      <w:r>
        <w:rPr>
          <w:rFonts w:ascii="宋体" w:hAnsi="宋体" w:eastAsia="宋体" w:cs="宋体"/>
          <w:spacing w:val="-5"/>
          <w:sz w:val="24"/>
          <w:szCs w:val="24"/>
        </w:rPr>
        <w:t>参数传递方式在</w:t>
      </w:r>
      <w:r>
        <w:rPr>
          <w:rFonts w:ascii="宋体" w:hAnsi="宋体" w:eastAsia="宋体" w:cs="宋体"/>
          <w:spacing w:val="-55"/>
          <w:sz w:val="24"/>
          <w:szCs w:val="24"/>
        </w:rPr>
        <w:t xml:space="preserve"> </w:t>
      </w:r>
      <w:r>
        <w:rPr>
          <w:rFonts w:ascii="宋体" w:hAnsi="宋体" w:eastAsia="宋体" w:cs="宋体"/>
          <w:spacing w:val="-5"/>
          <w:sz w:val="24"/>
          <w:szCs w:val="24"/>
        </w:rPr>
        <w:t>PACS/RIS</w:t>
      </w:r>
      <w:r>
        <w:rPr>
          <w:rFonts w:ascii="宋体" w:hAnsi="宋体" w:eastAsia="宋体" w:cs="宋体"/>
          <w:spacing w:val="-45"/>
          <w:sz w:val="24"/>
          <w:szCs w:val="24"/>
        </w:rPr>
        <w:t xml:space="preserve"> </w:t>
      </w:r>
      <w:r>
        <w:rPr>
          <w:rFonts w:ascii="宋体" w:hAnsi="宋体" w:eastAsia="宋体" w:cs="宋体"/>
          <w:spacing w:val="-5"/>
          <w:sz w:val="24"/>
          <w:szCs w:val="24"/>
        </w:rPr>
        <w:t>系统内无缝集成。</w:t>
      </w:r>
    </w:p>
    <w:p w14:paraId="30E85894">
      <w:pPr>
        <w:spacing w:before="312" w:line="217" w:lineRule="auto"/>
        <w:ind w:left="47"/>
        <w:rPr>
          <w:rFonts w:ascii="仿宋" w:hAnsi="仿宋" w:eastAsia="仿宋" w:cs="仿宋"/>
          <w:sz w:val="24"/>
          <w:szCs w:val="24"/>
        </w:rPr>
      </w:pPr>
      <w:r>
        <w:rPr>
          <w:rFonts w:ascii="仿宋" w:hAnsi="仿宋" w:eastAsia="仿宋" w:cs="仿宋"/>
          <w:b/>
          <w:bCs/>
          <w:spacing w:val="-7"/>
          <w:sz w:val="24"/>
          <w:szCs w:val="24"/>
        </w:rPr>
        <w:t>2.8.4</w:t>
      </w:r>
      <w:r>
        <w:rPr>
          <w:rFonts w:ascii="仿宋" w:hAnsi="仿宋" w:eastAsia="仿宋" w:cs="仿宋"/>
          <w:spacing w:val="-27"/>
          <w:sz w:val="24"/>
          <w:szCs w:val="24"/>
        </w:rPr>
        <w:t xml:space="preserve"> </w:t>
      </w:r>
      <w:r>
        <w:rPr>
          <w:rFonts w:ascii="仿宋" w:hAnsi="仿宋" w:eastAsia="仿宋" w:cs="仿宋"/>
          <w:b/>
          <w:bCs/>
          <w:spacing w:val="-7"/>
          <w:sz w:val="24"/>
          <w:szCs w:val="24"/>
        </w:rPr>
        <w:t>临床调阅接口</w:t>
      </w:r>
    </w:p>
    <w:p w14:paraId="2845E73F">
      <w:pPr>
        <w:pStyle w:val="2"/>
        <w:spacing w:line="352" w:lineRule="auto"/>
      </w:pPr>
    </w:p>
    <w:p w14:paraId="32BDB270">
      <w:pPr>
        <w:spacing w:before="79" w:line="219" w:lineRule="auto"/>
        <w:ind w:left="536"/>
        <w:rPr>
          <w:rFonts w:ascii="宋体" w:hAnsi="宋体" w:eastAsia="宋体" w:cs="宋体"/>
          <w:sz w:val="24"/>
          <w:szCs w:val="24"/>
        </w:rPr>
      </w:pPr>
      <w:r>
        <w:rPr>
          <w:rFonts w:ascii="宋体" w:hAnsi="宋体" w:eastAsia="宋体" w:cs="宋体"/>
          <w:spacing w:val="-6"/>
          <w:sz w:val="24"/>
          <w:szCs w:val="24"/>
        </w:rPr>
        <w:t>1.提供</w:t>
      </w:r>
      <w:r>
        <w:rPr>
          <w:rFonts w:ascii="宋体" w:hAnsi="宋体" w:eastAsia="宋体" w:cs="宋体"/>
          <w:spacing w:val="-54"/>
          <w:sz w:val="24"/>
          <w:szCs w:val="24"/>
        </w:rPr>
        <w:t xml:space="preserve"> </w:t>
      </w:r>
      <w:r>
        <w:rPr>
          <w:rFonts w:ascii="宋体" w:hAnsi="宋体" w:eastAsia="宋体" w:cs="宋体"/>
          <w:spacing w:val="-6"/>
          <w:sz w:val="24"/>
          <w:szCs w:val="24"/>
        </w:rPr>
        <w:t>WEB</w:t>
      </w:r>
      <w:r>
        <w:rPr>
          <w:rFonts w:ascii="宋体" w:hAnsi="宋体" w:eastAsia="宋体" w:cs="宋体"/>
          <w:spacing w:val="-37"/>
          <w:sz w:val="24"/>
          <w:szCs w:val="24"/>
        </w:rPr>
        <w:t xml:space="preserve"> </w:t>
      </w:r>
      <w:r>
        <w:rPr>
          <w:rFonts w:ascii="宋体" w:hAnsi="宋体" w:eastAsia="宋体" w:cs="宋体"/>
          <w:spacing w:val="-6"/>
          <w:sz w:val="24"/>
          <w:szCs w:val="24"/>
        </w:rPr>
        <w:t>临床浏览阅片。</w:t>
      </w:r>
    </w:p>
    <w:p w14:paraId="6CD8F607">
      <w:pPr>
        <w:spacing w:before="312" w:line="445" w:lineRule="auto"/>
        <w:ind w:left="44" w:right="180" w:firstLine="476"/>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z w:val="24"/>
          <w:szCs w:val="24"/>
        </w:rPr>
        <w:t>MPR</w:t>
      </w:r>
      <w:r>
        <w:rPr>
          <w:rFonts w:ascii="宋体" w:hAnsi="宋体" w:eastAsia="宋体" w:cs="宋体"/>
          <w:spacing w:val="2"/>
          <w:sz w:val="24"/>
          <w:szCs w:val="24"/>
        </w:rPr>
        <w:t>：厚度任意调节，厚度</w:t>
      </w:r>
      <w:r>
        <w:rPr>
          <w:rFonts w:ascii="宋体" w:hAnsi="宋体" w:eastAsia="宋体" w:cs="宋体"/>
          <w:spacing w:val="-55"/>
          <w:sz w:val="24"/>
          <w:szCs w:val="24"/>
        </w:rPr>
        <w:t xml:space="preserve"> </w:t>
      </w:r>
      <w:r>
        <w:rPr>
          <w:rFonts w:ascii="宋体" w:hAnsi="宋体" w:eastAsia="宋体" w:cs="宋体"/>
          <w:sz w:val="24"/>
          <w:szCs w:val="24"/>
        </w:rPr>
        <w:t>MPR</w:t>
      </w:r>
      <w:r>
        <w:rPr>
          <w:rFonts w:ascii="宋体" w:hAnsi="宋体" w:eastAsia="宋体" w:cs="宋体"/>
          <w:spacing w:val="-46"/>
          <w:sz w:val="24"/>
          <w:szCs w:val="24"/>
        </w:rPr>
        <w:t xml:space="preserve"> </w:t>
      </w:r>
      <w:r>
        <w:rPr>
          <w:rFonts w:ascii="宋体" w:hAnsi="宋体" w:eastAsia="宋体" w:cs="宋体"/>
          <w:spacing w:val="2"/>
          <w:sz w:val="24"/>
          <w:szCs w:val="24"/>
        </w:rPr>
        <w:t>支持</w:t>
      </w:r>
      <w:r>
        <w:rPr>
          <w:rFonts w:ascii="宋体" w:hAnsi="宋体" w:eastAsia="宋体" w:cs="宋体"/>
          <w:spacing w:val="-55"/>
          <w:sz w:val="24"/>
          <w:szCs w:val="24"/>
        </w:rPr>
        <w:t xml:space="preserve"> </w:t>
      </w:r>
      <w:r>
        <w:rPr>
          <w:rFonts w:ascii="宋体" w:hAnsi="宋体" w:eastAsia="宋体" w:cs="宋体"/>
          <w:sz w:val="24"/>
          <w:szCs w:val="24"/>
        </w:rPr>
        <w:t>MIP</w:t>
      </w:r>
      <w:r>
        <w:rPr>
          <w:rFonts w:ascii="宋体" w:hAnsi="宋体" w:eastAsia="宋体" w:cs="宋体"/>
          <w:spacing w:val="2"/>
          <w:sz w:val="24"/>
          <w:szCs w:val="24"/>
        </w:rPr>
        <w:t>、</w:t>
      </w:r>
      <w:r>
        <w:rPr>
          <w:rFonts w:ascii="宋体" w:hAnsi="宋体" w:eastAsia="宋体" w:cs="宋体"/>
          <w:sz w:val="24"/>
          <w:szCs w:val="24"/>
        </w:rPr>
        <w:t>MinIP</w:t>
      </w:r>
      <w:r>
        <w:rPr>
          <w:rFonts w:ascii="宋体" w:hAnsi="宋体" w:eastAsia="宋体" w:cs="宋体"/>
          <w:spacing w:val="2"/>
          <w:sz w:val="24"/>
          <w:szCs w:val="24"/>
        </w:rPr>
        <w:t>；任意角度</w:t>
      </w:r>
      <w:r>
        <w:rPr>
          <w:rFonts w:ascii="宋体" w:hAnsi="宋体" w:eastAsia="宋体" w:cs="宋体"/>
          <w:spacing w:val="1"/>
          <w:sz w:val="24"/>
          <w:szCs w:val="24"/>
        </w:rPr>
        <w:t>的斜切工具，实现了利用任</w:t>
      </w:r>
      <w:r>
        <w:rPr>
          <w:rFonts w:ascii="宋体" w:hAnsi="宋体" w:eastAsia="宋体" w:cs="宋体"/>
          <w:sz w:val="24"/>
          <w:szCs w:val="24"/>
        </w:rPr>
        <w:t xml:space="preserve"> </w:t>
      </w:r>
      <w:r>
        <w:rPr>
          <w:rFonts w:ascii="宋体" w:hAnsi="宋体" w:eastAsia="宋体" w:cs="宋体"/>
          <w:spacing w:val="-5"/>
          <w:sz w:val="24"/>
          <w:szCs w:val="24"/>
        </w:rPr>
        <w:t>意空间平面浏览数据。</w:t>
      </w:r>
    </w:p>
    <w:p w14:paraId="074FFAF7">
      <w:pPr>
        <w:spacing w:before="35" w:line="445" w:lineRule="auto"/>
        <w:ind w:left="41" w:right="170" w:firstLine="481"/>
        <w:rPr>
          <w:rFonts w:ascii="宋体" w:hAnsi="宋体" w:eastAsia="宋体" w:cs="宋体"/>
          <w:sz w:val="24"/>
          <w:szCs w:val="24"/>
        </w:rPr>
      </w:pPr>
      <w:r>
        <w:rPr>
          <w:rFonts w:ascii="宋体" w:hAnsi="宋体" w:eastAsia="宋体" w:cs="宋体"/>
          <w:spacing w:val="-3"/>
          <w:sz w:val="24"/>
          <w:szCs w:val="24"/>
        </w:rPr>
        <w:t>3.CPR：定义多条空间曲线进行曲面重建；选择曲面重建方向并可以进行</w:t>
      </w:r>
      <w:r>
        <w:rPr>
          <w:rFonts w:ascii="宋体" w:hAnsi="宋体" w:eastAsia="宋体" w:cs="宋体"/>
          <w:spacing w:val="-35"/>
          <w:sz w:val="24"/>
          <w:szCs w:val="24"/>
        </w:rPr>
        <w:t xml:space="preserve"> </w:t>
      </w:r>
      <w:r>
        <w:rPr>
          <w:rFonts w:ascii="宋体" w:hAnsi="宋体" w:eastAsia="宋体" w:cs="宋体"/>
          <w:spacing w:val="-3"/>
          <w:sz w:val="24"/>
          <w:szCs w:val="24"/>
        </w:rPr>
        <w:t>360</w:t>
      </w:r>
      <w:r>
        <w:rPr>
          <w:rFonts w:ascii="宋体" w:hAnsi="宋体" w:eastAsia="宋体" w:cs="宋体"/>
          <w:spacing w:val="-52"/>
          <w:sz w:val="24"/>
          <w:szCs w:val="24"/>
        </w:rPr>
        <w:t xml:space="preserve"> </w:t>
      </w:r>
      <w:r>
        <w:rPr>
          <w:rFonts w:ascii="宋体" w:hAnsi="宋体" w:eastAsia="宋体" w:cs="宋体"/>
          <w:spacing w:val="-3"/>
          <w:sz w:val="24"/>
          <w:szCs w:val="24"/>
        </w:rPr>
        <w:t>度旋转；对曲</w:t>
      </w:r>
      <w:r>
        <w:rPr>
          <w:rFonts w:ascii="宋体" w:hAnsi="宋体" w:eastAsia="宋体" w:cs="宋体"/>
          <w:sz w:val="24"/>
          <w:szCs w:val="24"/>
        </w:rPr>
        <w:t xml:space="preserve"> </w:t>
      </w:r>
      <w:r>
        <w:rPr>
          <w:rFonts w:ascii="宋体" w:hAnsi="宋体" w:eastAsia="宋体" w:cs="宋体"/>
          <w:spacing w:val="-3"/>
          <w:sz w:val="24"/>
          <w:szCs w:val="24"/>
        </w:rPr>
        <w:t>线进行编辑、反序、保存等操作。</w:t>
      </w:r>
    </w:p>
    <w:p w14:paraId="0D2FE474">
      <w:pPr>
        <w:spacing w:before="33" w:line="446" w:lineRule="auto"/>
        <w:ind w:left="77" w:right="170" w:firstLine="439"/>
        <w:rPr>
          <w:rFonts w:ascii="宋体" w:hAnsi="宋体" w:eastAsia="宋体" w:cs="宋体"/>
          <w:sz w:val="24"/>
          <w:szCs w:val="24"/>
        </w:rPr>
      </w:pPr>
      <w:r>
        <w:rPr>
          <w:rFonts w:ascii="宋体" w:hAnsi="宋体" w:eastAsia="宋体" w:cs="宋体"/>
          <w:spacing w:val="-2"/>
          <w:sz w:val="24"/>
          <w:szCs w:val="24"/>
        </w:rPr>
        <w:t>4.可视化：支持</w:t>
      </w:r>
      <w:r>
        <w:rPr>
          <w:rFonts w:ascii="宋体" w:hAnsi="宋体" w:eastAsia="宋体" w:cs="宋体"/>
          <w:spacing w:val="-57"/>
          <w:sz w:val="24"/>
          <w:szCs w:val="24"/>
        </w:rPr>
        <w:t xml:space="preserve"> </w:t>
      </w:r>
      <w:r>
        <w:rPr>
          <w:rFonts w:ascii="宋体" w:hAnsi="宋体" w:eastAsia="宋体" w:cs="宋体"/>
          <w:spacing w:val="-2"/>
          <w:sz w:val="24"/>
          <w:szCs w:val="24"/>
        </w:rPr>
        <w:t>VR、MIP、MinIP、AIP</w:t>
      </w:r>
      <w:r>
        <w:rPr>
          <w:rFonts w:ascii="宋体" w:hAnsi="宋体" w:eastAsia="宋体" w:cs="宋体"/>
          <w:spacing w:val="-28"/>
          <w:sz w:val="24"/>
          <w:szCs w:val="24"/>
        </w:rPr>
        <w:t xml:space="preserve"> </w:t>
      </w:r>
      <w:r>
        <w:rPr>
          <w:rFonts w:ascii="宋体" w:hAnsi="宋体" w:eastAsia="宋体" w:cs="宋体"/>
          <w:spacing w:val="-2"/>
          <w:sz w:val="24"/>
          <w:szCs w:val="24"/>
        </w:rPr>
        <w:t>四种显示方式；VR</w:t>
      </w:r>
      <w:r>
        <w:rPr>
          <w:rFonts w:ascii="宋体" w:hAnsi="宋体" w:eastAsia="宋体" w:cs="宋体"/>
          <w:spacing w:val="-31"/>
          <w:sz w:val="24"/>
          <w:szCs w:val="24"/>
        </w:rPr>
        <w:t xml:space="preserve"> </w:t>
      </w:r>
      <w:r>
        <w:rPr>
          <w:rFonts w:ascii="宋体" w:hAnsi="宋体" w:eastAsia="宋体" w:cs="宋体"/>
          <w:spacing w:val="-2"/>
          <w:sz w:val="24"/>
          <w:szCs w:val="24"/>
        </w:rPr>
        <w:t>的多种预设配置方案并支持用户</w:t>
      </w:r>
      <w:r>
        <w:rPr>
          <w:rFonts w:ascii="宋体" w:hAnsi="宋体" w:eastAsia="宋体" w:cs="宋体"/>
          <w:sz w:val="24"/>
          <w:szCs w:val="24"/>
        </w:rPr>
        <w:t xml:space="preserve"> </w:t>
      </w:r>
      <w:r>
        <w:rPr>
          <w:rFonts w:ascii="宋体" w:hAnsi="宋体" w:eastAsia="宋体" w:cs="宋体"/>
          <w:spacing w:val="-12"/>
          <w:sz w:val="24"/>
          <w:szCs w:val="24"/>
        </w:rPr>
        <w:t>自定义方案。</w:t>
      </w:r>
    </w:p>
    <w:p w14:paraId="67740F29">
      <w:pPr>
        <w:spacing w:before="34" w:line="445" w:lineRule="auto"/>
        <w:ind w:left="520" w:right="3930" w:firstLine="2"/>
        <w:rPr>
          <w:rFonts w:ascii="宋体" w:hAnsi="宋体" w:eastAsia="宋体" w:cs="宋体"/>
          <w:sz w:val="24"/>
          <w:szCs w:val="24"/>
        </w:rPr>
      </w:pPr>
      <w:r>
        <w:rPr>
          <w:rFonts w:ascii="宋体" w:hAnsi="宋体" w:eastAsia="宋体" w:cs="宋体"/>
          <w:spacing w:val="-3"/>
          <w:sz w:val="24"/>
          <w:szCs w:val="24"/>
        </w:rPr>
        <w:t>5.允许通过</w:t>
      </w:r>
      <w:r>
        <w:rPr>
          <w:rFonts w:ascii="宋体" w:hAnsi="宋体" w:eastAsia="宋体" w:cs="宋体"/>
          <w:spacing w:val="-55"/>
          <w:sz w:val="24"/>
          <w:szCs w:val="24"/>
        </w:rPr>
        <w:t xml:space="preserve"> </w:t>
      </w:r>
      <w:r>
        <w:rPr>
          <w:rFonts w:ascii="宋体" w:hAnsi="宋体" w:eastAsia="宋体" w:cs="宋体"/>
          <w:spacing w:val="-3"/>
          <w:sz w:val="24"/>
          <w:szCs w:val="24"/>
        </w:rPr>
        <w:t>DICOM</w:t>
      </w:r>
      <w:r>
        <w:rPr>
          <w:rFonts w:ascii="宋体" w:hAnsi="宋体" w:eastAsia="宋体" w:cs="宋体"/>
          <w:spacing w:val="-31"/>
          <w:sz w:val="24"/>
          <w:szCs w:val="24"/>
        </w:rPr>
        <w:t xml:space="preserve"> </w:t>
      </w:r>
      <w:r>
        <w:rPr>
          <w:rFonts w:ascii="宋体" w:hAnsi="宋体" w:eastAsia="宋体" w:cs="宋体"/>
          <w:spacing w:val="-3"/>
          <w:sz w:val="24"/>
          <w:szCs w:val="24"/>
        </w:rPr>
        <w:t>的方式直接共享</w:t>
      </w:r>
      <w:r>
        <w:rPr>
          <w:rFonts w:ascii="宋体" w:hAnsi="宋体" w:eastAsia="宋体" w:cs="宋体"/>
          <w:spacing w:val="-55"/>
          <w:sz w:val="24"/>
          <w:szCs w:val="24"/>
        </w:rPr>
        <w:t xml:space="preserve"> </w:t>
      </w:r>
      <w:r>
        <w:rPr>
          <w:rFonts w:ascii="宋体" w:hAnsi="宋体" w:eastAsia="宋体" w:cs="宋体"/>
          <w:spacing w:val="-3"/>
          <w:sz w:val="24"/>
          <w:szCs w:val="24"/>
        </w:rPr>
        <w:t>PACS</w:t>
      </w:r>
      <w:r>
        <w:rPr>
          <w:rFonts w:ascii="宋体" w:hAnsi="宋体" w:eastAsia="宋体" w:cs="宋体"/>
          <w:spacing w:val="-28"/>
          <w:sz w:val="24"/>
          <w:szCs w:val="24"/>
        </w:rPr>
        <w:t xml:space="preserve"> </w:t>
      </w:r>
      <w:r>
        <w:rPr>
          <w:rFonts w:ascii="宋体" w:hAnsi="宋体" w:eastAsia="宋体" w:cs="宋体"/>
          <w:spacing w:val="-3"/>
          <w:sz w:val="24"/>
          <w:szCs w:val="24"/>
        </w:rPr>
        <w:t>中的图</w:t>
      </w:r>
      <w:r>
        <w:rPr>
          <w:rFonts w:ascii="宋体" w:hAnsi="宋体" w:eastAsia="宋体" w:cs="宋体"/>
          <w:spacing w:val="-4"/>
          <w:sz w:val="24"/>
          <w:szCs w:val="24"/>
        </w:rPr>
        <w:t>像数据</w:t>
      </w:r>
      <w:r>
        <w:rPr>
          <w:rFonts w:ascii="宋体" w:hAnsi="宋体" w:eastAsia="宋体" w:cs="宋体"/>
          <w:sz w:val="24"/>
          <w:szCs w:val="24"/>
        </w:rPr>
        <w:t xml:space="preserve"> </w:t>
      </w:r>
      <w:r>
        <w:rPr>
          <w:rFonts w:ascii="宋体" w:hAnsi="宋体" w:eastAsia="宋体" w:cs="宋体"/>
          <w:spacing w:val="-2"/>
          <w:sz w:val="24"/>
          <w:szCs w:val="24"/>
        </w:rPr>
        <w:t>6.支持移动设备调阅</w:t>
      </w:r>
    </w:p>
    <w:p w14:paraId="21E799E8">
      <w:pPr>
        <w:spacing w:before="35" w:line="217" w:lineRule="auto"/>
        <w:ind w:left="47"/>
        <w:rPr>
          <w:rFonts w:ascii="仿宋" w:hAnsi="仿宋" w:eastAsia="仿宋" w:cs="仿宋"/>
          <w:sz w:val="24"/>
          <w:szCs w:val="24"/>
        </w:rPr>
      </w:pPr>
      <w:r>
        <w:rPr>
          <w:rFonts w:ascii="仿宋" w:hAnsi="仿宋" w:eastAsia="仿宋" w:cs="仿宋"/>
          <w:b/>
          <w:bCs/>
          <w:spacing w:val="-5"/>
          <w:sz w:val="24"/>
          <w:szCs w:val="24"/>
        </w:rPr>
        <w:t>2.8.5</w:t>
      </w:r>
      <w:r>
        <w:rPr>
          <w:rFonts w:ascii="仿宋" w:hAnsi="仿宋" w:eastAsia="仿宋" w:cs="仿宋"/>
          <w:spacing w:val="-51"/>
          <w:sz w:val="24"/>
          <w:szCs w:val="24"/>
        </w:rPr>
        <w:t xml:space="preserve"> </w:t>
      </w:r>
      <w:r>
        <w:rPr>
          <w:rFonts w:ascii="仿宋" w:hAnsi="仿宋" w:eastAsia="仿宋" w:cs="仿宋"/>
          <w:b/>
          <w:bCs/>
          <w:spacing w:val="-5"/>
          <w:sz w:val="24"/>
          <w:szCs w:val="24"/>
        </w:rPr>
        <w:t>其他系统接口</w:t>
      </w:r>
    </w:p>
    <w:p w14:paraId="0D7A1B98">
      <w:pPr>
        <w:pStyle w:val="2"/>
        <w:spacing w:line="352" w:lineRule="auto"/>
      </w:pPr>
    </w:p>
    <w:p w14:paraId="77EE0FE3">
      <w:pPr>
        <w:spacing w:before="79" w:line="219" w:lineRule="auto"/>
        <w:ind w:left="956"/>
        <w:rPr>
          <w:rFonts w:ascii="宋体" w:hAnsi="宋体" w:eastAsia="宋体" w:cs="宋体"/>
          <w:sz w:val="24"/>
          <w:szCs w:val="24"/>
        </w:rPr>
      </w:pPr>
      <w:r>
        <w:rPr>
          <w:rFonts w:ascii="宋体" w:hAnsi="宋体" w:eastAsia="宋体" w:cs="宋体"/>
          <w:spacing w:val="-2"/>
          <w:sz w:val="24"/>
          <w:szCs w:val="24"/>
        </w:rPr>
        <w:t>1. HIS</w:t>
      </w:r>
      <w:r>
        <w:rPr>
          <w:rFonts w:ascii="宋体" w:hAnsi="宋体" w:eastAsia="宋体" w:cs="宋体"/>
          <w:spacing w:val="-40"/>
          <w:sz w:val="24"/>
          <w:szCs w:val="24"/>
        </w:rPr>
        <w:t xml:space="preserve"> </w:t>
      </w:r>
      <w:r>
        <w:rPr>
          <w:rFonts w:ascii="宋体" w:hAnsi="宋体" w:eastAsia="宋体" w:cs="宋体"/>
          <w:spacing w:val="-2"/>
          <w:sz w:val="24"/>
          <w:szCs w:val="24"/>
        </w:rPr>
        <w:t>医技确费接口，叫号系统接口，自助胶片打印机接口互联网移动影</w:t>
      </w:r>
      <w:r>
        <w:rPr>
          <w:rFonts w:ascii="宋体" w:hAnsi="宋体" w:eastAsia="宋体" w:cs="宋体"/>
          <w:spacing w:val="-3"/>
          <w:sz w:val="24"/>
          <w:szCs w:val="24"/>
        </w:rPr>
        <w:t>像系统。</w:t>
      </w:r>
    </w:p>
    <w:p w14:paraId="04391D6A">
      <w:pPr>
        <w:spacing w:before="311" w:line="220" w:lineRule="auto"/>
        <w:ind w:left="941"/>
        <w:rPr>
          <w:rFonts w:ascii="宋体" w:hAnsi="宋体" w:eastAsia="宋体" w:cs="宋体"/>
          <w:sz w:val="24"/>
          <w:szCs w:val="24"/>
        </w:rPr>
      </w:pPr>
      <w:r>
        <w:rPr>
          <w:rFonts w:ascii="宋体" w:hAnsi="宋体" w:eastAsia="宋体" w:cs="宋体"/>
          <w:spacing w:val="-2"/>
          <w:sz w:val="24"/>
          <w:szCs w:val="24"/>
        </w:rPr>
        <w:t>2. 集成平台系统，以及其他与医院相关的所有系统的接口。</w:t>
      </w:r>
    </w:p>
    <w:p w14:paraId="502BD974">
      <w:pPr>
        <w:spacing w:before="311" w:line="217" w:lineRule="auto"/>
        <w:ind w:left="47"/>
        <w:rPr>
          <w:rFonts w:ascii="仿宋" w:hAnsi="仿宋" w:eastAsia="仿宋" w:cs="仿宋"/>
          <w:sz w:val="24"/>
          <w:szCs w:val="24"/>
        </w:rPr>
      </w:pPr>
      <w:r>
        <w:rPr>
          <w:rFonts w:ascii="仿宋" w:hAnsi="仿宋" w:eastAsia="仿宋" w:cs="仿宋"/>
          <w:b/>
          <w:bCs/>
          <w:spacing w:val="-6"/>
          <w:sz w:val="24"/>
          <w:szCs w:val="24"/>
        </w:rPr>
        <w:t>2.8.6</w:t>
      </w:r>
      <w:r>
        <w:rPr>
          <w:rFonts w:ascii="仿宋" w:hAnsi="仿宋" w:eastAsia="仿宋" w:cs="仿宋"/>
          <w:spacing w:val="-33"/>
          <w:sz w:val="24"/>
          <w:szCs w:val="24"/>
        </w:rPr>
        <w:t xml:space="preserve"> </w:t>
      </w:r>
      <w:r>
        <w:rPr>
          <w:rFonts w:ascii="仿宋" w:hAnsi="仿宋" w:eastAsia="仿宋" w:cs="仿宋"/>
          <w:b/>
          <w:bCs/>
          <w:spacing w:val="-6"/>
          <w:sz w:val="24"/>
          <w:szCs w:val="24"/>
        </w:rPr>
        <w:t>移动影像办公系统</w:t>
      </w:r>
    </w:p>
    <w:p w14:paraId="08754E1F">
      <w:pPr>
        <w:pStyle w:val="2"/>
        <w:spacing w:line="352" w:lineRule="auto"/>
      </w:pPr>
    </w:p>
    <w:p w14:paraId="1D39F34C">
      <w:pPr>
        <w:spacing w:before="79" w:line="220" w:lineRule="auto"/>
        <w:ind w:left="56"/>
        <w:rPr>
          <w:rFonts w:ascii="宋体" w:hAnsi="宋体" w:eastAsia="宋体" w:cs="宋体"/>
          <w:sz w:val="24"/>
          <w:szCs w:val="24"/>
        </w:rPr>
      </w:pPr>
      <w:r>
        <w:rPr>
          <w:rFonts w:ascii="宋体" w:hAnsi="宋体" w:eastAsia="宋体" w:cs="宋体"/>
          <w:spacing w:val="-3"/>
          <w:sz w:val="24"/>
          <w:szCs w:val="24"/>
        </w:rPr>
        <w:t>1、移动终端环境</w:t>
      </w:r>
    </w:p>
    <w:p w14:paraId="41211D12">
      <w:pPr>
        <w:spacing w:before="311" w:line="445" w:lineRule="auto"/>
        <w:ind w:left="49" w:right="170" w:firstLine="469"/>
        <w:rPr>
          <w:rFonts w:ascii="宋体" w:hAnsi="宋体" w:eastAsia="宋体" w:cs="宋体"/>
          <w:sz w:val="24"/>
          <w:szCs w:val="24"/>
        </w:rPr>
      </w:pPr>
      <w:r>
        <w:rPr>
          <w:rFonts w:ascii="宋体" w:hAnsi="宋体" w:eastAsia="宋体" w:cs="宋体"/>
          <w:sz w:val="24"/>
          <w:szCs w:val="24"/>
        </w:rPr>
        <w:t>移动阅片服务支持</w:t>
      </w:r>
      <w:r>
        <w:rPr>
          <w:rFonts w:ascii="宋体" w:hAnsi="宋体" w:eastAsia="宋体" w:cs="宋体"/>
          <w:spacing w:val="-42"/>
          <w:sz w:val="24"/>
          <w:szCs w:val="24"/>
        </w:rPr>
        <w:t xml:space="preserve"> </w:t>
      </w:r>
      <w:r>
        <w:rPr>
          <w:rFonts w:ascii="宋体" w:hAnsi="宋体" w:eastAsia="宋体" w:cs="宋体"/>
          <w:sz w:val="24"/>
          <w:szCs w:val="24"/>
        </w:rPr>
        <w:t>Windows、Android、iOS</w:t>
      </w:r>
      <w:r>
        <w:rPr>
          <w:rFonts w:ascii="宋体" w:hAnsi="宋体" w:eastAsia="宋体" w:cs="宋体"/>
          <w:spacing w:val="-50"/>
          <w:sz w:val="24"/>
          <w:szCs w:val="24"/>
        </w:rPr>
        <w:t xml:space="preserve"> </w:t>
      </w:r>
      <w:r>
        <w:rPr>
          <w:rFonts w:ascii="宋体" w:hAnsi="宋体" w:eastAsia="宋体" w:cs="宋体"/>
          <w:sz w:val="24"/>
          <w:szCs w:val="24"/>
        </w:rPr>
        <w:t xml:space="preserve">操作系统，支持智能手机、电脑、平台电脑等 </w:t>
      </w:r>
      <w:r>
        <w:rPr>
          <w:rFonts w:ascii="宋体" w:hAnsi="宋体" w:eastAsia="宋体" w:cs="宋体"/>
          <w:spacing w:val="-5"/>
          <w:sz w:val="24"/>
          <w:szCs w:val="24"/>
        </w:rPr>
        <w:t>多终端硬件应用影像浏览。</w:t>
      </w:r>
    </w:p>
    <w:p w14:paraId="1F371CBC">
      <w:pPr>
        <w:spacing w:before="34" w:line="220" w:lineRule="auto"/>
        <w:ind w:left="41"/>
        <w:rPr>
          <w:rFonts w:ascii="宋体" w:hAnsi="宋体" w:eastAsia="宋体" w:cs="宋体"/>
          <w:sz w:val="24"/>
          <w:szCs w:val="24"/>
        </w:rPr>
      </w:pPr>
      <w:r>
        <w:rPr>
          <w:rFonts w:ascii="宋体" w:hAnsi="宋体" w:eastAsia="宋体" w:cs="宋体"/>
          <w:spacing w:val="-2"/>
          <w:sz w:val="24"/>
          <w:szCs w:val="24"/>
        </w:rPr>
        <w:t>2、访问入口集成</w:t>
      </w:r>
    </w:p>
    <w:p w14:paraId="638FD49D">
      <w:pPr>
        <w:pStyle w:val="2"/>
        <w:spacing w:line="330" w:lineRule="auto"/>
      </w:pPr>
    </w:p>
    <w:p w14:paraId="423E55C6">
      <w:pPr>
        <w:pStyle w:val="2"/>
        <w:spacing w:line="331" w:lineRule="auto"/>
      </w:pPr>
    </w:p>
    <w:p w14:paraId="4F3F30FA">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69                                </w:t>
      </w:r>
      <w:r>
        <w:rPr>
          <w:rFonts w:ascii="宋体" w:hAnsi="宋体" w:eastAsia="宋体" w:cs="宋体"/>
          <w:b/>
          <w:bCs/>
          <w:i/>
          <w:iCs/>
          <w:spacing w:val="-3"/>
          <w:sz w:val="19"/>
          <w:szCs w:val="19"/>
        </w:rPr>
        <w:t>伊犁州公共资源交易中心</w:t>
      </w:r>
    </w:p>
    <w:p w14:paraId="1DB64D5E">
      <w:pPr>
        <w:spacing w:line="160" w:lineRule="auto"/>
        <w:rPr>
          <w:rFonts w:ascii="宋体" w:hAnsi="宋体" w:eastAsia="宋体" w:cs="宋体"/>
          <w:sz w:val="19"/>
          <w:szCs w:val="19"/>
        </w:rPr>
        <w:sectPr>
          <w:headerReference r:id="rId60" w:type="default"/>
          <w:footerReference r:id="rId61" w:type="default"/>
          <w:pgSz w:w="11905" w:h="16839"/>
          <w:pgMar w:top="1136" w:right="688" w:bottom="937" w:left="1136" w:header="854" w:footer="923" w:gutter="0"/>
          <w:cols w:space="720" w:num="1"/>
        </w:sectPr>
      </w:pPr>
    </w:p>
    <w:p w14:paraId="1DCA80D1">
      <w:pPr>
        <w:pStyle w:val="2"/>
        <w:spacing w:line="380" w:lineRule="auto"/>
      </w:pPr>
    </w:p>
    <w:p w14:paraId="09E26D9B">
      <w:pPr>
        <w:spacing w:before="78" w:line="445" w:lineRule="auto"/>
        <w:ind w:left="40" w:right="44" w:firstLine="478"/>
        <w:rPr>
          <w:rFonts w:ascii="宋体" w:hAnsi="宋体" w:eastAsia="宋体" w:cs="宋体"/>
          <w:sz w:val="24"/>
          <w:szCs w:val="24"/>
        </w:rPr>
      </w:pPr>
      <w:r>
        <w:rPr>
          <w:rFonts w:ascii="宋体" w:hAnsi="宋体" w:eastAsia="宋体" w:cs="宋体"/>
          <w:spacing w:val="2"/>
          <w:sz w:val="24"/>
          <w:szCs w:val="24"/>
        </w:rPr>
        <w:t>配合院方将移动影像阅片服务入口集成与医院</w:t>
      </w:r>
      <w:r>
        <w:rPr>
          <w:rFonts w:ascii="宋体" w:hAnsi="宋体" w:eastAsia="宋体" w:cs="宋体"/>
          <w:spacing w:val="-55"/>
          <w:sz w:val="24"/>
          <w:szCs w:val="24"/>
        </w:rPr>
        <w:t xml:space="preserve"> </w:t>
      </w:r>
      <w:r>
        <w:rPr>
          <w:rFonts w:ascii="宋体" w:hAnsi="宋体" w:eastAsia="宋体" w:cs="宋体"/>
          <w:sz w:val="24"/>
          <w:szCs w:val="24"/>
        </w:rPr>
        <w:t>APP</w:t>
      </w:r>
      <w:r>
        <w:rPr>
          <w:rFonts w:ascii="宋体" w:hAnsi="宋体" w:eastAsia="宋体" w:cs="宋体"/>
          <w:spacing w:val="2"/>
          <w:sz w:val="24"/>
          <w:szCs w:val="24"/>
        </w:rPr>
        <w:t>、微信公众号或小程序等方</w:t>
      </w:r>
      <w:r>
        <w:rPr>
          <w:rFonts w:ascii="宋体" w:hAnsi="宋体" w:eastAsia="宋体" w:cs="宋体"/>
          <w:spacing w:val="1"/>
          <w:sz w:val="24"/>
          <w:szCs w:val="24"/>
        </w:rPr>
        <w:t>式，院内医</w:t>
      </w:r>
      <w:r>
        <w:rPr>
          <w:rFonts w:ascii="宋体" w:hAnsi="宋体" w:eastAsia="宋体" w:cs="宋体"/>
          <w:sz w:val="24"/>
          <w:szCs w:val="24"/>
        </w:rPr>
        <w:t xml:space="preserve"> </w:t>
      </w:r>
      <w:r>
        <w:rPr>
          <w:rFonts w:ascii="宋体" w:hAnsi="宋体" w:eastAsia="宋体" w:cs="宋体"/>
          <w:spacing w:val="-2"/>
          <w:sz w:val="24"/>
          <w:szCs w:val="24"/>
        </w:rPr>
        <w:t>生可随时通过院方要求接入方式进入移动阅片服务。</w:t>
      </w:r>
    </w:p>
    <w:p w14:paraId="2F538C96">
      <w:pPr>
        <w:spacing w:before="34" w:line="220" w:lineRule="auto"/>
        <w:ind w:left="43"/>
        <w:rPr>
          <w:rFonts w:ascii="宋体" w:hAnsi="宋体" w:eastAsia="宋体" w:cs="宋体"/>
          <w:sz w:val="24"/>
          <w:szCs w:val="24"/>
        </w:rPr>
      </w:pPr>
      <w:r>
        <w:rPr>
          <w:rFonts w:ascii="宋体" w:hAnsi="宋体" w:eastAsia="宋体" w:cs="宋体"/>
          <w:spacing w:val="-2"/>
          <w:sz w:val="24"/>
          <w:szCs w:val="24"/>
        </w:rPr>
        <w:t>3、医生注册审核</w:t>
      </w:r>
    </w:p>
    <w:p w14:paraId="43F000E1">
      <w:pPr>
        <w:spacing w:before="309" w:line="445" w:lineRule="auto"/>
        <w:ind w:left="38" w:right="64" w:firstLine="480"/>
        <w:rPr>
          <w:rFonts w:ascii="宋体" w:hAnsi="宋体" w:eastAsia="宋体" w:cs="宋体"/>
          <w:sz w:val="24"/>
          <w:szCs w:val="24"/>
        </w:rPr>
      </w:pPr>
      <w:r>
        <w:rPr>
          <w:rFonts w:ascii="宋体" w:hAnsi="宋体" w:eastAsia="宋体" w:cs="宋体"/>
          <w:sz w:val="24"/>
          <w:szCs w:val="24"/>
        </w:rPr>
        <w:t>提供医生用户注册与审核服务，首次登陆用户均需注册添加医生个人信息</w:t>
      </w:r>
      <w:r>
        <w:rPr>
          <w:rFonts w:ascii="宋体" w:hAnsi="宋体" w:eastAsia="宋体" w:cs="宋体"/>
          <w:spacing w:val="-1"/>
          <w:sz w:val="24"/>
          <w:szCs w:val="24"/>
        </w:rPr>
        <w:t>，例如：姓名、</w:t>
      </w:r>
      <w:r>
        <w:rPr>
          <w:rFonts w:ascii="宋体" w:hAnsi="宋体" w:eastAsia="宋体" w:cs="宋体"/>
          <w:sz w:val="24"/>
          <w:szCs w:val="24"/>
        </w:rPr>
        <w:t xml:space="preserve"> </w:t>
      </w:r>
      <w:r>
        <w:rPr>
          <w:rFonts w:ascii="宋体" w:hAnsi="宋体" w:eastAsia="宋体" w:cs="宋体"/>
          <w:spacing w:val="-1"/>
          <w:sz w:val="24"/>
          <w:szCs w:val="24"/>
        </w:rPr>
        <w:t>手机号、所属医院、所属科室以及职称、工号等信息，注册提交</w:t>
      </w:r>
      <w:r>
        <w:rPr>
          <w:rFonts w:ascii="宋体" w:hAnsi="宋体" w:eastAsia="宋体" w:cs="宋体"/>
          <w:spacing w:val="-2"/>
          <w:sz w:val="24"/>
          <w:szCs w:val="24"/>
        </w:rPr>
        <w:t>后等候审核通过。</w:t>
      </w:r>
    </w:p>
    <w:p w14:paraId="1044DA21">
      <w:pPr>
        <w:spacing w:before="34" w:line="220" w:lineRule="auto"/>
        <w:ind w:left="37"/>
        <w:rPr>
          <w:rFonts w:ascii="宋体" w:hAnsi="宋体" w:eastAsia="宋体" w:cs="宋体"/>
          <w:sz w:val="24"/>
          <w:szCs w:val="24"/>
        </w:rPr>
      </w:pPr>
      <w:r>
        <w:rPr>
          <w:rFonts w:ascii="宋体" w:hAnsi="宋体" w:eastAsia="宋体" w:cs="宋体"/>
          <w:spacing w:val="-2"/>
          <w:sz w:val="24"/>
          <w:szCs w:val="24"/>
        </w:rPr>
        <w:t>4、筛选检索</w:t>
      </w:r>
    </w:p>
    <w:p w14:paraId="23D1FA03">
      <w:pPr>
        <w:spacing w:before="310" w:line="219" w:lineRule="auto"/>
        <w:ind w:left="519"/>
        <w:rPr>
          <w:rFonts w:ascii="宋体" w:hAnsi="宋体" w:eastAsia="宋体" w:cs="宋体"/>
          <w:sz w:val="24"/>
          <w:szCs w:val="24"/>
        </w:rPr>
      </w:pPr>
      <w:r>
        <w:rPr>
          <w:rFonts w:ascii="宋体" w:hAnsi="宋体" w:eastAsia="宋体" w:cs="宋体"/>
          <w:spacing w:val="-2"/>
          <w:sz w:val="24"/>
          <w:szCs w:val="24"/>
        </w:rPr>
        <w:t>提供筛选检索条件，支持精准检索和模糊检索双模式。</w:t>
      </w:r>
    </w:p>
    <w:p w14:paraId="382CBB82">
      <w:pPr>
        <w:spacing w:before="311" w:line="219" w:lineRule="auto"/>
        <w:ind w:left="39"/>
        <w:rPr>
          <w:rFonts w:ascii="宋体" w:hAnsi="宋体" w:eastAsia="宋体" w:cs="宋体"/>
          <w:sz w:val="24"/>
          <w:szCs w:val="24"/>
        </w:rPr>
      </w:pPr>
      <w:r>
        <w:rPr>
          <w:rFonts w:ascii="宋体" w:hAnsi="宋体" w:eastAsia="宋体" w:cs="宋体"/>
          <w:spacing w:val="-3"/>
          <w:sz w:val="24"/>
          <w:szCs w:val="24"/>
        </w:rPr>
        <w:t>支持精准检索需录入：患者姓名、患者</w:t>
      </w:r>
      <w:r>
        <w:rPr>
          <w:rFonts w:ascii="宋体" w:hAnsi="宋体" w:eastAsia="宋体" w:cs="宋体"/>
          <w:spacing w:val="-30"/>
          <w:sz w:val="24"/>
          <w:szCs w:val="24"/>
        </w:rPr>
        <w:t xml:space="preserve"> </w:t>
      </w:r>
      <w:r>
        <w:rPr>
          <w:rFonts w:ascii="宋体" w:hAnsi="宋体" w:eastAsia="宋体" w:cs="宋体"/>
          <w:spacing w:val="-3"/>
          <w:sz w:val="24"/>
          <w:szCs w:val="24"/>
        </w:rPr>
        <w:t>ID</w:t>
      </w:r>
      <w:r>
        <w:rPr>
          <w:rFonts w:ascii="宋体" w:hAnsi="宋体" w:eastAsia="宋体" w:cs="宋体"/>
          <w:spacing w:val="-45"/>
          <w:sz w:val="24"/>
          <w:szCs w:val="24"/>
        </w:rPr>
        <w:t xml:space="preserve"> </w:t>
      </w:r>
      <w:r>
        <w:rPr>
          <w:rFonts w:ascii="宋体" w:hAnsi="宋体" w:eastAsia="宋体" w:cs="宋体"/>
          <w:spacing w:val="-3"/>
          <w:sz w:val="24"/>
          <w:szCs w:val="24"/>
        </w:rPr>
        <w:t>号查询影像检查信息。</w:t>
      </w:r>
    </w:p>
    <w:p w14:paraId="23308581">
      <w:pPr>
        <w:spacing w:before="311" w:line="220" w:lineRule="auto"/>
        <w:ind w:left="39"/>
        <w:rPr>
          <w:rFonts w:ascii="宋体" w:hAnsi="宋体" w:eastAsia="宋体" w:cs="宋体"/>
          <w:sz w:val="24"/>
          <w:szCs w:val="24"/>
        </w:rPr>
      </w:pPr>
      <w:r>
        <w:rPr>
          <w:rFonts w:ascii="宋体" w:hAnsi="宋体" w:eastAsia="宋体" w:cs="宋体"/>
          <w:spacing w:val="-1"/>
          <w:sz w:val="24"/>
          <w:szCs w:val="24"/>
        </w:rPr>
        <w:t>支持模糊查询条件可根据选择：检查设备类型、诊断状态、日期范围等条件进行</w:t>
      </w:r>
      <w:r>
        <w:rPr>
          <w:rFonts w:ascii="宋体" w:hAnsi="宋体" w:eastAsia="宋体" w:cs="宋体"/>
          <w:spacing w:val="-2"/>
          <w:sz w:val="24"/>
          <w:szCs w:val="24"/>
        </w:rPr>
        <w:t>检索查询。</w:t>
      </w:r>
    </w:p>
    <w:p w14:paraId="7E632389">
      <w:pPr>
        <w:spacing w:before="310" w:line="220" w:lineRule="auto"/>
        <w:ind w:left="43"/>
        <w:rPr>
          <w:rFonts w:ascii="宋体" w:hAnsi="宋体" w:eastAsia="宋体" w:cs="宋体"/>
          <w:sz w:val="24"/>
          <w:szCs w:val="24"/>
        </w:rPr>
      </w:pPr>
      <w:r>
        <w:rPr>
          <w:rFonts w:ascii="宋体" w:hAnsi="宋体" w:eastAsia="宋体" w:cs="宋体"/>
          <w:spacing w:val="-2"/>
          <w:sz w:val="24"/>
          <w:szCs w:val="24"/>
        </w:rPr>
        <w:t>5、患者信息列表</w:t>
      </w:r>
    </w:p>
    <w:p w14:paraId="442CB485">
      <w:pPr>
        <w:spacing w:before="311" w:line="445" w:lineRule="auto"/>
        <w:ind w:left="48" w:right="29" w:firstLine="470"/>
        <w:rPr>
          <w:rFonts w:ascii="宋体" w:hAnsi="宋体" w:eastAsia="宋体" w:cs="宋体"/>
          <w:sz w:val="24"/>
          <w:szCs w:val="24"/>
        </w:rPr>
      </w:pPr>
      <w:r>
        <w:rPr>
          <w:rFonts w:ascii="宋体" w:hAnsi="宋体" w:eastAsia="宋体" w:cs="宋体"/>
          <w:spacing w:val="1"/>
          <w:sz w:val="24"/>
          <w:szCs w:val="24"/>
        </w:rPr>
        <w:t>支持查询并显示全部影像科室数据，包含放射、超声、内镜；可</w:t>
      </w:r>
      <w:r>
        <w:rPr>
          <w:rFonts w:ascii="宋体" w:hAnsi="宋体" w:eastAsia="宋体" w:cs="宋体"/>
          <w:sz w:val="24"/>
          <w:szCs w:val="24"/>
        </w:rPr>
        <w:t xml:space="preserve">查询全部患者影像检查信 </w:t>
      </w:r>
      <w:r>
        <w:rPr>
          <w:rFonts w:ascii="宋体" w:hAnsi="宋体" w:eastAsia="宋体" w:cs="宋体"/>
          <w:spacing w:val="-2"/>
          <w:sz w:val="24"/>
          <w:szCs w:val="24"/>
        </w:rPr>
        <w:t>息和列表，根据设备类型、日期范围、姓名、检查状态等进行排序显示与浏览。</w:t>
      </w:r>
    </w:p>
    <w:p w14:paraId="56061B8E">
      <w:pPr>
        <w:spacing w:before="34" w:line="220" w:lineRule="auto"/>
        <w:ind w:left="40"/>
        <w:rPr>
          <w:rFonts w:ascii="宋体" w:hAnsi="宋体" w:eastAsia="宋体" w:cs="宋体"/>
          <w:sz w:val="24"/>
          <w:szCs w:val="24"/>
        </w:rPr>
      </w:pPr>
      <w:r>
        <w:rPr>
          <w:rFonts w:ascii="宋体" w:hAnsi="宋体" w:eastAsia="宋体" w:cs="宋体"/>
          <w:spacing w:val="-2"/>
          <w:sz w:val="24"/>
          <w:szCs w:val="24"/>
        </w:rPr>
        <w:t>6、患者检查信息</w:t>
      </w:r>
    </w:p>
    <w:p w14:paraId="1766B7FC">
      <w:pPr>
        <w:spacing w:before="311" w:line="449" w:lineRule="auto"/>
        <w:ind w:left="39" w:right="29" w:firstLine="490"/>
        <w:rPr>
          <w:rFonts w:ascii="宋体" w:hAnsi="宋体" w:eastAsia="宋体" w:cs="宋体"/>
          <w:sz w:val="24"/>
          <w:szCs w:val="24"/>
        </w:rPr>
      </w:pPr>
      <w:r>
        <w:rPr>
          <w:rFonts w:ascii="宋体" w:hAnsi="宋体" w:eastAsia="宋体" w:cs="宋体"/>
          <w:sz w:val="24"/>
          <w:szCs w:val="24"/>
        </w:rPr>
        <w:t>患者详情支持显示患者基本检查信息、报告信息、影像图片信息预览等；患者基本信息显</w:t>
      </w:r>
      <w:r>
        <w:rPr>
          <w:rFonts w:ascii="宋体" w:hAnsi="宋体" w:eastAsia="宋体" w:cs="宋体"/>
          <w:spacing w:val="17"/>
          <w:sz w:val="24"/>
          <w:szCs w:val="24"/>
        </w:rPr>
        <w:t xml:space="preserve"> </w:t>
      </w:r>
      <w:r>
        <w:rPr>
          <w:rFonts w:ascii="宋体" w:hAnsi="宋体" w:eastAsia="宋体" w:cs="宋体"/>
          <w:spacing w:val="1"/>
          <w:sz w:val="24"/>
          <w:szCs w:val="24"/>
        </w:rPr>
        <w:t>示区分患者类型，如：住院、门诊、体检患者等；支持显示患</w:t>
      </w:r>
      <w:r>
        <w:rPr>
          <w:rFonts w:ascii="宋体" w:hAnsi="宋体" w:eastAsia="宋体" w:cs="宋体"/>
          <w:sz w:val="24"/>
          <w:szCs w:val="24"/>
        </w:rPr>
        <w:t xml:space="preserve">者影像检查、报告完成等时间； </w:t>
      </w:r>
      <w:r>
        <w:rPr>
          <w:rFonts w:ascii="宋体" w:hAnsi="宋体" w:eastAsia="宋体" w:cs="宋体"/>
          <w:spacing w:val="-3"/>
          <w:sz w:val="24"/>
          <w:szCs w:val="24"/>
        </w:rPr>
        <w:t>支持点击查看影像、查看报告详细信息。</w:t>
      </w:r>
    </w:p>
    <w:p w14:paraId="7D926203">
      <w:pPr>
        <w:spacing w:before="36" w:line="220" w:lineRule="auto"/>
        <w:ind w:left="44"/>
        <w:rPr>
          <w:rFonts w:ascii="宋体" w:hAnsi="宋体" w:eastAsia="宋体" w:cs="宋体"/>
          <w:sz w:val="24"/>
          <w:szCs w:val="24"/>
        </w:rPr>
      </w:pPr>
      <w:r>
        <w:rPr>
          <w:rFonts w:ascii="宋体" w:hAnsi="宋体" w:eastAsia="宋体" w:cs="宋体"/>
          <w:spacing w:val="-3"/>
          <w:sz w:val="24"/>
          <w:szCs w:val="24"/>
        </w:rPr>
        <w:t>7、影像调阅</w:t>
      </w:r>
    </w:p>
    <w:p w14:paraId="23237DB4">
      <w:pPr>
        <w:spacing w:before="310" w:line="219" w:lineRule="auto"/>
        <w:ind w:left="519"/>
        <w:rPr>
          <w:rFonts w:ascii="宋体" w:hAnsi="宋体" w:eastAsia="宋体" w:cs="宋体"/>
          <w:sz w:val="24"/>
          <w:szCs w:val="24"/>
        </w:rPr>
      </w:pPr>
      <w:r>
        <w:rPr>
          <w:rFonts w:ascii="宋体" w:hAnsi="宋体" w:eastAsia="宋体" w:cs="宋体"/>
          <w:spacing w:val="-3"/>
          <w:sz w:val="24"/>
          <w:szCs w:val="24"/>
        </w:rPr>
        <w:t>提供患者全序列影像查看，支持调阅原始</w:t>
      </w:r>
      <w:r>
        <w:rPr>
          <w:rFonts w:ascii="宋体" w:hAnsi="宋体" w:eastAsia="宋体" w:cs="宋体"/>
          <w:spacing w:val="-38"/>
          <w:sz w:val="24"/>
          <w:szCs w:val="24"/>
        </w:rPr>
        <w:t xml:space="preserve"> </w:t>
      </w:r>
      <w:r>
        <w:rPr>
          <w:rFonts w:ascii="宋体" w:hAnsi="宋体" w:eastAsia="宋体" w:cs="宋体"/>
          <w:spacing w:val="-3"/>
          <w:sz w:val="24"/>
          <w:szCs w:val="24"/>
        </w:rPr>
        <w:t>DICOM</w:t>
      </w:r>
      <w:r>
        <w:rPr>
          <w:rFonts w:ascii="宋体" w:hAnsi="宋体" w:eastAsia="宋体" w:cs="宋体"/>
          <w:spacing w:val="-50"/>
          <w:sz w:val="24"/>
          <w:szCs w:val="24"/>
        </w:rPr>
        <w:t xml:space="preserve"> </w:t>
      </w:r>
      <w:r>
        <w:rPr>
          <w:rFonts w:ascii="宋体" w:hAnsi="宋体" w:eastAsia="宋体" w:cs="宋体"/>
          <w:spacing w:val="-3"/>
          <w:sz w:val="24"/>
          <w:szCs w:val="24"/>
        </w:rPr>
        <w:t>影像；</w:t>
      </w:r>
    </w:p>
    <w:p w14:paraId="3AED7CC0">
      <w:pPr>
        <w:spacing w:before="312" w:line="445" w:lineRule="auto"/>
        <w:ind w:left="42" w:right="29" w:hanging="2"/>
        <w:rPr>
          <w:rFonts w:ascii="宋体" w:hAnsi="宋体" w:eastAsia="宋体" w:cs="宋体"/>
          <w:sz w:val="24"/>
          <w:szCs w:val="24"/>
        </w:rPr>
      </w:pPr>
      <w:r>
        <w:rPr>
          <w:rFonts w:ascii="宋体" w:hAnsi="宋体" w:eastAsia="宋体" w:cs="宋体"/>
          <w:sz w:val="24"/>
          <w:szCs w:val="24"/>
        </w:rPr>
        <w:t>可显示序列与图像布局与分格，支持多种</w:t>
      </w:r>
      <w:r>
        <w:rPr>
          <w:rFonts w:ascii="宋体" w:hAnsi="宋体" w:eastAsia="宋体" w:cs="宋体"/>
          <w:spacing w:val="-43"/>
          <w:sz w:val="24"/>
          <w:szCs w:val="24"/>
        </w:rPr>
        <w:t xml:space="preserve"> </w:t>
      </w:r>
      <w:r>
        <w:rPr>
          <w:rFonts w:ascii="宋体" w:hAnsi="宋体" w:eastAsia="宋体" w:cs="宋体"/>
          <w:sz w:val="24"/>
          <w:szCs w:val="24"/>
        </w:rPr>
        <w:t>N*N</w:t>
      </w:r>
      <w:r>
        <w:rPr>
          <w:rFonts w:ascii="宋体" w:hAnsi="宋体" w:eastAsia="宋体" w:cs="宋体"/>
          <w:spacing w:val="-50"/>
          <w:sz w:val="24"/>
          <w:szCs w:val="24"/>
        </w:rPr>
        <w:t xml:space="preserve"> </w:t>
      </w:r>
      <w:r>
        <w:rPr>
          <w:rFonts w:ascii="宋体" w:hAnsi="宋体" w:eastAsia="宋体" w:cs="宋体"/>
          <w:sz w:val="24"/>
          <w:szCs w:val="24"/>
        </w:rPr>
        <w:t xml:space="preserve">样式影像序列布局与图像分格，可显示更多的序 </w:t>
      </w:r>
      <w:r>
        <w:rPr>
          <w:rFonts w:ascii="宋体" w:hAnsi="宋体" w:eastAsia="宋体" w:cs="宋体"/>
          <w:spacing w:val="-12"/>
          <w:sz w:val="24"/>
          <w:szCs w:val="24"/>
        </w:rPr>
        <w:t>列和影像；</w:t>
      </w:r>
    </w:p>
    <w:p w14:paraId="6E4B2ECC">
      <w:pPr>
        <w:spacing w:before="34" w:line="220" w:lineRule="auto"/>
        <w:ind w:left="39"/>
        <w:rPr>
          <w:rFonts w:ascii="宋体" w:hAnsi="宋体" w:eastAsia="宋体" w:cs="宋体"/>
          <w:sz w:val="24"/>
          <w:szCs w:val="24"/>
        </w:rPr>
      </w:pPr>
      <w:r>
        <w:rPr>
          <w:rFonts w:ascii="宋体" w:hAnsi="宋体" w:eastAsia="宋体" w:cs="宋体"/>
          <w:spacing w:val="-2"/>
          <w:sz w:val="24"/>
          <w:szCs w:val="24"/>
        </w:rPr>
        <w:t>8、图像处理工具</w:t>
      </w:r>
    </w:p>
    <w:p w14:paraId="65EB3E38">
      <w:pPr>
        <w:spacing w:before="310" w:line="445" w:lineRule="auto"/>
        <w:ind w:left="61" w:right="5" w:hanging="22"/>
        <w:rPr>
          <w:rFonts w:ascii="宋体" w:hAnsi="宋体" w:eastAsia="宋体" w:cs="宋体"/>
          <w:sz w:val="24"/>
          <w:szCs w:val="24"/>
        </w:rPr>
      </w:pPr>
      <w:r>
        <w:rPr>
          <w:rFonts w:ascii="宋体" w:hAnsi="宋体" w:eastAsia="宋体" w:cs="宋体"/>
          <w:spacing w:val="-2"/>
          <w:sz w:val="24"/>
          <w:szCs w:val="24"/>
        </w:rPr>
        <w:t>支持图像翻页浏览/电影播放；窗宽、窗位调节、局部放大；预设值（例如：骨窗、肺窗等</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1"/>
          <w:sz w:val="24"/>
          <w:szCs w:val="24"/>
        </w:rPr>
        <w:t>图像移动；图像缩放；图像水平镜像；图像垂直镜像、图像顺时针旋转、图像逆时针旋转、图</w:t>
      </w:r>
    </w:p>
    <w:p w14:paraId="555A5E90">
      <w:pPr>
        <w:pStyle w:val="2"/>
        <w:spacing w:line="391" w:lineRule="auto"/>
      </w:pPr>
    </w:p>
    <w:p w14:paraId="4129B9A4">
      <w:pPr>
        <w:spacing w:before="63"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70                                </w:t>
      </w:r>
      <w:r>
        <w:rPr>
          <w:rFonts w:ascii="宋体" w:hAnsi="宋体" w:eastAsia="宋体" w:cs="宋体"/>
          <w:b/>
          <w:bCs/>
          <w:i/>
          <w:iCs/>
          <w:spacing w:val="-3"/>
          <w:sz w:val="19"/>
          <w:szCs w:val="19"/>
        </w:rPr>
        <w:t>伊犁州公共资源交易中心</w:t>
      </w:r>
    </w:p>
    <w:p w14:paraId="027F7B07">
      <w:pPr>
        <w:spacing w:line="160" w:lineRule="auto"/>
        <w:rPr>
          <w:rFonts w:ascii="宋体" w:hAnsi="宋体" w:eastAsia="宋体" w:cs="宋体"/>
          <w:sz w:val="19"/>
          <w:szCs w:val="19"/>
        </w:rPr>
        <w:sectPr>
          <w:headerReference r:id="rId62" w:type="default"/>
          <w:footerReference r:id="rId63" w:type="default"/>
          <w:pgSz w:w="11905" w:h="16839"/>
          <w:pgMar w:top="1136" w:right="830" w:bottom="937" w:left="1136" w:header="854" w:footer="923" w:gutter="0"/>
          <w:cols w:space="720" w:num="1"/>
        </w:sectPr>
      </w:pPr>
    </w:p>
    <w:p w14:paraId="5467CFC3">
      <w:pPr>
        <w:pStyle w:val="2"/>
        <w:spacing w:line="379" w:lineRule="auto"/>
      </w:pPr>
    </w:p>
    <w:p w14:paraId="5F9029B9">
      <w:pPr>
        <w:spacing w:before="78" w:line="219" w:lineRule="auto"/>
        <w:ind w:left="38"/>
        <w:rPr>
          <w:rFonts w:ascii="宋体" w:hAnsi="宋体" w:eastAsia="宋体" w:cs="宋体"/>
          <w:sz w:val="24"/>
          <w:szCs w:val="24"/>
        </w:rPr>
      </w:pPr>
      <w:r>
        <w:rPr>
          <w:rFonts w:ascii="宋体" w:hAnsi="宋体" w:eastAsia="宋体" w:cs="宋体"/>
          <w:spacing w:val="-1"/>
          <w:sz w:val="24"/>
          <w:szCs w:val="24"/>
        </w:rPr>
        <w:t>像反色、锐化处理、显示/隐藏四角信息</w:t>
      </w:r>
    </w:p>
    <w:p w14:paraId="732CBC8F">
      <w:pPr>
        <w:spacing w:before="311" w:line="448" w:lineRule="auto"/>
        <w:ind w:left="34" w:firstLine="9"/>
        <w:rPr>
          <w:rFonts w:ascii="宋体" w:hAnsi="宋体" w:eastAsia="宋体" w:cs="宋体"/>
          <w:sz w:val="24"/>
          <w:szCs w:val="24"/>
        </w:rPr>
      </w:pPr>
      <w:r>
        <w:rPr>
          <w:rFonts w:ascii="宋体" w:hAnsi="宋体" w:eastAsia="宋体" w:cs="宋体"/>
          <w:spacing w:val="-10"/>
          <w:sz w:val="24"/>
          <w:szCs w:val="24"/>
        </w:rPr>
        <w:t>显示定位线、图像一键恢复、图像伪彩处理</w:t>
      </w:r>
      <w:r>
        <w:rPr>
          <w:rFonts w:ascii="宋体" w:hAnsi="宋体" w:eastAsia="宋体" w:cs="宋体"/>
          <w:spacing w:val="-11"/>
          <w:sz w:val="24"/>
          <w:szCs w:val="24"/>
        </w:rPr>
        <w:t>，支持</w:t>
      </w:r>
      <w:r>
        <w:rPr>
          <w:rFonts w:ascii="宋体" w:hAnsi="宋体" w:eastAsia="宋体" w:cs="宋体"/>
          <w:spacing w:val="-56"/>
          <w:sz w:val="24"/>
          <w:szCs w:val="24"/>
        </w:rPr>
        <w:t xml:space="preserve"> </w:t>
      </w:r>
      <w:r>
        <w:rPr>
          <w:rFonts w:ascii="宋体" w:hAnsi="宋体" w:eastAsia="宋体" w:cs="宋体"/>
          <w:spacing w:val="-11"/>
          <w:sz w:val="24"/>
          <w:szCs w:val="24"/>
        </w:rPr>
        <w:t>BLUE-YELLOW,LIGHTBLUE1，LIGHTBLUE2，SEPIA1，</w:t>
      </w:r>
      <w:r>
        <w:rPr>
          <w:rFonts w:ascii="宋体" w:hAnsi="宋体" w:eastAsia="宋体" w:cs="宋体"/>
          <w:sz w:val="24"/>
          <w:szCs w:val="24"/>
        </w:rPr>
        <w:t xml:space="preserve"> SEPIA2</w:t>
      </w:r>
      <w:r>
        <w:rPr>
          <w:rFonts w:ascii="宋体" w:hAnsi="宋体" w:eastAsia="宋体" w:cs="宋体"/>
          <w:spacing w:val="-68"/>
          <w:sz w:val="24"/>
          <w:szCs w:val="24"/>
        </w:rPr>
        <w:t xml:space="preserve"> </w:t>
      </w:r>
      <w:r>
        <w:rPr>
          <w:rFonts w:ascii="宋体" w:hAnsi="宋体" w:eastAsia="宋体" w:cs="宋体"/>
          <w:sz w:val="24"/>
          <w:szCs w:val="24"/>
        </w:rPr>
        <w:t>，WINERED</w:t>
      </w:r>
      <w:r>
        <w:rPr>
          <w:rFonts w:ascii="宋体" w:hAnsi="宋体" w:eastAsia="宋体" w:cs="宋体"/>
          <w:spacing w:val="-67"/>
          <w:sz w:val="24"/>
          <w:szCs w:val="24"/>
        </w:rPr>
        <w:t xml:space="preserve"> </w:t>
      </w:r>
      <w:r>
        <w:rPr>
          <w:rFonts w:ascii="宋体" w:hAnsi="宋体" w:eastAsia="宋体" w:cs="宋体"/>
          <w:sz w:val="24"/>
          <w:szCs w:val="24"/>
        </w:rPr>
        <w:t>，YELL</w:t>
      </w:r>
      <w:r>
        <w:rPr>
          <w:rFonts w:ascii="宋体" w:hAnsi="宋体" w:eastAsia="宋体" w:cs="宋体"/>
          <w:spacing w:val="-1"/>
          <w:sz w:val="24"/>
          <w:szCs w:val="24"/>
        </w:rPr>
        <w:t>OW</w:t>
      </w:r>
      <w:r>
        <w:rPr>
          <w:rFonts w:ascii="宋体" w:hAnsi="宋体" w:eastAsia="宋体" w:cs="宋体"/>
          <w:spacing w:val="-67"/>
          <w:sz w:val="24"/>
          <w:szCs w:val="24"/>
        </w:rPr>
        <w:t xml:space="preserve"> </w:t>
      </w:r>
      <w:r>
        <w:rPr>
          <w:rFonts w:ascii="宋体" w:hAnsi="宋体" w:eastAsia="宋体" w:cs="宋体"/>
          <w:spacing w:val="-1"/>
          <w:sz w:val="24"/>
          <w:szCs w:val="24"/>
        </w:rPr>
        <w:t>，GRAY</w:t>
      </w:r>
      <w:r>
        <w:rPr>
          <w:rFonts w:ascii="宋体" w:hAnsi="宋体" w:eastAsia="宋体" w:cs="宋体"/>
          <w:spacing w:val="-68"/>
          <w:sz w:val="24"/>
          <w:szCs w:val="24"/>
        </w:rPr>
        <w:t xml:space="preserve"> </w:t>
      </w:r>
      <w:r>
        <w:rPr>
          <w:rFonts w:ascii="宋体" w:hAnsi="宋体" w:eastAsia="宋体" w:cs="宋体"/>
          <w:spacing w:val="-1"/>
          <w:sz w:val="24"/>
          <w:szCs w:val="24"/>
        </w:rPr>
        <w:t>，Apricot</w:t>
      </w:r>
      <w:r>
        <w:rPr>
          <w:rFonts w:ascii="宋体" w:hAnsi="宋体" w:eastAsia="宋体" w:cs="宋体"/>
          <w:spacing w:val="-67"/>
          <w:sz w:val="24"/>
          <w:szCs w:val="24"/>
        </w:rPr>
        <w:t xml:space="preserve"> </w:t>
      </w:r>
      <w:r>
        <w:rPr>
          <w:rFonts w:ascii="宋体" w:hAnsi="宋体" w:eastAsia="宋体" w:cs="宋体"/>
          <w:spacing w:val="-1"/>
          <w:sz w:val="24"/>
          <w:szCs w:val="24"/>
        </w:rPr>
        <w:t>，Carnation</w:t>
      </w:r>
      <w:r>
        <w:rPr>
          <w:rFonts w:ascii="宋体" w:hAnsi="宋体" w:eastAsia="宋体" w:cs="宋体"/>
          <w:spacing w:val="-68"/>
          <w:sz w:val="24"/>
          <w:szCs w:val="24"/>
        </w:rPr>
        <w:t xml:space="preserve"> </w:t>
      </w:r>
      <w:r>
        <w:rPr>
          <w:rFonts w:ascii="宋体" w:hAnsi="宋体" w:eastAsia="宋体" w:cs="宋体"/>
          <w:spacing w:val="-1"/>
          <w:sz w:val="24"/>
          <w:szCs w:val="24"/>
        </w:rPr>
        <w:t>，Ether</w:t>
      </w:r>
      <w:r>
        <w:rPr>
          <w:rFonts w:ascii="宋体" w:hAnsi="宋体" w:eastAsia="宋体" w:cs="宋体"/>
          <w:spacing w:val="-67"/>
          <w:sz w:val="24"/>
          <w:szCs w:val="24"/>
        </w:rPr>
        <w:t xml:space="preserve"> </w:t>
      </w:r>
      <w:r>
        <w:rPr>
          <w:rFonts w:ascii="宋体" w:hAnsi="宋体" w:eastAsia="宋体" w:cs="宋体"/>
          <w:spacing w:val="-1"/>
          <w:sz w:val="24"/>
          <w:szCs w:val="24"/>
        </w:rPr>
        <w:t>，HotMetal</w:t>
      </w:r>
      <w:r>
        <w:rPr>
          <w:rFonts w:ascii="宋体" w:hAnsi="宋体" w:eastAsia="宋体" w:cs="宋体"/>
          <w:spacing w:val="-68"/>
          <w:sz w:val="24"/>
          <w:szCs w:val="24"/>
        </w:rPr>
        <w:t xml:space="preserve"> </w:t>
      </w:r>
      <w:r>
        <w:rPr>
          <w:rFonts w:ascii="宋体" w:hAnsi="宋体" w:eastAsia="宋体" w:cs="宋体"/>
          <w:spacing w:val="-1"/>
          <w:sz w:val="24"/>
          <w:szCs w:val="24"/>
        </w:rPr>
        <w:t>，LavaWaves</w:t>
      </w:r>
      <w:r>
        <w:rPr>
          <w:rFonts w:ascii="宋体" w:hAnsi="宋体" w:eastAsia="宋体" w:cs="宋体"/>
          <w:spacing w:val="-67"/>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2"/>
          <w:sz w:val="24"/>
          <w:szCs w:val="24"/>
        </w:rPr>
        <w:t>PurpleHaze，Rainbow</w:t>
      </w:r>
      <w:r>
        <w:rPr>
          <w:rFonts w:ascii="宋体" w:hAnsi="宋体" w:eastAsia="宋体" w:cs="宋体"/>
          <w:spacing w:val="-44"/>
          <w:sz w:val="24"/>
          <w:szCs w:val="24"/>
        </w:rPr>
        <w:t xml:space="preserve"> </w:t>
      </w:r>
      <w:r>
        <w:rPr>
          <w:rFonts w:ascii="宋体" w:hAnsi="宋体" w:eastAsia="宋体" w:cs="宋体"/>
          <w:spacing w:val="-2"/>
          <w:sz w:val="24"/>
          <w:szCs w:val="24"/>
        </w:rPr>
        <w:t>等伪彩编码格式。</w:t>
      </w:r>
    </w:p>
    <w:p w14:paraId="344D64F5">
      <w:pPr>
        <w:spacing w:before="40" w:line="220" w:lineRule="auto"/>
        <w:ind w:left="39"/>
        <w:rPr>
          <w:rFonts w:ascii="宋体" w:hAnsi="宋体" w:eastAsia="宋体" w:cs="宋体"/>
          <w:sz w:val="24"/>
          <w:szCs w:val="24"/>
        </w:rPr>
      </w:pPr>
      <w:r>
        <w:rPr>
          <w:rFonts w:ascii="宋体" w:hAnsi="宋体" w:eastAsia="宋体" w:cs="宋体"/>
          <w:spacing w:val="-2"/>
          <w:sz w:val="24"/>
          <w:szCs w:val="24"/>
        </w:rPr>
        <w:t>9、图像标注工具</w:t>
      </w:r>
    </w:p>
    <w:p w14:paraId="4411F031">
      <w:pPr>
        <w:spacing w:before="311" w:line="445" w:lineRule="auto"/>
        <w:ind w:left="38" w:right="86" w:firstLine="480"/>
        <w:rPr>
          <w:rFonts w:ascii="宋体" w:hAnsi="宋体" w:eastAsia="宋体" w:cs="宋体"/>
          <w:sz w:val="24"/>
          <w:szCs w:val="24"/>
        </w:rPr>
      </w:pPr>
      <w:r>
        <w:rPr>
          <w:rFonts w:ascii="宋体" w:hAnsi="宋体" w:eastAsia="宋体" w:cs="宋体"/>
          <w:spacing w:val="-1"/>
          <w:sz w:val="24"/>
          <w:szCs w:val="24"/>
        </w:rPr>
        <w:t>支持选中图像标注、支持直线、矩形、多边形、椭圆、圆等多种长度、面积测量、测量</w:t>
      </w:r>
      <w:r>
        <w:rPr>
          <w:rFonts w:ascii="宋体" w:hAnsi="宋体" w:eastAsia="宋体" w:cs="宋体"/>
          <w:spacing w:val="-52"/>
          <w:sz w:val="24"/>
          <w:szCs w:val="24"/>
        </w:rPr>
        <w:t xml:space="preserve"> </w:t>
      </w:r>
      <w:r>
        <w:rPr>
          <w:rFonts w:ascii="宋体" w:hAnsi="宋体" w:eastAsia="宋体" w:cs="宋体"/>
          <w:spacing w:val="-1"/>
          <w:sz w:val="24"/>
          <w:szCs w:val="24"/>
        </w:rPr>
        <w:t>CT</w:t>
      </w:r>
      <w:r>
        <w:rPr>
          <w:rFonts w:ascii="宋体" w:hAnsi="宋体" w:eastAsia="宋体" w:cs="宋体"/>
          <w:sz w:val="24"/>
          <w:szCs w:val="24"/>
        </w:rPr>
        <w:t xml:space="preserve"> 值</w:t>
      </w:r>
    </w:p>
    <w:p w14:paraId="7922F485">
      <w:pPr>
        <w:spacing w:before="34" w:line="445" w:lineRule="auto"/>
        <w:ind w:left="38" w:right="86" w:firstLine="16"/>
        <w:rPr>
          <w:rFonts w:ascii="宋体" w:hAnsi="宋体" w:eastAsia="宋体" w:cs="宋体"/>
          <w:sz w:val="24"/>
          <w:szCs w:val="24"/>
        </w:rPr>
      </w:pPr>
      <w:r>
        <w:rPr>
          <w:rFonts w:ascii="宋体" w:hAnsi="宋体" w:eastAsia="宋体" w:cs="宋体"/>
          <w:sz w:val="24"/>
          <w:szCs w:val="24"/>
        </w:rPr>
        <w:t>、图像箭头标识、椭圆</w:t>
      </w:r>
      <w:r>
        <w:rPr>
          <w:rFonts w:ascii="宋体" w:hAnsi="宋体" w:eastAsia="宋体" w:cs="宋体"/>
          <w:spacing w:val="-51"/>
          <w:sz w:val="24"/>
          <w:szCs w:val="24"/>
        </w:rPr>
        <w:t xml:space="preserve"> </w:t>
      </w:r>
      <w:r>
        <w:rPr>
          <w:rFonts w:ascii="宋体" w:hAnsi="宋体" w:eastAsia="宋体" w:cs="宋体"/>
          <w:sz w:val="24"/>
          <w:szCs w:val="24"/>
        </w:rPr>
        <w:t>ROI、长方形</w:t>
      </w:r>
      <w:r>
        <w:rPr>
          <w:rFonts w:ascii="宋体" w:hAnsi="宋体" w:eastAsia="宋体" w:cs="宋体"/>
          <w:spacing w:val="-52"/>
          <w:sz w:val="24"/>
          <w:szCs w:val="24"/>
        </w:rPr>
        <w:t xml:space="preserve"> </w:t>
      </w:r>
      <w:r>
        <w:rPr>
          <w:rFonts w:ascii="宋体" w:hAnsi="宋体" w:eastAsia="宋体" w:cs="宋体"/>
          <w:sz w:val="24"/>
          <w:szCs w:val="24"/>
        </w:rPr>
        <w:t>ROI、角度测量、文字标注、显示/隐藏标注、</w:t>
      </w:r>
      <w:r>
        <w:rPr>
          <w:rFonts w:ascii="宋体" w:hAnsi="宋体" w:eastAsia="宋体" w:cs="宋体"/>
          <w:spacing w:val="-1"/>
          <w:sz w:val="24"/>
          <w:szCs w:val="24"/>
        </w:rPr>
        <w:t>擦除当前测</w:t>
      </w:r>
      <w:r>
        <w:rPr>
          <w:rFonts w:ascii="宋体" w:hAnsi="宋体" w:eastAsia="宋体" w:cs="宋体"/>
          <w:sz w:val="24"/>
          <w:szCs w:val="24"/>
        </w:rPr>
        <w:t xml:space="preserve"> </w:t>
      </w:r>
      <w:r>
        <w:rPr>
          <w:rFonts w:ascii="宋体" w:hAnsi="宋体" w:eastAsia="宋体" w:cs="宋体"/>
          <w:spacing w:val="-4"/>
          <w:sz w:val="24"/>
          <w:szCs w:val="24"/>
        </w:rPr>
        <w:t>量标注、擦除全部测量标注。</w:t>
      </w:r>
    </w:p>
    <w:p w14:paraId="367AA57B">
      <w:pPr>
        <w:spacing w:before="34" w:line="220" w:lineRule="auto"/>
        <w:ind w:left="56"/>
        <w:rPr>
          <w:rFonts w:ascii="宋体" w:hAnsi="宋体" w:eastAsia="宋体" w:cs="宋体"/>
          <w:sz w:val="24"/>
          <w:szCs w:val="24"/>
        </w:rPr>
      </w:pPr>
      <w:r>
        <w:rPr>
          <w:rFonts w:ascii="宋体" w:hAnsi="宋体" w:eastAsia="宋体" w:cs="宋体"/>
          <w:spacing w:val="-3"/>
          <w:sz w:val="24"/>
          <w:szCs w:val="24"/>
        </w:rPr>
        <w:t>10、三维影像后处理</w:t>
      </w:r>
    </w:p>
    <w:p w14:paraId="5C11634B">
      <w:pPr>
        <w:spacing w:before="310" w:line="220" w:lineRule="auto"/>
        <w:ind w:left="523"/>
        <w:rPr>
          <w:rFonts w:ascii="宋体" w:hAnsi="宋体" w:eastAsia="宋体" w:cs="宋体"/>
          <w:sz w:val="24"/>
          <w:szCs w:val="24"/>
        </w:rPr>
      </w:pPr>
      <w:r>
        <w:rPr>
          <w:rFonts w:ascii="宋体" w:hAnsi="宋体" w:eastAsia="宋体" w:cs="宋体"/>
          <w:spacing w:val="-1"/>
          <w:sz w:val="24"/>
          <w:szCs w:val="24"/>
        </w:rPr>
        <w:t>具备</w:t>
      </w:r>
      <w:r>
        <w:rPr>
          <w:rFonts w:ascii="宋体" w:hAnsi="宋体" w:eastAsia="宋体" w:cs="宋体"/>
          <w:spacing w:val="-59"/>
          <w:sz w:val="24"/>
          <w:szCs w:val="24"/>
        </w:rPr>
        <w:t xml:space="preserve"> </w:t>
      </w:r>
      <w:r>
        <w:rPr>
          <w:rFonts w:ascii="宋体" w:hAnsi="宋体" w:eastAsia="宋体" w:cs="宋体"/>
          <w:spacing w:val="-1"/>
          <w:sz w:val="24"/>
          <w:szCs w:val="24"/>
        </w:rPr>
        <w:t>web</w:t>
      </w:r>
      <w:r>
        <w:rPr>
          <w:rFonts w:ascii="宋体" w:hAnsi="宋体" w:eastAsia="宋体" w:cs="宋体"/>
          <w:spacing w:val="-45"/>
          <w:sz w:val="24"/>
          <w:szCs w:val="24"/>
        </w:rPr>
        <w:t xml:space="preserve"> </w:t>
      </w:r>
      <w:r>
        <w:rPr>
          <w:rFonts w:ascii="宋体" w:hAnsi="宋体" w:eastAsia="宋体" w:cs="宋体"/>
          <w:spacing w:val="-1"/>
          <w:sz w:val="24"/>
          <w:szCs w:val="24"/>
        </w:rPr>
        <w:t>页面访问的影像三维后处理操作，支持多平面重建（MPR）、容积重</w:t>
      </w:r>
      <w:r>
        <w:rPr>
          <w:rFonts w:ascii="宋体" w:hAnsi="宋体" w:eastAsia="宋体" w:cs="宋体"/>
          <w:spacing w:val="-2"/>
          <w:sz w:val="24"/>
          <w:szCs w:val="24"/>
        </w:rPr>
        <w:t>建（VR）</w:t>
      </w:r>
    </w:p>
    <w:p w14:paraId="095C1CDF">
      <w:pPr>
        <w:spacing w:before="310" w:line="218" w:lineRule="auto"/>
        <w:ind w:left="56"/>
        <w:rPr>
          <w:rFonts w:ascii="宋体" w:hAnsi="宋体" w:eastAsia="宋体" w:cs="宋体"/>
          <w:sz w:val="24"/>
          <w:szCs w:val="24"/>
        </w:rPr>
      </w:pPr>
      <w:r>
        <w:rPr>
          <w:rFonts w:ascii="宋体" w:hAnsi="宋体" w:eastAsia="宋体" w:cs="宋体"/>
          <w:spacing w:val="-4"/>
          <w:sz w:val="24"/>
          <w:szCs w:val="24"/>
        </w:rPr>
        <w:t>11、报告查看</w:t>
      </w:r>
    </w:p>
    <w:p w14:paraId="515391BC">
      <w:pPr>
        <w:spacing w:before="314" w:line="444" w:lineRule="auto"/>
        <w:ind w:left="223" w:right="186" w:hanging="181"/>
        <w:rPr>
          <w:rFonts w:ascii="宋体" w:hAnsi="宋体" w:eastAsia="宋体" w:cs="宋体"/>
          <w:sz w:val="24"/>
          <w:szCs w:val="24"/>
        </w:rPr>
      </w:pPr>
      <w:r>
        <w:rPr>
          <w:rFonts w:ascii="宋体" w:hAnsi="宋体" w:eastAsia="宋体" w:cs="宋体"/>
          <w:spacing w:val="-1"/>
          <w:sz w:val="24"/>
          <w:szCs w:val="24"/>
        </w:rPr>
        <w:t>★支持查看患者影像类检查</w:t>
      </w:r>
      <w:r>
        <w:rPr>
          <w:rFonts w:ascii="宋体" w:hAnsi="宋体" w:eastAsia="宋体" w:cs="宋体"/>
          <w:spacing w:val="-52"/>
          <w:sz w:val="24"/>
          <w:szCs w:val="24"/>
        </w:rPr>
        <w:t xml:space="preserve"> </w:t>
      </w:r>
      <w:r>
        <w:rPr>
          <w:rFonts w:ascii="宋体" w:hAnsi="宋体" w:eastAsia="宋体" w:cs="宋体"/>
          <w:spacing w:val="-1"/>
          <w:sz w:val="24"/>
          <w:szCs w:val="24"/>
        </w:rPr>
        <w:t>PDF</w:t>
      </w:r>
      <w:r>
        <w:rPr>
          <w:rFonts w:ascii="宋体" w:hAnsi="宋体" w:eastAsia="宋体" w:cs="宋体"/>
          <w:spacing w:val="-50"/>
          <w:sz w:val="24"/>
          <w:szCs w:val="24"/>
        </w:rPr>
        <w:t xml:space="preserve"> </w:t>
      </w:r>
      <w:r>
        <w:rPr>
          <w:rFonts w:ascii="宋体" w:hAnsi="宋体" w:eastAsia="宋体" w:cs="宋体"/>
          <w:spacing w:val="-1"/>
          <w:sz w:val="24"/>
          <w:szCs w:val="24"/>
        </w:rPr>
        <w:t>版报告或报告缩略图，PDF</w:t>
      </w:r>
      <w:r>
        <w:rPr>
          <w:rFonts w:ascii="宋体" w:hAnsi="宋体" w:eastAsia="宋体" w:cs="宋体"/>
          <w:spacing w:val="-50"/>
          <w:sz w:val="24"/>
          <w:szCs w:val="24"/>
        </w:rPr>
        <w:t xml:space="preserve"> </w:t>
      </w:r>
      <w:r>
        <w:rPr>
          <w:rFonts w:ascii="宋体" w:hAnsi="宋体" w:eastAsia="宋体" w:cs="宋体"/>
          <w:spacing w:val="-1"/>
          <w:sz w:val="24"/>
          <w:szCs w:val="24"/>
        </w:rPr>
        <w:t>版报告支持加水印功能；支持语音</w:t>
      </w:r>
      <w:r>
        <w:rPr>
          <w:rFonts w:ascii="宋体" w:hAnsi="宋体" w:eastAsia="宋体" w:cs="宋体"/>
          <w:sz w:val="24"/>
          <w:szCs w:val="24"/>
        </w:rPr>
        <w:t xml:space="preserve"> </w:t>
      </w:r>
      <w:r>
        <w:rPr>
          <w:rFonts w:ascii="宋体" w:hAnsi="宋体" w:eastAsia="宋体" w:cs="宋体"/>
          <w:spacing w:val="-3"/>
          <w:sz w:val="24"/>
          <w:szCs w:val="24"/>
        </w:rPr>
        <w:t>报告（需提供软件截图证明）。</w:t>
      </w:r>
    </w:p>
    <w:p w14:paraId="4AE5C84A">
      <w:pPr>
        <w:spacing w:before="36" w:line="220" w:lineRule="auto"/>
        <w:ind w:left="56"/>
        <w:rPr>
          <w:rFonts w:ascii="宋体" w:hAnsi="宋体" w:eastAsia="宋体" w:cs="宋体"/>
          <w:sz w:val="24"/>
          <w:szCs w:val="24"/>
        </w:rPr>
      </w:pPr>
      <w:r>
        <w:rPr>
          <w:rFonts w:ascii="宋体" w:hAnsi="宋体" w:eastAsia="宋体" w:cs="宋体"/>
          <w:spacing w:val="-4"/>
          <w:sz w:val="24"/>
          <w:szCs w:val="24"/>
        </w:rPr>
        <w:t>12、检查分享</w:t>
      </w:r>
    </w:p>
    <w:p w14:paraId="38015D93">
      <w:pPr>
        <w:spacing w:before="310" w:line="220" w:lineRule="auto"/>
        <w:ind w:left="520"/>
        <w:rPr>
          <w:rFonts w:ascii="宋体" w:hAnsi="宋体" w:eastAsia="宋体" w:cs="宋体"/>
          <w:sz w:val="24"/>
          <w:szCs w:val="24"/>
        </w:rPr>
      </w:pPr>
      <w:r>
        <w:rPr>
          <w:rFonts w:ascii="宋体" w:hAnsi="宋体" w:eastAsia="宋体" w:cs="宋体"/>
          <w:spacing w:val="-2"/>
          <w:sz w:val="24"/>
          <w:szCs w:val="24"/>
        </w:rPr>
        <w:t>可分享其他医生移动影像阅片服务，支持二维码或链接分享方式。</w:t>
      </w:r>
    </w:p>
    <w:p w14:paraId="4D19FC34">
      <w:pPr>
        <w:spacing w:before="311" w:line="445" w:lineRule="auto"/>
        <w:ind w:left="37" w:right="126" w:firstLine="1"/>
        <w:rPr>
          <w:rFonts w:ascii="宋体" w:hAnsi="宋体" w:eastAsia="宋体" w:cs="宋体"/>
          <w:sz w:val="24"/>
          <w:szCs w:val="24"/>
        </w:rPr>
      </w:pPr>
      <w:r>
        <w:rPr>
          <w:rFonts w:ascii="宋体" w:hAnsi="宋体" w:eastAsia="宋体" w:cs="宋体"/>
          <w:sz w:val="24"/>
          <w:szCs w:val="24"/>
        </w:rPr>
        <w:t>支持设置自定义分享日期范围，如一天、三天、五天或自定义日期</w:t>
      </w:r>
      <w:r>
        <w:rPr>
          <w:rFonts w:ascii="宋体" w:hAnsi="宋体" w:eastAsia="宋体" w:cs="宋体"/>
          <w:spacing w:val="-1"/>
          <w:sz w:val="24"/>
          <w:szCs w:val="24"/>
        </w:rPr>
        <w:t>范围。分享超时二维码、链</w:t>
      </w:r>
      <w:r>
        <w:rPr>
          <w:rFonts w:ascii="宋体" w:hAnsi="宋体" w:eastAsia="宋体" w:cs="宋体"/>
          <w:sz w:val="24"/>
          <w:szCs w:val="24"/>
        </w:rPr>
        <w:t xml:space="preserve"> </w:t>
      </w:r>
      <w:r>
        <w:rPr>
          <w:rFonts w:ascii="宋体" w:hAnsi="宋体" w:eastAsia="宋体" w:cs="宋体"/>
          <w:spacing w:val="-3"/>
          <w:sz w:val="24"/>
          <w:szCs w:val="24"/>
        </w:rPr>
        <w:t>接访问，提示分享访问已失效。</w:t>
      </w:r>
    </w:p>
    <w:p w14:paraId="7698E694">
      <w:pPr>
        <w:spacing w:before="34" w:line="219" w:lineRule="auto"/>
        <w:ind w:left="56"/>
        <w:rPr>
          <w:rFonts w:ascii="宋体" w:hAnsi="宋体" w:eastAsia="宋体" w:cs="宋体"/>
          <w:sz w:val="24"/>
          <w:szCs w:val="24"/>
        </w:rPr>
      </w:pPr>
      <w:r>
        <w:rPr>
          <w:rFonts w:ascii="宋体" w:hAnsi="宋体" w:eastAsia="宋体" w:cs="宋体"/>
          <w:spacing w:val="-4"/>
          <w:sz w:val="24"/>
          <w:szCs w:val="24"/>
        </w:rPr>
        <w:t>13、协同会诊</w:t>
      </w:r>
    </w:p>
    <w:p w14:paraId="34C7AB58">
      <w:pPr>
        <w:spacing w:before="311" w:line="445" w:lineRule="auto"/>
        <w:ind w:left="49" w:right="126" w:firstLine="472"/>
        <w:rPr>
          <w:rFonts w:ascii="宋体" w:hAnsi="宋体" w:eastAsia="宋体" w:cs="宋体"/>
          <w:sz w:val="24"/>
          <w:szCs w:val="24"/>
        </w:rPr>
      </w:pPr>
      <w:r>
        <w:rPr>
          <w:rFonts w:ascii="宋体" w:hAnsi="宋体" w:eastAsia="宋体" w:cs="宋体"/>
          <w:sz w:val="24"/>
          <w:szCs w:val="24"/>
        </w:rPr>
        <w:t>★移动端远程影像协同会诊，支持发起影像协同会议，</w:t>
      </w:r>
      <w:r>
        <w:rPr>
          <w:rFonts w:ascii="宋体" w:hAnsi="宋体" w:eastAsia="宋体" w:cs="宋体"/>
          <w:spacing w:val="-1"/>
          <w:sz w:val="24"/>
          <w:szCs w:val="24"/>
        </w:rPr>
        <w:t>邀请多人线上交流。创建协同房间</w:t>
      </w:r>
      <w:r>
        <w:rPr>
          <w:rFonts w:ascii="宋体" w:hAnsi="宋体" w:eastAsia="宋体" w:cs="宋体"/>
          <w:sz w:val="24"/>
          <w:szCs w:val="24"/>
        </w:rPr>
        <w:t xml:space="preserve"> </w:t>
      </w:r>
      <w:r>
        <w:rPr>
          <w:rFonts w:ascii="宋体" w:hAnsi="宋体" w:eastAsia="宋体" w:cs="宋体"/>
          <w:spacing w:val="-1"/>
          <w:sz w:val="24"/>
          <w:szCs w:val="24"/>
        </w:rPr>
        <w:t>时支持创建房间密码，影像可协同同步测量</w:t>
      </w:r>
      <w:r>
        <w:rPr>
          <w:rFonts w:ascii="宋体" w:hAnsi="宋体" w:eastAsia="宋体" w:cs="宋体"/>
          <w:spacing w:val="-2"/>
          <w:sz w:val="24"/>
          <w:szCs w:val="24"/>
        </w:rPr>
        <w:t>、翻页等操作（需提供软件截图证明）。</w:t>
      </w:r>
    </w:p>
    <w:p w14:paraId="3CC4AA17">
      <w:pPr>
        <w:spacing w:before="35" w:line="445" w:lineRule="auto"/>
        <w:ind w:left="67" w:right="126" w:firstLine="454"/>
        <w:rPr>
          <w:rFonts w:ascii="宋体" w:hAnsi="宋体" w:eastAsia="宋体" w:cs="宋体"/>
          <w:sz w:val="24"/>
          <w:szCs w:val="24"/>
        </w:rPr>
      </w:pPr>
      <w:r>
        <w:rPr>
          <w:rFonts w:ascii="宋体" w:hAnsi="宋体" w:eastAsia="宋体" w:cs="宋体"/>
          <w:sz w:val="24"/>
          <w:szCs w:val="24"/>
        </w:rPr>
        <w:t>★移动端在协同房间，支持主控权进行释放操作，也可</w:t>
      </w:r>
      <w:r>
        <w:rPr>
          <w:rFonts w:ascii="宋体" w:hAnsi="宋体" w:eastAsia="宋体" w:cs="宋体"/>
          <w:spacing w:val="-1"/>
          <w:sz w:val="24"/>
          <w:szCs w:val="24"/>
        </w:rPr>
        <w:t>以进行申请主控权操作，保证房间</w:t>
      </w:r>
      <w:r>
        <w:rPr>
          <w:rFonts w:ascii="宋体" w:hAnsi="宋体" w:eastAsia="宋体" w:cs="宋体"/>
          <w:sz w:val="24"/>
          <w:szCs w:val="24"/>
        </w:rPr>
        <w:t xml:space="preserve"> </w:t>
      </w:r>
      <w:r>
        <w:rPr>
          <w:rFonts w:ascii="宋体" w:hAnsi="宋体" w:eastAsia="宋体" w:cs="宋体"/>
          <w:spacing w:val="-3"/>
          <w:sz w:val="24"/>
          <w:szCs w:val="24"/>
        </w:rPr>
        <w:t>内只有一人进行操作，其他人进行观看（需提供软件截图证明）。</w:t>
      </w:r>
    </w:p>
    <w:p w14:paraId="0D1FD5A2">
      <w:pPr>
        <w:pStyle w:val="2"/>
        <w:spacing w:line="391" w:lineRule="auto"/>
      </w:pPr>
    </w:p>
    <w:p w14:paraId="7720880B">
      <w:pPr>
        <w:spacing w:before="63"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71                                </w:t>
      </w:r>
      <w:r>
        <w:rPr>
          <w:rFonts w:ascii="宋体" w:hAnsi="宋体" w:eastAsia="宋体" w:cs="宋体"/>
          <w:b/>
          <w:bCs/>
          <w:i/>
          <w:iCs/>
          <w:spacing w:val="-3"/>
          <w:sz w:val="19"/>
          <w:szCs w:val="19"/>
        </w:rPr>
        <w:t>伊犁州公共资源交易中心</w:t>
      </w:r>
    </w:p>
    <w:p w14:paraId="246A1EAE">
      <w:pPr>
        <w:spacing w:line="160" w:lineRule="auto"/>
        <w:rPr>
          <w:rFonts w:ascii="宋体" w:hAnsi="宋体" w:eastAsia="宋体" w:cs="宋体"/>
          <w:sz w:val="19"/>
          <w:szCs w:val="19"/>
        </w:rPr>
        <w:sectPr>
          <w:headerReference r:id="rId64" w:type="default"/>
          <w:footerReference r:id="rId65" w:type="default"/>
          <w:pgSz w:w="11905" w:h="16839"/>
          <w:pgMar w:top="1136" w:right="772" w:bottom="937" w:left="1136" w:header="854" w:footer="923" w:gutter="0"/>
          <w:cols w:space="720" w:num="1"/>
        </w:sectPr>
      </w:pPr>
    </w:p>
    <w:p w14:paraId="45D97145">
      <w:pPr>
        <w:pStyle w:val="2"/>
        <w:spacing w:line="380" w:lineRule="auto"/>
      </w:pPr>
    </w:p>
    <w:p w14:paraId="5E5E8E1C">
      <w:pPr>
        <w:spacing w:before="78" w:line="218" w:lineRule="auto"/>
        <w:ind w:left="47"/>
        <w:rPr>
          <w:rFonts w:ascii="仿宋" w:hAnsi="仿宋" w:eastAsia="仿宋" w:cs="仿宋"/>
          <w:sz w:val="24"/>
          <w:szCs w:val="24"/>
        </w:rPr>
      </w:pPr>
      <w:r>
        <w:rPr>
          <w:rFonts w:ascii="仿宋" w:hAnsi="仿宋" w:eastAsia="仿宋" w:cs="仿宋"/>
          <w:b/>
          <w:bCs/>
          <w:spacing w:val="-8"/>
          <w:sz w:val="24"/>
          <w:szCs w:val="24"/>
        </w:rPr>
        <w:t>2.8.7</w:t>
      </w:r>
      <w:r>
        <w:rPr>
          <w:rFonts w:ascii="仿宋" w:hAnsi="仿宋" w:eastAsia="仿宋" w:cs="仿宋"/>
          <w:spacing w:val="-14"/>
          <w:sz w:val="24"/>
          <w:szCs w:val="24"/>
        </w:rPr>
        <w:t xml:space="preserve"> </w:t>
      </w:r>
      <w:r>
        <w:rPr>
          <w:rFonts w:ascii="仿宋" w:hAnsi="仿宋" w:eastAsia="仿宋" w:cs="仿宋"/>
          <w:b/>
          <w:bCs/>
          <w:spacing w:val="-8"/>
          <w:sz w:val="24"/>
          <w:szCs w:val="24"/>
        </w:rPr>
        <w:t>电子胶片系统</w:t>
      </w:r>
    </w:p>
    <w:p w14:paraId="1CF399D1">
      <w:pPr>
        <w:pStyle w:val="2"/>
        <w:spacing w:line="350" w:lineRule="auto"/>
      </w:pPr>
    </w:p>
    <w:p w14:paraId="5C2B4AC4">
      <w:pPr>
        <w:spacing w:before="78" w:line="220" w:lineRule="auto"/>
        <w:ind w:left="56"/>
        <w:rPr>
          <w:rFonts w:ascii="宋体" w:hAnsi="宋体" w:eastAsia="宋体" w:cs="宋体"/>
          <w:sz w:val="24"/>
          <w:szCs w:val="24"/>
        </w:rPr>
      </w:pPr>
      <w:r>
        <w:rPr>
          <w:rFonts w:ascii="宋体" w:hAnsi="宋体" w:eastAsia="宋体" w:cs="宋体"/>
          <w:spacing w:val="-3"/>
          <w:sz w:val="24"/>
          <w:szCs w:val="24"/>
        </w:rPr>
        <w:t>1、二维码打印集成</w:t>
      </w:r>
    </w:p>
    <w:p w14:paraId="3B48DF8F">
      <w:pPr>
        <w:spacing w:before="310" w:line="219" w:lineRule="auto"/>
        <w:ind w:left="278"/>
        <w:rPr>
          <w:rFonts w:ascii="宋体" w:hAnsi="宋体" w:eastAsia="宋体" w:cs="宋体"/>
          <w:sz w:val="24"/>
          <w:szCs w:val="24"/>
        </w:rPr>
      </w:pPr>
      <w:r>
        <w:rPr>
          <w:rFonts w:ascii="宋体" w:hAnsi="宋体" w:eastAsia="宋体" w:cs="宋体"/>
          <w:spacing w:val="-2"/>
          <w:sz w:val="24"/>
          <w:szCs w:val="24"/>
        </w:rPr>
        <w:t>根据患者检查自动生成二维码，集成打印在影像科室患者登记单或卡片上；</w:t>
      </w:r>
    </w:p>
    <w:p w14:paraId="76315E39">
      <w:pPr>
        <w:spacing w:before="310" w:line="220" w:lineRule="auto"/>
        <w:ind w:left="41"/>
        <w:rPr>
          <w:rFonts w:ascii="宋体" w:hAnsi="宋体" w:eastAsia="宋体" w:cs="宋体"/>
          <w:sz w:val="24"/>
          <w:szCs w:val="24"/>
        </w:rPr>
      </w:pPr>
      <w:r>
        <w:rPr>
          <w:rFonts w:ascii="宋体" w:hAnsi="宋体" w:eastAsia="宋体" w:cs="宋体"/>
          <w:spacing w:val="-2"/>
          <w:sz w:val="24"/>
          <w:szCs w:val="24"/>
        </w:rPr>
        <w:t>2、扫码查看</w:t>
      </w:r>
    </w:p>
    <w:p w14:paraId="7C4CC0FB">
      <w:pPr>
        <w:spacing w:before="310" w:line="220" w:lineRule="auto"/>
        <w:ind w:left="39"/>
        <w:rPr>
          <w:rFonts w:ascii="宋体" w:hAnsi="宋体" w:eastAsia="宋体" w:cs="宋体"/>
          <w:sz w:val="24"/>
          <w:szCs w:val="24"/>
        </w:rPr>
      </w:pPr>
      <w:r>
        <w:rPr>
          <w:rFonts w:ascii="宋体" w:hAnsi="宋体" w:eastAsia="宋体" w:cs="宋体"/>
          <w:spacing w:val="-3"/>
          <w:sz w:val="24"/>
          <w:szCs w:val="24"/>
        </w:rPr>
        <w:t>支持患者通过微信扫描二维码方式查看检查结果；</w:t>
      </w:r>
    </w:p>
    <w:p w14:paraId="42F36C0A">
      <w:pPr>
        <w:spacing w:before="310" w:line="220" w:lineRule="auto"/>
        <w:ind w:left="43"/>
        <w:rPr>
          <w:rFonts w:ascii="宋体" w:hAnsi="宋体" w:eastAsia="宋体" w:cs="宋体"/>
          <w:sz w:val="24"/>
          <w:szCs w:val="24"/>
        </w:rPr>
      </w:pPr>
      <w:r>
        <w:rPr>
          <w:rFonts w:ascii="宋体" w:hAnsi="宋体" w:eastAsia="宋体" w:cs="宋体"/>
          <w:spacing w:val="-2"/>
          <w:sz w:val="24"/>
          <w:szCs w:val="24"/>
        </w:rPr>
        <w:t>3、患者入口集成</w:t>
      </w:r>
    </w:p>
    <w:p w14:paraId="7AC8D9F6">
      <w:pPr>
        <w:spacing w:before="311" w:line="445" w:lineRule="auto"/>
        <w:ind w:left="38" w:right="129" w:firstLine="251"/>
        <w:rPr>
          <w:rFonts w:ascii="宋体" w:hAnsi="宋体" w:eastAsia="宋体" w:cs="宋体"/>
          <w:sz w:val="24"/>
          <w:szCs w:val="24"/>
        </w:rPr>
      </w:pPr>
      <w:r>
        <w:rPr>
          <w:rFonts w:ascii="宋体" w:hAnsi="宋体" w:eastAsia="宋体" w:cs="宋体"/>
          <w:spacing w:val="-1"/>
          <w:sz w:val="24"/>
          <w:szCs w:val="24"/>
        </w:rPr>
        <w:t>患者访问影像检查结果入口与医院</w:t>
      </w:r>
      <w:r>
        <w:rPr>
          <w:rFonts w:ascii="宋体" w:hAnsi="宋体" w:eastAsia="宋体" w:cs="宋体"/>
          <w:spacing w:val="-41"/>
          <w:sz w:val="24"/>
          <w:szCs w:val="24"/>
        </w:rPr>
        <w:t xml:space="preserve"> </w:t>
      </w:r>
      <w:r>
        <w:rPr>
          <w:rFonts w:ascii="宋体" w:hAnsi="宋体" w:eastAsia="宋体" w:cs="宋体"/>
          <w:spacing w:val="-1"/>
          <w:sz w:val="24"/>
          <w:szCs w:val="24"/>
        </w:rPr>
        <w:t>APP、微信公众号、小程序等做集成，并随时通过入口查</w:t>
      </w:r>
      <w:r>
        <w:rPr>
          <w:rFonts w:ascii="宋体" w:hAnsi="宋体" w:eastAsia="宋体" w:cs="宋体"/>
          <w:sz w:val="24"/>
          <w:szCs w:val="24"/>
        </w:rPr>
        <w:t xml:space="preserve"> </w:t>
      </w:r>
      <w:r>
        <w:rPr>
          <w:rFonts w:ascii="宋体" w:hAnsi="宋体" w:eastAsia="宋体" w:cs="宋体"/>
          <w:spacing w:val="-4"/>
          <w:sz w:val="24"/>
          <w:szCs w:val="24"/>
        </w:rPr>
        <w:t>询患者影像检查结果。</w:t>
      </w:r>
    </w:p>
    <w:p w14:paraId="5025F837">
      <w:pPr>
        <w:spacing w:before="34" w:line="220" w:lineRule="auto"/>
        <w:ind w:left="37"/>
        <w:rPr>
          <w:rFonts w:ascii="宋体" w:hAnsi="宋体" w:eastAsia="宋体" w:cs="宋体"/>
          <w:sz w:val="24"/>
          <w:szCs w:val="24"/>
        </w:rPr>
      </w:pPr>
      <w:r>
        <w:rPr>
          <w:rFonts w:ascii="宋体" w:hAnsi="宋体" w:eastAsia="宋体" w:cs="宋体"/>
          <w:spacing w:val="-1"/>
          <w:sz w:val="24"/>
          <w:szCs w:val="24"/>
        </w:rPr>
        <w:t>4、访问身份认证</w:t>
      </w:r>
    </w:p>
    <w:p w14:paraId="7F5BD15A">
      <w:pPr>
        <w:spacing w:before="311" w:line="445" w:lineRule="auto"/>
        <w:ind w:left="37" w:right="69" w:firstLine="481"/>
        <w:rPr>
          <w:rFonts w:ascii="宋体" w:hAnsi="宋体" w:eastAsia="宋体" w:cs="宋体"/>
          <w:sz w:val="24"/>
          <w:szCs w:val="24"/>
        </w:rPr>
      </w:pPr>
      <w:r>
        <w:rPr>
          <w:rFonts w:ascii="宋体" w:hAnsi="宋体" w:eastAsia="宋体" w:cs="宋体"/>
          <w:sz w:val="24"/>
          <w:szCs w:val="24"/>
        </w:rPr>
        <w:t>支持微信扫码或手动查询取片，访问检查需输入个人身份证号</w:t>
      </w:r>
      <w:r>
        <w:rPr>
          <w:rFonts w:ascii="宋体" w:hAnsi="宋体" w:eastAsia="宋体" w:cs="宋体"/>
          <w:spacing w:val="-1"/>
          <w:sz w:val="24"/>
          <w:szCs w:val="24"/>
        </w:rPr>
        <w:t>或手机号几位数字进行身份</w:t>
      </w:r>
      <w:r>
        <w:rPr>
          <w:rFonts w:ascii="宋体" w:hAnsi="宋体" w:eastAsia="宋体" w:cs="宋体"/>
          <w:sz w:val="24"/>
          <w:szCs w:val="24"/>
        </w:rPr>
        <w:t xml:space="preserve"> </w:t>
      </w:r>
      <w:r>
        <w:rPr>
          <w:rFonts w:ascii="宋体" w:hAnsi="宋体" w:eastAsia="宋体" w:cs="宋体"/>
          <w:spacing w:val="-4"/>
          <w:sz w:val="24"/>
          <w:szCs w:val="24"/>
        </w:rPr>
        <w:t>验证，访问认证通过，方可查看检查信息；</w:t>
      </w:r>
    </w:p>
    <w:p w14:paraId="5F37D6FD">
      <w:pPr>
        <w:spacing w:before="34" w:line="220" w:lineRule="auto"/>
        <w:ind w:left="43"/>
        <w:rPr>
          <w:rFonts w:ascii="宋体" w:hAnsi="宋体" w:eastAsia="宋体" w:cs="宋体"/>
          <w:sz w:val="24"/>
          <w:szCs w:val="24"/>
        </w:rPr>
      </w:pPr>
      <w:r>
        <w:rPr>
          <w:rFonts w:ascii="宋体" w:hAnsi="宋体" w:eastAsia="宋体" w:cs="宋体"/>
          <w:spacing w:val="-2"/>
          <w:sz w:val="24"/>
          <w:szCs w:val="24"/>
        </w:rPr>
        <w:t>5、患者详情信息</w:t>
      </w:r>
    </w:p>
    <w:p w14:paraId="0149B86F">
      <w:pPr>
        <w:spacing w:before="311" w:line="218" w:lineRule="auto"/>
        <w:ind w:left="279"/>
        <w:rPr>
          <w:rFonts w:ascii="宋体" w:hAnsi="宋体" w:eastAsia="宋体" w:cs="宋体"/>
          <w:sz w:val="24"/>
          <w:szCs w:val="24"/>
        </w:rPr>
      </w:pPr>
      <w:r>
        <w:rPr>
          <w:rFonts w:ascii="宋体" w:hAnsi="宋体" w:eastAsia="宋体" w:cs="宋体"/>
          <w:spacing w:val="-2"/>
          <w:sz w:val="24"/>
          <w:szCs w:val="24"/>
        </w:rPr>
        <w:t>支持显示患者检查信息、历史报告查询、影像缩略图、报告缩略图等信息；</w:t>
      </w:r>
    </w:p>
    <w:p w14:paraId="165ED3A0">
      <w:pPr>
        <w:spacing w:before="313" w:line="218" w:lineRule="auto"/>
        <w:ind w:left="40"/>
        <w:rPr>
          <w:rFonts w:ascii="宋体" w:hAnsi="宋体" w:eastAsia="宋体" w:cs="宋体"/>
          <w:sz w:val="24"/>
          <w:szCs w:val="24"/>
        </w:rPr>
      </w:pPr>
      <w:r>
        <w:rPr>
          <w:rFonts w:ascii="宋体" w:hAnsi="宋体" w:eastAsia="宋体" w:cs="宋体"/>
          <w:spacing w:val="-2"/>
          <w:sz w:val="24"/>
          <w:szCs w:val="24"/>
        </w:rPr>
        <w:t>6、报告单查看</w:t>
      </w:r>
    </w:p>
    <w:p w14:paraId="300F8A24">
      <w:pPr>
        <w:spacing w:before="312" w:line="218" w:lineRule="auto"/>
        <w:ind w:left="520"/>
        <w:rPr>
          <w:rFonts w:ascii="宋体" w:hAnsi="宋体" w:eastAsia="宋体" w:cs="宋体"/>
          <w:sz w:val="24"/>
          <w:szCs w:val="24"/>
        </w:rPr>
      </w:pPr>
      <w:r>
        <w:rPr>
          <w:rFonts w:ascii="宋体" w:hAnsi="宋体" w:eastAsia="宋体" w:cs="宋体"/>
          <w:spacing w:val="-2"/>
          <w:sz w:val="24"/>
          <w:szCs w:val="24"/>
        </w:rPr>
        <w:t>可通过移动设备直接调阅到检查的原始报告或</w:t>
      </w:r>
      <w:r>
        <w:rPr>
          <w:rFonts w:ascii="宋体" w:hAnsi="宋体" w:eastAsia="宋体" w:cs="宋体"/>
          <w:spacing w:val="-55"/>
          <w:sz w:val="24"/>
          <w:szCs w:val="24"/>
        </w:rPr>
        <w:t xml:space="preserve"> </w:t>
      </w:r>
      <w:r>
        <w:rPr>
          <w:rFonts w:ascii="宋体" w:hAnsi="宋体" w:eastAsia="宋体" w:cs="宋体"/>
          <w:spacing w:val="-2"/>
          <w:sz w:val="24"/>
          <w:szCs w:val="24"/>
        </w:rPr>
        <w:t>PDF</w:t>
      </w:r>
      <w:r>
        <w:rPr>
          <w:rFonts w:ascii="宋体" w:hAnsi="宋体" w:eastAsia="宋体" w:cs="宋体"/>
          <w:spacing w:val="-49"/>
          <w:sz w:val="24"/>
          <w:szCs w:val="24"/>
        </w:rPr>
        <w:t xml:space="preserve"> </w:t>
      </w:r>
      <w:r>
        <w:rPr>
          <w:rFonts w:ascii="宋体" w:hAnsi="宋体" w:eastAsia="宋体" w:cs="宋体"/>
          <w:spacing w:val="-2"/>
          <w:sz w:val="24"/>
          <w:szCs w:val="24"/>
        </w:rPr>
        <w:t>版报告；PDF</w:t>
      </w:r>
      <w:r>
        <w:rPr>
          <w:rFonts w:ascii="宋体" w:hAnsi="宋体" w:eastAsia="宋体" w:cs="宋体"/>
          <w:spacing w:val="-50"/>
          <w:sz w:val="24"/>
          <w:szCs w:val="24"/>
        </w:rPr>
        <w:t xml:space="preserve"> </w:t>
      </w:r>
      <w:r>
        <w:rPr>
          <w:rFonts w:ascii="宋体" w:hAnsi="宋体" w:eastAsia="宋体" w:cs="宋体"/>
          <w:spacing w:val="-2"/>
          <w:sz w:val="24"/>
          <w:szCs w:val="24"/>
        </w:rPr>
        <w:t>版报告支</w:t>
      </w:r>
      <w:r>
        <w:rPr>
          <w:rFonts w:ascii="宋体" w:hAnsi="宋体" w:eastAsia="宋体" w:cs="宋体"/>
          <w:spacing w:val="-3"/>
          <w:sz w:val="24"/>
          <w:szCs w:val="24"/>
        </w:rPr>
        <w:t>持加水印功能；</w:t>
      </w:r>
    </w:p>
    <w:p w14:paraId="40F0E3E8">
      <w:pPr>
        <w:spacing w:before="312" w:line="220" w:lineRule="auto"/>
        <w:ind w:left="44"/>
        <w:rPr>
          <w:rFonts w:ascii="宋体" w:hAnsi="宋体" w:eastAsia="宋体" w:cs="宋体"/>
          <w:sz w:val="24"/>
          <w:szCs w:val="24"/>
        </w:rPr>
      </w:pPr>
      <w:r>
        <w:rPr>
          <w:rFonts w:ascii="宋体" w:hAnsi="宋体" w:eastAsia="宋体" w:cs="宋体"/>
          <w:spacing w:val="-3"/>
          <w:sz w:val="24"/>
          <w:szCs w:val="24"/>
        </w:rPr>
        <w:t>7、影像查看</w:t>
      </w:r>
    </w:p>
    <w:p w14:paraId="07309C01">
      <w:pPr>
        <w:spacing w:before="311" w:line="445" w:lineRule="auto"/>
        <w:ind w:left="38" w:right="69" w:firstLine="491"/>
        <w:rPr>
          <w:rFonts w:ascii="宋体" w:hAnsi="宋体" w:eastAsia="宋体" w:cs="宋体"/>
          <w:sz w:val="24"/>
          <w:szCs w:val="24"/>
        </w:rPr>
      </w:pPr>
      <w:r>
        <w:rPr>
          <w:rFonts w:ascii="宋体" w:hAnsi="宋体" w:eastAsia="宋体" w:cs="宋体"/>
          <w:spacing w:val="-1"/>
          <w:sz w:val="24"/>
          <w:szCs w:val="24"/>
        </w:rPr>
        <w:t>患者可查看影像检查的所有序列原始影像，并支持进行影像翻阅处理；具备页面方式进行</w:t>
      </w:r>
      <w:r>
        <w:rPr>
          <w:rFonts w:ascii="宋体" w:hAnsi="宋体" w:eastAsia="宋体" w:cs="宋体"/>
          <w:spacing w:val="17"/>
          <w:sz w:val="24"/>
          <w:szCs w:val="24"/>
        </w:rPr>
        <w:t xml:space="preserve"> </w:t>
      </w:r>
      <w:r>
        <w:rPr>
          <w:rFonts w:ascii="宋体" w:hAnsi="宋体" w:eastAsia="宋体" w:cs="宋体"/>
          <w:spacing w:val="-11"/>
          <w:sz w:val="24"/>
          <w:szCs w:val="24"/>
        </w:rPr>
        <w:t>影像阅片；</w:t>
      </w:r>
    </w:p>
    <w:p w14:paraId="336D3A8C">
      <w:pPr>
        <w:spacing w:before="34" w:line="220" w:lineRule="auto"/>
        <w:ind w:left="39"/>
        <w:rPr>
          <w:rFonts w:ascii="宋体" w:hAnsi="宋体" w:eastAsia="宋体" w:cs="宋体"/>
          <w:sz w:val="24"/>
          <w:szCs w:val="24"/>
        </w:rPr>
      </w:pPr>
      <w:r>
        <w:rPr>
          <w:rFonts w:ascii="宋体" w:hAnsi="宋体" w:eastAsia="宋体" w:cs="宋体"/>
          <w:spacing w:val="-2"/>
          <w:sz w:val="24"/>
          <w:szCs w:val="24"/>
        </w:rPr>
        <w:t>8、影像操作工具</w:t>
      </w:r>
    </w:p>
    <w:p w14:paraId="798FB0E8">
      <w:pPr>
        <w:spacing w:before="311" w:line="445" w:lineRule="auto"/>
        <w:ind w:left="40" w:right="28" w:firstLine="239"/>
        <w:rPr>
          <w:rFonts w:ascii="宋体" w:hAnsi="宋体" w:eastAsia="宋体" w:cs="宋体"/>
          <w:sz w:val="24"/>
          <w:szCs w:val="24"/>
        </w:rPr>
      </w:pPr>
      <w:r>
        <w:rPr>
          <w:rFonts w:ascii="宋体" w:hAnsi="宋体" w:eastAsia="宋体" w:cs="宋体"/>
          <w:spacing w:val="-5"/>
          <w:sz w:val="24"/>
          <w:szCs w:val="24"/>
        </w:rPr>
        <w:t>支持图像缩放、平移、翻页、播放、测量长度、</w:t>
      </w:r>
      <w:r>
        <w:rPr>
          <w:rFonts w:ascii="宋体" w:hAnsi="宋体" w:eastAsia="宋体" w:cs="宋体"/>
          <w:spacing w:val="44"/>
          <w:sz w:val="24"/>
          <w:szCs w:val="24"/>
        </w:rPr>
        <w:t xml:space="preserve"> </w:t>
      </w:r>
      <w:r>
        <w:rPr>
          <w:rFonts w:ascii="宋体" w:hAnsi="宋体" w:eastAsia="宋体" w:cs="宋体"/>
          <w:spacing w:val="-5"/>
          <w:sz w:val="24"/>
          <w:szCs w:val="24"/>
        </w:rPr>
        <w:t>CT</w:t>
      </w:r>
      <w:r>
        <w:rPr>
          <w:rFonts w:ascii="宋体" w:hAnsi="宋体" w:eastAsia="宋体" w:cs="宋体"/>
          <w:spacing w:val="-51"/>
          <w:sz w:val="24"/>
          <w:szCs w:val="24"/>
        </w:rPr>
        <w:t xml:space="preserve"> </w:t>
      </w:r>
      <w:r>
        <w:rPr>
          <w:rFonts w:ascii="宋体" w:hAnsi="宋体" w:eastAsia="宋体" w:cs="宋体"/>
          <w:spacing w:val="-5"/>
          <w:sz w:val="24"/>
          <w:szCs w:val="24"/>
        </w:rPr>
        <w:t>值、镜像翻转、图像旋转、四角信息隐藏</w:t>
      </w:r>
      <w:r>
        <w:rPr>
          <w:rFonts w:ascii="宋体" w:hAnsi="宋体" w:eastAsia="宋体" w:cs="宋体"/>
          <w:sz w:val="24"/>
          <w:szCs w:val="24"/>
        </w:rPr>
        <w:t xml:space="preserve"> </w:t>
      </w:r>
      <w:r>
        <w:rPr>
          <w:rFonts w:ascii="宋体" w:hAnsi="宋体" w:eastAsia="宋体" w:cs="宋体"/>
          <w:spacing w:val="-9"/>
          <w:sz w:val="24"/>
          <w:szCs w:val="24"/>
        </w:rPr>
        <w:t>等功能。</w:t>
      </w:r>
    </w:p>
    <w:p w14:paraId="4E474D73">
      <w:pPr>
        <w:spacing w:before="34" w:line="219" w:lineRule="auto"/>
        <w:ind w:left="280"/>
        <w:rPr>
          <w:rFonts w:ascii="宋体" w:hAnsi="宋体" w:eastAsia="宋体" w:cs="宋体"/>
          <w:sz w:val="24"/>
          <w:szCs w:val="24"/>
        </w:rPr>
      </w:pPr>
      <w:r>
        <w:rPr>
          <w:rFonts w:ascii="宋体" w:hAnsi="宋体" w:eastAsia="宋体" w:cs="宋体"/>
          <w:spacing w:val="-1"/>
          <w:sz w:val="24"/>
          <w:szCs w:val="24"/>
        </w:rPr>
        <w:t>预设值支持查看骨窗、腹窗、肺窗、软组织、骨窗等。提供帮助服务：指导用</w:t>
      </w:r>
      <w:r>
        <w:rPr>
          <w:rFonts w:ascii="宋体" w:hAnsi="宋体" w:eastAsia="宋体" w:cs="宋体"/>
          <w:spacing w:val="-2"/>
          <w:sz w:val="24"/>
          <w:szCs w:val="24"/>
        </w:rPr>
        <w:t>户简单操作。</w:t>
      </w:r>
    </w:p>
    <w:p w14:paraId="5EF28413">
      <w:pPr>
        <w:spacing w:before="311" w:line="220" w:lineRule="auto"/>
        <w:ind w:left="39"/>
        <w:rPr>
          <w:rFonts w:ascii="宋体" w:hAnsi="宋体" w:eastAsia="宋体" w:cs="宋体"/>
          <w:sz w:val="24"/>
          <w:szCs w:val="24"/>
        </w:rPr>
      </w:pPr>
      <w:r>
        <w:rPr>
          <w:rFonts w:ascii="宋体" w:hAnsi="宋体" w:eastAsia="宋体" w:cs="宋体"/>
          <w:spacing w:val="-2"/>
          <w:sz w:val="24"/>
          <w:szCs w:val="24"/>
        </w:rPr>
        <w:t>9、检查分享</w:t>
      </w:r>
    </w:p>
    <w:p w14:paraId="7655F4EB">
      <w:pPr>
        <w:pStyle w:val="2"/>
        <w:spacing w:line="273" w:lineRule="auto"/>
      </w:pPr>
    </w:p>
    <w:p w14:paraId="7AE13AB7">
      <w:pPr>
        <w:pStyle w:val="2"/>
        <w:spacing w:line="273" w:lineRule="auto"/>
      </w:pPr>
    </w:p>
    <w:p w14:paraId="7B0F3F2F">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72                                </w:t>
      </w:r>
      <w:r>
        <w:rPr>
          <w:rFonts w:ascii="宋体" w:hAnsi="宋体" w:eastAsia="宋体" w:cs="宋体"/>
          <w:b/>
          <w:bCs/>
          <w:i/>
          <w:iCs/>
          <w:spacing w:val="-3"/>
          <w:sz w:val="19"/>
          <w:szCs w:val="19"/>
        </w:rPr>
        <w:t>伊犁州公共资源交易中心</w:t>
      </w:r>
    </w:p>
    <w:p w14:paraId="035065A5">
      <w:pPr>
        <w:spacing w:line="160" w:lineRule="auto"/>
        <w:rPr>
          <w:rFonts w:ascii="宋体" w:hAnsi="宋体" w:eastAsia="宋体" w:cs="宋体"/>
          <w:sz w:val="19"/>
          <w:szCs w:val="19"/>
        </w:rPr>
        <w:sectPr>
          <w:headerReference r:id="rId66" w:type="default"/>
          <w:footerReference r:id="rId67" w:type="default"/>
          <w:pgSz w:w="11905" w:h="16839"/>
          <w:pgMar w:top="1136" w:right="830" w:bottom="937" w:left="1136" w:header="854" w:footer="923" w:gutter="0"/>
          <w:cols w:space="720" w:num="1"/>
        </w:sectPr>
      </w:pPr>
    </w:p>
    <w:p w14:paraId="1515C8A4">
      <w:pPr>
        <w:pStyle w:val="2"/>
        <w:spacing w:line="378" w:lineRule="auto"/>
      </w:pPr>
    </w:p>
    <w:p w14:paraId="114F913F">
      <w:pPr>
        <w:spacing w:before="78" w:line="450" w:lineRule="auto"/>
        <w:ind w:left="39" w:right="45" w:firstLine="2"/>
        <w:rPr>
          <w:rFonts w:ascii="宋体" w:hAnsi="宋体" w:eastAsia="宋体" w:cs="宋体"/>
          <w:sz w:val="24"/>
          <w:szCs w:val="24"/>
        </w:rPr>
      </w:pPr>
      <w:r>
        <w:rPr>
          <w:rFonts w:ascii="宋体" w:hAnsi="宋体" w:eastAsia="宋体" w:cs="宋体"/>
          <w:spacing w:val="1"/>
          <w:sz w:val="24"/>
          <w:szCs w:val="24"/>
        </w:rPr>
        <w:t>★支持二维码或网络链接地址分享方式，支持设置自定义</w:t>
      </w:r>
      <w:r>
        <w:rPr>
          <w:rFonts w:ascii="宋体" w:hAnsi="宋体" w:eastAsia="宋体" w:cs="宋体"/>
          <w:sz w:val="24"/>
          <w:szCs w:val="24"/>
        </w:rPr>
        <w:t xml:space="preserve">分享日期范围，如一天、三天、五天 </w:t>
      </w:r>
      <w:r>
        <w:rPr>
          <w:rFonts w:ascii="宋体" w:hAnsi="宋体" w:eastAsia="宋体" w:cs="宋体"/>
          <w:spacing w:val="1"/>
          <w:sz w:val="24"/>
          <w:szCs w:val="24"/>
        </w:rPr>
        <w:t>或自定义日期范围，支持分享验证码设置（提供产品界面证明</w:t>
      </w:r>
      <w:r>
        <w:rPr>
          <w:rFonts w:ascii="宋体" w:hAnsi="宋体" w:eastAsia="宋体" w:cs="宋体"/>
          <w:sz w:val="24"/>
          <w:szCs w:val="24"/>
        </w:rPr>
        <w:t xml:space="preserve">）分享超时二维码、链接访问， </w:t>
      </w:r>
      <w:r>
        <w:rPr>
          <w:rFonts w:ascii="宋体" w:hAnsi="宋体" w:eastAsia="宋体" w:cs="宋体"/>
          <w:spacing w:val="-5"/>
          <w:sz w:val="24"/>
          <w:szCs w:val="24"/>
        </w:rPr>
        <w:t>提示分享访问已失效。</w:t>
      </w:r>
    </w:p>
    <w:p w14:paraId="761B86B1">
      <w:pPr>
        <w:spacing w:before="33" w:line="220" w:lineRule="auto"/>
        <w:ind w:left="56"/>
        <w:rPr>
          <w:rFonts w:ascii="宋体" w:hAnsi="宋体" w:eastAsia="宋体" w:cs="宋体"/>
          <w:sz w:val="24"/>
          <w:szCs w:val="24"/>
        </w:rPr>
      </w:pPr>
      <w:r>
        <w:rPr>
          <w:rFonts w:ascii="宋体" w:hAnsi="宋体" w:eastAsia="宋体" w:cs="宋体"/>
          <w:spacing w:val="-4"/>
          <w:sz w:val="24"/>
          <w:szCs w:val="24"/>
        </w:rPr>
        <w:t>10、历史检查</w:t>
      </w:r>
    </w:p>
    <w:p w14:paraId="474EB12A">
      <w:pPr>
        <w:spacing w:before="309" w:line="450" w:lineRule="auto"/>
        <w:ind w:left="40" w:right="45" w:firstLine="489"/>
        <w:rPr>
          <w:rFonts w:ascii="宋体" w:hAnsi="宋体" w:eastAsia="宋体" w:cs="宋体"/>
          <w:sz w:val="24"/>
          <w:szCs w:val="24"/>
        </w:rPr>
      </w:pPr>
      <w:r>
        <w:rPr>
          <w:rFonts w:ascii="宋体" w:hAnsi="宋体" w:eastAsia="宋体" w:cs="宋体"/>
          <w:sz w:val="24"/>
          <w:szCs w:val="24"/>
        </w:rPr>
        <w:t>患者可浏览历史检查记录，便于管理个人影像健康</w:t>
      </w:r>
      <w:r>
        <w:rPr>
          <w:rFonts w:ascii="宋体" w:hAnsi="宋体" w:eastAsia="宋体" w:cs="宋体"/>
          <w:spacing w:val="-1"/>
          <w:sz w:val="24"/>
          <w:szCs w:val="24"/>
        </w:rPr>
        <w:t>档案；可按照检查日期、姓名、医院、</w:t>
      </w:r>
      <w:r>
        <w:rPr>
          <w:rFonts w:ascii="宋体" w:hAnsi="宋体" w:eastAsia="宋体" w:cs="宋体"/>
          <w:sz w:val="24"/>
          <w:szCs w:val="24"/>
        </w:rPr>
        <w:t xml:space="preserve"> </w:t>
      </w:r>
      <w:r>
        <w:rPr>
          <w:rFonts w:ascii="宋体" w:hAnsi="宋体" w:eastAsia="宋体" w:cs="宋体"/>
          <w:spacing w:val="-1"/>
          <w:sz w:val="24"/>
          <w:szCs w:val="24"/>
        </w:rPr>
        <w:t>设备等信息排序显示；显示患者历史检查状态、检查部位、检查</w:t>
      </w:r>
      <w:r>
        <w:rPr>
          <w:rFonts w:ascii="宋体" w:hAnsi="宋体" w:eastAsia="宋体" w:cs="宋体"/>
          <w:spacing w:val="-38"/>
          <w:sz w:val="24"/>
          <w:szCs w:val="24"/>
        </w:rPr>
        <w:t xml:space="preserve"> </w:t>
      </w:r>
      <w:r>
        <w:rPr>
          <w:rFonts w:ascii="宋体" w:hAnsi="宋体" w:eastAsia="宋体" w:cs="宋体"/>
          <w:spacing w:val="-1"/>
          <w:sz w:val="24"/>
          <w:szCs w:val="24"/>
        </w:rPr>
        <w:t>I</w:t>
      </w:r>
      <w:r>
        <w:rPr>
          <w:rFonts w:ascii="宋体" w:hAnsi="宋体" w:eastAsia="宋体" w:cs="宋体"/>
          <w:spacing w:val="-2"/>
          <w:sz w:val="24"/>
          <w:szCs w:val="24"/>
        </w:rPr>
        <w:t>D、检查医院等信息。以便患</w:t>
      </w:r>
      <w:r>
        <w:rPr>
          <w:rFonts w:ascii="宋体" w:hAnsi="宋体" w:eastAsia="宋体" w:cs="宋体"/>
          <w:sz w:val="24"/>
          <w:szCs w:val="24"/>
        </w:rPr>
        <w:t xml:space="preserve"> </w:t>
      </w:r>
      <w:r>
        <w:rPr>
          <w:rFonts w:ascii="宋体" w:hAnsi="宋体" w:eastAsia="宋体" w:cs="宋体"/>
          <w:spacing w:val="-6"/>
          <w:sz w:val="24"/>
          <w:szCs w:val="24"/>
        </w:rPr>
        <w:t>者知晓历史相关检查信息；</w:t>
      </w:r>
    </w:p>
    <w:p w14:paraId="52E229D7">
      <w:pPr>
        <w:spacing w:before="34" w:line="232" w:lineRule="auto"/>
        <w:ind w:left="36"/>
        <w:rPr>
          <w:rFonts w:ascii="楷体" w:hAnsi="楷体" w:eastAsia="楷体" w:cs="楷体"/>
          <w:sz w:val="24"/>
          <w:szCs w:val="24"/>
        </w:rPr>
      </w:pPr>
      <w:r>
        <w:rPr>
          <w:rFonts w:ascii="楷体" w:hAnsi="楷体" w:eastAsia="楷体" w:cs="楷体"/>
          <w:spacing w:val="-2"/>
          <w:sz w:val="24"/>
          <w:szCs w:val="24"/>
        </w:rPr>
        <w:t>2.9</w:t>
      </w:r>
      <w:r>
        <w:rPr>
          <w:rFonts w:ascii="楷体" w:hAnsi="楷体" w:eastAsia="楷体" w:cs="楷体"/>
          <w:spacing w:val="-50"/>
          <w:sz w:val="24"/>
          <w:szCs w:val="24"/>
        </w:rPr>
        <w:t xml:space="preserve"> </w:t>
      </w:r>
      <w:r>
        <w:rPr>
          <w:rFonts w:ascii="楷体" w:hAnsi="楷体" w:eastAsia="楷体" w:cs="楷体"/>
          <w:spacing w:val="-2"/>
          <w:sz w:val="24"/>
          <w:szCs w:val="24"/>
        </w:rPr>
        <w:t>历史数据迁移</w:t>
      </w:r>
    </w:p>
    <w:p w14:paraId="6B34ED38">
      <w:pPr>
        <w:pStyle w:val="2"/>
        <w:spacing w:line="335" w:lineRule="auto"/>
      </w:pPr>
    </w:p>
    <w:p w14:paraId="3BA61572">
      <w:pPr>
        <w:spacing w:before="78" w:line="444" w:lineRule="auto"/>
        <w:ind w:left="49" w:right="45" w:firstLine="486"/>
        <w:rPr>
          <w:rFonts w:ascii="宋体" w:hAnsi="宋体" w:eastAsia="宋体" w:cs="宋体"/>
          <w:sz w:val="24"/>
          <w:szCs w:val="24"/>
        </w:rPr>
      </w:pPr>
      <w:r>
        <w:rPr>
          <w:rFonts w:ascii="宋体" w:hAnsi="宋体" w:eastAsia="宋体" w:cs="宋体"/>
          <w:spacing w:val="-1"/>
          <w:sz w:val="24"/>
          <w:szCs w:val="24"/>
        </w:rPr>
        <w:t>1.全面分析原</w:t>
      </w:r>
      <w:r>
        <w:rPr>
          <w:rFonts w:ascii="宋体" w:hAnsi="宋体" w:eastAsia="宋体" w:cs="宋体"/>
          <w:spacing w:val="-41"/>
          <w:sz w:val="24"/>
          <w:szCs w:val="24"/>
        </w:rPr>
        <w:t xml:space="preserve"> </w:t>
      </w:r>
      <w:r>
        <w:rPr>
          <w:rFonts w:ascii="宋体" w:hAnsi="宋体" w:eastAsia="宋体" w:cs="宋体"/>
          <w:spacing w:val="-1"/>
          <w:sz w:val="24"/>
          <w:szCs w:val="24"/>
        </w:rPr>
        <w:t>PACS</w:t>
      </w:r>
      <w:r>
        <w:rPr>
          <w:rFonts w:ascii="宋体" w:hAnsi="宋体" w:eastAsia="宋体" w:cs="宋体"/>
          <w:spacing w:val="-45"/>
          <w:sz w:val="24"/>
          <w:szCs w:val="24"/>
        </w:rPr>
        <w:t xml:space="preserve"> </w:t>
      </w:r>
      <w:r>
        <w:rPr>
          <w:rFonts w:ascii="宋体" w:hAnsi="宋体" w:eastAsia="宋体" w:cs="宋体"/>
          <w:spacing w:val="-1"/>
          <w:sz w:val="24"/>
          <w:szCs w:val="24"/>
        </w:rPr>
        <w:t>系统数据结构，建立与当前</w:t>
      </w:r>
      <w:r>
        <w:rPr>
          <w:rFonts w:ascii="宋体" w:hAnsi="宋体" w:eastAsia="宋体" w:cs="宋体"/>
          <w:spacing w:val="-53"/>
          <w:sz w:val="24"/>
          <w:szCs w:val="24"/>
        </w:rPr>
        <w:t xml:space="preserve"> </w:t>
      </w:r>
      <w:r>
        <w:rPr>
          <w:rFonts w:ascii="宋体" w:hAnsi="宋体" w:eastAsia="宋体" w:cs="宋体"/>
          <w:spacing w:val="-1"/>
          <w:sz w:val="24"/>
          <w:szCs w:val="24"/>
        </w:rPr>
        <w:t>PACS/RIS</w:t>
      </w:r>
      <w:r>
        <w:rPr>
          <w:rFonts w:ascii="宋体" w:hAnsi="宋体" w:eastAsia="宋体" w:cs="宋体"/>
          <w:spacing w:val="-45"/>
          <w:sz w:val="24"/>
          <w:szCs w:val="24"/>
        </w:rPr>
        <w:t xml:space="preserve"> </w:t>
      </w:r>
      <w:r>
        <w:rPr>
          <w:rFonts w:ascii="宋体" w:hAnsi="宋体" w:eastAsia="宋体" w:cs="宋体"/>
          <w:spacing w:val="-1"/>
          <w:sz w:val="24"/>
          <w:szCs w:val="24"/>
        </w:rPr>
        <w:t>系统数据结构的对应关系，涵盖</w:t>
      </w:r>
      <w:r>
        <w:rPr>
          <w:rFonts w:ascii="宋体" w:hAnsi="宋体" w:eastAsia="宋体" w:cs="宋体"/>
          <w:sz w:val="24"/>
          <w:szCs w:val="24"/>
        </w:rPr>
        <w:t xml:space="preserve"> </w:t>
      </w:r>
      <w:r>
        <w:rPr>
          <w:rFonts w:ascii="宋体" w:hAnsi="宋体" w:eastAsia="宋体" w:cs="宋体"/>
          <w:spacing w:val="-2"/>
          <w:sz w:val="24"/>
          <w:szCs w:val="24"/>
        </w:rPr>
        <w:t>患者自然人信息、检查信息、相关检查关联信息、检查图像、报告诊断信息等。</w:t>
      </w:r>
    </w:p>
    <w:p w14:paraId="760D5669">
      <w:pPr>
        <w:spacing w:before="36" w:line="218" w:lineRule="auto"/>
        <w:jc w:val="right"/>
        <w:rPr>
          <w:rFonts w:ascii="宋体" w:hAnsi="宋体" w:eastAsia="宋体" w:cs="宋体"/>
          <w:sz w:val="24"/>
          <w:szCs w:val="24"/>
        </w:rPr>
      </w:pPr>
      <w:r>
        <w:rPr>
          <w:rFonts w:ascii="宋体" w:hAnsi="宋体" w:eastAsia="宋体" w:cs="宋体"/>
          <w:spacing w:val="-2"/>
          <w:sz w:val="24"/>
          <w:szCs w:val="24"/>
        </w:rPr>
        <w:t>2.对导入的数据进行校验，确保其符合</w:t>
      </w:r>
      <w:r>
        <w:rPr>
          <w:rFonts w:ascii="宋体" w:hAnsi="宋体" w:eastAsia="宋体" w:cs="宋体"/>
          <w:spacing w:val="-39"/>
          <w:sz w:val="24"/>
          <w:szCs w:val="24"/>
        </w:rPr>
        <w:t xml:space="preserve"> </w:t>
      </w:r>
      <w:r>
        <w:rPr>
          <w:rFonts w:ascii="宋体" w:hAnsi="宋体" w:eastAsia="宋体" w:cs="宋体"/>
          <w:spacing w:val="-2"/>
          <w:sz w:val="24"/>
          <w:szCs w:val="24"/>
        </w:rPr>
        <w:t>PACS</w:t>
      </w:r>
      <w:r>
        <w:rPr>
          <w:rFonts w:ascii="宋体" w:hAnsi="宋体" w:eastAsia="宋体" w:cs="宋体"/>
          <w:spacing w:val="-46"/>
          <w:sz w:val="24"/>
          <w:szCs w:val="24"/>
        </w:rPr>
        <w:t xml:space="preserve"> </w:t>
      </w:r>
      <w:r>
        <w:rPr>
          <w:rFonts w:ascii="宋体" w:hAnsi="宋体" w:eastAsia="宋体" w:cs="宋体"/>
          <w:spacing w:val="-2"/>
          <w:sz w:val="24"/>
          <w:szCs w:val="24"/>
        </w:rPr>
        <w:t>系统的实时调阅要求，保证数据质量和价值。</w:t>
      </w:r>
    </w:p>
    <w:p w14:paraId="5A0D292E">
      <w:pPr>
        <w:spacing w:before="314" w:line="444" w:lineRule="auto"/>
        <w:ind w:left="37" w:right="45" w:firstLine="485"/>
        <w:rPr>
          <w:rFonts w:ascii="宋体" w:hAnsi="宋体" w:eastAsia="宋体" w:cs="宋体"/>
          <w:sz w:val="24"/>
          <w:szCs w:val="24"/>
        </w:rPr>
      </w:pPr>
      <w:r>
        <w:rPr>
          <w:rFonts w:ascii="宋体" w:hAnsi="宋体" w:eastAsia="宋体" w:cs="宋体"/>
          <w:spacing w:val="-1"/>
          <w:sz w:val="24"/>
          <w:szCs w:val="24"/>
        </w:rPr>
        <w:t>3.平滑集成历史</w:t>
      </w:r>
      <w:r>
        <w:rPr>
          <w:rFonts w:ascii="宋体" w:hAnsi="宋体" w:eastAsia="宋体" w:cs="宋体"/>
          <w:spacing w:val="-53"/>
          <w:sz w:val="24"/>
          <w:szCs w:val="24"/>
        </w:rPr>
        <w:t xml:space="preserve"> </w:t>
      </w:r>
      <w:r>
        <w:rPr>
          <w:rFonts w:ascii="宋体" w:hAnsi="宋体" w:eastAsia="宋体" w:cs="宋体"/>
          <w:spacing w:val="-1"/>
          <w:sz w:val="24"/>
          <w:szCs w:val="24"/>
        </w:rPr>
        <w:t>RIS</w:t>
      </w:r>
      <w:r>
        <w:rPr>
          <w:rFonts w:ascii="宋体" w:hAnsi="宋体" w:eastAsia="宋体" w:cs="宋体"/>
          <w:spacing w:val="-49"/>
          <w:sz w:val="24"/>
          <w:szCs w:val="24"/>
        </w:rPr>
        <w:t xml:space="preserve"> </w:t>
      </w:r>
      <w:r>
        <w:rPr>
          <w:rFonts w:ascii="宋体" w:hAnsi="宋体" w:eastAsia="宋体" w:cs="宋体"/>
          <w:spacing w:val="-1"/>
          <w:sz w:val="24"/>
          <w:szCs w:val="24"/>
        </w:rPr>
        <w:t>数据至新PACS/RI</w:t>
      </w:r>
      <w:r>
        <w:rPr>
          <w:rFonts w:ascii="宋体" w:hAnsi="宋体" w:eastAsia="宋体" w:cs="宋体"/>
          <w:spacing w:val="-2"/>
          <w:sz w:val="24"/>
          <w:szCs w:val="24"/>
        </w:rPr>
        <w:t>S</w:t>
      </w:r>
      <w:r>
        <w:rPr>
          <w:rFonts w:ascii="宋体" w:hAnsi="宋体" w:eastAsia="宋体" w:cs="宋体"/>
          <w:spacing w:val="-46"/>
          <w:sz w:val="24"/>
          <w:szCs w:val="24"/>
        </w:rPr>
        <w:t xml:space="preserve"> </w:t>
      </w:r>
      <w:r>
        <w:rPr>
          <w:rFonts w:ascii="宋体" w:hAnsi="宋体" w:eastAsia="宋体" w:cs="宋体"/>
          <w:spacing w:val="-2"/>
          <w:sz w:val="24"/>
          <w:szCs w:val="24"/>
        </w:rPr>
        <w:t>系统，确保无损呈现，用户可以在线查询历史检查</w:t>
      </w:r>
      <w:r>
        <w:rPr>
          <w:rFonts w:ascii="宋体" w:hAnsi="宋体" w:eastAsia="宋体" w:cs="宋体"/>
          <w:sz w:val="24"/>
          <w:szCs w:val="24"/>
        </w:rPr>
        <w:t xml:space="preserve"> </w:t>
      </w:r>
      <w:r>
        <w:rPr>
          <w:rFonts w:ascii="宋体" w:hAnsi="宋体" w:eastAsia="宋体" w:cs="宋体"/>
          <w:spacing w:val="-1"/>
          <w:sz w:val="24"/>
          <w:szCs w:val="24"/>
        </w:rPr>
        <w:t>记录和原系统中的报告信息，并支持历史数据的再次统计及新旧系统数据</w:t>
      </w:r>
      <w:r>
        <w:rPr>
          <w:rFonts w:ascii="宋体" w:hAnsi="宋体" w:eastAsia="宋体" w:cs="宋体"/>
          <w:spacing w:val="-2"/>
          <w:sz w:val="24"/>
          <w:szCs w:val="24"/>
        </w:rPr>
        <w:t>的融合统计。</w:t>
      </w:r>
    </w:p>
    <w:p w14:paraId="694EA486">
      <w:pPr>
        <w:spacing w:before="35" w:line="446" w:lineRule="auto"/>
        <w:ind w:left="40" w:right="45" w:firstLine="477"/>
        <w:rPr>
          <w:rFonts w:ascii="宋体" w:hAnsi="宋体" w:eastAsia="宋体" w:cs="宋体"/>
          <w:sz w:val="24"/>
          <w:szCs w:val="24"/>
        </w:rPr>
      </w:pPr>
      <w:r>
        <w:rPr>
          <w:rFonts w:ascii="宋体" w:hAnsi="宋体" w:eastAsia="宋体" w:cs="宋体"/>
          <w:spacing w:val="1"/>
          <w:sz w:val="24"/>
          <w:szCs w:val="24"/>
        </w:rPr>
        <w:t>4.实现原有影像的快速定位和无损调阅，支持历史影像的重新整理</w:t>
      </w:r>
      <w:r>
        <w:rPr>
          <w:rFonts w:ascii="宋体" w:hAnsi="宋体" w:eastAsia="宋体" w:cs="宋体"/>
          <w:sz w:val="24"/>
          <w:szCs w:val="24"/>
        </w:rPr>
        <w:t xml:space="preserve">归档，提高存储效率和 </w:t>
      </w:r>
      <w:r>
        <w:rPr>
          <w:rFonts w:ascii="宋体" w:hAnsi="宋体" w:eastAsia="宋体" w:cs="宋体"/>
          <w:spacing w:val="-8"/>
          <w:sz w:val="24"/>
          <w:szCs w:val="24"/>
        </w:rPr>
        <w:t>调取速度。</w:t>
      </w:r>
    </w:p>
    <w:p w14:paraId="1A19FCD5">
      <w:pPr>
        <w:spacing w:before="34" w:line="186" w:lineRule="auto"/>
        <w:ind w:left="38"/>
        <w:rPr>
          <w:rFonts w:ascii="微软雅黑" w:hAnsi="微软雅黑" w:eastAsia="微软雅黑" w:cs="微软雅黑"/>
          <w:sz w:val="24"/>
          <w:szCs w:val="24"/>
        </w:rPr>
      </w:pPr>
      <w:r>
        <w:rPr>
          <w:rFonts w:ascii="微软雅黑" w:hAnsi="微软雅黑" w:eastAsia="微软雅黑" w:cs="微软雅黑"/>
          <w:spacing w:val="-3"/>
          <w:sz w:val="24"/>
          <w:szCs w:val="24"/>
        </w:rPr>
        <w:t>3</w:t>
      </w:r>
      <w:r>
        <w:rPr>
          <w:rFonts w:ascii="微软雅黑" w:hAnsi="微软雅黑" w:eastAsia="微软雅黑" w:cs="微软雅黑"/>
          <w:spacing w:val="60"/>
          <w:sz w:val="24"/>
          <w:szCs w:val="24"/>
        </w:rPr>
        <w:t xml:space="preserve"> </w:t>
      </w:r>
      <w:r>
        <w:rPr>
          <w:rFonts w:ascii="微软雅黑" w:hAnsi="微软雅黑" w:eastAsia="微软雅黑" w:cs="微软雅黑"/>
          <w:spacing w:val="-3"/>
          <w:sz w:val="24"/>
          <w:szCs w:val="24"/>
        </w:rPr>
        <w:t>影像诊断工作站主机参数要求</w:t>
      </w:r>
    </w:p>
    <w:p w14:paraId="6CE8E630">
      <w:pPr>
        <w:spacing w:before="276" w:line="219" w:lineRule="auto"/>
        <w:ind w:left="458"/>
        <w:rPr>
          <w:rFonts w:ascii="宋体" w:hAnsi="宋体" w:eastAsia="宋体" w:cs="宋体"/>
          <w:sz w:val="24"/>
          <w:szCs w:val="24"/>
        </w:rPr>
      </w:pPr>
      <w:r>
        <w:rPr>
          <w:rFonts w:ascii="宋体" w:hAnsi="宋体" w:eastAsia="宋体" w:cs="宋体"/>
          <w:spacing w:val="-3"/>
          <w:sz w:val="24"/>
          <w:szCs w:val="24"/>
        </w:rPr>
        <w:t>影像诊断工作站主机数量：15</w:t>
      </w:r>
      <w:r>
        <w:rPr>
          <w:rFonts w:ascii="宋体" w:hAnsi="宋体" w:eastAsia="宋体" w:cs="宋体"/>
          <w:spacing w:val="-26"/>
          <w:sz w:val="24"/>
          <w:szCs w:val="24"/>
        </w:rPr>
        <w:t xml:space="preserve"> </w:t>
      </w:r>
      <w:r>
        <w:rPr>
          <w:rFonts w:ascii="宋体" w:hAnsi="宋体" w:eastAsia="宋体" w:cs="宋体"/>
          <w:spacing w:val="-3"/>
          <w:sz w:val="24"/>
          <w:szCs w:val="24"/>
        </w:rPr>
        <w:t>台。</w:t>
      </w:r>
    </w:p>
    <w:p w14:paraId="593680AC">
      <w:pPr>
        <w:spacing w:before="311" w:line="452" w:lineRule="auto"/>
        <w:ind w:left="34" w:right="45" w:firstLine="423"/>
        <w:rPr>
          <w:rFonts w:ascii="宋体" w:hAnsi="宋体" w:eastAsia="宋体" w:cs="宋体"/>
          <w:sz w:val="24"/>
          <w:szCs w:val="24"/>
        </w:rPr>
      </w:pPr>
      <w:r>
        <w:rPr>
          <w:rFonts w:ascii="宋体" w:hAnsi="宋体" w:eastAsia="宋体" w:cs="宋体"/>
          <w:spacing w:val="-3"/>
          <w:sz w:val="24"/>
          <w:szCs w:val="24"/>
        </w:rPr>
        <w:t>影像工作站主机电脑配置：CPU</w:t>
      </w:r>
      <w:r>
        <w:rPr>
          <w:rFonts w:ascii="宋体" w:hAnsi="宋体" w:eastAsia="宋体" w:cs="宋体"/>
          <w:spacing w:val="-44"/>
          <w:sz w:val="24"/>
          <w:szCs w:val="24"/>
        </w:rPr>
        <w:t xml:space="preserve"> </w:t>
      </w:r>
      <w:r>
        <w:rPr>
          <w:rFonts w:ascii="宋体" w:hAnsi="宋体" w:eastAsia="宋体" w:cs="宋体"/>
          <w:spacing w:val="-3"/>
          <w:sz w:val="24"/>
          <w:szCs w:val="24"/>
        </w:rPr>
        <w:t>不得低于第</w:t>
      </w:r>
      <w:r>
        <w:rPr>
          <w:rFonts w:ascii="宋体" w:hAnsi="宋体" w:eastAsia="宋体" w:cs="宋体"/>
          <w:spacing w:val="-33"/>
          <w:sz w:val="24"/>
          <w:szCs w:val="24"/>
        </w:rPr>
        <w:t xml:space="preserve"> </w:t>
      </w:r>
      <w:r>
        <w:rPr>
          <w:rFonts w:ascii="宋体" w:hAnsi="宋体" w:eastAsia="宋体" w:cs="宋体"/>
          <w:spacing w:val="-3"/>
          <w:sz w:val="24"/>
          <w:szCs w:val="24"/>
        </w:rPr>
        <w:t>12</w:t>
      </w:r>
      <w:r>
        <w:rPr>
          <w:rFonts w:ascii="宋体" w:hAnsi="宋体" w:eastAsia="宋体" w:cs="宋体"/>
          <w:spacing w:val="-51"/>
          <w:sz w:val="24"/>
          <w:szCs w:val="24"/>
        </w:rPr>
        <w:t xml:space="preserve"> </w:t>
      </w:r>
      <w:r>
        <w:rPr>
          <w:rFonts w:ascii="宋体" w:hAnsi="宋体" w:eastAsia="宋体" w:cs="宋体"/>
          <w:spacing w:val="-3"/>
          <w:sz w:val="24"/>
          <w:szCs w:val="24"/>
        </w:rPr>
        <w:t>代</w:t>
      </w:r>
      <w:r>
        <w:rPr>
          <w:rFonts w:ascii="宋体" w:hAnsi="宋体" w:eastAsia="宋体" w:cs="宋体"/>
          <w:spacing w:val="-35"/>
          <w:sz w:val="24"/>
          <w:szCs w:val="24"/>
        </w:rPr>
        <w:t xml:space="preserve"> </w:t>
      </w:r>
      <w:r>
        <w:rPr>
          <w:rFonts w:ascii="宋体" w:hAnsi="宋体" w:eastAsia="宋体" w:cs="宋体"/>
          <w:spacing w:val="-3"/>
          <w:sz w:val="24"/>
          <w:szCs w:val="24"/>
        </w:rPr>
        <w:t>i5 12400F，主板不低于</w:t>
      </w:r>
      <w:r>
        <w:rPr>
          <w:rFonts w:ascii="宋体" w:hAnsi="宋体" w:eastAsia="宋体" w:cs="宋体"/>
          <w:spacing w:val="-56"/>
          <w:sz w:val="24"/>
          <w:szCs w:val="24"/>
        </w:rPr>
        <w:t xml:space="preserve"> </w:t>
      </w:r>
      <w:r>
        <w:rPr>
          <w:rFonts w:ascii="宋体" w:hAnsi="宋体" w:eastAsia="宋体" w:cs="宋体"/>
          <w:spacing w:val="-3"/>
          <w:sz w:val="24"/>
          <w:szCs w:val="24"/>
        </w:rPr>
        <w:t>B760</w:t>
      </w:r>
      <w:r>
        <w:rPr>
          <w:rFonts w:ascii="宋体" w:hAnsi="宋体" w:eastAsia="宋体" w:cs="宋体"/>
          <w:spacing w:val="-31"/>
          <w:sz w:val="24"/>
          <w:szCs w:val="24"/>
        </w:rPr>
        <w:t xml:space="preserve"> </w:t>
      </w:r>
      <w:r>
        <w:rPr>
          <w:rFonts w:ascii="宋体" w:hAnsi="宋体" w:eastAsia="宋体" w:cs="宋体"/>
          <w:spacing w:val="-3"/>
          <w:sz w:val="24"/>
          <w:szCs w:val="24"/>
        </w:rPr>
        <w:t>品质主板，</w:t>
      </w:r>
      <w:r>
        <w:rPr>
          <w:rFonts w:ascii="宋体" w:hAnsi="宋体" w:eastAsia="宋体" w:cs="宋体"/>
          <w:sz w:val="24"/>
          <w:szCs w:val="24"/>
        </w:rPr>
        <w:t xml:space="preserve"> 显卡不低于</w:t>
      </w:r>
      <w:r>
        <w:rPr>
          <w:rFonts w:ascii="宋体" w:hAnsi="宋体" w:eastAsia="宋体" w:cs="宋体"/>
          <w:spacing w:val="-33"/>
          <w:sz w:val="24"/>
          <w:szCs w:val="24"/>
        </w:rPr>
        <w:t xml:space="preserve"> </w:t>
      </w:r>
      <w:r>
        <w:rPr>
          <w:rFonts w:ascii="宋体" w:hAnsi="宋体" w:eastAsia="宋体" w:cs="宋体"/>
          <w:sz w:val="24"/>
          <w:szCs w:val="24"/>
        </w:rPr>
        <w:t>Geforce RTX3050 6G，</w:t>
      </w:r>
      <w:r>
        <w:rPr>
          <w:rFonts w:ascii="宋体" w:hAnsi="宋体" w:eastAsia="宋体" w:cs="宋体"/>
          <w:spacing w:val="-70"/>
          <w:sz w:val="24"/>
          <w:szCs w:val="24"/>
        </w:rPr>
        <w:t xml:space="preserve"> </w:t>
      </w:r>
      <w:r>
        <w:rPr>
          <w:rFonts w:ascii="宋体" w:hAnsi="宋体" w:eastAsia="宋体" w:cs="宋体"/>
          <w:sz w:val="24"/>
          <w:szCs w:val="24"/>
        </w:rPr>
        <w:t>内存不低于</w:t>
      </w:r>
      <w:r>
        <w:rPr>
          <w:rFonts w:ascii="宋体" w:hAnsi="宋体" w:eastAsia="宋体" w:cs="宋体"/>
          <w:spacing w:val="-26"/>
          <w:sz w:val="24"/>
          <w:szCs w:val="24"/>
        </w:rPr>
        <w:t xml:space="preserve"> </w:t>
      </w:r>
      <w:r>
        <w:rPr>
          <w:rFonts w:ascii="宋体" w:hAnsi="宋体" w:eastAsia="宋体" w:cs="宋体"/>
          <w:sz w:val="24"/>
          <w:szCs w:val="24"/>
        </w:rPr>
        <w:t>16GDDR4 3200MHz</w:t>
      </w:r>
      <w:r>
        <w:rPr>
          <w:rFonts w:ascii="宋体" w:hAnsi="宋体" w:eastAsia="宋体" w:cs="宋体"/>
          <w:spacing w:val="-39"/>
          <w:sz w:val="24"/>
          <w:szCs w:val="24"/>
        </w:rPr>
        <w:t xml:space="preserve"> </w:t>
      </w:r>
      <w:r>
        <w:rPr>
          <w:rFonts w:ascii="宋体" w:hAnsi="宋体" w:eastAsia="宋体" w:cs="宋体"/>
          <w:sz w:val="24"/>
          <w:szCs w:val="24"/>
        </w:rPr>
        <w:t>高频内存，硬盘不低于</w:t>
      </w:r>
      <w:r>
        <w:rPr>
          <w:rFonts w:ascii="宋体" w:hAnsi="宋体" w:eastAsia="宋体" w:cs="宋体"/>
          <w:spacing w:val="-39"/>
          <w:sz w:val="24"/>
          <w:szCs w:val="24"/>
        </w:rPr>
        <w:t xml:space="preserve"> </w:t>
      </w:r>
      <w:r>
        <w:rPr>
          <w:rFonts w:ascii="宋体" w:hAnsi="宋体" w:eastAsia="宋体" w:cs="宋体"/>
          <w:sz w:val="24"/>
          <w:szCs w:val="24"/>
        </w:rPr>
        <w:t xml:space="preserve">512G </w:t>
      </w:r>
      <w:r>
        <w:rPr>
          <w:rFonts w:ascii="宋体" w:hAnsi="宋体" w:eastAsia="宋体" w:cs="宋体"/>
          <w:spacing w:val="-1"/>
          <w:sz w:val="24"/>
          <w:szCs w:val="24"/>
        </w:rPr>
        <w:t>PCIE4.0</w:t>
      </w:r>
      <w:r>
        <w:rPr>
          <w:rFonts w:ascii="宋体" w:hAnsi="宋体" w:eastAsia="宋体" w:cs="宋体"/>
          <w:spacing w:val="-29"/>
          <w:sz w:val="24"/>
          <w:szCs w:val="24"/>
        </w:rPr>
        <w:t xml:space="preserve"> </w:t>
      </w:r>
      <w:r>
        <w:rPr>
          <w:rFonts w:ascii="宋体" w:hAnsi="宋体" w:eastAsia="宋体" w:cs="宋体"/>
          <w:spacing w:val="-1"/>
          <w:sz w:val="24"/>
          <w:szCs w:val="24"/>
        </w:rPr>
        <w:t>固态硬盘（读写不低于</w:t>
      </w:r>
      <w:r>
        <w:rPr>
          <w:rFonts w:ascii="宋体" w:hAnsi="宋体" w:eastAsia="宋体" w:cs="宋体"/>
          <w:spacing w:val="-44"/>
          <w:sz w:val="24"/>
          <w:szCs w:val="24"/>
        </w:rPr>
        <w:t xml:space="preserve"> </w:t>
      </w:r>
      <w:r>
        <w:rPr>
          <w:rFonts w:ascii="宋体" w:hAnsi="宋体" w:eastAsia="宋体" w:cs="宋体"/>
          <w:spacing w:val="-1"/>
          <w:sz w:val="24"/>
          <w:szCs w:val="24"/>
        </w:rPr>
        <w:t>350</w:t>
      </w:r>
      <w:r>
        <w:rPr>
          <w:rFonts w:ascii="宋体" w:hAnsi="宋体" w:eastAsia="宋体" w:cs="宋体"/>
          <w:spacing w:val="-2"/>
          <w:sz w:val="24"/>
          <w:szCs w:val="24"/>
        </w:rPr>
        <w:t>0MB/s）,电源不低于</w:t>
      </w:r>
      <w:r>
        <w:rPr>
          <w:rFonts w:ascii="宋体" w:hAnsi="宋体" w:eastAsia="宋体" w:cs="宋体"/>
          <w:spacing w:val="-45"/>
          <w:sz w:val="24"/>
          <w:szCs w:val="24"/>
        </w:rPr>
        <w:t xml:space="preserve"> </w:t>
      </w:r>
      <w:r>
        <w:rPr>
          <w:rFonts w:ascii="宋体" w:hAnsi="宋体" w:eastAsia="宋体" w:cs="宋体"/>
          <w:spacing w:val="-2"/>
          <w:sz w:val="24"/>
          <w:szCs w:val="24"/>
        </w:rPr>
        <w:t>500W</w:t>
      </w:r>
      <w:r>
        <w:rPr>
          <w:rFonts w:ascii="宋体" w:hAnsi="宋体" w:eastAsia="宋体" w:cs="宋体"/>
          <w:spacing w:val="-30"/>
          <w:sz w:val="24"/>
          <w:szCs w:val="24"/>
        </w:rPr>
        <w:t xml:space="preserve"> </w:t>
      </w:r>
      <w:r>
        <w:rPr>
          <w:rFonts w:ascii="宋体" w:hAnsi="宋体" w:eastAsia="宋体" w:cs="宋体"/>
          <w:spacing w:val="-2"/>
          <w:sz w:val="24"/>
          <w:szCs w:val="24"/>
        </w:rPr>
        <w:t>品质电源，散热为</w:t>
      </w:r>
      <w:r>
        <w:rPr>
          <w:rFonts w:ascii="宋体" w:hAnsi="宋体" w:eastAsia="宋体" w:cs="宋体"/>
          <w:spacing w:val="-50"/>
          <w:sz w:val="24"/>
          <w:szCs w:val="24"/>
        </w:rPr>
        <w:t xml:space="preserve"> </w:t>
      </w:r>
      <w:r>
        <w:rPr>
          <w:rFonts w:ascii="宋体" w:hAnsi="宋体" w:eastAsia="宋体" w:cs="宋体"/>
          <w:spacing w:val="-2"/>
          <w:sz w:val="24"/>
          <w:szCs w:val="24"/>
        </w:rPr>
        <w:t>4</w:t>
      </w:r>
      <w:r>
        <w:rPr>
          <w:rFonts w:ascii="宋体" w:hAnsi="宋体" w:eastAsia="宋体" w:cs="宋体"/>
          <w:spacing w:val="-49"/>
          <w:sz w:val="24"/>
          <w:szCs w:val="24"/>
        </w:rPr>
        <w:t xml:space="preserve"> </w:t>
      </w:r>
      <w:r>
        <w:rPr>
          <w:rFonts w:ascii="宋体" w:hAnsi="宋体" w:eastAsia="宋体" w:cs="宋体"/>
          <w:spacing w:val="-2"/>
          <w:sz w:val="24"/>
          <w:szCs w:val="24"/>
        </w:rPr>
        <w:t>铜管高效风</w:t>
      </w:r>
      <w:r>
        <w:rPr>
          <w:rFonts w:ascii="宋体" w:hAnsi="宋体" w:eastAsia="宋体" w:cs="宋体"/>
          <w:sz w:val="24"/>
          <w:szCs w:val="24"/>
        </w:rPr>
        <w:t xml:space="preserve"> </w:t>
      </w:r>
      <w:r>
        <w:rPr>
          <w:rFonts w:ascii="宋体" w:hAnsi="宋体" w:eastAsia="宋体" w:cs="宋体"/>
          <w:spacing w:val="-7"/>
          <w:sz w:val="24"/>
          <w:szCs w:val="24"/>
        </w:rPr>
        <w:t>冷散热器。</w:t>
      </w:r>
    </w:p>
    <w:p w14:paraId="3B48D0B8">
      <w:pPr>
        <w:pStyle w:val="2"/>
        <w:spacing w:line="415" w:lineRule="auto"/>
      </w:pPr>
    </w:p>
    <w:p w14:paraId="6FB9395B">
      <w:pPr>
        <w:spacing w:before="155" w:line="188" w:lineRule="auto"/>
        <w:ind w:left="3658"/>
        <w:rPr>
          <w:rFonts w:ascii="微软雅黑" w:hAnsi="微软雅黑" w:eastAsia="微软雅黑" w:cs="微软雅黑"/>
          <w:sz w:val="36"/>
          <w:szCs w:val="36"/>
        </w:rPr>
      </w:pPr>
      <w:r>
        <w:rPr>
          <w:rFonts w:ascii="微软雅黑" w:hAnsi="微软雅黑" w:eastAsia="微软雅黑" w:cs="微软雅黑"/>
          <w:b/>
          <w:bCs/>
          <w:spacing w:val="-8"/>
          <w:sz w:val="36"/>
          <w:szCs w:val="36"/>
        </w:rPr>
        <w:t>第二章  签订合同</w:t>
      </w:r>
    </w:p>
    <w:p w14:paraId="54D3CF65">
      <w:pPr>
        <w:pStyle w:val="2"/>
        <w:spacing w:line="406" w:lineRule="auto"/>
      </w:pPr>
    </w:p>
    <w:p w14:paraId="0946E39C">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73                                </w:t>
      </w:r>
      <w:r>
        <w:rPr>
          <w:rFonts w:ascii="宋体" w:hAnsi="宋体" w:eastAsia="宋体" w:cs="宋体"/>
          <w:b/>
          <w:bCs/>
          <w:i/>
          <w:iCs/>
          <w:spacing w:val="-3"/>
          <w:sz w:val="19"/>
          <w:szCs w:val="19"/>
        </w:rPr>
        <w:t>伊犁州公共资源交易中心</w:t>
      </w:r>
    </w:p>
    <w:p w14:paraId="3047ECF8">
      <w:pPr>
        <w:spacing w:line="160" w:lineRule="auto"/>
        <w:rPr>
          <w:rFonts w:ascii="宋体" w:hAnsi="宋体" w:eastAsia="宋体" w:cs="宋体"/>
          <w:sz w:val="19"/>
          <w:szCs w:val="19"/>
        </w:rPr>
        <w:sectPr>
          <w:headerReference r:id="rId68" w:type="default"/>
          <w:footerReference r:id="rId69" w:type="default"/>
          <w:pgSz w:w="11905" w:h="16839"/>
          <w:pgMar w:top="1136" w:right="813" w:bottom="937" w:left="1136" w:header="854" w:footer="923" w:gutter="0"/>
          <w:cols w:space="720" w:num="1"/>
        </w:sectPr>
      </w:pPr>
    </w:p>
    <w:p w14:paraId="1381ACD7">
      <w:pPr>
        <w:pStyle w:val="2"/>
        <w:spacing w:line="355" w:lineRule="auto"/>
      </w:pPr>
    </w:p>
    <w:p w14:paraId="412D8541">
      <w:pPr>
        <w:spacing w:before="103" w:line="188" w:lineRule="auto"/>
        <w:ind w:left="522"/>
        <w:rPr>
          <w:rFonts w:ascii="微软雅黑" w:hAnsi="微软雅黑" w:eastAsia="微软雅黑" w:cs="微软雅黑"/>
          <w:sz w:val="24"/>
          <w:szCs w:val="24"/>
        </w:rPr>
      </w:pPr>
      <w:bookmarkStart w:id="44" w:name="bookmark56"/>
      <w:bookmarkEnd w:id="44"/>
      <w:r>
        <w:rPr>
          <w:rFonts w:ascii="微软雅黑" w:hAnsi="微软雅黑" w:eastAsia="微软雅黑" w:cs="微软雅黑"/>
          <w:b/>
          <w:bCs/>
          <w:spacing w:val="-9"/>
          <w:sz w:val="24"/>
          <w:szCs w:val="24"/>
        </w:rPr>
        <w:t>30、签订合同</w:t>
      </w:r>
    </w:p>
    <w:p w14:paraId="1590788D">
      <w:pPr>
        <w:spacing w:before="274" w:line="346" w:lineRule="auto"/>
        <w:ind w:left="44" w:right="28" w:firstLine="477"/>
        <w:jc w:val="both"/>
        <w:rPr>
          <w:rFonts w:ascii="微软雅黑" w:hAnsi="微软雅黑" w:eastAsia="微软雅黑" w:cs="微软雅黑"/>
          <w:sz w:val="24"/>
          <w:szCs w:val="24"/>
        </w:rPr>
      </w:pPr>
      <w:r>
        <w:rPr>
          <w:rFonts w:ascii="微软雅黑" w:hAnsi="微软雅黑" w:eastAsia="微软雅黑" w:cs="微软雅黑"/>
          <w:spacing w:val="-3"/>
          <w:sz w:val="24"/>
          <w:szCs w:val="24"/>
        </w:rPr>
        <w:t>30.1  中标人收到集采机构的《中标通知书》后 30  日内，按照招标文件和投标书中的约定</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与采购人签订书面合同，所签订的合同不得对招标文</w:t>
      </w:r>
      <w:r>
        <w:rPr>
          <w:rFonts w:ascii="微软雅黑" w:hAnsi="微软雅黑" w:eastAsia="微软雅黑" w:cs="微软雅黑"/>
          <w:sz w:val="24"/>
          <w:szCs w:val="24"/>
        </w:rPr>
        <w:t xml:space="preserve">件和中标人的投标文件作实质性修改。采 </w:t>
      </w:r>
      <w:r>
        <w:rPr>
          <w:rFonts w:ascii="微软雅黑" w:hAnsi="微软雅黑" w:eastAsia="微软雅黑" w:cs="微软雅黑"/>
          <w:spacing w:val="-2"/>
          <w:sz w:val="24"/>
          <w:szCs w:val="24"/>
        </w:rPr>
        <w:t>购人不得向中标人提出任何不合理的要求作为签订合同的条件。</w:t>
      </w:r>
    </w:p>
    <w:p w14:paraId="115EC503">
      <w:pPr>
        <w:spacing w:before="4" w:line="346" w:lineRule="auto"/>
        <w:ind w:left="44" w:right="28" w:firstLine="477"/>
        <w:rPr>
          <w:rFonts w:ascii="微软雅黑" w:hAnsi="微软雅黑" w:eastAsia="微软雅黑" w:cs="微软雅黑"/>
          <w:sz w:val="24"/>
          <w:szCs w:val="24"/>
        </w:rPr>
      </w:pPr>
      <w:r>
        <w:rPr>
          <w:rFonts w:ascii="微软雅黑" w:hAnsi="微软雅黑" w:eastAsia="微软雅黑" w:cs="微软雅黑"/>
          <w:spacing w:val="-1"/>
          <w:sz w:val="24"/>
          <w:szCs w:val="24"/>
        </w:rPr>
        <w:t>30.2 政府采购合同应当包括采购人与中标人的名称和住所、标的、数量、质量、</w:t>
      </w:r>
      <w:r>
        <w:rPr>
          <w:rFonts w:ascii="微软雅黑" w:hAnsi="微软雅黑" w:eastAsia="微软雅黑" w:cs="微软雅黑"/>
          <w:spacing w:val="-2"/>
          <w:sz w:val="24"/>
          <w:szCs w:val="24"/>
        </w:rPr>
        <w:t>价款或者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报酬、履行期限及地点和方式、验收要求、违约责</w:t>
      </w:r>
      <w:r>
        <w:rPr>
          <w:rFonts w:ascii="微软雅黑" w:hAnsi="微软雅黑" w:eastAsia="微软雅黑" w:cs="微软雅黑"/>
          <w:spacing w:val="-2"/>
          <w:sz w:val="24"/>
          <w:szCs w:val="24"/>
        </w:rPr>
        <w:t>任、解决争议的方法等内容。</w:t>
      </w:r>
    </w:p>
    <w:p w14:paraId="1D8AEA13">
      <w:pPr>
        <w:spacing w:before="5" w:line="188" w:lineRule="auto"/>
        <w:ind w:left="522"/>
        <w:rPr>
          <w:rFonts w:ascii="微软雅黑" w:hAnsi="微软雅黑" w:eastAsia="微软雅黑" w:cs="微软雅黑"/>
          <w:sz w:val="24"/>
          <w:szCs w:val="24"/>
        </w:rPr>
      </w:pPr>
      <w:r>
        <w:rPr>
          <w:rFonts w:ascii="微软雅黑" w:hAnsi="微软雅黑" w:eastAsia="微软雅黑" w:cs="微软雅黑"/>
          <w:spacing w:val="-2"/>
          <w:sz w:val="24"/>
          <w:szCs w:val="24"/>
        </w:rPr>
        <w:t>30.3 采购人与中标人应当根据合同的约定依法履行合同义务。</w:t>
      </w:r>
    </w:p>
    <w:p w14:paraId="0660F1F0">
      <w:pPr>
        <w:spacing w:before="272" w:line="339" w:lineRule="auto"/>
        <w:ind w:left="52" w:right="29" w:firstLine="469"/>
        <w:rPr>
          <w:rFonts w:ascii="微软雅黑" w:hAnsi="微软雅黑" w:eastAsia="微软雅黑" w:cs="微软雅黑"/>
          <w:sz w:val="24"/>
          <w:szCs w:val="24"/>
        </w:rPr>
      </w:pPr>
      <w:r>
        <w:rPr>
          <w:rFonts w:ascii="微软雅黑" w:hAnsi="微软雅黑" w:eastAsia="微软雅黑" w:cs="微软雅黑"/>
          <w:spacing w:val="11"/>
          <w:sz w:val="24"/>
          <w:szCs w:val="24"/>
        </w:rPr>
        <w:t>30.4 政府采购合同的履行、违约责任和解决争议的方法等适用《中华人</w:t>
      </w:r>
      <w:r>
        <w:rPr>
          <w:rFonts w:ascii="微软雅黑" w:hAnsi="微软雅黑" w:eastAsia="微软雅黑" w:cs="微软雅黑"/>
          <w:spacing w:val="10"/>
          <w:sz w:val="24"/>
          <w:szCs w:val="24"/>
        </w:rPr>
        <w:t>民共和国合同</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法》。</w:t>
      </w:r>
    </w:p>
    <w:p w14:paraId="5166CE39">
      <w:pPr>
        <w:spacing w:before="1" w:line="183" w:lineRule="auto"/>
        <w:ind w:left="2959"/>
        <w:rPr>
          <w:rFonts w:ascii="微软雅黑" w:hAnsi="微软雅黑" w:eastAsia="微软雅黑" w:cs="微软雅黑"/>
          <w:sz w:val="30"/>
          <w:szCs w:val="30"/>
        </w:rPr>
      </w:pPr>
      <w:r>
        <w:rPr>
          <w:rFonts w:ascii="宋体" w:hAnsi="宋体" w:eastAsia="宋体" w:cs="宋体"/>
          <w:b/>
          <w:bCs/>
          <w:spacing w:val="-4"/>
          <w:sz w:val="28"/>
          <w:szCs w:val="28"/>
        </w:rPr>
        <w:t>一、合同格式范本</w:t>
      </w:r>
      <w:r>
        <w:rPr>
          <w:rFonts w:ascii="微软雅黑" w:hAnsi="微软雅黑" w:eastAsia="微软雅黑" w:cs="微软雅黑"/>
          <w:b/>
          <w:bCs/>
          <w:spacing w:val="-4"/>
          <w:sz w:val="30"/>
          <w:szCs w:val="30"/>
        </w:rPr>
        <w:t>（仅供参考）</w:t>
      </w:r>
    </w:p>
    <w:p w14:paraId="2BBBB1DA">
      <w:pPr>
        <w:tabs>
          <w:tab w:val="left" w:pos="2548"/>
          <w:tab w:val="left" w:pos="9907"/>
        </w:tabs>
        <w:spacing w:before="232" w:line="345" w:lineRule="auto"/>
        <w:ind w:left="44" w:right="29" w:firstLine="464"/>
        <w:jc w:val="both"/>
        <w:rPr>
          <w:rFonts w:ascii="微软雅黑" w:hAnsi="微软雅黑" w:eastAsia="微软雅黑" w:cs="微软雅黑"/>
          <w:sz w:val="24"/>
          <w:szCs w:val="24"/>
        </w:rPr>
      </w:pPr>
      <w:r>
        <w:rPr>
          <w:rFonts w:ascii="微软雅黑" w:hAnsi="微软雅黑" w:eastAsia="微软雅黑" w:cs="微软雅黑"/>
          <w:sz w:val="24"/>
          <w:szCs w:val="24"/>
          <w:u w:val="single" w:color="auto"/>
        </w:rPr>
        <w:tab/>
      </w:r>
      <w:r>
        <w:rPr>
          <w:rFonts w:ascii="微软雅黑" w:hAnsi="微软雅黑" w:eastAsia="微软雅黑" w:cs="微软雅黑"/>
          <w:spacing w:val="6"/>
          <w:sz w:val="24"/>
          <w:szCs w:val="24"/>
        </w:rPr>
        <w:t>（甲方）</w:t>
      </w:r>
      <w:r>
        <w:rPr>
          <w:rFonts w:ascii="微软雅黑" w:hAnsi="微软雅黑" w:eastAsia="微软雅黑" w:cs="微软雅黑"/>
          <w:spacing w:val="-26"/>
          <w:sz w:val="24"/>
          <w:szCs w:val="24"/>
        </w:rPr>
        <w:t xml:space="preserve"> </w:t>
      </w:r>
      <w:r>
        <w:rPr>
          <w:rFonts w:ascii="微软雅黑" w:hAnsi="微软雅黑" w:eastAsia="微软雅黑" w:cs="微软雅黑"/>
          <w:spacing w:val="6"/>
          <w:sz w:val="24"/>
          <w:szCs w:val="24"/>
        </w:rPr>
        <w:t>所需</w:t>
      </w:r>
      <w:r>
        <w:rPr>
          <w:rFonts w:ascii="微软雅黑" w:hAnsi="微软雅黑" w:eastAsia="微软雅黑" w:cs="微软雅黑"/>
          <w:spacing w:val="-58"/>
          <w:sz w:val="24"/>
          <w:szCs w:val="24"/>
        </w:rPr>
        <w:t xml:space="preserve">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8"/>
          <w:sz w:val="24"/>
          <w:szCs w:val="24"/>
        </w:rPr>
        <w:t xml:space="preserve"> </w:t>
      </w:r>
      <w:r>
        <w:rPr>
          <w:rFonts w:ascii="微软雅黑" w:hAnsi="微软雅黑" w:eastAsia="微软雅黑" w:cs="微软雅黑"/>
          <w:spacing w:val="6"/>
          <w:sz w:val="24"/>
          <w:szCs w:val="24"/>
        </w:rPr>
        <w:t>(项目名称)经</w:t>
      </w:r>
      <w:r>
        <w:rPr>
          <w:rFonts w:ascii="微软雅黑" w:hAnsi="微软雅黑" w:eastAsia="微软雅黑" w:cs="微软雅黑"/>
          <w:spacing w:val="-58"/>
          <w:sz w:val="24"/>
          <w:szCs w:val="24"/>
        </w:rPr>
        <w:t xml:space="preserve"> </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30"/>
          <w:sz w:val="24"/>
          <w:szCs w:val="24"/>
        </w:rPr>
        <w:t xml:space="preserve"> </w:t>
      </w:r>
      <w:r>
        <w:rPr>
          <w:rFonts w:ascii="微软雅黑" w:hAnsi="微软雅黑" w:eastAsia="微软雅黑" w:cs="微软雅黑"/>
          <w:spacing w:val="6"/>
          <w:sz w:val="24"/>
          <w:szCs w:val="24"/>
        </w:rPr>
        <w:t>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（项目编号）招标文件在国内以公开招标方式</w:t>
      </w:r>
      <w:r>
        <w:rPr>
          <w:rFonts w:ascii="微软雅黑" w:hAnsi="微软雅黑" w:eastAsia="微软雅黑" w:cs="微软雅黑"/>
          <w:sz w:val="24"/>
          <w:szCs w:val="24"/>
        </w:rPr>
        <w:t>进行采购。经评标委员会确定</w:t>
      </w:r>
      <w:r>
        <w:rPr>
          <w:rFonts w:ascii="微软雅黑" w:hAnsi="微软雅黑" w:eastAsia="微软雅黑" w:cs="微软雅黑"/>
          <w:spacing w:val="-69"/>
          <w:sz w:val="24"/>
          <w:szCs w:val="24"/>
        </w:rPr>
        <w:t xml:space="preserve"> </w:t>
      </w:r>
      <w:r>
        <w:rPr>
          <w:rFonts w:ascii="微软雅黑" w:hAnsi="微软雅黑" w:eastAsia="微软雅黑" w:cs="微软雅黑"/>
          <w:sz w:val="24"/>
          <w:szCs w:val="24"/>
          <w:u w:val="single" w:color="auto"/>
        </w:rPr>
        <w:tab/>
      </w:r>
      <w:r>
        <w:rPr>
          <w:rFonts w:ascii="微软雅黑" w:hAnsi="微软雅黑" w:eastAsia="微软雅黑" w:cs="微软雅黑"/>
          <w:sz w:val="24"/>
          <w:szCs w:val="24"/>
        </w:rPr>
        <w:t xml:space="preserve"> （乙方）</w:t>
      </w:r>
      <w:r>
        <w:rPr>
          <w:rFonts w:ascii="微软雅黑" w:hAnsi="微软雅黑" w:eastAsia="微软雅黑" w:cs="微软雅黑"/>
          <w:spacing w:val="-44"/>
          <w:sz w:val="24"/>
          <w:szCs w:val="24"/>
        </w:rPr>
        <w:t xml:space="preserve"> </w:t>
      </w:r>
      <w:r>
        <w:rPr>
          <w:rFonts w:ascii="微软雅黑" w:hAnsi="微软雅黑" w:eastAsia="微软雅黑" w:cs="微软雅黑"/>
          <w:sz w:val="24"/>
          <w:szCs w:val="24"/>
        </w:rPr>
        <w:t>为中标人。甲、乙双方根据《中华人民共和国政府采购法》、《中华人民共</w:t>
      </w:r>
      <w:r>
        <w:rPr>
          <w:rFonts w:ascii="微软雅黑" w:hAnsi="微软雅黑" w:eastAsia="微软雅黑" w:cs="微软雅黑"/>
          <w:spacing w:val="-1"/>
          <w:sz w:val="24"/>
          <w:szCs w:val="24"/>
        </w:rPr>
        <w:t>和国合同</w:t>
      </w:r>
    </w:p>
    <w:p w14:paraId="0BAD3F6D">
      <w:pPr>
        <w:spacing w:before="13" w:line="187" w:lineRule="auto"/>
        <w:ind w:left="52"/>
        <w:rPr>
          <w:rFonts w:ascii="微软雅黑" w:hAnsi="微软雅黑" w:eastAsia="微软雅黑" w:cs="微软雅黑"/>
          <w:sz w:val="24"/>
          <w:szCs w:val="24"/>
        </w:rPr>
      </w:pPr>
      <w:r>
        <w:rPr>
          <w:rFonts w:ascii="微软雅黑" w:hAnsi="微软雅黑" w:eastAsia="微软雅黑" w:cs="微软雅黑"/>
          <w:spacing w:val="-2"/>
          <w:sz w:val="24"/>
          <w:szCs w:val="24"/>
        </w:rPr>
        <w:t>法》等相关法律以及本项目招标文件的规定，</w:t>
      </w:r>
      <w:r>
        <w:rPr>
          <w:rFonts w:ascii="微软雅黑" w:hAnsi="微软雅黑" w:eastAsia="微软雅黑" w:cs="微软雅黑"/>
          <w:spacing w:val="-3"/>
          <w:sz w:val="24"/>
          <w:szCs w:val="24"/>
        </w:rPr>
        <w:t>经平等协商达成合同如下：</w:t>
      </w:r>
    </w:p>
    <w:p w14:paraId="1731FC4B">
      <w:pPr>
        <w:spacing w:before="133" w:line="181" w:lineRule="auto"/>
        <w:ind w:left="535"/>
        <w:rPr>
          <w:rFonts w:ascii="微软雅黑" w:hAnsi="微软雅黑" w:eastAsia="微软雅黑" w:cs="微软雅黑"/>
          <w:sz w:val="24"/>
          <w:szCs w:val="24"/>
        </w:rPr>
      </w:pPr>
      <w:r>
        <w:rPr>
          <w:rFonts w:ascii="微软雅黑" w:hAnsi="微软雅黑" w:eastAsia="微软雅黑" w:cs="微软雅黑"/>
          <w:b/>
          <w:bCs/>
          <w:spacing w:val="-8"/>
          <w:sz w:val="24"/>
          <w:szCs w:val="24"/>
        </w:rPr>
        <w:t>1、合同文件</w:t>
      </w:r>
    </w:p>
    <w:p w14:paraId="684A4B95">
      <w:pPr>
        <w:spacing w:line="181" w:lineRule="auto"/>
        <w:ind w:left="525"/>
        <w:rPr>
          <w:rFonts w:ascii="微软雅黑" w:hAnsi="微软雅黑" w:eastAsia="微软雅黑" w:cs="微软雅黑"/>
          <w:sz w:val="24"/>
          <w:szCs w:val="24"/>
        </w:rPr>
      </w:pPr>
      <w:r>
        <w:rPr>
          <w:rFonts w:ascii="微软雅黑" w:hAnsi="微软雅黑" w:eastAsia="微软雅黑" w:cs="微软雅黑"/>
          <w:spacing w:val="-3"/>
          <w:sz w:val="24"/>
          <w:szCs w:val="24"/>
        </w:rPr>
        <w:t>本合同所附下列文件是构成本合同不可分割的部分：</w:t>
      </w:r>
    </w:p>
    <w:p w14:paraId="5C2DC5A3">
      <w:pPr>
        <w:spacing w:before="1" w:line="181" w:lineRule="auto"/>
        <w:ind w:left="535"/>
        <w:rPr>
          <w:rFonts w:ascii="微软雅黑" w:hAnsi="微软雅黑" w:eastAsia="微软雅黑" w:cs="微软雅黑"/>
          <w:sz w:val="24"/>
          <w:szCs w:val="24"/>
        </w:rPr>
      </w:pPr>
      <w:r>
        <w:rPr>
          <w:rFonts w:ascii="微软雅黑" w:hAnsi="微软雅黑" w:eastAsia="微软雅黑" w:cs="微软雅黑"/>
          <w:spacing w:val="-2"/>
          <w:sz w:val="24"/>
          <w:szCs w:val="24"/>
        </w:rPr>
        <w:t>1.1 本项目招标文件</w:t>
      </w:r>
    </w:p>
    <w:p w14:paraId="6413CEB7">
      <w:pPr>
        <w:spacing w:before="1" w:line="181" w:lineRule="auto"/>
        <w:ind w:left="535"/>
        <w:rPr>
          <w:rFonts w:ascii="微软雅黑" w:hAnsi="微软雅黑" w:eastAsia="微软雅黑" w:cs="微软雅黑"/>
          <w:sz w:val="24"/>
          <w:szCs w:val="24"/>
        </w:rPr>
      </w:pPr>
      <w:r>
        <w:rPr>
          <w:rFonts w:ascii="微软雅黑" w:hAnsi="微软雅黑" w:eastAsia="微软雅黑" w:cs="微软雅黑"/>
          <w:spacing w:val="-5"/>
          <w:sz w:val="24"/>
          <w:szCs w:val="24"/>
        </w:rPr>
        <w:t>1.2</w:t>
      </w:r>
      <w:r>
        <w:rPr>
          <w:rFonts w:ascii="微软雅黑" w:hAnsi="微软雅黑" w:eastAsia="微软雅黑" w:cs="微软雅黑"/>
          <w:spacing w:val="39"/>
          <w:sz w:val="24"/>
          <w:szCs w:val="24"/>
        </w:rPr>
        <w:t xml:space="preserve"> </w:t>
      </w:r>
      <w:r>
        <w:rPr>
          <w:rFonts w:ascii="微软雅黑" w:hAnsi="微软雅黑" w:eastAsia="微软雅黑" w:cs="微软雅黑"/>
          <w:spacing w:val="-5"/>
          <w:sz w:val="24"/>
          <w:szCs w:val="24"/>
        </w:rPr>
        <w:t>中标人投标文件</w:t>
      </w:r>
    </w:p>
    <w:p w14:paraId="2085BC86">
      <w:pPr>
        <w:spacing w:line="181" w:lineRule="auto"/>
        <w:ind w:left="535"/>
        <w:rPr>
          <w:rFonts w:ascii="微软雅黑" w:hAnsi="微软雅黑" w:eastAsia="微软雅黑" w:cs="微软雅黑"/>
          <w:sz w:val="24"/>
          <w:szCs w:val="24"/>
        </w:rPr>
      </w:pPr>
      <w:r>
        <w:rPr>
          <w:rFonts w:ascii="微软雅黑" w:hAnsi="微软雅黑" w:eastAsia="微软雅黑" w:cs="微软雅黑"/>
          <w:spacing w:val="-2"/>
          <w:sz w:val="24"/>
          <w:szCs w:val="24"/>
        </w:rPr>
        <w:t>1.3 合同格式、合同条款</w:t>
      </w:r>
    </w:p>
    <w:p w14:paraId="1C9AD5A4">
      <w:pPr>
        <w:spacing w:before="1" w:line="181" w:lineRule="auto"/>
        <w:ind w:left="535"/>
        <w:rPr>
          <w:rFonts w:ascii="微软雅黑" w:hAnsi="微软雅黑" w:eastAsia="微软雅黑" w:cs="微软雅黑"/>
          <w:sz w:val="24"/>
          <w:szCs w:val="24"/>
        </w:rPr>
      </w:pPr>
      <w:r>
        <w:rPr>
          <w:rFonts w:ascii="微软雅黑" w:hAnsi="微软雅黑" w:eastAsia="微软雅黑" w:cs="微软雅黑"/>
          <w:spacing w:val="-2"/>
          <w:sz w:val="24"/>
          <w:szCs w:val="24"/>
        </w:rPr>
        <w:t>1.4</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中标人在评标过程中做出的有关澄清、说明或者补正文件</w:t>
      </w:r>
    </w:p>
    <w:p w14:paraId="211682BD">
      <w:pPr>
        <w:spacing w:before="1" w:line="181" w:lineRule="auto"/>
        <w:ind w:left="535"/>
        <w:rPr>
          <w:rFonts w:ascii="微软雅黑" w:hAnsi="微软雅黑" w:eastAsia="微软雅黑" w:cs="微软雅黑"/>
          <w:sz w:val="24"/>
          <w:szCs w:val="24"/>
        </w:rPr>
      </w:pPr>
      <w:r>
        <w:rPr>
          <w:rFonts w:ascii="微软雅黑" w:hAnsi="微软雅黑" w:eastAsia="微软雅黑" w:cs="微软雅黑"/>
          <w:spacing w:val="-6"/>
          <w:sz w:val="24"/>
          <w:szCs w:val="24"/>
        </w:rPr>
        <w:t>1.5</w:t>
      </w:r>
      <w:r>
        <w:rPr>
          <w:rFonts w:ascii="微软雅黑" w:hAnsi="微软雅黑" w:eastAsia="微软雅黑" w:cs="微软雅黑"/>
          <w:spacing w:val="39"/>
          <w:w w:val="101"/>
          <w:sz w:val="24"/>
          <w:szCs w:val="24"/>
        </w:rPr>
        <w:t xml:space="preserve"> </w:t>
      </w:r>
      <w:r>
        <w:rPr>
          <w:rFonts w:ascii="微软雅黑" w:hAnsi="微软雅黑" w:eastAsia="微软雅黑" w:cs="微软雅黑"/>
          <w:spacing w:val="-6"/>
          <w:sz w:val="24"/>
          <w:szCs w:val="24"/>
        </w:rPr>
        <w:t>中标通知书</w:t>
      </w:r>
    </w:p>
    <w:p w14:paraId="653AE846">
      <w:pPr>
        <w:spacing w:before="1" w:line="181" w:lineRule="auto"/>
        <w:ind w:left="535"/>
        <w:rPr>
          <w:rFonts w:ascii="微软雅黑" w:hAnsi="微软雅黑" w:eastAsia="微软雅黑" w:cs="微软雅黑"/>
          <w:sz w:val="24"/>
          <w:szCs w:val="24"/>
        </w:rPr>
      </w:pPr>
      <w:r>
        <w:rPr>
          <w:rFonts w:ascii="微软雅黑" w:hAnsi="微软雅黑" w:eastAsia="微软雅黑" w:cs="微软雅黑"/>
          <w:spacing w:val="-2"/>
          <w:sz w:val="24"/>
          <w:szCs w:val="24"/>
        </w:rPr>
        <w:t>1.6 本合同附件</w:t>
      </w:r>
    </w:p>
    <w:p w14:paraId="6E39FFF4">
      <w:pPr>
        <w:spacing w:line="181" w:lineRule="auto"/>
        <w:ind w:left="520"/>
        <w:rPr>
          <w:rFonts w:ascii="微软雅黑" w:hAnsi="微软雅黑" w:eastAsia="微软雅黑" w:cs="微软雅黑"/>
          <w:sz w:val="24"/>
          <w:szCs w:val="24"/>
        </w:rPr>
      </w:pPr>
      <w:r>
        <w:rPr>
          <w:rFonts w:ascii="微软雅黑" w:hAnsi="微软雅黑" w:eastAsia="微软雅黑" w:cs="微软雅黑"/>
          <w:b/>
          <w:bCs/>
          <w:spacing w:val="-4"/>
          <w:sz w:val="24"/>
          <w:szCs w:val="24"/>
        </w:rPr>
        <w:t>2、合同的范围和条件</w:t>
      </w:r>
    </w:p>
    <w:p w14:paraId="3FF05175">
      <w:pPr>
        <w:spacing w:before="1" w:line="181" w:lineRule="auto"/>
        <w:ind w:left="525"/>
        <w:rPr>
          <w:rFonts w:ascii="微软雅黑" w:hAnsi="微软雅黑" w:eastAsia="微软雅黑" w:cs="微软雅黑"/>
          <w:sz w:val="24"/>
          <w:szCs w:val="24"/>
        </w:rPr>
      </w:pPr>
      <w:r>
        <w:rPr>
          <w:rFonts w:ascii="微软雅黑" w:hAnsi="微软雅黑" w:eastAsia="微软雅黑" w:cs="微软雅黑"/>
          <w:spacing w:val="-2"/>
          <w:sz w:val="24"/>
          <w:szCs w:val="24"/>
        </w:rPr>
        <w:t>本合同的范围和条件应与上述合同文件的规定相一致。</w:t>
      </w:r>
    </w:p>
    <w:p w14:paraId="06D83F0C">
      <w:pPr>
        <w:spacing w:before="1" w:line="181" w:lineRule="auto"/>
        <w:ind w:left="522"/>
        <w:rPr>
          <w:rFonts w:ascii="微软雅黑" w:hAnsi="微软雅黑" w:eastAsia="微软雅黑" w:cs="微软雅黑"/>
          <w:sz w:val="24"/>
          <w:szCs w:val="24"/>
        </w:rPr>
      </w:pPr>
      <w:r>
        <w:rPr>
          <w:rFonts w:ascii="微软雅黑" w:hAnsi="微软雅黑" w:eastAsia="微软雅黑" w:cs="微软雅黑"/>
          <w:b/>
          <w:bCs/>
          <w:spacing w:val="-4"/>
          <w:sz w:val="24"/>
          <w:szCs w:val="24"/>
        </w:rPr>
        <w:t>3、服务、数量及规格</w:t>
      </w:r>
    </w:p>
    <w:p w14:paraId="5F031312">
      <w:pPr>
        <w:spacing w:before="1" w:line="181" w:lineRule="auto"/>
        <w:ind w:left="46" w:right="94" w:firstLine="479"/>
        <w:rPr>
          <w:rFonts w:ascii="微软雅黑" w:hAnsi="微软雅黑" w:eastAsia="微软雅黑" w:cs="微软雅黑"/>
          <w:sz w:val="24"/>
          <w:szCs w:val="24"/>
        </w:rPr>
      </w:pPr>
      <w:r>
        <w:rPr>
          <w:rFonts w:ascii="微软雅黑" w:hAnsi="微软雅黑" w:eastAsia="微软雅黑" w:cs="微软雅黑"/>
          <w:spacing w:val="-1"/>
          <w:sz w:val="24"/>
          <w:szCs w:val="24"/>
        </w:rPr>
        <w:t>本合同所提供的服务、数量及规格详见合同服务清单（附件一</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同投标文件中报价</w:t>
      </w:r>
      <w:r>
        <w:rPr>
          <w:rFonts w:ascii="微软雅黑" w:hAnsi="微软雅黑" w:eastAsia="微软雅黑" w:cs="微软雅黑"/>
          <w:spacing w:val="-2"/>
          <w:sz w:val="24"/>
          <w:szCs w:val="24"/>
        </w:rPr>
        <w:t>明细</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表，下同）。</w:t>
      </w:r>
    </w:p>
    <w:p w14:paraId="1C408B24">
      <w:pPr>
        <w:spacing w:before="1" w:line="181" w:lineRule="auto"/>
        <w:ind w:left="516"/>
        <w:rPr>
          <w:rFonts w:ascii="微软雅黑" w:hAnsi="微软雅黑" w:eastAsia="微软雅黑" w:cs="微软雅黑"/>
          <w:sz w:val="24"/>
          <w:szCs w:val="24"/>
        </w:rPr>
      </w:pPr>
      <w:r>
        <w:rPr>
          <w:rFonts w:ascii="微软雅黑" w:hAnsi="微软雅黑" w:eastAsia="微软雅黑" w:cs="微软雅黑"/>
          <w:b/>
          <w:bCs/>
          <w:spacing w:val="-5"/>
          <w:sz w:val="24"/>
          <w:szCs w:val="24"/>
        </w:rPr>
        <w:t>4、合同金额</w:t>
      </w:r>
    </w:p>
    <w:p w14:paraId="3D3AF2A0">
      <w:pPr>
        <w:spacing w:before="1" w:line="181" w:lineRule="auto"/>
        <w:ind w:left="45" w:right="83" w:firstLine="479"/>
        <w:rPr>
          <w:rFonts w:ascii="微软雅黑" w:hAnsi="微软雅黑" w:eastAsia="微软雅黑" w:cs="微软雅黑"/>
          <w:sz w:val="24"/>
          <w:szCs w:val="24"/>
        </w:rPr>
      </w:pPr>
      <w:r>
        <w:rPr>
          <w:rFonts w:ascii="微软雅黑" w:hAnsi="微软雅黑" w:eastAsia="微软雅黑" w:cs="微软雅黑"/>
          <w:sz w:val="24"/>
          <w:szCs w:val="24"/>
        </w:rPr>
        <w:t>根据上述合同文件要求，合同金额为人民币</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52"/>
          <w:sz w:val="24"/>
          <w:szCs w:val="24"/>
        </w:rPr>
        <w:t xml:space="preserve"> </w:t>
      </w:r>
      <w:r>
        <w:rPr>
          <w:rFonts w:ascii="微软雅黑" w:hAnsi="微软雅黑" w:eastAsia="微软雅黑" w:cs="微软雅黑"/>
          <w:sz w:val="24"/>
          <w:szCs w:val="24"/>
        </w:rPr>
        <w:t>元，大</w:t>
      </w:r>
      <w:r>
        <w:rPr>
          <w:rFonts w:ascii="微软雅黑" w:hAnsi="微软雅黑" w:eastAsia="微软雅黑" w:cs="微软雅黑"/>
          <w:spacing w:val="-1"/>
          <w:sz w:val="24"/>
          <w:szCs w:val="24"/>
        </w:rPr>
        <w:t>写：</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1"/>
          <w:sz w:val="24"/>
          <w:szCs w:val="24"/>
        </w:rPr>
        <w:t>。（分项价格</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详见合同服务清单）。</w:t>
      </w:r>
    </w:p>
    <w:p w14:paraId="1B012C03">
      <w:pPr>
        <w:spacing w:before="1" w:line="181" w:lineRule="auto"/>
        <w:ind w:left="541"/>
        <w:rPr>
          <w:rFonts w:ascii="微软雅黑" w:hAnsi="微软雅黑" w:eastAsia="微软雅黑" w:cs="微软雅黑"/>
          <w:sz w:val="24"/>
          <w:szCs w:val="24"/>
        </w:rPr>
      </w:pPr>
      <w:r>
        <w:rPr>
          <w:rFonts w:ascii="微软雅黑" w:hAnsi="微软雅黑" w:eastAsia="微软雅黑" w:cs="微软雅黑"/>
          <w:spacing w:val="-11"/>
          <w:sz w:val="24"/>
          <w:szCs w:val="24"/>
        </w:rPr>
        <w:t>乙方开户单位：</w:t>
      </w:r>
    </w:p>
    <w:p w14:paraId="55D2C242">
      <w:pPr>
        <w:spacing w:before="1" w:line="187" w:lineRule="auto"/>
        <w:ind w:left="524"/>
        <w:rPr>
          <w:rFonts w:ascii="微软雅黑" w:hAnsi="微软雅黑" w:eastAsia="微软雅黑" w:cs="微软雅黑"/>
          <w:sz w:val="24"/>
          <w:szCs w:val="24"/>
        </w:rPr>
      </w:pPr>
      <w:r>
        <w:rPr>
          <w:rFonts w:ascii="微软雅黑" w:hAnsi="微软雅黑" w:eastAsia="微软雅黑" w:cs="微软雅黑"/>
          <w:spacing w:val="-4"/>
          <w:sz w:val="24"/>
          <w:szCs w:val="24"/>
        </w:rPr>
        <w:t>开户银行：                                                帐号：</w:t>
      </w:r>
    </w:p>
    <w:p w14:paraId="53C94A62">
      <w:pPr>
        <w:pStyle w:val="2"/>
        <w:spacing w:line="250" w:lineRule="auto"/>
      </w:pPr>
    </w:p>
    <w:p w14:paraId="4ECE3234">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74                                </w:t>
      </w:r>
      <w:r>
        <w:rPr>
          <w:rFonts w:ascii="宋体" w:hAnsi="宋体" w:eastAsia="宋体" w:cs="宋体"/>
          <w:b/>
          <w:bCs/>
          <w:i/>
          <w:iCs/>
          <w:spacing w:val="-3"/>
          <w:sz w:val="19"/>
          <w:szCs w:val="19"/>
        </w:rPr>
        <w:t>伊犁州公共资源交易中心</w:t>
      </w:r>
    </w:p>
    <w:p w14:paraId="23BB42E6">
      <w:pPr>
        <w:spacing w:line="160" w:lineRule="auto"/>
        <w:rPr>
          <w:rFonts w:ascii="宋体" w:hAnsi="宋体" w:eastAsia="宋体" w:cs="宋体"/>
          <w:sz w:val="19"/>
          <w:szCs w:val="19"/>
        </w:rPr>
        <w:sectPr>
          <w:headerReference r:id="rId70" w:type="default"/>
          <w:footerReference r:id="rId71" w:type="default"/>
          <w:pgSz w:w="11905" w:h="16839"/>
          <w:pgMar w:top="1136" w:right="830" w:bottom="937" w:left="1136" w:header="854" w:footer="923" w:gutter="0"/>
          <w:cols w:space="720" w:num="1"/>
        </w:sectPr>
      </w:pPr>
    </w:p>
    <w:p w14:paraId="52453365">
      <w:pPr>
        <w:spacing w:before="76"/>
      </w:pPr>
    </w:p>
    <w:p w14:paraId="39932AC7">
      <w:pPr>
        <w:sectPr>
          <w:pgSz w:w="11905" w:h="16839"/>
          <w:pgMar w:top="1136" w:right="830" w:bottom="937" w:left="1136" w:header="854" w:footer="923" w:gutter="0"/>
          <w:cols w:equalWidth="0" w:num="1">
            <w:col w:w="9938"/>
          </w:cols>
        </w:sectPr>
      </w:pPr>
    </w:p>
    <w:p w14:paraId="34A8AAE6">
      <w:pPr>
        <w:spacing w:line="181" w:lineRule="auto"/>
        <w:ind w:left="522"/>
        <w:rPr>
          <w:rFonts w:ascii="微软雅黑" w:hAnsi="微软雅黑" w:eastAsia="微软雅黑" w:cs="微软雅黑"/>
          <w:sz w:val="24"/>
          <w:szCs w:val="24"/>
        </w:rPr>
      </w:pPr>
      <w:r>
        <w:rPr>
          <w:rFonts w:ascii="微软雅黑" w:hAnsi="微软雅黑" w:eastAsia="微软雅黑" w:cs="微软雅黑"/>
          <w:b/>
          <w:bCs/>
          <w:spacing w:val="-6"/>
          <w:sz w:val="24"/>
          <w:szCs w:val="24"/>
        </w:rPr>
        <w:t>5、付款途径</w:t>
      </w:r>
    </w:p>
    <w:p w14:paraId="2C390F6B">
      <w:pPr>
        <w:spacing w:line="181" w:lineRule="auto"/>
        <w:ind w:left="542"/>
        <w:rPr>
          <w:rFonts w:ascii="微软雅黑" w:hAnsi="微软雅黑" w:eastAsia="微软雅黑" w:cs="微软雅黑"/>
          <w:sz w:val="24"/>
          <w:szCs w:val="24"/>
        </w:rPr>
      </w:pPr>
      <w:r>
        <w:rPr>
          <w:rFonts w:ascii="微软雅黑" w:hAnsi="微软雅黑" w:eastAsia="微软雅黑" w:cs="微软雅黑"/>
          <w:spacing w:val="5"/>
          <w:sz w:val="24"/>
          <w:szCs w:val="24"/>
        </w:rPr>
        <w:t>□  国库集中支付</w:t>
      </w:r>
      <w:r>
        <w:rPr>
          <w:rFonts w:ascii="微软雅黑" w:hAnsi="微软雅黑" w:eastAsia="微软雅黑" w:cs="微软雅黑"/>
          <w:spacing w:val="8"/>
          <w:sz w:val="24"/>
          <w:szCs w:val="24"/>
        </w:rPr>
        <w:t xml:space="preserve">     </w:t>
      </w:r>
      <w:r>
        <w:rPr>
          <w:rFonts w:ascii="微软雅黑" w:hAnsi="微软雅黑" w:eastAsia="微软雅黑" w:cs="微软雅黑"/>
          <w:spacing w:val="5"/>
          <w:sz w:val="24"/>
          <w:szCs w:val="24"/>
        </w:rPr>
        <w:t>□甲方支付</w:t>
      </w:r>
    </w:p>
    <w:p w14:paraId="0AEAF70D">
      <w:pPr>
        <w:spacing w:line="181" w:lineRule="auto"/>
        <w:ind w:left="542"/>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微软雅黑" w:hAnsi="微软雅黑" w:eastAsia="微软雅黑" w:cs="微软雅黑"/>
          <w:spacing w:val="69"/>
          <w:sz w:val="24"/>
          <w:szCs w:val="24"/>
        </w:rPr>
        <w:t xml:space="preserve"> </w:t>
      </w:r>
      <w:r>
        <w:rPr>
          <w:rFonts w:ascii="微软雅黑" w:hAnsi="微软雅黑" w:eastAsia="微软雅黑" w:cs="微软雅黑"/>
          <w:spacing w:val="4"/>
          <w:sz w:val="24"/>
          <w:szCs w:val="24"/>
        </w:rPr>
        <w:t>财政性资金</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47"/>
          <w:sz w:val="24"/>
          <w:szCs w:val="24"/>
        </w:rPr>
        <w:t xml:space="preserve"> </w:t>
      </w:r>
      <w:r>
        <w:rPr>
          <w:rFonts w:ascii="微软雅黑" w:hAnsi="微软雅黑" w:eastAsia="微软雅黑" w:cs="微软雅黑"/>
          <w:spacing w:val="4"/>
          <w:sz w:val="24"/>
          <w:szCs w:val="24"/>
        </w:rPr>
        <w:t>元</w:t>
      </w:r>
    </w:p>
    <w:p w14:paraId="2EB9923D">
      <w:pPr>
        <w:spacing w:line="181" w:lineRule="auto"/>
        <w:ind w:left="556"/>
        <w:rPr>
          <w:rFonts w:ascii="微软雅黑" w:hAnsi="微软雅黑" w:eastAsia="微软雅黑" w:cs="微软雅黑"/>
          <w:sz w:val="24"/>
          <w:szCs w:val="24"/>
        </w:rPr>
      </w:pPr>
      <w:r>
        <w:rPr>
          <w:rFonts w:ascii="微软雅黑" w:hAnsi="微软雅黑" w:eastAsia="微软雅黑" w:cs="微软雅黑"/>
          <w:spacing w:val="-6"/>
          <w:sz w:val="24"/>
          <w:szCs w:val="24"/>
        </w:rPr>
        <w:t>甲方应按合同约定的付款期限。</w:t>
      </w:r>
    </w:p>
    <w:p w14:paraId="1A66F833">
      <w:pPr>
        <w:spacing w:line="246" w:lineRule="exact"/>
        <w:ind w:left="519"/>
        <w:rPr>
          <w:rFonts w:ascii="微软雅黑" w:hAnsi="微软雅黑" w:eastAsia="微软雅黑" w:cs="微软雅黑"/>
          <w:sz w:val="24"/>
          <w:szCs w:val="24"/>
        </w:rPr>
      </w:pPr>
      <w:r>
        <w:rPr>
          <w:rFonts w:ascii="微软雅黑" w:hAnsi="微软雅黑" w:eastAsia="微软雅黑" w:cs="微软雅黑"/>
          <w:b/>
          <w:bCs/>
          <w:spacing w:val="-6"/>
          <w:position w:val="-1"/>
          <w:sz w:val="24"/>
          <w:szCs w:val="24"/>
        </w:rPr>
        <w:t>6、付款方式</w:t>
      </w:r>
    </w:p>
    <w:p w14:paraId="4DE13593">
      <w:pPr>
        <w:pStyle w:val="2"/>
        <w:spacing w:line="14" w:lineRule="auto"/>
        <w:rPr>
          <w:sz w:val="2"/>
        </w:rPr>
      </w:pPr>
      <w:r>
        <w:rPr>
          <w:sz w:val="2"/>
          <w:szCs w:val="2"/>
        </w:rPr>
        <w:br w:type="column"/>
      </w:r>
    </w:p>
    <w:p w14:paraId="55C7D850">
      <w:pPr>
        <w:spacing w:before="310" w:line="181" w:lineRule="auto"/>
        <w:rPr>
          <w:rFonts w:ascii="微软雅黑" w:hAnsi="微软雅黑" w:eastAsia="微软雅黑" w:cs="微软雅黑"/>
          <w:sz w:val="24"/>
          <w:szCs w:val="24"/>
        </w:rPr>
      </w:pPr>
      <w:r>
        <w:rPr>
          <w:rFonts w:ascii="微软雅黑" w:hAnsi="微软雅黑" w:eastAsia="微软雅黑" w:cs="微软雅黑"/>
          <w:spacing w:val="2"/>
          <w:sz w:val="24"/>
          <w:szCs w:val="24"/>
        </w:rPr>
        <w:t>□  国库与甲方共同支付</w:t>
      </w:r>
    </w:p>
    <w:p w14:paraId="66B89136">
      <w:pPr>
        <w:spacing w:line="188" w:lineRule="auto"/>
        <w:rPr>
          <w:rFonts w:ascii="微软雅黑" w:hAnsi="微软雅黑" w:eastAsia="微软雅黑" w:cs="微软雅黑"/>
          <w:sz w:val="24"/>
          <w:szCs w:val="24"/>
        </w:rPr>
      </w:pPr>
      <w:r>
        <w:rPr>
          <w:rFonts w:ascii="微软雅黑" w:hAnsi="微软雅黑" w:eastAsia="微软雅黑" w:cs="微软雅黑"/>
          <w:sz w:val="24"/>
          <w:szCs w:val="24"/>
        </w:rPr>
        <w:t>□</w:t>
      </w:r>
      <w:r>
        <w:rPr>
          <w:rFonts w:ascii="微软雅黑" w:hAnsi="微软雅黑" w:eastAsia="微软雅黑" w:cs="微软雅黑"/>
          <w:spacing w:val="20"/>
          <w:sz w:val="24"/>
          <w:szCs w:val="24"/>
        </w:rPr>
        <w:t xml:space="preserve">  </w:t>
      </w:r>
      <w:r>
        <w:rPr>
          <w:rFonts w:ascii="微软雅黑" w:hAnsi="微软雅黑" w:eastAsia="微软雅黑" w:cs="微软雅黑"/>
          <w:sz w:val="24"/>
          <w:szCs w:val="24"/>
        </w:rPr>
        <w:t>自筹性资金</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51"/>
          <w:sz w:val="24"/>
          <w:szCs w:val="24"/>
        </w:rPr>
        <w:t xml:space="preserve"> </w:t>
      </w:r>
      <w:r>
        <w:rPr>
          <w:rFonts w:ascii="微软雅黑" w:hAnsi="微软雅黑" w:eastAsia="微软雅黑" w:cs="微软雅黑"/>
          <w:sz w:val="24"/>
          <w:szCs w:val="24"/>
        </w:rPr>
        <w:t>元</w:t>
      </w:r>
    </w:p>
    <w:p w14:paraId="41DF25B7">
      <w:pPr>
        <w:spacing w:line="188" w:lineRule="auto"/>
        <w:rPr>
          <w:rFonts w:ascii="微软雅黑" w:hAnsi="微软雅黑" w:eastAsia="微软雅黑" w:cs="微软雅黑"/>
          <w:sz w:val="24"/>
          <w:szCs w:val="24"/>
        </w:rPr>
        <w:sectPr>
          <w:type w:val="continuous"/>
          <w:pgSz w:w="11905" w:h="16839"/>
          <w:pgMar w:top="1136" w:right="830" w:bottom="937" w:left="1136" w:header="854" w:footer="923" w:gutter="0"/>
          <w:cols w:equalWidth="0" w:num="2">
            <w:col w:w="4283" w:space="100"/>
            <w:col w:w="5556"/>
          </w:cols>
        </w:sectPr>
      </w:pPr>
    </w:p>
    <w:p w14:paraId="74F8DFF2">
      <w:pPr>
        <w:spacing w:before="209" w:line="188" w:lineRule="auto"/>
        <w:ind w:left="524"/>
        <w:rPr>
          <w:rFonts w:ascii="微软雅黑" w:hAnsi="微软雅黑" w:eastAsia="微软雅黑" w:cs="微软雅黑"/>
          <w:sz w:val="24"/>
          <w:szCs w:val="24"/>
        </w:rPr>
      </w:pPr>
      <w:r>
        <w:rPr>
          <w:rFonts w:ascii="微软雅黑" w:hAnsi="微软雅黑" w:eastAsia="微软雅黑" w:cs="微软雅黑"/>
          <w:spacing w:val="-4"/>
          <w:sz w:val="24"/>
          <w:szCs w:val="24"/>
        </w:rPr>
        <w:t>付款方式：</w:t>
      </w:r>
      <w:r>
        <w:rPr>
          <w:rFonts w:ascii="微软雅黑" w:hAnsi="微软雅黑" w:eastAsia="微软雅黑" w:cs="微软雅黑"/>
          <w:sz w:val="24"/>
          <w:szCs w:val="24"/>
          <w:u w:val="single" w:color="auto"/>
        </w:rPr>
        <w:t xml:space="preserve">                                                                                        </w:t>
      </w:r>
    </w:p>
    <w:p w14:paraId="3DACC0AF">
      <w:pPr>
        <w:spacing w:before="272" w:line="188" w:lineRule="auto"/>
        <w:ind w:left="523"/>
        <w:rPr>
          <w:rFonts w:ascii="微软雅黑" w:hAnsi="微软雅黑" w:eastAsia="微软雅黑" w:cs="微软雅黑"/>
          <w:sz w:val="24"/>
          <w:szCs w:val="24"/>
        </w:rPr>
      </w:pPr>
      <w:r>
        <w:rPr>
          <w:rFonts w:ascii="微软雅黑" w:hAnsi="微软雅黑" w:eastAsia="微软雅黑" w:cs="微软雅黑"/>
          <w:b/>
          <w:bCs/>
          <w:spacing w:val="-5"/>
          <w:sz w:val="24"/>
          <w:szCs w:val="24"/>
        </w:rPr>
        <w:t>7、服务时间、地点</w:t>
      </w:r>
    </w:p>
    <w:p w14:paraId="101E3DF1">
      <w:pPr>
        <w:spacing w:before="274" w:line="188" w:lineRule="auto"/>
        <w:ind w:left="523"/>
        <w:rPr>
          <w:rFonts w:ascii="微软雅黑" w:hAnsi="微软雅黑" w:eastAsia="微软雅黑" w:cs="微软雅黑"/>
          <w:sz w:val="24"/>
          <w:szCs w:val="24"/>
        </w:rPr>
      </w:pPr>
      <w:r>
        <w:rPr>
          <w:rFonts w:ascii="微软雅黑" w:hAnsi="微软雅黑" w:eastAsia="微软雅黑" w:cs="微软雅黑"/>
          <w:spacing w:val="13"/>
          <w:sz w:val="24"/>
          <w:szCs w:val="24"/>
        </w:rPr>
        <w:t xml:space="preserve">7.1 </w:t>
      </w:r>
      <w:r>
        <w:rPr>
          <w:rFonts w:ascii="微软雅黑" w:hAnsi="微软雅黑" w:eastAsia="微软雅黑" w:cs="微软雅黑"/>
          <w:b/>
          <w:bCs/>
          <w:spacing w:val="13"/>
          <w:sz w:val="24"/>
          <w:szCs w:val="24"/>
        </w:rPr>
        <w:t>服务时间</w:t>
      </w:r>
      <w:r>
        <w:rPr>
          <w:rFonts w:ascii="微软雅黑" w:hAnsi="微软雅黑" w:eastAsia="微软雅黑" w:cs="微软雅黑"/>
          <w:b/>
          <w:bCs/>
          <w:spacing w:val="-38"/>
          <w:sz w:val="24"/>
          <w:szCs w:val="24"/>
        </w:rPr>
        <w:t xml:space="preserve"> </w:t>
      </w:r>
      <w:r>
        <w:rPr>
          <w:rFonts w:ascii="微软雅黑" w:hAnsi="微软雅黑" w:eastAsia="微软雅黑" w:cs="微软雅黑"/>
          <w:spacing w:val="13"/>
          <w:sz w:val="24"/>
          <w:szCs w:val="24"/>
        </w:rPr>
        <w:t>：------------------------------------</w:t>
      </w:r>
      <w:r>
        <w:rPr>
          <w:rFonts w:ascii="微软雅黑" w:hAnsi="微软雅黑" w:eastAsia="微软雅黑" w:cs="微软雅黑"/>
          <w:spacing w:val="12"/>
          <w:sz w:val="24"/>
          <w:szCs w:val="24"/>
        </w:rPr>
        <w:t>-------------。</w:t>
      </w:r>
    </w:p>
    <w:p w14:paraId="1CBC2F2D">
      <w:pPr>
        <w:spacing w:before="273" w:line="188" w:lineRule="auto"/>
        <w:ind w:left="523"/>
        <w:rPr>
          <w:rFonts w:ascii="微软雅黑" w:hAnsi="微软雅黑" w:eastAsia="微软雅黑" w:cs="微软雅黑"/>
          <w:sz w:val="24"/>
          <w:szCs w:val="24"/>
        </w:rPr>
      </w:pPr>
      <w:r>
        <w:rPr>
          <w:rFonts w:ascii="微软雅黑" w:hAnsi="微软雅黑" w:eastAsia="微软雅黑" w:cs="微软雅黑"/>
          <w:spacing w:val="-1"/>
          <w:sz w:val="24"/>
          <w:szCs w:val="24"/>
        </w:rPr>
        <w:t>7.2 服务地点：</w:t>
      </w:r>
      <w:r>
        <w:rPr>
          <w:rFonts w:ascii="微软雅黑" w:hAnsi="微软雅黑" w:eastAsia="微软雅黑" w:cs="微软雅黑"/>
          <w:spacing w:val="-1"/>
          <w:sz w:val="24"/>
          <w:szCs w:val="24"/>
          <w:u w:val="single" w:color="auto"/>
        </w:rPr>
        <w:t xml:space="preserve">                                                                                    </w:t>
      </w:r>
    </w:p>
    <w:p w14:paraId="29EECFD7">
      <w:pPr>
        <w:spacing w:before="274" w:line="188" w:lineRule="auto"/>
        <w:ind w:left="518"/>
        <w:rPr>
          <w:rFonts w:ascii="微软雅黑" w:hAnsi="微软雅黑" w:eastAsia="微软雅黑" w:cs="微软雅黑"/>
          <w:sz w:val="24"/>
          <w:szCs w:val="24"/>
        </w:rPr>
      </w:pPr>
      <w:r>
        <w:rPr>
          <w:rFonts w:ascii="微软雅黑" w:hAnsi="微软雅黑" w:eastAsia="微软雅黑" w:cs="微软雅黑"/>
          <w:b/>
          <w:bCs/>
          <w:spacing w:val="-6"/>
          <w:sz w:val="24"/>
          <w:szCs w:val="24"/>
        </w:rPr>
        <w:t>8、合同生效</w:t>
      </w:r>
    </w:p>
    <w:p w14:paraId="02A508F8">
      <w:pPr>
        <w:spacing w:before="273" w:line="188" w:lineRule="auto"/>
        <w:ind w:left="525"/>
        <w:rPr>
          <w:rFonts w:ascii="微软雅黑" w:hAnsi="微软雅黑" w:eastAsia="微软雅黑" w:cs="微软雅黑"/>
          <w:sz w:val="24"/>
          <w:szCs w:val="24"/>
        </w:rPr>
      </w:pPr>
      <w:r>
        <w:rPr>
          <w:rFonts w:ascii="微软雅黑" w:hAnsi="微软雅黑" w:eastAsia="微软雅黑" w:cs="微软雅黑"/>
          <w:spacing w:val="-3"/>
          <w:sz w:val="24"/>
          <w:szCs w:val="24"/>
        </w:rPr>
        <w:t>本合同经甲乙双方签字盖章后生效。</w:t>
      </w:r>
    </w:p>
    <w:p w14:paraId="28DDF443">
      <w:pPr>
        <w:spacing w:before="274" w:line="188" w:lineRule="auto"/>
        <w:ind w:left="518"/>
        <w:rPr>
          <w:rFonts w:ascii="微软雅黑" w:hAnsi="微软雅黑" w:eastAsia="微软雅黑" w:cs="微软雅黑"/>
          <w:sz w:val="24"/>
          <w:szCs w:val="24"/>
        </w:rPr>
      </w:pPr>
      <w:r>
        <w:rPr>
          <w:rFonts w:ascii="微软雅黑" w:hAnsi="微软雅黑" w:eastAsia="微软雅黑" w:cs="微软雅黑"/>
          <w:b/>
          <w:bCs/>
          <w:spacing w:val="-6"/>
          <w:sz w:val="24"/>
          <w:szCs w:val="24"/>
        </w:rPr>
        <w:t>9、合同保存</w:t>
      </w:r>
    </w:p>
    <w:p w14:paraId="75F76168">
      <w:pPr>
        <w:spacing w:before="273" w:line="188" w:lineRule="auto"/>
        <w:ind w:left="525"/>
        <w:rPr>
          <w:rFonts w:ascii="微软雅黑" w:hAnsi="微软雅黑" w:eastAsia="微软雅黑" w:cs="微软雅黑"/>
          <w:sz w:val="24"/>
          <w:szCs w:val="24"/>
        </w:rPr>
      </w:pPr>
      <w:r>
        <w:rPr>
          <w:rFonts w:ascii="微软雅黑" w:hAnsi="微软雅黑" w:eastAsia="微软雅黑" w:cs="微软雅黑"/>
          <w:spacing w:val="-3"/>
          <w:sz w:val="24"/>
          <w:szCs w:val="24"/>
        </w:rPr>
        <w:t>本合同一式六份，甲方四份，乙方两份。</w:t>
      </w:r>
    </w:p>
    <w:p w14:paraId="59BA8525">
      <w:pPr>
        <w:spacing w:before="274" w:line="188" w:lineRule="auto"/>
        <w:ind w:left="782"/>
        <w:rPr>
          <w:rFonts w:ascii="微软雅黑" w:hAnsi="微软雅黑" w:eastAsia="微软雅黑" w:cs="微软雅黑"/>
          <w:sz w:val="24"/>
          <w:szCs w:val="24"/>
        </w:rPr>
      </w:pPr>
      <w:r>
        <w:rPr>
          <w:rFonts w:ascii="微软雅黑" w:hAnsi="微软雅黑" w:eastAsia="微软雅黑" w:cs="微软雅黑"/>
          <w:b/>
          <w:bCs/>
          <w:spacing w:val="-26"/>
          <w:sz w:val="24"/>
          <w:szCs w:val="24"/>
        </w:rPr>
        <w:t>甲</w:t>
      </w:r>
      <w:r>
        <w:rPr>
          <w:rFonts w:ascii="微软雅黑" w:hAnsi="微软雅黑" w:eastAsia="微软雅黑" w:cs="微软雅黑"/>
          <w:b/>
          <w:bCs/>
          <w:sz w:val="24"/>
          <w:szCs w:val="24"/>
        </w:rPr>
        <w:t xml:space="preserve">       </w:t>
      </w:r>
      <w:r>
        <w:rPr>
          <w:rFonts w:ascii="微软雅黑" w:hAnsi="微软雅黑" w:eastAsia="微软雅黑" w:cs="微软雅黑"/>
          <w:b/>
          <w:bCs/>
          <w:spacing w:val="-26"/>
          <w:sz w:val="24"/>
          <w:szCs w:val="24"/>
        </w:rPr>
        <w:t>方：</w:t>
      </w:r>
      <w:r>
        <w:rPr>
          <w:rFonts w:ascii="微软雅黑" w:hAnsi="微软雅黑" w:eastAsia="微软雅黑" w:cs="微软雅黑"/>
          <w:b/>
          <w:bCs/>
          <w:spacing w:val="1"/>
          <w:sz w:val="24"/>
          <w:szCs w:val="24"/>
        </w:rPr>
        <w:t xml:space="preserve">                                               </w:t>
      </w:r>
      <w:r>
        <w:rPr>
          <w:rFonts w:ascii="微软雅黑" w:hAnsi="微软雅黑" w:eastAsia="微软雅黑" w:cs="微软雅黑"/>
          <w:b/>
          <w:bCs/>
          <w:spacing w:val="-26"/>
          <w:sz w:val="24"/>
          <w:szCs w:val="24"/>
        </w:rPr>
        <w:t>乙</w:t>
      </w:r>
      <w:r>
        <w:rPr>
          <w:rFonts w:ascii="微软雅黑" w:hAnsi="微软雅黑" w:eastAsia="微软雅黑" w:cs="微软雅黑"/>
          <w:b/>
          <w:bCs/>
          <w:sz w:val="24"/>
          <w:szCs w:val="24"/>
        </w:rPr>
        <w:t xml:space="preserve">       </w:t>
      </w:r>
      <w:r>
        <w:rPr>
          <w:rFonts w:ascii="微软雅黑" w:hAnsi="微软雅黑" w:eastAsia="微软雅黑" w:cs="微软雅黑"/>
          <w:b/>
          <w:bCs/>
          <w:spacing w:val="-26"/>
          <w:sz w:val="24"/>
          <w:szCs w:val="24"/>
        </w:rPr>
        <w:t>方：</w:t>
      </w:r>
    </w:p>
    <w:p w14:paraId="6A01883D">
      <w:pPr>
        <w:spacing w:before="273" w:line="183" w:lineRule="auto"/>
        <w:ind w:left="529"/>
        <w:rPr>
          <w:rFonts w:ascii="微软雅黑" w:hAnsi="微软雅黑" w:eastAsia="微软雅黑" w:cs="微软雅黑"/>
          <w:sz w:val="24"/>
          <w:szCs w:val="24"/>
        </w:rPr>
      </w:pPr>
      <w:r>
        <w:rPr>
          <w:rFonts w:ascii="微软雅黑" w:hAnsi="微软雅黑" w:eastAsia="微软雅黑" w:cs="微软雅黑"/>
          <w:spacing w:val="1"/>
          <w:sz w:val="24"/>
          <w:szCs w:val="24"/>
        </w:rPr>
        <w:t xml:space="preserve">单位名称(公章)：                </w:t>
      </w:r>
      <w:r>
        <w:rPr>
          <w:rFonts w:ascii="微软雅黑" w:hAnsi="微软雅黑" w:eastAsia="微软雅黑" w:cs="微软雅黑"/>
          <w:sz w:val="24"/>
          <w:szCs w:val="24"/>
        </w:rPr>
        <w:t xml:space="preserve">                      单位名称(公章)：</w:t>
      </w:r>
    </w:p>
    <w:p w14:paraId="5DA63AD7">
      <w:pPr>
        <w:pStyle w:val="2"/>
        <w:spacing w:line="256" w:lineRule="auto"/>
      </w:pPr>
    </w:p>
    <w:p w14:paraId="5427FE63">
      <w:pPr>
        <w:pStyle w:val="2"/>
        <w:spacing w:line="257" w:lineRule="auto"/>
      </w:pPr>
    </w:p>
    <w:p w14:paraId="26AB0896">
      <w:pPr>
        <w:pStyle w:val="2"/>
        <w:spacing w:line="257" w:lineRule="auto"/>
      </w:pPr>
    </w:p>
    <w:p w14:paraId="73CB0156">
      <w:pPr>
        <w:spacing w:before="104" w:line="183" w:lineRule="auto"/>
        <w:ind w:left="52"/>
        <w:rPr>
          <w:rFonts w:ascii="微软雅黑" w:hAnsi="微软雅黑" w:eastAsia="微软雅黑" w:cs="微软雅黑"/>
          <w:sz w:val="24"/>
          <w:szCs w:val="24"/>
        </w:rPr>
      </w:pPr>
      <w:r>
        <w:rPr>
          <w:rFonts w:ascii="微软雅黑" w:hAnsi="微软雅黑" w:eastAsia="微软雅黑" w:cs="微软雅黑"/>
          <w:spacing w:val="1"/>
          <w:sz w:val="24"/>
          <w:szCs w:val="24"/>
        </w:rPr>
        <w:t>法定代表人或授权代理人</w:t>
      </w:r>
      <w:r>
        <w:rPr>
          <w:rFonts w:ascii="微软雅黑" w:hAnsi="微软雅黑" w:eastAsia="微软雅黑" w:cs="微软雅黑"/>
          <w:spacing w:val="-2"/>
          <w:sz w:val="24"/>
          <w:szCs w:val="24"/>
        </w:rPr>
        <w:t>：（</w:t>
      </w:r>
      <w:r>
        <w:rPr>
          <w:rFonts w:ascii="微软雅黑" w:hAnsi="微软雅黑" w:eastAsia="微软雅黑" w:cs="微软雅黑"/>
          <w:spacing w:val="1"/>
          <w:sz w:val="24"/>
          <w:szCs w:val="24"/>
        </w:rPr>
        <w:t>签字）           法</w:t>
      </w:r>
      <w:r>
        <w:rPr>
          <w:rFonts w:ascii="微软雅黑" w:hAnsi="微软雅黑" w:eastAsia="微软雅黑" w:cs="微软雅黑"/>
          <w:sz w:val="24"/>
          <w:szCs w:val="24"/>
        </w:rPr>
        <w:t>定代表人或授权代理人</w:t>
      </w:r>
      <w:r>
        <w:rPr>
          <w:rFonts w:ascii="微软雅黑" w:hAnsi="微软雅黑" w:eastAsia="微软雅黑" w:cs="微软雅黑"/>
          <w:spacing w:val="-2"/>
          <w:sz w:val="24"/>
          <w:szCs w:val="24"/>
        </w:rPr>
        <w:t>：（</w:t>
      </w:r>
      <w:r>
        <w:rPr>
          <w:rFonts w:ascii="微软雅黑" w:hAnsi="微软雅黑" w:eastAsia="微软雅黑" w:cs="微软雅黑"/>
          <w:sz w:val="24"/>
          <w:szCs w:val="24"/>
        </w:rPr>
        <w:t>签字）</w:t>
      </w:r>
    </w:p>
    <w:p w14:paraId="6591BA38">
      <w:pPr>
        <w:pStyle w:val="2"/>
        <w:spacing w:line="256" w:lineRule="auto"/>
      </w:pPr>
    </w:p>
    <w:p w14:paraId="25BD7834">
      <w:pPr>
        <w:pStyle w:val="2"/>
        <w:spacing w:line="256" w:lineRule="auto"/>
      </w:pPr>
    </w:p>
    <w:p w14:paraId="3ADC68D6">
      <w:pPr>
        <w:pStyle w:val="2"/>
        <w:spacing w:line="257" w:lineRule="auto"/>
      </w:pPr>
    </w:p>
    <w:p w14:paraId="537C7627">
      <w:pPr>
        <w:spacing w:before="103" w:line="189" w:lineRule="auto"/>
        <w:ind w:left="71"/>
        <w:rPr>
          <w:rFonts w:ascii="微软雅黑" w:hAnsi="微软雅黑" w:eastAsia="微软雅黑" w:cs="微软雅黑"/>
          <w:sz w:val="24"/>
          <w:szCs w:val="24"/>
        </w:rPr>
      </w:pPr>
      <w:r>
        <w:rPr>
          <w:rFonts w:ascii="微软雅黑" w:hAnsi="微软雅黑" w:eastAsia="微软雅黑" w:cs="微软雅黑"/>
          <w:spacing w:val="-8"/>
          <w:sz w:val="24"/>
          <w:szCs w:val="24"/>
        </w:rPr>
        <w:t>电</w:t>
      </w:r>
      <w:r>
        <w:rPr>
          <w:rFonts w:ascii="微软雅黑" w:hAnsi="微软雅黑" w:eastAsia="微软雅黑" w:cs="微软雅黑"/>
          <w:spacing w:val="11"/>
          <w:sz w:val="24"/>
          <w:szCs w:val="24"/>
        </w:rPr>
        <w:t xml:space="preserve">      </w:t>
      </w:r>
      <w:r>
        <w:rPr>
          <w:rFonts w:ascii="微软雅黑" w:hAnsi="微软雅黑" w:eastAsia="微软雅黑" w:cs="微软雅黑"/>
          <w:spacing w:val="-8"/>
          <w:sz w:val="24"/>
          <w:szCs w:val="24"/>
        </w:rPr>
        <w:t xml:space="preserve">话：                              </w:t>
      </w:r>
      <w:r>
        <w:rPr>
          <w:rFonts w:ascii="微软雅黑" w:hAnsi="微软雅黑" w:eastAsia="微软雅黑" w:cs="微软雅黑"/>
          <w:spacing w:val="-9"/>
          <w:sz w:val="24"/>
          <w:szCs w:val="24"/>
        </w:rPr>
        <w:t xml:space="preserve">                       电        话：</w:t>
      </w:r>
    </w:p>
    <w:p w14:paraId="7E4696F8">
      <w:pPr>
        <w:spacing w:before="272" w:line="188" w:lineRule="auto"/>
        <w:ind w:left="50"/>
        <w:rPr>
          <w:rFonts w:ascii="微软雅黑" w:hAnsi="微软雅黑" w:eastAsia="微软雅黑" w:cs="微软雅黑"/>
          <w:sz w:val="24"/>
          <w:szCs w:val="24"/>
        </w:rPr>
      </w:pPr>
      <w:r>
        <w:rPr>
          <w:rFonts w:ascii="微软雅黑" w:hAnsi="微软雅黑" w:eastAsia="微软雅黑" w:cs="微软雅黑"/>
          <w:spacing w:val="-3"/>
          <w:sz w:val="24"/>
          <w:szCs w:val="24"/>
        </w:rPr>
        <w:t>签订日期：                                                 签</w:t>
      </w:r>
      <w:r>
        <w:rPr>
          <w:rFonts w:ascii="微软雅黑" w:hAnsi="微软雅黑" w:eastAsia="微软雅黑" w:cs="微软雅黑"/>
          <w:spacing w:val="-4"/>
          <w:sz w:val="24"/>
          <w:szCs w:val="24"/>
        </w:rPr>
        <w:t>订日期：</w:t>
      </w:r>
    </w:p>
    <w:p w14:paraId="5CBE1614">
      <w:pPr>
        <w:pStyle w:val="2"/>
        <w:spacing w:line="241" w:lineRule="auto"/>
      </w:pPr>
    </w:p>
    <w:p w14:paraId="70267D13">
      <w:pPr>
        <w:pStyle w:val="2"/>
        <w:spacing w:line="242" w:lineRule="auto"/>
      </w:pPr>
    </w:p>
    <w:p w14:paraId="28A53331">
      <w:pPr>
        <w:pStyle w:val="2"/>
        <w:spacing w:line="242" w:lineRule="auto"/>
      </w:pPr>
    </w:p>
    <w:p w14:paraId="342F39AC">
      <w:pPr>
        <w:spacing w:before="120" w:line="188" w:lineRule="auto"/>
        <w:ind w:left="56"/>
        <w:rPr>
          <w:rFonts w:ascii="微软雅黑" w:hAnsi="微软雅黑" w:eastAsia="微软雅黑" w:cs="微软雅黑"/>
          <w:sz w:val="28"/>
          <w:szCs w:val="28"/>
        </w:rPr>
      </w:pPr>
      <w:r>
        <w:rPr>
          <w:rFonts w:ascii="微软雅黑" w:hAnsi="微软雅黑" w:eastAsia="微软雅黑" w:cs="微软雅黑"/>
          <w:b/>
          <w:bCs/>
          <w:spacing w:val="-9"/>
          <w:sz w:val="28"/>
          <w:szCs w:val="28"/>
        </w:rPr>
        <w:t>二、合同草案条款：</w:t>
      </w:r>
    </w:p>
    <w:p w14:paraId="09D61E43">
      <w:pPr>
        <w:spacing w:before="240" w:line="188" w:lineRule="auto"/>
        <w:ind w:left="535"/>
        <w:rPr>
          <w:rFonts w:ascii="微软雅黑" w:hAnsi="微软雅黑" w:eastAsia="微软雅黑" w:cs="微软雅黑"/>
          <w:sz w:val="24"/>
          <w:szCs w:val="24"/>
        </w:rPr>
      </w:pPr>
      <w:r>
        <w:rPr>
          <w:rFonts w:ascii="微软雅黑" w:hAnsi="微软雅黑" w:eastAsia="微软雅黑" w:cs="微软雅黑"/>
          <w:spacing w:val="-9"/>
          <w:sz w:val="24"/>
          <w:szCs w:val="24"/>
        </w:rPr>
        <w:t>1、定义</w:t>
      </w:r>
    </w:p>
    <w:p w14:paraId="435201D0">
      <w:pPr>
        <w:spacing w:before="273" w:line="346" w:lineRule="auto"/>
        <w:ind w:left="47" w:right="9" w:firstLine="487"/>
        <w:rPr>
          <w:rFonts w:ascii="微软雅黑" w:hAnsi="微软雅黑" w:eastAsia="微软雅黑" w:cs="微软雅黑"/>
          <w:sz w:val="24"/>
          <w:szCs w:val="24"/>
        </w:rPr>
      </w:pPr>
      <w:r>
        <w:rPr>
          <w:rFonts w:ascii="微软雅黑" w:hAnsi="微软雅黑" w:eastAsia="微软雅黑" w:cs="微软雅黑"/>
          <w:spacing w:val="-1"/>
          <w:sz w:val="24"/>
          <w:szCs w:val="24"/>
        </w:rPr>
        <w:t>1.1</w:t>
      </w:r>
      <w:r>
        <w:rPr>
          <w:rFonts w:ascii="微软雅黑" w:hAnsi="微软雅黑" w:eastAsia="微软雅黑" w:cs="微软雅黑"/>
          <w:spacing w:val="37"/>
          <w:sz w:val="24"/>
          <w:szCs w:val="24"/>
        </w:rPr>
        <w:t xml:space="preserve"> </w:t>
      </w:r>
      <w:r>
        <w:rPr>
          <w:rFonts w:ascii="微软雅黑" w:hAnsi="微软雅黑" w:eastAsia="微软雅黑" w:cs="微软雅黑"/>
          <w:spacing w:val="-1"/>
          <w:sz w:val="24"/>
          <w:szCs w:val="24"/>
        </w:rPr>
        <w:t>甲方（需方）即采购人，是指通过</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49"/>
          <w:sz w:val="24"/>
          <w:szCs w:val="24"/>
        </w:rPr>
        <w:t xml:space="preserve"> </w:t>
      </w:r>
      <w:r>
        <w:rPr>
          <w:rFonts w:ascii="微软雅黑" w:hAnsi="微软雅黑" w:eastAsia="微软雅黑" w:cs="微软雅黑"/>
          <w:spacing w:val="-2"/>
          <w:sz w:val="24"/>
          <w:szCs w:val="24"/>
        </w:rPr>
        <w:t>方式采购，接受合同服务及服务的各</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级国家机关、事业单位和团体组织。</w:t>
      </w:r>
    </w:p>
    <w:p w14:paraId="5C196E7C">
      <w:pPr>
        <w:spacing w:before="6" w:line="183" w:lineRule="auto"/>
        <w:ind w:right="31"/>
        <w:jc w:val="right"/>
        <w:rPr>
          <w:rFonts w:ascii="微软雅黑" w:hAnsi="微软雅黑" w:eastAsia="微软雅黑" w:cs="微软雅黑"/>
          <w:sz w:val="24"/>
          <w:szCs w:val="24"/>
        </w:rPr>
      </w:pPr>
      <w:r>
        <w:rPr>
          <w:rFonts w:ascii="微软雅黑" w:hAnsi="微软雅黑" w:eastAsia="微软雅黑" w:cs="微软雅黑"/>
          <w:spacing w:val="-1"/>
          <w:sz w:val="24"/>
          <w:szCs w:val="24"/>
        </w:rPr>
        <w:t>1.2</w:t>
      </w:r>
      <w:r>
        <w:rPr>
          <w:rFonts w:ascii="微软雅黑" w:hAnsi="微软雅黑" w:eastAsia="微软雅黑" w:cs="微软雅黑"/>
          <w:spacing w:val="24"/>
          <w:w w:val="101"/>
          <w:sz w:val="24"/>
          <w:szCs w:val="24"/>
        </w:rPr>
        <w:t xml:space="preserve"> </w:t>
      </w:r>
      <w:r>
        <w:rPr>
          <w:rFonts w:ascii="微软雅黑" w:hAnsi="微软雅黑" w:eastAsia="微软雅黑" w:cs="微软雅黑"/>
          <w:spacing w:val="-1"/>
          <w:sz w:val="24"/>
          <w:szCs w:val="24"/>
        </w:rPr>
        <w:t>乙方（供方）</w:t>
      </w:r>
      <w:r>
        <w:rPr>
          <w:rFonts w:ascii="微软雅黑" w:hAnsi="微软雅黑" w:eastAsia="微软雅黑" w:cs="微软雅黑"/>
          <w:spacing w:val="-37"/>
          <w:sz w:val="24"/>
          <w:szCs w:val="24"/>
        </w:rPr>
        <w:t xml:space="preserve"> </w:t>
      </w:r>
      <w:r>
        <w:rPr>
          <w:rFonts w:ascii="微软雅黑" w:hAnsi="微软雅黑" w:eastAsia="微软雅黑" w:cs="微软雅黑"/>
          <w:spacing w:val="-1"/>
          <w:sz w:val="24"/>
          <w:szCs w:val="24"/>
        </w:rPr>
        <w:t>即中标（成交）</w:t>
      </w:r>
      <w:r>
        <w:rPr>
          <w:rFonts w:ascii="微软雅黑" w:hAnsi="微软雅黑" w:eastAsia="微软雅黑" w:cs="微软雅黑"/>
          <w:spacing w:val="-49"/>
          <w:sz w:val="24"/>
          <w:szCs w:val="24"/>
        </w:rPr>
        <w:t xml:space="preserve"> </w:t>
      </w:r>
      <w:r>
        <w:rPr>
          <w:rFonts w:ascii="微软雅黑" w:hAnsi="微软雅黑" w:eastAsia="微软雅黑" w:cs="微软雅黑"/>
          <w:spacing w:val="-1"/>
          <w:sz w:val="24"/>
          <w:szCs w:val="24"/>
        </w:rPr>
        <w:t>供应商，</w:t>
      </w:r>
      <w:r>
        <w:rPr>
          <w:rFonts w:ascii="微软雅黑" w:hAnsi="微软雅黑" w:eastAsia="微软雅黑" w:cs="微软雅黑"/>
          <w:spacing w:val="-49"/>
          <w:sz w:val="24"/>
          <w:szCs w:val="24"/>
        </w:rPr>
        <w:t xml:space="preserve"> </w:t>
      </w:r>
      <w:r>
        <w:rPr>
          <w:rFonts w:ascii="微软雅黑" w:hAnsi="微软雅黑" w:eastAsia="微软雅黑" w:cs="微软雅黑"/>
          <w:spacing w:val="-1"/>
          <w:sz w:val="24"/>
          <w:szCs w:val="24"/>
        </w:rPr>
        <w:t>是指中标（成交）</w:t>
      </w:r>
      <w:r>
        <w:rPr>
          <w:rFonts w:ascii="微软雅黑" w:hAnsi="微软雅黑" w:eastAsia="微软雅黑" w:cs="微软雅黑"/>
          <w:spacing w:val="-48"/>
          <w:sz w:val="24"/>
          <w:szCs w:val="24"/>
        </w:rPr>
        <w:t xml:space="preserve"> </w:t>
      </w:r>
      <w:r>
        <w:rPr>
          <w:rFonts w:ascii="微软雅黑" w:hAnsi="微软雅黑" w:eastAsia="微软雅黑" w:cs="微软雅黑"/>
          <w:spacing w:val="-1"/>
          <w:sz w:val="24"/>
          <w:szCs w:val="24"/>
        </w:rPr>
        <w:t>后提供合同</w:t>
      </w:r>
      <w:r>
        <w:rPr>
          <w:rFonts w:ascii="微软雅黑" w:hAnsi="微软雅黑" w:eastAsia="微软雅黑" w:cs="微软雅黑"/>
          <w:spacing w:val="-2"/>
          <w:sz w:val="24"/>
          <w:szCs w:val="24"/>
        </w:rPr>
        <w:t>服务的自然人、</w:t>
      </w:r>
    </w:p>
    <w:p w14:paraId="60158F71">
      <w:pPr>
        <w:pStyle w:val="2"/>
        <w:spacing w:line="274" w:lineRule="auto"/>
      </w:pPr>
    </w:p>
    <w:p w14:paraId="3468CD75">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75                                </w:t>
      </w:r>
      <w:r>
        <w:rPr>
          <w:rFonts w:ascii="宋体" w:hAnsi="宋体" w:eastAsia="宋体" w:cs="宋体"/>
          <w:b/>
          <w:bCs/>
          <w:i/>
          <w:iCs/>
          <w:spacing w:val="-3"/>
          <w:sz w:val="19"/>
          <w:szCs w:val="19"/>
        </w:rPr>
        <w:t>伊犁州公共资源交易中心</w:t>
      </w:r>
    </w:p>
    <w:p w14:paraId="549F2E42">
      <w:pPr>
        <w:spacing w:line="160" w:lineRule="auto"/>
        <w:rPr>
          <w:rFonts w:ascii="宋体" w:hAnsi="宋体" w:eastAsia="宋体" w:cs="宋体"/>
          <w:sz w:val="19"/>
          <w:szCs w:val="19"/>
        </w:rPr>
        <w:sectPr>
          <w:type w:val="continuous"/>
          <w:pgSz w:w="11905" w:h="16839"/>
          <w:pgMar w:top="1136" w:right="830" w:bottom="937" w:left="1136" w:header="854" w:footer="923" w:gutter="0"/>
          <w:cols w:equalWidth="0" w:num="1">
            <w:col w:w="9938"/>
          </w:cols>
        </w:sectPr>
      </w:pPr>
    </w:p>
    <w:p w14:paraId="5BA629DC">
      <w:pPr>
        <w:pStyle w:val="2"/>
        <w:spacing w:line="355" w:lineRule="auto"/>
      </w:pPr>
    </w:p>
    <w:p w14:paraId="0E2B50A0">
      <w:pPr>
        <w:spacing w:before="103" w:line="188" w:lineRule="auto"/>
        <w:ind w:left="52"/>
        <w:rPr>
          <w:rFonts w:ascii="微软雅黑" w:hAnsi="微软雅黑" w:eastAsia="微软雅黑" w:cs="微软雅黑"/>
          <w:sz w:val="24"/>
          <w:szCs w:val="24"/>
        </w:rPr>
      </w:pPr>
      <w:r>
        <w:rPr>
          <w:rFonts w:ascii="微软雅黑" w:hAnsi="微软雅黑" w:eastAsia="微软雅黑" w:cs="微软雅黑"/>
          <w:spacing w:val="-7"/>
          <w:sz w:val="24"/>
          <w:szCs w:val="24"/>
        </w:rPr>
        <w:t>法人及其他组织。</w:t>
      </w:r>
    </w:p>
    <w:p w14:paraId="404B25C9">
      <w:pPr>
        <w:spacing w:before="273" w:line="346" w:lineRule="auto"/>
        <w:ind w:left="48" w:right="29" w:firstLine="486"/>
        <w:rPr>
          <w:rFonts w:ascii="微软雅黑" w:hAnsi="微软雅黑" w:eastAsia="微软雅黑" w:cs="微软雅黑"/>
          <w:sz w:val="24"/>
          <w:szCs w:val="24"/>
        </w:rPr>
      </w:pPr>
      <w:r>
        <w:rPr>
          <w:rFonts w:ascii="微软雅黑" w:hAnsi="微软雅黑" w:eastAsia="微软雅黑" w:cs="微软雅黑"/>
          <w:spacing w:val="1"/>
          <w:sz w:val="24"/>
          <w:szCs w:val="24"/>
        </w:rPr>
        <w:t>1.3 合同是指由甲乙双方按照政府采购文件和投标（响应）</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文件的实质性内</w:t>
      </w:r>
      <w:r>
        <w:rPr>
          <w:rFonts w:ascii="微软雅黑" w:hAnsi="微软雅黑" w:eastAsia="微软雅黑" w:cs="微软雅黑"/>
          <w:sz w:val="24"/>
          <w:szCs w:val="24"/>
        </w:rPr>
        <w:t>容，</w:t>
      </w:r>
      <w:r>
        <w:rPr>
          <w:rFonts w:ascii="微软雅黑" w:hAnsi="微软雅黑" w:eastAsia="微软雅黑" w:cs="微软雅黑"/>
          <w:spacing w:val="-45"/>
          <w:sz w:val="24"/>
          <w:szCs w:val="24"/>
        </w:rPr>
        <w:t xml:space="preserve"> </w:t>
      </w:r>
      <w:r>
        <w:rPr>
          <w:rFonts w:ascii="微软雅黑" w:hAnsi="微软雅黑" w:eastAsia="微软雅黑" w:cs="微软雅黑"/>
          <w:sz w:val="24"/>
          <w:szCs w:val="24"/>
        </w:rPr>
        <w:t xml:space="preserve">通过协商 </w:t>
      </w:r>
      <w:r>
        <w:rPr>
          <w:rFonts w:ascii="微软雅黑" w:hAnsi="微软雅黑" w:eastAsia="微软雅黑" w:cs="微软雅黑"/>
          <w:spacing w:val="-5"/>
          <w:sz w:val="24"/>
          <w:szCs w:val="24"/>
        </w:rPr>
        <w:t>一致达成的书面协议。</w:t>
      </w:r>
    </w:p>
    <w:p w14:paraId="5B3EC914">
      <w:pPr>
        <w:spacing w:before="2" w:line="344" w:lineRule="auto"/>
        <w:ind w:left="45" w:right="29" w:firstLine="489"/>
        <w:rPr>
          <w:rFonts w:ascii="微软雅黑" w:hAnsi="微软雅黑" w:eastAsia="微软雅黑" w:cs="微软雅黑"/>
          <w:sz w:val="24"/>
          <w:szCs w:val="24"/>
        </w:rPr>
      </w:pPr>
      <w:r>
        <w:rPr>
          <w:rFonts w:ascii="微软雅黑" w:hAnsi="微软雅黑" w:eastAsia="微软雅黑" w:cs="微软雅黑"/>
          <w:sz w:val="24"/>
          <w:szCs w:val="24"/>
        </w:rPr>
        <w:t>1.4 合同价格指以中标（成交）</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价格为依据，</w:t>
      </w:r>
      <w:r>
        <w:rPr>
          <w:rFonts w:ascii="微软雅黑" w:hAnsi="微软雅黑" w:eastAsia="微软雅黑" w:cs="微软雅黑"/>
          <w:spacing w:val="-48"/>
          <w:sz w:val="24"/>
          <w:szCs w:val="24"/>
        </w:rPr>
        <w:t xml:space="preserve"> </w:t>
      </w:r>
      <w:r>
        <w:rPr>
          <w:rFonts w:ascii="微软雅黑" w:hAnsi="微软雅黑" w:eastAsia="微软雅黑" w:cs="微软雅黑"/>
          <w:sz w:val="24"/>
          <w:szCs w:val="24"/>
        </w:rPr>
        <w:t>在供方全面履行合同义务后，</w:t>
      </w:r>
      <w:r>
        <w:rPr>
          <w:rFonts w:ascii="微软雅黑" w:hAnsi="微软雅黑" w:eastAsia="微软雅黑" w:cs="微软雅黑"/>
          <w:spacing w:val="-40"/>
          <w:sz w:val="24"/>
          <w:szCs w:val="24"/>
        </w:rPr>
        <w:t xml:space="preserve"> </w:t>
      </w:r>
      <w:r>
        <w:rPr>
          <w:rFonts w:ascii="微软雅黑" w:hAnsi="微软雅黑" w:eastAsia="微软雅黑" w:cs="微软雅黑"/>
          <w:sz w:val="24"/>
          <w:szCs w:val="24"/>
        </w:rPr>
        <w:t xml:space="preserve">需方（或财政 </w:t>
      </w:r>
      <w:r>
        <w:rPr>
          <w:rFonts w:ascii="微软雅黑" w:hAnsi="微软雅黑" w:eastAsia="微软雅黑" w:cs="微软雅黑"/>
          <w:spacing w:val="-4"/>
          <w:sz w:val="24"/>
          <w:szCs w:val="24"/>
        </w:rPr>
        <w:t>部门）应支付给供方的金额。</w:t>
      </w:r>
    </w:p>
    <w:p w14:paraId="43881849">
      <w:pPr>
        <w:spacing w:before="11" w:line="344" w:lineRule="auto"/>
        <w:ind w:left="45" w:right="29" w:firstLine="489"/>
        <w:rPr>
          <w:rFonts w:ascii="微软雅黑" w:hAnsi="微软雅黑" w:eastAsia="微软雅黑" w:cs="微软雅黑"/>
          <w:sz w:val="24"/>
          <w:szCs w:val="24"/>
        </w:rPr>
      </w:pPr>
      <w:r>
        <w:rPr>
          <w:rFonts w:ascii="微软雅黑" w:hAnsi="微软雅黑" w:eastAsia="微软雅黑" w:cs="微软雅黑"/>
          <w:spacing w:val="2"/>
          <w:sz w:val="24"/>
          <w:szCs w:val="24"/>
        </w:rPr>
        <w:t>1.5 技术资料是指合同服务及其相关的清洁设备、工具、物料种类及其他类似等文件（包</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括图纸、各种文字说明、标准）。</w:t>
      </w:r>
    </w:p>
    <w:p w14:paraId="0E497007">
      <w:pPr>
        <w:spacing w:before="13" w:line="183" w:lineRule="auto"/>
        <w:ind w:left="520"/>
        <w:rPr>
          <w:rFonts w:ascii="微软雅黑" w:hAnsi="微软雅黑" w:eastAsia="微软雅黑" w:cs="微软雅黑"/>
          <w:sz w:val="24"/>
          <w:szCs w:val="24"/>
        </w:rPr>
      </w:pPr>
      <w:r>
        <w:rPr>
          <w:rFonts w:ascii="微软雅黑" w:hAnsi="微软雅黑" w:eastAsia="微软雅黑" w:cs="微软雅黑"/>
          <w:spacing w:val="-4"/>
          <w:sz w:val="24"/>
          <w:szCs w:val="24"/>
        </w:rPr>
        <w:t>2、服务内容（合同内容）</w:t>
      </w:r>
    </w:p>
    <w:p w14:paraId="147268AE">
      <w:pPr>
        <w:spacing w:before="282" w:line="183" w:lineRule="auto"/>
        <w:ind w:left="531"/>
        <w:rPr>
          <w:rFonts w:ascii="微软雅黑" w:hAnsi="微软雅黑" w:eastAsia="微软雅黑" w:cs="微软雅黑"/>
          <w:sz w:val="24"/>
          <w:szCs w:val="24"/>
        </w:rPr>
      </w:pPr>
      <w:r>
        <w:rPr>
          <w:rFonts w:ascii="微软雅黑" w:hAnsi="微软雅黑" w:eastAsia="微软雅黑" w:cs="微软雅黑"/>
          <w:spacing w:val="-2"/>
          <w:sz w:val="24"/>
          <w:szCs w:val="24"/>
        </w:rPr>
        <w:t>合同包括以下内容：服务名称、服务要求、数量（单位）等内容。</w:t>
      </w:r>
    </w:p>
    <w:p w14:paraId="3AE8EAD7">
      <w:pPr>
        <w:spacing w:before="281" w:line="188" w:lineRule="auto"/>
        <w:ind w:left="522"/>
        <w:rPr>
          <w:rFonts w:ascii="微软雅黑" w:hAnsi="微软雅黑" w:eastAsia="微软雅黑" w:cs="微软雅黑"/>
          <w:sz w:val="24"/>
          <w:szCs w:val="24"/>
        </w:rPr>
      </w:pPr>
      <w:r>
        <w:rPr>
          <w:rFonts w:ascii="微软雅黑" w:hAnsi="微软雅黑" w:eastAsia="微软雅黑" w:cs="微软雅黑"/>
          <w:spacing w:val="-5"/>
          <w:sz w:val="24"/>
          <w:szCs w:val="24"/>
        </w:rPr>
        <w:t>3、合同价格</w:t>
      </w:r>
    </w:p>
    <w:p w14:paraId="39506BC3">
      <w:pPr>
        <w:spacing w:before="274" w:line="188" w:lineRule="auto"/>
        <w:ind w:left="522"/>
        <w:rPr>
          <w:rFonts w:ascii="微软雅黑" w:hAnsi="微软雅黑" w:eastAsia="微软雅黑" w:cs="微软雅黑"/>
          <w:sz w:val="24"/>
          <w:szCs w:val="24"/>
        </w:rPr>
      </w:pPr>
      <w:r>
        <w:rPr>
          <w:rFonts w:ascii="微软雅黑" w:hAnsi="微软雅黑" w:eastAsia="微软雅黑" w:cs="微软雅黑"/>
          <w:spacing w:val="-3"/>
          <w:sz w:val="24"/>
          <w:szCs w:val="24"/>
        </w:rPr>
        <w:t>3.1 合同价格即合同总价。</w:t>
      </w:r>
    </w:p>
    <w:p w14:paraId="2D30F3F4">
      <w:pPr>
        <w:spacing w:before="273" w:line="188" w:lineRule="auto"/>
        <w:ind w:right="29"/>
        <w:jc w:val="right"/>
        <w:rPr>
          <w:rFonts w:ascii="微软雅黑" w:hAnsi="微软雅黑" w:eastAsia="微软雅黑" w:cs="微软雅黑"/>
          <w:sz w:val="24"/>
          <w:szCs w:val="24"/>
        </w:rPr>
      </w:pPr>
      <w:r>
        <w:rPr>
          <w:rFonts w:ascii="微软雅黑" w:hAnsi="微软雅黑" w:eastAsia="微软雅黑" w:cs="微软雅黑"/>
          <w:spacing w:val="2"/>
          <w:sz w:val="24"/>
          <w:szCs w:val="24"/>
        </w:rPr>
        <w:t>3.2 合同价格包括合同服务、技术资料、合同服务的税费、运杂费、保险费、包装费、装</w:t>
      </w:r>
    </w:p>
    <w:p w14:paraId="26DAD171">
      <w:pPr>
        <w:spacing w:before="273" w:line="188" w:lineRule="auto"/>
        <w:ind w:left="45"/>
        <w:rPr>
          <w:rFonts w:ascii="微软雅黑" w:hAnsi="微软雅黑" w:eastAsia="微软雅黑" w:cs="微软雅黑"/>
          <w:sz w:val="24"/>
          <w:szCs w:val="24"/>
        </w:rPr>
      </w:pPr>
      <w:r>
        <w:rPr>
          <w:rFonts w:ascii="微软雅黑" w:hAnsi="微软雅黑" w:eastAsia="微软雅黑" w:cs="微软雅黑"/>
          <w:spacing w:val="-2"/>
          <w:sz w:val="24"/>
          <w:szCs w:val="24"/>
        </w:rPr>
        <w:t>卸费及与服务有关的供方应纳的税费，所有税费由乙方负担。</w:t>
      </w:r>
    </w:p>
    <w:p w14:paraId="7EA7BBB3">
      <w:pPr>
        <w:spacing w:before="274" w:line="188" w:lineRule="auto"/>
        <w:ind w:left="522"/>
        <w:rPr>
          <w:rFonts w:ascii="微软雅黑" w:hAnsi="微软雅黑" w:eastAsia="微软雅黑" w:cs="微软雅黑"/>
          <w:sz w:val="24"/>
          <w:szCs w:val="24"/>
        </w:rPr>
      </w:pPr>
      <w:r>
        <w:rPr>
          <w:rFonts w:ascii="微软雅黑" w:hAnsi="微软雅黑" w:eastAsia="微软雅黑" w:cs="微软雅黑"/>
          <w:spacing w:val="-3"/>
          <w:sz w:val="24"/>
          <w:szCs w:val="24"/>
        </w:rPr>
        <w:t>3.3 合同服务单价为不变价。</w:t>
      </w:r>
    </w:p>
    <w:p w14:paraId="5469CA7A">
      <w:pPr>
        <w:spacing w:before="274" w:line="188" w:lineRule="auto"/>
        <w:ind w:left="516"/>
        <w:rPr>
          <w:rFonts w:ascii="微软雅黑" w:hAnsi="微软雅黑" w:eastAsia="微软雅黑" w:cs="微软雅黑"/>
          <w:sz w:val="24"/>
          <w:szCs w:val="24"/>
        </w:rPr>
      </w:pPr>
      <w:r>
        <w:rPr>
          <w:rFonts w:ascii="微软雅黑" w:hAnsi="微软雅黑" w:eastAsia="微软雅黑" w:cs="微软雅黑"/>
          <w:spacing w:val="-4"/>
          <w:sz w:val="24"/>
          <w:szCs w:val="24"/>
        </w:rPr>
        <w:t>4、转包或分包</w:t>
      </w:r>
    </w:p>
    <w:p w14:paraId="0F8A2EFD">
      <w:pPr>
        <w:spacing w:before="273" w:line="188" w:lineRule="auto"/>
        <w:ind w:left="516"/>
        <w:rPr>
          <w:rFonts w:ascii="微软雅黑" w:hAnsi="微软雅黑" w:eastAsia="微软雅黑" w:cs="微软雅黑"/>
          <w:sz w:val="24"/>
          <w:szCs w:val="24"/>
        </w:rPr>
      </w:pPr>
      <w:r>
        <w:rPr>
          <w:rFonts w:ascii="微软雅黑" w:hAnsi="微软雅黑" w:eastAsia="微软雅黑" w:cs="微软雅黑"/>
          <w:spacing w:val="-2"/>
          <w:sz w:val="24"/>
          <w:szCs w:val="24"/>
        </w:rPr>
        <w:t>4.1 本合同范围的服务，应由乙方直接供应，不得转让他人供应；</w:t>
      </w:r>
    </w:p>
    <w:p w14:paraId="106EC87F">
      <w:pPr>
        <w:spacing w:before="273" w:line="188" w:lineRule="auto"/>
        <w:ind w:left="516"/>
        <w:rPr>
          <w:rFonts w:ascii="微软雅黑" w:hAnsi="微软雅黑" w:eastAsia="微软雅黑" w:cs="微软雅黑"/>
          <w:sz w:val="24"/>
          <w:szCs w:val="24"/>
        </w:rPr>
      </w:pPr>
      <w:r>
        <w:rPr>
          <w:rFonts w:ascii="微软雅黑" w:hAnsi="微软雅黑" w:eastAsia="微软雅黑" w:cs="微软雅黑"/>
          <w:spacing w:val="-1"/>
          <w:sz w:val="24"/>
          <w:szCs w:val="24"/>
        </w:rPr>
        <w:t>4.2 非经甲方书面同意，乙方不得将本合同范围的服务全部</w:t>
      </w:r>
      <w:r>
        <w:rPr>
          <w:rFonts w:ascii="微软雅黑" w:hAnsi="微软雅黑" w:eastAsia="微软雅黑" w:cs="微软雅黑"/>
          <w:spacing w:val="-2"/>
          <w:sz w:val="24"/>
          <w:szCs w:val="24"/>
        </w:rPr>
        <w:t>或部分分包给他人供应；</w:t>
      </w:r>
    </w:p>
    <w:p w14:paraId="3908C262">
      <w:pPr>
        <w:spacing w:before="273" w:line="188" w:lineRule="auto"/>
        <w:ind w:right="29"/>
        <w:jc w:val="right"/>
        <w:rPr>
          <w:rFonts w:ascii="微软雅黑" w:hAnsi="微软雅黑" w:eastAsia="微软雅黑" w:cs="微软雅黑"/>
          <w:sz w:val="24"/>
          <w:szCs w:val="24"/>
        </w:rPr>
      </w:pPr>
      <w:r>
        <w:rPr>
          <w:rFonts w:ascii="微软雅黑" w:hAnsi="微软雅黑" w:eastAsia="微软雅黑" w:cs="微软雅黑"/>
          <w:spacing w:val="1"/>
          <w:sz w:val="24"/>
          <w:szCs w:val="24"/>
        </w:rPr>
        <w:t>4.3 如有转让和未经甲方同意的分包行为，</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甲方</w:t>
      </w:r>
      <w:r>
        <w:rPr>
          <w:rFonts w:ascii="微软雅黑" w:hAnsi="微软雅黑" w:eastAsia="微软雅黑" w:cs="微软雅黑"/>
          <w:sz w:val="24"/>
          <w:szCs w:val="24"/>
        </w:rPr>
        <w:t>有权解除合同，</w:t>
      </w:r>
      <w:r>
        <w:rPr>
          <w:rFonts w:ascii="微软雅黑" w:hAnsi="微软雅黑" w:eastAsia="微软雅黑" w:cs="微软雅黑"/>
          <w:spacing w:val="-46"/>
          <w:sz w:val="24"/>
          <w:szCs w:val="24"/>
        </w:rPr>
        <w:t xml:space="preserve"> </w:t>
      </w:r>
      <w:r>
        <w:rPr>
          <w:rFonts w:ascii="微软雅黑" w:hAnsi="微软雅黑" w:eastAsia="微软雅黑" w:cs="微软雅黑"/>
          <w:sz w:val="24"/>
          <w:szCs w:val="24"/>
        </w:rPr>
        <w:t>没收履约保证金并追究乙</w:t>
      </w:r>
    </w:p>
    <w:p w14:paraId="3B8770C8">
      <w:pPr>
        <w:spacing w:before="275" w:line="188" w:lineRule="auto"/>
        <w:ind w:left="50"/>
        <w:rPr>
          <w:rFonts w:ascii="微软雅黑" w:hAnsi="微软雅黑" w:eastAsia="微软雅黑" w:cs="微软雅黑"/>
          <w:sz w:val="24"/>
          <w:szCs w:val="24"/>
        </w:rPr>
      </w:pPr>
      <w:r>
        <w:rPr>
          <w:rFonts w:ascii="微软雅黑" w:hAnsi="微软雅黑" w:eastAsia="微软雅黑" w:cs="微软雅黑"/>
          <w:spacing w:val="-7"/>
          <w:sz w:val="24"/>
          <w:szCs w:val="24"/>
        </w:rPr>
        <w:t>方的违约责任。</w:t>
      </w:r>
    </w:p>
    <w:p w14:paraId="77E10624">
      <w:pPr>
        <w:spacing w:before="273" w:line="188" w:lineRule="auto"/>
        <w:ind w:left="522"/>
        <w:rPr>
          <w:rFonts w:ascii="微软雅黑" w:hAnsi="微软雅黑" w:eastAsia="微软雅黑" w:cs="微软雅黑"/>
          <w:sz w:val="24"/>
          <w:szCs w:val="24"/>
        </w:rPr>
      </w:pPr>
      <w:r>
        <w:rPr>
          <w:rFonts w:ascii="微软雅黑" w:hAnsi="微软雅黑" w:eastAsia="微软雅黑" w:cs="微软雅黑"/>
          <w:spacing w:val="-3"/>
          <w:sz w:val="24"/>
          <w:szCs w:val="24"/>
        </w:rPr>
        <w:t>5、质量保证及售后服务</w:t>
      </w:r>
    </w:p>
    <w:p w14:paraId="6C012E73">
      <w:pPr>
        <w:spacing w:before="273" w:line="346" w:lineRule="auto"/>
        <w:ind w:left="50" w:right="29" w:firstLine="471"/>
        <w:rPr>
          <w:rFonts w:ascii="微软雅黑" w:hAnsi="微软雅黑" w:eastAsia="微软雅黑" w:cs="微软雅黑"/>
          <w:sz w:val="24"/>
          <w:szCs w:val="24"/>
        </w:rPr>
      </w:pPr>
      <w:r>
        <w:rPr>
          <w:rFonts w:ascii="微软雅黑" w:hAnsi="微软雅黑" w:eastAsia="微软雅黑" w:cs="微软雅黑"/>
          <w:spacing w:val="2"/>
          <w:sz w:val="24"/>
          <w:szCs w:val="24"/>
        </w:rPr>
        <w:t>5.1</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乙方应按政府采购文件规定的服务性能、技术要求、质量标准</w:t>
      </w:r>
      <w:r>
        <w:rPr>
          <w:rFonts w:ascii="微软雅黑" w:hAnsi="微软雅黑" w:eastAsia="微软雅黑" w:cs="微软雅黑"/>
          <w:spacing w:val="1"/>
          <w:sz w:val="24"/>
          <w:szCs w:val="24"/>
        </w:rPr>
        <w:t>向甲方提供未经使用的</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全新服务。</w:t>
      </w:r>
    </w:p>
    <w:p w14:paraId="42242F59">
      <w:pPr>
        <w:spacing w:before="4" w:line="188" w:lineRule="auto"/>
        <w:ind w:right="29"/>
        <w:jc w:val="right"/>
        <w:rPr>
          <w:rFonts w:ascii="微软雅黑" w:hAnsi="微软雅黑" w:eastAsia="微软雅黑" w:cs="微软雅黑"/>
          <w:sz w:val="24"/>
          <w:szCs w:val="24"/>
        </w:rPr>
      </w:pPr>
      <w:r>
        <w:rPr>
          <w:rFonts w:ascii="微软雅黑" w:hAnsi="微软雅黑" w:eastAsia="微软雅黑" w:cs="微软雅黑"/>
          <w:spacing w:val="1"/>
          <w:sz w:val="24"/>
          <w:szCs w:val="24"/>
        </w:rPr>
        <w:t>5.2</w:t>
      </w:r>
      <w:r>
        <w:rPr>
          <w:rFonts w:ascii="微软雅黑" w:hAnsi="微软雅黑" w:eastAsia="微软雅黑" w:cs="微软雅黑"/>
          <w:spacing w:val="25"/>
          <w:sz w:val="24"/>
          <w:szCs w:val="24"/>
        </w:rPr>
        <w:t xml:space="preserve"> </w:t>
      </w:r>
      <w:r>
        <w:rPr>
          <w:rFonts w:ascii="微软雅黑" w:hAnsi="微软雅黑" w:eastAsia="微软雅黑" w:cs="微软雅黑"/>
          <w:spacing w:val="1"/>
          <w:sz w:val="24"/>
          <w:szCs w:val="24"/>
        </w:rPr>
        <w:t>乙方提供的服务在保洁期内因服务本身的清洁设备、工具等质量问</w:t>
      </w:r>
      <w:r>
        <w:rPr>
          <w:rFonts w:ascii="微软雅黑" w:hAnsi="微软雅黑" w:eastAsia="微软雅黑" w:cs="微软雅黑"/>
          <w:sz w:val="24"/>
          <w:szCs w:val="24"/>
        </w:rPr>
        <w:t>题，</w:t>
      </w:r>
      <w:r>
        <w:rPr>
          <w:rFonts w:ascii="微软雅黑" w:hAnsi="微软雅黑" w:eastAsia="微软雅黑" w:cs="微软雅黑"/>
          <w:spacing w:val="-33"/>
          <w:sz w:val="24"/>
          <w:szCs w:val="24"/>
        </w:rPr>
        <w:t xml:space="preserve"> </w:t>
      </w:r>
      <w:r>
        <w:rPr>
          <w:rFonts w:ascii="微软雅黑" w:hAnsi="微软雅黑" w:eastAsia="微软雅黑" w:cs="微软雅黑"/>
          <w:sz w:val="24"/>
          <w:szCs w:val="24"/>
        </w:rPr>
        <w:t>乙方应负责免</w:t>
      </w:r>
    </w:p>
    <w:p w14:paraId="209B1496">
      <w:pPr>
        <w:pStyle w:val="2"/>
        <w:spacing w:line="314" w:lineRule="auto"/>
      </w:pPr>
    </w:p>
    <w:p w14:paraId="2B824197">
      <w:pPr>
        <w:pStyle w:val="2"/>
        <w:spacing w:line="315" w:lineRule="auto"/>
      </w:pPr>
    </w:p>
    <w:p w14:paraId="4761AB3A">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76                                </w:t>
      </w:r>
      <w:r>
        <w:rPr>
          <w:rFonts w:ascii="宋体" w:hAnsi="宋体" w:eastAsia="宋体" w:cs="宋体"/>
          <w:b/>
          <w:bCs/>
          <w:i/>
          <w:iCs/>
          <w:spacing w:val="-3"/>
          <w:sz w:val="19"/>
          <w:szCs w:val="19"/>
        </w:rPr>
        <w:t>伊犁州公共资源交易中心</w:t>
      </w:r>
    </w:p>
    <w:p w14:paraId="4928D391">
      <w:pPr>
        <w:spacing w:line="160" w:lineRule="auto"/>
        <w:rPr>
          <w:rFonts w:ascii="宋体" w:hAnsi="宋体" w:eastAsia="宋体" w:cs="宋体"/>
          <w:sz w:val="19"/>
          <w:szCs w:val="19"/>
        </w:rPr>
        <w:sectPr>
          <w:pgSz w:w="11905" w:h="16839"/>
          <w:pgMar w:top="1136" w:right="830" w:bottom="937" w:left="1136" w:header="854" w:footer="923" w:gutter="0"/>
          <w:cols w:space="720" w:num="1"/>
        </w:sectPr>
      </w:pPr>
    </w:p>
    <w:p w14:paraId="4EE565EA">
      <w:pPr>
        <w:pStyle w:val="2"/>
        <w:spacing w:line="354" w:lineRule="auto"/>
      </w:pPr>
    </w:p>
    <w:p w14:paraId="3A465787">
      <w:pPr>
        <w:spacing w:before="103" w:line="188" w:lineRule="auto"/>
        <w:ind w:left="52"/>
        <w:rPr>
          <w:rFonts w:ascii="微软雅黑" w:hAnsi="微软雅黑" w:eastAsia="微软雅黑" w:cs="微软雅黑"/>
          <w:sz w:val="24"/>
          <w:szCs w:val="24"/>
        </w:rPr>
      </w:pPr>
      <w:r>
        <w:rPr>
          <w:rFonts w:ascii="微软雅黑" w:hAnsi="微软雅黑" w:eastAsia="微软雅黑" w:cs="微软雅黑"/>
          <w:spacing w:val="-2"/>
          <w:sz w:val="24"/>
          <w:szCs w:val="24"/>
        </w:rPr>
        <w:t>费更换。对达不到工具要求者，根据实际情况，经双方协商，可按以下办</w:t>
      </w:r>
      <w:r>
        <w:rPr>
          <w:rFonts w:ascii="微软雅黑" w:hAnsi="微软雅黑" w:eastAsia="微软雅黑" w:cs="微软雅黑"/>
          <w:spacing w:val="-3"/>
          <w:sz w:val="24"/>
          <w:szCs w:val="24"/>
        </w:rPr>
        <w:t>法处理：</w:t>
      </w:r>
    </w:p>
    <w:p w14:paraId="3057A343">
      <w:pPr>
        <w:spacing w:before="273" w:line="188" w:lineRule="auto"/>
        <w:ind w:left="522"/>
        <w:rPr>
          <w:rFonts w:ascii="微软雅黑" w:hAnsi="微软雅黑" w:eastAsia="微软雅黑" w:cs="微软雅黑"/>
          <w:sz w:val="24"/>
          <w:szCs w:val="24"/>
        </w:rPr>
      </w:pPr>
      <w:r>
        <w:rPr>
          <w:rFonts w:ascii="微软雅黑" w:hAnsi="微软雅黑" w:eastAsia="微软雅黑" w:cs="微软雅黑"/>
          <w:spacing w:val="-1"/>
          <w:sz w:val="24"/>
          <w:szCs w:val="24"/>
        </w:rPr>
        <w:t>5.3 在服务期内，乙方应对服务出现的质量及安全问题负责处理解决并承担一切费用。</w:t>
      </w:r>
    </w:p>
    <w:p w14:paraId="72462D12">
      <w:pPr>
        <w:spacing w:before="273" w:line="189" w:lineRule="auto"/>
        <w:ind w:left="519"/>
        <w:rPr>
          <w:rFonts w:ascii="微软雅黑" w:hAnsi="微软雅黑" w:eastAsia="微软雅黑" w:cs="微软雅黑"/>
          <w:sz w:val="24"/>
          <w:szCs w:val="24"/>
        </w:rPr>
      </w:pPr>
      <w:r>
        <w:rPr>
          <w:rFonts w:ascii="微软雅黑" w:hAnsi="微软雅黑" w:eastAsia="微软雅黑" w:cs="微软雅黑"/>
          <w:spacing w:val="-6"/>
          <w:sz w:val="24"/>
          <w:szCs w:val="24"/>
        </w:rPr>
        <w:t>6、付款</w:t>
      </w:r>
    </w:p>
    <w:p w14:paraId="1399E57C">
      <w:pPr>
        <w:spacing w:before="271" w:line="188" w:lineRule="auto"/>
        <w:ind w:left="519"/>
        <w:rPr>
          <w:rFonts w:ascii="微软雅黑" w:hAnsi="微软雅黑" w:eastAsia="微软雅黑" w:cs="微软雅黑"/>
          <w:sz w:val="24"/>
          <w:szCs w:val="24"/>
        </w:rPr>
      </w:pPr>
      <w:r>
        <w:rPr>
          <w:rFonts w:ascii="微软雅黑" w:hAnsi="微软雅黑" w:eastAsia="微软雅黑" w:cs="微软雅黑"/>
          <w:spacing w:val="-1"/>
          <w:sz w:val="24"/>
          <w:szCs w:val="24"/>
        </w:rPr>
        <w:t>6.1 本合同使用货币币制如未作特别说明</w:t>
      </w:r>
      <w:r>
        <w:rPr>
          <w:rFonts w:ascii="微软雅黑" w:hAnsi="微软雅黑" w:eastAsia="微软雅黑" w:cs="微软雅黑"/>
          <w:spacing w:val="-2"/>
          <w:sz w:val="24"/>
          <w:szCs w:val="24"/>
        </w:rPr>
        <w:t>均为人民币。</w:t>
      </w:r>
    </w:p>
    <w:p w14:paraId="141A8116">
      <w:pPr>
        <w:spacing w:before="274" w:line="188" w:lineRule="auto"/>
        <w:ind w:left="519"/>
        <w:rPr>
          <w:rFonts w:ascii="微软雅黑" w:hAnsi="微软雅黑" w:eastAsia="微软雅黑" w:cs="微软雅黑"/>
          <w:sz w:val="24"/>
          <w:szCs w:val="24"/>
        </w:rPr>
      </w:pPr>
      <w:r>
        <w:rPr>
          <w:rFonts w:ascii="微软雅黑" w:hAnsi="微软雅黑" w:eastAsia="微软雅黑" w:cs="微软雅黑"/>
          <w:spacing w:val="-2"/>
          <w:sz w:val="24"/>
          <w:szCs w:val="24"/>
        </w:rPr>
        <w:t>6.2 付款方式：银行转账、现金支票。</w:t>
      </w:r>
    </w:p>
    <w:p w14:paraId="3C3E7354">
      <w:pPr>
        <w:spacing w:before="273" w:line="187" w:lineRule="auto"/>
        <w:ind w:left="519"/>
        <w:rPr>
          <w:rFonts w:ascii="微软雅黑" w:hAnsi="微软雅黑" w:eastAsia="微软雅黑" w:cs="微软雅黑"/>
          <w:sz w:val="24"/>
          <w:szCs w:val="24"/>
        </w:rPr>
      </w:pPr>
      <w:r>
        <w:rPr>
          <w:rFonts w:ascii="微软雅黑" w:hAnsi="微软雅黑" w:eastAsia="微软雅黑" w:cs="微软雅黑"/>
          <w:spacing w:val="-2"/>
          <w:sz w:val="24"/>
          <w:szCs w:val="24"/>
        </w:rPr>
        <w:t>6.3 付款方法：同本项目“  采购商务需求”中关于付款方式的约定。</w:t>
      </w:r>
    </w:p>
    <w:p w14:paraId="06BDB880">
      <w:pPr>
        <w:spacing w:before="274" w:line="189" w:lineRule="auto"/>
        <w:ind w:left="523"/>
        <w:rPr>
          <w:rFonts w:ascii="微软雅黑" w:hAnsi="微软雅黑" w:eastAsia="微软雅黑" w:cs="微软雅黑"/>
          <w:sz w:val="24"/>
          <w:szCs w:val="24"/>
        </w:rPr>
      </w:pPr>
      <w:r>
        <w:rPr>
          <w:rFonts w:ascii="微软雅黑" w:hAnsi="微软雅黑" w:eastAsia="微软雅黑" w:cs="微软雅黑"/>
          <w:spacing w:val="-5"/>
          <w:sz w:val="24"/>
          <w:szCs w:val="24"/>
        </w:rPr>
        <w:t>7、检查验收</w:t>
      </w:r>
    </w:p>
    <w:p w14:paraId="352A0E16">
      <w:pPr>
        <w:spacing w:before="272" w:line="188" w:lineRule="auto"/>
        <w:ind w:left="523"/>
        <w:rPr>
          <w:rFonts w:ascii="微软雅黑" w:hAnsi="微软雅黑" w:eastAsia="微软雅黑" w:cs="微软雅黑"/>
          <w:sz w:val="24"/>
          <w:szCs w:val="24"/>
        </w:rPr>
      </w:pPr>
      <w:r>
        <w:rPr>
          <w:rFonts w:ascii="微软雅黑" w:hAnsi="微软雅黑" w:eastAsia="微软雅黑" w:cs="微软雅黑"/>
          <w:spacing w:val="-1"/>
          <w:sz w:val="24"/>
          <w:szCs w:val="24"/>
        </w:rPr>
        <w:t>7.1 服务验收</w:t>
      </w:r>
    </w:p>
    <w:p w14:paraId="696080E2">
      <w:pPr>
        <w:spacing w:before="276" w:line="346" w:lineRule="auto"/>
        <w:ind w:left="44" w:right="28" w:firstLine="481"/>
        <w:jc w:val="both"/>
        <w:rPr>
          <w:rFonts w:ascii="微软雅黑" w:hAnsi="微软雅黑" w:eastAsia="微软雅黑" w:cs="微软雅黑"/>
          <w:sz w:val="24"/>
          <w:szCs w:val="24"/>
        </w:rPr>
      </w:pPr>
      <w:r>
        <w:rPr>
          <w:rFonts w:ascii="微软雅黑" w:hAnsi="微软雅黑" w:eastAsia="微软雅黑" w:cs="微软雅黑"/>
          <w:sz w:val="24"/>
          <w:szCs w:val="24"/>
        </w:rPr>
        <w:t>供方所交服务的各种清洁质量指标，</w:t>
      </w:r>
      <w:r>
        <w:rPr>
          <w:rFonts w:ascii="微软雅黑" w:hAnsi="微软雅黑" w:eastAsia="微软雅黑" w:cs="微软雅黑"/>
          <w:spacing w:val="-39"/>
          <w:sz w:val="24"/>
          <w:szCs w:val="24"/>
        </w:rPr>
        <w:t xml:space="preserve"> </w:t>
      </w:r>
      <w:r>
        <w:rPr>
          <w:rFonts w:ascii="微软雅黑" w:hAnsi="微软雅黑" w:eastAsia="微软雅黑" w:cs="微软雅黑"/>
          <w:sz w:val="24"/>
          <w:szCs w:val="24"/>
        </w:rPr>
        <w:t>售后服务质量要求按照政府</w:t>
      </w:r>
      <w:r>
        <w:rPr>
          <w:rFonts w:ascii="微软雅黑" w:hAnsi="微软雅黑" w:eastAsia="微软雅黑" w:cs="微软雅黑"/>
          <w:spacing w:val="-1"/>
          <w:sz w:val="24"/>
          <w:szCs w:val="24"/>
        </w:rPr>
        <w:t>招标文件和投标文件的内</w:t>
      </w:r>
      <w:r>
        <w:rPr>
          <w:rFonts w:ascii="微软雅黑" w:hAnsi="微软雅黑" w:eastAsia="微软雅黑" w:cs="微软雅黑"/>
          <w:sz w:val="24"/>
          <w:szCs w:val="24"/>
        </w:rPr>
        <w:t xml:space="preserve"> 容执行。保洁公司须委派专人对校内外环境卫生情况随时巡查、监督，</w:t>
      </w:r>
      <w:r>
        <w:rPr>
          <w:rFonts w:ascii="微软雅黑" w:hAnsi="微软雅黑" w:eastAsia="微软雅黑" w:cs="微软雅黑"/>
          <w:spacing w:val="-48"/>
          <w:sz w:val="24"/>
          <w:szCs w:val="24"/>
        </w:rPr>
        <w:t xml:space="preserve"> </w:t>
      </w:r>
      <w:r>
        <w:rPr>
          <w:rFonts w:ascii="微软雅黑" w:hAnsi="微软雅黑" w:eastAsia="微软雅黑" w:cs="微软雅黑"/>
          <w:sz w:val="24"/>
          <w:szCs w:val="24"/>
        </w:rPr>
        <w:t xml:space="preserve">严格以卫生质量标准考 </w:t>
      </w:r>
      <w:r>
        <w:rPr>
          <w:rFonts w:ascii="微软雅黑" w:hAnsi="微软雅黑" w:eastAsia="微软雅黑" w:cs="微软雅黑"/>
          <w:spacing w:val="-1"/>
          <w:sz w:val="24"/>
          <w:szCs w:val="24"/>
        </w:rPr>
        <w:t>核保洁区内卫生情况，如卫生不合格，供方</w:t>
      </w:r>
      <w:r>
        <w:rPr>
          <w:rFonts w:ascii="微软雅黑" w:hAnsi="微软雅黑" w:eastAsia="微软雅黑" w:cs="微软雅黑"/>
          <w:spacing w:val="-2"/>
          <w:sz w:val="24"/>
          <w:szCs w:val="24"/>
        </w:rPr>
        <w:t>负责赔偿需方一切损失。</w:t>
      </w:r>
    </w:p>
    <w:p w14:paraId="1EF72C9E">
      <w:pPr>
        <w:spacing w:before="4" w:line="188" w:lineRule="auto"/>
        <w:ind w:left="523"/>
        <w:rPr>
          <w:rFonts w:ascii="微软雅黑" w:hAnsi="微软雅黑" w:eastAsia="微软雅黑" w:cs="微软雅黑"/>
          <w:sz w:val="24"/>
          <w:szCs w:val="24"/>
        </w:rPr>
      </w:pPr>
      <w:r>
        <w:rPr>
          <w:rFonts w:ascii="微软雅黑" w:hAnsi="微软雅黑" w:eastAsia="微软雅黑" w:cs="微软雅黑"/>
          <w:spacing w:val="-1"/>
          <w:sz w:val="24"/>
          <w:szCs w:val="24"/>
        </w:rPr>
        <w:t>7.2 服务验收报告应由需方、供方经办人签字，并加盖双方公章，以此作为支付凭据。</w:t>
      </w:r>
    </w:p>
    <w:p w14:paraId="64ADDD1C">
      <w:pPr>
        <w:spacing w:before="275" w:line="188" w:lineRule="auto"/>
        <w:ind w:left="518"/>
        <w:rPr>
          <w:rFonts w:ascii="微软雅黑" w:hAnsi="微软雅黑" w:eastAsia="微软雅黑" w:cs="微软雅黑"/>
          <w:sz w:val="24"/>
          <w:szCs w:val="24"/>
        </w:rPr>
      </w:pPr>
      <w:r>
        <w:rPr>
          <w:rFonts w:ascii="微软雅黑" w:hAnsi="微软雅黑" w:eastAsia="微软雅黑" w:cs="微软雅黑"/>
          <w:spacing w:val="-5"/>
          <w:sz w:val="24"/>
          <w:szCs w:val="24"/>
        </w:rPr>
        <w:t>8、知识产权</w:t>
      </w:r>
    </w:p>
    <w:p w14:paraId="75EE9CED">
      <w:pPr>
        <w:spacing w:before="275" w:line="346" w:lineRule="auto"/>
        <w:ind w:left="44" w:right="28" w:firstLine="511"/>
        <w:jc w:val="both"/>
        <w:rPr>
          <w:rFonts w:ascii="微软雅黑" w:hAnsi="微软雅黑" w:eastAsia="微软雅黑" w:cs="微软雅黑"/>
          <w:sz w:val="24"/>
          <w:szCs w:val="24"/>
        </w:rPr>
      </w:pPr>
      <w:r>
        <w:rPr>
          <w:rFonts w:ascii="微软雅黑" w:hAnsi="微软雅黑" w:eastAsia="微软雅黑" w:cs="微软雅黑"/>
          <w:sz w:val="24"/>
          <w:szCs w:val="24"/>
        </w:rPr>
        <w:t>甲方在中华人民共和国境内使用乙方提供的服务及服务时免受第三</w:t>
      </w:r>
      <w:r>
        <w:rPr>
          <w:rFonts w:ascii="微软雅黑" w:hAnsi="微软雅黑" w:eastAsia="微软雅黑" w:cs="微软雅黑"/>
          <w:spacing w:val="-1"/>
          <w:sz w:val="24"/>
          <w:szCs w:val="24"/>
        </w:rPr>
        <w:t>方提出的侵犯其专利权</w:t>
      </w:r>
      <w:r>
        <w:rPr>
          <w:rFonts w:ascii="微软雅黑" w:hAnsi="微软雅黑" w:eastAsia="微软雅黑" w:cs="微软雅黑"/>
          <w:sz w:val="24"/>
          <w:szCs w:val="24"/>
        </w:rPr>
        <w:t xml:space="preserve"> 或其它知识产权的起诉。如果第三方提出侵权指控，</w:t>
      </w:r>
      <w:r>
        <w:rPr>
          <w:rFonts w:ascii="微软雅黑" w:hAnsi="微软雅黑" w:eastAsia="微软雅黑" w:cs="微软雅黑"/>
          <w:spacing w:val="-35"/>
          <w:sz w:val="24"/>
          <w:szCs w:val="24"/>
        </w:rPr>
        <w:t xml:space="preserve"> </w:t>
      </w:r>
      <w:r>
        <w:rPr>
          <w:rFonts w:ascii="微软雅黑" w:hAnsi="微软雅黑" w:eastAsia="微软雅黑" w:cs="微软雅黑"/>
          <w:sz w:val="24"/>
          <w:szCs w:val="24"/>
        </w:rPr>
        <w:t>乙方承担由</w:t>
      </w:r>
      <w:r>
        <w:rPr>
          <w:rFonts w:ascii="微软雅黑" w:hAnsi="微软雅黑" w:eastAsia="微软雅黑" w:cs="微软雅黑"/>
          <w:spacing w:val="-1"/>
          <w:sz w:val="24"/>
          <w:szCs w:val="24"/>
        </w:rPr>
        <w:t>此而引起的一切法律责任和费</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用。</w:t>
      </w:r>
    </w:p>
    <w:p w14:paraId="226ECA3A">
      <w:pPr>
        <w:spacing w:before="5" w:line="188" w:lineRule="auto"/>
        <w:ind w:left="518"/>
        <w:rPr>
          <w:rFonts w:ascii="微软雅黑" w:hAnsi="微软雅黑" w:eastAsia="微软雅黑" w:cs="微软雅黑"/>
          <w:sz w:val="24"/>
          <w:szCs w:val="24"/>
        </w:rPr>
      </w:pPr>
      <w:r>
        <w:rPr>
          <w:rFonts w:ascii="微软雅黑" w:hAnsi="微软雅黑" w:eastAsia="微软雅黑" w:cs="微软雅黑"/>
          <w:spacing w:val="-3"/>
          <w:sz w:val="24"/>
          <w:szCs w:val="24"/>
        </w:rPr>
        <w:t>9、合同争议的解决</w:t>
      </w:r>
    </w:p>
    <w:p w14:paraId="6784EB29">
      <w:pPr>
        <w:spacing w:before="274" w:line="188" w:lineRule="auto"/>
        <w:ind w:left="518"/>
        <w:rPr>
          <w:rFonts w:ascii="微软雅黑" w:hAnsi="微软雅黑" w:eastAsia="微软雅黑" w:cs="微软雅黑"/>
          <w:sz w:val="24"/>
          <w:szCs w:val="24"/>
        </w:rPr>
      </w:pPr>
      <w:r>
        <w:rPr>
          <w:rFonts w:ascii="微软雅黑" w:hAnsi="微软雅黑" w:eastAsia="微软雅黑" w:cs="微软雅黑"/>
          <w:spacing w:val="-3"/>
          <w:sz w:val="24"/>
          <w:szCs w:val="24"/>
        </w:rPr>
        <w:t>9.1</w:t>
      </w:r>
      <w:r>
        <w:rPr>
          <w:rFonts w:ascii="微软雅黑" w:hAnsi="微软雅黑" w:eastAsia="微软雅黑" w:cs="微软雅黑"/>
          <w:spacing w:val="41"/>
          <w:sz w:val="24"/>
          <w:szCs w:val="24"/>
        </w:rPr>
        <w:t xml:space="preserve"> </w:t>
      </w:r>
      <w:r>
        <w:rPr>
          <w:rFonts w:ascii="微软雅黑" w:hAnsi="微软雅黑" w:eastAsia="微软雅黑" w:cs="微软雅黑"/>
          <w:spacing w:val="-3"/>
          <w:sz w:val="24"/>
          <w:szCs w:val="24"/>
        </w:rPr>
        <w:t>当事人友好协商达成一致</w:t>
      </w:r>
    </w:p>
    <w:p w14:paraId="3454230F">
      <w:pPr>
        <w:spacing w:before="273" w:line="188" w:lineRule="auto"/>
        <w:ind w:left="518"/>
        <w:rPr>
          <w:rFonts w:ascii="微软雅黑" w:hAnsi="微软雅黑" w:eastAsia="微软雅黑" w:cs="微软雅黑"/>
          <w:sz w:val="24"/>
          <w:szCs w:val="24"/>
        </w:rPr>
      </w:pPr>
      <w:r>
        <w:rPr>
          <w:rFonts w:ascii="微软雅黑" w:hAnsi="微软雅黑" w:eastAsia="微软雅黑" w:cs="微软雅黑"/>
          <w:spacing w:val="-2"/>
          <w:sz w:val="24"/>
          <w:szCs w:val="24"/>
        </w:rPr>
        <w:t>9.2 在 60 天内当事人协商不能达成协议</w:t>
      </w:r>
      <w:r>
        <w:rPr>
          <w:rFonts w:ascii="微软雅黑" w:hAnsi="微软雅黑" w:eastAsia="微软雅黑" w:cs="微软雅黑"/>
          <w:spacing w:val="-3"/>
          <w:sz w:val="24"/>
          <w:szCs w:val="24"/>
        </w:rPr>
        <w:t>的，可提请采购人当地仲裁机构仲裁。</w:t>
      </w:r>
    </w:p>
    <w:p w14:paraId="32B150F9">
      <w:pPr>
        <w:spacing w:before="273" w:line="189" w:lineRule="auto"/>
        <w:ind w:left="535"/>
        <w:rPr>
          <w:rFonts w:ascii="微软雅黑" w:hAnsi="微软雅黑" w:eastAsia="微软雅黑" w:cs="微软雅黑"/>
          <w:sz w:val="24"/>
          <w:szCs w:val="24"/>
        </w:rPr>
      </w:pPr>
      <w:r>
        <w:rPr>
          <w:rFonts w:ascii="微软雅黑" w:hAnsi="微软雅黑" w:eastAsia="微软雅黑" w:cs="微软雅黑"/>
          <w:spacing w:val="-9"/>
          <w:sz w:val="24"/>
          <w:szCs w:val="24"/>
        </w:rPr>
        <w:t>10、违约责任</w:t>
      </w:r>
    </w:p>
    <w:p w14:paraId="49860B4E">
      <w:pPr>
        <w:spacing w:before="272" w:line="346" w:lineRule="auto"/>
        <w:ind w:left="46" w:right="29" w:firstLine="478"/>
        <w:rPr>
          <w:rFonts w:ascii="微软雅黑" w:hAnsi="微软雅黑" w:eastAsia="微软雅黑" w:cs="微软雅黑"/>
          <w:sz w:val="24"/>
          <w:szCs w:val="24"/>
        </w:rPr>
      </w:pPr>
      <w:r>
        <w:rPr>
          <w:rFonts w:ascii="微软雅黑" w:hAnsi="微软雅黑" w:eastAsia="微软雅黑" w:cs="微软雅黑"/>
          <w:sz w:val="24"/>
          <w:szCs w:val="24"/>
        </w:rPr>
        <w:t>按《中华人民共和国合同法》、《中华人民共和国政府采购法》有关条款，</w:t>
      </w:r>
      <w:r>
        <w:rPr>
          <w:rFonts w:ascii="微软雅黑" w:hAnsi="微软雅黑" w:eastAsia="微软雅黑" w:cs="微软雅黑"/>
          <w:spacing w:val="-49"/>
          <w:sz w:val="24"/>
          <w:szCs w:val="24"/>
        </w:rPr>
        <w:t xml:space="preserve"> </w:t>
      </w:r>
      <w:r>
        <w:rPr>
          <w:rFonts w:ascii="微软雅黑" w:hAnsi="微软雅黑" w:eastAsia="微软雅黑" w:cs="微软雅黑"/>
          <w:sz w:val="24"/>
          <w:szCs w:val="24"/>
        </w:rPr>
        <w:t xml:space="preserve">或由供需双方 </w:t>
      </w:r>
      <w:r>
        <w:rPr>
          <w:rFonts w:ascii="微软雅黑" w:hAnsi="微软雅黑" w:eastAsia="微软雅黑" w:cs="微软雅黑"/>
          <w:spacing w:val="-12"/>
          <w:sz w:val="24"/>
          <w:szCs w:val="24"/>
        </w:rPr>
        <w:t>约定。</w:t>
      </w:r>
    </w:p>
    <w:p w14:paraId="7A31348A">
      <w:pPr>
        <w:spacing w:before="5" w:line="188" w:lineRule="auto"/>
        <w:ind w:left="535"/>
        <w:rPr>
          <w:rFonts w:ascii="微软雅黑" w:hAnsi="微软雅黑" w:eastAsia="微软雅黑" w:cs="微软雅黑"/>
          <w:sz w:val="24"/>
          <w:szCs w:val="24"/>
        </w:rPr>
      </w:pPr>
      <w:r>
        <w:rPr>
          <w:rFonts w:ascii="微软雅黑" w:hAnsi="微软雅黑" w:eastAsia="微软雅黑" w:cs="微软雅黑"/>
          <w:spacing w:val="-7"/>
          <w:sz w:val="24"/>
          <w:szCs w:val="24"/>
        </w:rPr>
        <w:t>11、合同生效及其它</w:t>
      </w:r>
    </w:p>
    <w:p w14:paraId="5AA611D1">
      <w:pPr>
        <w:pStyle w:val="2"/>
        <w:spacing w:line="314" w:lineRule="auto"/>
      </w:pPr>
    </w:p>
    <w:p w14:paraId="62C0698C">
      <w:pPr>
        <w:pStyle w:val="2"/>
        <w:spacing w:line="314" w:lineRule="auto"/>
      </w:pPr>
    </w:p>
    <w:p w14:paraId="41D4F997">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77                                </w:t>
      </w:r>
      <w:r>
        <w:rPr>
          <w:rFonts w:ascii="宋体" w:hAnsi="宋体" w:eastAsia="宋体" w:cs="宋体"/>
          <w:b/>
          <w:bCs/>
          <w:i/>
          <w:iCs/>
          <w:spacing w:val="-3"/>
          <w:sz w:val="19"/>
          <w:szCs w:val="19"/>
        </w:rPr>
        <w:t>伊犁州公共资源交易中心</w:t>
      </w:r>
    </w:p>
    <w:p w14:paraId="07278B5B">
      <w:pPr>
        <w:spacing w:line="160" w:lineRule="auto"/>
        <w:rPr>
          <w:rFonts w:ascii="宋体" w:hAnsi="宋体" w:eastAsia="宋体" w:cs="宋体"/>
          <w:sz w:val="19"/>
          <w:szCs w:val="19"/>
        </w:rPr>
        <w:sectPr>
          <w:pgSz w:w="11905" w:h="16839"/>
          <w:pgMar w:top="1136" w:right="830" w:bottom="937" w:left="1136" w:header="854" w:footer="923" w:gutter="0"/>
          <w:cols w:space="720" w:num="1"/>
        </w:sectPr>
      </w:pPr>
    </w:p>
    <w:p w14:paraId="03B1740A">
      <w:pPr>
        <w:pStyle w:val="2"/>
        <w:spacing w:line="354" w:lineRule="auto"/>
      </w:pPr>
    </w:p>
    <w:p w14:paraId="4581A9C5">
      <w:pPr>
        <w:spacing w:before="103" w:line="188" w:lineRule="auto"/>
        <w:ind w:left="535"/>
        <w:rPr>
          <w:rFonts w:ascii="微软雅黑" w:hAnsi="微软雅黑" w:eastAsia="微软雅黑" w:cs="微软雅黑"/>
          <w:sz w:val="24"/>
          <w:szCs w:val="24"/>
        </w:rPr>
      </w:pPr>
      <w:r>
        <w:rPr>
          <w:rFonts w:ascii="微软雅黑" w:hAnsi="微软雅黑" w:eastAsia="微软雅黑" w:cs="微软雅黑"/>
          <w:spacing w:val="-2"/>
          <w:sz w:val="24"/>
          <w:szCs w:val="24"/>
        </w:rPr>
        <w:t>11.1 合同生效及其效力应符合《中华人民共和国民法典》有关</w:t>
      </w:r>
      <w:r>
        <w:rPr>
          <w:rFonts w:ascii="微软雅黑" w:hAnsi="微软雅黑" w:eastAsia="微软雅黑" w:cs="微软雅黑"/>
          <w:spacing w:val="-3"/>
          <w:sz w:val="24"/>
          <w:szCs w:val="24"/>
        </w:rPr>
        <w:t>规定。</w:t>
      </w:r>
    </w:p>
    <w:p w14:paraId="2FCF74FF">
      <w:pPr>
        <w:spacing w:before="272" w:line="188" w:lineRule="auto"/>
        <w:ind w:left="535"/>
        <w:rPr>
          <w:rFonts w:ascii="微软雅黑" w:hAnsi="微软雅黑" w:eastAsia="微软雅黑" w:cs="微软雅黑"/>
          <w:sz w:val="24"/>
          <w:szCs w:val="24"/>
        </w:rPr>
      </w:pPr>
      <w:r>
        <w:rPr>
          <w:rFonts w:ascii="微软雅黑" w:hAnsi="微软雅黑" w:eastAsia="微软雅黑" w:cs="微软雅黑"/>
          <w:spacing w:val="-2"/>
          <w:sz w:val="24"/>
          <w:szCs w:val="24"/>
        </w:rPr>
        <w:t>11.2 合同应经当事人法定代表人或委托代理人签字，加盖双方合同专用章或公章。</w:t>
      </w:r>
    </w:p>
    <w:p w14:paraId="35F90A64">
      <w:pPr>
        <w:spacing w:before="273" w:line="188" w:lineRule="auto"/>
        <w:ind w:left="535"/>
        <w:rPr>
          <w:rFonts w:ascii="微软雅黑" w:hAnsi="微软雅黑" w:eastAsia="微软雅黑" w:cs="微软雅黑"/>
          <w:sz w:val="24"/>
          <w:szCs w:val="24"/>
        </w:rPr>
      </w:pPr>
      <w:r>
        <w:rPr>
          <w:rFonts w:ascii="微软雅黑" w:hAnsi="微软雅黑" w:eastAsia="微软雅黑" w:cs="微软雅黑"/>
          <w:spacing w:val="-2"/>
          <w:sz w:val="24"/>
          <w:szCs w:val="24"/>
        </w:rPr>
        <w:t>11.3 合同所包括附件，是合同不可分割的一部分，具有同等法法律效力。</w:t>
      </w:r>
    </w:p>
    <w:p w14:paraId="614FF7B3">
      <w:pPr>
        <w:spacing w:before="273" w:line="188" w:lineRule="auto"/>
        <w:ind w:left="535"/>
        <w:rPr>
          <w:rFonts w:ascii="微软雅黑" w:hAnsi="微软雅黑" w:eastAsia="微软雅黑" w:cs="微软雅黑"/>
          <w:sz w:val="24"/>
          <w:szCs w:val="24"/>
        </w:rPr>
      </w:pPr>
      <w:r>
        <w:rPr>
          <w:rFonts w:ascii="微软雅黑" w:hAnsi="微软雅黑" w:eastAsia="微软雅黑" w:cs="微软雅黑"/>
          <w:spacing w:val="-2"/>
          <w:sz w:val="24"/>
          <w:szCs w:val="24"/>
        </w:rPr>
        <w:t>11.4 合同需提供担保的，按《中华人民共和国担保法》</w:t>
      </w:r>
      <w:r>
        <w:rPr>
          <w:rFonts w:ascii="微软雅黑" w:hAnsi="微软雅黑" w:eastAsia="微软雅黑" w:cs="微软雅黑"/>
          <w:spacing w:val="-3"/>
          <w:sz w:val="24"/>
          <w:szCs w:val="24"/>
        </w:rPr>
        <w:t>规定执行。</w:t>
      </w:r>
    </w:p>
    <w:p w14:paraId="5237F37E">
      <w:pPr>
        <w:spacing w:before="274" w:line="188" w:lineRule="auto"/>
        <w:ind w:left="535"/>
        <w:rPr>
          <w:rFonts w:ascii="微软雅黑" w:hAnsi="微软雅黑" w:eastAsia="微软雅黑" w:cs="微软雅黑"/>
          <w:sz w:val="24"/>
          <w:szCs w:val="24"/>
        </w:rPr>
      </w:pPr>
      <w:r>
        <w:rPr>
          <w:rFonts w:ascii="微软雅黑" w:hAnsi="微软雅黑" w:eastAsia="微软雅黑" w:cs="微软雅黑"/>
          <w:spacing w:val="-2"/>
          <w:sz w:val="24"/>
          <w:szCs w:val="24"/>
        </w:rPr>
        <w:t>11.5 本合同条件未尽事宜依照《中华人民共和国民法典》，由供需双方共同协商确定。</w:t>
      </w:r>
    </w:p>
    <w:p w14:paraId="432B6953">
      <w:pPr>
        <w:spacing w:before="236" w:line="217" w:lineRule="auto"/>
        <w:ind w:left="2617"/>
        <w:rPr>
          <w:rFonts w:ascii="仿宋" w:hAnsi="仿宋" w:eastAsia="仿宋" w:cs="仿宋"/>
          <w:sz w:val="32"/>
          <w:szCs w:val="32"/>
        </w:rPr>
      </w:pPr>
      <w:bookmarkStart w:id="45" w:name="bookmark57"/>
      <w:bookmarkEnd w:id="45"/>
      <w:r>
        <w:rPr>
          <w:rFonts w:ascii="仿宋" w:hAnsi="仿宋" w:eastAsia="仿宋" w:cs="仿宋"/>
          <w:b/>
          <w:bCs/>
          <w:spacing w:val="-6"/>
          <w:sz w:val="32"/>
          <w:szCs w:val="32"/>
        </w:rPr>
        <w:t>第三章</w:t>
      </w:r>
      <w:r>
        <w:rPr>
          <w:rFonts w:ascii="仿宋" w:hAnsi="仿宋" w:eastAsia="仿宋" w:cs="仿宋"/>
          <w:spacing w:val="-6"/>
          <w:sz w:val="32"/>
          <w:szCs w:val="32"/>
        </w:rPr>
        <w:t xml:space="preserve"> </w:t>
      </w:r>
      <w:r>
        <w:rPr>
          <w:rFonts w:ascii="仿宋" w:hAnsi="仿宋" w:eastAsia="仿宋" w:cs="仿宋"/>
          <w:b/>
          <w:bCs/>
          <w:spacing w:val="-6"/>
          <w:sz w:val="32"/>
          <w:szCs w:val="32"/>
        </w:rPr>
        <w:t>付款方式及程序</w:t>
      </w:r>
    </w:p>
    <w:p w14:paraId="0FAE22D3">
      <w:pPr>
        <w:spacing w:before="257" w:line="220" w:lineRule="auto"/>
        <w:ind w:left="531"/>
        <w:rPr>
          <w:rFonts w:ascii="宋体" w:hAnsi="宋体" w:eastAsia="宋体" w:cs="宋体"/>
          <w:sz w:val="24"/>
          <w:szCs w:val="24"/>
        </w:rPr>
      </w:pPr>
      <w:r>
        <w:rPr>
          <w:rFonts w:ascii="宋体" w:hAnsi="宋体" w:eastAsia="宋体" w:cs="宋体"/>
          <w:b/>
          <w:bCs/>
          <w:spacing w:val="-6"/>
          <w:sz w:val="24"/>
          <w:szCs w:val="24"/>
        </w:rPr>
        <w:t>19、付款方式</w:t>
      </w:r>
    </w:p>
    <w:p w14:paraId="0FB1B931">
      <w:pPr>
        <w:spacing w:before="309" w:line="347" w:lineRule="auto"/>
        <w:ind w:left="44" w:right="70" w:firstLine="965"/>
        <w:rPr>
          <w:rFonts w:ascii="微软雅黑" w:hAnsi="微软雅黑" w:eastAsia="微软雅黑" w:cs="微软雅黑"/>
          <w:sz w:val="24"/>
          <w:szCs w:val="24"/>
        </w:rPr>
      </w:pPr>
      <w:r>
        <w:rPr>
          <w:rFonts w:ascii="微软雅黑" w:hAnsi="微软雅黑" w:eastAsia="微软雅黑" w:cs="微软雅黑"/>
          <w:spacing w:val="-12"/>
          <w:sz w:val="24"/>
          <w:szCs w:val="24"/>
        </w:rPr>
        <w:t>签订合同验收合格后按照合同价付 80%，验收一年以后付</w:t>
      </w:r>
      <w:r>
        <w:rPr>
          <w:rFonts w:ascii="微软雅黑" w:hAnsi="微软雅黑" w:eastAsia="微软雅黑" w:cs="微软雅黑"/>
          <w:spacing w:val="15"/>
          <w:sz w:val="24"/>
          <w:szCs w:val="24"/>
        </w:rPr>
        <w:t xml:space="preserve"> </w:t>
      </w:r>
      <w:r>
        <w:rPr>
          <w:rFonts w:ascii="微软雅黑" w:hAnsi="微软雅黑" w:eastAsia="微软雅黑" w:cs="微软雅黑"/>
          <w:spacing w:val="-12"/>
          <w:sz w:val="24"/>
          <w:szCs w:val="24"/>
        </w:rPr>
        <w:t>10%，剩余</w:t>
      </w:r>
      <w:r>
        <w:rPr>
          <w:rFonts w:ascii="微软雅黑" w:hAnsi="微软雅黑" w:eastAsia="微软雅黑" w:cs="微软雅黑"/>
          <w:spacing w:val="15"/>
          <w:sz w:val="24"/>
          <w:szCs w:val="24"/>
        </w:rPr>
        <w:t xml:space="preserve"> </w:t>
      </w:r>
      <w:r>
        <w:rPr>
          <w:rFonts w:ascii="微软雅黑" w:hAnsi="微软雅黑" w:eastAsia="微软雅黑" w:cs="微软雅黑"/>
          <w:spacing w:val="-12"/>
          <w:sz w:val="24"/>
          <w:szCs w:val="24"/>
        </w:rPr>
        <w:t>10</w:t>
      </w:r>
      <w:r>
        <w:rPr>
          <w:rFonts w:ascii="微软雅黑" w:hAnsi="微软雅黑" w:eastAsia="微软雅黑" w:cs="微软雅黑"/>
          <w:spacing w:val="-13"/>
          <w:sz w:val="24"/>
          <w:szCs w:val="24"/>
        </w:rPr>
        <w:t>%三年后予以支</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付。</w:t>
      </w:r>
    </w:p>
    <w:p w14:paraId="197B61AF">
      <w:pPr>
        <w:spacing w:before="2" w:line="220" w:lineRule="auto"/>
        <w:ind w:left="521"/>
        <w:rPr>
          <w:rFonts w:ascii="宋体" w:hAnsi="宋体" w:eastAsia="宋体" w:cs="宋体"/>
          <w:sz w:val="24"/>
          <w:szCs w:val="24"/>
        </w:rPr>
      </w:pPr>
      <w:r>
        <w:rPr>
          <w:rFonts w:ascii="宋体" w:hAnsi="宋体" w:eastAsia="宋体" w:cs="宋体"/>
          <w:b/>
          <w:bCs/>
          <w:spacing w:val="-4"/>
          <w:sz w:val="24"/>
          <w:szCs w:val="24"/>
        </w:rPr>
        <w:t>20、付款程序</w:t>
      </w:r>
    </w:p>
    <w:p w14:paraId="04E1B521">
      <w:pPr>
        <w:spacing w:before="310" w:line="188" w:lineRule="auto"/>
        <w:ind w:left="1005"/>
        <w:rPr>
          <w:rFonts w:ascii="微软雅黑" w:hAnsi="微软雅黑" w:eastAsia="微软雅黑" w:cs="微软雅黑"/>
          <w:sz w:val="24"/>
          <w:szCs w:val="24"/>
        </w:rPr>
      </w:pPr>
      <w:r>
        <w:rPr>
          <w:rFonts w:ascii="微软雅黑" w:hAnsi="微软雅黑" w:eastAsia="微软雅黑" w:cs="微软雅黑"/>
          <w:spacing w:val="-2"/>
          <w:sz w:val="24"/>
          <w:szCs w:val="24"/>
        </w:rPr>
        <w:t>所有货款均以人民币支付，由采购人办理具体付款手续。</w:t>
      </w:r>
    </w:p>
    <w:p w14:paraId="2632256C">
      <w:pPr>
        <w:spacing w:before="236" w:line="216" w:lineRule="auto"/>
        <w:ind w:left="3477"/>
        <w:rPr>
          <w:rFonts w:ascii="仿宋" w:hAnsi="仿宋" w:eastAsia="仿宋" w:cs="仿宋"/>
          <w:sz w:val="32"/>
          <w:szCs w:val="32"/>
        </w:rPr>
      </w:pPr>
      <w:r>
        <w:rPr>
          <w:rFonts w:ascii="仿宋" w:hAnsi="仿宋" w:eastAsia="仿宋" w:cs="仿宋"/>
          <w:b/>
          <w:bCs/>
          <w:spacing w:val="-6"/>
          <w:sz w:val="32"/>
          <w:szCs w:val="32"/>
        </w:rPr>
        <w:t>第四章</w:t>
      </w:r>
      <w:r>
        <w:rPr>
          <w:rFonts w:ascii="仿宋" w:hAnsi="仿宋" w:eastAsia="仿宋" w:cs="仿宋"/>
          <w:spacing w:val="-6"/>
          <w:sz w:val="32"/>
          <w:szCs w:val="32"/>
        </w:rPr>
        <w:t xml:space="preserve"> </w:t>
      </w:r>
      <w:r>
        <w:rPr>
          <w:rFonts w:ascii="仿宋" w:hAnsi="仿宋" w:eastAsia="仿宋" w:cs="仿宋"/>
          <w:b/>
          <w:bCs/>
          <w:spacing w:val="-6"/>
          <w:sz w:val="32"/>
          <w:szCs w:val="32"/>
        </w:rPr>
        <w:t>售后服务要求</w:t>
      </w:r>
    </w:p>
    <w:p w14:paraId="69D9E918">
      <w:pPr>
        <w:spacing w:before="259" w:line="220" w:lineRule="auto"/>
        <w:ind w:left="521"/>
        <w:rPr>
          <w:rFonts w:ascii="宋体" w:hAnsi="宋体" w:eastAsia="宋体" w:cs="宋体"/>
          <w:sz w:val="24"/>
          <w:szCs w:val="24"/>
        </w:rPr>
      </w:pPr>
      <w:r>
        <w:rPr>
          <w:rFonts w:ascii="宋体" w:hAnsi="宋体" w:eastAsia="宋体" w:cs="宋体"/>
          <w:b/>
          <w:bCs/>
          <w:spacing w:val="-4"/>
          <w:sz w:val="24"/>
          <w:szCs w:val="24"/>
        </w:rPr>
        <w:t>21、售后服务要求</w:t>
      </w:r>
    </w:p>
    <w:p w14:paraId="43242552">
      <w:pPr>
        <w:pStyle w:val="2"/>
        <w:spacing w:line="245" w:lineRule="auto"/>
      </w:pPr>
    </w:p>
    <w:p w14:paraId="321F808D">
      <w:pPr>
        <w:spacing w:before="92" w:line="223" w:lineRule="auto"/>
        <w:ind w:left="594"/>
        <w:rPr>
          <w:rFonts w:ascii="楷体" w:hAnsi="楷体" w:eastAsia="楷体" w:cs="楷体"/>
          <w:sz w:val="28"/>
          <w:szCs w:val="28"/>
        </w:rPr>
      </w:pPr>
      <w:r>
        <w:rPr>
          <w:rFonts w:ascii="Times New Roman" w:hAnsi="Times New Roman" w:eastAsia="Times New Roman" w:cs="Times New Roman"/>
          <w:spacing w:val="-4"/>
          <w:sz w:val="28"/>
          <w:szCs w:val="28"/>
        </w:rPr>
        <w:t>21.1</w:t>
      </w:r>
      <w:r>
        <w:rPr>
          <w:rFonts w:ascii="Times New Roman" w:hAnsi="Times New Roman" w:eastAsia="Times New Roman" w:cs="Times New Roman"/>
          <w:spacing w:val="31"/>
          <w:w w:val="101"/>
          <w:sz w:val="28"/>
          <w:szCs w:val="28"/>
        </w:rPr>
        <w:t xml:space="preserve"> </w:t>
      </w:r>
      <w:r>
        <w:rPr>
          <w:rFonts w:ascii="楷体" w:hAnsi="楷体" w:eastAsia="楷体" w:cs="楷体"/>
          <w:b/>
          <w:bCs/>
          <w:spacing w:val="-4"/>
          <w:sz w:val="28"/>
          <w:szCs w:val="28"/>
        </w:rPr>
        <w:t>临床危急值管理系统项目</w:t>
      </w:r>
    </w:p>
    <w:p w14:paraId="65EFF72A">
      <w:pPr>
        <w:spacing w:before="193" w:line="346" w:lineRule="auto"/>
        <w:ind w:left="45" w:firstLine="969"/>
        <w:rPr>
          <w:rFonts w:ascii="微软雅黑" w:hAnsi="微软雅黑" w:eastAsia="微软雅黑" w:cs="微软雅黑"/>
          <w:sz w:val="24"/>
          <w:szCs w:val="24"/>
        </w:rPr>
      </w:pPr>
      <w:r>
        <w:rPr>
          <w:rFonts w:ascii="微软雅黑" w:hAnsi="微软雅黑" w:eastAsia="微软雅黑" w:cs="微软雅黑"/>
          <w:spacing w:val="-3"/>
          <w:sz w:val="24"/>
          <w:szCs w:val="24"/>
        </w:rPr>
        <w:t>1.投标人需承诺提供的是软件最新版本，项目实施必须是现场实施，不提供远程服务，</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软件实施由原厂工程师实施。如有新版本提供免费升级。</w:t>
      </w:r>
    </w:p>
    <w:p w14:paraId="046F25B7">
      <w:pPr>
        <w:spacing w:before="5" w:line="188" w:lineRule="auto"/>
        <w:ind w:left="1000"/>
        <w:rPr>
          <w:rFonts w:ascii="微软雅黑" w:hAnsi="微软雅黑" w:eastAsia="微软雅黑" w:cs="微软雅黑"/>
          <w:sz w:val="24"/>
          <w:szCs w:val="24"/>
        </w:rPr>
      </w:pPr>
      <w:r>
        <w:rPr>
          <w:rFonts w:ascii="微软雅黑" w:hAnsi="微软雅黑" w:eastAsia="微软雅黑" w:cs="微软雅黑"/>
          <w:sz w:val="24"/>
          <w:szCs w:val="24"/>
        </w:rPr>
        <w:t>2.软件授权必须是永久授权。</w:t>
      </w:r>
    </w:p>
    <w:p w14:paraId="4B43960D">
      <w:pPr>
        <w:spacing w:before="273" w:line="346" w:lineRule="auto"/>
        <w:ind w:left="74" w:right="110" w:firstLine="928"/>
        <w:rPr>
          <w:rFonts w:ascii="微软雅黑" w:hAnsi="微软雅黑" w:eastAsia="微软雅黑" w:cs="微软雅黑"/>
          <w:sz w:val="24"/>
          <w:szCs w:val="24"/>
        </w:rPr>
      </w:pPr>
      <w:r>
        <w:rPr>
          <w:rFonts w:ascii="微软雅黑" w:hAnsi="微软雅黑" w:eastAsia="微软雅黑" w:cs="微软雅黑"/>
          <w:spacing w:val="1"/>
          <w:sz w:val="24"/>
          <w:szCs w:val="24"/>
        </w:rPr>
        <w:t>3.项目实施期间须对医院所有涉及系统使用的在院人员进行</w:t>
      </w:r>
      <w:r>
        <w:rPr>
          <w:rFonts w:ascii="微软雅黑" w:hAnsi="微软雅黑" w:eastAsia="微软雅黑" w:cs="微软雅黑"/>
          <w:sz w:val="24"/>
          <w:szCs w:val="24"/>
        </w:rPr>
        <w:t xml:space="preserve">培训，后期对医院进修返 </w:t>
      </w:r>
      <w:r>
        <w:rPr>
          <w:rFonts w:ascii="微软雅黑" w:hAnsi="微软雅黑" w:eastAsia="微软雅黑" w:cs="微软雅黑"/>
          <w:spacing w:val="-5"/>
          <w:sz w:val="24"/>
          <w:szCs w:val="24"/>
        </w:rPr>
        <w:t>回或新入人员进行现场或远程培训指导。</w:t>
      </w:r>
    </w:p>
    <w:p w14:paraId="6F3447F5">
      <w:pPr>
        <w:spacing w:before="5" w:line="188" w:lineRule="auto"/>
        <w:ind w:left="996"/>
        <w:rPr>
          <w:rFonts w:ascii="微软雅黑" w:hAnsi="微软雅黑" w:eastAsia="微软雅黑" w:cs="微软雅黑"/>
          <w:sz w:val="24"/>
          <w:szCs w:val="24"/>
        </w:rPr>
      </w:pPr>
      <w:r>
        <w:rPr>
          <w:rFonts w:ascii="微软雅黑" w:hAnsi="微软雅黑" w:eastAsia="微软雅黑" w:cs="微软雅黑"/>
          <w:spacing w:val="1"/>
          <w:sz w:val="24"/>
          <w:szCs w:val="24"/>
        </w:rPr>
        <w:t>4.响应时间：投标人在投标书中必须明确承诺售后服务响应时间，须固定</w:t>
      </w:r>
      <w:r>
        <w:rPr>
          <w:rFonts w:ascii="微软雅黑" w:hAnsi="微软雅黑" w:eastAsia="微软雅黑" w:cs="微软雅黑"/>
          <w:sz w:val="24"/>
          <w:szCs w:val="24"/>
        </w:rPr>
        <w:t>专人提供</w:t>
      </w:r>
    </w:p>
    <w:p w14:paraId="204FDFD1">
      <w:pPr>
        <w:spacing w:before="273" w:line="346" w:lineRule="auto"/>
        <w:ind w:left="46" w:hanging="3"/>
        <w:rPr>
          <w:rFonts w:ascii="微软雅黑" w:hAnsi="微软雅黑" w:eastAsia="微软雅黑" w:cs="微软雅黑"/>
          <w:sz w:val="24"/>
          <w:szCs w:val="24"/>
        </w:rPr>
      </w:pPr>
      <w:r>
        <w:rPr>
          <w:rFonts w:ascii="微软雅黑" w:hAnsi="微软雅黑" w:eastAsia="微软雅黑" w:cs="微软雅黑"/>
          <w:spacing w:val="-5"/>
          <w:sz w:val="24"/>
          <w:szCs w:val="24"/>
        </w:rPr>
        <w:t>7*24 小时服务（包括法定节假日）。服务方式包含但不限于：7×24 小时电话、远程技术支持，</w:t>
      </w:r>
      <w:r>
        <w:rPr>
          <w:rFonts w:ascii="微软雅黑" w:hAnsi="微软雅黑" w:eastAsia="微软雅黑" w:cs="微软雅黑"/>
          <w:spacing w:val="16"/>
          <w:sz w:val="24"/>
          <w:szCs w:val="24"/>
        </w:rPr>
        <w:t xml:space="preserve"> </w:t>
      </w:r>
      <w:r>
        <w:rPr>
          <w:rFonts w:ascii="微软雅黑" w:hAnsi="微软雅黑" w:eastAsia="微软雅黑" w:cs="微软雅黑"/>
          <w:spacing w:val="-3"/>
          <w:sz w:val="24"/>
          <w:szCs w:val="24"/>
        </w:rPr>
        <w:t>上门支持等。如人员更换，需提前通知采购方。</w:t>
      </w:r>
    </w:p>
    <w:p w14:paraId="7B788077">
      <w:pPr>
        <w:spacing w:before="6" w:line="187" w:lineRule="auto"/>
        <w:ind w:left="1002"/>
        <w:rPr>
          <w:rFonts w:ascii="微软雅黑" w:hAnsi="微软雅黑" w:eastAsia="微软雅黑" w:cs="微软雅黑"/>
          <w:sz w:val="24"/>
          <w:szCs w:val="24"/>
        </w:rPr>
      </w:pPr>
      <w:r>
        <w:rPr>
          <w:rFonts w:ascii="微软雅黑" w:hAnsi="微软雅黑" w:eastAsia="微软雅黑" w:cs="微软雅黑"/>
          <w:spacing w:val="-2"/>
          <w:sz w:val="24"/>
          <w:szCs w:val="24"/>
        </w:rPr>
        <w:t>5.项目验收合格后软件提供 3 年免费维保。</w:t>
      </w:r>
    </w:p>
    <w:p w14:paraId="3814C3C2">
      <w:pPr>
        <w:pStyle w:val="2"/>
        <w:spacing w:line="332" w:lineRule="auto"/>
      </w:pPr>
    </w:p>
    <w:p w14:paraId="7F95993A">
      <w:pPr>
        <w:pStyle w:val="2"/>
        <w:spacing w:line="333" w:lineRule="auto"/>
      </w:pPr>
    </w:p>
    <w:p w14:paraId="07914415">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78                                </w:t>
      </w:r>
      <w:r>
        <w:rPr>
          <w:rFonts w:ascii="宋体" w:hAnsi="宋体" w:eastAsia="宋体" w:cs="宋体"/>
          <w:b/>
          <w:bCs/>
          <w:i/>
          <w:iCs/>
          <w:spacing w:val="-3"/>
          <w:sz w:val="19"/>
          <w:szCs w:val="19"/>
        </w:rPr>
        <w:t>伊犁州公共资源交易中心</w:t>
      </w:r>
    </w:p>
    <w:p w14:paraId="6E0AA0BC">
      <w:pPr>
        <w:spacing w:line="160" w:lineRule="auto"/>
        <w:rPr>
          <w:rFonts w:ascii="宋体" w:hAnsi="宋体" w:eastAsia="宋体" w:cs="宋体"/>
          <w:sz w:val="19"/>
          <w:szCs w:val="19"/>
        </w:rPr>
        <w:sectPr>
          <w:headerReference r:id="rId72" w:type="default"/>
          <w:footerReference r:id="rId73" w:type="default"/>
          <w:pgSz w:w="11905" w:h="16839"/>
          <w:pgMar w:top="1136" w:right="788" w:bottom="937" w:left="1136" w:header="854" w:footer="923" w:gutter="0"/>
          <w:cols w:space="720" w:num="1"/>
        </w:sectPr>
      </w:pPr>
    </w:p>
    <w:p w14:paraId="4EA9FA36">
      <w:pPr>
        <w:pStyle w:val="2"/>
        <w:spacing w:line="352" w:lineRule="auto"/>
      </w:pPr>
    </w:p>
    <w:p w14:paraId="5EA202B5">
      <w:pPr>
        <w:spacing w:before="103" w:line="347" w:lineRule="auto"/>
        <w:ind w:left="44" w:firstLine="954"/>
        <w:jc w:val="both"/>
        <w:rPr>
          <w:rFonts w:ascii="微软雅黑" w:hAnsi="微软雅黑" w:eastAsia="微软雅黑" w:cs="微软雅黑"/>
          <w:sz w:val="24"/>
          <w:szCs w:val="24"/>
        </w:rPr>
      </w:pPr>
      <w:r>
        <w:rPr>
          <w:rFonts w:ascii="微软雅黑" w:hAnsi="微软雅黑" w:eastAsia="微软雅黑" w:cs="微软雅黑"/>
          <w:spacing w:val="-1"/>
          <w:sz w:val="24"/>
          <w:szCs w:val="24"/>
        </w:rPr>
        <w:t>6.技术响应处理：</w:t>
      </w:r>
      <w:r>
        <w:rPr>
          <w:rFonts w:ascii="微软雅黑" w:hAnsi="微软雅黑" w:eastAsia="微软雅黑" w:cs="微软雅黑"/>
          <w:spacing w:val="-40"/>
          <w:sz w:val="24"/>
          <w:szCs w:val="24"/>
        </w:rPr>
        <w:t xml:space="preserve"> </w:t>
      </w:r>
      <w:r>
        <w:rPr>
          <w:rFonts w:ascii="微软雅黑" w:hAnsi="微软雅黑" w:eastAsia="微软雅黑" w:cs="微软雅黑"/>
          <w:spacing w:val="-1"/>
          <w:sz w:val="24"/>
          <w:szCs w:val="24"/>
        </w:rPr>
        <w:t>维保期内对于接到的采购</w:t>
      </w:r>
      <w:r>
        <w:rPr>
          <w:rFonts w:ascii="微软雅黑" w:hAnsi="微软雅黑" w:eastAsia="微软雅黑" w:cs="微软雅黑"/>
          <w:spacing w:val="-2"/>
          <w:sz w:val="24"/>
          <w:szCs w:val="24"/>
        </w:rPr>
        <w:t>方技术咨询、故障需求，</w:t>
      </w:r>
      <w:r>
        <w:rPr>
          <w:rFonts w:ascii="微软雅黑" w:hAnsi="微软雅黑" w:eastAsia="微软雅黑" w:cs="微软雅黑"/>
          <w:spacing w:val="-51"/>
          <w:sz w:val="24"/>
          <w:szCs w:val="24"/>
        </w:rPr>
        <w:t xml:space="preserve"> </w:t>
      </w:r>
      <w:r>
        <w:rPr>
          <w:rFonts w:ascii="微软雅黑" w:hAnsi="微软雅黑" w:eastAsia="微软雅黑" w:cs="微软雅黑"/>
          <w:spacing w:val="-2"/>
          <w:sz w:val="24"/>
          <w:szCs w:val="24"/>
        </w:rPr>
        <w:t>保证</w:t>
      </w:r>
      <w:r>
        <w:rPr>
          <w:rFonts w:ascii="微软雅黑" w:hAnsi="微软雅黑" w:eastAsia="微软雅黑" w:cs="微软雅黑"/>
          <w:spacing w:val="62"/>
          <w:w w:val="101"/>
          <w:sz w:val="24"/>
          <w:szCs w:val="24"/>
        </w:rPr>
        <w:t xml:space="preserve"> </w:t>
      </w:r>
      <w:r>
        <w:rPr>
          <w:rFonts w:ascii="微软雅黑" w:hAnsi="微软雅黑" w:eastAsia="微软雅黑" w:cs="微软雅黑"/>
          <w:spacing w:val="-2"/>
          <w:sz w:val="24"/>
          <w:szCs w:val="24"/>
        </w:rPr>
        <w:t>20</w:t>
      </w:r>
      <w:r>
        <w:rPr>
          <w:rFonts w:ascii="微软雅黑" w:hAnsi="微软雅黑" w:eastAsia="微软雅黑" w:cs="微软雅黑"/>
          <w:spacing w:val="68"/>
          <w:w w:val="101"/>
          <w:sz w:val="24"/>
          <w:szCs w:val="24"/>
        </w:rPr>
        <w:t xml:space="preserve"> </w:t>
      </w:r>
      <w:r>
        <w:rPr>
          <w:rFonts w:ascii="微软雅黑" w:hAnsi="微软雅黑" w:eastAsia="微软雅黑" w:cs="微软雅黑"/>
          <w:spacing w:val="-2"/>
          <w:sz w:val="24"/>
          <w:szCs w:val="24"/>
        </w:rPr>
        <w:t>分钟内</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响应，</w:t>
      </w:r>
      <w:r>
        <w:rPr>
          <w:rFonts w:ascii="微软雅黑" w:hAnsi="微软雅黑" w:eastAsia="微软雅黑" w:cs="微软雅黑"/>
          <w:spacing w:val="-51"/>
          <w:sz w:val="24"/>
          <w:szCs w:val="24"/>
        </w:rPr>
        <w:t xml:space="preserve"> </w:t>
      </w:r>
      <w:r>
        <w:rPr>
          <w:rFonts w:ascii="微软雅黑" w:hAnsi="微软雅黑" w:eastAsia="微软雅黑" w:cs="微软雅黑"/>
          <w:spacing w:val="-3"/>
          <w:sz w:val="24"/>
          <w:szCs w:val="24"/>
        </w:rPr>
        <w:t>远程服务在 2 小时内提出解决方案并解决。其中，</w:t>
      </w:r>
      <w:r>
        <w:rPr>
          <w:rFonts w:ascii="微软雅黑" w:hAnsi="微软雅黑" w:eastAsia="微软雅黑" w:cs="微软雅黑"/>
          <w:spacing w:val="-51"/>
          <w:sz w:val="24"/>
          <w:szCs w:val="24"/>
        </w:rPr>
        <w:t xml:space="preserve"> </w:t>
      </w:r>
      <w:r>
        <w:rPr>
          <w:rFonts w:ascii="微软雅黑" w:hAnsi="微软雅黑" w:eastAsia="微软雅黑" w:cs="微软雅黑"/>
          <w:spacing w:val="-3"/>
          <w:sz w:val="24"/>
          <w:szCs w:val="24"/>
        </w:rPr>
        <w:t>远程无法解决的， 自收到采购方的服</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务请求后 24</w:t>
      </w:r>
      <w:r>
        <w:rPr>
          <w:rFonts w:ascii="微软雅黑" w:hAnsi="微软雅黑" w:eastAsia="微软雅黑" w:cs="微软雅黑"/>
          <w:spacing w:val="65"/>
          <w:sz w:val="24"/>
          <w:szCs w:val="24"/>
        </w:rPr>
        <w:t xml:space="preserve"> </w:t>
      </w:r>
      <w:r>
        <w:rPr>
          <w:rFonts w:ascii="微软雅黑" w:hAnsi="微软雅黑" w:eastAsia="微软雅黑" w:cs="微软雅黑"/>
          <w:spacing w:val="-3"/>
          <w:sz w:val="24"/>
          <w:szCs w:val="24"/>
        </w:rPr>
        <w:t>小时内抵达现场完成故障处理；如</w:t>
      </w:r>
      <w:r>
        <w:rPr>
          <w:rFonts w:ascii="微软雅黑" w:hAnsi="微软雅黑" w:eastAsia="微软雅黑" w:cs="微软雅黑"/>
          <w:spacing w:val="-4"/>
          <w:sz w:val="24"/>
          <w:szCs w:val="24"/>
        </w:rPr>
        <w:t>遇到重大技术问题，保证在 24</w:t>
      </w:r>
      <w:r>
        <w:rPr>
          <w:rFonts w:ascii="微软雅黑" w:hAnsi="微软雅黑" w:eastAsia="微软雅黑" w:cs="微软雅黑"/>
          <w:spacing w:val="65"/>
          <w:sz w:val="24"/>
          <w:szCs w:val="24"/>
        </w:rPr>
        <w:t xml:space="preserve"> </w:t>
      </w:r>
      <w:r>
        <w:rPr>
          <w:rFonts w:ascii="微软雅黑" w:hAnsi="微软雅黑" w:eastAsia="微软雅黑" w:cs="微软雅黑"/>
          <w:spacing w:val="-4"/>
          <w:sz w:val="24"/>
          <w:szCs w:val="24"/>
        </w:rPr>
        <w:t>小时内采取相应</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措施以确保恢复系统的正常运行。</w:t>
      </w:r>
    </w:p>
    <w:p w14:paraId="1C3C98EC">
      <w:pPr>
        <w:spacing w:before="6" w:line="346" w:lineRule="auto"/>
        <w:ind w:left="49" w:right="79" w:firstLine="953"/>
        <w:jc w:val="both"/>
        <w:rPr>
          <w:rFonts w:ascii="微软雅黑" w:hAnsi="微软雅黑" w:eastAsia="微软雅黑" w:cs="微软雅黑"/>
          <w:sz w:val="24"/>
          <w:szCs w:val="24"/>
        </w:rPr>
      </w:pPr>
      <w:r>
        <w:rPr>
          <w:rFonts w:ascii="微软雅黑" w:hAnsi="微软雅黑" w:eastAsia="微软雅黑" w:cs="微软雅黑"/>
          <w:sz w:val="24"/>
          <w:szCs w:val="24"/>
        </w:rPr>
        <w:t>7.现场巡检：</w:t>
      </w:r>
      <w:r>
        <w:rPr>
          <w:rFonts w:ascii="微软雅黑" w:hAnsi="微软雅黑" w:eastAsia="微软雅黑" w:cs="微软雅黑"/>
          <w:spacing w:val="-33"/>
          <w:sz w:val="24"/>
          <w:szCs w:val="24"/>
        </w:rPr>
        <w:t xml:space="preserve"> </w:t>
      </w:r>
      <w:r>
        <w:rPr>
          <w:rFonts w:ascii="微软雅黑" w:hAnsi="微软雅黑" w:eastAsia="微软雅黑" w:cs="微软雅黑"/>
          <w:sz w:val="24"/>
          <w:szCs w:val="24"/>
        </w:rPr>
        <w:t>维保期内，供应商须提供每季度不少于一次的现场巡检，</w:t>
      </w:r>
      <w:r>
        <w:rPr>
          <w:rFonts w:ascii="微软雅黑" w:hAnsi="微软雅黑" w:eastAsia="微软雅黑" w:cs="微软雅黑"/>
          <w:spacing w:val="-44"/>
          <w:sz w:val="24"/>
          <w:szCs w:val="24"/>
        </w:rPr>
        <w:t xml:space="preserve"> </w:t>
      </w:r>
      <w:r>
        <w:rPr>
          <w:rFonts w:ascii="微软雅黑" w:hAnsi="微软雅黑" w:eastAsia="微软雅黑" w:cs="微软雅黑"/>
          <w:sz w:val="24"/>
          <w:szCs w:val="24"/>
        </w:rPr>
        <w:t xml:space="preserve">每次巡检不少 </w:t>
      </w:r>
      <w:r>
        <w:rPr>
          <w:rFonts w:ascii="微软雅黑" w:hAnsi="微软雅黑" w:eastAsia="微软雅黑" w:cs="微软雅黑"/>
          <w:spacing w:val="-1"/>
          <w:sz w:val="24"/>
          <w:szCs w:val="24"/>
        </w:rPr>
        <w:t>于 3 天。巡检人员必须是原厂工程师。巡检期间现场收集解决问题和需求，巡检结束后提供书</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面巡检报告。期间技术服务人员的一切费用自理。</w:t>
      </w:r>
    </w:p>
    <w:p w14:paraId="021A4405">
      <w:pPr>
        <w:spacing w:before="5" w:line="346" w:lineRule="auto"/>
        <w:ind w:left="46" w:right="80" w:firstLine="951"/>
        <w:rPr>
          <w:rFonts w:ascii="微软雅黑" w:hAnsi="微软雅黑" w:eastAsia="微软雅黑" w:cs="微软雅黑"/>
          <w:sz w:val="24"/>
          <w:szCs w:val="24"/>
        </w:rPr>
      </w:pPr>
      <w:r>
        <w:rPr>
          <w:rFonts w:ascii="微软雅黑" w:hAnsi="微软雅黑" w:eastAsia="微软雅黑" w:cs="微软雅黑"/>
          <w:spacing w:val="-1"/>
          <w:sz w:val="24"/>
          <w:szCs w:val="24"/>
        </w:rPr>
        <w:t>8.需求响应：</w:t>
      </w:r>
      <w:r>
        <w:rPr>
          <w:rFonts w:ascii="微软雅黑" w:hAnsi="微软雅黑" w:eastAsia="微软雅黑" w:cs="微软雅黑"/>
          <w:spacing w:val="-40"/>
          <w:sz w:val="24"/>
          <w:szCs w:val="24"/>
        </w:rPr>
        <w:t xml:space="preserve"> </w:t>
      </w:r>
      <w:r>
        <w:rPr>
          <w:rFonts w:ascii="微软雅黑" w:hAnsi="微软雅黑" w:eastAsia="微软雅黑" w:cs="微软雅黑"/>
          <w:spacing w:val="-1"/>
          <w:sz w:val="24"/>
          <w:szCs w:val="24"/>
        </w:rPr>
        <w:t>维保期内，</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采购方提出的合理合规的功能性需求，</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在 3 个工</w:t>
      </w:r>
      <w:r>
        <w:rPr>
          <w:rFonts w:ascii="微软雅黑" w:hAnsi="微软雅黑" w:eastAsia="微软雅黑" w:cs="微软雅黑"/>
          <w:spacing w:val="-2"/>
          <w:sz w:val="24"/>
          <w:szCs w:val="24"/>
        </w:rPr>
        <w:t>作日内响应</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解决。如需求无法实现，须出具正式的说明函。</w:t>
      </w:r>
    </w:p>
    <w:p w14:paraId="72625933">
      <w:pPr>
        <w:spacing w:before="4" w:line="346" w:lineRule="auto"/>
        <w:ind w:left="59" w:right="80" w:firstLine="939"/>
        <w:rPr>
          <w:rFonts w:ascii="微软雅黑" w:hAnsi="微软雅黑" w:eastAsia="微软雅黑" w:cs="微软雅黑"/>
          <w:sz w:val="24"/>
          <w:szCs w:val="24"/>
        </w:rPr>
      </w:pPr>
      <w:r>
        <w:rPr>
          <w:rFonts w:ascii="微软雅黑" w:hAnsi="微软雅黑" w:eastAsia="微软雅黑" w:cs="微软雅黑"/>
          <w:spacing w:val="-8"/>
          <w:sz w:val="24"/>
          <w:szCs w:val="24"/>
        </w:rPr>
        <w:t>9.本项目软件系统与医院信息系统（HIS</w:t>
      </w:r>
      <w:r>
        <w:rPr>
          <w:rFonts w:ascii="微软雅黑" w:hAnsi="微软雅黑" w:eastAsia="微软雅黑" w:cs="微软雅黑"/>
          <w:spacing w:val="-25"/>
          <w:sz w:val="24"/>
          <w:szCs w:val="24"/>
        </w:rPr>
        <w:t xml:space="preserve"> </w:t>
      </w:r>
      <w:r>
        <w:rPr>
          <w:rFonts w:ascii="微软雅黑" w:hAnsi="微软雅黑" w:eastAsia="微软雅黑" w:cs="微软雅黑"/>
          <w:spacing w:val="-8"/>
          <w:sz w:val="24"/>
          <w:szCs w:val="24"/>
        </w:rPr>
        <w:t>、EMR</w:t>
      </w:r>
      <w:r>
        <w:rPr>
          <w:rFonts w:ascii="微软雅黑" w:hAnsi="微软雅黑" w:eastAsia="微软雅黑" w:cs="微软雅黑"/>
          <w:spacing w:val="-35"/>
          <w:sz w:val="24"/>
          <w:szCs w:val="24"/>
        </w:rPr>
        <w:t xml:space="preserve"> </w:t>
      </w:r>
      <w:r>
        <w:rPr>
          <w:rFonts w:ascii="微软雅黑" w:hAnsi="微软雅黑" w:eastAsia="微软雅黑" w:cs="微软雅黑"/>
          <w:spacing w:val="-8"/>
          <w:sz w:val="24"/>
          <w:szCs w:val="24"/>
        </w:rPr>
        <w:t>、LIS</w:t>
      </w:r>
      <w:r>
        <w:rPr>
          <w:rFonts w:ascii="微软雅黑" w:hAnsi="微软雅黑" w:eastAsia="微软雅黑" w:cs="微软雅黑"/>
          <w:spacing w:val="-34"/>
          <w:sz w:val="24"/>
          <w:szCs w:val="24"/>
        </w:rPr>
        <w:t xml:space="preserve"> </w:t>
      </w:r>
      <w:r>
        <w:rPr>
          <w:rFonts w:ascii="微软雅黑" w:hAnsi="微软雅黑" w:eastAsia="微软雅黑" w:cs="微软雅黑"/>
          <w:spacing w:val="-8"/>
          <w:sz w:val="24"/>
          <w:szCs w:val="24"/>
        </w:rPr>
        <w:t>、PACS 和集成平台）</w:t>
      </w:r>
      <w:r>
        <w:rPr>
          <w:rFonts w:ascii="微软雅黑" w:hAnsi="微软雅黑" w:eastAsia="微软雅黑" w:cs="微软雅黑"/>
          <w:spacing w:val="-47"/>
          <w:sz w:val="24"/>
          <w:szCs w:val="24"/>
        </w:rPr>
        <w:t xml:space="preserve"> </w:t>
      </w:r>
      <w:r>
        <w:rPr>
          <w:rFonts w:ascii="微软雅黑" w:hAnsi="微软雅黑" w:eastAsia="微软雅黑" w:cs="微软雅黑"/>
          <w:spacing w:val="-8"/>
          <w:sz w:val="24"/>
          <w:szCs w:val="24"/>
        </w:rPr>
        <w:t>对接，</w:t>
      </w:r>
      <w:r>
        <w:rPr>
          <w:rFonts w:ascii="微软雅黑" w:hAnsi="微软雅黑" w:eastAsia="微软雅黑" w:cs="微软雅黑"/>
          <w:spacing w:val="-40"/>
          <w:sz w:val="24"/>
          <w:szCs w:val="24"/>
        </w:rPr>
        <w:t xml:space="preserve"> </w:t>
      </w:r>
      <w:r>
        <w:rPr>
          <w:rFonts w:ascii="微软雅黑" w:hAnsi="微软雅黑" w:eastAsia="微软雅黑" w:cs="微软雅黑"/>
          <w:spacing w:val="-8"/>
          <w:sz w:val="24"/>
          <w:szCs w:val="24"/>
        </w:rPr>
        <w:t>与医</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院其他第三方软件、硬件对接，所产生的费用均由中</w:t>
      </w:r>
      <w:r>
        <w:rPr>
          <w:rFonts w:ascii="微软雅黑" w:hAnsi="微软雅黑" w:eastAsia="微软雅黑" w:cs="微软雅黑"/>
          <w:spacing w:val="-3"/>
          <w:sz w:val="24"/>
          <w:szCs w:val="24"/>
        </w:rPr>
        <w:t>标方承担。</w:t>
      </w:r>
    </w:p>
    <w:p w14:paraId="17655447">
      <w:pPr>
        <w:spacing w:before="4" w:line="188" w:lineRule="auto"/>
        <w:ind w:left="1015"/>
        <w:rPr>
          <w:rFonts w:ascii="微软雅黑" w:hAnsi="微软雅黑" w:eastAsia="微软雅黑" w:cs="微软雅黑"/>
          <w:sz w:val="24"/>
          <w:szCs w:val="24"/>
        </w:rPr>
      </w:pPr>
      <w:r>
        <w:rPr>
          <w:rFonts w:ascii="微软雅黑" w:hAnsi="微软雅黑" w:eastAsia="微软雅黑" w:cs="微软雅黑"/>
          <w:spacing w:val="-4"/>
          <w:sz w:val="24"/>
          <w:szCs w:val="24"/>
        </w:rPr>
        <w:t>10.免费维保结束后维保费不超过合同费用的 7%。</w:t>
      </w:r>
    </w:p>
    <w:p w14:paraId="498FE854">
      <w:pPr>
        <w:spacing w:before="274" w:line="187" w:lineRule="auto"/>
        <w:ind w:left="1015"/>
        <w:rPr>
          <w:rFonts w:ascii="微软雅黑" w:hAnsi="微软雅黑" w:eastAsia="微软雅黑" w:cs="微软雅黑"/>
          <w:sz w:val="24"/>
          <w:szCs w:val="24"/>
        </w:rPr>
      </w:pPr>
      <w:r>
        <w:rPr>
          <w:rFonts w:ascii="微软雅黑" w:hAnsi="微软雅黑" w:eastAsia="微软雅黑" w:cs="微软雅黑"/>
          <w:spacing w:val="-1"/>
          <w:sz w:val="24"/>
          <w:szCs w:val="24"/>
        </w:rPr>
        <w:t>11.后期医院第三方软件、硬件与本项目软件对接，本软件接口免费</w:t>
      </w:r>
      <w:r>
        <w:rPr>
          <w:rFonts w:ascii="微软雅黑" w:hAnsi="微软雅黑" w:eastAsia="微软雅黑" w:cs="微软雅黑"/>
          <w:spacing w:val="-2"/>
          <w:sz w:val="24"/>
          <w:szCs w:val="24"/>
        </w:rPr>
        <w:t>开放。</w:t>
      </w:r>
    </w:p>
    <w:p w14:paraId="3CAD4882">
      <w:pPr>
        <w:spacing w:before="275" w:line="346" w:lineRule="auto"/>
        <w:ind w:left="45" w:right="49" w:firstLine="969"/>
        <w:rPr>
          <w:rFonts w:ascii="微软雅黑" w:hAnsi="微软雅黑" w:eastAsia="微软雅黑" w:cs="微软雅黑"/>
          <w:sz w:val="24"/>
          <w:szCs w:val="24"/>
        </w:rPr>
      </w:pPr>
      <w:r>
        <w:rPr>
          <w:rFonts w:ascii="微软雅黑" w:hAnsi="微软雅黑" w:eastAsia="微软雅黑" w:cs="微软雅黑"/>
          <w:spacing w:val="-1"/>
          <w:sz w:val="24"/>
          <w:szCs w:val="24"/>
        </w:rPr>
        <w:t>12.软件系统需满足五级电子病历要求，并配</w:t>
      </w:r>
      <w:r>
        <w:rPr>
          <w:rFonts w:ascii="微软雅黑" w:hAnsi="微软雅黑" w:eastAsia="微软雅黑" w:cs="微软雅黑"/>
          <w:spacing w:val="-2"/>
          <w:sz w:val="24"/>
          <w:szCs w:val="24"/>
        </w:rPr>
        <w:t>合医院完成五级电子病历评级相关工作，</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满足三级医院评审标准。</w:t>
      </w:r>
    </w:p>
    <w:p w14:paraId="2CC6DE83">
      <w:pPr>
        <w:spacing w:before="32" w:line="223" w:lineRule="auto"/>
        <w:ind w:left="597"/>
        <w:rPr>
          <w:rFonts w:ascii="楷体" w:hAnsi="楷体" w:eastAsia="楷体" w:cs="楷体"/>
          <w:sz w:val="28"/>
          <w:szCs w:val="28"/>
        </w:rPr>
      </w:pPr>
      <w:r>
        <w:rPr>
          <w:rFonts w:ascii="楷体" w:hAnsi="楷体" w:eastAsia="楷体" w:cs="楷体"/>
          <w:b/>
          <w:bCs/>
          <w:spacing w:val="-4"/>
          <w:sz w:val="28"/>
          <w:szCs w:val="28"/>
        </w:rPr>
        <w:t>21.2</w:t>
      </w:r>
      <w:r>
        <w:rPr>
          <w:rFonts w:ascii="楷体" w:hAnsi="楷体" w:eastAsia="楷体" w:cs="楷体"/>
          <w:spacing w:val="-38"/>
          <w:sz w:val="28"/>
          <w:szCs w:val="28"/>
        </w:rPr>
        <w:t xml:space="preserve"> </w:t>
      </w:r>
      <w:r>
        <w:rPr>
          <w:rFonts w:ascii="楷体" w:hAnsi="楷体" w:eastAsia="楷体" w:cs="楷体"/>
          <w:b/>
          <w:bCs/>
          <w:spacing w:val="-4"/>
          <w:sz w:val="28"/>
          <w:szCs w:val="28"/>
        </w:rPr>
        <w:t>临床决策支持系统（CDSS）项目</w:t>
      </w:r>
    </w:p>
    <w:p w14:paraId="17CE855D">
      <w:pPr>
        <w:spacing w:before="193" w:line="346" w:lineRule="auto"/>
        <w:ind w:left="45" w:right="9" w:firstLine="969"/>
        <w:rPr>
          <w:rFonts w:ascii="微软雅黑" w:hAnsi="微软雅黑" w:eastAsia="微软雅黑" w:cs="微软雅黑"/>
          <w:sz w:val="24"/>
          <w:szCs w:val="24"/>
        </w:rPr>
      </w:pPr>
      <w:r>
        <w:rPr>
          <w:rFonts w:ascii="微软雅黑" w:hAnsi="微软雅黑" w:eastAsia="微软雅黑" w:cs="微软雅黑"/>
          <w:spacing w:val="-3"/>
          <w:sz w:val="24"/>
          <w:szCs w:val="24"/>
        </w:rPr>
        <w:t>1.投标人需承诺提供的是软件最新版本，项目实施必须是现场实施，不提供远程服务，</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软件实施由原厂工程师实施。如有新版本提供免费升级。</w:t>
      </w:r>
    </w:p>
    <w:p w14:paraId="6D166A33">
      <w:pPr>
        <w:spacing w:before="6" w:line="188" w:lineRule="auto"/>
        <w:ind w:left="1000"/>
        <w:rPr>
          <w:rFonts w:ascii="微软雅黑" w:hAnsi="微软雅黑" w:eastAsia="微软雅黑" w:cs="微软雅黑"/>
          <w:sz w:val="24"/>
          <w:szCs w:val="24"/>
        </w:rPr>
      </w:pPr>
      <w:r>
        <w:rPr>
          <w:rFonts w:ascii="微软雅黑" w:hAnsi="微软雅黑" w:eastAsia="微软雅黑" w:cs="微软雅黑"/>
          <w:sz w:val="24"/>
          <w:szCs w:val="24"/>
        </w:rPr>
        <w:t>2.软件授权必须是永久授权。</w:t>
      </w:r>
    </w:p>
    <w:p w14:paraId="4296C686">
      <w:pPr>
        <w:spacing w:before="272" w:line="346" w:lineRule="auto"/>
        <w:ind w:left="74" w:right="80" w:firstLine="928"/>
        <w:rPr>
          <w:rFonts w:ascii="微软雅黑" w:hAnsi="微软雅黑" w:eastAsia="微软雅黑" w:cs="微软雅黑"/>
          <w:sz w:val="24"/>
          <w:szCs w:val="24"/>
        </w:rPr>
      </w:pPr>
      <w:r>
        <w:rPr>
          <w:rFonts w:ascii="微软雅黑" w:hAnsi="微软雅黑" w:eastAsia="微软雅黑" w:cs="微软雅黑"/>
          <w:spacing w:val="1"/>
          <w:sz w:val="24"/>
          <w:szCs w:val="24"/>
        </w:rPr>
        <w:t>3.项目实施期间须对医院所有涉及系统使用的在院人员进行培训，</w:t>
      </w:r>
      <w:r>
        <w:rPr>
          <w:rFonts w:ascii="微软雅黑" w:hAnsi="微软雅黑" w:eastAsia="微软雅黑" w:cs="微软雅黑"/>
          <w:spacing w:val="-43"/>
          <w:sz w:val="24"/>
          <w:szCs w:val="24"/>
        </w:rPr>
        <w:t xml:space="preserve"> </w:t>
      </w:r>
      <w:r>
        <w:rPr>
          <w:rFonts w:ascii="微软雅黑" w:hAnsi="微软雅黑" w:eastAsia="微软雅黑" w:cs="微软雅黑"/>
          <w:spacing w:val="1"/>
          <w:sz w:val="24"/>
          <w:szCs w:val="24"/>
        </w:rPr>
        <w:t>后期对医院进修返</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回或新入人员进行现场或远程培训指导。</w:t>
      </w:r>
    </w:p>
    <w:p w14:paraId="1E54E77F">
      <w:pPr>
        <w:spacing w:before="5" w:line="344" w:lineRule="auto"/>
        <w:ind w:left="43" w:right="140" w:firstLine="953"/>
        <w:rPr>
          <w:rFonts w:ascii="微软雅黑" w:hAnsi="微软雅黑" w:eastAsia="微软雅黑" w:cs="微软雅黑"/>
          <w:sz w:val="24"/>
          <w:szCs w:val="24"/>
        </w:rPr>
      </w:pPr>
      <w:r>
        <w:rPr>
          <w:rFonts w:ascii="微软雅黑" w:hAnsi="微软雅黑" w:eastAsia="微软雅黑" w:cs="微软雅黑"/>
          <w:spacing w:val="4"/>
          <w:sz w:val="24"/>
          <w:szCs w:val="24"/>
        </w:rPr>
        <w:t>4.</w:t>
      </w:r>
      <w:r>
        <w:rPr>
          <w:rFonts w:ascii="微软雅黑" w:hAnsi="微软雅黑" w:eastAsia="微软雅黑" w:cs="微软雅黑"/>
          <w:spacing w:val="-26"/>
          <w:sz w:val="24"/>
          <w:szCs w:val="24"/>
        </w:rPr>
        <w:t xml:space="preserve"> </w:t>
      </w:r>
      <w:r>
        <w:rPr>
          <w:rFonts w:ascii="微软雅黑" w:hAnsi="微软雅黑" w:eastAsia="微软雅黑" w:cs="微软雅黑"/>
          <w:spacing w:val="4"/>
          <w:sz w:val="24"/>
          <w:szCs w:val="24"/>
        </w:rPr>
        <w:t>响应时间：</w:t>
      </w:r>
      <w:r>
        <w:rPr>
          <w:rFonts w:ascii="微软雅黑" w:hAnsi="微软雅黑" w:eastAsia="微软雅黑" w:cs="微软雅黑"/>
          <w:spacing w:val="-41"/>
          <w:sz w:val="24"/>
          <w:szCs w:val="24"/>
        </w:rPr>
        <w:t xml:space="preserve"> </w:t>
      </w:r>
      <w:r>
        <w:rPr>
          <w:rFonts w:ascii="微软雅黑" w:hAnsi="微软雅黑" w:eastAsia="微软雅黑" w:cs="微软雅黑"/>
          <w:spacing w:val="4"/>
          <w:sz w:val="24"/>
          <w:szCs w:val="24"/>
        </w:rPr>
        <w:t>投标人在投标书中必须明确承诺售后服务响应时间，</w:t>
      </w:r>
      <w:r>
        <w:rPr>
          <w:rFonts w:ascii="微软雅黑" w:hAnsi="微软雅黑" w:eastAsia="微软雅黑" w:cs="微软雅黑"/>
          <w:spacing w:val="-42"/>
          <w:sz w:val="24"/>
          <w:szCs w:val="24"/>
        </w:rPr>
        <w:t xml:space="preserve"> </w:t>
      </w:r>
      <w:r>
        <w:rPr>
          <w:rFonts w:ascii="微软雅黑" w:hAnsi="微软雅黑" w:eastAsia="微软雅黑" w:cs="微软雅黑"/>
          <w:spacing w:val="4"/>
          <w:sz w:val="24"/>
          <w:szCs w:val="24"/>
        </w:rPr>
        <w:t>须固定专人提供</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7*24 小时服务（包括法定节假日）。</w:t>
      </w:r>
    </w:p>
    <w:p w14:paraId="0FCADEB1">
      <w:pPr>
        <w:pStyle w:val="2"/>
        <w:spacing w:line="405" w:lineRule="auto"/>
      </w:pPr>
    </w:p>
    <w:p w14:paraId="384583CB">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79                                </w:t>
      </w:r>
      <w:r>
        <w:rPr>
          <w:rFonts w:ascii="宋体" w:hAnsi="宋体" w:eastAsia="宋体" w:cs="宋体"/>
          <w:b/>
          <w:bCs/>
          <w:i/>
          <w:iCs/>
          <w:spacing w:val="-3"/>
          <w:sz w:val="19"/>
          <w:szCs w:val="19"/>
        </w:rPr>
        <w:t>伊犁州公共资源交易中心</w:t>
      </w:r>
    </w:p>
    <w:p w14:paraId="65598343">
      <w:pPr>
        <w:spacing w:line="160" w:lineRule="auto"/>
        <w:rPr>
          <w:rFonts w:ascii="宋体" w:hAnsi="宋体" w:eastAsia="宋体" w:cs="宋体"/>
          <w:sz w:val="19"/>
          <w:szCs w:val="19"/>
        </w:rPr>
        <w:sectPr>
          <w:headerReference r:id="rId74" w:type="default"/>
          <w:footerReference r:id="rId75" w:type="default"/>
          <w:pgSz w:w="11905" w:h="16839"/>
          <w:pgMar w:top="1136" w:right="779" w:bottom="937" w:left="1136" w:header="854" w:footer="923" w:gutter="0"/>
          <w:cols w:space="720" w:num="1"/>
        </w:sectPr>
      </w:pPr>
    </w:p>
    <w:p w14:paraId="4AA2A6A4">
      <w:pPr>
        <w:pStyle w:val="2"/>
        <w:spacing w:line="355" w:lineRule="auto"/>
      </w:pPr>
    </w:p>
    <w:p w14:paraId="05EBFB58">
      <w:pPr>
        <w:spacing w:before="103" w:line="187" w:lineRule="auto"/>
        <w:ind w:left="1002"/>
        <w:rPr>
          <w:rFonts w:ascii="微软雅黑" w:hAnsi="微软雅黑" w:eastAsia="微软雅黑" w:cs="微软雅黑"/>
          <w:sz w:val="24"/>
          <w:szCs w:val="24"/>
        </w:rPr>
      </w:pPr>
      <w:r>
        <w:rPr>
          <w:rFonts w:ascii="微软雅黑" w:hAnsi="微软雅黑" w:eastAsia="微软雅黑" w:cs="微软雅黑"/>
          <w:spacing w:val="-2"/>
          <w:sz w:val="24"/>
          <w:szCs w:val="24"/>
        </w:rPr>
        <w:t>5.项目验收合格后软件提供 3 年免费维保。</w:t>
      </w:r>
    </w:p>
    <w:p w14:paraId="3CE7EB19">
      <w:pPr>
        <w:spacing w:before="276" w:line="346" w:lineRule="auto"/>
        <w:ind w:left="44" w:right="9" w:firstLine="955"/>
        <w:rPr>
          <w:rFonts w:ascii="微软雅黑" w:hAnsi="微软雅黑" w:eastAsia="微软雅黑" w:cs="微软雅黑"/>
          <w:sz w:val="24"/>
          <w:szCs w:val="24"/>
        </w:rPr>
      </w:pPr>
      <w:r>
        <w:rPr>
          <w:rFonts w:ascii="微软雅黑" w:hAnsi="微软雅黑" w:eastAsia="微软雅黑" w:cs="微软雅黑"/>
          <w:spacing w:val="-1"/>
          <w:sz w:val="24"/>
          <w:szCs w:val="24"/>
        </w:rPr>
        <w:t>6.技术客服人员：</w:t>
      </w:r>
      <w:r>
        <w:rPr>
          <w:rFonts w:ascii="微软雅黑" w:hAnsi="微软雅黑" w:eastAsia="微软雅黑" w:cs="微软雅黑"/>
          <w:spacing w:val="-40"/>
          <w:sz w:val="24"/>
          <w:szCs w:val="24"/>
        </w:rPr>
        <w:t xml:space="preserve"> </w:t>
      </w:r>
      <w:r>
        <w:rPr>
          <w:rFonts w:ascii="微软雅黑" w:hAnsi="微软雅黑" w:eastAsia="微软雅黑" w:cs="微软雅黑"/>
          <w:spacing w:val="-1"/>
          <w:sz w:val="24"/>
          <w:szCs w:val="24"/>
        </w:rPr>
        <w:t>维保期内投标人提供固定 1 名经验丰富的工程师</w:t>
      </w:r>
      <w:r>
        <w:rPr>
          <w:rFonts w:ascii="微软雅黑" w:hAnsi="微软雅黑" w:eastAsia="微软雅黑" w:cs="微软雅黑"/>
          <w:spacing w:val="-2"/>
          <w:sz w:val="24"/>
          <w:szCs w:val="24"/>
        </w:rPr>
        <w:t>，</w:t>
      </w:r>
      <w:r>
        <w:rPr>
          <w:rFonts w:ascii="微软雅黑" w:hAnsi="微软雅黑" w:eastAsia="微软雅黑" w:cs="微软雅黑"/>
          <w:spacing w:val="-28"/>
          <w:sz w:val="24"/>
          <w:szCs w:val="24"/>
        </w:rPr>
        <w:t xml:space="preserve"> </w:t>
      </w:r>
      <w:r>
        <w:rPr>
          <w:rFonts w:ascii="微软雅黑" w:hAnsi="微软雅黑" w:eastAsia="微软雅黑" w:cs="微软雅黑"/>
          <w:spacing w:val="-2"/>
          <w:sz w:val="24"/>
          <w:szCs w:val="24"/>
        </w:rPr>
        <w:t>以常驻采购方现</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场的方式提供服务，随时响应并解决采购方的需求，不得随意更换驻场</w:t>
      </w:r>
      <w:r>
        <w:rPr>
          <w:rFonts w:ascii="微软雅黑" w:hAnsi="微软雅黑" w:eastAsia="微软雅黑" w:cs="微软雅黑"/>
          <w:spacing w:val="-5"/>
          <w:sz w:val="24"/>
          <w:szCs w:val="24"/>
        </w:rPr>
        <w:t>人员。驻场时间为 2 年，</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驻场期间服务人员的一切费用自理。</w:t>
      </w:r>
    </w:p>
    <w:p w14:paraId="6B27DCE8">
      <w:pPr>
        <w:spacing w:before="3" w:line="347" w:lineRule="auto"/>
        <w:ind w:left="44" w:firstLine="958"/>
        <w:jc w:val="both"/>
        <w:rPr>
          <w:rFonts w:ascii="微软雅黑" w:hAnsi="微软雅黑" w:eastAsia="微软雅黑" w:cs="微软雅黑"/>
          <w:sz w:val="24"/>
          <w:szCs w:val="24"/>
        </w:rPr>
      </w:pPr>
      <w:r>
        <w:rPr>
          <w:rFonts w:ascii="微软雅黑" w:hAnsi="微软雅黑" w:eastAsia="微软雅黑" w:cs="微软雅黑"/>
          <w:spacing w:val="-1"/>
          <w:sz w:val="24"/>
          <w:szCs w:val="24"/>
        </w:rPr>
        <w:t>7.技术响应处理：</w:t>
      </w:r>
      <w:r>
        <w:rPr>
          <w:rFonts w:ascii="微软雅黑" w:hAnsi="微软雅黑" w:eastAsia="微软雅黑" w:cs="微软雅黑"/>
          <w:spacing w:val="-40"/>
          <w:sz w:val="24"/>
          <w:szCs w:val="24"/>
        </w:rPr>
        <w:t xml:space="preserve"> </w:t>
      </w:r>
      <w:r>
        <w:rPr>
          <w:rFonts w:ascii="微软雅黑" w:hAnsi="微软雅黑" w:eastAsia="微软雅黑" w:cs="微软雅黑"/>
          <w:spacing w:val="-1"/>
          <w:sz w:val="24"/>
          <w:szCs w:val="24"/>
        </w:rPr>
        <w:t>维保期内对于接到的采购方技术咨询、故障需求，保证</w:t>
      </w:r>
      <w:r>
        <w:rPr>
          <w:rFonts w:ascii="微软雅黑" w:hAnsi="微软雅黑" w:eastAsia="微软雅黑" w:cs="微软雅黑"/>
          <w:spacing w:val="62"/>
          <w:sz w:val="24"/>
          <w:szCs w:val="24"/>
        </w:rPr>
        <w:t xml:space="preserve"> </w:t>
      </w:r>
      <w:r>
        <w:rPr>
          <w:rFonts w:ascii="微软雅黑" w:hAnsi="微软雅黑" w:eastAsia="微软雅黑" w:cs="微软雅黑"/>
          <w:spacing w:val="-1"/>
          <w:sz w:val="24"/>
          <w:szCs w:val="24"/>
        </w:rPr>
        <w:t>20</w:t>
      </w:r>
      <w:r>
        <w:rPr>
          <w:rFonts w:ascii="微软雅黑" w:hAnsi="微软雅黑" w:eastAsia="微软雅黑" w:cs="微软雅黑"/>
          <w:spacing w:val="69"/>
          <w:sz w:val="24"/>
          <w:szCs w:val="24"/>
        </w:rPr>
        <w:t xml:space="preserve"> </w:t>
      </w:r>
      <w:r>
        <w:rPr>
          <w:rFonts w:ascii="微软雅黑" w:hAnsi="微软雅黑" w:eastAsia="微软雅黑" w:cs="微软雅黑"/>
          <w:spacing w:val="-1"/>
          <w:sz w:val="24"/>
          <w:szCs w:val="24"/>
        </w:rPr>
        <w:t>分</w:t>
      </w:r>
      <w:r>
        <w:rPr>
          <w:rFonts w:ascii="微软雅黑" w:hAnsi="微软雅黑" w:eastAsia="微软雅黑" w:cs="微软雅黑"/>
          <w:spacing w:val="-2"/>
          <w:sz w:val="24"/>
          <w:szCs w:val="24"/>
        </w:rPr>
        <w:t>钟内</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响应，</w:t>
      </w:r>
      <w:r>
        <w:rPr>
          <w:rFonts w:ascii="微软雅黑" w:hAnsi="微软雅黑" w:eastAsia="微软雅黑" w:cs="微软雅黑"/>
          <w:spacing w:val="-50"/>
          <w:sz w:val="24"/>
          <w:szCs w:val="24"/>
        </w:rPr>
        <w:t xml:space="preserve"> </w:t>
      </w:r>
      <w:r>
        <w:rPr>
          <w:rFonts w:ascii="微软雅黑" w:hAnsi="微软雅黑" w:eastAsia="微软雅黑" w:cs="微软雅黑"/>
          <w:spacing w:val="-3"/>
          <w:sz w:val="24"/>
          <w:szCs w:val="24"/>
        </w:rPr>
        <w:t>远程服务在 2 小时内提出解决方案并解决。其中，</w:t>
      </w:r>
      <w:r>
        <w:rPr>
          <w:rFonts w:ascii="微软雅黑" w:hAnsi="微软雅黑" w:eastAsia="微软雅黑" w:cs="微软雅黑"/>
          <w:spacing w:val="-51"/>
          <w:sz w:val="24"/>
          <w:szCs w:val="24"/>
        </w:rPr>
        <w:t xml:space="preserve"> </w:t>
      </w:r>
      <w:r>
        <w:rPr>
          <w:rFonts w:ascii="微软雅黑" w:hAnsi="微软雅黑" w:eastAsia="微软雅黑" w:cs="微软雅黑"/>
          <w:spacing w:val="-3"/>
          <w:sz w:val="24"/>
          <w:szCs w:val="24"/>
        </w:rPr>
        <w:t>远程无法解决的， 自收到采购方的服</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务请求后 24</w:t>
      </w:r>
      <w:r>
        <w:rPr>
          <w:rFonts w:ascii="微软雅黑" w:hAnsi="微软雅黑" w:eastAsia="微软雅黑" w:cs="微软雅黑"/>
          <w:spacing w:val="65"/>
          <w:sz w:val="24"/>
          <w:szCs w:val="24"/>
        </w:rPr>
        <w:t xml:space="preserve"> </w:t>
      </w:r>
      <w:r>
        <w:rPr>
          <w:rFonts w:ascii="微软雅黑" w:hAnsi="微软雅黑" w:eastAsia="微软雅黑" w:cs="微软雅黑"/>
          <w:spacing w:val="-3"/>
          <w:sz w:val="24"/>
          <w:szCs w:val="24"/>
        </w:rPr>
        <w:t>小时内抵达现场完成故障处理；如</w:t>
      </w:r>
      <w:r>
        <w:rPr>
          <w:rFonts w:ascii="微软雅黑" w:hAnsi="微软雅黑" w:eastAsia="微软雅黑" w:cs="微软雅黑"/>
          <w:spacing w:val="-4"/>
          <w:sz w:val="24"/>
          <w:szCs w:val="24"/>
        </w:rPr>
        <w:t>遇到重大技术问题，保证在 24</w:t>
      </w:r>
      <w:r>
        <w:rPr>
          <w:rFonts w:ascii="微软雅黑" w:hAnsi="微软雅黑" w:eastAsia="微软雅黑" w:cs="微软雅黑"/>
          <w:spacing w:val="65"/>
          <w:sz w:val="24"/>
          <w:szCs w:val="24"/>
        </w:rPr>
        <w:t xml:space="preserve"> </w:t>
      </w:r>
      <w:r>
        <w:rPr>
          <w:rFonts w:ascii="微软雅黑" w:hAnsi="微软雅黑" w:eastAsia="微软雅黑" w:cs="微软雅黑"/>
          <w:spacing w:val="-4"/>
          <w:sz w:val="24"/>
          <w:szCs w:val="24"/>
        </w:rPr>
        <w:t>小时内采取相应</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措施以确保恢复系统的正常运行。</w:t>
      </w:r>
    </w:p>
    <w:p w14:paraId="4FB12916">
      <w:pPr>
        <w:spacing w:before="6" w:line="346" w:lineRule="auto"/>
        <w:ind w:left="49" w:right="79" w:firstLine="948"/>
        <w:jc w:val="both"/>
        <w:rPr>
          <w:rFonts w:ascii="微软雅黑" w:hAnsi="微软雅黑" w:eastAsia="微软雅黑" w:cs="微软雅黑"/>
          <w:sz w:val="24"/>
          <w:szCs w:val="24"/>
        </w:rPr>
      </w:pPr>
      <w:r>
        <w:rPr>
          <w:rFonts w:ascii="微软雅黑" w:hAnsi="微软雅黑" w:eastAsia="微软雅黑" w:cs="微软雅黑"/>
          <w:sz w:val="24"/>
          <w:szCs w:val="24"/>
        </w:rPr>
        <w:t>8.现场巡检：</w:t>
      </w:r>
      <w:r>
        <w:rPr>
          <w:rFonts w:ascii="微软雅黑" w:hAnsi="微软雅黑" w:eastAsia="微软雅黑" w:cs="微软雅黑"/>
          <w:spacing w:val="-29"/>
          <w:sz w:val="24"/>
          <w:szCs w:val="24"/>
        </w:rPr>
        <w:t xml:space="preserve"> </w:t>
      </w:r>
      <w:r>
        <w:rPr>
          <w:rFonts w:ascii="微软雅黑" w:hAnsi="微软雅黑" w:eastAsia="微软雅黑" w:cs="微软雅黑"/>
          <w:sz w:val="24"/>
          <w:szCs w:val="24"/>
        </w:rPr>
        <w:t>维保期内，投标人须提供每季度不少于一次的现场巡检，</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 xml:space="preserve">每次巡检不少 </w:t>
      </w:r>
      <w:r>
        <w:rPr>
          <w:rFonts w:ascii="微软雅黑" w:hAnsi="微软雅黑" w:eastAsia="微软雅黑" w:cs="微软雅黑"/>
          <w:spacing w:val="-1"/>
          <w:sz w:val="24"/>
          <w:szCs w:val="24"/>
        </w:rPr>
        <w:t>于 3 天。巡检人员必须是原厂工程师。巡检期间现场收集解决问题和需求，巡检结束后提供书</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面巡检报告。期间技术服务人员的一切费用自理。</w:t>
      </w:r>
    </w:p>
    <w:p w14:paraId="5102F43C">
      <w:pPr>
        <w:spacing w:before="5" w:line="346" w:lineRule="auto"/>
        <w:ind w:left="46" w:right="80" w:firstLine="951"/>
        <w:rPr>
          <w:rFonts w:ascii="微软雅黑" w:hAnsi="微软雅黑" w:eastAsia="微软雅黑" w:cs="微软雅黑"/>
          <w:sz w:val="24"/>
          <w:szCs w:val="24"/>
        </w:rPr>
      </w:pPr>
      <w:r>
        <w:rPr>
          <w:rFonts w:ascii="微软雅黑" w:hAnsi="微软雅黑" w:eastAsia="微软雅黑" w:cs="微软雅黑"/>
          <w:spacing w:val="-1"/>
          <w:sz w:val="24"/>
          <w:szCs w:val="24"/>
        </w:rPr>
        <w:t>9.需求响应：</w:t>
      </w:r>
      <w:r>
        <w:rPr>
          <w:rFonts w:ascii="微软雅黑" w:hAnsi="微软雅黑" w:eastAsia="微软雅黑" w:cs="微软雅黑"/>
          <w:spacing w:val="-40"/>
          <w:sz w:val="24"/>
          <w:szCs w:val="24"/>
        </w:rPr>
        <w:t xml:space="preserve"> </w:t>
      </w:r>
      <w:r>
        <w:rPr>
          <w:rFonts w:ascii="微软雅黑" w:hAnsi="微软雅黑" w:eastAsia="微软雅黑" w:cs="微软雅黑"/>
          <w:spacing w:val="-1"/>
          <w:sz w:val="24"/>
          <w:szCs w:val="24"/>
        </w:rPr>
        <w:t>维保期内，</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采购方提出的合理合规的功能性需求，</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在 3 个工</w:t>
      </w:r>
      <w:r>
        <w:rPr>
          <w:rFonts w:ascii="微软雅黑" w:hAnsi="微软雅黑" w:eastAsia="微软雅黑" w:cs="微软雅黑"/>
          <w:spacing w:val="-2"/>
          <w:sz w:val="24"/>
          <w:szCs w:val="24"/>
        </w:rPr>
        <w:t>作日内响应</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解决。如需求无法实现，须出具正式的说明函。</w:t>
      </w:r>
    </w:p>
    <w:p w14:paraId="274E876B">
      <w:pPr>
        <w:spacing w:before="4" w:line="346" w:lineRule="auto"/>
        <w:ind w:left="59" w:right="79" w:firstLine="956"/>
        <w:rPr>
          <w:rFonts w:ascii="微软雅黑" w:hAnsi="微软雅黑" w:eastAsia="微软雅黑" w:cs="微软雅黑"/>
          <w:sz w:val="24"/>
          <w:szCs w:val="24"/>
        </w:rPr>
      </w:pPr>
      <w:r>
        <w:rPr>
          <w:rFonts w:ascii="微软雅黑" w:hAnsi="微软雅黑" w:eastAsia="微软雅黑" w:cs="微软雅黑"/>
          <w:spacing w:val="-7"/>
          <w:sz w:val="24"/>
          <w:szCs w:val="24"/>
        </w:rPr>
        <w:t>10.本项目软件系统与医院信息系统（HIS、EMR</w:t>
      </w:r>
      <w:r>
        <w:rPr>
          <w:rFonts w:ascii="微软雅黑" w:hAnsi="微软雅黑" w:eastAsia="微软雅黑" w:cs="微软雅黑"/>
          <w:spacing w:val="-8"/>
          <w:sz w:val="24"/>
          <w:szCs w:val="24"/>
        </w:rPr>
        <w:t>、LIS、PACS 和集成平台）对接，与医</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院其他第三方软件、硬件对接，所产生的费用均由中</w:t>
      </w:r>
      <w:r>
        <w:rPr>
          <w:rFonts w:ascii="微软雅黑" w:hAnsi="微软雅黑" w:eastAsia="微软雅黑" w:cs="微软雅黑"/>
          <w:spacing w:val="-3"/>
          <w:sz w:val="24"/>
          <w:szCs w:val="24"/>
        </w:rPr>
        <w:t>标方承担。</w:t>
      </w:r>
    </w:p>
    <w:p w14:paraId="05488C67">
      <w:pPr>
        <w:spacing w:before="4" w:line="188" w:lineRule="auto"/>
        <w:ind w:left="1015"/>
        <w:rPr>
          <w:rFonts w:ascii="微软雅黑" w:hAnsi="微软雅黑" w:eastAsia="微软雅黑" w:cs="微软雅黑"/>
          <w:sz w:val="24"/>
          <w:szCs w:val="24"/>
        </w:rPr>
      </w:pPr>
      <w:r>
        <w:rPr>
          <w:rFonts w:ascii="微软雅黑" w:hAnsi="微软雅黑" w:eastAsia="微软雅黑" w:cs="微软雅黑"/>
          <w:spacing w:val="-4"/>
          <w:sz w:val="24"/>
          <w:szCs w:val="24"/>
        </w:rPr>
        <w:t>11.免费维保结束后维保费不超过合同费用的 7%。</w:t>
      </w:r>
    </w:p>
    <w:p w14:paraId="1FEB0FE3">
      <w:pPr>
        <w:spacing w:before="274" w:line="187" w:lineRule="auto"/>
        <w:ind w:left="1015"/>
        <w:rPr>
          <w:rFonts w:ascii="微软雅黑" w:hAnsi="微软雅黑" w:eastAsia="微软雅黑" w:cs="微软雅黑"/>
          <w:sz w:val="24"/>
          <w:szCs w:val="24"/>
        </w:rPr>
      </w:pPr>
      <w:r>
        <w:rPr>
          <w:rFonts w:ascii="微软雅黑" w:hAnsi="微软雅黑" w:eastAsia="微软雅黑" w:cs="微软雅黑"/>
          <w:spacing w:val="-1"/>
          <w:sz w:val="24"/>
          <w:szCs w:val="24"/>
        </w:rPr>
        <w:t>12.后期医院第三方软件、硬件与本项目软件对接，本软件接口免费</w:t>
      </w:r>
      <w:r>
        <w:rPr>
          <w:rFonts w:ascii="微软雅黑" w:hAnsi="微软雅黑" w:eastAsia="微软雅黑" w:cs="微软雅黑"/>
          <w:spacing w:val="-2"/>
          <w:sz w:val="24"/>
          <w:szCs w:val="24"/>
        </w:rPr>
        <w:t>开放。</w:t>
      </w:r>
    </w:p>
    <w:p w14:paraId="1BD8DB13">
      <w:pPr>
        <w:spacing w:before="275" w:line="346" w:lineRule="auto"/>
        <w:ind w:left="45" w:right="49" w:firstLine="969"/>
        <w:rPr>
          <w:rFonts w:ascii="微软雅黑" w:hAnsi="微软雅黑" w:eastAsia="微软雅黑" w:cs="微软雅黑"/>
          <w:sz w:val="24"/>
          <w:szCs w:val="24"/>
        </w:rPr>
      </w:pPr>
      <w:r>
        <w:rPr>
          <w:rFonts w:ascii="微软雅黑" w:hAnsi="微软雅黑" w:eastAsia="微软雅黑" w:cs="微软雅黑"/>
          <w:spacing w:val="-1"/>
          <w:sz w:val="24"/>
          <w:szCs w:val="24"/>
        </w:rPr>
        <w:t>13.软件系统需满足五级电子病历要求，并配</w:t>
      </w:r>
      <w:r>
        <w:rPr>
          <w:rFonts w:ascii="微软雅黑" w:hAnsi="微软雅黑" w:eastAsia="微软雅黑" w:cs="微软雅黑"/>
          <w:spacing w:val="-2"/>
          <w:sz w:val="24"/>
          <w:szCs w:val="24"/>
        </w:rPr>
        <w:t>合医院完成五级电子病历评级相关工作，</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满足三级医院评审标准。</w:t>
      </w:r>
    </w:p>
    <w:p w14:paraId="56D92E9D">
      <w:pPr>
        <w:spacing w:before="32" w:line="223" w:lineRule="auto"/>
        <w:ind w:left="178"/>
        <w:rPr>
          <w:rFonts w:ascii="楷体" w:hAnsi="楷体" w:eastAsia="楷体" w:cs="楷体"/>
          <w:sz w:val="28"/>
          <w:szCs w:val="28"/>
        </w:rPr>
      </w:pPr>
      <w:r>
        <w:rPr>
          <w:rFonts w:ascii="楷体" w:hAnsi="楷体" w:eastAsia="楷体" w:cs="楷体"/>
          <w:b/>
          <w:bCs/>
          <w:spacing w:val="-8"/>
          <w:sz w:val="28"/>
          <w:szCs w:val="28"/>
        </w:rPr>
        <w:t>21.3</w:t>
      </w:r>
      <w:r>
        <w:rPr>
          <w:rFonts w:ascii="楷体" w:hAnsi="楷体" w:eastAsia="楷体" w:cs="楷体"/>
          <w:spacing w:val="-8"/>
          <w:sz w:val="28"/>
          <w:szCs w:val="28"/>
        </w:rPr>
        <w:t xml:space="preserve"> </w:t>
      </w:r>
      <w:r>
        <w:rPr>
          <w:rFonts w:ascii="楷体" w:hAnsi="楷体" w:eastAsia="楷体" w:cs="楷体"/>
          <w:b/>
          <w:bCs/>
          <w:spacing w:val="-8"/>
          <w:sz w:val="28"/>
          <w:szCs w:val="28"/>
        </w:rPr>
        <w:t>医务管理系统项目</w:t>
      </w:r>
    </w:p>
    <w:p w14:paraId="05B64426">
      <w:pPr>
        <w:spacing w:before="194" w:line="346" w:lineRule="auto"/>
        <w:ind w:left="45" w:right="9" w:firstLine="969"/>
        <w:rPr>
          <w:rFonts w:ascii="微软雅黑" w:hAnsi="微软雅黑" w:eastAsia="微软雅黑" w:cs="微软雅黑"/>
          <w:sz w:val="24"/>
          <w:szCs w:val="24"/>
        </w:rPr>
      </w:pPr>
      <w:r>
        <w:rPr>
          <w:rFonts w:ascii="微软雅黑" w:hAnsi="微软雅黑" w:eastAsia="微软雅黑" w:cs="微软雅黑"/>
          <w:spacing w:val="-3"/>
          <w:sz w:val="24"/>
          <w:szCs w:val="24"/>
        </w:rPr>
        <w:t>1.投标人需承诺提供的是软件最新版本，项目实施必须是现场实施，不提供远程服务，</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软件实施由原厂工程师实施。如有新版本提供免费升级。</w:t>
      </w:r>
    </w:p>
    <w:p w14:paraId="70206075">
      <w:pPr>
        <w:spacing w:before="5" w:line="188" w:lineRule="auto"/>
        <w:ind w:left="1000"/>
        <w:rPr>
          <w:rFonts w:ascii="微软雅黑" w:hAnsi="微软雅黑" w:eastAsia="微软雅黑" w:cs="微软雅黑"/>
          <w:sz w:val="24"/>
          <w:szCs w:val="24"/>
        </w:rPr>
      </w:pPr>
      <w:r>
        <w:rPr>
          <w:rFonts w:ascii="微软雅黑" w:hAnsi="微软雅黑" w:eastAsia="微软雅黑" w:cs="微软雅黑"/>
          <w:sz w:val="24"/>
          <w:szCs w:val="24"/>
        </w:rPr>
        <w:t>2.软件授权必须是永久授权。</w:t>
      </w:r>
    </w:p>
    <w:p w14:paraId="2671B086">
      <w:pPr>
        <w:pStyle w:val="2"/>
        <w:spacing w:line="332" w:lineRule="auto"/>
      </w:pPr>
    </w:p>
    <w:p w14:paraId="2985216F">
      <w:pPr>
        <w:pStyle w:val="2"/>
        <w:spacing w:line="332" w:lineRule="auto"/>
      </w:pPr>
    </w:p>
    <w:p w14:paraId="66677026">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80                                </w:t>
      </w:r>
      <w:r>
        <w:rPr>
          <w:rFonts w:ascii="宋体" w:hAnsi="宋体" w:eastAsia="宋体" w:cs="宋体"/>
          <w:b/>
          <w:bCs/>
          <w:i/>
          <w:iCs/>
          <w:spacing w:val="-3"/>
          <w:sz w:val="19"/>
          <w:szCs w:val="19"/>
        </w:rPr>
        <w:t>伊犁州公共资源交易中心</w:t>
      </w:r>
    </w:p>
    <w:p w14:paraId="2C6DAF27">
      <w:pPr>
        <w:spacing w:line="160" w:lineRule="auto"/>
        <w:rPr>
          <w:rFonts w:ascii="宋体" w:hAnsi="宋体" w:eastAsia="宋体" w:cs="宋体"/>
          <w:sz w:val="19"/>
          <w:szCs w:val="19"/>
        </w:rPr>
        <w:sectPr>
          <w:pgSz w:w="11905" w:h="16839"/>
          <w:pgMar w:top="1136" w:right="779" w:bottom="937" w:left="1136" w:header="854" w:footer="923" w:gutter="0"/>
          <w:cols w:space="720" w:num="1"/>
        </w:sectPr>
      </w:pPr>
    </w:p>
    <w:p w14:paraId="656B111D">
      <w:pPr>
        <w:pStyle w:val="2"/>
        <w:spacing w:line="356" w:lineRule="auto"/>
      </w:pPr>
    </w:p>
    <w:p w14:paraId="7B667FE3">
      <w:pPr>
        <w:spacing w:before="103" w:line="346" w:lineRule="auto"/>
        <w:ind w:left="43" w:right="9" w:firstLine="959"/>
        <w:jc w:val="both"/>
        <w:rPr>
          <w:rFonts w:ascii="微软雅黑" w:hAnsi="微软雅黑" w:eastAsia="微软雅黑" w:cs="微软雅黑"/>
          <w:sz w:val="24"/>
          <w:szCs w:val="24"/>
        </w:rPr>
      </w:pPr>
      <w:r>
        <w:rPr>
          <w:rFonts w:ascii="微软雅黑" w:hAnsi="微软雅黑" w:eastAsia="微软雅黑" w:cs="微软雅黑"/>
          <w:spacing w:val="4"/>
          <w:sz w:val="24"/>
          <w:szCs w:val="24"/>
        </w:rPr>
        <w:t>3.</w:t>
      </w:r>
      <w:r>
        <w:rPr>
          <w:rFonts w:ascii="微软雅黑" w:hAnsi="微软雅黑" w:eastAsia="微软雅黑" w:cs="微软雅黑"/>
          <w:spacing w:val="-32"/>
          <w:sz w:val="24"/>
          <w:szCs w:val="24"/>
        </w:rPr>
        <w:t xml:space="preserve"> </w:t>
      </w:r>
      <w:r>
        <w:rPr>
          <w:rFonts w:ascii="微软雅黑" w:hAnsi="微软雅黑" w:eastAsia="微软雅黑" w:cs="微软雅黑"/>
          <w:spacing w:val="4"/>
          <w:sz w:val="24"/>
          <w:szCs w:val="24"/>
        </w:rPr>
        <w:t>响应时间：</w:t>
      </w:r>
      <w:r>
        <w:rPr>
          <w:rFonts w:ascii="微软雅黑" w:hAnsi="微软雅黑" w:eastAsia="微软雅黑" w:cs="微软雅黑"/>
          <w:spacing w:val="-40"/>
          <w:sz w:val="24"/>
          <w:szCs w:val="24"/>
        </w:rPr>
        <w:t xml:space="preserve"> </w:t>
      </w:r>
      <w:r>
        <w:rPr>
          <w:rFonts w:ascii="微软雅黑" w:hAnsi="微软雅黑" w:eastAsia="微软雅黑" w:cs="微软雅黑"/>
          <w:spacing w:val="4"/>
          <w:sz w:val="24"/>
          <w:szCs w:val="24"/>
        </w:rPr>
        <w:t>投标人在投标书中必须明确承诺售后服务响应时间，</w:t>
      </w:r>
      <w:r>
        <w:rPr>
          <w:rFonts w:ascii="微软雅黑" w:hAnsi="微软雅黑" w:eastAsia="微软雅黑" w:cs="微软雅黑"/>
          <w:spacing w:val="-42"/>
          <w:sz w:val="24"/>
          <w:szCs w:val="24"/>
        </w:rPr>
        <w:t xml:space="preserve"> </w:t>
      </w:r>
      <w:r>
        <w:rPr>
          <w:rFonts w:ascii="微软雅黑" w:hAnsi="微软雅黑" w:eastAsia="微软雅黑" w:cs="微软雅黑"/>
          <w:spacing w:val="4"/>
          <w:sz w:val="24"/>
          <w:szCs w:val="24"/>
        </w:rPr>
        <w:t>须固定专人提供</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7*24 小时服务（包括法定节假日）。服务方式包含但不限于：7×24 小时电话、远程技术支持，</w:t>
      </w:r>
      <w:r>
        <w:rPr>
          <w:rFonts w:ascii="微软雅黑" w:hAnsi="微软雅黑" w:eastAsia="微软雅黑" w:cs="微软雅黑"/>
          <w:spacing w:val="16"/>
          <w:sz w:val="24"/>
          <w:szCs w:val="24"/>
        </w:rPr>
        <w:t xml:space="preserve"> </w:t>
      </w:r>
      <w:r>
        <w:rPr>
          <w:rFonts w:ascii="微软雅黑" w:hAnsi="微软雅黑" w:eastAsia="微软雅黑" w:cs="微软雅黑"/>
          <w:spacing w:val="-3"/>
          <w:sz w:val="24"/>
          <w:szCs w:val="24"/>
        </w:rPr>
        <w:t>上门支持等。如人员更换，需提前通知采购方。</w:t>
      </w:r>
    </w:p>
    <w:p w14:paraId="20F82B2E">
      <w:pPr>
        <w:spacing w:before="7" w:line="346" w:lineRule="auto"/>
        <w:ind w:left="45" w:right="79" w:firstLine="950"/>
        <w:rPr>
          <w:rFonts w:ascii="微软雅黑" w:hAnsi="微软雅黑" w:eastAsia="微软雅黑" w:cs="微软雅黑"/>
          <w:sz w:val="24"/>
          <w:szCs w:val="24"/>
        </w:rPr>
      </w:pPr>
      <w:r>
        <w:rPr>
          <w:rFonts w:ascii="微软雅黑" w:hAnsi="微软雅黑" w:eastAsia="微软雅黑" w:cs="微软雅黑"/>
          <w:spacing w:val="1"/>
          <w:sz w:val="24"/>
          <w:szCs w:val="24"/>
        </w:rPr>
        <w:t>4.项目培训要求：</w:t>
      </w:r>
      <w:r>
        <w:rPr>
          <w:rFonts w:ascii="微软雅黑" w:hAnsi="微软雅黑" w:eastAsia="微软雅黑" w:cs="微软雅黑"/>
          <w:spacing w:val="-37"/>
          <w:sz w:val="24"/>
          <w:szCs w:val="24"/>
        </w:rPr>
        <w:t xml:space="preserve"> </w:t>
      </w:r>
      <w:r>
        <w:rPr>
          <w:rFonts w:ascii="微软雅黑" w:hAnsi="微软雅黑" w:eastAsia="微软雅黑" w:cs="微软雅黑"/>
          <w:spacing w:val="1"/>
          <w:sz w:val="24"/>
          <w:szCs w:val="24"/>
        </w:rPr>
        <w:t>投标人应于服务期间提供专业人员现场技术培训，培训对象至少包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括系统管理员、业务管理人员、系统操作员，培训</w:t>
      </w:r>
      <w:r>
        <w:rPr>
          <w:rFonts w:ascii="微软雅黑" w:hAnsi="微软雅黑" w:eastAsia="微软雅黑" w:cs="微软雅黑"/>
          <w:sz w:val="24"/>
          <w:szCs w:val="24"/>
        </w:rPr>
        <w:t xml:space="preserve">效果应使系统使用人员熟练掌握系统操作技 </w:t>
      </w:r>
      <w:r>
        <w:rPr>
          <w:rFonts w:ascii="微软雅黑" w:hAnsi="微软雅黑" w:eastAsia="微软雅黑" w:cs="微软雅黑"/>
          <w:spacing w:val="-2"/>
          <w:sz w:val="24"/>
          <w:szCs w:val="24"/>
        </w:rPr>
        <w:t>能和日常维护技能；具体培训内容、培训时间和场地安排可另行约定。</w:t>
      </w:r>
    </w:p>
    <w:p w14:paraId="5B3D74AC">
      <w:pPr>
        <w:spacing w:before="5" w:line="187" w:lineRule="auto"/>
        <w:ind w:left="1002"/>
        <w:rPr>
          <w:rFonts w:ascii="微软雅黑" w:hAnsi="微软雅黑" w:eastAsia="微软雅黑" w:cs="微软雅黑"/>
          <w:sz w:val="24"/>
          <w:szCs w:val="24"/>
        </w:rPr>
      </w:pPr>
      <w:r>
        <w:rPr>
          <w:rFonts w:ascii="微软雅黑" w:hAnsi="微软雅黑" w:eastAsia="微软雅黑" w:cs="微软雅黑"/>
          <w:spacing w:val="-2"/>
          <w:sz w:val="24"/>
          <w:szCs w:val="24"/>
        </w:rPr>
        <w:t>5.项目验收合格后软件提供 3 年免费维保。</w:t>
      </w:r>
    </w:p>
    <w:p w14:paraId="24760BAB">
      <w:pPr>
        <w:spacing w:before="272" w:line="347" w:lineRule="auto"/>
        <w:ind w:left="44" w:firstLine="954"/>
        <w:rPr>
          <w:rFonts w:ascii="微软雅黑" w:hAnsi="微软雅黑" w:eastAsia="微软雅黑" w:cs="微软雅黑"/>
          <w:sz w:val="24"/>
          <w:szCs w:val="24"/>
        </w:rPr>
      </w:pPr>
      <w:r>
        <w:rPr>
          <w:rFonts w:ascii="微软雅黑" w:hAnsi="微软雅黑" w:eastAsia="微软雅黑" w:cs="微软雅黑"/>
          <w:spacing w:val="-1"/>
          <w:sz w:val="24"/>
          <w:szCs w:val="24"/>
        </w:rPr>
        <w:t>6.技术响应处理：</w:t>
      </w:r>
      <w:r>
        <w:rPr>
          <w:rFonts w:ascii="微软雅黑" w:hAnsi="微软雅黑" w:eastAsia="微软雅黑" w:cs="微软雅黑"/>
          <w:spacing w:val="-39"/>
          <w:sz w:val="24"/>
          <w:szCs w:val="24"/>
        </w:rPr>
        <w:t xml:space="preserve"> </w:t>
      </w:r>
      <w:r>
        <w:rPr>
          <w:rFonts w:ascii="微软雅黑" w:hAnsi="微软雅黑" w:eastAsia="微软雅黑" w:cs="微软雅黑"/>
          <w:spacing w:val="-1"/>
          <w:sz w:val="24"/>
          <w:szCs w:val="24"/>
        </w:rPr>
        <w:t>维保期内对于接到的采购方技术咨询、故障需求，保证</w:t>
      </w:r>
      <w:r>
        <w:rPr>
          <w:rFonts w:ascii="微软雅黑" w:hAnsi="微软雅黑" w:eastAsia="微软雅黑" w:cs="微软雅黑"/>
          <w:spacing w:val="63"/>
          <w:sz w:val="24"/>
          <w:szCs w:val="24"/>
        </w:rPr>
        <w:t xml:space="preserve"> </w:t>
      </w:r>
      <w:r>
        <w:rPr>
          <w:rFonts w:ascii="微软雅黑" w:hAnsi="微软雅黑" w:eastAsia="微软雅黑" w:cs="微软雅黑"/>
          <w:spacing w:val="-1"/>
          <w:sz w:val="24"/>
          <w:szCs w:val="24"/>
        </w:rPr>
        <w:t>20</w:t>
      </w:r>
      <w:r>
        <w:rPr>
          <w:rFonts w:ascii="微软雅黑" w:hAnsi="微软雅黑" w:eastAsia="微软雅黑" w:cs="微软雅黑"/>
          <w:spacing w:val="69"/>
          <w:sz w:val="24"/>
          <w:szCs w:val="24"/>
        </w:rPr>
        <w:t xml:space="preserve"> </w:t>
      </w:r>
      <w:r>
        <w:rPr>
          <w:rFonts w:ascii="微软雅黑" w:hAnsi="微软雅黑" w:eastAsia="微软雅黑" w:cs="微软雅黑"/>
          <w:spacing w:val="-1"/>
          <w:sz w:val="24"/>
          <w:szCs w:val="24"/>
        </w:rPr>
        <w:t>分钟内</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响应，</w:t>
      </w:r>
      <w:r>
        <w:rPr>
          <w:rFonts w:ascii="微软雅黑" w:hAnsi="微软雅黑" w:eastAsia="微软雅黑" w:cs="微软雅黑"/>
          <w:spacing w:val="-50"/>
          <w:sz w:val="24"/>
          <w:szCs w:val="24"/>
        </w:rPr>
        <w:t xml:space="preserve"> </w:t>
      </w:r>
      <w:r>
        <w:rPr>
          <w:rFonts w:ascii="微软雅黑" w:hAnsi="微软雅黑" w:eastAsia="微软雅黑" w:cs="微软雅黑"/>
          <w:spacing w:val="-3"/>
          <w:sz w:val="24"/>
          <w:szCs w:val="24"/>
        </w:rPr>
        <w:t>远程服务在 2 小时内提出解决方案并解决。其中，</w:t>
      </w:r>
      <w:r>
        <w:rPr>
          <w:rFonts w:ascii="微软雅黑" w:hAnsi="微软雅黑" w:eastAsia="微软雅黑" w:cs="微软雅黑"/>
          <w:spacing w:val="-51"/>
          <w:sz w:val="24"/>
          <w:szCs w:val="24"/>
        </w:rPr>
        <w:t xml:space="preserve"> </w:t>
      </w:r>
      <w:r>
        <w:rPr>
          <w:rFonts w:ascii="微软雅黑" w:hAnsi="微软雅黑" w:eastAsia="微软雅黑" w:cs="微软雅黑"/>
          <w:spacing w:val="-3"/>
          <w:sz w:val="24"/>
          <w:szCs w:val="24"/>
        </w:rPr>
        <w:t>远程无法解决的， 自收到采购方的服</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务请求后 24</w:t>
      </w:r>
      <w:r>
        <w:rPr>
          <w:rFonts w:ascii="微软雅黑" w:hAnsi="微软雅黑" w:eastAsia="微软雅黑" w:cs="微软雅黑"/>
          <w:spacing w:val="65"/>
          <w:sz w:val="24"/>
          <w:szCs w:val="24"/>
        </w:rPr>
        <w:t xml:space="preserve"> </w:t>
      </w:r>
      <w:r>
        <w:rPr>
          <w:rFonts w:ascii="微软雅黑" w:hAnsi="微软雅黑" w:eastAsia="微软雅黑" w:cs="微软雅黑"/>
          <w:spacing w:val="-3"/>
          <w:sz w:val="24"/>
          <w:szCs w:val="24"/>
        </w:rPr>
        <w:t>小时内抵达现场完成故障处理；如</w:t>
      </w:r>
      <w:r>
        <w:rPr>
          <w:rFonts w:ascii="微软雅黑" w:hAnsi="微软雅黑" w:eastAsia="微软雅黑" w:cs="微软雅黑"/>
          <w:spacing w:val="-4"/>
          <w:sz w:val="24"/>
          <w:szCs w:val="24"/>
        </w:rPr>
        <w:t>遇到重大技术问题，保证在 24</w:t>
      </w:r>
      <w:r>
        <w:rPr>
          <w:rFonts w:ascii="微软雅黑" w:hAnsi="微软雅黑" w:eastAsia="微软雅黑" w:cs="微软雅黑"/>
          <w:spacing w:val="65"/>
          <w:sz w:val="24"/>
          <w:szCs w:val="24"/>
        </w:rPr>
        <w:t xml:space="preserve"> </w:t>
      </w:r>
      <w:r>
        <w:rPr>
          <w:rFonts w:ascii="微软雅黑" w:hAnsi="微软雅黑" w:eastAsia="微软雅黑" w:cs="微软雅黑"/>
          <w:spacing w:val="-4"/>
          <w:sz w:val="24"/>
          <w:szCs w:val="24"/>
        </w:rPr>
        <w:t>小时内采取相应</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措施以确保恢复系统的正常运行。</w:t>
      </w:r>
    </w:p>
    <w:p w14:paraId="47482DD7">
      <w:pPr>
        <w:spacing w:before="6" w:line="346" w:lineRule="auto"/>
        <w:ind w:left="49" w:right="79" w:firstLine="953"/>
        <w:jc w:val="both"/>
        <w:rPr>
          <w:rFonts w:ascii="微软雅黑" w:hAnsi="微软雅黑" w:eastAsia="微软雅黑" w:cs="微软雅黑"/>
          <w:sz w:val="24"/>
          <w:szCs w:val="24"/>
        </w:rPr>
      </w:pPr>
      <w:r>
        <w:rPr>
          <w:rFonts w:ascii="微软雅黑" w:hAnsi="微软雅黑" w:eastAsia="微软雅黑" w:cs="微软雅黑"/>
          <w:sz w:val="24"/>
          <w:szCs w:val="24"/>
        </w:rPr>
        <w:t>7.现场巡检：</w:t>
      </w:r>
      <w:r>
        <w:rPr>
          <w:rFonts w:ascii="微软雅黑" w:hAnsi="微软雅黑" w:eastAsia="微软雅黑" w:cs="微软雅黑"/>
          <w:spacing w:val="-33"/>
          <w:sz w:val="24"/>
          <w:szCs w:val="24"/>
        </w:rPr>
        <w:t xml:space="preserve"> </w:t>
      </w:r>
      <w:r>
        <w:rPr>
          <w:rFonts w:ascii="微软雅黑" w:hAnsi="微软雅黑" w:eastAsia="微软雅黑" w:cs="微软雅黑"/>
          <w:sz w:val="24"/>
          <w:szCs w:val="24"/>
        </w:rPr>
        <w:t>维保期内，供应商须提供每季度不少于一次的现场巡检，</w:t>
      </w:r>
      <w:r>
        <w:rPr>
          <w:rFonts w:ascii="微软雅黑" w:hAnsi="微软雅黑" w:eastAsia="微软雅黑" w:cs="微软雅黑"/>
          <w:spacing w:val="-44"/>
          <w:sz w:val="24"/>
          <w:szCs w:val="24"/>
        </w:rPr>
        <w:t xml:space="preserve"> </w:t>
      </w:r>
      <w:r>
        <w:rPr>
          <w:rFonts w:ascii="微软雅黑" w:hAnsi="微软雅黑" w:eastAsia="微软雅黑" w:cs="微软雅黑"/>
          <w:sz w:val="24"/>
          <w:szCs w:val="24"/>
        </w:rPr>
        <w:t xml:space="preserve">每次巡检不少 </w:t>
      </w:r>
      <w:r>
        <w:rPr>
          <w:rFonts w:ascii="微软雅黑" w:hAnsi="微软雅黑" w:eastAsia="微软雅黑" w:cs="微软雅黑"/>
          <w:spacing w:val="-1"/>
          <w:sz w:val="24"/>
          <w:szCs w:val="24"/>
        </w:rPr>
        <w:t>于 3 天。巡检人员必须是原厂工程师。巡检期间现场收集解决问题和需求，巡检结束后提供书</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面巡检报告。期间技术服务人员的一切费用自理。</w:t>
      </w:r>
    </w:p>
    <w:p w14:paraId="686C84E1">
      <w:pPr>
        <w:spacing w:before="5" w:line="346" w:lineRule="auto"/>
        <w:ind w:left="46" w:right="80" w:firstLine="951"/>
        <w:rPr>
          <w:rFonts w:ascii="微软雅黑" w:hAnsi="微软雅黑" w:eastAsia="微软雅黑" w:cs="微软雅黑"/>
          <w:sz w:val="24"/>
          <w:szCs w:val="24"/>
        </w:rPr>
      </w:pPr>
      <w:r>
        <w:rPr>
          <w:rFonts w:ascii="微软雅黑" w:hAnsi="微软雅黑" w:eastAsia="微软雅黑" w:cs="微软雅黑"/>
          <w:spacing w:val="-1"/>
          <w:sz w:val="24"/>
          <w:szCs w:val="24"/>
        </w:rPr>
        <w:t>8.需求响应：</w:t>
      </w:r>
      <w:r>
        <w:rPr>
          <w:rFonts w:ascii="微软雅黑" w:hAnsi="微软雅黑" w:eastAsia="微软雅黑" w:cs="微软雅黑"/>
          <w:spacing w:val="-40"/>
          <w:sz w:val="24"/>
          <w:szCs w:val="24"/>
        </w:rPr>
        <w:t xml:space="preserve"> </w:t>
      </w:r>
      <w:r>
        <w:rPr>
          <w:rFonts w:ascii="微软雅黑" w:hAnsi="微软雅黑" w:eastAsia="微软雅黑" w:cs="微软雅黑"/>
          <w:spacing w:val="-1"/>
          <w:sz w:val="24"/>
          <w:szCs w:val="24"/>
        </w:rPr>
        <w:t>维保期内，</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采购方提出的合理合规的功能性需求，</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在 3 个工</w:t>
      </w:r>
      <w:r>
        <w:rPr>
          <w:rFonts w:ascii="微软雅黑" w:hAnsi="微软雅黑" w:eastAsia="微软雅黑" w:cs="微软雅黑"/>
          <w:spacing w:val="-2"/>
          <w:sz w:val="24"/>
          <w:szCs w:val="24"/>
        </w:rPr>
        <w:t>作日内响应</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解决。如需求无法实现，须出具正式的说明函。</w:t>
      </w:r>
    </w:p>
    <w:p w14:paraId="38CE0CBA">
      <w:pPr>
        <w:spacing w:before="4" w:line="346" w:lineRule="auto"/>
        <w:ind w:left="59" w:right="80" w:firstLine="939"/>
        <w:rPr>
          <w:rFonts w:ascii="微软雅黑" w:hAnsi="微软雅黑" w:eastAsia="微软雅黑" w:cs="微软雅黑"/>
          <w:sz w:val="24"/>
          <w:szCs w:val="24"/>
        </w:rPr>
      </w:pPr>
      <w:r>
        <w:rPr>
          <w:rFonts w:ascii="微软雅黑" w:hAnsi="微软雅黑" w:eastAsia="微软雅黑" w:cs="微软雅黑"/>
          <w:spacing w:val="-8"/>
          <w:sz w:val="24"/>
          <w:szCs w:val="24"/>
        </w:rPr>
        <w:t>9.本项目软件系统与医院信息系统（HIS</w:t>
      </w:r>
      <w:r>
        <w:rPr>
          <w:rFonts w:ascii="微软雅黑" w:hAnsi="微软雅黑" w:eastAsia="微软雅黑" w:cs="微软雅黑"/>
          <w:spacing w:val="-25"/>
          <w:sz w:val="24"/>
          <w:szCs w:val="24"/>
        </w:rPr>
        <w:t xml:space="preserve"> </w:t>
      </w:r>
      <w:r>
        <w:rPr>
          <w:rFonts w:ascii="微软雅黑" w:hAnsi="微软雅黑" w:eastAsia="微软雅黑" w:cs="微软雅黑"/>
          <w:spacing w:val="-8"/>
          <w:sz w:val="24"/>
          <w:szCs w:val="24"/>
        </w:rPr>
        <w:t>、EMR</w:t>
      </w:r>
      <w:r>
        <w:rPr>
          <w:rFonts w:ascii="微软雅黑" w:hAnsi="微软雅黑" w:eastAsia="微软雅黑" w:cs="微软雅黑"/>
          <w:spacing w:val="-35"/>
          <w:sz w:val="24"/>
          <w:szCs w:val="24"/>
        </w:rPr>
        <w:t xml:space="preserve"> </w:t>
      </w:r>
      <w:r>
        <w:rPr>
          <w:rFonts w:ascii="微软雅黑" w:hAnsi="微软雅黑" w:eastAsia="微软雅黑" w:cs="微软雅黑"/>
          <w:spacing w:val="-8"/>
          <w:sz w:val="24"/>
          <w:szCs w:val="24"/>
        </w:rPr>
        <w:t>、LIS</w:t>
      </w:r>
      <w:r>
        <w:rPr>
          <w:rFonts w:ascii="微软雅黑" w:hAnsi="微软雅黑" w:eastAsia="微软雅黑" w:cs="微软雅黑"/>
          <w:spacing w:val="-34"/>
          <w:sz w:val="24"/>
          <w:szCs w:val="24"/>
        </w:rPr>
        <w:t xml:space="preserve"> </w:t>
      </w:r>
      <w:r>
        <w:rPr>
          <w:rFonts w:ascii="微软雅黑" w:hAnsi="微软雅黑" w:eastAsia="微软雅黑" w:cs="微软雅黑"/>
          <w:spacing w:val="-8"/>
          <w:sz w:val="24"/>
          <w:szCs w:val="24"/>
        </w:rPr>
        <w:t>、PACS 和集成平台）</w:t>
      </w:r>
      <w:r>
        <w:rPr>
          <w:rFonts w:ascii="微软雅黑" w:hAnsi="微软雅黑" w:eastAsia="微软雅黑" w:cs="微软雅黑"/>
          <w:spacing w:val="-47"/>
          <w:sz w:val="24"/>
          <w:szCs w:val="24"/>
        </w:rPr>
        <w:t xml:space="preserve"> </w:t>
      </w:r>
      <w:r>
        <w:rPr>
          <w:rFonts w:ascii="微软雅黑" w:hAnsi="微软雅黑" w:eastAsia="微软雅黑" w:cs="微软雅黑"/>
          <w:spacing w:val="-8"/>
          <w:sz w:val="24"/>
          <w:szCs w:val="24"/>
        </w:rPr>
        <w:t>对接，</w:t>
      </w:r>
      <w:r>
        <w:rPr>
          <w:rFonts w:ascii="微软雅黑" w:hAnsi="微软雅黑" w:eastAsia="微软雅黑" w:cs="微软雅黑"/>
          <w:spacing w:val="-40"/>
          <w:sz w:val="24"/>
          <w:szCs w:val="24"/>
        </w:rPr>
        <w:t xml:space="preserve"> </w:t>
      </w:r>
      <w:r>
        <w:rPr>
          <w:rFonts w:ascii="微软雅黑" w:hAnsi="微软雅黑" w:eastAsia="微软雅黑" w:cs="微软雅黑"/>
          <w:spacing w:val="-8"/>
          <w:sz w:val="24"/>
          <w:szCs w:val="24"/>
        </w:rPr>
        <w:t>与医</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院其他第三方软件、硬件对接，所产生的费用均由中</w:t>
      </w:r>
      <w:r>
        <w:rPr>
          <w:rFonts w:ascii="微软雅黑" w:hAnsi="微软雅黑" w:eastAsia="微软雅黑" w:cs="微软雅黑"/>
          <w:spacing w:val="-3"/>
          <w:sz w:val="24"/>
          <w:szCs w:val="24"/>
        </w:rPr>
        <w:t>标方承担。</w:t>
      </w:r>
    </w:p>
    <w:p w14:paraId="4C88EBD6">
      <w:pPr>
        <w:spacing w:before="5" w:line="188" w:lineRule="auto"/>
        <w:ind w:left="1015"/>
        <w:rPr>
          <w:rFonts w:ascii="微软雅黑" w:hAnsi="微软雅黑" w:eastAsia="微软雅黑" w:cs="微软雅黑"/>
          <w:sz w:val="24"/>
          <w:szCs w:val="24"/>
        </w:rPr>
      </w:pPr>
      <w:r>
        <w:rPr>
          <w:rFonts w:ascii="微软雅黑" w:hAnsi="微软雅黑" w:eastAsia="微软雅黑" w:cs="微软雅黑"/>
          <w:spacing w:val="-4"/>
          <w:sz w:val="24"/>
          <w:szCs w:val="24"/>
        </w:rPr>
        <w:t>10.免费维保结束后维保费不超过合同费用的 7%。</w:t>
      </w:r>
    </w:p>
    <w:p w14:paraId="1ED1E4B6">
      <w:pPr>
        <w:spacing w:before="274" w:line="187" w:lineRule="auto"/>
        <w:ind w:left="1015"/>
        <w:rPr>
          <w:rFonts w:ascii="微软雅黑" w:hAnsi="微软雅黑" w:eastAsia="微软雅黑" w:cs="微软雅黑"/>
          <w:sz w:val="24"/>
          <w:szCs w:val="24"/>
        </w:rPr>
      </w:pPr>
      <w:r>
        <w:rPr>
          <w:rFonts w:ascii="微软雅黑" w:hAnsi="微软雅黑" w:eastAsia="微软雅黑" w:cs="微软雅黑"/>
          <w:spacing w:val="-1"/>
          <w:sz w:val="24"/>
          <w:szCs w:val="24"/>
        </w:rPr>
        <w:t>11.后期医院第三方软件、硬件与本项目软件对接，本软件接口免费</w:t>
      </w:r>
      <w:r>
        <w:rPr>
          <w:rFonts w:ascii="微软雅黑" w:hAnsi="微软雅黑" w:eastAsia="微软雅黑" w:cs="微软雅黑"/>
          <w:spacing w:val="-2"/>
          <w:sz w:val="24"/>
          <w:szCs w:val="24"/>
        </w:rPr>
        <w:t>开放。</w:t>
      </w:r>
    </w:p>
    <w:p w14:paraId="320B7154">
      <w:pPr>
        <w:spacing w:before="275" w:line="346" w:lineRule="auto"/>
        <w:ind w:left="45" w:right="49" w:firstLine="969"/>
        <w:rPr>
          <w:rFonts w:ascii="微软雅黑" w:hAnsi="微软雅黑" w:eastAsia="微软雅黑" w:cs="微软雅黑"/>
          <w:sz w:val="24"/>
          <w:szCs w:val="24"/>
        </w:rPr>
      </w:pPr>
      <w:r>
        <w:rPr>
          <w:rFonts w:ascii="微软雅黑" w:hAnsi="微软雅黑" w:eastAsia="微软雅黑" w:cs="微软雅黑"/>
          <w:spacing w:val="-1"/>
          <w:sz w:val="24"/>
          <w:szCs w:val="24"/>
        </w:rPr>
        <w:t>12.软件系统需满足五级电子病历要求，并配</w:t>
      </w:r>
      <w:r>
        <w:rPr>
          <w:rFonts w:ascii="微软雅黑" w:hAnsi="微软雅黑" w:eastAsia="微软雅黑" w:cs="微软雅黑"/>
          <w:spacing w:val="-2"/>
          <w:sz w:val="24"/>
          <w:szCs w:val="24"/>
        </w:rPr>
        <w:t>合医院完成五级电子病历评级相关工作，</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满足三级医院评审标准。</w:t>
      </w:r>
    </w:p>
    <w:p w14:paraId="594645A4">
      <w:pPr>
        <w:spacing w:before="32" w:line="223" w:lineRule="auto"/>
        <w:ind w:left="317"/>
        <w:rPr>
          <w:rFonts w:ascii="楷体" w:hAnsi="楷体" w:eastAsia="楷体" w:cs="楷体"/>
          <w:sz w:val="28"/>
          <w:szCs w:val="28"/>
        </w:rPr>
      </w:pPr>
      <w:r>
        <w:rPr>
          <w:rFonts w:ascii="楷体" w:hAnsi="楷体" w:eastAsia="楷体" w:cs="楷体"/>
          <w:b/>
          <w:bCs/>
          <w:spacing w:val="-7"/>
          <w:sz w:val="28"/>
          <w:szCs w:val="28"/>
        </w:rPr>
        <w:t>21.4</w:t>
      </w:r>
      <w:r>
        <w:rPr>
          <w:rFonts w:ascii="楷体" w:hAnsi="楷体" w:eastAsia="楷体" w:cs="楷体"/>
          <w:spacing w:val="-7"/>
          <w:sz w:val="28"/>
          <w:szCs w:val="28"/>
        </w:rPr>
        <w:t xml:space="preserve"> </w:t>
      </w:r>
      <w:r>
        <w:rPr>
          <w:rFonts w:ascii="楷体" w:hAnsi="楷体" w:eastAsia="楷体" w:cs="楷体"/>
          <w:b/>
          <w:bCs/>
          <w:spacing w:val="-7"/>
          <w:sz w:val="28"/>
          <w:szCs w:val="28"/>
        </w:rPr>
        <w:t>PACS</w:t>
      </w:r>
      <w:r>
        <w:rPr>
          <w:rFonts w:ascii="楷体" w:hAnsi="楷体" w:eastAsia="楷体" w:cs="楷体"/>
          <w:spacing w:val="-7"/>
          <w:sz w:val="28"/>
          <w:szCs w:val="28"/>
        </w:rPr>
        <w:t xml:space="preserve"> </w:t>
      </w:r>
      <w:r>
        <w:rPr>
          <w:rFonts w:ascii="楷体" w:hAnsi="楷体" w:eastAsia="楷体" w:cs="楷体"/>
          <w:b/>
          <w:bCs/>
          <w:spacing w:val="-7"/>
          <w:sz w:val="28"/>
          <w:szCs w:val="28"/>
        </w:rPr>
        <w:t>系统升级改造项目</w:t>
      </w:r>
    </w:p>
    <w:p w14:paraId="12E3663F">
      <w:pPr>
        <w:pStyle w:val="2"/>
        <w:spacing w:line="292" w:lineRule="auto"/>
      </w:pPr>
    </w:p>
    <w:p w14:paraId="20F9D636">
      <w:pPr>
        <w:pStyle w:val="2"/>
        <w:spacing w:line="293" w:lineRule="auto"/>
      </w:pPr>
    </w:p>
    <w:p w14:paraId="4D0ED2A4">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81                                </w:t>
      </w:r>
      <w:r>
        <w:rPr>
          <w:rFonts w:ascii="宋体" w:hAnsi="宋体" w:eastAsia="宋体" w:cs="宋体"/>
          <w:b/>
          <w:bCs/>
          <w:i/>
          <w:iCs/>
          <w:spacing w:val="-3"/>
          <w:sz w:val="19"/>
          <w:szCs w:val="19"/>
        </w:rPr>
        <w:t>伊犁州公共资源交易中心</w:t>
      </w:r>
    </w:p>
    <w:p w14:paraId="58E26271">
      <w:pPr>
        <w:spacing w:line="160" w:lineRule="auto"/>
        <w:rPr>
          <w:rFonts w:ascii="宋体" w:hAnsi="宋体" w:eastAsia="宋体" w:cs="宋体"/>
          <w:sz w:val="19"/>
          <w:szCs w:val="19"/>
        </w:rPr>
        <w:sectPr>
          <w:pgSz w:w="11905" w:h="16839"/>
          <w:pgMar w:top="1136" w:right="779" w:bottom="937" w:left="1136" w:header="854" w:footer="923" w:gutter="0"/>
          <w:cols w:space="720" w:num="1"/>
        </w:sectPr>
      </w:pPr>
    </w:p>
    <w:p w14:paraId="531C09A7">
      <w:pPr>
        <w:pStyle w:val="2"/>
        <w:spacing w:line="353" w:lineRule="auto"/>
      </w:pPr>
    </w:p>
    <w:p w14:paraId="21F651E4">
      <w:pPr>
        <w:spacing w:before="103" w:line="346" w:lineRule="auto"/>
        <w:ind w:left="45" w:right="9" w:firstLine="969"/>
        <w:rPr>
          <w:rFonts w:ascii="微软雅黑" w:hAnsi="微软雅黑" w:eastAsia="微软雅黑" w:cs="微软雅黑"/>
          <w:sz w:val="24"/>
          <w:szCs w:val="24"/>
        </w:rPr>
      </w:pPr>
      <w:r>
        <w:rPr>
          <w:rFonts w:ascii="微软雅黑" w:hAnsi="微软雅黑" w:eastAsia="微软雅黑" w:cs="微软雅黑"/>
          <w:spacing w:val="-3"/>
          <w:sz w:val="24"/>
          <w:szCs w:val="24"/>
        </w:rPr>
        <w:t>1.投标人需承诺提供的是软件最新版本，项目实施必须是现场实施，不提供远程服务，</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软件实施由原厂工程师实施。如有新版本提供免费升级。</w:t>
      </w:r>
    </w:p>
    <w:p w14:paraId="3DFB079E">
      <w:pPr>
        <w:spacing w:before="5" w:line="188" w:lineRule="auto"/>
        <w:ind w:left="1000"/>
        <w:rPr>
          <w:rFonts w:ascii="微软雅黑" w:hAnsi="微软雅黑" w:eastAsia="微软雅黑" w:cs="微软雅黑"/>
          <w:sz w:val="24"/>
          <w:szCs w:val="24"/>
        </w:rPr>
      </w:pPr>
      <w:r>
        <w:rPr>
          <w:rFonts w:ascii="微软雅黑" w:hAnsi="微软雅黑" w:eastAsia="微软雅黑" w:cs="微软雅黑"/>
          <w:sz w:val="24"/>
          <w:szCs w:val="24"/>
        </w:rPr>
        <w:t>2.软件授权必须是永久授权。</w:t>
      </w:r>
    </w:p>
    <w:p w14:paraId="479C8E91">
      <w:pPr>
        <w:spacing w:before="272" w:line="346" w:lineRule="auto"/>
        <w:ind w:left="74" w:right="80" w:firstLine="928"/>
        <w:rPr>
          <w:rFonts w:ascii="微软雅黑" w:hAnsi="微软雅黑" w:eastAsia="微软雅黑" w:cs="微软雅黑"/>
          <w:sz w:val="24"/>
          <w:szCs w:val="24"/>
        </w:rPr>
      </w:pPr>
      <w:r>
        <w:rPr>
          <w:rFonts w:ascii="微软雅黑" w:hAnsi="微软雅黑" w:eastAsia="微软雅黑" w:cs="微软雅黑"/>
          <w:spacing w:val="1"/>
          <w:sz w:val="24"/>
          <w:szCs w:val="24"/>
        </w:rPr>
        <w:t>3.项目实施期间须对医院所有涉及系统使用的在院人员进行培训，</w:t>
      </w:r>
      <w:r>
        <w:rPr>
          <w:rFonts w:ascii="微软雅黑" w:hAnsi="微软雅黑" w:eastAsia="微软雅黑" w:cs="微软雅黑"/>
          <w:spacing w:val="-43"/>
          <w:sz w:val="24"/>
          <w:szCs w:val="24"/>
        </w:rPr>
        <w:t xml:space="preserve"> </w:t>
      </w:r>
      <w:r>
        <w:rPr>
          <w:rFonts w:ascii="微软雅黑" w:hAnsi="微软雅黑" w:eastAsia="微软雅黑" w:cs="微软雅黑"/>
          <w:spacing w:val="1"/>
          <w:sz w:val="24"/>
          <w:szCs w:val="24"/>
        </w:rPr>
        <w:t>后期对医院进修返</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回或新入人员进行现场或远程培训指导。</w:t>
      </w:r>
    </w:p>
    <w:p w14:paraId="1D43ACBF">
      <w:pPr>
        <w:spacing w:before="4" w:line="344" w:lineRule="auto"/>
        <w:ind w:left="43" w:right="140" w:firstLine="953"/>
        <w:rPr>
          <w:rFonts w:ascii="微软雅黑" w:hAnsi="微软雅黑" w:eastAsia="微软雅黑" w:cs="微软雅黑"/>
          <w:sz w:val="24"/>
          <w:szCs w:val="24"/>
        </w:rPr>
      </w:pPr>
      <w:r>
        <w:rPr>
          <w:rFonts w:ascii="微软雅黑" w:hAnsi="微软雅黑" w:eastAsia="微软雅黑" w:cs="微软雅黑"/>
          <w:spacing w:val="4"/>
          <w:sz w:val="24"/>
          <w:szCs w:val="24"/>
        </w:rPr>
        <w:t>4.</w:t>
      </w:r>
      <w:r>
        <w:rPr>
          <w:rFonts w:ascii="微软雅黑" w:hAnsi="微软雅黑" w:eastAsia="微软雅黑" w:cs="微软雅黑"/>
          <w:spacing w:val="-26"/>
          <w:sz w:val="24"/>
          <w:szCs w:val="24"/>
        </w:rPr>
        <w:t xml:space="preserve"> </w:t>
      </w:r>
      <w:r>
        <w:rPr>
          <w:rFonts w:ascii="微软雅黑" w:hAnsi="微软雅黑" w:eastAsia="微软雅黑" w:cs="微软雅黑"/>
          <w:spacing w:val="4"/>
          <w:sz w:val="24"/>
          <w:szCs w:val="24"/>
        </w:rPr>
        <w:t>响应时间：</w:t>
      </w:r>
      <w:r>
        <w:rPr>
          <w:rFonts w:ascii="微软雅黑" w:hAnsi="微软雅黑" w:eastAsia="微软雅黑" w:cs="微软雅黑"/>
          <w:spacing w:val="-41"/>
          <w:sz w:val="24"/>
          <w:szCs w:val="24"/>
        </w:rPr>
        <w:t xml:space="preserve"> </w:t>
      </w:r>
      <w:r>
        <w:rPr>
          <w:rFonts w:ascii="微软雅黑" w:hAnsi="微软雅黑" w:eastAsia="微软雅黑" w:cs="微软雅黑"/>
          <w:spacing w:val="4"/>
          <w:sz w:val="24"/>
          <w:szCs w:val="24"/>
        </w:rPr>
        <w:t>投标人在投标书中必须明确承诺售后服务响应时间，</w:t>
      </w:r>
      <w:r>
        <w:rPr>
          <w:rFonts w:ascii="微软雅黑" w:hAnsi="微软雅黑" w:eastAsia="微软雅黑" w:cs="微软雅黑"/>
          <w:spacing w:val="-42"/>
          <w:sz w:val="24"/>
          <w:szCs w:val="24"/>
        </w:rPr>
        <w:t xml:space="preserve"> </w:t>
      </w:r>
      <w:r>
        <w:rPr>
          <w:rFonts w:ascii="微软雅黑" w:hAnsi="微软雅黑" w:eastAsia="微软雅黑" w:cs="微软雅黑"/>
          <w:spacing w:val="4"/>
          <w:sz w:val="24"/>
          <w:szCs w:val="24"/>
        </w:rPr>
        <w:t>须固定专人提供</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7*24 小时服务（包括法定节假日）。</w:t>
      </w:r>
    </w:p>
    <w:p w14:paraId="48574ADB">
      <w:pPr>
        <w:spacing w:before="13" w:line="187" w:lineRule="auto"/>
        <w:ind w:left="1002"/>
        <w:rPr>
          <w:rFonts w:ascii="微软雅黑" w:hAnsi="微软雅黑" w:eastAsia="微软雅黑" w:cs="微软雅黑"/>
          <w:sz w:val="24"/>
          <w:szCs w:val="24"/>
        </w:rPr>
      </w:pPr>
      <w:r>
        <w:rPr>
          <w:rFonts w:ascii="微软雅黑" w:hAnsi="微软雅黑" w:eastAsia="微软雅黑" w:cs="微软雅黑"/>
          <w:spacing w:val="-2"/>
          <w:sz w:val="24"/>
          <w:szCs w:val="24"/>
        </w:rPr>
        <w:t>5.项目验收合格后软件提供 3 年免费维保。</w:t>
      </w:r>
    </w:p>
    <w:p w14:paraId="6768A0D9">
      <w:pPr>
        <w:spacing w:before="276" w:line="346" w:lineRule="auto"/>
        <w:ind w:left="45" w:right="79" w:firstLine="953"/>
        <w:rPr>
          <w:rFonts w:ascii="微软雅黑" w:hAnsi="微软雅黑" w:eastAsia="微软雅黑" w:cs="微软雅黑"/>
          <w:sz w:val="24"/>
          <w:szCs w:val="24"/>
        </w:rPr>
      </w:pPr>
      <w:r>
        <w:rPr>
          <w:rFonts w:ascii="微软雅黑" w:hAnsi="微软雅黑" w:eastAsia="微软雅黑" w:cs="微软雅黑"/>
          <w:spacing w:val="-1"/>
          <w:sz w:val="24"/>
          <w:szCs w:val="24"/>
        </w:rPr>
        <w:t>6.技术客服人员：</w:t>
      </w:r>
      <w:r>
        <w:rPr>
          <w:rFonts w:ascii="微软雅黑" w:hAnsi="微软雅黑" w:eastAsia="微软雅黑" w:cs="微软雅黑"/>
          <w:spacing w:val="-40"/>
          <w:sz w:val="24"/>
          <w:szCs w:val="24"/>
        </w:rPr>
        <w:t xml:space="preserve"> </w:t>
      </w:r>
      <w:r>
        <w:rPr>
          <w:rFonts w:ascii="微软雅黑" w:hAnsi="微软雅黑" w:eastAsia="微软雅黑" w:cs="微软雅黑"/>
          <w:spacing w:val="-1"/>
          <w:sz w:val="24"/>
          <w:szCs w:val="24"/>
        </w:rPr>
        <w:t>维保期内投标人选派 1 名经验丰富的工程师，</w:t>
      </w:r>
      <w:r>
        <w:rPr>
          <w:rFonts w:ascii="微软雅黑" w:hAnsi="微软雅黑" w:eastAsia="微软雅黑" w:cs="微软雅黑"/>
          <w:spacing w:val="-28"/>
          <w:sz w:val="24"/>
          <w:szCs w:val="24"/>
        </w:rPr>
        <w:t xml:space="preserve"> </w:t>
      </w:r>
      <w:r>
        <w:rPr>
          <w:rFonts w:ascii="微软雅黑" w:hAnsi="微软雅黑" w:eastAsia="微软雅黑" w:cs="微软雅黑"/>
          <w:spacing w:val="-1"/>
          <w:sz w:val="24"/>
          <w:szCs w:val="24"/>
        </w:rPr>
        <w:t>以</w:t>
      </w:r>
      <w:r>
        <w:rPr>
          <w:rFonts w:ascii="微软雅黑" w:hAnsi="微软雅黑" w:eastAsia="微软雅黑" w:cs="微软雅黑"/>
          <w:spacing w:val="-2"/>
          <w:sz w:val="24"/>
          <w:szCs w:val="24"/>
        </w:rPr>
        <w:t>常驻采购方现场的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方式提供服务，</w:t>
      </w:r>
      <w:r>
        <w:rPr>
          <w:rFonts w:ascii="微软雅黑" w:hAnsi="微软雅黑" w:eastAsia="微软雅黑" w:cs="微软雅黑"/>
          <w:spacing w:val="-33"/>
          <w:sz w:val="24"/>
          <w:szCs w:val="24"/>
        </w:rPr>
        <w:t xml:space="preserve"> </w:t>
      </w:r>
      <w:r>
        <w:rPr>
          <w:rFonts w:ascii="微软雅黑" w:hAnsi="微软雅黑" w:eastAsia="微软雅黑" w:cs="微软雅黑"/>
          <w:spacing w:val="-1"/>
          <w:sz w:val="24"/>
          <w:szCs w:val="24"/>
        </w:rPr>
        <w:t>随时响应并解决采购方的需求，</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不得随意更换驻场人员。驻场时间为半年，驻</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场期间服务人员的一切费用自理。</w:t>
      </w:r>
    </w:p>
    <w:p w14:paraId="69164078">
      <w:pPr>
        <w:spacing w:before="4" w:line="347" w:lineRule="auto"/>
        <w:ind w:left="44" w:firstLine="958"/>
        <w:jc w:val="both"/>
        <w:rPr>
          <w:rFonts w:ascii="微软雅黑" w:hAnsi="微软雅黑" w:eastAsia="微软雅黑" w:cs="微软雅黑"/>
          <w:sz w:val="24"/>
          <w:szCs w:val="24"/>
        </w:rPr>
      </w:pPr>
      <w:r>
        <w:rPr>
          <w:rFonts w:ascii="微软雅黑" w:hAnsi="微软雅黑" w:eastAsia="微软雅黑" w:cs="微软雅黑"/>
          <w:spacing w:val="-1"/>
          <w:sz w:val="24"/>
          <w:szCs w:val="24"/>
        </w:rPr>
        <w:t>7.技术响应处理：</w:t>
      </w:r>
      <w:r>
        <w:rPr>
          <w:rFonts w:ascii="微软雅黑" w:hAnsi="微软雅黑" w:eastAsia="微软雅黑" w:cs="微软雅黑"/>
          <w:spacing w:val="-40"/>
          <w:sz w:val="24"/>
          <w:szCs w:val="24"/>
        </w:rPr>
        <w:t xml:space="preserve"> </w:t>
      </w:r>
      <w:r>
        <w:rPr>
          <w:rFonts w:ascii="微软雅黑" w:hAnsi="微软雅黑" w:eastAsia="微软雅黑" w:cs="微软雅黑"/>
          <w:spacing w:val="-1"/>
          <w:sz w:val="24"/>
          <w:szCs w:val="24"/>
        </w:rPr>
        <w:t>维保期内对于接到的采购方技术咨询、故障需求，保证</w:t>
      </w:r>
      <w:r>
        <w:rPr>
          <w:rFonts w:ascii="微软雅黑" w:hAnsi="微软雅黑" w:eastAsia="微软雅黑" w:cs="微软雅黑"/>
          <w:spacing w:val="62"/>
          <w:sz w:val="24"/>
          <w:szCs w:val="24"/>
        </w:rPr>
        <w:t xml:space="preserve"> </w:t>
      </w:r>
      <w:r>
        <w:rPr>
          <w:rFonts w:ascii="微软雅黑" w:hAnsi="微软雅黑" w:eastAsia="微软雅黑" w:cs="微软雅黑"/>
          <w:spacing w:val="-1"/>
          <w:sz w:val="24"/>
          <w:szCs w:val="24"/>
        </w:rPr>
        <w:t>20</w:t>
      </w:r>
      <w:r>
        <w:rPr>
          <w:rFonts w:ascii="微软雅黑" w:hAnsi="微软雅黑" w:eastAsia="微软雅黑" w:cs="微软雅黑"/>
          <w:spacing w:val="69"/>
          <w:sz w:val="24"/>
          <w:szCs w:val="24"/>
        </w:rPr>
        <w:t xml:space="preserve"> </w:t>
      </w:r>
      <w:r>
        <w:rPr>
          <w:rFonts w:ascii="微软雅黑" w:hAnsi="微软雅黑" w:eastAsia="微软雅黑" w:cs="微软雅黑"/>
          <w:spacing w:val="-1"/>
          <w:sz w:val="24"/>
          <w:szCs w:val="24"/>
        </w:rPr>
        <w:t>分</w:t>
      </w:r>
      <w:r>
        <w:rPr>
          <w:rFonts w:ascii="微软雅黑" w:hAnsi="微软雅黑" w:eastAsia="微软雅黑" w:cs="微软雅黑"/>
          <w:spacing w:val="-2"/>
          <w:sz w:val="24"/>
          <w:szCs w:val="24"/>
        </w:rPr>
        <w:t>钟内</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响应，</w:t>
      </w:r>
      <w:r>
        <w:rPr>
          <w:rFonts w:ascii="微软雅黑" w:hAnsi="微软雅黑" w:eastAsia="微软雅黑" w:cs="微软雅黑"/>
          <w:spacing w:val="-50"/>
          <w:sz w:val="24"/>
          <w:szCs w:val="24"/>
        </w:rPr>
        <w:t xml:space="preserve"> </w:t>
      </w:r>
      <w:r>
        <w:rPr>
          <w:rFonts w:ascii="微软雅黑" w:hAnsi="微软雅黑" w:eastAsia="微软雅黑" w:cs="微软雅黑"/>
          <w:spacing w:val="-3"/>
          <w:sz w:val="24"/>
          <w:szCs w:val="24"/>
        </w:rPr>
        <w:t>远程服务在 2 小时内提出解决方案并解决。其中，</w:t>
      </w:r>
      <w:r>
        <w:rPr>
          <w:rFonts w:ascii="微软雅黑" w:hAnsi="微软雅黑" w:eastAsia="微软雅黑" w:cs="微软雅黑"/>
          <w:spacing w:val="-51"/>
          <w:sz w:val="24"/>
          <w:szCs w:val="24"/>
        </w:rPr>
        <w:t xml:space="preserve"> </w:t>
      </w:r>
      <w:r>
        <w:rPr>
          <w:rFonts w:ascii="微软雅黑" w:hAnsi="微软雅黑" w:eastAsia="微软雅黑" w:cs="微软雅黑"/>
          <w:spacing w:val="-3"/>
          <w:sz w:val="24"/>
          <w:szCs w:val="24"/>
        </w:rPr>
        <w:t>远程无法解决的， 自收到采购方的服</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务请求后 24</w:t>
      </w:r>
      <w:r>
        <w:rPr>
          <w:rFonts w:ascii="微软雅黑" w:hAnsi="微软雅黑" w:eastAsia="微软雅黑" w:cs="微软雅黑"/>
          <w:spacing w:val="65"/>
          <w:sz w:val="24"/>
          <w:szCs w:val="24"/>
        </w:rPr>
        <w:t xml:space="preserve"> </w:t>
      </w:r>
      <w:r>
        <w:rPr>
          <w:rFonts w:ascii="微软雅黑" w:hAnsi="微软雅黑" w:eastAsia="微软雅黑" w:cs="微软雅黑"/>
          <w:spacing w:val="-3"/>
          <w:sz w:val="24"/>
          <w:szCs w:val="24"/>
        </w:rPr>
        <w:t>小时内抵达现场完成故障处理；如</w:t>
      </w:r>
      <w:r>
        <w:rPr>
          <w:rFonts w:ascii="微软雅黑" w:hAnsi="微软雅黑" w:eastAsia="微软雅黑" w:cs="微软雅黑"/>
          <w:spacing w:val="-4"/>
          <w:sz w:val="24"/>
          <w:szCs w:val="24"/>
        </w:rPr>
        <w:t>遇到重大技术问题，保证在 24</w:t>
      </w:r>
      <w:r>
        <w:rPr>
          <w:rFonts w:ascii="微软雅黑" w:hAnsi="微软雅黑" w:eastAsia="微软雅黑" w:cs="微软雅黑"/>
          <w:spacing w:val="65"/>
          <w:sz w:val="24"/>
          <w:szCs w:val="24"/>
        </w:rPr>
        <w:t xml:space="preserve"> </w:t>
      </w:r>
      <w:r>
        <w:rPr>
          <w:rFonts w:ascii="微软雅黑" w:hAnsi="微软雅黑" w:eastAsia="微软雅黑" w:cs="微软雅黑"/>
          <w:spacing w:val="-4"/>
          <w:sz w:val="24"/>
          <w:szCs w:val="24"/>
        </w:rPr>
        <w:t>小时内采取相应</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措施以确保恢复系统的正常运行。</w:t>
      </w:r>
    </w:p>
    <w:p w14:paraId="25BA3B31">
      <w:pPr>
        <w:spacing w:before="6" w:line="346" w:lineRule="auto"/>
        <w:ind w:left="49" w:right="79" w:firstLine="948"/>
        <w:jc w:val="both"/>
        <w:rPr>
          <w:rFonts w:ascii="微软雅黑" w:hAnsi="微软雅黑" w:eastAsia="微软雅黑" w:cs="微软雅黑"/>
          <w:sz w:val="24"/>
          <w:szCs w:val="24"/>
        </w:rPr>
      </w:pPr>
      <w:r>
        <w:rPr>
          <w:rFonts w:ascii="微软雅黑" w:hAnsi="微软雅黑" w:eastAsia="微软雅黑" w:cs="微软雅黑"/>
          <w:sz w:val="24"/>
          <w:szCs w:val="24"/>
        </w:rPr>
        <w:t>8.现场巡检：</w:t>
      </w:r>
      <w:r>
        <w:rPr>
          <w:rFonts w:ascii="微软雅黑" w:hAnsi="微软雅黑" w:eastAsia="微软雅黑" w:cs="微软雅黑"/>
          <w:spacing w:val="-29"/>
          <w:sz w:val="24"/>
          <w:szCs w:val="24"/>
        </w:rPr>
        <w:t xml:space="preserve"> </w:t>
      </w:r>
      <w:r>
        <w:rPr>
          <w:rFonts w:ascii="微软雅黑" w:hAnsi="微软雅黑" w:eastAsia="微软雅黑" w:cs="微软雅黑"/>
          <w:sz w:val="24"/>
          <w:szCs w:val="24"/>
        </w:rPr>
        <w:t>维保期内，供应商须提供每季度不少于一次的现场巡检，</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 xml:space="preserve">每次巡检不少 </w:t>
      </w:r>
      <w:r>
        <w:rPr>
          <w:rFonts w:ascii="微软雅黑" w:hAnsi="微软雅黑" w:eastAsia="微软雅黑" w:cs="微软雅黑"/>
          <w:spacing w:val="-1"/>
          <w:sz w:val="24"/>
          <w:szCs w:val="24"/>
        </w:rPr>
        <w:t>于 3 天。巡检人员必须是原厂工程师。巡检期间现场收集解决问题和需求，巡检结束后提供书</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面巡检报告。期间技术服务人员的一切费用自理。</w:t>
      </w:r>
    </w:p>
    <w:p w14:paraId="58D51A07">
      <w:pPr>
        <w:spacing w:before="5" w:line="346" w:lineRule="auto"/>
        <w:ind w:left="46" w:right="80" w:firstLine="951"/>
        <w:rPr>
          <w:rFonts w:ascii="微软雅黑" w:hAnsi="微软雅黑" w:eastAsia="微软雅黑" w:cs="微软雅黑"/>
          <w:sz w:val="24"/>
          <w:szCs w:val="24"/>
        </w:rPr>
      </w:pPr>
      <w:r>
        <w:rPr>
          <w:rFonts w:ascii="微软雅黑" w:hAnsi="微软雅黑" w:eastAsia="微软雅黑" w:cs="微软雅黑"/>
          <w:spacing w:val="-1"/>
          <w:sz w:val="24"/>
          <w:szCs w:val="24"/>
        </w:rPr>
        <w:t>9.需求响应：</w:t>
      </w:r>
      <w:r>
        <w:rPr>
          <w:rFonts w:ascii="微软雅黑" w:hAnsi="微软雅黑" w:eastAsia="微软雅黑" w:cs="微软雅黑"/>
          <w:spacing w:val="-40"/>
          <w:sz w:val="24"/>
          <w:szCs w:val="24"/>
        </w:rPr>
        <w:t xml:space="preserve"> </w:t>
      </w:r>
      <w:r>
        <w:rPr>
          <w:rFonts w:ascii="微软雅黑" w:hAnsi="微软雅黑" w:eastAsia="微软雅黑" w:cs="微软雅黑"/>
          <w:spacing w:val="-1"/>
          <w:sz w:val="24"/>
          <w:szCs w:val="24"/>
        </w:rPr>
        <w:t>维保期内，</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采购方提出的合理合规的功能性需求，</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在 3 个工</w:t>
      </w:r>
      <w:r>
        <w:rPr>
          <w:rFonts w:ascii="微软雅黑" w:hAnsi="微软雅黑" w:eastAsia="微软雅黑" w:cs="微软雅黑"/>
          <w:spacing w:val="-2"/>
          <w:sz w:val="24"/>
          <w:szCs w:val="24"/>
        </w:rPr>
        <w:t>作日内响应</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解决。如需求无法实现，须出具正式的说明函。</w:t>
      </w:r>
    </w:p>
    <w:p w14:paraId="133AB434">
      <w:pPr>
        <w:spacing w:before="4" w:line="346" w:lineRule="auto"/>
        <w:ind w:left="59" w:right="79" w:firstLine="956"/>
        <w:rPr>
          <w:rFonts w:ascii="微软雅黑" w:hAnsi="微软雅黑" w:eastAsia="微软雅黑" w:cs="微软雅黑"/>
          <w:sz w:val="24"/>
          <w:szCs w:val="24"/>
        </w:rPr>
      </w:pPr>
      <w:r>
        <w:rPr>
          <w:rFonts w:ascii="微软雅黑" w:hAnsi="微软雅黑" w:eastAsia="微软雅黑" w:cs="微软雅黑"/>
          <w:spacing w:val="-7"/>
          <w:sz w:val="24"/>
          <w:szCs w:val="24"/>
        </w:rPr>
        <w:t>10.本项目软件系统与医院信息系统（HIS、EMR</w:t>
      </w:r>
      <w:r>
        <w:rPr>
          <w:rFonts w:ascii="微软雅黑" w:hAnsi="微软雅黑" w:eastAsia="微软雅黑" w:cs="微软雅黑"/>
          <w:spacing w:val="-8"/>
          <w:sz w:val="24"/>
          <w:szCs w:val="24"/>
        </w:rPr>
        <w:t>、LIS、PACS 和集成平台）对接，与医</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院其他第三方软件、硬件对接，所产生的费用均由中</w:t>
      </w:r>
      <w:r>
        <w:rPr>
          <w:rFonts w:ascii="微软雅黑" w:hAnsi="微软雅黑" w:eastAsia="微软雅黑" w:cs="微软雅黑"/>
          <w:spacing w:val="-3"/>
          <w:sz w:val="24"/>
          <w:szCs w:val="24"/>
        </w:rPr>
        <w:t>标方承担。</w:t>
      </w:r>
    </w:p>
    <w:p w14:paraId="39F6FA8A">
      <w:pPr>
        <w:spacing w:before="6" w:line="187" w:lineRule="auto"/>
        <w:ind w:left="1015"/>
        <w:rPr>
          <w:rFonts w:ascii="微软雅黑" w:hAnsi="微软雅黑" w:eastAsia="微软雅黑" w:cs="微软雅黑"/>
          <w:sz w:val="24"/>
          <w:szCs w:val="24"/>
        </w:rPr>
      </w:pPr>
      <w:r>
        <w:rPr>
          <w:rFonts w:ascii="微软雅黑" w:hAnsi="微软雅黑" w:eastAsia="微软雅黑" w:cs="微软雅黑"/>
          <w:spacing w:val="-5"/>
          <w:sz w:val="24"/>
          <w:szCs w:val="24"/>
        </w:rPr>
        <w:t>11.维保期内，医院所有新上线软件、硬件设备与本项目软</w:t>
      </w:r>
      <w:r>
        <w:rPr>
          <w:rFonts w:ascii="微软雅黑" w:hAnsi="微软雅黑" w:eastAsia="微软雅黑" w:cs="微软雅黑"/>
          <w:spacing w:val="-6"/>
          <w:sz w:val="24"/>
          <w:szCs w:val="24"/>
        </w:rPr>
        <w:t>件对接，</w:t>
      </w:r>
      <w:r>
        <w:rPr>
          <w:rFonts w:ascii="微软雅黑" w:hAnsi="微软雅黑" w:eastAsia="微软雅黑" w:cs="微软雅黑"/>
          <w:spacing w:val="51"/>
          <w:w w:val="101"/>
          <w:sz w:val="24"/>
          <w:szCs w:val="24"/>
        </w:rPr>
        <w:t xml:space="preserve"> </w:t>
      </w:r>
      <w:r>
        <w:rPr>
          <w:rFonts w:ascii="微软雅黑" w:hAnsi="微软雅黑" w:eastAsia="微软雅黑" w:cs="微软雅黑"/>
          <w:spacing w:val="-6"/>
          <w:sz w:val="24"/>
          <w:szCs w:val="24"/>
        </w:rPr>
        <w:t>本软件接口须免费</w:t>
      </w:r>
    </w:p>
    <w:p w14:paraId="18BA83B3">
      <w:pPr>
        <w:pStyle w:val="2"/>
        <w:spacing w:line="314" w:lineRule="auto"/>
      </w:pPr>
    </w:p>
    <w:p w14:paraId="2A72CA17">
      <w:pPr>
        <w:pStyle w:val="2"/>
        <w:spacing w:line="315" w:lineRule="auto"/>
      </w:pPr>
    </w:p>
    <w:p w14:paraId="391E0F39">
      <w:pPr>
        <w:spacing w:before="63"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82                                </w:t>
      </w:r>
      <w:r>
        <w:rPr>
          <w:rFonts w:ascii="宋体" w:hAnsi="宋体" w:eastAsia="宋体" w:cs="宋体"/>
          <w:b/>
          <w:bCs/>
          <w:i/>
          <w:iCs/>
          <w:spacing w:val="-3"/>
          <w:sz w:val="19"/>
          <w:szCs w:val="19"/>
        </w:rPr>
        <w:t>伊犁州公共资源交易中心</w:t>
      </w:r>
    </w:p>
    <w:p w14:paraId="4C8D2820">
      <w:pPr>
        <w:spacing w:line="160" w:lineRule="auto"/>
        <w:rPr>
          <w:rFonts w:ascii="宋体" w:hAnsi="宋体" w:eastAsia="宋体" w:cs="宋体"/>
          <w:sz w:val="19"/>
          <w:szCs w:val="19"/>
        </w:rPr>
        <w:sectPr>
          <w:pgSz w:w="11905" w:h="16839"/>
          <w:pgMar w:top="1136" w:right="779" w:bottom="937" w:left="1136" w:header="854" w:footer="923" w:gutter="0"/>
          <w:cols w:space="720" w:num="1"/>
        </w:sectPr>
      </w:pPr>
    </w:p>
    <w:p w14:paraId="0D0CBD4F">
      <w:pPr>
        <w:pStyle w:val="2"/>
        <w:spacing w:line="354" w:lineRule="auto"/>
      </w:pPr>
    </w:p>
    <w:p w14:paraId="47821755">
      <w:pPr>
        <w:spacing w:before="103" w:line="188" w:lineRule="auto"/>
        <w:ind w:left="44"/>
        <w:rPr>
          <w:rFonts w:ascii="微软雅黑" w:hAnsi="微软雅黑" w:eastAsia="微软雅黑" w:cs="微软雅黑"/>
          <w:sz w:val="24"/>
          <w:szCs w:val="24"/>
        </w:rPr>
      </w:pPr>
      <w:r>
        <w:rPr>
          <w:rFonts w:ascii="微软雅黑" w:hAnsi="微软雅黑" w:eastAsia="微软雅黑" w:cs="微软雅黑"/>
          <w:spacing w:val="-11"/>
          <w:sz w:val="24"/>
          <w:szCs w:val="24"/>
        </w:rPr>
        <w:t>开放。</w:t>
      </w:r>
    </w:p>
    <w:p w14:paraId="661BCEB4">
      <w:pPr>
        <w:spacing w:before="274" w:line="346" w:lineRule="auto"/>
        <w:ind w:left="45" w:right="71" w:firstLine="969"/>
        <w:rPr>
          <w:rFonts w:ascii="微软雅黑" w:hAnsi="微软雅黑" w:eastAsia="微软雅黑" w:cs="微软雅黑"/>
          <w:sz w:val="24"/>
          <w:szCs w:val="24"/>
        </w:rPr>
      </w:pPr>
      <w:r>
        <w:rPr>
          <w:rFonts w:ascii="微软雅黑" w:hAnsi="微软雅黑" w:eastAsia="微软雅黑" w:cs="微软雅黑"/>
          <w:spacing w:val="-1"/>
          <w:sz w:val="24"/>
          <w:szCs w:val="24"/>
        </w:rPr>
        <w:t>12.软件系统需满足五级电子病历要求，并配</w:t>
      </w:r>
      <w:r>
        <w:rPr>
          <w:rFonts w:ascii="微软雅黑" w:hAnsi="微软雅黑" w:eastAsia="微软雅黑" w:cs="微软雅黑"/>
          <w:spacing w:val="-2"/>
          <w:sz w:val="24"/>
          <w:szCs w:val="24"/>
        </w:rPr>
        <w:t>合医院完成五级电子病历评级相关工作，</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满足三级医院评审标准。</w:t>
      </w:r>
    </w:p>
    <w:p w14:paraId="5654F3B6">
      <w:pPr>
        <w:spacing w:before="3" w:line="188" w:lineRule="auto"/>
        <w:ind w:left="1015"/>
        <w:rPr>
          <w:rFonts w:ascii="微软雅黑" w:hAnsi="微软雅黑" w:eastAsia="微软雅黑" w:cs="微软雅黑"/>
          <w:sz w:val="24"/>
          <w:szCs w:val="24"/>
        </w:rPr>
      </w:pPr>
      <w:r>
        <w:rPr>
          <w:rFonts w:ascii="微软雅黑" w:hAnsi="微软雅黑" w:eastAsia="微软雅黑" w:cs="微软雅黑"/>
          <w:spacing w:val="-4"/>
          <w:sz w:val="24"/>
          <w:szCs w:val="24"/>
        </w:rPr>
        <w:t>13.免费维保结束后维保费不超过合同费用的 7%。</w:t>
      </w:r>
    </w:p>
    <w:p w14:paraId="784ACF01">
      <w:pPr>
        <w:spacing w:before="214" w:line="220" w:lineRule="auto"/>
        <w:ind w:left="3355"/>
        <w:rPr>
          <w:rFonts w:ascii="宋体" w:hAnsi="宋体" w:eastAsia="宋体" w:cs="宋体"/>
          <w:sz w:val="36"/>
          <w:szCs w:val="36"/>
        </w:rPr>
      </w:pPr>
      <w:bookmarkStart w:id="46" w:name="bookmark58"/>
      <w:bookmarkEnd w:id="46"/>
      <w:r>
        <w:rPr>
          <w:rFonts w:ascii="宋体" w:hAnsi="宋体" w:eastAsia="宋体" w:cs="宋体"/>
          <w:b/>
          <w:bCs/>
          <w:spacing w:val="-4"/>
          <w:sz w:val="36"/>
          <w:szCs w:val="36"/>
        </w:rPr>
        <w:t>第四部分</w:t>
      </w:r>
      <w:r>
        <w:rPr>
          <w:rFonts w:ascii="宋体" w:hAnsi="宋体" w:eastAsia="宋体" w:cs="宋体"/>
          <w:spacing w:val="-4"/>
          <w:sz w:val="36"/>
          <w:szCs w:val="36"/>
        </w:rPr>
        <w:t xml:space="preserve">  </w:t>
      </w:r>
      <w:r>
        <w:rPr>
          <w:rFonts w:ascii="宋体" w:hAnsi="宋体" w:eastAsia="宋体" w:cs="宋体"/>
          <w:b/>
          <w:bCs/>
          <w:spacing w:val="-4"/>
          <w:sz w:val="36"/>
          <w:szCs w:val="36"/>
        </w:rPr>
        <w:t>招标组织程序</w:t>
      </w:r>
    </w:p>
    <w:p w14:paraId="7EF97122">
      <w:pPr>
        <w:spacing w:before="189" w:line="217" w:lineRule="auto"/>
        <w:ind w:left="3637"/>
        <w:rPr>
          <w:rFonts w:ascii="仿宋" w:hAnsi="仿宋" w:eastAsia="仿宋" w:cs="仿宋"/>
          <w:sz w:val="32"/>
          <w:szCs w:val="32"/>
        </w:rPr>
      </w:pPr>
      <w:r>
        <w:rPr>
          <w:rFonts w:ascii="仿宋" w:hAnsi="仿宋" w:eastAsia="仿宋" w:cs="仿宋"/>
          <w:b/>
          <w:bCs/>
          <w:spacing w:val="-6"/>
          <w:sz w:val="32"/>
          <w:szCs w:val="32"/>
        </w:rPr>
        <w:t>第一章</w:t>
      </w:r>
      <w:r>
        <w:rPr>
          <w:rFonts w:ascii="仿宋" w:hAnsi="仿宋" w:eastAsia="仿宋" w:cs="仿宋"/>
          <w:spacing w:val="-6"/>
          <w:sz w:val="32"/>
          <w:szCs w:val="32"/>
        </w:rPr>
        <w:t xml:space="preserve"> </w:t>
      </w:r>
      <w:r>
        <w:rPr>
          <w:rFonts w:ascii="仿宋" w:hAnsi="仿宋" w:eastAsia="仿宋" w:cs="仿宋"/>
          <w:b/>
          <w:bCs/>
          <w:spacing w:val="-6"/>
          <w:sz w:val="32"/>
          <w:szCs w:val="32"/>
        </w:rPr>
        <w:t>评标委员会</w:t>
      </w:r>
    </w:p>
    <w:p w14:paraId="74CB4878">
      <w:pPr>
        <w:spacing w:before="256" w:line="186" w:lineRule="auto"/>
        <w:ind w:left="508"/>
        <w:rPr>
          <w:rFonts w:ascii="微软雅黑" w:hAnsi="微软雅黑" w:eastAsia="微软雅黑" w:cs="微软雅黑"/>
          <w:sz w:val="24"/>
          <w:szCs w:val="24"/>
        </w:rPr>
      </w:pPr>
      <w:r>
        <w:rPr>
          <w:rFonts w:ascii="微软雅黑" w:hAnsi="微软雅黑" w:eastAsia="微软雅黑" w:cs="微软雅黑"/>
          <w:b/>
          <w:bCs/>
          <w:spacing w:val="-11"/>
          <w:sz w:val="24"/>
          <w:szCs w:val="24"/>
        </w:rPr>
        <w:t>22、评标委员会</w:t>
      </w:r>
    </w:p>
    <w:p w14:paraId="664DA2AC">
      <w:pPr>
        <w:spacing w:before="241" w:line="256" w:lineRule="auto"/>
        <w:ind w:left="44" w:right="98" w:firstLine="467"/>
        <w:rPr>
          <w:rFonts w:ascii="微软雅黑" w:hAnsi="微软雅黑" w:eastAsia="微软雅黑" w:cs="微软雅黑"/>
          <w:sz w:val="24"/>
          <w:szCs w:val="24"/>
        </w:rPr>
      </w:pPr>
      <w:r>
        <w:rPr>
          <w:rFonts w:ascii="微软雅黑" w:hAnsi="微软雅黑" w:eastAsia="微软雅黑" w:cs="微软雅黑"/>
          <w:spacing w:val="-3"/>
          <w:sz w:val="24"/>
          <w:szCs w:val="24"/>
        </w:rPr>
        <w:t>22.1</w:t>
      </w:r>
      <w:r>
        <w:rPr>
          <w:rFonts w:ascii="微软雅黑" w:hAnsi="微软雅黑" w:eastAsia="微软雅黑" w:cs="微软雅黑"/>
          <w:spacing w:val="69"/>
          <w:w w:val="101"/>
          <w:sz w:val="24"/>
          <w:szCs w:val="24"/>
        </w:rPr>
        <w:t xml:space="preserve"> </w:t>
      </w:r>
      <w:r>
        <w:rPr>
          <w:rFonts w:ascii="微软雅黑" w:hAnsi="微软雅黑" w:eastAsia="微软雅黑" w:cs="微软雅黑"/>
          <w:spacing w:val="-3"/>
          <w:sz w:val="24"/>
          <w:szCs w:val="24"/>
        </w:rPr>
        <w:t>集采机构根据《政府采购法》等法律法规的规定，</w:t>
      </w:r>
      <w:r>
        <w:rPr>
          <w:rFonts w:ascii="微软雅黑" w:hAnsi="微软雅黑" w:eastAsia="微软雅黑" w:cs="微软雅黑"/>
          <w:spacing w:val="-50"/>
          <w:sz w:val="24"/>
          <w:szCs w:val="24"/>
        </w:rPr>
        <w:t xml:space="preserve"> </w:t>
      </w:r>
      <w:r>
        <w:rPr>
          <w:rFonts w:ascii="微软雅黑" w:hAnsi="微软雅黑" w:eastAsia="微软雅黑" w:cs="微软雅黑"/>
          <w:spacing w:val="-3"/>
          <w:sz w:val="24"/>
          <w:szCs w:val="24"/>
        </w:rPr>
        <w:t>通过新疆政采云平台专家库抽取评</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审专家依法组建本次招标的评标委员会</w:t>
      </w:r>
      <w:r>
        <w:rPr>
          <w:rFonts w:ascii="微软雅黑" w:hAnsi="微软雅黑" w:eastAsia="微软雅黑" w:cs="微软雅黑"/>
          <w:spacing w:val="-32"/>
          <w:sz w:val="24"/>
          <w:szCs w:val="24"/>
        </w:rPr>
        <w:t xml:space="preserve"> </w:t>
      </w:r>
      <w:r>
        <w:rPr>
          <w:rFonts w:ascii="微软雅黑" w:hAnsi="微软雅黑" w:eastAsia="微软雅黑" w:cs="微软雅黑"/>
          <w:spacing w:val="-6"/>
          <w:sz w:val="24"/>
          <w:szCs w:val="24"/>
        </w:rPr>
        <w:t>，负责本次招标的评标活动。评标委员会负责向采购人推</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荐中标候选人。</w:t>
      </w:r>
    </w:p>
    <w:p w14:paraId="7A28BF4B">
      <w:pPr>
        <w:spacing w:before="4" w:line="188" w:lineRule="auto"/>
        <w:ind w:left="512"/>
        <w:rPr>
          <w:rFonts w:ascii="微软雅黑" w:hAnsi="微软雅黑" w:eastAsia="微软雅黑" w:cs="微软雅黑"/>
          <w:sz w:val="24"/>
          <w:szCs w:val="24"/>
        </w:rPr>
      </w:pPr>
      <w:r>
        <w:rPr>
          <w:rFonts w:ascii="微软雅黑" w:hAnsi="微软雅黑" w:eastAsia="微软雅黑" w:cs="微软雅黑"/>
          <w:spacing w:val="-3"/>
          <w:sz w:val="24"/>
          <w:szCs w:val="24"/>
        </w:rPr>
        <w:t>22.2   评标委员会人选于开标前确定，成员名单在中标结果确定前保</w:t>
      </w:r>
      <w:r>
        <w:rPr>
          <w:rFonts w:ascii="微软雅黑" w:hAnsi="微软雅黑" w:eastAsia="微软雅黑" w:cs="微软雅黑"/>
          <w:spacing w:val="-4"/>
          <w:sz w:val="24"/>
          <w:szCs w:val="24"/>
        </w:rPr>
        <w:t>密。</w:t>
      </w:r>
    </w:p>
    <w:p w14:paraId="0B4FB961">
      <w:pPr>
        <w:spacing w:before="119" w:line="255" w:lineRule="auto"/>
        <w:ind w:left="48" w:right="98" w:firstLine="463"/>
        <w:rPr>
          <w:rFonts w:ascii="微软雅黑" w:hAnsi="微软雅黑" w:eastAsia="微软雅黑" w:cs="微软雅黑"/>
          <w:sz w:val="24"/>
          <w:szCs w:val="24"/>
        </w:rPr>
      </w:pPr>
      <w:r>
        <w:rPr>
          <w:rFonts w:ascii="微软雅黑" w:hAnsi="微软雅黑" w:eastAsia="微软雅黑" w:cs="微软雅黑"/>
          <w:spacing w:val="-1"/>
          <w:sz w:val="24"/>
          <w:szCs w:val="24"/>
        </w:rPr>
        <w:t>22.3 评标委员会由有关软件信息技术服务方面的专家和采购人熟悉相关业务的代表人员组</w:t>
      </w:r>
      <w:r>
        <w:rPr>
          <w:rFonts w:ascii="微软雅黑" w:hAnsi="微软雅黑" w:eastAsia="微软雅黑" w:cs="微软雅黑"/>
          <w:spacing w:val="10"/>
          <w:sz w:val="24"/>
          <w:szCs w:val="24"/>
        </w:rPr>
        <w:t xml:space="preserve"> </w:t>
      </w:r>
      <w:r>
        <w:rPr>
          <w:rFonts w:ascii="微软雅黑" w:hAnsi="微软雅黑" w:eastAsia="微软雅黑" w:cs="微软雅黑"/>
          <w:spacing w:val="-7"/>
          <w:sz w:val="24"/>
          <w:szCs w:val="24"/>
        </w:rPr>
        <w:t>成，成员为 5 人以上的单数，项目采购人代表 1 人，专家 4 人，其中评审</w:t>
      </w:r>
      <w:r>
        <w:rPr>
          <w:rFonts w:ascii="微软雅黑" w:hAnsi="微软雅黑" w:eastAsia="微软雅黑" w:cs="微软雅黑"/>
          <w:spacing w:val="-8"/>
          <w:sz w:val="24"/>
          <w:szCs w:val="24"/>
        </w:rPr>
        <w:t>专家成员人数不少于成</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员总数的三分之二。</w:t>
      </w:r>
    </w:p>
    <w:p w14:paraId="59EB865F">
      <w:pPr>
        <w:spacing w:before="7" w:line="255" w:lineRule="auto"/>
        <w:ind w:left="44" w:right="98" w:firstLine="467"/>
        <w:rPr>
          <w:rFonts w:ascii="微软雅黑" w:hAnsi="微软雅黑" w:eastAsia="微软雅黑" w:cs="微软雅黑"/>
          <w:sz w:val="24"/>
          <w:szCs w:val="24"/>
        </w:rPr>
      </w:pPr>
      <w:r>
        <w:rPr>
          <w:rFonts w:ascii="微软雅黑" w:hAnsi="微软雅黑" w:eastAsia="微软雅黑" w:cs="微软雅黑"/>
          <w:spacing w:val="-6"/>
          <w:sz w:val="24"/>
          <w:szCs w:val="24"/>
        </w:rPr>
        <w:t>22.4 对技术复杂、专业性强的采购项目，通过随机方式难以</w:t>
      </w:r>
      <w:r>
        <w:rPr>
          <w:rFonts w:ascii="微软雅黑" w:hAnsi="微软雅黑" w:eastAsia="微软雅黑" w:cs="微软雅黑"/>
          <w:spacing w:val="-7"/>
          <w:sz w:val="24"/>
          <w:szCs w:val="24"/>
        </w:rPr>
        <w:t>确定合适评审专家的，经主管预</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算单位同意，采购人可以自行选定相应专业领域的评审专家。</w:t>
      </w:r>
    </w:p>
    <w:p w14:paraId="506AF247">
      <w:pPr>
        <w:spacing w:before="4" w:line="188" w:lineRule="auto"/>
        <w:ind w:left="512"/>
        <w:rPr>
          <w:rFonts w:ascii="微软雅黑" w:hAnsi="微软雅黑" w:eastAsia="微软雅黑" w:cs="微软雅黑"/>
          <w:sz w:val="24"/>
          <w:szCs w:val="24"/>
        </w:rPr>
      </w:pPr>
      <w:r>
        <w:rPr>
          <w:rFonts w:ascii="微软雅黑" w:hAnsi="微软雅黑" w:eastAsia="微软雅黑" w:cs="微软雅黑"/>
          <w:spacing w:val="-4"/>
          <w:sz w:val="24"/>
          <w:szCs w:val="24"/>
        </w:rPr>
        <w:t>22.5 有下列情形之一的，不得担任评标委</w:t>
      </w:r>
      <w:r>
        <w:rPr>
          <w:rFonts w:ascii="微软雅黑" w:hAnsi="微软雅黑" w:eastAsia="微软雅黑" w:cs="微软雅黑"/>
          <w:spacing w:val="-5"/>
          <w:sz w:val="24"/>
          <w:szCs w:val="24"/>
        </w:rPr>
        <w:t>员会成员：</w:t>
      </w:r>
    </w:p>
    <w:p w14:paraId="7EBEA929">
      <w:pPr>
        <w:spacing w:before="119" w:line="183" w:lineRule="auto"/>
        <w:ind w:left="516"/>
        <w:rPr>
          <w:rFonts w:ascii="微软雅黑" w:hAnsi="微软雅黑" w:eastAsia="微软雅黑" w:cs="微软雅黑"/>
          <w:sz w:val="24"/>
          <w:szCs w:val="24"/>
        </w:rPr>
      </w:pPr>
      <w:r>
        <w:rPr>
          <w:rFonts w:ascii="微软雅黑" w:hAnsi="微软雅黑" w:eastAsia="微软雅黑" w:cs="微软雅黑"/>
          <w:spacing w:val="-6"/>
          <w:sz w:val="24"/>
          <w:szCs w:val="24"/>
        </w:rPr>
        <w:t>（1）与投标人或者投标主要负责人有近亲关系的；</w:t>
      </w:r>
    </w:p>
    <w:p w14:paraId="55B0384B">
      <w:pPr>
        <w:spacing w:before="126" w:line="183" w:lineRule="auto"/>
        <w:ind w:left="516"/>
        <w:rPr>
          <w:rFonts w:ascii="微软雅黑" w:hAnsi="微软雅黑" w:eastAsia="微软雅黑" w:cs="微软雅黑"/>
          <w:sz w:val="24"/>
          <w:szCs w:val="24"/>
        </w:rPr>
      </w:pPr>
      <w:r>
        <w:rPr>
          <w:rFonts w:ascii="微软雅黑" w:hAnsi="微软雅黑" w:eastAsia="微软雅黑" w:cs="微软雅黑"/>
          <w:spacing w:val="-5"/>
          <w:sz w:val="24"/>
          <w:szCs w:val="24"/>
        </w:rPr>
        <w:t>（2）与项目主管部门或者行政监督部门的人员有近亲关系的；</w:t>
      </w:r>
    </w:p>
    <w:p w14:paraId="5E9CFB34">
      <w:pPr>
        <w:spacing w:before="126" w:line="183" w:lineRule="auto"/>
        <w:ind w:left="516"/>
        <w:rPr>
          <w:rFonts w:ascii="微软雅黑" w:hAnsi="微软雅黑" w:eastAsia="微软雅黑" w:cs="微软雅黑"/>
          <w:sz w:val="24"/>
          <w:szCs w:val="24"/>
        </w:rPr>
      </w:pPr>
      <w:r>
        <w:rPr>
          <w:rFonts w:ascii="微软雅黑" w:hAnsi="微软雅黑" w:eastAsia="微软雅黑" w:cs="微软雅黑"/>
          <w:spacing w:val="-5"/>
          <w:sz w:val="24"/>
          <w:szCs w:val="24"/>
        </w:rPr>
        <w:t>（3）与投标人有经济利益关系，可能影响对投标公正评审的；</w:t>
      </w:r>
    </w:p>
    <w:p w14:paraId="1A13247B">
      <w:pPr>
        <w:spacing w:before="125" w:line="222" w:lineRule="auto"/>
        <w:ind w:left="44" w:right="126" w:firstLine="471"/>
        <w:rPr>
          <w:rFonts w:ascii="微软雅黑" w:hAnsi="微软雅黑" w:eastAsia="微软雅黑" w:cs="微软雅黑"/>
          <w:sz w:val="24"/>
          <w:szCs w:val="24"/>
        </w:rPr>
      </w:pPr>
      <w:r>
        <w:rPr>
          <w:rFonts w:ascii="微软雅黑" w:hAnsi="微软雅黑" w:eastAsia="微软雅黑" w:cs="微软雅黑"/>
          <w:spacing w:val="-5"/>
          <w:sz w:val="24"/>
          <w:szCs w:val="24"/>
        </w:rPr>
        <w:t>（4） 曾因在招标、评标以及其他与招标投标有关活动中从事违法行为而受过行政处罚或刑</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事处罚的。</w:t>
      </w:r>
    </w:p>
    <w:p w14:paraId="51E62B7C">
      <w:pPr>
        <w:spacing w:before="117" w:line="188" w:lineRule="auto"/>
        <w:ind w:left="516"/>
        <w:rPr>
          <w:rFonts w:ascii="微软雅黑" w:hAnsi="微软雅黑" w:eastAsia="微软雅黑" w:cs="微软雅黑"/>
          <w:sz w:val="24"/>
          <w:szCs w:val="24"/>
        </w:rPr>
      </w:pPr>
      <w:r>
        <w:rPr>
          <w:rFonts w:ascii="微软雅黑" w:hAnsi="微软雅黑" w:eastAsia="微软雅黑" w:cs="微软雅黑"/>
          <w:spacing w:val="-5"/>
          <w:sz w:val="24"/>
          <w:szCs w:val="24"/>
        </w:rPr>
        <w:t>招标委员会成员有前款规定情形之一的，应当主动提出回避。</w:t>
      </w:r>
    </w:p>
    <w:p w14:paraId="13C1DDA7">
      <w:pPr>
        <w:spacing w:before="119" w:line="255" w:lineRule="auto"/>
        <w:ind w:left="46" w:firstLine="465"/>
        <w:rPr>
          <w:rFonts w:ascii="微软雅黑" w:hAnsi="微软雅黑" w:eastAsia="微软雅黑" w:cs="微软雅黑"/>
          <w:sz w:val="24"/>
          <w:szCs w:val="24"/>
        </w:rPr>
      </w:pPr>
      <w:r>
        <w:rPr>
          <w:rFonts w:ascii="微软雅黑" w:hAnsi="微软雅黑" w:eastAsia="微软雅黑" w:cs="微软雅黑"/>
          <w:spacing w:val="-6"/>
          <w:sz w:val="24"/>
          <w:szCs w:val="24"/>
        </w:rPr>
        <w:t>22.6 评标委员会成员应当客观、公正地履行职责，遵守职业</w:t>
      </w:r>
      <w:r>
        <w:rPr>
          <w:rFonts w:ascii="微软雅黑" w:hAnsi="微软雅黑" w:eastAsia="微软雅黑" w:cs="微软雅黑"/>
          <w:spacing w:val="-7"/>
          <w:sz w:val="24"/>
          <w:szCs w:val="24"/>
        </w:rPr>
        <w:t>道德，并对所提出的评审意见承</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担个人责任。评标委员会成员不得与任何投标人或者与招标结果有利</w:t>
      </w:r>
      <w:r>
        <w:rPr>
          <w:rFonts w:ascii="微软雅黑" w:hAnsi="微软雅黑" w:eastAsia="微软雅黑" w:cs="微软雅黑"/>
          <w:spacing w:val="-9"/>
          <w:sz w:val="24"/>
          <w:szCs w:val="24"/>
        </w:rPr>
        <w:t>害关系的人员进行私下接触，</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不得收受投标人、中介人或其他有利害关系人的财物或好处。</w:t>
      </w:r>
    </w:p>
    <w:p w14:paraId="095A7D82">
      <w:pPr>
        <w:spacing w:before="5" w:line="256" w:lineRule="auto"/>
        <w:ind w:left="48" w:right="98" w:firstLine="463"/>
        <w:rPr>
          <w:rFonts w:ascii="微软雅黑" w:hAnsi="微软雅黑" w:eastAsia="微软雅黑" w:cs="微软雅黑"/>
          <w:sz w:val="24"/>
          <w:szCs w:val="24"/>
        </w:rPr>
      </w:pPr>
      <w:r>
        <w:rPr>
          <w:rFonts w:ascii="微软雅黑" w:hAnsi="微软雅黑" w:eastAsia="微软雅黑" w:cs="微软雅黑"/>
          <w:spacing w:val="-2"/>
          <w:sz w:val="24"/>
          <w:szCs w:val="24"/>
        </w:rPr>
        <w:t>22.7</w:t>
      </w:r>
      <w:r>
        <w:rPr>
          <w:rFonts w:ascii="微软雅黑" w:hAnsi="微软雅黑" w:eastAsia="微软雅黑" w:cs="微软雅黑"/>
          <w:spacing w:val="62"/>
          <w:sz w:val="24"/>
          <w:szCs w:val="24"/>
        </w:rPr>
        <w:t xml:space="preserve"> </w:t>
      </w:r>
      <w:r>
        <w:rPr>
          <w:rFonts w:ascii="微软雅黑" w:hAnsi="微软雅黑" w:eastAsia="微软雅黑" w:cs="微软雅黑"/>
          <w:spacing w:val="-2"/>
          <w:sz w:val="24"/>
          <w:szCs w:val="24"/>
        </w:rPr>
        <w:t>评标委员会成员和与本次评标活动有关的工作人员（是指</w:t>
      </w:r>
      <w:r>
        <w:rPr>
          <w:rFonts w:ascii="微软雅黑" w:hAnsi="微软雅黑" w:eastAsia="微软雅黑" w:cs="微软雅黑"/>
          <w:spacing w:val="-3"/>
          <w:sz w:val="24"/>
          <w:szCs w:val="24"/>
        </w:rPr>
        <w:t>评标委员会成员以外的、因</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参与评标监督工作或者事务性工作而知悉有关评标情况的所有人员</w:t>
      </w:r>
      <w:r>
        <w:rPr>
          <w:rFonts w:ascii="微软雅黑" w:hAnsi="微软雅黑" w:eastAsia="微软雅黑" w:cs="微软雅黑"/>
          <w:spacing w:val="-9"/>
          <w:sz w:val="24"/>
          <w:szCs w:val="24"/>
        </w:rPr>
        <w:t>），</w:t>
      </w:r>
      <w:r>
        <w:rPr>
          <w:rFonts w:ascii="微软雅黑" w:hAnsi="微软雅黑" w:eastAsia="微软雅黑" w:cs="微软雅黑"/>
          <w:spacing w:val="-5"/>
          <w:sz w:val="24"/>
          <w:szCs w:val="24"/>
        </w:rPr>
        <w:t>不得透露对投标文件的评</w:t>
      </w:r>
      <w:r>
        <w:rPr>
          <w:rFonts w:ascii="微软雅黑" w:hAnsi="微软雅黑" w:eastAsia="微软雅黑" w:cs="微软雅黑"/>
          <w:spacing w:val="1"/>
          <w:sz w:val="24"/>
          <w:szCs w:val="24"/>
        </w:rPr>
        <w:t xml:space="preserve"> </w:t>
      </w:r>
      <w:r>
        <w:rPr>
          <w:rFonts w:ascii="微软雅黑" w:hAnsi="微软雅黑" w:eastAsia="微软雅黑" w:cs="微软雅黑"/>
          <w:spacing w:val="-5"/>
          <w:sz w:val="24"/>
          <w:szCs w:val="24"/>
        </w:rPr>
        <w:t>审和比较、中标候选人的推荐情况以及与评标有关的其他情况。</w:t>
      </w:r>
    </w:p>
    <w:p w14:paraId="167B0254">
      <w:pPr>
        <w:pStyle w:val="2"/>
        <w:spacing w:line="252" w:lineRule="auto"/>
      </w:pPr>
    </w:p>
    <w:p w14:paraId="77C9A17F">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83                                </w:t>
      </w:r>
      <w:r>
        <w:rPr>
          <w:rFonts w:ascii="宋体" w:hAnsi="宋体" w:eastAsia="宋体" w:cs="宋体"/>
          <w:b/>
          <w:bCs/>
          <w:i/>
          <w:iCs/>
          <w:spacing w:val="-3"/>
          <w:sz w:val="19"/>
          <w:szCs w:val="19"/>
        </w:rPr>
        <w:t>伊犁州公共资源交易中心</w:t>
      </w:r>
    </w:p>
    <w:p w14:paraId="30543832">
      <w:pPr>
        <w:spacing w:line="160" w:lineRule="auto"/>
        <w:rPr>
          <w:rFonts w:ascii="宋体" w:hAnsi="宋体" w:eastAsia="宋体" w:cs="宋体"/>
          <w:sz w:val="19"/>
          <w:szCs w:val="19"/>
        </w:rPr>
        <w:sectPr>
          <w:headerReference r:id="rId76" w:type="default"/>
          <w:footerReference r:id="rId77" w:type="default"/>
          <w:pgSz w:w="11905" w:h="16839"/>
          <w:pgMar w:top="1136" w:right="756" w:bottom="937" w:left="1136" w:header="854" w:footer="923" w:gutter="0"/>
          <w:cols w:space="720" w:num="1"/>
        </w:sectPr>
      </w:pPr>
    </w:p>
    <w:p w14:paraId="416C3823">
      <w:pPr>
        <w:pStyle w:val="2"/>
        <w:spacing w:line="355" w:lineRule="auto"/>
      </w:pPr>
    </w:p>
    <w:p w14:paraId="09D0655A">
      <w:pPr>
        <w:spacing w:before="103" w:line="336" w:lineRule="auto"/>
        <w:ind w:left="45" w:right="25" w:firstLine="466"/>
        <w:jc w:val="both"/>
        <w:rPr>
          <w:rFonts w:ascii="微软雅黑" w:hAnsi="微软雅黑" w:eastAsia="微软雅黑" w:cs="微软雅黑"/>
          <w:sz w:val="24"/>
          <w:szCs w:val="24"/>
        </w:rPr>
      </w:pPr>
      <w:r>
        <w:rPr>
          <w:rFonts w:ascii="微软雅黑" w:hAnsi="微软雅黑" w:eastAsia="微软雅黑" w:cs="微软雅黑"/>
          <w:spacing w:val="-3"/>
          <w:sz w:val="24"/>
          <w:szCs w:val="24"/>
        </w:rPr>
        <w:t>22.8</w:t>
      </w:r>
      <w:r>
        <w:rPr>
          <w:rFonts w:ascii="微软雅黑" w:hAnsi="微软雅黑" w:eastAsia="微软雅黑" w:cs="微软雅黑"/>
          <w:spacing w:val="63"/>
          <w:sz w:val="24"/>
          <w:szCs w:val="24"/>
        </w:rPr>
        <w:t xml:space="preserve"> </w:t>
      </w:r>
      <w:r>
        <w:rPr>
          <w:rFonts w:ascii="微软雅黑" w:hAnsi="微软雅黑" w:eastAsia="微软雅黑" w:cs="微软雅黑"/>
          <w:spacing w:val="-3"/>
          <w:sz w:val="24"/>
          <w:szCs w:val="24"/>
        </w:rPr>
        <w:t>如果出现有效投标投标人不足三家时，</w:t>
      </w:r>
      <w:r>
        <w:rPr>
          <w:rFonts w:ascii="微软雅黑" w:hAnsi="微软雅黑" w:eastAsia="微软雅黑" w:cs="微软雅黑"/>
          <w:spacing w:val="-23"/>
          <w:sz w:val="24"/>
          <w:szCs w:val="24"/>
        </w:rPr>
        <w:t xml:space="preserve"> </w:t>
      </w:r>
      <w:r>
        <w:rPr>
          <w:rFonts w:ascii="微软雅黑" w:hAnsi="微软雅黑" w:eastAsia="微软雅黑" w:cs="微软雅黑"/>
          <w:spacing w:val="-4"/>
          <w:sz w:val="24"/>
          <w:szCs w:val="24"/>
        </w:rPr>
        <w:t>由于项目紧急，经财政部门（政府采购监督管</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理部门）批准，</w:t>
      </w:r>
      <w:r>
        <w:rPr>
          <w:rFonts w:ascii="微软雅黑" w:hAnsi="微软雅黑" w:eastAsia="微软雅黑" w:cs="微软雅黑"/>
          <w:spacing w:val="-44"/>
          <w:sz w:val="24"/>
          <w:szCs w:val="24"/>
        </w:rPr>
        <w:t xml:space="preserve"> </w:t>
      </w:r>
      <w:r>
        <w:rPr>
          <w:rFonts w:ascii="微软雅黑" w:hAnsi="微软雅黑" w:eastAsia="微软雅黑" w:cs="微软雅黑"/>
          <w:spacing w:val="-6"/>
          <w:sz w:val="24"/>
          <w:szCs w:val="24"/>
        </w:rPr>
        <w:t>改为非招标采购方式进行采购时，依法组建的评标委员则</w:t>
      </w:r>
      <w:r>
        <w:rPr>
          <w:rFonts w:ascii="微软雅黑" w:hAnsi="微软雅黑" w:eastAsia="微软雅黑" w:cs="微软雅黑"/>
          <w:spacing w:val="-7"/>
          <w:sz w:val="24"/>
          <w:szCs w:val="24"/>
        </w:rPr>
        <w:t>变更为评审小组，</w:t>
      </w:r>
      <w:r>
        <w:rPr>
          <w:rFonts w:ascii="微软雅黑" w:hAnsi="微软雅黑" w:eastAsia="微软雅黑" w:cs="微软雅黑"/>
          <w:spacing w:val="-50"/>
          <w:sz w:val="24"/>
          <w:szCs w:val="24"/>
        </w:rPr>
        <w:t xml:space="preserve"> </w:t>
      </w:r>
      <w:r>
        <w:rPr>
          <w:rFonts w:ascii="微软雅黑" w:hAnsi="微软雅黑" w:eastAsia="微软雅黑" w:cs="微软雅黑"/>
          <w:spacing w:val="-7"/>
          <w:sz w:val="24"/>
          <w:szCs w:val="24"/>
        </w:rPr>
        <w:t>负责</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项目的评审活动。</w:t>
      </w:r>
    </w:p>
    <w:p w14:paraId="5727A055">
      <w:pPr>
        <w:spacing w:line="217" w:lineRule="auto"/>
        <w:ind w:left="3291"/>
        <w:rPr>
          <w:rFonts w:ascii="仿宋" w:hAnsi="仿宋" w:eastAsia="仿宋" w:cs="仿宋"/>
          <w:sz w:val="36"/>
          <w:szCs w:val="36"/>
        </w:rPr>
      </w:pPr>
      <w:bookmarkStart w:id="47" w:name="bookmark59"/>
      <w:bookmarkEnd w:id="47"/>
      <w:r>
        <w:rPr>
          <w:rFonts w:ascii="仿宋" w:hAnsi="仿宋" w:eastAsia="仿宋" w:cs="仿宋"/>
          <w:b/>
          <w:bCs/>
          <w:spacing w:val="-7"/>
          <w:sz w:val="36"/>
          <w:szCs w:val="36"/>
        </w:rPr>
        <w:t>第二章</w:t>
      </w:r>
      <w:r>
        <w:rPr>
          <w:rFonts w:ascii="仿宋" w:hAnsi="仿宋" w:eastAsia="仿宋" w:cs="仿宋"/>
          <w:spacing w:val="-7"/>
          <w:sz w:val="36"/>
          <w:szCs w:val="36"/>
        </w:rPr>
        <w:t xml:space="preserve"> </w:t>
      </w:r>
      <w:r>
        <w:rPr>
          <w:rFonts w:ascii="仿宋" w:hAnsi="仿宋" w:eastAsia="仿宋" w:cs="仿宋"/>
          <w:b/>
          <w:bCs/>
          <w:spacing w:val="-7"/>
          <w:sz w:val="36"/>
          <w:szCs w:val="36"/>
        </w:rPr>
        <w:t>开评标和定标</w:t>
      </w:r>
    </w:p>
    <w:p w14:paraId="4D2CFD13">
      <w:pPr>
        <w:pStyle w:val="2"/>
        <w:spacing w:before="230" w:line="220" w:lineRule="auto"/>
        <w:ind w:left="515"/>
        <w:rPr>
          <w:rFonts w:ascii="宋体" w:hAnsi="宋体" w:eastAsia="宋体" w:cs="宋体"/>
          <w:sz w:val="24"/>
          <w:szCs w:val="24"/>
        </w:rPr>
      </w:pPr>
      <w:r>
        <w:rPr>
          <w:b/>
          <w:bCs/>
          <w:spacing w:val="-3"/>
          <w:sz w:val="24"/>
          <w:szCs w:val="24"/>
        </w:rPr>
        <w:t>23</w:t>
      </w:r>
      <w:r>
        <w:rPr>
          <w:rFonts w:ascii="宋体" w:hAnsi="宋体" w:eastAsia="宋体" w:cs="宋体"/>
          <w:b/>
          <w:bCs/>
          <w:spacing w:val="-3"/>
          <w:sz w:val="24"/>
          <w:szCs w:val="24"/>
        </w:rPr>
        <w:t>、开标</w:t>
      </w:r>
    </w:p>
    <w:p w14:paraId="5A6EFDBF">
      <w:pPr>
        <w:spacing w:before="308" w:line="188" w:lineRule="auto"/>
        <w:ind w:left="520"/>
        <w:rPr>
          <w:rFonts w:ascii="微软雅黑" w:hAnsi="微软雅黑" w:eastAsia="微软雅黑" w:cs="微软雅黑"/>
          <w:sz w:val="24"/>
          <w:szCs w:val="24"/>
        </w:rPr>
      </w:pPr>
      <w:r>
        <w:rPr>
          <w:rFonts w:ascii="微软雅黑" w:hAnsi="微软雅黑" w:eastAsia="微软雅黑" w:cs="微软雅黑"/>
          <w:b/>
          <w:bCs/>
          <w:spacing w:val="-8"/>
          <w:sz w:val="24"/>
          <w:szCs w:val="24"/>
        </w:rPr>
        <w:t>23.1</w:t>
      </w:r>
      <w:r>
        <w:rPr>
          <w:rFonts w:ascii="微软雅黑" w:hAnsi="微软雅黑" w:eastAsia="微软雅黑" w:cs="微软雅黑"/>
          <w:b/>
          <w:bCs/>
          <w:spacing w:val="16"/>
          <w:sz w:val="24"/>
          <w:szCs w:val="24"/>
        </w:rPr>
        <w:t xml:space="preserve">   </w:t>
      </w:r>
      <w:r>
        <w:rPr>
          <w:rFonts w:ascii="微软雅黑" w:hAnsi="微软雅黑" w:eastAsia="微软雅黑" w:cs="微软雅黑"/>
          <w:b/>
          <w:bCs/>
          <w:spacing w:val="-8"/>
          <w:sz w:val="24"/>
          <w:szCs w:val="24"/>
        </w:rPr>
        <w:t>组织开标</w:t>
      </w:r>
    </w:p>
    <w:p w14:paraId="65DD4F5D">
      <w:pPr>
        <w:spacing w:before="273" w:line="346" w:lineRule="auto"/>
        <w:ind w:left="44" w:right="28" w:firstLine="515"/>
        <w:rPr>
          <w:rFonts w:ascii="微软雅黑" w:hAnsi="微软雅黑" w:eastAsia="微软雅黑" w:cs="微软雅黑"/>
          <w:sz w:val="24"/>
          <w:szCs w:val="24"/>
        </w:rPr>
      </w:pPr>
      <w:r>
        <w:rPr>
          <w:rFonts w:ascii="微软雅黑" w:hAnsi="微软雅黑" w:eastAsia="微软雅黑" w:cs="微软雅黑"/>
          <w:spacing w:val="-2"/>
          <w:sz w:val="24"/>
          <w:szCs w:val="24"/>
        </w:rPr>
        <w:t>(1)</w:t>
      </w:r>
      <w:r>
        <w:rPr>
          <w:rFonts w:ascii="微软雅黑" w:hAnsi="微软雅黑" w:eastAsia="微软雅黑" w:cs="微软雅黑"/>
          <w:b/>
          <w:bCs/>
          <w:spacing w:val="-2"/>
          <w:sz w:val="24"/>
          <w:szCs w:val="24"/>
        </w:rPr>
        <w:t>本项目采用不见面开标方式进行，投标人不需要到达开标现场。集采机构按照招标文件</w:t>
      </w:r>
      <w:r>
        <w:rPr>
          <w:rFonts w:ascii="微软雅黑" w:hAnsi="微软雅黑" w:eastAsia="微软雅黑" w:cs="微软雅黑"/>
          <w:b/>
          <w:bCs/>
          <w:spacing w:val="9"/>
          <w:sz w:val="24"/>
          <w:szCs w:val="24"/>
        </w:rPr>
        <w:t xml:space="preserve"> </w:t>
      </w:r>
      <w:r>
        <w:rPr>
          <w:rFonts w:ascii="微软雅黑" w:hAnsi="微软雅黑" w:eastAsia="微软雅黑" w:cs="微软雅黑"/>
          <w:b/>
          <w:bCs/>
          <w:spacing w:val="-2"/>
          <w:sz w:val="24"/>
          <w:szCs w:val="24"/>
        </w:rPr>
        <w:t>规定的时间、地点在“新疆政府采购云平台”不见面开标大厅主持开标。</w:t>
      </w:r>
    </w:p>
    <w:p w14:paraId="2FC8EE59">
      <w:pPr>
        <w:spacing w:before="7" w:line="346" w:lineRule="auto"/>
        <w:ind w:left="42" w:right="28" w:firstLine="482"/>
        <w:jc w:val="both"/>
        <w:rPr>
          <w:rFonts w:ascii="微软雅黑" w:hAnsi="微软雅黑" w:eastAsia="微软雅黑" w:cs="微软雅黑"/>
          <w:sz w:val="24"/>
          <w:szCs w:val="24"/>
        </w:rPr>
      </w:pPr>
      <w:r>
        <w:rPr>
          <w:rFonts w:ascii="微软雅黑" w:hAnsi="微软雅黑" w:eastAsia="微软雅黑" w:cs="微软雅黑"/>
          <w:spacing w:val="-3"/>
          <w:sz w:val="24"/>
          <w:szCs w:val="24"/>
        </w:rPr>
        <w:t>（2）开标前，集中采购机构将会同监督人员进行验标（检查网上招标系统正常与否，检查</w:t>
      </w:r>
      <w:r>
        <w:rPr>
          <w:rFonts w:ascii="微软雅黑" w:hAnsi="微软雅黑" w:eastAsia="微软雅黑" w:cs="微软雅黑"/>
          <w:spacing w:val="2"/>
          <w:sz w:val="24"/>
          <w:szCs w:val="24"/>
        </w:rPr>
        <w:t xml:space="preserve"> </w:t>
      </w:r>
      <w:r>
        <w:rPr>
          <w:rFonts w:ascii="微软雅黑" w:hAnsi="微软雅黑" w:eastAsia="微软雅黑" w:cs="微软雅黑"/>
          <w:sz w:val="24"/>
          <w:szCs w:val="24"/>
        </w:rPr>
        <w:t>有无未加密的电子投标文件</w:t>
      </w:r>
      <w:r>
        <w:rPr>
          <w:rFonts w:ascii="微软雅黑" w:hAnsi="微软雅黑" w:eastAsia="微软雅黑" w:cs="微软雅黑"/>
          <w:spacing w:val="-5"/>
          <w:sz w:val="24"/>
          <w:szCs w:val="24"/>
        </w:rPr>
        <w:t>）</w:t>
      </w:r>
      <w:r>
        <w:rPr>
          <w:rFonts w:ascii="微软雅黑" w:hAnsi="微软雅黑" w:eastAsia="微软雅黑" w:cs="微软雅黑"/>
          <w:spacing w:val="-36"/>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z w:val="24"/>
          <w:szCs w:val="24"/>
        </w:rPr>
        <w:t xml:space="preserve">确认无误后开标。开标时，各投标人应对本单位的加密的电子 </w:t>
      </w:r>
      <w:r>
        <w:rPr>
          <w:rFonts w:ascii="微软雅黑" w:hAnsi="微软雅黑" w:eastAsia="微软雅黑" w:cs="微软雅黑"/>
          <w:spacing w:val="-2"/>
          <w:sz w:val="24"/>
          <w:szCs w:val="24"/>
        </w:rPr>
        <w:t>投标文件远程电子解密</w:t>
      </w:r>
      <w:r>
        <w:rPr>
          <w:rFonts w:ascii="微软雅黑" w:hAnsi="微软雅黑" w:eastAsia="微软雅黑" w:cs="微软雅黑"/>
          <w:spacing w:val="-38"/>
          <w:sz w:val="24"/>
          <w:szCs w:val="24"/>
        </w:rPr>
        <w:t xml:space="preserve"> </w:t>
      </w:r>
      <w:r>
        <w:rPr>
          <w:rFonts w:ascii="微软雅黑" w:hAnsi="微软雅黑" w:eastAsia="微软雅黑" w:cs="微软雅黑"/>
          <w:color w:val="FF00FF"/>
          <w:spacing w:val="-2"/>
          <w:sz w:val="24"/>
          <w:szCs w:val="24"/>
        </w:rPr>
        <w:t>，</w:t>
      </w:r>
      <w:r>
        <w:rPr>
          <w:rFonts w:ascii="微软雅黑" w:hAnsi="微软雅黑" w:eastAsia="微软雅黑" w:cs="微软雅黑"/>
          <w:spacing w:val="-2"/>
          <w:sz w:val="24"/>
          <w:szCs w:val="24"/>
        </w:rPr>
        <w:t>集中采购机构、采购单位监督人员监督下解密所有投标文</w:t>
      </w:r>
      <w:r>
        <w:rPr>
          <w:rFonts w:ascii="微软雅黑" w:hAnsi="微软雅黑" w:eastAsia="微软雅黑" w:cs="微软雅黑"/>
          <w:spacing w:val="-3"/>
          <w:sz w:val="24"/>
          <w:szCs w:val="24"/>
        </w:rPr>
        <w:t>件。</w:t>
      </w:r>
    </w:p>
    <w:p w14:paraId="5AD96E50">
      <w:pPr>
        <w:spacing w:before="8" w:line="346" w:lineRule="auto"/>
        <w:ind w:left="44" w:right="28" w:firstLine="480"/>
        <w:jc w:val="both"/>
        <w:rPr>
          <w:rFonts w:ascii="微软雅黑" w:hAnsi="微软雅黑" w:eastAsia="微软雅黑" w:cs="微软雅黑"/>
          <w:sz w:val="24"/>
          <w:szCs w:val="24"/>
        </w:rPr>
      </w:pPr>
      <w:r>
        <w:rPr>
          <w:rFonts w:ascii="微软雅黑" w:hAnsi="微软雅黑" w:eastAsia="微软雅黑" w:cs="微软雅黑"/>
          <w:spacing w:val="-8"/>
          <w:sz w:val="24"/>
          <w:szCs w:val="24"/>
        </w:rPr>
        <w:t>（3）开标时，集中采购机构将通过网上开标系统公布投标人名称、投标价格，</w:t>
      </w:r>
      <w:r>
        <w:rPr>
          <w:rFonts w:ascii="微软雅黑" w:hAnsi="微软雅黑" w:eastAsia="微软雅黑" w:cs="微软雅黑"/>
          <w:spacing w:val="30"/>
          <w:sz w:val="24"/>
          <w:szCs w:val="24"/>
        </w:rPr>
        <w:t xml:space="preserve">  </w:t>
      </w:r>
      <w:r>
        <w:rPr>
          <w:rFonts w:ascii="微软雅黑" w:hAnsi="微软雅黑" w:eastAsia="微软雅黑" w:cs="微软雅黑"/>
          <w:spacing w:val="-8"/>
          <w:sz w:val="24"/>
          <w:szCs w:val="24"/>
        </w:rPr>
        <w:t>以及集中采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购机构认为合适的其它详细内容。投标人若有报价和</w:t>
      </w:r>
      <w:r>
        <w:rPr>
          <w:rFonts w:ascii="微软雅黑" w:hAnsi="微软雅黑" w:eastAsia="微软雅黑" w:cs="微软雅黑"/>
          <w:sz w:val="24"/>
          <w:szCs w:val="24"/>
        </w:rPr>
        <w:t xml:space="preserve">优惠未被唱出，应在开标时及时声明或提 </w:t>
      </w:r>
      <w:r>
        <w:rPr>
          <w:rFonts w:ascii="微软雅黑" w:hAnsi="微软雅黑" w:eastAsia="微软雅黑" w:cs="微软雅黑"/>
          <w:spacing w:val="-2"/>
          <w:sz w:val="24"/>
          <w:szCs w:val="24"/>
        </w:rPr>
        <w:t>请注意，否则集中采购机构对此不承担任何</w:t>
      </w:r>
      <w:r>
        <w:rPr>
          <w:rFonts w:ascii="微软雅黑" w:hAnsi="微软雅黑" w:eastAsia="微软雅黑" w:cs="微软雅黑"/>
          <w:spacing w:val="-3"/>
          <w:sz w:val="24"/>
          <w:szCs w:val="24"/>
        </w:rPr>
        <w:t>责任。</w:t>
      </w:r>
    </w:p>
    <w:p w14:paraId="5CE4759A">
      <w:pPr>
        <w:spacing w:before="6" w:line="188" w:lineRule="auto"/>
        <w:ind w:left="520"/>
        <w:rPr>
          <w:rFonts w:ascii="微软雅黑" w:hAnsi="微软雅黑" w:eastAsia="微软雅黑" w:cs="微软雅黑"/>
          <w:sz w:val="24"/>
          <w:szCs w:val="24"/>
        </w:rPr>
      </w:pPr>
      <w:r>
        <w:rPr>
          <w:rFonts w:ascii="微软雅黑" w:hAnsi="微软雅黑" w:eastAsia="微软雅黑" w:cs="微软雅黑"/>
          <w:b/>
          <w:bCs/>
          <w:spacing w:val="-6"/>
          <w:sz w:val="24"/>
          <w:szCs w:val="24"/>
        </w:rPr>
        <w:t>23.2  资质审查</w:t>
      </w:r>
    </w:p>
    <w:p w14:paraId="402DBC2F">
      <w:pPr>
        <w:spacing w:before="272" w:line="346" w:lineRule="auto"/>
        <w:ind w:left="44" w:right="29" w:firstLine="480"/>
        <w:rPr>
          <w:rFonts w:ascii="微软雅黑" w:hAnsi="微软雅黑" w:eastAsia="微软雅黑" w:cs="微软雅黑"/>
          <w:sz w:val="24"/>
          <w:szCs w:val="24"/>
        </w:rPr>
      </w:pPr>
      <w:r>
        <w:rPr>
          <w:rFonts w:ascii="微软雅黑" w:hAnsi="微软雅黑" w:eastAsia="微软雅黑" w:cs="微软雅黑"/>
          <w:spacing w:val="3"/>
          <w:sz w:val="24"/>
          <w:szCs w:val="24"/>
        </w:rPr>
        <w:t>（1）</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投标人投标资格审查由采购人在监督人</w:t>
      </w:r>
      <w:r>
        <w:rPr>
          <w:rFonts w:ascii="微软雅黑" w:hAnsi="微软雅黑" w:eastAsia="微软雅黑" w:cs="微软雅黑"/>
          <w:spacing w:val="2"/>
          <w:sz w:val="24"/>
          <w:szCs w:val="24"/>
        </w:rPr>
        <w:t>的现场监督下逐一审查其资格是否符合招标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文件规定要求。资格符合招标文件规定的投标人方可予以评标。</w:t>
      </w:r>
    </w:p>
    <w:p w14:paraId="02E88919">
      <w:pPr>
        <w:spacing w:before="6" w:line="183" w:lineRule="auto"/>
        <w:ind w:left="524"/>
        <w:rPr>
          <w:rFonts w:ascii="微软雅黑" w:hAnsi="微软雅黑" w:eastAsia="微软雅黑" w:cs="微软雅黑"/>
          <w:sz w:val="24"/>
          <w:szCs w:val="24"/>
        </w:rPr>
      </w:pPr>
      <w:r>
        <w:rPr>
          <w:rFonts w:ascii="微软雅黑" w:hAnsi="微软雅黑" w:eastAsia="微软雅黑" w:cs="微软雅黑"/>
          <w:spacing w:val="-2"/>
          <w:sz w:val="24"/>
          <w:szCs w:val="24"/>
        </w:rPr>
        <w:t>（2）</w:t>
      </w:r>
      <w:r>
        <w:rPr>
          <w:rFonts w:ascii="微软雅黑" w:hAnsi="微软雅黑" w:eastAsia="微软雅黑" w:cs="微软雅黑"/>
          <w:spacing w:val="48"/>
          <w:sz w:val="24"/>
          <w:szCs w:val="24"/>
        </w:rPr>
        <w:t xml:space="preserve"> </w:t>
      </w:r>
      <w:r>
        <w:rPr>
          <w:rFonts w:ascii="微软雅黑" w:hAnsi="微软雅黑" w:eastAsia="微软雅黑" w:cs="微软雅黑"/>
          <w:spacing w:val="-2"/>
          <w:sz w:val="24"/>
          <w:szCs w:val="24"/>
        </w:rPr>
        <w:t>投标资格审查内容：详见本招标文件第一章“投标资质要求”条款。</w:t>
      </w:r>
    </w:p>
    <w:p w14:paraId="53A2D280">
      <w:pPr>
        <w:spacing w:before="281" w:line="220" w:lineRule="auto"/>
        <w:ind w:left="521"/>
        <w:rPr>
          <w:rFonts w:ascii="宋体" w:hAnsi="宋体" w:eastAsia="宋体" w:cs="宋体"/>
          <w:sz w:val="24"/>
          <w:szCs w:val="24"/>
        </w:rPr>
      </w:pPr>
      <w:r>
        <w:rPr>
          <w:rFonts w:ascii="宋体" w:hAnsi="宋体" w:eastAsia="宋体" w:cs="宋体"/>
          <w:b/>
          <w:bCs/>
          <w:spacing w:val="-5"/>
          <w:sz w:val="24"/>
          <w:szCs w:val="24"/>
        </w:rPr>
        <w:t>24、评标</w:t>
      </w:r>
    </w:p>
    <w:p w14:paraId="1BCFEF52">
      <w:pPr>
        <w:spacing w:before="309" w:line="189" w:lineRule="auto"/>
        <w:ind w:left="512"/>
        <w:rPr>
          <w:rFonts w:ascii="微软雅黑" w:hAnsi="微软雅黑" w:eastAsia="微软雅黑" w:cs="微软雅黑"/>
          <w:sz w:val="24"/>
          <w:szCs w:val="24"/>
        </w:rPr>
      </w:pPr>
      <w:r>
        <w:rPr>
          <w:rFonts w:ascii="微软雅黑" w:hAnsi="微软雅黑" w:eastAsia="微软雅黑" w:cs="微软雅黑"/>
          <w:b/>
          <w:bCs/>
          <w:spacing w:val="-10"/>
          <w:sz w:val="24"/>
          <w:szCs w:val="24"/>
        </w:rPr>
        <w:t>24.1</w:t>
      </w:r>
      <w:r>
        <w:rPr>
          <w:rFonts w:ascii="微软雅黑" w:hAnsi="微软雅黑" w:eastAsia="微软雅黑" w:cs="微软雅黑"/>
          <w:b/>
          <w:bCs/>
          <w:spacing w:val="63"/>
          <w:w w:val="101"/>
          <w:sz w:val="24"/>
          <w:szCs w:val="24"/>
        </w:rPr>
        <w:t xml:space="preserve"> </w:t>
      </w:r>
      <w:r>
        <w:rPr>
          <w:rFonts w:ascii="微软雅黑" w:hAnsi="微软雅黑" w:eastAsia="微软雅黑" w:cs="微软雅黑"/>
          <w:b/>
          <w:bCs/>
          <w:spacing w:val="-10"/>
          <w:sz w:val="24"/>
          <w:szCs w:val="24"/>
        </w:rPr>
        <w:t>评标依据</w:t>
      </w:r>
    </w:p>
    <w:p w14:paraId="65DF1E64">
      <w:pPr>
        <w:spacing w:before="273" w:line="346" w:lineRule="auto"/>
        <w:ind w:left="45" w:right="48" w:firstLine="479"/>
        <w:rPr>
          <w:rFonts w:ascii="微软雅黑" w:hAnsi="微软雅黑" w:eastAsia="微软雅黑" w:cs="微软雅黑"/>
          <w:sz w:val="24"/>
          <w:szCs w:val="24"/>
        </w:rPr>
      </w:pPr>
      <w:r>
        <w:rPr>
          <w:rFonts w:ascii="微软雅黑" w:hAnsi="微软雅黑" w:eastAsia="微软雅黑" w:cs="微软雅黑"/>
          <w:spacing w:val="-8"/>
          <w:sz w:val="24"/>
          <w:szCs w:val="24"/>
        </w:rPr>
        <w:t>（1）评标的依据只能是集采机构的招标文件、投</w:t>
      </w:r>
      <w:r>
        <w:rPr>
          <w:rFonts w:ascii="微软雅黑" w:hAnsi="微软雅黑" w:eastAsia="微软雅黑" w:cs="微软雅黑"/>
          <w:spacing w:val="-9"/>
          <w:sz w:val="24"/>
          <w:szCs w:val="24"/>
        </w:rPr>
        <w:t>标人递交的投标文件，</w:t>
      </w:r>
      <w:r>
        <w:rPr>
          <w:rFonts w:ascii="微软雅黑" w:hAnsi="微软雅黑" w:eastAsia="微软雅黑" w:cs="微软雅黑"/>
          <w:spacing w:val="29"/>
          <w:sz w:val="24"/>
          <w:szCs w:val="24"/>
        </w:rPr>
        <w:t xml:space="preserve">  </w:t>
      </w:r>
      <w:r>
        <w:rPr>
          <w:rFonts w:ascii="微软雅黑" w:hAnsi="微软雅黑" w:eastAsia="微软雅黑" w:cs="微软雅黑"/>
          <w:spacing w:val="-9"/>
          <w:sz w:val="24"/>
          <w:szCs w:val="24"/>
        </w:rPr>
        <w:t>以及相关有效的补</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充、修改文件。</w:t>
      </w:r>
    </w:p>
    <w:p w14:paraId="600DDB23">
      <w:pPr>
        <w:spacing w:before="5" w:line="183" w:lineRule="auto"/>
        <w:ind w:right="29"/>
        <w:jc w:val="right"/>
        <w:rPr>
          <w:rFonts w:ascii="微软雅黑" w:hAnsi="微软雅黑" w:eastAsia="微软雅黑" w:cs="微软雅黑"/>
          <w:sz w:val="24"/>
          <w:szCs w:val="24"/>
        </w:rPr>
      </w:pPr>
      <w:r>
        <w:rPr>
          <w:rFonts w:ascii="微软雅黑" w:hAnsi="微软雅黑" w:eastAsia="微软雅黑" w:cs="微软雅黑"/>
          <w:sz w:val="24"/>
          <w:szCs w:val="24"/>
        </w:rPr>
        <w:t>（2）评标应当根据招标文件规定的评标标准和方法，</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对投标文件进行系统地评审和比较</w:t>
      </w:r>
      <w:r>
        <w:rPr>
          <w:rFonts w:ascii="微软雅黑" w:hAnsi="微软雅黑" w:eastAsia="微软雅黑" w:cs="微软雅黑"/>
          <w:spacing w:val="-35"/>
          <w:sz w:val="24"/>
          <w:szCs w:val="24"/>
        </w:rPr>
        <w:t xml:space="preserve"> </w:t>
      </w:r>
      <w:r>
        <w:rPr>
          <w:rFonts w:ascii="微软雅黑" w:hAnsi="微软雅黑" w:eastAsia="微软雅黑" w:cs="微软雅黑"/>
          <w:sz w:val="24"/>
          <w:szCs w:val="24"/>
        </w:rPr>
        <w:t>,</w:t>
      </w:r>
    </w:p>
    <w:p w14:paraId="0FAB1BA8">
      <w:pPr>
        <w:pStyle w:val="2"/>
        <w:spacing w:line="318" w:lineRule="auto"/>
      </w:pPr>
    </w:p>
    <w:p w14:paraId="3EDD6FD0">
      <w:pPr>
        <w:pStyle w:val="2"/>
        <w:spacing w:line="318" w:lineRule="auto"/>
      </w:pPr>
    </w:p>
    <w:p w14:paraId="148D7F88">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84                                </w:t>
      </w:r>
      <w:r>
        <w:rPr>
          <w:rFonts w:ascii="宋体" w:hAnsi="宋体" w:eastAsia="宋体" w:cs="宋体"/>
          <w:b/>
          <w:bCs/>
          <w:i/>
          <w:iCs/>
          <w:spacing w:val="-3"/>
          <w:sz w:val="19"/>
          <w:szCs w:val="19"/>
        </w:rPr>
        <w:t>伊犁州公共资源交易中心</w:t>
      </w:r>
    </w:p>
    <w:p w14:paraId="44D166DB">
      <w:pPr>
        <w:spacing w:line="160" w:lineRule="auto"/>
        <w:rPr>
          <w:rFonts w:ascii="宋体" w:hAnsi="宋体" w:eastAsia="宋体" w:cs="宋体"/>
          <w:sz w:val="19"/>
          <w:szCs w:val="19"/>
        </w:rPr>
        <w:sectPr>
          <w:headerReference r:id="rId78" w:type="default"/>
          <w:footerReference r:id="rId79" w:type="default"/>
          <w:pgSz w:w="11905" w:h="16839"/>
          <w:pgMar w:top="1136" w:right="830" w:bottom="937" w:left="1136" w:header="854" w:footer="923" w:gutter="0"/>
          <w:cols w:space="720" w:num="1"/>
        </w:sectPr>
      </w:pPr>
    </w:p>
    <w:p w14:paraId="3FF0CFDC">
      <w:pPr>
        <w:pStyle w:val="2"/>
        <w:spacing w:line="354" w:lineRule="auto"/>
      </w:pPr>
    </w:p>
    <w:p w14:paraId="2E3D2779">
      <w:pPr>
        <w:spacing w:before="103" w:line="188" w:lineRule="auto"/>
        <w:ind w:left="44"/>
        <w:rPr>
          <w:rFonts w:ascii="微软雅黑" w:hAnsi="微软雅黑" w:eastAsia="微软雅黑" w:cs="微软雅黑"/>
          <w:sz w:val="24"/>
          <w:szCs w:val="24"/>
        </w:rPr>
      </w:pPr>
      <w:r>
        <w:rPr>
          <w:rFonts w:ascii="微软雅黑" w:hAnsi="微软雅黑" w:eastAsia="微软雅黑" w:cs="微软雅黑"/>
          <w:spacing w:val="-2"/>
          <w:sz w:val="24"/>
          <w:szCs w:val="24"/>
        </w:rPr>
        <w:t>招标文件中没有规定的标准和方法不得作为评标的依据。</w:t>
      </w:r>
    </w:p>
    <w:p w14:paraId="682B407F">
      <w:pPr>
        <w:spacing w:before="273" w:line="188" w:lineRule="auto"/>
        <w:ind w:left="520"/>
        <w:rPr>
          <w:rFonts w:ascii="微软雅黑" w:hAnsi="微软雅黑" w:eastAsia="微软雅黑" w:cs="微软雅黑"/>
          <w:sz w:val="24"/>
          <w:szCs w:val="24"/>
        </w:rPr>
      </w:pPr>
      <w:r>
        <w:rPr>
          <w:rFonts w:ascii="微软雅黑" w:hAnsi="微软雅黑" w:eastAsia="微软雅黑" w:cs="微软雅黑"/>
          <w:b/>
          <w:bCs/>
          <w:spacing w:val="-8"/>
          <w:sz w:val="24"/>
          <w:szCs w:val="24"/>
        </w:rPr>
        <w:t>24.2</w:t>
      </w:r>
      <w:r>
        <w:rPr>
          <w:rFonts w:ascii="微软雅黑" w:hAnsi="微软雅黑" w:eastAsia="微软雅黑" w:cs="微软雅黑"/>
          <w:b/>
          <w:bCs/>
          <w:spacing w:val="16"/>
          <w:sz w:val="24"/>
          <w:szCs w:val="24"/>
        </w:rPr>
        <w:t xml:space="preserve">   </w:t>
      </w:r>
      <w:r>
        <w:rPr>
          <w:rFonts w:ascii="微软雅黑" w:hAnsi="微软雅黑" w:eastAsia="微软雅黑" w:cs="微软雅黑"/>
          <w:b/>
          <w:bCs/>
          <w:spacing w:val="-8"/>
          <w:sz w:val="24"/>
          <w:szCs w:val="24"/>
        </w:rPr>
        <w:t>评标方法</w:t>
      </w:r>
    </w:p>
    <w:p w14:paraId="14AF7B0B">
      <w:pPr>
        <w:spacing w:before="237" w:line="345" w:lineRule="auto"/>
        <w:ind w:left="44" w:firstLine="475"/>
        <w:jc w:val="both"/>
        <w:rPr>
          <w:rFonts w:ascii="微软雅黑" w:hAnsi="微软雅黑" w:eastAsia="微软雅黑" w:cs="微软雅黑"/>
          <w:sz w:val="24"/>
          <w:szCs w:val="24"/>
        </w:rPr>
      </w:pPr>
      <w:r>
        <w:rPr>
          <w:rFonts w:ascii="微软雅黑" w:hAnsi="微软雅黑" w:eastAsia="微软雅黑" w:cs="微软雅黑"/>
          <w:b/>
          <w:bCs/>
          <w:spacing w:val="-1"/>
          <w:sz w:val="24"/>
          <w:szCs w:val="24"/>
        </w:rPr>
        <w:t xml:space="preserve">24.2.1 </w:t>
      </w:r>
      <w:r>
        <w:fldChar w:fldCharType="begin"/>
      </w:r>
      <w:r>
        <w:instrText xml:space="preserve"> HYPERLINK "http://www.baidu.com/s?wd=%E6%8B%9B%E6%A0%87%E6%96%87%E4%BB%B6&amp;hl_tag=textlink&amp;tn=SE_hldp01350_v6v6zkg6" </w:instrText>
      </w:r>
      <w:r>
        <w:fldChar w:fldCharType="separate"/>
      </w:r>
      <w:r>
        <w:rPr>
          <w:rFonts w:ascii="微软雅黑" w:hAnsi="微软雅黑" w:eastAsia="微软雅黑" w:cs="微软雅黑"/>
          <w:b/>
          <w:bCs/>
          <w:spacing w:val="-1"/>
          <w:sz w:val="24"/>
          <w:szCs w:val="24"/>
        </w:rPr>
        <w:t>本次评标采用综合评分法。综合评分法:是指在满足招标文件</w:t>
      </w:r>
      <w:r>
        <w:rPr>
          <w:rFonts w:ascii="微软雅黑" w:hAnsi="微软雅黑" w:eastAsia="微软雅黑" w:cs="微软雅黑"/>
          <w:b/>
          <w:bCs/>
          <w:spacing w:val="-1"/>
          <w:sz w:val="24"/>
          <w:szCs w:val="24"/>
        </w:rPr>
        <w:fldChar w:fldCharType="end"/>
      </w:r>
      <w:r>
        <w:rPr>
          <w:rFonts w:ascii="微软雅黑" w:hAnsi="微软雅黑" w:eastAsia="微软雅黑" w:cs="微软雅黑"/>
          <w:b/>
          <w:bCs/>
          <w:spacing w:val="-1"/>
          <w:sz w:val="24"/>
          <w:szCs w:val="24"/>
        </w:rPr>
        <w:t>实质</w:t>
      </w:r>
      <w:r>
        <w:rPr>
          <w:rFonts w:ascii="微软雅黑" w:hAnsi="微软雅黑" w:eastAsia="微软雅黑" w:cs="微软雅黑"/>
          <w:b/>
          <w:bCs/>
          <w:spacing w:val="-2"/>
          <w:sz w:val="24"/>
          <w:szCs w:val="24"/>
        </w:rPr>
        <w:t>性要求的前提下，</w:t>
      </w:r>
      <w:r>
        <w:rPr>
          <w:rFonts w:ascii="微软雅黑" w:hAnsi="微软雅黑" w:eastAsia="微软雅黑" w:cs="微软雅黑"/>
          <w:b/>
          <w:bCs/>
          <w:sz w:val="24"/>
          <w:szCs w:val="24"/>
        </w:rPr>
        <w:t xml:space="preserve"> 评标专家按照</w:t>
      </w:r>
      <w:r>
        <w:fldChar w:fldCharType="begin"/>
      </w:r>
      <w:r>
        <w:instrText xml:space="preserve"> HYPERLINK "http://www.baidu.com/s?wd=%E6%8B%9B%E6%A0%87%E6%96%87%E4%BB%B6&amp;hl_tag=textlink&amp;tn=SE_hldp01350_v6v6zkg6" </w:instrText>
      </w:r>
      <w:r>
        <w:fldChar w:fldCharType="separate"/>
      </w:r>
      <w:r>
        <w:rPr>
          <w:rFonts w:ascii="微软雅黑" w:hAnsi="微软雅黑" w:eastAsia="微软雅黑" w:cs="微软雅黑"/>
          <w:b/>
          <w:bCs/>
          <w:sz w:val="24"/>
          <w:szCs w:val="24"/>
        </w:rPr>
        <w:t>招标文件</w:t>
      </w:r>
      <w:r>
        <w:rPr>
          <w:rFonts w:ascii="微软雅黑" w:hAnsi="微软雅黑" w:eastAsia="微软雅黑" w:cs="微软雅黑"/>
          <w:b/>
          <w:bCs/>
          <w:sz w:val="24"/>
          <w:szCs w:val="24"/>
        </w:rPr>
        <w:fldChar w:fldCharType="end"/>
      </w:r>
      <w:r>
        <w:rPr>
          <w:rFonts w:ascii="微软雅黑" w:hAnsi="微软雅黑" w:eastAsia="微软雅黑" w:cs="微软雅黑"/>
          <w:b/>
          <w:bCs/>
          <w:sz w:val="24"/>
          <w:szCs w:val="24"/>
        </w:rPr>
        <w:t>中规定的各项评审因素及其分值</w:t>
      </w:r>
      <w:r>
        <w:rPr>
          <w:rFonts w:ascii="微软雅黑" w:hAnsi="微软雅黑" w:eastAsia="微软雅黑" w:cs="微软雅黑"/>
          <w:b/>
          <w:bCs/>
          <w:spacing w:val="-1"/>
          <w:sz w:val="24"/>
          <w:szCs w:val="24"/>
        </w:rPr>
        <w:t>进行综合评分后，以评分从高到低的顺</w:t>
      </w:r>
      <w:r>
        <w:rPr>
          <w:rFonts w:ascii="微软雅黑" w:hAnsi="微软雅黑" w:eastAsia="微软雅黑" w:cs="微软雅黑"/>
          <w:b/>
          <w:bCs/>
          <w:sz w:val="24"/>
          <w:szCs w:val="24"/>
        </w:rPr>
        <w:t xml:space="preserve">  </w:t>
      </w:r>
      <w:r>
        <w:rPr>
          <w:rFonts w:ascii="微软雅黑" w:hAnsi="微软雅黑" w:eastAsia="微软雅黑" w:cs="微软雅黑"/>
          <w:b/>
          <w:bCs/>
          <w:spacing w:val="-3"/>
          <w:sz w:val="24"/>
          <w:szCs w:val="24"/>
        </w:rPr>
        <w:t>序推荐投标人作为中标候选投标人的评标方法。</w:t>
      </w:r>
    </w:p>
    <w:p w14:paraId="56B63D8F">
      <w:pPr>
        <w:spacing w:before="49" w:line="188" w:lineRule="auto"/>
        <w:ind w:left="520"/>
        <w:rPr>
          <w:rFonts w:ascii="微软雅黑" w:hAnsi="微软雅黑" w:eastAsia="微软雅黑" w:cs="微软雅黑"/>
          <w:sz w:val="24"/>
          <w:szCs w:val="24"/>
        </w:rPr>
      </w:pPr>
      <w:r>
        <w:rPr>
          <w:rFonts w:ascii="微软雅黑" w:hAnsi="微软雅黑" w:eastAsia="微软雅黑" w:cs="微软雅黑"/>
          <w:b/>
          <w:bCs/>
          <w:spacing w:val="-3"/>
          <w:sz w:val="24"/>
          <w:szCs w:val="24"/>
        </w:rPr>
        <w:t>24.2.2 评分因素</w:t>
      </w:r>
    </w:p>
    <w:p w14:paraId="204118F0">
      <w:pPr>
        <w:spacing w:before="270" w:line="347" w:lineRule="auto"/>
        <w:ind w:left="47" w:right="70" w:firstLine="478"/>
        <w:jc w:val="both"/>
        <w:rPr>
          <w:rFonts w:ascii="微软雅黑" w:hAnsi="微软雅黑" w:eastAsia="微软雅黑" w:cs="微软雅黑"/>
          <w:sz w:val="24"/>
          <w:szCs w:val="24"/>
        </w:rPr>
      </w:pPr>
      <w:r>
        <w:rPr>
          <w:rFonts w:ascii="微软雅黑" w:hAnsi="微软雅黑" w:eastAsia="微软雅黑" w:cs="微软雅黑"/>
          <w:spacing w:val="1"/>
          <w:sz w:val="24"/>
          <w:szCs w:val="24"/>
        </w:rPr>
        <w:t>评分的主要因素分为价格因素、技术因素和商务</w:t>
      </w:r>
      <w:r>
        <w:rPr>
          <w:rFonts w:ascii="微软雅黑" w:hAnsi="微软雅黑" w:eastAsia="微软雅黑" w:cs="微软雅黑"/>
          <w:sz w:val="24"/>
          <w:szCs w:val="24"/>
        </w:rPr>
        <w:t xml:space="preserve">因素。评分因素详见评分表。评标分值保 </w:t>
      </w:r>
      <w:r>
        <w:rPr>
          <w:rFonts w:ascii="微软雅黑" w:hAnsi="微软雅黑" w:eastAsia="微软雅黑" w:cs="微软雅黑"/>
          <w:spacing w:val="1"/>
          <w:sz w:val="24"/>
          <w:szCs w:val="24"/>
        </w:rPr>
        <w:t>留至两位小数。评标时，评标专家依照评分表</w:t>
      </w:r>
      <w:r>
        <w:rPr>
          <w:rFonts w:ascii="微软雅黑" w:hAnsi="微软雅黑" w:eastAsia="微软雅黑" w:cs="微软雅黑"/>
          <w:sz w:val="24"/>
          <w:szCs w:val="24"/>
        </w:rPr>
        <w:t xml:space="preserve">对每个有效投标人的投标文件进行独立评审、打 </w:t>
      </w:r>
      <w:r>
        <w:rPr>
          <w:rFonts w:ascii="微软雅黑" w:hAnsi="微软雅黑" w:eastAsia="微软雅黑" w:cs="微软雅黑"/>
          <w:spacing w:val="-13"/>
          <w:sz w:val="24"/>
          <w:szCs w:val="24"/>
        </w:rPr>
        <w:t>分。</w:t>
      </w:r>
    </w:p>
    <w:p w14:paraId="185B2F4D">
      <w:pPr>
        <w:spacing w:before="5" w:line="188" w:lineRule="auto"/>
        <w:ind w:left="520"/>
        <w:rPr>
          <w:rFonts w:ascii="微软雅黑" w:hAnsi="微软雅黑" w:eastAsia="微软雅黑" w:cs="微软雅黑"/>
          <w:sz w:val="24"/>
          <w:szCs w:val="24"/>
        </w:rPr>
      </w:pPr>
      <w:r>
        <w:rPr>
          <w:rFonts w:ascii="微软雅黑" w:hAnsi="微软雅黑" w:eastAsia="微软雅黑" w:cs="微软雅黑"/>
          <w:b/>
          <w:bCs/>
          <w:spacing w:val="-3"/>
          <w:sz w:val="24"/>
          <w:szCs w:val="24"/>
        </w:rPr>
        <w:t>24.2.3 评分标准</w:t>
      </w:r>
    </w:p>
    <w:p w14:paraId="2A1E8173">
      <w:pPr>
        <w:spacing w:before="272" w:line="346" w:lineRule="auto"/>
        <w:ind w:left="47" w:right="88" w:firstLine="477"/>
        <w:rPr>
          <w:rFonts w:ascii="微软雅黑" w:hAnsi="微软雅黑" w:eastAsia="微软雅黑" w:cs="微软雅黑"/>
          <w:sz w:val="24"/>
          <w:szCs w:val="24"/>
        </w:rPr>
      </w:pPr>
      <w:r>
        <w:rPr>
          <w:rFonts w:ascii="微软雅黑" w:hAnsi="微软雅黑" w:eastAsia="微软雅黑" w:cs="微软雅黑"/>
          <w:spacing w:val="-3"/>
          <w:sz w:val="24"/>
          <w:szCs w:val="24"/>
        </w:rPr>
        <w:t>（1）评标委员会根据招标文件，在对投标人投标文件</w:t>
      </w:r>
      <w:r>
        <w:rPr>
          <w:rFonts w:ascii="微软雅黑" w:hAnsi="微软雅黑" w:eastAsia="微软雅黑" w:cs="微软雅黑"/>
          <w:spacing w:val="-4"/>
          <w:sz w:val="24"/>
          <w:szCs w:val="24"/>
        </w:rPr>
        <w:t>综合评审的基础上进行评估打分。打</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分采取百分制，</w:t>
      </w:r>
      <w:r>
        <w:rPr>
          <w:rFonts w:ascii="微软雅黑" w:hAnsi="微软雅黑" w:eastAsia="微软雅黑" w:cs="微软雅黑"/>
          <w:b/>
          <w:bCs/>
          <w:spacing w:val="-6"/>
          <w:sz w:val="24"/>
          <w:szCs w:val="24"/>
        </w:rPr>
        <w:t>其中：技术、商务部分为 80 分，报价分 20 分，</w:t>
      </w:r>
    </w:p>
    <w:p w14:paraId="1E650EC5">
      <w:pPr>
        <w:spacing w:before="7" w:line="346" w:lineRule="auto"/>
        <w:ind w:left="45" w:firstLine="479"/>
        <w:rPr>
          <w:rFonts w:ascii="微软雅黑" w:hAnsi="微软雅黑" w:eastAsia="微软雅黑" w:cs="微软雅黑"/>
          <w:sz w:val="24"/>
          <w:szCs w:val="24"/>
        </w:rPr>
      </w:pPr>
      <w:r>
        <w:rPr>
          <w:rFonts w:ascii="微软雅黑" w:hAnsi="微软雅黑" w:eastAsia="微软雅黑" w:cs="微软雅黑"/>
          <w:spacing w:val="-4"/>
          <w:sz w:val="24"/>
          <w:szCs w:val="24"/>
        </w:rPr>
        <w:t>（2）中标候选人并列式时的处理方式：</w:t>
      </w:r>
      <w:r>
        <w:rPr>
          <w:rFonts w:ascii="微软雅黑" w:hAnsi="微软雅黑" w:eastAsia="微软雅黑" w:cs="微软雅黑"/>
          <w:spacing w:val="-49"/>
          <w:sz w:val="24"/>
          <w:szCs w:val="24"/>
        </w:rPr>
        <w:t xml:space="preserve"> </w:t>
      </w:r>
      <w:r>
        <w:rPr>
          <w:rFonts w:ascii="微软雅黑" w:hAnsi="微软雅黑" w:eastAsia="微软雅黑" w:cs="微软雅黑"/>
          <w:spacing w:val="-4"/>
          <w:sz w:val="24"/>
          <w:szCs w:val="24"/>
        </w:rPr>
        <w:t>综合评标法，则：</w:t>
      </w:r>
      <w:r>
        <w:rPr>
          <w:rFonts w:ascii="微软雅黑" w:hAnsi="微软雅黑" w:eastAsia="微软雅黑" w:cs="微软雅黑"/>
          <w:spacing w:val="-51"/>
          <w:sz w:val="24"/>
          <w:szCs w:val="24"/>
        </w:rPr>
        <w:t xml:space="preserve"> </w:t>
      </w:r>
      <w:r>
        <w:rPr>
          <w:rFonts w:ascii="微软雅黑" w:hAnsi="微软雅黑" w:eastAsia="微软雅黑" w:cs="微软雅黑"/>
          <w:spacing w:val="-4"/>
          <w:sz w:val="24"/>
          <w:szCs w:val="24"/>
        </w:rPr>
        <w:t>评审得分相同的，按投标报价排</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列，报价最低的投标人获得中标人推荐资格；</w:t>
      </w:r>
      <w:r>
        <w:rPr>
          <w:rFonts w:ascii="微软雅黑" w:hAnsi="微软雅黑" w:eastAsia="微软雅黑" w:cs="微软雅黑"/>
          <w:spacing w:val="-4"/>
          <w:sz w:val="24"/>
          <w:szCs w:val="24"/>
        </w:rPr>
        <w:t>得分与投标报价均相同的，按技术指标优劣排列，</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技术得分最高的投标人获得中标人推荐资格。</w:t>
      </w:r>
    </w:p>
    <w:p w14:paraId="42307E9F">
      <w:pPr>
        <w:spacing w:before="4" w:line="184" w:lineRule="auto"/>
        <w:ind w:left="524"/>
        <w:rPr>
          <w:rFonts w:ascii="微软雅黑" w:hAnsi="微软雅黑" w:eastAsia="微软雅黑" w:cs="微软雅黑"/>
          <w:sz w:val="24"/>
          <w:szCs w:val="24"/>
        </w:rPr>
      </w:pPr>
      <w:r>
        <w:rPr>
          <w:rFonts w:ascii="微软雅黑" w:hAnsi="微软雅黑" w:eastAsia="微软雅黑" w:cs="微软雅黑"/>
          <w:b/>
          <w:bCs/>
          <w:spacing w:val="-6"/>
          <w:sz w:val="24"/>
          <w:szCs w:val="24"/>
        </w:rPr>
        <w:t>（3）评分项目、分值及评分办法如下：</w:t>
      </w:r>
    </w:p>
    <w:p w14:paraId="56B6FDDE">
      <w:pPr>
        <w:spacing w:before="280" w:line="188" w:lineRule="auto"/>
        <w:ind w:left="525"/>
        <w:rPr>
          <w:rFonts w:ascii="微软雅黑" w:hAnsi="微软雅黑" w:eastAsia="微软雅黑" w:cs="微软雅黑"/>
          <w:sz w:val="24"/>
          <w:szCs w:val="24"/>
        </w:rPr>
      </w:pPr>
      <w:r>
        <w:rPr>
          <w:rFonts w:ascii="微软雅黑" w:hAnsi="微软雅黑" w:eastAsia="微软雅黑" w:cs="微软雅黑"/>
          <w:spacing w:val="-2"/>
          <w:sz w:val="24"/>
          <w:szCs w:val="24"/>
        </w:rPr>
        <w:t>评标委员会对通过符合性审查的投标人的投标文件进行详细评审。详细审查表如下：</w:t>
      </w:r>
    </w:p>
    <w:p w14:paraId="1AF833C1">
      <w:pPr>
        <w:spacing w:before="255" w:line="187" w:lineRule="auto"/>
        <w:ind w:left="46"/>
        <w:rPr>
          <w:rFonts w:ascii="微软雅黑" w:hAnsi="微软雅黑" w:eastAsia="微软雅黑" w:cs="微软雅黑"/>
          <w:sz w:val="28"/>
          <w:szCs w:val="28"/>
        </w:rPr>
      </w:pPr>
      <w:r>
        <w:rPr>
          <w:rFonts w:ascii="微软雅黑" w:hAnsi="微软雅黑" w:eastAsia="微软雅黑" w:cs="微软雅黑"/>
          <w:b/>
          <w:bCs/>
          <w:spacing w:val="-3"/>
          <w:sz w:val="28"/>
          <w:szCs w:val="28"/>
        </w:rPr>
        <w:t>标段一临床危急值管理系统：评分项目、分值及评分办法如下：</w:t>
      </w:r>
    </w:p>
    <w:p w14:paraId="063BDC46">
      <w:pPr>
        <w:spacing w:line="181" w:lineRule="exact"/>
      </w:pPr>
    </w:p>
    <w:tbl>
      <w:tblPr>
        <w:tblStyle w:val="5"/>
        <w:tblW w:w="9813" w:type="dxa"/>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1214"/>
        <w:gridCol w:w="629"/>
        <w:gridCol w:w="7471"/>
      </w:tblGrid>
      <w:tr w14:paraId="32A0F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99" w:type="dxa"/>
            <w:textDirection w:val="tbRlV"/>
            <w:vAlign w:val="top"/>
          </w:tcPr>
          <w:p w14:paraId="23D89B7B">
            <w:pPr>
              <w:spacing w:before="127" w:line="208" w:lineRule="auto"/>
              <w:ind w:left="37"/>
              <w:rPr>
                <w:rFonts w:ascii="宋体" w:hAnsi="宋体" w:eastAsia="宋体" w:cs="宋体"/>
                <w:sz w:val="24"/>
                <w:szCs w:val="24"/>
              </w:rPr>
            </w:pPr>
            <w:r>
              <w:rPr>
                <w:rFonts w:ascii="宋体" w:hAnsi="宋体" w:eastAsia="宋体" w:cs="宋体"/>
                <w:b/>
                <w:bCs/>
                <w:spacing w:val="33"/>
                <w:sz w:val="24"/>
                <w:szCs w:val="24"/>
              </w:rPr>
              <w:t>类别</w:t>
            </w:r>
          </w:p>
        </w:tc>
        <w:tc>
          <w:tcPr>
            <w:tcW w:w="1214" w:type="dxa"/>
            <w:vAlign w:val="top"/>
          </w:tcPr>
          <w:p w14:paraId="00621DCA">
            <w:pPr>
              <w:spacing w:before="193" w:line="220" w:lineRule="auto"/>
              <w:ind w:left="123"/>
              <w:rPr>
                <w:rFonts w:ascii="宋体" w:hAnsi="宋体" w:eastAsia="宋体" w:cs="宋体"/>
                <w:sz w:val="24"/>
                <w:szCs w:val="24"/>
              </w:rPr>
            </w:pPr>
            <w:r>
              <w:rPr>
                <w:rFonts w:ascii="宋体" w:hAnsi="宋体" w:eastAsia="宋体" w:cs="宋体"/>
                <w:b/>
                <w:bCs/>
                <w:spacing w:val="-4"/>
                <w:sz w:val="24"/>
                <w:szCs w:val="24"/>
              </w:rPr>
              <w:t>评审项目</w:t>
            </w:r>
          </w:p>
        </w:tc>
        <w:tc>
          <w:tcPr>
            <w:tcW w:w="629" w:type="dxa"/>
            <w:textDirection w:val="tbRlV"/>
            <w:vAlign w:val="top"/>
          </w:tcPr>
          <w:p w14:paraId="2B9BFDA6">
            <w:pPr>
              <w:spacing w:before="193" w:line="208" w:lineRule="auto"/>
              <w:ind w:left="37"/>
              <w:rPr>
                <w:rFonts w:ascii="宋体" w:hAnsi="宋体" w:eastAsia="宋体" w:cs="宋体"/>
                <w:sz w:val="24"/>
                <w:szCs w:val="24"/>
              </w:rPr>
            </w:pPr>
            <w:r>
              <w:rPr>
                <w:rFonts w:ascii="宋体" w:hAnsi="宋体" w:eastAsia="宋体" w:cs="宋体"/>
                <w:b/>
                <w:bCs/>
                <w:spacing w:val="33"/>
                <w:sz w:val="24"/>
                <w:szCs w:val="24"/>
              </w:rPr>
              <w:t>分值</w:t>
            </w:r>
          </w:p>
        </w:tc>
        <w:tc>
          <w:tcPr>
            <w:tcW w:w="7471" w:type="dxa"/>
            <w:vAlign w:val="top"/>
          </w:tcPr>
          <w:p w14:paraId="00CBBA71">
            <w:pPr>
              <w:spacing w:before="193" w:line="220" w:lineRule="auto"/>
              <w:ind w:left="3255"/>
              <w:rPr>
                <w:rFonts w:ascii="宋体" w:hAnsi="宋体" w:eastAsia="宋体" w:cs="宋体"/>
                <w:sz w:val="24"/>
                <w:szCs w:val="24"/>
              </w:rPr>
            </w:pPr>
            <w:r>
              <w:rPr>
                <w:rFonts w:ascii="宋体" w:hAnsi="宋体" w:eastAsia="宋体" w:cs="宋体"/>
                <w:b/>
                <w:bCs/>
                <w:spacing w:val="-4"/>
                <w:sz w:val="24"/>
                <w:szCs w:val="24"/>
              </w:rPr>
              <w:t>评分细则</w:t>
            </w:r>
          </w:p>
        </w:tc>
      </w:tr>
      <w:tr w14:paraId="14570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499" w:type="dxa"/>
            <w:textDirection w:val="tbRlV"/>
            <w:vAlign w:val="top"/>
          </w:tcPr>
          <w:p w14:paraId="4FF8537D">
            <w:pPr>
              <w:pStyle w:val="6"/>
              <w:spacing w:before="127" w:line="172" w:lineRule="auto"/>
              <w:ind w:left="147"/>
            </w:pPr>
            <w:r>
              <w:rPr>
                <w:spacing w:val="4"/>
              </w:rPr>
              <w:t>报 价</w:t>
            </w:r>
          </w:p>
        </w:tc>
        <w:tc>
          <w:tcPr>
            <w:tcW w:w="1214" w:type="dxa"/>
            <w:vAlign w:val="top"/>
          </w:tcPr>
          <w:p w14:paraId="71B07642">
            <w:pPr>
              <w:pStyle w:val="6"/>
              <w:spacing w:before="307" w:line="188" w:lineRule="auto"/>
              <w:ind w:left="132"/>
            </w:pPr>
            <w:r>
              <w:rPr>
                <w:spacing w:val="-3"/>
              </w:rPr>
              <w:t>投标价格</w:t>
            </w:r>
          </w:p>
        </w:tc>
        <w:tc>
          <w:tcPr>
            <w:tcW w:w="629" w:type="dxa"/>
            <w:vAlign w:val="top"/>
          </w:tcPr>
          <w:p w14:paraId="7789D123">
            <w:pPr>
              <w:pStyle w:val="6"/>
              <w:spacing w:before="188" w:line="186" w:lineRule="auto"/>
              <w:ind w:left="204" w:right="192" w:hanging="37"/>
            </w:pPr>
            <w:r>
              <w:rPr>
                <w:spacing w:val="-22"/>
                <w:w w:val="96"/>
              </w:rPr>
              <w:t>20</w:t>
            </w:r>
            <w:r>
              <w:rPr>
                <w:spacing w:val="1"/>
              </w:rPr>
              <w:t xml:space="preserve"> </w:t>
            </w:r>
            <w:r>
              <w:rPr>
                <w:spacing w:val="-2"/>
                <w:w w:val="93"/>
              </w:rPr>
              <w:t>分</w:t>
            </w:r>
          </w:p>
        </w:tc>
        <w:tc>
          <w:tcPr>
            <w:tcW w:w="7471" w:type="dxa"/>
            <w:vAlign w:val="top"/>
          </w:tcPr>
          <w:p w14:paraId="7979331C">
            <w:pPr>
              <w:pStyle w:val="6"/>
              <w:spacing w:before="13" w:line="158" w:lineRule="auto"/>
              <w:ind w:left="115" w:right="102" w:firstLine="25"/>
              <w:jc w:val="both"/>
            </w:pPr>
            <w:r>
              <w:t>以满足招标文件要求且投标价格最低的投标报价为评标</w:t>
            </w:r>
            <w:r>
              <w:rPr>
                <w:spacing w:val="-1"/>
              </w:rPr>
              <w:t>基准价，</w:t>
            </w:r>
            <w:r>
              <w:rPr>
                <w:spacing w:val="-49"/>
              </w:rPr>
              <w:t xml:space="preserve"> </w:t>
            </w:r>
            <w:r>
              <w:rPr>
                <w:spacing w:val="-1"/>
              </w:rPr>
              <w:t>其价</w:t>
            </w:r>
            <w:r>
              <w:t xml:space="preserve"> </w:t>
            </w:r>
            <w:r>
              <w:rPr>
                <w:spacing w:val="-4"/>
              </w:rPr>
              <w:t>格分为满分 20 分，其他投标人的价格分按照下</w:t>
            </w:r>
            <w:r>
              <w:rPr>
                <w:spacing w:val="-5"/>
              </w:rPr>
              <w:t>列公式计算：投标报价</w:t>
            </w:r>
            <w:r>
              <w:t xml:space="preserve"> </w:t>
            </w:r>
            <w:r>
              <w:rPr>
                <w:spacing w:val="-8"/>
              </w:rPr>
              <w:t>得分=（评标基准价/投标报价）×20*100%</w:t>
            </w:r>
          </w:p>
        </w:tc>
      </w:tr>
      <w:tr w14:paraId="51EA2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499" w:type="dxa"/>
            <w:vMerge w:val="restart"/>
            <w:tcBorders>
              <w:bottom w:val="nil"/>
            </w:tcBorders>
            <w:vAlign w:val="top"/>
          </w:tcPr>
          <w:p w14:paraId="6A4D8BC1">
            <w:pPr>
              <w:rPr>
                <w:rFonts w:ascii="Arial"/>
                <w:sz w:val="21"/>
              </w:rPr>
            </w:pPr>
          </w:p>
        </w:tc>
        <w:tc>
          <w:tcPr>
            <w:tcW w:w="1214" w:type="dxa"/>
            <w:vAlign w:val="top"/>
          </w:tcPr>
          <w:p w14:paraId="0F466661">
            <w:pPr>
              <w:pStyle w:val="6"/>
              <w:spacing w:before="209" w:line="184" w:lineRule="auto"/>
              <w:ind w:left="114" w:right="106"/>
              <w:jc w:val="both"/>
            </w:pPr>
            <w:r>
              <w:rPr>
                <w:spacing w:val="5"/>
              </w:rPr>
              <w:t>产品标准</w:t>
            </w:r>
            <w:r>
              <w:t xml:space="preserve"> </w:t>
            </w:r>
            <w:r>
              <w:rPr>
                <w:spacing w:val="5"/>
              </w:rPr>
              <w:t>化与稳定</w:t>
            </w:r>
            <w:r>
              <w:rPr>
                <w:spacing w:val="1"/>
              </w:rPr>
              <w:t xml:space="preserve"> </w:t>
            </w:r>
            <w:r>
              <w:t>性</w:t>
            </w:r>
          </w:p>
        </w:tc>
        <w:tc>
          <w:tcPr>
            <w:tcW w:w="629" w:type="dxa"/>
            <w:vAlign w:val="top"/>
          </w:tcPr>
          <w:p w14:paraId="35AB0C99">
            <w:pPr>
              <w:spacing w:line="308" w:lineRule="auto"/>
              <w:rPr>
                <w:rFonts w:ascii="Arial"/>
                <w:sz w:val="21"/>
              </w:rPr>
            </w:pPr>
          </w:p>
          <w:p w14:paraId="13377901">
            <w:pPr>
              <w:pStyle w:val="6"/>
              <w:spacing w:before="103" w:line="187" w:lineRule="auto"/>
              <w:ind w:left="204" w:right="192" w:firstLine="24"/>
            </w:pPr>
            <w:r>
              <w:rPr>
                <w:spacing w:val="-34"/>
              </w:rPr>
              <w:t>5</w:t>
            </w:r>
            <w:r>
              <w:t xml:space="preserve">  </w:t>
            </w:r>
            <w:r>
              <w:rPr>
                <w:spacing w:val="-2"/>
                <w:w w:val="93"/>
              </w:rPr>
              <w:t>分</w:t>
            </w:r>
          </w:p>
        </w:tc>
        <w:tc>
          <w:tcPr>
            <w:tcW w:w="7471" w:type="dxa"/>
            <w:vAlign w:val="top"/>
          </w:tcPr>
          <w:p w14:paraId="640ABDE4">
            <w:pPr>
              <w:pStyle w:val="6"/>
              <w:spacing w:before="56" w:line="181" w:lineRule="auto"/>
              <w:ind w:left="116" w:right="102"/>
            </w:pPr>
            <w:r>
              <w:t>考虑到数据上报的标准化和稳定性，投标人应具有成熟的产品，</w:t>
            </w:r>
            <w:r>
              <w:rPr>
                <w:spacing w:val="-31"/>
              </w:rPr>
              <w:t xml:space="preserve"> </w:t>
            </w:r>
            <w:r>
              <w:t xml:space="preserve">提供 </w:t>
            </w:r>
            <w:r>
              <w:rPr>
                <w:spacing w:val="-6"/>
              </w:rPr>
              <w:t>相以下证明材料。</w:t>
            </w:r>
          </w:p>
          <w:p w14:paraId="17B3121F">
            <w:pPr>
              <w:pStyle w:val="6"/>
              <w:spacing w:before="1" w:line="171" w:lineRule="auto"/>
              <w:ind w:left="118" w:right="2800" w:hanging="3"/>
            </w:pPr>
            <w:r>
              <w:rPr>
                <w:spacing w:val="-1"/>
              </w:rPr>
              <w:t>投标人具有危急值系统软件著作权登记证书</w:t>
            </w:r>
            <w:r>
              <w:rPr>
                <w:spacing w:val="2"/>
              </w:rPr>
              <w:t xml:space="preserve"> </w:t>
            </w:r>
            <w:r>
              <w:rPr>
                <w:spacing w:val="-7"/>
              </w:rPr>
              <w:t>具有的得 5 分，不具有得 0 分。</w:t>
            </w:r>
          </w:p>
        </w:tc>
      </w:tr>
      <w:tr w14:paraId="33FD2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99" w:type="dxa"/>
            <w:vMerge w:val="continue"/>
            <w:tcBorders>
              <w:top w:val="nil"/>
            </w:tcBorders>
            <w:vAlign w:val="top"/>
          </w:tcPr>
          <w:p w14:paraId="532C87CD">
            <w:pPr>
              <w:rPr>
                <w:rFonts w:ascii="Arial"/>
                <w:sz w:val="21"/>
              </w:rPr>
            </w:pPr>
          </w:p>
        </w:tc>
        <w:tc>
          <w:tcPr>
            <w:tcW w:w="1214" w:type="dxa"/>
            <w:vAlign w:val="top"/>
          </w:tcPr>
          <w:p w14:paraId="2403B025">
            <w:pPr>
              <w:pStyle w:val="6"/>
              <w:spacing w:before="42" w:line="262" w:lineRule="exact"/>
              <w:ind w:left="141"/>
            </w:pPr>
            <w:r>
              <w:rPr>
                <w:spacing w:val="-2"/>
                <w:position w:val="-1"/>
              </w:rPr>
              <w:t>国产化认</w:t>
            </w:r>
          </w:p>
        </w:tc>
        <w:tc>
          <w:tcPr>
            <w:tcW w:w="629" w:type="dxa"/>
            <w:vAlign w:val="top"/>
          </w:tcPr>
          <w:p w14:paraId="7BF04E3E">
            <w:pPr>
              <w:pStyle w:val="6"/>
              <w:spacing w:before="85" w:line="220" w:lineRule="exact"/>
              <w:ind w:left="223"/>
            </w:pPr>
            <w:r>
              <w:rPr>
                <w:position w:val="-4"/>
              </w:rPr>
              <w:t>4</w:t>
            </w:r>
          </w:p>
        </w:tc>
        <w:tc>
          <w:tcPr>
            <w:tcW w:w="7471" w:type="dxa"/>
            <w:vAlign w:val="top"/>
          </w:tcPr>
          <w:p w14:paraId="78E9E60B">
            <w:pPr>
              <w:pStyle w:val="6"/>
              <w:spacing w:before="37" w:line="267" w:lineRule="exact"/>
              <w:ind w:left="117"/>
            </w:pPr>
            <w:r>
              <w:rPr>
                <w:spacing w:val="1"/>
              </w:rPr>
              <w:t>提供本项目的软件系统投标产品生产厂家能够兼容国产操作系统及国</w:t>
            </w:r>
          </w:p>
        </w:tc>
      </w:tr>
    </w:tbl>
    <w:p w14:paraId="37DA81E1">
      <w:pPr>
        <w:pStyle w:val="2"/>
        <w:spacing w:line="293" w:lineRule="auto"/>
      </w:pPr>
    </w:p>
    <w:p w14:paraId="22033A97">
      <w:pPr>
        <w:spacing w:before="63" w:line="209" w:lineRule="auto"/>
        <w:ind w:left="138"/>
        <w:rPr>
          <w:rFonts w:ascii="宋体" w:hAnsi="宋体" w:eastAsia="宋体" w:cs="宋体"/>
          <w:sz w:val="19"/>
          <w:szCs w:val="19"/>
        </w:rPr>
      </w:pPr>
      <w:r>
        <w:pict>
          <v:shape id="_x0000_s1066" o:spid="_x0000_s1066" style="position:absolute;left:0pt;margin-left:1.45pt;margin-top:11.8pt;height:0.75pt;width:494pt;z-index:251728896;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85                                </w:t>
      </w:r>
      <w:r>
        <w:rPr>
          <w:rFonts w:ascii="宋体" w:hAnsi="宋体" w:eastAsia="宋体" w:cs="宋体"/>
          <w:b/>
          <w:bCs/>
          <w:i/>
          <w:iCs/>
          <w:spacing w:val="-3"/>
          <w:sz w:val="19"/>
          <w:szCs w:val="19"/>
        </w:rPr>
        <w:t>伊犁州公共资源交易中心</w:t>
      </w:r>
    </w:p>
    <w:p w14:paraId="0BFE30A8">
      <w:pPr>
        <w:spacing w:line="209" w:lineRule="auto"/>
        <w:rPr>
          <w:rFonts w:ascii="宋体" w:hAnsi="宋体" w:eastAsia="宋体" w:cs="宋体"/>
          <w:sz w:val="19"/>
          <w:szCs w:val="19"/>
        </w:rPr>
        <w:sectPr>
          <w:headerReference r:id="rId80" w:type="default"/>
          <w:footerReference r:id="rId81" w:type="default"/>
          <w:pgSz w:w="11905" w:h="16839"/>
          <w:pgMar w:top="1136" w:right="788" w:bottom="400" w:left="1136" w:header="854" w:footer="0" w:gutter="0"/>
          <w:cols w:space="720" w:num="1"/>
        </w:sectPr>
      </w:pPr>
    </w:p>
    <w:p w14:paraId="7B7F79A6">
      <w:pPr>
        <w:spacing w:before="38"/>
      </w:pPr>
    </w:p>
    <w:tbl>
      <w:tblPr>
        <w:tblStyle w:val="5"/>
        <w:tblW w:w="9813" w:type="dxa"/>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1214"/>
        <w:gridCol w:w="629"/>
        <w:gridCol w:w="7471"/>
      </w:tblGrid>
      <w:tr w14:paraId="7AB97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5" w:hRule="atLeast"/>
        </w:trPr>
        <w:tc>
          <w:tcPr>
            <w:tcW w:w="499" w:type="dxa"/>
            <w:vMerge w:val="restart"/>
            <w:tcBorders>
              <w:bottom w:val="nil"/>
            </w:tcBorders>
            <w:vAlign w:val="top"/>
          </w:tcPr>
          <w:p w14:paraId="3A512BF6">
            <w:pPr>
              <w:pStyle w:val="6"/>
              <w:spacing w:before="41" w:line="183" w:lineRule="auto"/>
              <w:ind w:left="119" w:right="145" w:firstLine="7"/>
              <w:jc w:val="both"/>
            </w:pPr>
            <w:r>
              <w:rPr>
                <w:spacing w:val="-8"/>
                <w:w w:val="93"/>
              </w:rPr>
              <w:t>商</w:t>
            </w:r>
            <w:r>
              <w:t xml:space="preserve"> </w:t>
            </w:r>
            <w:r>
              <w:rPr>
                <w:spacing w:val="-1"/>
                <w:w w:val="93"/>
              </w:rPr>
              <w:t>务</w:t>
            </w:r>
            <w:r>
              <w:t xml:space="preserve"> </w:t>
            </w:r>
            <w:r>
              <w:rPr>
                <w:spacing w:val="-7"/>
                <w:w w:val="95"/>
              </w:rPr>
              <w:t>部</w:t>
            </w:r>
            <w:r>
              <w:rPr>
                <w:spacing w:val="1"/>
              </w:rPr>
              <w:t xml:space="preserve"> </w:t>
            </w:r>
            <w:r>
              <w:rPr>
                <w:spacing w:val="-2"/>
                <w:w w:val="93"/>
              </w:rPr>
              <w:t>分</w:t>
            </w:r>
            <w:r>
              <w:rPr>
                <w:spacing w:val="1"/>
              </w:rPr>
              <w:t xml:space="preserve"> </w:t>
            </w:r>
            <w:r>
              <w:rPr>
                <w:spacing w:val="-30"/>
              </w:rPr>
              <w:t>18</w:t>
            </w:r>
            <w:r>
              <w:t xml:space="preserve"> </w:t>
            </w:r>
            <w:r>
              <w:rPr>
                <w:spacing w:val="-2"/>
                <w:w w:val="93"/>
              </w:rPr>
              <w:t>分</w:t>
            </w:r>
          </w:p>
        </w:tc>
        <w:tc>
          <w:tcPr>
            <w:tcW w:w="1214" w:type="dxa"/>
            <w:vAlign w:val="top"/>
          </w:tcPr>
          <w:p w14:paraId="3083CE70">
            <w:pPr>
              <w:pStyle w:val="6"/>
              <w:spacing w:before="36" w:line="197" w:lineRule="auto"/>
              <w:ind w:left="113"/>
            </w:pPr>
            <w:r>
              <w:t>证</w:t>
            </w:r>
          </w:p>
        </w:tc>
        <w:tc>
          <w:tcPr>
            <w:tcW w:w="629" w:type="dxa"/>
            <w:vAlign w:val="top"/>
          </w:tcPr>
          <w:p w14:paraId="05C0116D">
            <w:pPr>
              <w:pStyle w:val="6"/>
              <w:spacing w:before="37" w:line="188" w:lineRule="auto"/>
              <w:ind w:left="204"/>
            </w:pPr>
            <w:r>
              <w:t>分</w:t>
            </w:r>
          </w:p>
        </w:tc>
        <w:tc>
          <w:tcPr>
            <w:tcW w:w="7471" w:type="dxa"/>
            <w:vAlign w:val="top"/>
          </w:tcPr>
          <w:p w14:paraId="2AA2294E">
            <w:pPr>
              <w:pStyle w:val="6"/>
              <w:spacing w:before="18" w:line="163" w:lineRule="auto"/>
              <w:ind w:left="117"/>
            </w:pPr>
            <w:r>
              <w:rPr>
                <w:spacing w:val="-7"/>
              </w:rPr>
              <w:t>产数据库系统。</w:t>
            </w:r>
          </w:p>
          <w:p w14:paraId="6F16A422">
            <w:pPr>
              <w:pStyle w:val="6"/>
              <w:spacing w:line="163" w:lineRule="auto"/>
              <w:ind w:left="126"/>
            </w:pPr>
            <w:r>
              <w:rPr>
                <w:spacing w:val="1"/>
              </w:rPr>
              <w:t>1.获得国产化数据库兼容认证证书</w:t>
            </w:r>
          </w:p>
          <w:p w14:paraId="27EAF5E6">
            <w:pPr>
              <w:pStyle w:val="6"/>
              <w:spacing w:line="163" w:lineRule="auto"/>
              <w:ind w:left="112" w:right="3280" w:hanging="1"/>
            </w:pPr>
            <w:r>
              <w:rPr>
                <w:spacing w:val="1"/>
              </w:rPr>
              <w:t>2.获得国产化应用服务器兼容认证证书</w:t>
            </w:r>
            <w:r>
              <w:rPr>
                <w:spacing w:val="11"/>
              </w:rPr>
              <w:t xml:space="preserve"> </w:t>
            </w:r>
            <w:r>
              <w:rPr>
                <w:spacing w:val="-7"/>
              </w:rPr>
              <w:t>3.获得国产 CPU 兼容认证证书</w:t>
            </w:r>
          </w:p>
          <w:p w14:paraId="50FC1F8D">
            <w:pPr>
              <w:pStyle w:val="6"/>
              <w:spacing w:line="163" w:lineRule="auto"/>
              <w:ind w:left="107"/>
            </w:pPr>
            <w:r>
              <w:rPr>
                <w:spacing w:val="2"/>
              </w:rPr>
              <w:t>4.获得国产操作系统兼容认证证书</w:t>
            </w:r>
          </w:p>
          <w:p w14:paraId="7802C983">
            <w:pPr>
              <w:pStyle w:val="6"/>
              <w:spacing w:before="1" w:line="174" w:lineRule="auto"/>
              <w:ind w:left="140"/>
            </w:pPr>
            <w:r>
              <w:rPr>
                <w:spacing w:val="-5"/>
              </w:rPr>
              <w:t xml:space="preserve">以上证书每提供一个得 1 分最高得 4 </w:t>
            </w:r>
            <w:r>
              <w:rPr>
                <w:spacing w:val="-6"/>
              </w:rPr>
              <w:t>分，未提供不得分。</w:t>
            </w:r>
          </w:p>
          <w:p w14:paraId="0929C0A6">
            <w:pPr>
              <w:pStyle w:val="6"/>
              <w:spacing w:line="267" w:lineRule="exact"/>
              <w:ind w:left="115"/>
            </w:pPr>
            <w:r>
              <w:rPr>
                <w:spacing w:val="-2"/>
              </w:rPr>
              <w:t>（须提供兼容认证厂商加盖公章的认证证书且官方可查）。</w:t>
            </w:r>
          </w:p>
        </w:tc>
      </w:tr>
      <w:tr w14:paraId="3C581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499" w:type="dxa"/>
            <w:vMerge w:val="continue"/>
            <w:tcBorders>
              <w:top w:val="nil"/>
            </w:tcBorders>
            <w:vAlign w:val="top"/>
          </w:tcPr>
          <w:p w14:paraId="38A71338">
            <w:pPr>
              <w:rPr>
                <w:rFonts w:ascii="Arial"/>
                <w:sz w:val="21"/>
              </w:rPr>
            </w:pPr>
          </w:p>
        </w:tc>
        <w:tc>
          <w:tcPr>
            <w:tcW w:w="1214" w:type="dxa"/>
            <w:vAlign w:val="top"/>
          </w:tcPr>
          <w:p w14:paraId="3F6C9694">
            <w:pPr>
              <w:spacing w:line="291" w:lineRule="auto"/>
              <w:rPr>
                <w:rFonts w:ascii="Arial"/>
                <w:sz w:val="21"/>
              </w:rPr>
            </w:pPr>
          </w:p>
          <w:p w14:paraId="202A5343">
            <w:pPr>
              <w:pStyle w:val="6"/>
              <w:spacing w:before="103" w:line="188" w:lineRule="auto"/>
              <w:ind w:left="134"/>
            </w:pPr>
            <w:r>
              <w:rPr>
                <w:spacing w:val="-4"/>
              </w:rPr>
              <w:t>企业业绩</w:t>
            </w:r>
          </w:p>
        </w:tc>
        <w:tc>
          <w:tcPr>
            <w:tcW w:w="629" w:type="dxa"/>
            <w:vAlign w:val="top"/>
          </w:tcPr>
          <w:p w14:paraId="5CB180AE">
            <w:pPr>
              <w:pStyle w:val="6"/>
              <w:spacing w:before="181" w:line="247" w:lineRule="auto"/>
              <w:ind w:left="204" w:right="192" w:firstLine="20"/>
            </w:pPr>
            <w:r>
              <w:rPr>
                <w:spacing w:val="-21"/>
                <w:w w:val="93"/>
              </w:rPr>
              <w:t>9</w:t>
            </w:r>
            <w:r>
              <w:t xml:space="preserve">  </w:t>
            </w:r>
            <w:r>
              <w:rPr>
                <w:spacing w:val="-2"/>
                <w:w w:val="93"/>
              </w:rPr>
              <w:t>分</w:t>
            </w:r>
          </w:p>
        </w:tc>
        <w:tc>
          <w:tcPr>
            <w:tcW w:w="7471" w:type="dxa"/>
            <w:vAlign w:val="top"/>
          </w:tcPr>
          <w:p w14:paraId="60BAF0D5">
            <w:pPr>
              <w:pStyle w:val="6"/>
              <w:spacing w:before="84" w:line="187" w:lineRule="auto"/>
              <w:ind w:left="123" w:right="32" w:hanging="7"/>
            </w:pPr>
            <w:r>
              <w:rPr>
                <w:spacing w:val="-2"/>
              </w:rPr>
              <w:t>供应商提供近三年承担的类似软件项目合同（以合同签订日期为准</w:t>
            </w:r>
            <w:r>
              <w:rPr>
                <w:spacing w:val="-36"/>
              </w:rPr>
              <w:t>），</w:t>
            </w:r>
            <w:r>
              <w:t xml:space="preserve"> </w:t>
            </w:r>
            <w:r>
              <w:rPr>
                <w:spacing w:val="-10"/>
              </w:rPr>
              <w:t>每提供</w:t>
            </w:r>
            <w:r>
              <w:rPr>
                <w:spacing w:val="21"/>
                <w:w w:val="101"/>
              </w:rPr>
              <w:t xml:space="preserve"> </w:t>
            </w:r>
            <w:r>
              <w:rPr>
                <w:spacing w:val="-10"/>
              </w:rPr>
              <w:t>1 个得 3 分，最高得 9</w:t>
            </w:r>
            <w:r>
              <w:rPr>
                <w:spacing w:val="7"/>
              </w:rPr>
              <w:t xml:space="preserve"> </w:t>
            </w:r>
            <w:r>
              <w:rPr>
                <w:spacing w:val="-10"/>
              </w:rPr>
              <w:t>分。</w:t>
            </w:r>
          </w:p>
          <w:p w14:paraId="7F4F5572">
            <w:pPr>
              <w:pStyle w:val="6"/>
              <w:spacing w:line="176" w:lineRule="auto"/>
              <w:ind w:left="122"/>
            </w:pPr>
            <w:r>
              <w:rPr>
                <w:spacing w:val="-2"/>
              </w:rPr>
              <w:t>注：供应商需提供完整的合同复印件加盖供应商公章，否则不得分。</w:t>
            </w:r>
          </w:p>
        </w:tc>
      </w:tr>
      <w:tr w14:paraId="0E2F3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99" w:type="dxa"/>
            <w:vMerge w:val="restart"/>
            <w:tcBorders>
              <w:bottom w:val="nil"/>
            </w:tcBorders>
            <w:vAlign w:val="top"/>
          </w:tcPr>
          <w:p w14:paraId="4064EEBB">
            <w:pPr>
              <w:spacing w:line="252" w:lineRule="auto"/>
              <w:rPr>
                <w:rFonts w:ascii="Arial"/>
                <w:sz w:val="21"/>
              </w:rPr>
            </w:pPr>
          </w:p>
          <w:p w14:paraId="4BF0F0D8">
            <w:pPr>
              <w:spacing w:line="252" w:lineRule="auto"/>
              <w:rPr>
                <w:rFonts w:ascii="Arial"/>
                <w:sz w:val="21"/>
              </w:rPr>
            </w:pPr>
          </w:p>
          <w:p w14:paraId="17E4AA2F">
            <w:pPr>
              <w:spacing w:line="252" w:lineRule="auto"/>
              <w:rPr>
                <w:rFonts w:ascii="Arial"/>
                <w:sz w:val="21"/>
              </w:rPr>
            </w:pPr>
          </w:p>
          <w:p w14:paraId="26569FEC">
            <w:pPr>
              <w:spacing w:line="252" w:lineRule="auto"/>
              <w:rPr>
                <w:rFonts w:ascii="Arial"/>
                <w:sz w:val="21"/>
              </w:rPr>
            </w:pPr>
          </w:p>
          <w:p w14:paraId="0B873641">
            <w:pPr>
              <w:spacing w:line="252" w:lineRule="auto"/>
              <w:rPr>
                <w:rFonts w:ascii="Arial"/>
                <w:sz w:val="21"/>
              </w:rPr>
            </w:pPr>
          </w:p>
          <w:p w14:paraId="2D976433">
            <w:pPr>
              <w:spacing w:line="252" w:lineRule="auto"/>
              <w:rPr>
                <w:rFonts w:ascii="Arial"/>
                <w:sz w:val="21"/>
              </w:rPr>
            </w:pPr>
          </w:p>
          <w:p w14:paraId="0EA66804">
            <w:pPr>
              <w:spacing w:line="252" w:lineRule="auto"/>
              <w:rPr>
                <w:rFonts w:ascii="Arial"/>
                <w:sz w:val="21"/>
              </w:rPr>
            </w:pPr>
          </w:p>
          <w:p w14:paraId="710EA676">
            <w:pPr>
              <w:spacing w:line="252" w:lineRule="auto"/>
              <w:rPr>
                <w:rFonts w:ascii="Arial"/>
                <w:sz w:val="21"/>
              </w:rPr>
            </w:pPr>
          </w:p>
          <w:p w14:paraId="5FC913BE">
            <w:pPr>
              <w:spacing w:line="252" w:lineRule="auto"/>
              <w:rPr>
                <w:rFonts w:ascii="Arial"/>
                <w:sz w:val="21"/>
              </w:rPr>
            </w:pPr>
          </w:p>
          <w:p w14:paraId="1AFCACB2">
            <w:pPr>
              <w:spacing w:line="252" w:lineRule="auto"/>
              <w:rPr>
                <w:rFonts w:ascii="Arial"/>
                <w:sz w:val="21"/>
              </w:rPr>
            </w:pPr>
          </w:p>
          <w:p w14:paraId="20342D95">
            <w:pPr>
              <w:spacing w:line="252" w:lineRule="auto"/>
              <w:rPr>
                <w:rFonts w:ascii="Arial"/>
                <w:sz w:val="21"/>
              </w:rPr>
            </w:pPr>
          </w:p>
          <w:p w14:paraId="75D51EFB">
            <w:pPr>
              <w:spacing w:line="252" w:lineRule="auto"/>
              <w:rPr>
                <w:rFonts w:ascii="Arial"/>
                <w:sz w:val="21"/>
              </w:rPr>
            </w:pPr>
          </w:p>
          <w:p w14:paraId="5B1CA136">
            <w:pPr>
              <w:spacing w:line="252" w:lineRule="auto"/>
              <w:rPr>
                <w:rFonts w:ascii="Arial"/>
                <w:sz w:val="21"/>
              </w:rPr>
            </w:pPr>
          </w:p>
          <w:p w14:paraId="03AC4CB3">
            <w:pPr>
              <w:spacing w:line="253" w:lineRule="auto"/>
              <w:rPr>
                <w:rFonts w:ascii="Arial"/>
                <w:sz w:val="21"/>
              </w:rPr>
            </w:pPr>
          </w:p>
          <w:p w14:paraId="1F0C7821">
            <w:pPr>
              <w:spacing w:line="253" w:lineRule="auto"/>
              <w:rPr>
                <w:rFonts w:ascii="Arial"/>
                <w:sz w:val="21"/>
              </w:rPr>
            </w:pPr>
          </w:p>
          <w:p w14:paraId="2C381316">
            <w:pPr>
              <w:spacing w:line="253" w:lineRule="auto"/>
              <w:rPr>
                <w:rFonts w:ascii="Arial"/>
                <w:sz w:val="21"/>
              </w:rPr>
            </w:pPr>
          </w:p>
          <w:p w14:paraId="274B31B5">
            <w:pPr>
              <w:spacing w:line="253" w:lineRule="auto"/>
              <w:rPr>
                <w:rFonts w:ascii="Arial"/>
                <w:sz w:val="21"/>
              </w:rPr>
            </w:pPr>
          </w:p>
          <w:p w14:paraId="49967A2C">
            <w:pPr>
              <w:spacing w:line="253" w:lineRule="auto"/>
              <w:rPr>
                <w:rFonts w:ascii="Arial"/>
                <w:sz w:val="21"/>
              </w:rPr>
            </w:pPr>
          </w:p>
          <w:p w14:paraId="4716A058">
            <w:pPr>
              <w:pStyle w:val="6"/>
              <w:spacing w:before="103" w:line="182" w:lineRule="auto"/>
              <w:ind w:left="113" w:right="145" w:firstLine="6"/>
              <w:jc w:val="both"/>
            </w:pPr>
            <w:r>
              <w:rPr>
                <w:spacing w:val="-4"/>
                <w:w w:val="94"/>
              </w:rPr>
              <w:t>技</w:t>
            </w:r>
            <w:r>
              <w:t xml:space="preserve"> </w:t>
            </w:r>
            <w:r>
              <w:rPr>
                <w:spacing w:val="-2"/>
                <w:w w:val="96"/>
              </w:rPr>
              <w:t>术</w:t>
            </w:r>
            <w:r>
              <w:t xml:space="preserve"> </w:t>
            </w:r>
            <w:r>
              <w:rPr>
                <w:spacing w:val="-7"/>
                <w:w w:val="98"/>
              </w:rPr>
              <w:t>部</w:t>
            </w:r>
            <w:r>
              <w:t xml:space="preserve"> </w:t>
            </w:r>
            <w:r>
              <w:rPr>
                <w:spacing w:val="-2"/>
                <w:w w:val="96"/>
              </w:rPr>
              <w:t>分</w:t>
            </w:r>
            <w:r>
              <w:t xml:space="preserve"> </w:t>
            </w:r>
            <w:r>
              <w:rPr>
                <w:spacing w:val="-21"/>
                <w:w w:val="96"/>
              </w:rPr>
              <w:t>62</w:t>
            </w:r>
          </w:p>
        </w:tc>
        <w:tc>
          <w:tcPr>
            <w:tcW w:w="1214" w:type="dxa"/>
            <w:vAlign w:val="top"/>
          </w:tcPr>
          <w:p w14:paraId="4920A214">
            <w:pPr>
              <w:spacing w:line="352" w:lineRule="auto"/>
              <w:rPr>
                <w:rFonts w:ascii="Arial"/>
                <w:sz w:val="21"/>
              </w:rPr>
            </w:pPr>
          </w:p>
          <w:p w14:paraId="6EEE78FF">
            <w:pPr>
              <w:spacing w:line="353" w:lineRule="auto"/>
              <w:rPr>
                <w:rFonts w:ascii="Arial"/>
                <w:sz w:val="21"/>
              </w:rPr>
            </w:pPr>
          </w:p>
          <w:p w14:paraId="3372CFA5">
            <w:pPr>
              <w:pStyle w:val="6"/>
              <w:spacing w:before="103" w:line="185" w:lineRule="auto"/>
              <w:ind w:left="119" w:right="106" w:firstLine="4"/>
            </w:pPr>
            <w:r>
              <w:rPr>
                <w:spacing w:val="3"/>
              </w:rPr>
              <w:t>总体设计</w:t>
            </w:r>
            <w:r>
              <w:t xml:space="preserve"> </w:t>
            </w:r>
            <w:r>
              <w:rPr>
                <w:spacing w:val="-5"/>
                <w:w w:val="99"/>
              </w:rPr>
              <w:t>方案</w:t>
            </w:r>
          </w:p>
        </w:tc>
        <w:tc>
          <w:tcPr>
            <w:tcW w:w="629" w:type="dxa"/>
            <w:vAlign w:val="top"/>
          </w:tcPr>
          <w:p w14:paraId="1D218578">
            <w:pPr>
              <w:spacing w:line="249" w:lineRule="auto"/>
              <w:rPr>
                <w:rFonts w:ascii="Arial"/>
                <w:sz w:val="21"/>
              </w:rPr>
            </w:pPr>
          </w:p>
          <w:p w14:paraId="527F79E8">
            <w:pPr>
              <w:spacing w:line="250" w:lineRule="auto"/>
              <w:rPr>
                <w:rFonts w:ascii="Arial"/>
                <w:sz w:val="21"/>
              </w:rPr>
            </w:pPr>
          </w:p>
          <w:p w14:paraId="15706CCA">
            <w:pPr>
              <w:spacing w:line="250" w:lineRule="auto"/>
              <w:rPr>
                <w:rFonts w:ascii="Arial"/>
                <w:sz w:val="21"/>
              </w:rPr>
            </w:pPr>
          </w:p>
          <w:p w14:paraId="788E41C9">
            <w:pPr>
              <w:pStyle w:val="6"/>
              <w:spacing w:before="103" w:line="187" w:lineRule="auto"/>
              <w:ind w:left="204" w:right="192" w:hanging="22"/>
            </w:pPr>
            <w:r>
              <w:rPr>
                <w:spacing w:val="-34"/>
              </w:rPr>
              <w:t>15</w:t>
            </w:r>
            <w:r>
              <w:t xml:space="preserve"> </w:t>
            </w:r>
            <w:r>
              <w:rPr>
                <w:spacing w:val="-2"/>
                <w:w w:val="93"/>
              </w:rPr>
              <w:t>分</w:t>
            </w:r>
          </w:p>
        </w:tc>
        <w:tc>
          <w:tcPr>
            <w:tcW w:w="7471" w:type="dxa"/>
            <w:vAlign w:val="top"/>
          </w:tcPr>
          <w:p w14:paraId="7031F5F0">
            <w:pPr>
              <w:pStyle w:val="6"/>
              <w:spacing w:before="36" w:line="181" w:lineRule="auto"/>
              <w:ind w:left="119" w:right="102" w:hanging="3"/>
              <w:jc w:val="both"/>
            </w:pPr>
            <w:r>
              <w:t>根据投标人提供总体设计及系统功能设计方案进行评审，</w:t>
            </w:r>
            <w:r>
              <w:rPr>
                <w:spacing w:val="-31"/>
              </w:rPr>
              <w:t xml:space="preserve"> </w:t>
            </w:r>
            <w:r>
              <w:t>包含但不限 于：</w:t>
            </w:r>
            <w:r>
              <w:rPr>
                <w:spacing w:val="-35"/>
              </w:rPr>
              <w:t xml:space="preserve"> </w:t>
            </w:r>
            <w:r>
              <w:t xml:space="preserve">建设原则、建设思路、系统架构设计、技术路线选型、功能模块 </w:t>
            </w:r>
            <w:r>
              <w:rPr>
                <w:spacing w:val="-8"/>
              </w:rPr>
              <w:t>的具体说明。</w:t>
            </w:r>
          </w:p>
          <w:p w14:paraId="520E1D12">
            <w:pPr>
              <w:pStyle w:val="6"/>
              <w:spacing w:before="4" w:line="174" w:lineRule="auto"/>
              <w:ind w:left="114" w:firstLine="26"/>
              <w:jc w:val="both"/>
            </w:pPr>
            <w:r>
              <w:rPr>
                <w:spacing w:val="-4"/>
              </w:rPr>
              <w:t>以上内容完整且完全满足项目要求得  15  分，</w:t>
            </w:r>
            <w:r>
              <w:rPr>
                <w:spacing w:val="-42"/>
              </w:rPr>
              <w:t xml:space="preserve"> </w:t>
            </w:r>
            <w:r>
              <w:rPr>
                <w:spacing w:val="-4"/>
              </w:rPr>
              <w:t>每缺失一项内容或内容</w:t>
            </w:r>
            <w:r>
              <w:t xml:space="preserve">   </w:t>
            </w:r>
            <w:r>
              <w:rPr>
                <w:spacing w:val="-4"/>
              </w:rPr>
              <w:t>缺陷扣 3 分(缺陷是指：</w:t>
            </w:r>
            <w:r>
              <w:rPr>
                <w:spacing w:val="-45"/>
              </w:rPr>
              <w:t xml:space="preserve"> </w:t>
            </w:r>
            <w:r>
              <w:rPr>
                <w:spacing w:val="-4"/>
              </w:rPr>
              <w:t xml:space="preserve">存在不适用项目实际情况的情形、 </w:t>
            </w:r>
            <w:r>
              <w:rPr>
                <w:spacing w:val="-5"/>
              </w:rPr>
              <w:t xml:space="preserve"> 凭空编造、</w:t>
            </w:r>
            <w:r>
              <w:t xml:space="preserve"> </w:t>
            </w:r>
            <w:r>
              <w:rPr>
                <w:spacing w:val="-3"/>
              </w:rPr>
              <w:t>内容前后不一致、前后逻辑错误、涉及的规范</w:t>
            </w:r>
            <w:r>
              <w:rPr>
                <w:spacing w:val="83"/>
              </w:rPr>
              <w:t xml:space="preserve"> </w:t>
            </w:r>
            <w:r>
              <w:rPr>
                <w:spacing w:val="-3"/>
              </w:rPr>
              <w:t>及标准错误、地点区域</w:t>
            </w:r>
            <w:r>
              <w:t xml:space="preserve">  错误、内容遗漏、不符合采购需求等)</w:t>
            </w:r>
          </w:p>
        </w:tc>
      </w:tr>
      <w:tr w14:paraId="14C4E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499" w:type="dxa"/>
            <w:vMerge w:val="continue"/>
            <w:tcBorders>
              <w:top w:val="nil"/>
              <w:bottom w:val="nil"/>
            </w:tcBorders>
            <w:vAlign w:val="top"/>
          </w:tcPr>
          <w:p w14:paraId="1351229A">
            <w:pPr>
              <w:rPr>
                <w:rFonts w:ascii="Arial"/>
                <w:sz w:val="21"/>
              </w:rPr>
            </w:pPr>
          </w:p>
        </w:tc>
        <w:tc>
          <w:tcPr>
            <w:tcW w:w="1214" w:type="dxa"/>
            <w:vAlign w:val="top"/>
          </w:tcPr>
          <w:p w14:paraId="4D190694">
            <w:pPr>
              <w:pStyle w:val="6"/>
              <w:spacing w:before="72" w:line="179" w:lineRule="auto"/>
              <w:ind w:left="113" w:right="106"/>
              <w:jc w:val="both"/>
            </w:pPr>
            <w:r>
              <w:rPr>
                <w:spacing w:val="5"/>
              </w:rPr>
              <w:t>软硬件技</w:t>
            </w:r>
            <w:r>
              <w:rPr>
                <w:spacing w:val="1"/>
              </w:rPr>
              <w:t xml:space="preserve"> </w:t>
            </w:r>
            <w:r>
              <w:rPr>
                <w:spacing w:val="5"/>
              </w:rPr>
              <w:t>术需求响</w:t>
            </w:r>
            <w:r>
              <w:rPr>
                <w:spacing w:val="2"/>
              </w:rPr>
              <w:t xml:space="preserve"> </w:t>
            </w:r>
            <w:r>
              <w:rPr>
                <w:spacing w:val="-4"/>
              </w:rPr>
              <w:t>应情况</w:t>
            </w:r>
          </w:p>
        </w:tc>
        <w:tc>
          <w:tcPr>
            <w:tcW w:w="629" w:type="dxa"/>
            <w:vAlign w:val="top"/>
          </w:tcPr>
          <w:p w14:paraId="245A513B">
            <w:pPr>
              <w:pStyle w:val="6"/>
              <w:spacing w:before="272" w:line="188" w:lineRule="auto"/>
              <w:ind w:left="204" w:right="192" w:hanging="37"/>
            </w:pPr>
            <w:r>
              <w:rPr>
                <w:spacing w:val="-24"/>
                <w:w w:val="98"/>
              </w:rPr>
              <w:t>22</w:t>
            </w:r>
            <w:r>
              <w:t xml:space="preserve"> </w:t>
            </w:r>
            <w:r>
              <w:rPr>
                <w:spacing w:val="-2"/>
                <w:w w:val="93"/>
              </w:rPr>
              <w:t>分</w:t>
            </w:r>
          </w:p>
        </w:tc>
        <w:tc>
          <w:tcPr>
            <w:tcW w:w="7471" w:type="dxa"/>
            <w:vAlign w:val="top"/>
          </w:tcPr>
          <w:p w14:paraId="6B545EA1">
            <w:pPr>
              <w:pStyle w:val="6"/>
              <w:spacing w:before="240" w:line="175" w:lineRule="auto"/>
              <w:ind w:left="116" w:right="102"/>
            </w:pPr>
            <w:r>
              <w:t>采购需求及技术参数中未加标注★的项，有一项负偏离扣 1 分，</w:t>
            </w:r>
            <w:r>
              <w:rPr>
                <w:spacing w:val="-31"/>
              </w:rPr>
              <w:t xml:space="preserve"> </w:t>
            </w:r>
            <w:r>
              <w:t xml:space="preserve">扣完 </w:t>
            </w:r>
            <w:r>
              <w:rPr>
                <w:spacing w:val="-7"/>
              </w:rPr>
              <w:t>本项分为止。</w:t>
            </w:r>
          </w:p>
        </w:tc>
      </w:tr>
      <w:tr w14:paraId="621AF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0" w:hRule="atLeast"/>
        </w:trPr>
        <w:tc>
          <w:tcPr>
            <w:tcW w:w="499" w:type="dxa"/>
            <w:vMerge w:val="continue"/>
            <w:tcBorders>
              <w:top w:val="nil"/>
              <w:bottom w:val="nil"/>
            </w:tcBorders>
            <w:vAlign w:val="top"/>
          </w:tcPr>
          <w:p w14:paraId="2F0FF4BE">
            <w:pPr>
              <w:rPr>
                <w:rFonts w:ascii="Arial"/>
                <w:sz w:val="21"/>
              </w:rPr>
            </w:pPr>
          </w:p>
        </w:tc>
        <w:tc>
          <w:tcPr>
            <w:tcW w:w="1214" w:type="dxa"/>
            <w:vAlign w:val="top"/>
          </w:tcPr>
          <w:p w14:paraId="47C6E413">
            <w:pPr>
              <w:spacing w:line="262" w:lineRule="auto"/>
              <w:rPr>
                <w:rFonts w:ascii="Arial"/>
                <w:sz w:val="21"/>
              </w:rPr>
            </w:pPr>
          </w:p>
          <w:p w14:paraId="6CB53602">
            <w:pPr>
              <w:spacing w:line="262" w:lineRule="auto"/>
              <w:rPr>
                <w:rFonts w:ascii="Arial"/>
                <w:sz w:val="21"/>
              </w:rPr>
            </w:pPr>
          </w:p>
          <w:p w14:paraId="581443FC">
            <w:pPr>
              <w:spacing w:line="262" w:lineRule="auto"/>
              <w:rPr>
                <w:rFonts w:ascii="Arial"/>
                <w:sz w:val="21"/>
              </w:rPr>
            </w:pPr>
          </w:p>
          <w:p w14:paraId="448D0D5B">
            <w:pPr>
              <w:spacing w:line="263" w:lineRule="auto"/>
              <w:rPr>
                <w:rFonts w:ascii="Arial"/>
                <w:sz w:val="21"/>
              </w:rPr>
            </w:pPr>
          </w:p>
          <w:p w14:paraId="73746E0E">
            <w:pPr>
              <w:spacing w:line="263" w:lineRule="auto"/>
              <w:rPr>
                <w:rFonts w:ascii="Arial"/>
                <w:sz w:val="21"/>
              </w:rPr>
            </w:pPr>
          </w:p>
          <w:p w14:paraId="702C893A">
            <w:pPr>
              <w:spacing w:line="263" w:lineRule="auto"/>
              <w:rPr>
                <w:rFonts w:ascii="Arial"/>
                <w:sz w:val="21"/>
              </w:rPr>
            </w:pPr>
          </w:p>
          <w:p w14:paraId="16E88914">
            <w:pPr>
              <w:spacing w:line="263" w:lineRule="auto"/>
              <w:rPr>
                <w:rFonts w:ascii="Arial"/>
                <w:sz w:val="21"/>
              </w:rPr>
            </w:pPr>
          </w:p>
          <w:p w14:paraId="26C50821">
            <w:pPr>
              <w:pStyle w:val="6"/>
              <w:spacing w:before="103" w:line="185" w:lineRule="auto"/>
              <w:ind w:left="118" w:right="106" w:hanging="4"/>
            </w:pPr>
            <w:r>
              <w:rPr>
                <w:spacing w:val="5"/>
              </w:rPr>
              <w:t>组织实施</w:t>
            </w:r>
            <w:r>
              <w:rPr>
                <w:spacing w:val="1"/>
              </w:rPr>
              <w:t xml:space="preserve"> </w:t>
            </w:r>
            <w:r>
              <w:rPr>
                <w:spacing w:val="-5"/>
                <w:w w:val="99"/>
              </w:rPr>
              <w:t>方案</w:t>
            </w:r>
          </w:p>
        </w:tc>
        <w:tc>
          <w:tcPr>
            <w:tcW w:w="629" w:type="dxa"/>
            <w:vAlign w:val="top"/>
          </w:tcPr>
          <w:p w14:paraId="604AE9B0">
            <w:pPr>
              <w:spacing w:line="269" w:lineRule="auto"/>
              <w:rPr>
                <w:rFonts w:ascii="Arial"/>
                <w:sz w:val="21"/>
              </w:rPr>
            </w:pPr>
          </w:p>
          <w:p w14:paraId="2B4FAA5B">
            <w:pPr>
              <w:spacing w:line="269" w:lineRule="auto"/>
              <w:rPr>
                <w:rFonts w:ascii="Arial"/>
                <w:sz w:val="21"/>
              </w:rPr>
            </w:pPr>
          </w:p>
          <w:p w14:paraId="7D74ED30">
            <w:pPr>
              <w:spacing w:line="269" w:lineRule="auto"/>
              <w:rPr>
                <w:rFonts w:ascii="Arial"/>
                <w:sz w:val="21"/>
              </w:rPr>
            </w:pPr>
          </w:p>
          <w:p w14:paraId="0BB75B8A">
            <w:pPr>
              <w:spacing w:line="269" w:lineRule="auto"/>
              <w:rPr>
                <w:rFonts w:ascii="Arial"/>
                <w:sz w:val="21"/>
              </w:rPr>
            </w:pPr>
          </w:p>
          <w:p w14:paraId="69B2D367">
            <w:pPr>
              <w:spacing w:line="269" w:lineRule="auto"/>
              <w:rPr>
                <w:rFonts w:ascii="Arial"/>
                <w:sz w:val="21"/>
              </w:rPr>
            </w:pPr>
          </w:p>
          <w:p w14:paraId="798CD9B3">
            <w:pPr>
              <w:spacing w:line="269" w:lineRule="auto"/>
              <w:rPr>
                <w:rFonts w:ascii="Arial"/>
                <w:sz w:val="21"/>
              </w:rPr>
            </w:pPr>
          </w:p>
          <w:p w14:paraId="0C7A4B88">
            <w:pPr>
              <w:spacing w:line="269" w:lineRule="auto"/>
              <w:rPr>
                <w:rFonts w:ascii="Arial"/>
                <w:sz w:val="21"/>
              </w:rPr>
            </w:pPr>
          </w:p>
          <w:p w14:paraId="6464F7CE">
            <w:pPr>
              <w:pStyle w:val="6"/>
              <w:spacing w:before="103" w:line="187" w:lineRule="auto"/>
              <w:ind w:left="204" w:right="192" w:hanging="22"/>
            </w:pPr>
            <w:r>
              <w:rPr>
                <w:spacing w:val="-34"/>
              </w:rPr>
              <w:t>15</w:t>
            </w:r>
            <w:r>
              <w:t xml:space="preserve"> </w:t>
            </w:r>
            <w:r>
              <w:rPr>
                <w:spacing w:val="-2"/>
                <w:w w:val="93"/>
              </w:rPr>
              <w:t>分</w:t>
            </w:r>
          </w:p>
        </w:tc>
        <w:tc>
          <w:tcPr>
            <w:tcW w:w="7471" w:type="dxa"/>
            <w:vAlign w:val="top"/>
          </w:tcPr>
          <w:p w14:paraId="1161C369">
            <w:pPr>
              <w:pStyle w:val="6"/>
              <w:spacing w:before="44" w:line="183" w:lineRule="auto"/>
              <w:ind w:left="111" w:firstLine="14"/>
              <w:jc w:val="both"/>
            </w:pPr>
            <w:r>
              <w:rPr>
                <w:spacing w:val="-4"/>
              </w:rPr>
              <w:t>1、实施方案：投标人具有完备的项目实施方案，包含但不限于①项目</w:t>
            </w:r>
            <w:r>
              <w:rPr>
                <w:spacing w:val="6"/>
              </w:rPr>
              <w:t xml:space="preserve">  </w:t>
            </w:r>
            <w:r>
              <w:rPr>
                <w:spacing w:val="-9"/>
              </w:rPr>
              <w:t>实施计划及控制（项目质量控制、项目进度控制、项目风险控制</w:t>
            </w:r>
            <w:r>
              <w:rPr>
                <w:spacing w:val="-4"/>
              </w:rPr>
              <w:t>）</w:t>
            </w:r>
            <w:r>
              <w:rPr>
                <w:spacing w:val="2"/>
              </w:rPr>
              <w:t xml:space="preserve"> </w:t>
            </w:r>
            <w:r>
              <w:rPr>
                <w:spacing w:val="-4"/>
              </w:rPr>
              <w:t>，</w:t>
            </w:r>
            <w:r>
              <w:rPr>
                <w:spacing w:val="-9"/>
              </w:rPr>
              <w:t>②</w:t>
            </w:r>
            <w:r>
              <w:t xml:space="preserve">  </w:t>
            </w:r>
            <w:r>
              <w:rPr>
                <w:spacing w:val="1"/>
              </w:rPr>
              <w:t>升级改造调试及验收方案、③软件接口方案和网络安全及数据安全保</w:t>
            </w:r>
            <w:r>
              <w:rPr>
                <w:spacing w:val="7"/>
              </w:rPr>
              <w:t xml:space="preserve">  </w:t>
            </w:r>
            <w:r>
              <w:rPr>
                <w:spacing w:val="1"/>
              </w:rPr>
              <w:t>障方案、④故障处理服务方案、⑤优惠措施等方面进行综合评分。方</w:t>
            </w:r>
            <w:r>
              <w:rPr>
                <w:spacing w:val="7"/>
              </w:rPr>
              <w:t xml:space="preserve">  </w:t>
            </w:r>
            <w:r>
              <w:rPr>
                <w:spacing w:val="-5"/>
              </w:rPr>
              <w:t>案中以上 5 项内容，每提供</w:t>
            </w:r>
            <w:r>
              <w:rPr>
                <w:spacing w:val="15"/>
              </w:rPr>
              <w:t xml:space="preserve"> </w:t>
            </w:r>
            <w:r>
              <w:rPr>
                <w:spacing w:val="-5"/>
              </w:rPr>
              <w:t>1 项得 2 分，不提供</w:t>
            </w:r>
            <w:r>
              <w:rPr>
                <w:spacing w:val="-6"/>
              </w:rPr>
              <w:t>不得分，满分 10 分。</w:t>
            </w:r>
            <w:r>
              <w:t xml:space="preserve"> </w:t>
            </w:r>
            <w:r>
              <w:rPr>
                <w:spacing w:val="-3"/>
              </w:rPr>
              <w:t>2、实施团队：根据投标人针对本项目拟派出的项目实施团队</w:t>
            </w:r>
            <w:r>
              <w:rPr>
                <w:spacing w:val="-4"/>
              </w:rPr>
              <w:t>情况进行</w:t>
            </w:r>
            <w:r>
              <w:t xml:space="preserve">  </w:t>
            </w:r>
            <w:r>
              <w:rPr>
                <w:spacing w:val="-1"/>
              </w:rPr>
              <w:t>综合比较评分：</w:t>
            </w:r>
            <w:r>
              <w:rPr>
                <w:spacing w:val="-41"/>
              </w:rPr>
              <w:t xml:space="preserve"> </w:t>
            </w:r>
            <w:r>
              <w:rPr>
                <w:spacing w:val="-1"/>
              </w:rPr>
              <w:t>满足项目工作组人员</w:t>
            </w:r>
            <w:r>
              <w:rPr>
                <w:spacing w:val="19"/>
              </w:rPr>
              <w:t xml:space="preserve"> </w:t>
            </w:r>
            <w:r>
              <w:rPr>
                <w:spacing w:val="-1"/>
              </w:rPr>
              <w:t>1 名项目经理</w:t>
            </w:r>
            <w:r>
              <w:rPr>
                <w:spacing w:val="-2"/>
              </w:rPr>
              <w:t>，</w:t>
            </w:r>
            <w:r>
              <w:rPr>
                <w:spacing w:val="-50"/>
              </w:rPr>
              <w:t xml:space="preserve"> </w:t>
            </w:r>
            <w:r>
              <w:rPr>
                <w:spacing w:val="-2"/>
              </w:rPr>
              <w:t>3 名项目工程师</w:t>
            </w:r>
            <w:r>
              <w:t xml:space="preserve">  </w:t>
            </w:r>
            <w:r>
              <w:rPr>
                <w:spacing w:val="-6"/>
              </w:rPr>
              <w:t>基本要求。（1）</w:t>
            </w:r>
            <w:r>
              <w:rPr>
                <w:spacing w:val="20"/>
                <w:w w:val="101"/>
              </w:rPr>
              <w:t xml:space="preserve"> </w:t>
            </w:r>
            <w:r>
              <w:rPr>
                <w:spacing w:val="-6"/>
              </w:rPr>
              <w:t>拟派遣本项目的项目经理在同类项目建设中担任</w:t>
            </w:r>
            <w:r>
              <w:rPr>
                <w:spacing w:val="-7"/>
              </w:rPr>
              <w:t>过项</w:t>
            </w:r>
            <w:r>
              <w:t xml:space="preserve">  </w:t>
            </w:r>
            <w:r>
              <w:rPr>
                <w:spacing w:val="-5"/>
              </w:rPr>
              <w:t>目经理的，</w:t>
            </w:r>
            <w:r>
              <w:rPr>
                <w:spacing w:val="-42"/>
              </w:rPr>
              <w:t xml:space="preserve"> </w:t>
            </w:r>
            <w:r>
              <w:rPr>
                <w:spacing w:val="-5"/>
              </w:rPr>
              <w:t>每提供</w:t>
            </w:r>
            <w:r>
              <w:rPr>
                <w:spacing w:val="17"/>
              </w:rPr>
              <w:t xml:space="preserve"> </w:t>
            </w:r>
            <w:r>
              <w:rPr>
                <w:spacing w:val="-5"/>
              </w:rPr>
              <w:t>1 个项目经理证明文件得</w:t>
            </w:r>
            <w:r>
              <w:rPr>
                <w:spacing w:val="17"/>
              </w:rPr>
              <w:t xml:space="preserve"> </w:t>
            </w:r>
            <w:r>
              <w:rPr>
                <w:spacing w:val="-5"/>
              </w:rPr>
              <w:t>1 分，</w:t>
            </w:r>
            <w:r>
              <w:rPr>
                <w:spacing w:val="-44"/>
              </w:rPr>
              <w:t xml:space="preserve"> </w:t>
            </w:r>
            <w:r>
              <w:rPr>
                <w:spacing w:val="-5"/>
              </w:rPr>
              <w:t xml:space="preserve">最高得 2 </w:t>
            </w:r>
            <w:r>
              <w:rPr>
                <w:spacing w:val="-6"/>
              </w:rPr>
              <w:t>分。（需</w:t>
            </w:r>
            <w:r>
              <w:t xml:space="preserve">  </w:t>
            </w:r>
            <w:r>
              <w:rPr>
                <w:spacing w:val="1"/>
              </w:rPr>
              <w:t>提供足以证明其能力的相关材料，</w:t>
            </w:r>
            <w:r>
              <w:rPr>
                <w:spacing w:val="-49"/>
              </w:rPr>
              <w:t xml:space="preserve"> </w:t>
            </w:r>
            <w:r>
              <w:rPr>
                <w:spacing w:val="1"/>
              </w:rPr>
              <w:t>如用户确认的相</w:t>
            </w:r>
            <w:r>
              <w:t xml:space="preserve">关项目的项目经理  </w:t>
            </w:r>
            <w:r>
              <w:rPr>
                <w:spacing w:val="-3"/>
              </w:rPr>
              <w:t>任职证明，用户合同复印件至少包括合同首页、建设内容以及签署页）</w:t>
            </w:r>
            <w:r>
              <w:rPr>
                <w:spacing w:val="1"/>
              </w:rPr>
              <w:t xml:space="preserve"> </w:t>
            </w:r>
            <w:r>
              <w:rPr>
                <w:spacing w:val="4"/>
              </w:rPr>
              <w:t>（2）</w:t>
            </w:r>
            <w:r>
              <w:rPr>
                <w:spacing w:val="-43"/>
              </w:rPr>
              <w:t xml:space="preserve"> </w:t>
            </w:r>
            <w:r>
              <w:rPr>
                <w:spacing w:val="4"/>
              </w:rPr>
              <w:t>拟派遣本项目建设的实施团队成员具有系统集成项</w:t>
            </w:r>
            <w:r>
              <w:rPr>
                <w:spacing w:val="3"/>
              </w:rPr>
              <w:t>目管理工程</w:t>
            </w:r>
            <w:r>
              <w:t xml:space="preserve">  </w:t>
            </w:r>
            <w:r>
              <w:rPr>
                <w:spacing w:val="-8"/>
              </w:rPr>
              <w:t>师证书或 OCP 证书、NISP 证书、ITSS（IT</w:t>
            </w:r>
            <w:r>
              <w:rPr>
                <w:spacing w:val="-9"/>
              </w:rPr>
              <w:t xml:space="preserve"> 服务项目经理）的，</w:t>
            </w:r>
            <w:r>
              <w:rPr>
                <w:spacing w:val="-45"/>
              </w:rPr>
              <w:t xml:space="preserve"> </w:t>
            </w:r>
            <w:r>
              <w:rPr>
                <w:spacing w:val="-9"/>
              </w:rPr>
              <w:t>每提供</w:t>
            </w:r>
            <w:r>
              <w:t xml:space="preserve">  </w:t>
            </w:r>
            <w:r>
              <w:rPr>
                <w:spacing w:val="-8"/>
              </w:rPr>
              <w:t>一个证书得</w:t>
            </w:r>
            <w:r>
              <w:rPr>
                <w:spacing w:val="31"/>
              </w:rPr>
              <w:t xml:space="preserve"> </w:t>
            </w:r>
            <w:r>
              <w:rPr>
                <w:spacing w:val="-8"/>
              </w:rPr>
              <w:t>1 分，最高得 3 分。</w:t>
            </w:r>
          </w:p>
        </w:tc>
      </w:tr>
      <w:tr w14:paraId="45F5C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4" w:hRule="atLeast"/>
        </w:trPr>
        <w:tc>
          <w:tcPr>
            <w:tcW w:w="499" w:type="dxa"/>
            <w:vMerge w:val="continue"/>
            <w:tcBorders>
              <w:top w:val="nil"/>
              <w:bottom w:val="nil"/>
            </w:tcBorders>
            <w:vAlign w:val="top"/>
          </w:tcPr>
          <w:p w14:paraId="1FB11455">
            <w:pPr>
              <w:rPr>
                <w:rFonts w:ascii="Arial"/>
                <w:sz w:val="21"/>
              </w:rPr>
            </w:pPr>
          </w:p>
        </w:tc>
        <w:tc>
          <w:tcPr>
            <w:tcW w:w="1214" w:type="dxa"/>
            <w:vAlign w:val="top"/>
          </w:tcPr>
          <w:p w14:paraId="071C9601">
            <w:pPr>
              <w:spacing w:line="298" w:lineRule="auto"/>
              <w:rPr>
                <w:rFonts w:ascii="Arial"/>
                <w:sz w:val="21"/>
              </w:rPr>
            </w:pPr>
          </w:p>
          <w:p w14:paraId="5894E6AE">
            <w:pPr>
              <w:spacing w:line="298" w:lineRule="auto"/>
              <w:rPr>
                <w:rFonts w:ascii="Arial"/>
                <w:sz w:val="21"/>
              </w:rPr>
            </w:pPr>
          </w:p>
          <w:p w14:paraId="133C31CC">
            <w:pPr>
              <w:spacing w:line="298" w:lineRule="auto"/>
              <w:rPr>
                <w:rFonts w:ascii="Arial"/>
                <w:sz w:val="21"/>
              </w:rPr>
            </w:pPr>
          </w:p>
          <w:p w14:paraId="6DAA7F82">
            <w:pPr>
              <w:spacing w:line="299" w:lineRule="auto"/>
              <w:rPr>
                <w:rFonts w:ascii="Arial"/>
                <w:sz w:val="21"/>
              </w:rPr>
            </w:pPr>
          </w:p>
          <w:p w14:paraId="4B2B1D67">
            <w:pPr>
              <w:pStyle w:val="6"/>
              <w:spacing w:before="103" w:line="188" w:lineRule="auto"/>
              <w:ind w:left="114"/>
            </w:pPr>
            <w:r>
              <w:rPr>
                <w:spacing w:val="-4"/>
              </w:rPr>
              <w:t>培训计划</w:t>
            </w:r>
          </w:p>
        </w:tc>
        <w:tc>
          <w:tcPr>
            <w:tcW w:w="629" w:type="dxa"/>
            <w:vAlign w:val="top"/>
          </w:tcPr>
          <w:p w14:paraId="26FCC947">
            <w:pPr>
              <w:spacing w:line="271" w:lineRule="auto"/>
              <w:rPr>
                <w:rFonts w:ascii="Arial"/>
                <w:sz w:val="21"/>
              </w:rPr>
            </w:pPr>
          </w:p>
          <w:p w14:paraId="2C3A2499">
            <w:pPr>
              <w:spacing w:line="271" w:lineRule="auto"/>
              <w:rPr>
                <w:rFonts w:ascii="Arial"/>
                <w:sz w:val="21"/>
              </w:rPr>
            </w:pPr>
          </w:p>
          <w:p w14:paraId="097791F3">
            <w:pPr>
              <w:spacing w:line="271" w:lineRule="auto"/>
              <w:rPr>
                <w:rFonts w:ascii="Arial"/>
                <w:sz w:val="21"/>
              </w:rPr>
            </w:pPr>
          </w:p>
          <w:p w14:paraId="3491E133">
            <w:pPr>
              <w:spacing w:line="271" w:lineRule="auto"/>
              <w:rPr>
                <w:rFonts w:ascii="Arial"/>
                <w:sz w:val="21"/>
              </w:rPr>
            </w:pPr>
          </w:p>
          <w:p w14:paraId="70B013B2">
            <w:pPr>
              <w:pStyle w:val="6"/>
              <w:spacing w:before="103" w:line="187" w:lineRule="auto"/>
              <w:ind w:left="204" w:right="192" w:firstLine="24"/>
            </w:pPr>
            <w:r>
              <w:rPr>
                <w:spacing w:val="-34"/>
              </w:rPr>
              <w:t>5</w:t>
            </w:r>
            <w:r>
              <w:t xml:space="preserve">  </w:t>
            </w:r>
            <w:r>
              <w:rPr>
                <w:spacing w:val="-2"/>
                <w:w w:val="93"/>
              </w:rPr>
              <w:t>分</w:t>
            </w:r>
          </w:p>
        </w:tc>
        <w:tc>
          <w:tcPr>
            <w:tcW w:w="7471" w:type="dxa"/>
            <w:vAlign w:val="top"/>
          </w:tcPr>
          <w:p w14:paraId="3C31A733">
            <w:pPr>
              <w:pStyle w:val="6"/>
              <w:spacing w:before="51" w:line="185" w:lineRule="auto"/>
              <w:ind w:left="115" w:right="160" w:firstLine="1"/>
              <w:jc w:val="both"/>
            </w:pPr>
            <w:r>
              <w:rPr>
                <w:spacing w:val="-1"/>
              </w:rPr>
              <w:t>提供项目培训方案，应至少涵盖但不限于：培训组织架构、培训对象</w:t>
            </w:r>
            <w:r>
              <w:rPr>
                <w:spacing w:val="11"/>
              </w:rPr>
              <w:t xml:space="preserve"> </w:t>
            </w:r>
            <w:r>
              <w:rPr>
                <w:spacing w:val="-1"/>
              </w:rPr>
              <w:t>和内容、培训方式、培训流程、培训日程安排，确保培训人员对系统</w:t>
            </w:r>
            <w:r>
              <w:rPr>
                <w:spacing w:val="13"/>
              </w:rPr>
              <w:t xml:space="preserve"> </w:t>
            </w:r>
            <w:r>
              <w:rPr>
                <w:spacing w:val="-1"/>
              </w:rPr>
              <w:t>基本理论、技术特性、操作规范和运行规程、管理维护等方面全面了</w:t>
            </w:r>
            <w:r>
              <w:rPr>
                <w:spacing w:val="13"/>
              </w:rPr>
              <w:t xml:space="preserve"> </w:t>
            </w:r>
            <w:r>
              <w:rPr>
                <w:spacing w:val="-8"/>
              </w:rPr>
              <w:t>解和掌握。</w:t>
            </w:r>
          </w:p>
          <w:p w14:paraId="05CE8E6F">
            <w:pPr>
              <w:pStyle w:val="6"/>
              <w:spacing w:before="1" w:line="175" w:lineRule="auto"/>
              <w:ind w:left="115" w:right="40" w:firstLine="24"/>
              <w:jc w:val="both"/>
            </w:pPr>
            <w:r>
              <w:rPr>
                <w:spacing w:val="-2"/>
              </w:rPr>
              <w:t>以上内容都包含且满足采购需求的得 5 分；</w:t>
            </w:r>
            <w:r>
              <w:rPr>
                <w:spacing w:val="-34"/>
              </w:rPr>
              <w:t xml:space="preserve"> </w:t>
            </w:r>
            <w:r>
              <w:rPr>
                <w:spacing w:val="-2"/>
              </w:rPr>
              <w:t>每缺少一项内容或内容存</w:t>
            </w:r>
            <w:r>
              <w:t xml:space="preserve">  </w:t>
            </w:r>
            <w:r>
              <w:rPr>
                <w:spacing w:val="-2"/>
              </w:rPr>
              <w:t>在缺陷的扣  1  分，扣完为止。未提供</w:t>
            </w:r>
            <w:r>
              <w:rPr>
                <w:spacing w:val="-3"/>
              </w:rPr>
              <w:t>不得分。（缺陷是指：存在不适</w:t>
            </w:r>
            <w:r>
              <w:t xml:space="preserve"> </w:t>
            </w:r>
            <w:r>
              <w:rPr>
                <w:spacing w:val="1"/>
              </w:rPr>
              <w:t>用该项目实际情况的情形、凭空编造、内容前后不一致、前后逻辑错</w:t>
            </w:r>
            <w:r>
              <w:rPr>
                <w:spacing w:val="5"/>
              </w:rPr>
              <w:t xml:space="preserve">  </w:t>
            </w:r>
            <w:r>
              <w:rPr>
                <w:spacing w:val="1"/>
              </w:rPr>
              <w:t>误、涉及的规范及标准错误、地点区域错误、内容缺失、不符合采购</w:t>
            </w:r>
            <w:r>
              <w:rPr>
                <w:spacing w:val="5"/>
              </w:rPr>
              <w:t xml:space="preserve">  </w:t>
            </w:r>
            <w:r>
              <w:rPr>
                <w:spacing w:val="-3"/>
              </w:rPr>
              <w:t>需求的任意一项）</w:t>
            </w:r>
          </w:p>
        </w:tc>
      </w:tr>
      <w:tr w14:paraId="07418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99" w:type="dxa"/>
            <w:vMerge w:val="continue"/>
            <w:tcBorders>
              <w:top w:val="nil"/>
            </w:tcBorders>
            <w:vAlign w:val="top"/>
          </w:tcPr>
          <w:p w14:paraId="2737AC4C">
            <w:pPr>
              <w:rPr>
                <w:rFonts w:ascii="Arial"/>
                <w:sz w:val="21"/>
              </w:rPr>
            </w:pPr>
          </w:p>
        </w:tc>
        <w:tc>
          <w:tcPr>
            <w:tcW w:w="1214" w:type="dxa"/>
            <w:vAlign w:val="top"/>
          </w:tcPr>
          <w:p w14:paraId="3C1815D6">
            <w:pPr>
              <w:pStyle w:val="6"/>
              <w:spacing w:before="47" w:line="267" w:lineRule="exact"/>
              <w:ind w:left="127"/>
            </w:pPr>
            <w:r>
              <w:rPr>
                <w:spacing w:val="2"/>
              </w:rPr>
              <w:t>售后服务</w:t>
            </w:r>
          </w:p>
        </w:tc>
        <w:tc>
          <w:tcPr>
            <w:tcW w:w="629" w:type="dxa"/>
            <w:vAlign w:val="top"/>
          </w:tcPr>
          <w:p w14:paraId="7DE1F68D">
            <w:pPr>
              <w:pStyle w:val="6"/>
              <w:spacing w:before="93" w:line="222" w:lineRule="exact"/>
              <w:ind w:left="229"/>
            </w:pPr>
            <w:r>
              <w:rPr>
                <w:position w:val="-4"/>
              </w:rPr>
              <w:t>5</w:t>
            </w:r>
          </w:p>
        </w:tc>
        <w:tc>
          <w:tcPr>
            <w:tcW w:w="7471" w:type="dxa"/>
            <w:vAlign w:val="top"/>
          </w:tcPr>
          <w:p w14:paraId="4924DF52">
            <w:pPr>
              <w:pStyle w:val="6"/>
              <w:spacing w:before="55" w:line="260" w:lineRule="exact"/>
              <w:ind w:left="117"/>
            </w:pPr>
            <w:r>
              <w:rPr>
                <w:position w:val="-1"/>
              </w:rPr>
              <w:t>后续服务方案：</w:t>
            </w:r>
            <w:r>
              <w:rPr>
                <w:spacing w:val="-32"/>
                <w:position w:val="-1"/>
              </w:rPr>
              <w:t xml:space="preserve"> </w:t>
            </w:r>
            <w:r>
              <w:rPr>
                <w:position w:val="-1"/>
              </w:rPr>
              <w:t>根据实现采购任务后续服务工作目标、后续服务保障</w:t>
            </w:r>
          </w:p>
        </w:tc>
      </w:tr>
    </w:tbl>
    <w:p w14:paraId="46BBC7AF">
      <w:pPr>
        <w:pStyle w:val="2"/>
        <w:spacing w:line="340" w:lineRule="auto"/>
      </w:pPr>
    </w:p>
    <w:p w14:paraId="4EE9900B">
      <w:pPr>
        <w:spacing w:before="61" w:line="209" w:lineRule="auto"/>
        <w:ind w:left="138"/>
        <w:rPr>
          <w:rFonts w:ascii="宋体" w:hAnsi="宋体" w:eastAsia="宋体" w:cs="宋体"/>
          <w:sz w:val="19"/>
          <w:szCs w:val="19"/>
        </w:rPr>
      </w:pPr>
      <w:r>
        <w:pict>
          <v:shape id="_x0000_s1067" o:spid="_x0000_s1067" style="position:absolute;left:0pt;margin-left:1.45pt;margin-top:11.8pt;height:0.75pt;width:494pt;z-index:251729920;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86                                </w:t>
      </w:r>
      <w:r>
        <w:rPr>
          <w:rFonts w:ascii="宋体" w:hAnsi="宋体" w:eastAsia="宋体" w:cs="宋体"/>
          <w:b/>
          <w:bCs/>
          <w:i/>
          <w:iCs/>
          <w:spacing w:val="-3"/>
          <w:sz w:val="19"/>
          <w:szCs w:val="19"/>
        </w:rPr>
        <w:t>伊犁州公共资源交易中心</w:t>
      </w:r>
    </w:p>
    <w:p w14:paraId="7C2691AE">
      <w:pPr>
        <w:spacing w:line="209" w:lineRule="auto"/>
        <w:rPr>
          <w:rFonts w:ascii="宋体" w:hAnsi="宋体" w:eastAsia="宋体" w:cs="宋体"/>
          <w:sz w:val="19"/>
          <w:szCs w:val="19"/>
        </w:rPr>
        <w:sectPr>
          <w:headerReference r:id="rId82" w:type="default"/>
          <w:pgSz w:w="11905" w:h="16839"/>
          <w:pgMar w:top="1136" w:right="830" w:bottom="400" w:left="1136" w:header="854" w:footer="0" w:gutter="0"/>
          <w:cols w:space="720" w:num="1"/>
        </w:sectPr>
      </w:pPr>
    </w:p>
    <w:p w14:paraId="4A321072">
      <w:pPr>
        <w:spacing w:before="38"/>
      </w:pPr>
    </w:p>
    <w:tbl>
      <w:tblPr>
        <w:tblStyle w:val="5"/>
        <w:tblW w:w="9813" w:type="dxa"/>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1214"/>
        <w:gridCol w:w="629"/>
        <w:gridCol w:w="7471"/>
      </w:tblGrid>
      <w:tr w14:paraId="020A5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0" w:hRule="atLeast"/>
        </w:trPr>
        <w:tc>
          <w:tcPr>
            <w:tcW w:w="499" w:type="dxa"/>
            <w:vAlign w:val="top"/>
          </w:tcPr>
          <w:p w14:paraId="03348F90">
            <w:pPr>
              <w:rPr>
                <w:rFonts w:ascii="Arial"/>
                <w:sz w:val="21"/>
              </w:rPr>
            </w:pPr>
          </w:p>
        </w:tc>
        <w:tc>
          <w:tcPr>
            <w:tcW w:w="1214" w:type="dxa"/>
            <w:vAlign w:val="top"/>
          </w:tcPr>
          <w:p w14:paraId="2BB3801F">
            <w:pPr>
              <w:pStyle w:val="6"/>
              <w:spacing w:before="37" w:line="190" w:lineRule="auto"/>
              <w:ind w:left="128"/>
            </w:pPr>
            <w:r>
              <w:rPr>
                <w:spacing w:val="-8"/>
              </w:rPr>
              <w:t>能力</w:t>
            </w:r>
          </w:p>
        </w:tc>
        <w:tc>
          <w:tcPr>
            <w:tcW w:w="629" w:type="dxa"/>
            <w:vAlign w:val="top"/>
          </w:tcPr>
          <w:p w14:paraId="3321A66E">
            <w:pPr>
              <w:pStyle w:val="6"/>
              <w:spacing w:before="37" w:line="188" w:lineRule="auto"/>
              <w:ind w:left="204"/>
            </w:pPr>
            <w:r>
              <w:t>分</w:t>
            </w:r>
          </w:p>
        </w:tc>
        <w:tc>
          <w:tcPr>
            <w:tcW w:w="7471" w:type="dxa"/>
            <w:vAlign w:val="top"/>
          </w:tcPr>
          <w:p w14:paraId="10A1C69F">
            <w:pPr>
              <w:pStyle w:val="6"/>
              <w:spacing w:before="44" w:line="182" w:lineRule="auto"/>
              <w:ind w:left="115" w:right="14"/>
              <w:jc w:val="both"/>
            </w:pPr>
            <w:r>
              <w:rPr>
                <w:spacing w:val="-1"/>
              </w:rPr>
              <w:t>措施，</w:t>
            </w:r>
            <w:r>
              <w:rPr>
                <w:spacing w:val="-28"/>
              </w:rPr>
              <w:t xml:space="preserve"> </w:t>
            </w:r>
            <w:r>
              <w:rPr>
                <w:spacing w:val="-1"/>
              </w:rPr>
              <w:t>包含但不限于：</w:t>
            </w:r>
            <w:r>
              <w:rPr>
                <w:spacing w:val="-43"/>
              </w:rPr>
              <w:t xml:space="preserve"> </w:t>
            </w:r>
            <w:r>
              <w:rPr>
                <w:spacing w:val="-1"/>
              </w:rPr>
              <w:t>软件系统维护及升级措施、硬件售后服务、后</w:t>
            </w:r>
            <w:r>
              <w:t xml:space="preserve">  </w:t>
            </w:r>
            <w:r>
              <w:rPr>
                <w:spacing w:val="-4"/>
              </w:rPr>
              <w:t>续服务技术人员配备、故障处理预案、服务流程程序（包括故障处理、</w:t>
            </w:r>
            <w:r>
              <w:rPr>
                <w:spacing w:val="13"/>
              </w:rPr>
              <w:t xml:space="preserve"> </w:t>
            </w:r>
            <w:r>
              <w:rPr>
                <w:spacing w:val="-7"/>
              </w:rPr>
              <w:t>上门维护、紧急维护、电话回访维护等）</w:t>
            </w:r>
            <w:r>
              <w:rPr>
                <w:spacing w:val="35"/>
              </w:rPr>
              <w:t xml:space="preserve"> </w:t>
            </w:r>
            <w:r>
              <w:rPr>
                <w:spacing w:val="-7"/>
              </w:rPr>
              <w:t>等内容，制定后续服务方案。</w:t>
            </w:r>
            <w:r>
              <w:t xml:space="preserve"> </w:t>
            </w:r>
            <w:r>
              <w:rPr>
                <w:spacing w:val="-6"/>
              </w:rPr>
              <w:t>以上方案中 5 项内容，</w:t>
            </w:r>
            <w:r>
              <w:rPr>
                <w:spacing w:val="-43"/>
              </w:rPr>
              <w:t xml:space="preserve"> </w:t>
            </w:r>
            <w:r>
              <w:rPr>
                <w:spacing w:val="-6"/>
              </w:rPr>
              <w:t>每提供</w:t>
            </w:r>
            <w:r>
              <w:rPr>
                <w:spacing w:val="17"/>
                <w:w w:val="101"/>
              </w:rPr>
              <w:t xml:space="preserve"> </w:t>
            </w:r>
            <w:r>
              <w:rPr>
                <w:spacing w:val="-6"/>
              </w:rPr>
              <w:t>1 项得</w:t>
            </w:r>
            <w:r>
              <w:rPr>
                <w:spacing w:val="17"/>
              </w:rPr>
              <w:t xml:space="preserve"> </w:t>
            </w:r>
            <w:r>
              <w:rPr>
                <w:spacing w:val="-6"/>
              </w:rPr>
              <w:t>1</w:t>
            </w:r>
            <w:r>
              <w:rPr>
                <w:spacing w:val="-7"/>
              </w:rPr>
              <w:t xml:space="preserve"> 分，</w:t>
            </w:r>
            <w:r>
              <w:rPr>
                <w:spacing w:val="-51"/>
              </w:rPr>
              <w:t xml:space="preserve"> </w:t>
            </w:r>
            <w:r>
              <w:rPr>
                <w:spacing w:val="-7"/>
              </w:rPr>
              <w:t>满 5</w:t>
            </w:r>
            <w:r>
              <w:rPr>
                <w:spacing w:val="12"/>
              </w:rPr>
              <w:t xml:space="preserve"> </w:t>
            </w:r>
            <w:r>
              <w:rPr>
                <w:spacing w:val="-7"/>
              </w:rPr>
              <w:t>分。每缺失一项内容</w:t>
            </w:r>
            <w:r>
              <w:t xml:space="preserve">  </w:t>
            </w:r>
            <w:r>
              <w:rPr>
                <w:spacing w:val="-3"/>
              </w:rPr>
              <w:t>或内容缺陷扣  1  分，</w:t>
            </w:r>
            <w:r>
              <w:rPr>
                <w:spacing w:val="-38"/>
              </w:rPr>
              <w:t xml:space="preserve"> </w:t>
            </w:r>
            <w:r>
              <w:rPr>
                <w:spacing w:val="-3"/>
              </w:rPr>
              <w:t>扣完为止。</w:t>
            </w:r>
            <w:r>
              <w:rPr>
                <w:spacing w:val="-17"/>
              </w:rPr>
              <w:t xml:space="preserve"> </w:t>
            </w:r>
            <w:r>
              <w:rPr>
                <w:spacing w:val="-3"/>
              </w:rPr>
              <w:t>(缺陷是指：</w:t>
            </w:r>
            <w:r>
              <w:rPr>
                <w:spacing w:val="-41"/>
              </w:rPr>
              <w:t xml:space="preserve"> </w:t>
            </w:r>
            <w:r>
              <w:rPr>
                <w:spacing w:val="-3"/>
              </w:rPr>
              <w:t>存在不适用项目实际情</w:t>
            </w:r>
            <w:r>
              <w:t xml:space="preserve">  </w:t>
            </w:r>
            <w:r>
              <w:rPr>
                <w:spacing w:val="1"/>
              </w:rPr>
              <w:t>况的情形、凭空编造、内容前后不一致、前后逻辑错误、涉及的规范</w:t>
            </w:r>
            <w:r>
              <w:rPr>
                <w:spacing w:val="5"/>
              </w:rPr>
              <w:t xml:space="preserve">  </w:t>
            </w:r>
            <w:r>
              <w:rPr>
                <w:spacing w:val="1"/>
              </w:rPr>
              <w:t>及标准错误、地点区域错误、内容遗漏、不符合采购</w:t>
            </w:r>
            <w:r>
              <w:t>需求等)</w:t>
            </w:r>
          </w:p>
        </w:tc>
      </w:tr>
    </w:tbl>
    <w:p w14:paraId="6692147A">
      <w:pPr>
        <w:spacing w:before="159" w:line="184" w:lineRule="auto"/>
        <w:ind w:left="46"/>
        <w:rPr>
          <w:rFonts w:ascii="微软雅黑" w:hAnsi="微软雅黑" w:eastAsia="微软雅黑" w:cs="微软雅黑"/>
          <w:sz w:val="28"/>
          <w:szCs w:val="28"/>
        </w:rPr>
      </w:pPr>
      <w:r>
        <w:rPr>
          <w:rFonts w:ascii="微软雅黑" w:hAnsi="微软雅黑" w:eastAsia="微软雅黑" w:cs="微软雅黑"/>
          <w:b/>
          <w:bCs/>
          <w:spacing w:val="-11"/>
          <w:sz w:val="28"/>
          <w:szCs w:val="28"/>
        </w:rPr>
        <w:t>标段二、临床决策支持系统（CDSS）</w:t>
      </w:r>
    </w:p>
    <w:p w14:paraId="1C7A0833">
      <w:pPr>
        <w:spacing w:line="188" w:lineRule="exact"/>
      </w:pPr>
    </w:p>
    <w:tbl>
      <w:tblPr>
        <w:tblStyle w:val="5"/>
        <w:tblW w:w="9660"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9"/>
        <w:gridCol w:w="1412"/>
        <w:gridCol w:w="581"/>
        <w:gridCol w:w="7078"/>
      </w:tblGrid>
      <w:tr w14:paraId="4BFCF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89" w:type="dxa"/>
            <w:textDirection w:val="tbRlV"/>
            <w:vAlign w:val="top"/>
          </w:tcPr>
          <w:p w14:paraId="08BEF734">
            <w:pPr>
              <w:pStyle w:val="6"/>
              <w:spacing w:before="186" w:line="171" w:lineRule="auto"/>
              <w:ind w:left="235"/>
              <w:rPr>
                <w:sz w:val="21"/>
                <w:szCs w:val="21"/>
              </w:rPr>
            </w:pPr>
            <w:r>
              <w:rPr>
                <w:b/>
                <w:bCs/>
                <w:spacing w:val="4"/>
                <w:sz w:val="21"/>
                <w:szCs w:val="21"/>
              </w:rPr>
              <w:t>类</w:t>
            </w:r>
            <w:r>
              <w:rPr>
                <w:b/>
                <w:bCs/>
                <w:spacing w:val="43"/>
                <w:sz w:val="21"/>
                <w:szCs w:val="21"/>
              </w:rPr>
              <w:t xml:space="preserve"> </w:t>
            </w:r>
            <w:r>
              <w:rPr>
                <w:b/>
                <w:bCs/>
                <w:spacing w:val="4"/>
                <w:sz w:val="21"/>
                <w:szCs w:val="21"/>
              </w:rPr>
              <w:t>别</w:t>
            </w:r>
          </w:p>
        </w:tc>
        <w:tc>
          <w:tcPr>
            <w:tcW w:w="1412" w:type="dxa"/>
            <w:vAlign w:val="top"/>
          </w:tcPr>
          <w:p w14:paraId="59DB2724">
            <w:pPr>
              <w:spacing w:line="303" w:lineRule="auto"/>
              <w:rPr>
                <w:rFonts w:ascii="Arial"/>
                <w:sz w:val="21"/>
              </w:rPr>
            </w:pPr>
          </w:p>
          <w:p w14:paraId="0CA4E8E7">
            <w:pPr>
              <w:pStyle w:val="6"/>
              <w:spacing w:before="90" w:line="188" w:lineRule="auto"/>
              <w:ind w:left="292"/>
              <w:rPr>
                <w:sz w:val="21"/>
                <w:szCs w:val="21"/>
              </w:rPr>
            </w:pPr>
            <w:r>
              <w:rPr>
                <w:b/>
                <w:bCs/>
                <w:spacing w:val="-3"/>
                <w:sz w:val="21"/>
                <w:szCs w:val="21"/>
              </w:rPr>
              <w:t>评标项目</w:t>
            </w:r>
          </w:p>
        </w:tc>
        <w:tc>
          <w:tcPr>
            <w:tcW w:w="581" w:type="dxa"/>
            <w:textDirection w:val="tbRlV"/>
            <w:vAlign w:val="top"/>
          </w:tcPr>
          <w:p w14:paraId="6023BAEC">
            <w:pPr>
              <w:pStyle w:val="6"/>
              <w:spacing w:before="183" w:line="173" w:lineRule="auto"/>
              <w:ind w:left="75"/>
              <w:rPr>
                <w:sz w:val="21"/>
                <w:szCs w:val="21"/>
              </w:rPr>
            </w:pPr>
            <w:r>
              <w:rPr>
                <w:b/>
                <w:bCs/>
                <w:spacing w:val="4"/>
                <w:sz w:val="21"/>
                <w:szCs w:val="21"/>
              </w:rPr>
              <w:t>评</w:t>
            </w:r>
            <w:r>
              <w:rPr>
                <w:b/>
                <w:bCs/>
                <w:spacing w:val="44"/>
                <w:sz w:val="21"/>
                <w:szCs w:val="21"/>
              </w:rPr>
              <w:t xml:space="preserve"> </w:t>
            </w:r>
            <w:r>
              <w:rPr>
                <w:b/>
                <w:bCs/>
                <w:spacing w:val="4"/>
                <w:sz w:val="21"/>
                <w:szCs w:val="21"/>
              </w:rPr>
              <w:t>标</w:t>
            </w:r>
            <w:r>
              <w:rPr>
                <w:b/>
                <w:bCs/>
                <w:spacing w:val="42"/>
                <w:w w:val="101"/>
                <w:sz w:val="21"/>
                <w:szCs w:val="21"/>
              </w:rPr>
              <w:t xml:space="preserve"> </w:t>
            </w:r>
            <w:r>
              <w:rPr>
                <w:b/>
                <w:bCs/>
                <w:spacing w:val="4"/>
                <w:sz w:val="21"/>
                <w:szCs w:val="21"/>
              </w:rPr>
              <w:t>分</w:t>
            </w:r>
          </w:p>
        </w:tc>
        <w:tc>
          <w:tcPr>
            <w:tcW w:w="7078" w:type="dxa"/>
            <w:vAlign w:val="top"/>
          </w:tcPr>
          <w:p w14:paraId="16EFAC3A">
            <w:pPr>
              <w:spacing w:line="303" w:lineRule="auto"/>
              <w:rPr>
                <w:rFonts w:ascii="Arial"/>
                <w:sz w:val="21"/>
              </w:rPr>
            </w:pPr>
          </w:p>
          <w:p w14:paraId="056D68D2">
            <w:pPr>
              <w:pStyle w:val="6"/>
              <w:spacing w:before="90" w:line="188" w:lineRule="auto"/>
              <w:ind w:left="3337"/>
              <w:rPr>
                <w:sz w:val="21"/>
                <w:szCs w:val="21"/>
              </w:rPr>
            </w:pPr>
            <w:r>
              <w:rPr>
                <w:b/>
                <w:bCs/>
                <w:spacing w:val="-3"/>
                <w:sz w:val="21"/>
                <w:szCs w:val="21"/>
              </w:rPr>
              <w:t>评价方法</w:t>
            </w:r>
          </w:p>
        </w:tc>
      </w:tr>
      <w:tr w14:paraId="02933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589" w:type="dxa"/>
            <w:textDirection w:val="tbRlV"/>
            <w:vAlign w:val="top"/>
          </w:tcPr>
          <w:p w14:paraId="1979AB02">
            <w:pPr>
              <w:pStyle w:val="6"/>
              <w:spacing w:before="172" w:line="172" w:lineRule="auto"/>
              <w:ind w:left="143"/>
            </w:pPr>
            <w:r>
              <w:rPr>
                <w:spacing w:val="4"/>
              </w:rPr>
              <w:t>报 价 分</w:t>
            </w:r>
          </w:p>
        </w:tc>
        <w:tc>
          <w:tcPr>
            <w:tcW w:w="1412" w:type="dxa"/>
            <w:vAlign w:val="top"/>
          </w:tcPr>
          <w:p w14:paraId="23B2110F">
            <w:pPr>
              <w:pStyle w:val="6"/>
              <w:spacing w:before="304" w:line="187" w:lineRule="auto"/>
              <w:ind w:left="473" w:right="224" w:hanging="241"/>
            </w:pPr>
            <w:r>
              <w:rPr>
                <w:spacing w:val="-4"/>
              </w:rPr>
              <w:t>投标价格</w:t>
            </w:r>
            <w:r>
              <w:t xml:space="preserve"> </w:t>
            </w:r>
            <w:r>
              <w:rPr>
                <w:spacing w:val="-5"/>
              </w:rPr>
              <w:t>评分</w:t>
            </w:r>
          </w:p>
        </w:tc>
        <w:tc>
          <w:tcPr>
            <w:tcW w:w="581" w:type="dxa"/>
            <w:vAlign w:val="top"/>
          </w:tcPr>
          <w:p w14:paraId="7520D582">
            <w:pPr>
              <w:spacing w:line="241" w:lineRule="auto"/>
              <w:rPr>
                <w:rFonts w:ascii="Arial"/>
                <w:sz w:val="21"/>
              </w:rPr>
            </w:pPr>
          </w:p>
          <w:p w14:paraId="36082330">
            <w:pPr>
              <w:pStyle w:val="6"/>
              <w:spacing w:before="103" w:line="194" w:lineRule="auto"/>
              <w:ind w:left="181" w:right="168" w:hanging="37"/>
            </w:pPr>
            <w:r>
              <w:rPr>
                <w:spacing w:val="-22"/>
                <w:w w:val="96"/>
              </w:rPr>
              <w:t>20</w:t>
            </w:r>
            <w:r>
              <w:rPr>
                <w:spacing w:val="1"/>
              </w:rPr>
              <w:t xml:space="preserve"> </w:t>
            </w:r>
            <w:r>
              <w:rPr>
                <w:spacing w:val="-2"/>
                <w:w w:val="93"/>
              </w:rPr>
              <w:t>分</w:t>
            </w:r>
          </w:p>
        </w:tc>
        <w:tc>
          <w:tcPr>
            <w:tcW w:w="7078" w:type="dxa"/>
            <w:vAlign w:val="top"/>
          </w:tcPr>
          <w:p w14:paraId="62A8E2A6">
            <w:pPr>
              <w:pStyle w:val="6"/>
              <w:spacing w:before="145" w:line="185" w:lineRule="auto"/>
              <w:ind w:left="116" w:right="103" w:firstLine="25"/>
              <w:jc w:val="both"/>
            </w:pPr>
            <w:r>
              <w:rPr>
                <w:spacing w:val="-5"/>
              </w:rPr>
              <w:t>以满足招标文件要求且投标价格最低的投标报价为评标基准价，其</w:t>
            </w:r>
            <w:r>
              <w:rPr>
                <w:spacing w:val="7"/>
              </w:rPr>
              <w:t xml:space="preserve"> </w:t>
            </w:r>
            <w:r>
              <w:rPr>
                <w:spacing w:val="-3"/>
              </w:rPr>
              <w:t>价格分为满分 20 分，</w:t>
            </w:r>
            <w:r>
              <w:rPr>
                <w:spacing w:val="-50"/>
              </w:rPr>
              <w:t xml:space="preserve"> </w:t>
            </w:r>
            <w:r>
              <w:rPr>
                <w:spacing w:val="-3"/>
              </w:rPr>
              <w:t>其他投标人的价格分按</w:t>
            </w:r>
            <w:r>
              <w:rPr>
                <w:spacing w:val="-4"/>
              </w:rPr>
              <w:t>照下列公式计算：</w:t>
            </w:r>
            <w:r>
              <w:rPr>
                <w:spacing w:val="-46"/>
              </w:rPr>
              <w:t xml:space="preserve"> </w:t>
            </w:r>
            <w:r>
              <w:rPr>
                <w:spacing w:val="-4"/>
              </w:rPr>
              <w:t>投</w:t>
            </w:r>
            <w:r>
              <w:t xml:space="preserve"> </w:t>
            </w:r>
            <w:r>
              <w:rPr>
                <w:spacing w:val="-7"/>
              </w:rPr>
              <w:t>标报价得分=（评标基准价/投标报价）×20*100%</w:t>
            </w:r>
          </w:p>
        </w:tc>
      </w:tr>
      <w:tr w14:paraId="354F2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589" w:type="dxa"/>
            <w:vMerge w:val="restart"/>
            <w:tcBorders>
              <w:bottom w:val="nil"/>
            </w:tcBorders>
            <w:vAlign w:val="top"/>
          </w:tcPr>
          <w:p w14:paraId="4729431C">
            <w:pPr>
              <w:rPr>
                <w:rFonts w:ascii="Arial"/>
                <w:sz w:val="21"/>
              </w:rPr>
            </w:pPr>
          </w:p>
          <w:p w14:paraId="21864BBD">
            <w:pPr>
              <w:rPr>
                <w:rFonts w:ascii="Arial"/>
                <w:sz w:val="21"/>
              </w:rPr>
            </w:pPr>
          </w:p>
          <w:p w14:paraId="1EA666DC">
            <w:pPr>
              <w:rPr>
                <w:rFonts w:ascii="Arial"/>
                <w:sz w:val="21"/>
              </w:rPr>
            </w:pPr>
          </w:p>
          <w:p w14:paraId="5B07AEDF">
            <w:pPr>
              <w:rPr>
                <w:rFonts w:ascii="Arial"/>
                <w:sz w:val="21"/>
              </w:rPr>
            </w:pPr>
          </w:p>
          <w:p w14:paraId="10489A4B">
            <w:pPr>
              <w:rPr>
                <w:rFonts w:ascii="Arial"/>
                <w:sz w:val="21"/>
              </w:rPr>
            </w:pPr>
          </w:p>
          <w:p w14:paraId="1070972A">
            <w:pPr>
              <w:spacing w:line="241" w:lineRule="auto"/>
              <w:rPr>
                <w:rFonts w:ascii="Arial"/>
                <w:sz w:val="21"/>
              </w:rPr>
            </w:pPr>
          </w:p>
          <w:p w14:paraId="4E3ADE4D">
            <w:pPr>
              <w:spacing w:line="241" w:lineRule="auto"/>
              <w:rPr>
                <w:rFonts w:ascii="Arial"/>
                <w:sz w:val="21"/>
              </w:rPr>
            </w:pPr>
          </w:p>
          <w:p w14:paraId="4498444F">
            <w:pPr>
              <w:spacing w:line="241" w:lineRule="auto"/>
              <w:rPr>
                <w:rFonts w:ascii="Arial"/>
                <w:sz w:val="21"/>
              </w:rPr>
            </w:pPr>
          </w:p>
          <w:p w14:paraId="05B382D9">
            <w:pPr>
              <w:spacing w:line="241" w:lineRule="auto"/>
              <w:rPr>
                <w:rFonts w:ascii="Arial"/>
                <w:sz w:val="21"/>
              </w:rPr>
            </w:pPr>
          </w:p>
          <w:p w14:paraId="5742DE01">
            <w:pPr>
              <w:pStyle w:val="6"/>
              <w:spacing w:before="103" w:line="188" w:lineRule="auto"/>
              <w:ind w:left="148" w:right="171" w:firstLine="43"/>
              <w:jc w:val="both"/>
            </w:pPr>
            <w:r>
              <w:rPr>
                <w:spacing w:val="-8"/>
                <w:w w:val="93"/>
              </w:rPr>
              <w:t>商</w:t>
            </w:r>
            <w:r>
              <w:t xml:space="preserve"> </w:t>
            </w:r>
            <w:r>
              <w:rPr>
                <w:spacing w:val="18"/>
              </w:rPr>
              <w:t>务</w:t>
            </w:r>
            <w:r>
              <w:t xml:space="preserve"> </w:t>
            </w:r>
            <w:r>
              <w:rPr>
                <w:spacing w:val="18"/>
              </w:rPr>
              <w:t>部</w:t>
            </w:r>
            <w:r>
              <w:t xml:space="preserve"> </w:t>
            </w:r>
            <w:r>
              <w:rPr>
                <w:spacing w:val="18"/>
              </w:rPr>
              <w:t>分</w:t>
            </w:r>
            <w:r>
              <w:t xml:space="preserve"> </w:t>
            </w:r>
            <w:r>
              <w:rPr>
                <w:spacing w:val="18"/>
              </w:rPr>
              <w:t>评</w:t>
            </w:r>
            <w:r>
              <w:t xml:space="preserve"> </w:t>
            </w:r>
            <w:r>
              <w:rPr>
                <w:spacing w:val="-2"/>
                <w:w w:val="96"/>
              </w:rPr>
              <w:t>分</w:t>
            </w:r>
            <w:r>
              <w:t xml:space="preserve"> </w:t>
            </w:r>
            <w:r>
              <w:rPr>
                <w:spacing w:val="-27"/>
              </w:rPr>
              <w:t>25</w:t>
            </w:r>
            <w:r>
              <w:t xml:space="preserve"> </w:t>
            </w:r>
            <w:r>
              <w:rPr>
                <w:spacing w:val="18"/>
              </w:rPr>
              <w:t>分</w:t>
            </w:r>
          </w:p>
        </w:tc>
        <w:tc>
          <w:tcPr>
            <w:tcW w:w="1412" w:type="dxa"/>
            <w:vAlign w:val="top"/>
          </w:tcPr>
          <w:p w14:paraId="20FF98BD">
            <w:pPr>
              <w:spacing w:line="267" w:lineRule="auto"/>
              <w:rPr>
                <w:rFonts w:ascii="Arial"/>
                <w:sz w:val="21"/>
              </w:rPr>
            </w:pPr>
          </w:p>
          <w:p w14:paraId="3C97C827">
            <w:pPr>
              <w:spacing w:line="268" w:lineRule="auto"/>
              <w:rPr>
                <w:rFonts w:ascii="Arial"/>
                <w:sz w:val="21"/>
              </w:rPr>
            </w:pPr>
          </w:p>
          <w:p w14:paraId="6CC6A54D">
            <w:pPr>
              <w:pStyle w:val="6"/>
              <w:spacing w:before="103" w:line="188" w:lineRule="auto"/>
              <w:ind w:left="236"/>
            </w:pPr>
            <w:r>
              <w:rPr>
                <w:spacing w:val="-4"/>
              </w:rPr>
              <w:t>综合能力</w:t>
            </w:r>
          </w:p>
        </w:tc>
        <w:tc>
          <w:tcPr>
            <w:tcW w:w="581" w:type="dxa"/>
            <w:vAlign w:val="top"/>
          </w:tcPr>
          <w:p w14:paraId="0556E26E">
            <w:pPr>
              <w:spacing w:line="349" w:lineRule="auto"/>
              <w:rPr>
                <w:rFonts w:ascii="Arial"/>
                <w:sz w:val="21"/>
              </w:rPr>
            </w:pPr>
          </w:p>
          <w:p w14:paraId="11C1C2FE">
            <w:pPr>
              <w:pStyle w:val="6"/>
              <w:spacing w:before="103" w:line="301" w:lineRule="auto"/>
              <w:ind w:left="181" w:right="168" w:firstLine="24"/>
            </w:pPr>
            <w:r>
              <w:rPr>
                <w:spacing w:val="-34"/>
              </w:rPr>
              <w:t>5</w:t>
            </w:r>
            <w:r>
              <w:t xml:space="preserve">  </w:t>
            </w:r>
            <w:r>
              <w:rPr>
                <w:spacing w:val="-2"/>
                <w:w w:val="93"/>
              </w:rPr>
              <w:t>分</w:t>
            </w:r>
          </w:p>
        </w:tc>
        <w:tc>
          <w:tcPr>
            <w:tcW w:w="7078" w:type="dxa"/>
            <w:vAlign w:val="top"/>
          </w:tcPr>
          <w:p w14:paraId="53C34FF2">
            <w:pPr>
              <w:pStyle w:val="6"/>
              <w:spacing w:before="16" w:line="163" w:lineRule="auto"/>
              <w:ind w:left="122" w:hanging="6"/>
              <w:jc w:val="both"/>
            </w:pPr>
            <w:r>
              <w:rPr>
                <w:spacing w:val="-10"/>
              </w:rPr>
              <w:t>投标人或产品生产厂家综合能力：ISO9001 质量管理体系认证证书、</w:t>
            </w:r>
            <w:r>
              <w:rPr>
                <w:spacing w:val="12"/>
              </w:rPr>
              <w:t xml:space="preserve"> </w:t>
            </w:r>
            <w:r>
              <w:rPr>
                <w:spacing w:val="-9"/>
              </w:rPr>
              <w:t>ISO27001 信息安全管理体系证书、</w:t>
            </w:r>
            <w:r>
              <w:rPr>
                <w:spacing w:val="-48"/>
              </w:rPr>
              <w:t xml:space="preserve"> </w:t>
            </w:r>
            <w:r>
              <w:rPr>
                <w:spacing w:val="-9"/>
              </w:rPr>
              <w:t>ISO38</w:t>
            </w:r>
            <w:r>
              <w:rPr>
                <w:spacing w:val="-10"/>
              </w:rPr>
              <w:t>505 数据治理体系认证证</w:t>
            </w:r>
            <w:r>
              <w:t xml:space="preserve">  </w:t>
            </w:r>
            <w:r>
              <w:rPr>
                <w:spacing w:val="-11"/>
              </w:rPr>
              <w:t>书、CMMI5 级及以上认证、ITSS</w:t>
            </w:r>
            <w:r>
              <w:rPr>
                <w:spacing w:val="-12"/>
              </w:rPr>
              <w:t xml:space="preserve"> 信息技术服务运行维护标准成熟度</w:t>
            </w:r>
            <w:r>
              <w:t xml:space="preserve">  </w:t>
            </w:r>
            <w:r>
              <w:rPr>
                <w:spacing w:val="-8"/>
              </w:rPr>
              <w:t>二级及以上。</w:t>
            </w:r>
          </w:p>
          <w:p w14:paraId="689A77C8">
            <w:pPr>
              <w:pStyle w:val="6"/>
              <w:spacing w:line="266" w:lineRule="exact"/>
              <w:ind w:left="118" w:right="14" w:firstLine="22"/>
            </w:pPr>
            <w:r>
              <w:rPr>
                <w:spacing w:val="-12"/>
              </w:rPr>
              <w:t>以上 5 项每提供一项得</w:t>
            </w:r>
            <w:r>
              <w:rPr>
                <w:spacing w:val="15"/>
              </w:rPr>
              <w:t xml:space="preserve"> </w:t>
            </w:r>
            <w:r>
              <w:rPr>
                <w:spacing w:val="-12"/>
              </w:rPr>
              <w:t xml:space="preserve">1 分，最高得 5 </w:t>
            </w:r>
            <w:r>
              <w:rPr>
                <w:spacing w:val="-13"/>
              </w:rPr>
              <w:t>分。需提供相关证书扫描件。</w:t>
            </w:r>
            <w:r>
              <w:t xml:space="preserve"> </w:t>
            </w:r>
            <w:r>
              <w:rPr>
                <w:spacing w:val="-7"/>
                <w:position w:val="-1"/>
              </w:rPr>
              <w:t>未提供不得分。</w:t>
            </w:r>
          </w:p>
        </w:tc>
      </w:tr>
      <w:tr w14:paraId="1664B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589" w:type="dxa"/>
            <w:vMerge w:val="continue"/>
            <w:tcBorders>
              <w:top w:val="nil"/>
              <w:bottom w:val="nil"/>
            </w:tcBorders>
            <w:vAlign w:val="top"/>
          </w:tcPr>
          <w:p w14:paraId="1B550DA2">
            <w:pPr>
              <w:rPr>
                <w:rFonts w:ascii="Arial"/>
                <w:sz w:val="21"/>
              </w:rPr>
            </w:pPr>
          </w:p>
        </w:tc>
        <w:tc>
          <w:tcPr>
            <w:tcW w:w="1412" w:type="dxa"/>
            <w:vAlign w:val="top"/>
          </w:tcPr>
          <w:p w14:paraId="57F85475">
            <w:pPr>
              <w:spacing w:line="304" w:lineRule="auto"/>
              <w:rPr>
                <w:rFonts w:ascii="Arial"/>
                <w:sz w:val="21"/>
              </w:rPr>
            </w:pPr>
          </w:p>
          <w:p w14:paraId="354F1075">
            <w:pPr>
              <w:pStyle w:val="6"/>
              <w:spacing w:before="103" w:line="271" w:lineRule="auto"/>
              <w:ind w:left="592" w:right="224" w:hanging="358"/>
            </w:pPr>
            <w:r>
              <w:rPr>
                <w:spacing w:val="-4"/>
                <w:w w:val="99"/>
              </w:rPr>
              <w:t>软件著作</w:t>
            </w:r>
            <w:r>
              <w:rPr>
                <w:spacing w:val="7"/>
              </w:rPr>
              <w:t xml:space="preserve"> </w:t>
            </w:r>
            <w:r>
              <w:t>权</w:t>
            </w:r>
          </w:p>
        </w:tc>
        <w:tc>
          <w:tcPr>
            <w:tcW w:w="581" w:type="dxa"/>
            <w:vAlign w:val="top"/>
          </w:tcPr>
          <w:p w14:paraId="15470E12">
            <w:pPr>
              <w:spacing w:line="347" w:lineRule="auto"/>
              <w:rPr>
                <w:rFonts w:ascii="Arial"/>
                <w:sz w:val="21"/>
              </w:rPr>
            </w:pPr>
          </w:p>
          <w:p w14:paraId="72523807">
            <w:pPr>
              <w:pStyle w:val="6"/>
              <w:spacing w:before="103" w:line="301" w:lineRule="auto"/>
              <w:ind w:left="181" w:right="168" w:firstLine="20"/>
            </w:pPr>
            <w:r>
              <w:rPr>
                <w:spacing w:val="-21"/>
                <w:w w:val="93"/>
              </w:rPr>
              <w:t>8</w:t>
            </w:r>
            <w:r>
              <w:t xml:space="preserve">  </w:t>
            </w:r>
            <w:r>
              <w:rPr>
                <w:spacing w:val="-2"/>
                <w:w w:val="93"/>
              </w:rPr>
              <w:t>分</w:t>
            </w:r>
          </w:p>
        </w:tc>
        <w:tc>
          <w:tcPr>
            <w:tcW w:w="7078" w:type="dxa"/>
            <w:vAlign w:val="top"/>
          </w:tcPr>
          <w:p w14:paraId="40AFCEDC">
            <w:pPr>
              <w:pStyle w:val="6"/>
              <w:spacing w:before="17" w:line="163" w:lineRule="auto"/>
              <w:ind w:left="116"/>
            </w:pPr>
            <w:r>
              <w:rPr>
                <w:spacing w:val="-3"/>
              </w:rPr>
              <w:t>投标人具有下列自主知识产权的产品著作权证书：</w:t>
            </w:r>
          </w:p>
          <w:p w14:paraId="06556E4E">
            <w:pPr>
              <w:pStyle w:val="6"/>
              <w:spacing w:before="7" w:line="159" w:lineRule="auto"/>
              <w:ind w:left="116" w:right="21" w:firstLine="10"/>
            </w:pPr>
            <w:r>
              <w:rPr>
                <w:spacing w:val="-9"/>
              </w:rPr>
              <w:t>包含但不限于：临床预警支持、临床辅助决</w:t>
            </w:r>
            <w:r>
              <w:rPr>
                <w:spacing w:val="-10"/>
              </w:rPr>
              <w:t>策支持、临床诊疗支持、</w:t>
            </w:r>
            <w:r>
              <w:t xml:space="preserve"> </w:t>
            </w:r>
            <w:r>
              <w:rPr>
                <w:spacing w:val="-4"/>
              </w:rPr>
              <w:t>智能风险评估、临床监控提醒、疾病管理平台、临床诊疗预测、中</w:t>
            </w:r>
            <w:r>
              <w:rPr>
                <w:spacing w:val="1"/>
              </w:rPr>
              <w:t xml:space="preserve">  </w:t>
            </w:r>
            <w:r>
              <w:rPr>
                <w:spacing w:val="-4"/>
              </w:rPr>
              <w:t>医数据术语标准化处理等相关计算机软件著作权证书，需包含以上</w:t>
            </w:r>
            <w:r>
              <w:rPr>
                <w:spacing w:val="1"/>
              </w:rPr>
              <w:t xml:space="preserve">  </w:t>
            </w:r>
            <w:r>
              <w:rPr>
                <w:spacing w:val="-8"/>
              </w:rPr>
              <w:t>关键字。每提供</w:t>
            </w:r>
            <w:r>
              <w:rPr>
                <w:spacing w:val="15"/>
              </w:rPr>
              <w:t xml:space="preserve"> </w:t>
            </w:r>
            <w:r>
              <w:rPr>
                <w:spacing w:val="-8"/>
              </w:rPr>
              <w:t>1 项证书得</w:t>
            </w:r>
            <w:r>
              <w:rPr>
                <w:spacing w:val="15"/>
              </w:rPr>
              <w:t xml:space="preserve"> </w:t>
            </w:r>
            <w:r>
              <w:rPr>
                <w:spacing w:val="-8"/>
              </w:rPr>
              <w:t>1 分，最高 8 分，需提</w:t>
            </w:r>
            <w:r>
              <w:rPr>
                <w:spacing w:val="-9"/>
              </w:rPr>
              <w:t>供相关软件著作</w:t>
            </w:r>
            <w:r>
              <w:t xml:space="preserve">  </w:t>
            </w:r>
            <w:r>
              <w:rPr>
                <w:spacing w:val="-3"/>
              </w:rPr>
              <w:t>权证书扫描件。未提供的不得分。</w:t>
            </w:r>
          </w:p>
        </w:tc>
      </w:tr>
      <w:tr w14:paraId="2C8A4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589" w:type="dxa"/>
            <w:vMerge w:val="continue"/>
            <w:tcBorders>
              <w:top w:val="nil"/>
              <w:bottom w:val="nil"/>
            </w:tcBorders>
            <w:vAlign w:val="top"/>
          </w:tcPr>
          <w:p w14:paraId="76EA6F95">
            <w:pPr>
              <w:rPr>
                <w:rFonts w:ascii="Arial"/>
                <w:sz w:val="21"/>
              </w:rPr>
            </w:pPr>
          </w:p>
        </w:tc>
        <w:tc>
          <w:tcPr>
            <w:tcW w:w="1412" w:type="dxa"/>
            <w:vAlign w:val="top"/>
          </w:tcPr>
          <w:p w14:paraId="596831DF">
            <w:pPr>
              <w:spacing w:line="260" w:lineRule="auto"/>
              <w:rPr>
                <w:rFonts w:ascii="Arial"/>
                <w:sz w:val="21"/>
              </w:rPr>
            </w:pPr>
          </w:p>
          <w:p w14:paraId="3579C0AF">
            <w:pPr>
              <w:pStyle w:val="6"/>
              <w:spacing w:before="103" w:line="188" w:lineRule="auto"/>
              <w:ind w:left="236"/>
            </w:pPr>
            <w:r>
              <w:rPr>
                <w:spacing w:val="-4"/>
              </w:rPr>
              <w:t>类似业绩</w:t>
            </w:r>
          </w:p>
        </w:tc>
        <w:tc>
          <w:tcPr>
            <w:tcW w:w="581" w:type="dxa"/>
            <w:vAlign w:val="top"/>
          </w:tcPr>
          <w:p w14:paraId="482B22B9">
            <w:pPr>
              <w:pStyle w:val="6"/>
              <w:spacing w:before="175" w:line="272" w:lineRule="auto"/>
              <w:ind w:left="181" w:right="168" w:firstLine="18"/>
            </w:pPr>
            <w:r>
              <w:rPr>
                <w:spacing w:val="-3"/>
                <w:w w:val="82"/>
              </w:rPr>
              <w:t>4</w:t>
            </w:r>
            <w:r>
              <w:t xml:space="preserve">  </w:t>
            </w:r>
            <w:r>
              <w:rPr>
                <w:spacing w:val="-2"/>
                <w:w w:val="93"/>
              </w:rPr>
              <w:t>分</w:t>
            </w:r>
          </w:p>
        </w:tc>
        <w:tc>
          <w:tcPr>
            <w:tcW w:w="7078" w:type="dxa"/>
            <w:vAlign w:val="top"/>
          </w:tcPr>
          <w:p w14:paraId="0DC7F7E8">
            <w:pPr>
              <w:pStyle w:val="6"/>
              <w:spacing w:before="19" w:line="163" w:lineRule="auto"/>
              <w:ind w:left="117" w:right="103"/>
            </w:pPr>
            <w:r>
              <w:rPr>
                <w:spacing w:val="-11"/>
              </w:rPr>
              <w:t>提供自 2021 年</w:t>
            </w:r>
            <w:r>
              <w:rPr>
                <w:spacing w:val="34"/>
              </w:rPr>
              <w:t xml:space="preserve"> </w:t>
            </w:r>
            <w:r>
              <w:rPr>
                <w:spacing w:val="-11"/>
              </w:rPr>
              <w:t>1</w:t>
            </w:r>
            <w:r>
              <w:rPr>
                <w:spacing w:val="17"/>
              </w:rPr>
              <w:t xml:space="preserve"> </w:t>
            </w:r>
            <w:r>
              <w:rPr>
                <w:spacing w:val="-11"/>
              </w:rPr>
              <w:t>月</w:t>
            </w:r>
            <w:r>
              <w:rPr>
                <w:spacing w:val="16"/>
              </w:rPr>
              <w:t xml:space="preserve"> </w:t>
            </w:r>
            <w:r>
              <w:rPr>
                <w:spacing w:val="-11"/>
              </w:rPr>
              <w:t>1  日以来，</w:t>
            </w:r>
            <w:r>
              <w:rPr>
                <w:spacing w:val="-48"/>
              </w:rPr>
              <w:t xml:space="preserve"> </w:t>
            </w:r>
            <w:r>
              <w:rPr>
                <w:spacing w:val="-11"/>
              </w:rPr>
              <w:t>成功实施过类似案例，</w:t>
            </w:r>
            <w:r>
              <w:rPr>
                <w:spacing w:val="-44"/>
              </w:rPr>
              <w:t xml:space="preserve"> </w:t>
            </w:r>
            <w:r>
              <w:rPr>
                <w:spacing w:val="-11"/>
              </w:rPr>
              <w:t>每提供一个</w:t>
            </w:r>
            <w:r>
              <w:t xml:space="preserve"> </w:t>
            </w:r>
            <w:r>
              <w:rPr>
                <w:spacing w:val="-8"/>
              </w:rPr>
              <w:t>得</w:t>
            </w:r>
            <w:r>
              <w:rPr>
                <w:spacing w:val="30"/>
              </w:rPr>
              <w:t xml:space="preserve"> </w:t>
            </w:r>
            <w:r>
              <w:rPr>
                <w:spacing w:val="-8"/>
              </w:rPr>
              <w:t>1 分，最高得 4 分。未提供不得分。</w:t>
            </w:r>
          </w:p>
          <w:p w14:paraId="0FEA43C7">
            <w:pPr>
              <w:pStyle w:val="6"/>
              <w:spacing w:line="265" w:lineRule="exact"/>
              <w:ind w:left="122" w:right="103"/>
            </w:pPr>
            <w:r>
              <w:rPr>
                <w:spacing w:val="-4"/>
                <w:position w:val="1"/>
              </w:rPr>
              <w:t>注：案例需同时提供中标通知书、合同关键页（封面、内</w:t>
            </w:r>
            <w:r>
              <w:rPr>
                <w:spacing w:val="-5"/>
                <w:position w:val="1"/>
              </w:rPr>
              <w:t>容页、双</w:t>
            </w:r>
            <w:r>
              <w:rPr>
                <w:position w:val="1"/>
              </w:rPr>
              <w:t xml:space="preserve"> </w:t>
            </w:r>
            <w:r>
              <w:rPr>
                <w:spacing w:val="-4"/>
                <w:position w:val="-1"/>
              </w:rPr>
              <w:t>方盖章页）的扫描件或复印件。</w:t>
            </w:r>
          </w:p>
        </w:tc>
      </w:tr>
      <w:tr w14:paraId="3B14A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589" w:type="dxa"/>
            <w:vMerge w:val="continue"/>
            <w:tcBorders>
              <w:top w:val="nil"/>
              <w:bottom w:val="nil"/>
            </w:tcBorders>
            <w:vAlign w:val="top"/>
          </w:tcPr>
          <w:p w14:paraId="11D5B5F2">
            <w:pPr>
              <w:rPr>
                <w:rFonts w:ascii="Arial"/>
                <w:sz w:val="21"/>
              </w:rPr>
            </w:pPr>
          </w:p>
        </w:tc>
        <w:tc>
          <w:tcPr>
            <w:tcW w:w="1412" w:type="dxa"/>
            <w:vAlign w:val="top"/>
          </w:tcPr>
          <w:p w14:paraId="21CA5212">
            <w:pPr>
              <w:pStyle w:val="6"/>
              <w:spacing w:before="131" w:line="271" w:lineRule="auto"/>
              <w:ind w:left="485" w:right="224" w:hanging="251"/>
            </w:pPr>
            <w:r>
              <w:rPr>
                <w:spacing w:val="-5"/>
              </w:rPr>
              <w:t>项目人员</w:t>
            </w:r>
            <w:r>
              <w:rPr>
                <w:spacing w:val="2"/>
              </w:rPr>
              <w:t xml:space="preserve"> </w:t>
            </w:r>
            <w:r>
              <w:rPr>
                <w:spacing w:val="-4"/>
                <w:w w:val="98"/>
              </w:rPr>
              <w:t>资质</w:t>
            </w:r>
          </w:p>
        </w:tc>
        <w:tc>
          <w:tcPr>
            <w:tcW w:w="581" w:type="dxa"/>
            <w:vAlign w:val="top"/>
          </w:tcPr>
          <w:p w14:paraId="56AB4065">
            <w:pPr>
              <w:pStyle w:val="6"/>
              <w:spacing w:before="175" w:line="272" w:lineRule="auto"/>
              <w:ind w:left="181" w:right="168" w:firstLine="18"/>
            </w:pPr>
            <w:r>
              <w:rPr>
                <w:spacing w:val="-3"/>
                <w:w w:val="82"/>
              </w:rPr>
              <w:t>4</w:t>
            </w:r>
            <w:r>
              <w:t xml:space="preserve">  </w:t>
            </w:r>
            <w:r>
              <w:rPr>
                <w:spacing w:val="-2"/>
                <w:w w:val="93"/>
              </w:rPr>
              <w:t>分</w:t>
            </w:r>
          </w:p>
        </w:tc>
        <w:tc>
          <w:tcPr>
            <w:tcW w:w="7078" w:type="dxa"/>
            <w:vAlign w:val="top"/>
          </w:tcPr>
          <w:p w14:paraId="57E78CBD">
            <w:pPr>
              <w:pStyle w:val="6"/>
              <w:spacing w:before="20" w:line="163" w:lineRule="auto"/>
              <w:ind w:left="117" w:right="103" w:firstLine="7"/>
              <w:jc w:val="both"/>
            </w:pPr>
            <w:r>
              <w:rPr>
                <w:spacing w:val="-7"/>
              </w:rPr>
              <w:t>为保证项目实施、售后的服务质量以及时效性， 要求投标人拟投入</w:t>
            </w:r>
            <w:r>
              <w:rPr>
                <w:spacing w:val="17"/>
              </w:rPr>
              <w:t xml:space="preserve"> </w:t>
            </w:r>
            <w:r>
              <w:rPr>
                <w:spacing w:val="-4"/>
              </w:rPr>
              <w:t>本项目实施团队成员需具有以下证书：具有信息系统业务安全服务</w:t>
            </w:r>
            <w:r>
              <w:rPr>
                <w:spacing w:val="2"/>
              </w:rPr>
              <w:t xml:space="preserve"> </w:t>
            </w:r>
            <w:r>
              <w:rPr>
                <w:spacing w:val="-7"/>
              </w:rPr>
              <w:t>工程师证书，每提供</w:t>
            </w:r>
            <w:r>
              <w:rPr>
                <w:spacing w:val="22"/>
              </w:rPr>
              <w:t xml:space="preserve"> </w:t>
            </w:r>
            <w:r>
              <w:rPr>
                <w:spacing w:val="-7"/>
              </w:rPr>
              <w:t>1 个得 2 分，满分 4 分。</w:t>
            </w:r>
          </w:p>
          <w:p w14:paraId="72C25A03">
            <w:pPr>
              <w:pStyle w:val="6"/>
              <w:spacing w:line="249" w:lineRule="exact"/>
              <w:ind w:left="116"/>
            </w:pPr>
            <w:r>
              <w:rPr>
                <w:spacing w:val="-2"/>
                <w:position w:val="-1"/>
              </w:rPr>
              <w:t>（全部提供投标人证书原件或复印件加盖公章）</w:t>
            </w:r>
          </w:p>
        </w:tc>
      </w:tr>
      <w:tr w14:paraId="114E0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589" w:type="dxa"/>
            <w:vMerge w:val="continue"/>
            <w:tcBorders>
              <w:top w:val="nil"/>
            </w:tcBorders>
            <w:vAlign w:val="top"/>
          </w:tcPr>
          <w:p w14:paraId="69C2F152">
            <w:pPr>
              <w:rPr>
                <w:rFonts w:ascii="Arial"/>
                <w:sz w:val="21"/>
              </w:rPr>
            </w:pPr>
          </w:p>
        </w:tc>
        <w:tc>
          <w:tcPr>
            <w:tcW w:w="1412" w:type="dxa"/>
            <w:vAlign w:val="top"/>
          </w:tcPr>
          <w:p w14:paraId="26491A86">
            <w:pPr>
              <w:pStyle w:val="6"/>
              <w:spacing w:before="273" w:line="275" w:lineRule="auto"/>
              <w:ind w:left="591" w:right="224" w:hanging="331"/>
            </w:pPr>
            <w:r>
              <w:rPr>
                <w:spacing w:val="-11"/>
              </w:rPr>
              <w:t>国产化认</w:t>
            </w:r>
            <w:r>
              <w:t xml:space="preserve"> 证</w:t>
            </w:r>
          </w:p>
        </w:tc>
        <w:tc>
          <w:tcPr>
            <w:tcW w:w="581" w:type="dxa"/>
            <w:vAlign w:val="top"/>
          </w:tcPr>
          <w:p w14:paraId="7323107A">
            <w:pPr>
              <w:pStyle w:val="6"/>
              <w:spacing w:before="318" w:line="302" w:lineRule="auto"/>
              <w:ind w:left="181" w:right="168" w:firstLine="18"/>
            </w:pPr>
            <w:r>
              <w:rPr>
                <w:spacing w:val="-3"/>
                <w:w w:val="82"/>
              </w:rPr>
              <w:t>4</w:t>
            </w:r>
            <w:r>
              <w:t xml:space="preserve">  </w:t>
            </w:r>
            <w:r>
              <w:rPr>
                <w:spacing w:val="-2"/>
                <w:w w:val="93"/>
              </w:rPr>
              <w:t>分</w:t>
            </w:r>
          </w:p>
        </w:tc>
        <w:tc>
          <w:tcPr>
            <w:tcW w:w="7078" w:type="dxa"/>
            <w:vAlign w:val="top"/>
          </w:tcPr>
          <w:p w14:paraId="4F8AECE2">
            <w:pPr>
              <w:pStyle w:val="6"/>
              <w:spacing w:before="21" w:line="163" w:lineRule="auto"/>
              <w:ind w:left="117" w:right="103"/>
            </w:pPr>
            <w:r>
              <w:rPr>
                <w:spacing w:val="4"/>
              </w:rPr>
              <w:t>提供投标人的软件系统投标产品能够兼容国产操作系统及国产数</w:t>
            </w:r>
            <w:r>
              <w:rPr>
                <w:spacing w:val="12"/>
              </w:rPr>
              <w:t xml:space="preserve"> </w:t>
            </w:r>
            <w:r>
              <w:rPr>
                <w:spacing w:val="1"/>
              </w:rPr>
              <w:t>据库系统。1.获得国产化数据库兼容认证证书</w:t>
            </w:r>
          </w:p>
          <w:p w14:paraId="5D5FEF83">
            <w:pPr>
              <w:pStyle w:val="6"/>
              <w:spacing w:line="163" w:lineRule="auto"/>
              <w:ind w:left="112"/>
            </w:pPr>
            <w:r>
              <w:rPr>
                <w:spacing w:val="1"/>
              </w:rPr>
              <w:t>2.获得国产操作系统兼容认证证书</w:t>
            </w:r>
          </w:p>
          <w:p w14:paraId="59FC5043">
            <w:pPr>
              <w:pStyle w:val="6"/>
              <w:spacing w:line="264" w:lineRule="exact"/>
              <w:ind w:left="117" w:right="518" w:firstLine="23"/>
            </w:pPr>
            <w:r>
              <w:rPr>
                <w:spacing w:val="-5"/>
              </w:rPr>
              <w:t>以上证书每提供一个得 2 分，最高得 4 分，未提供的</w:t>
            </w:r>
            <w:r>
              <w:rPr>
                <w:spacing w:val="-6"/>
              </w:rPr>
              <w:t>不得分。</w:t>
            </w:r>
            <w:r>
              <w:t xml:space="preserve"> </w:t>
            </w:r>
            <w:r>
              <w:rPr>
                <w:spacing w:val="-2"/>
                <w:position w:val="-1"/>
              </w:rPr>
              <w:t>须提供兼容认证厂商加盖公章的认证证书且官方可查。</w:t>
            </w:r>
          </w:p>
        </w:tc>
      </w:tr>
      <w:tr w14:paraId="12200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589" w:type="dxa"/>
            <w:textDirection w:val="tbRlV"/>
            <w:vAlign w:val="top"/>
          </w:tcPr>
          <w:p w14:paraId="180C61A7">
            <w:pPr>
              <w:pStyle w:val="6"/>
              <w:spacing w:before="171" w:line="172" w:lineRule="auto"/>
              <w:ind w:left="153"/>
            </w:pPr>
            <w:r>
              <w:rPr>
                <w:spacing w:val="4"/>
              </w:rPr>
              <w:t>技 术</w:t>
            </w:r>
          </w:p>
        </w:tc>
        <w:tc>
          <w:tcPr>
            <w:tcW w:w="1412" w:type="dxa"/>
            <w:vAlign w:val="top"/>
          </w:tcPr>
          <w:p w14:paraId="615685FF">
            <w:pPr>
              <w:pStyle w:val="6"/>
              <w:spacing w:before="161" w:line="176" w:lineRule="auto"/>
              <w:ind w:left="114" w:right="105" w:firstLine="1"/>
            </w:pPr>
            <w:r>
              <w:rPr>
                <w:spacing w:val="-10"/>
                <w:w w:val="94"/>
              </w:rPr>
              <w:t>产</w:t>
            </w:r>
            <w:r>
              <w:rPr>
                <w:spacing w:val="53"/>
              </w:rPr>
              <w:t xml:space="preserve"> </w:t>
            </w:r>
            <w:r>
              <w:rPr>
                <w:spacing w:val="-10"/>
                <w:w w:val="94"/>
              </w:rPr>
              <w:t>品</w:t>
            </w:r>
            <w:r>
              <w:rPr>
                <w:spacing w:val="24"/>
                <w:w w:val="101"/>
              </w:rPr>
              <w:t xml:space="preserve"> </w:t>
            </w:r>
            <w:r>
              <w:rPr>
                <w:spacing w:val="-10"/>
                <w:w w:val="94"/>
              </w:rPr>
              <w:t>技</w:t>
            </w:r>
            <w:r>
              <w:rPr>
                <w:spacing w:val="25"/>
              </w:rPr>
              <w:t xml:space="preserve"> </w:t>
            </w:r>
            <w:r>
              <w:rPr>
                <w:spacing w:val="-10"/>
                <w:w w:val="94"/>
              </w:rPr>
              <w:t>术</w:t>
            </w:r>
            <w:r>
              <w:t xml:space="preserve"> </w:t>
            </w:r>
            <w:r>
              <w:rPr>
                <w:spacing w:val="-3"/>
              </w:rPr>
              <w:t>指标响应</w:t>
            </w:r>
          </w:p>
        </w:tc>
        <w:tc>
          <w:tcPr>
            <w:tcW w:w="581" w:type="dxa"/>
            <w:vAlign w:val="top"/>
          </w:tcPr>
          <w:p w14:paraId="3ABD3E83">
            <w:pPr>
              <w:pStyle w:val="6"/>
              <w:spacing w:before="204" w:line="165" w:lineRule="auto"/>
              <w:ind w:left="118" w:right="231" w:hanging="5"/>
            </w:pPr>
            <w:r>
              <w:rPr>
                <w:spacing w:val="-27"/>
                <w:w w:val="99"/>
              </w:rPr>
              <w:t>30</w:t>
            </w:r>
            <w:r>
              <w:rPr>
                <w:spacing w:val="1"/>
              </w:rPr>
              <w:t xml:space="preserve"> </w:t>
            </w:r>
            <w:r>
              <w:rPr>
                <w:spacing w:val="-2"/>
                <w:w w:val="93"/>
              </w:rPr>
              <w:t>分</w:t>
            </w:r>
          </w:p>
        </w:tc>
        <w:tc>
          <w:tcPr>
            <w:tcW w:w="7078" w:type="dxa"/>
            <w:vAlign w:val="top"/>
          </w:tcPr>
          <w:p w14:paraId="5889CF62">
            <w:pPr>
              <w:pStyle w:val="6"/>
              <w:spacing w:before="22" w:line="175" w:lineRule="auto"/>
              <w:ind w:left="120" w:right="103" w:hanging="2"/>
            </w:pPr>
            <w:r>
              <w:rPr>
                <w:spacing w:val="-4"/>
              </w:rPr>
              <w:t>采购需求及技术参数中未加标注★的项，有一项负偏离扣 1 分，扣</w:t>
            </w:r>
            <w:r>
              <w:rPr>
                <w:spacing w:val="10"/>
              </w:rPr>
              <w:t xml:space="preserve"> </w:t>
            </w:r>
            <w:r>
              <w:rPr>
                <w:spacing w:val="-7"/>
              </w:rPr>
              <w:t>完本项分为止。</w:t>
            </w:r>
          </w:p>
        </w:tc>
      </w:tr>
    </w:tbl>
    <w:p w14:paraId="7CC0A4C6">
      <w:pPr>
        <w:pStyle w:val="2"/>
        <w:spacing w:line="243" w:lineRule="auto"/>
      </w:pPr>
    </w:p>
    <w:p w14:paraId="32F13AEF">
      <w:pPr>
        <w:pStyle w:val="2"/>
        <w:spacing w:line="243" w:lineRule="auto"/>
      </w:pPr>
    </w:p>
    <w:p w14:paraId="06144644">
      <w:pPr>
        <w:pStyle w:val="2"/>
        <w:spacing w:line="244" w:lineRule="auto"/>
      </w:pPr>
    </w:p>
    <w:p w14:paraId="32551E8D">
      <w:pPr>
        <w:pStyle w:val="2"/>
        <w:spacing w:line="244" w:lineRule="auto"/>
      </w:pPr>
    </w:p>
    <w:p w14:paraId="6D0131BB">
      <w:pPr>
        <w:pStyle w:val="2"/>
        <w:spacing w:line="244" w:lineRule="auto"/>
      </w:pPr>
    </w:p>
    <w:p w14:paraId="0B3E018E">
      <w:pPr>
        <w:spacing w:before="62" w:line="209" w:lineRule="auto"/>
        <w:ind w:left="138"/>
        <w:rPr>
          <w:rFonts w:ascii="宋体" w:hAnsi="宋体" w:eastAsia="宋体" w:cs="宋体"/>
          <w:sz w:val="19"/>
          <w:szCs w:val="19"/>
        </w:rPr>
      </w:pPr>
      <w:r>
        <w:pict>
          <v:shape id="_x0000_s1068" o:spid="_x0000_s1068" style="position:absolute;left:0pt;margin-left:1.45pt;margin-top:11.8pt;height:0.75pt;width:494pt;z-index:251730944;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87                                </w:t>
      </w:r>
      <w:r>
        <w:rPr>
          <w:rFonts w:ascii="宋体" w:hAnsi="宋体" w:eastAsia="宋体" w:cs="宋体"/>
          <w:b/>
          <w:bCs/>
          <w:i/>
          <w:iCs/>
          <w:spacing w:val="-3"/>
          <w:sz w:val="19"/>
          <w:szCs w:val="19"/>
        </w:rPr>
        <w:t>伊犁州公共资源交易中心</w:t>
      </w:r>
    </w:p>
    <w:p w14:paraId="5BB8B28E">
      <w:pPr>
        <w:spacing w:line="209" w:lineRule="auto"/>
        <w:rPr>
          <w:rFonts w:ascii="宋体" w:hAnsi="宋体" w:eastAsia="宋体" w:cs="宋体"/>
          <w:sz w:val="19"/>
          <w:szCs w:val="19"/>
        </w:rPr>
        <w:sectPr>
          <w:pgSz w:w="11905" w:h="16839"/>
          <w:pgMar w:top="1136" w:right="830" w:bottom="400" w:left="1136" w:header="854" w:footer="0" w:gutter="0"/>
          <w:cols w:space="720" w:num="1"/>
        </w:sectPr>
      </w:pPr>
    </w:p>
    <w:p w14:paraId="5C1C3B86">
      <w:pPr>
        <w:spacing w:before="38"/>
      </w:pPr>
    </w:p>
    <w:tbl>
      <w:tblPr>
        <w:tblStyle w:val="5"/>
        <w:tblW w:w="9660"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9"/>
        <w:gridCol w:w="1412"/>
        <w:gridCol w:w="581"/>
        <w:gridCol w:w="7078"/>
      </w:tblGrid>
      <w:tr w14:paraId="61482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3" w:hRule="atLeast"/>
        </w:trPr>
        <w:tc>
          <w:tcPr>
            <w:tcW w:w="589" w:type="dxa"/>
            <w:vMerge w:val="restart"/>
            <w:tcBorders>
              <w:bottom w:val="nil"/>
            </w:tcBorders>
            <w:vAlign w:val="top"/>
          </w:tcPr>
          <w:p w14:paraId="1FF3756B">
            <w:pPr>
              <w:pStyle w:val="6"/>
              <w:spacing w:before="52" w:line="192" w:lineRule="auto"/>
              <w:ind w:left="150" w:right="171" w:firstLine="33"/>
              <w:jc w:val="both"/>
            </w:pPr>
            <w:r>
              <w:rPr>
                <w:spacing w:val="-7"/>
                <w:w w:val="95"/>
              </w:rPr>
              <w:t>部</w:t>
            </w:r>
            <w:r>
              <w:rPr>
                <w:spacing w:val="1"/>
              </w:rPr>
              <w:t xml:space="preserve"> </w:t>
            </w:r>
            <w:r>
              <w:rPr>
                <w:spacing w:val="-2"/>
                <w:w w:val="95"/>
              </w:rPr>
              <w:t>分</w:t>
            </w:r>
            <w:r>
              <w:t xml:space="preserve"> </w:t>
            </w:r>
            <w:r>
              <w:rPr>
                <w:spacing w:val="-28"/>
              </w:rPr>
              <w:t>55</w:t>
            </w:r>
            <w:r>
              <w:t xml:space="preserve"> </w:t>
            </w:r>
            <w:r>
              <w:rPr>
                <w:spacing w:val="16"/>
              </w:rPr>
              <w:t>分</w:t>
            </w:r>
          </w:p>
        </w:tc>
        <w:tc>
          <w:tcPr>
            <w:tcW w:w="1412" w:type="dxa"/>
            <w:vAlign w:val="top"/>
          </w:tcPr>
          <w:p w14:paraId="4E9A1E10">
            <w:pPr>
              <w:spacing w:line="272" w:lineRule="auto"/>
              <w:rPr>
                <w:rFonts w:ascii="Arial"/>
                <w:sz w:val="21"/>
              </w:rPr>
            </w:pPr>
          </w:p>
          <w:p w14:paraId="6AC02D55">
            <w:pPr>
              <w:spacing w:line="272" w:lineRule="auto"/>
              <w:rPr>
                <w:rFonts w:ascii="Arial"/>
                <w:sz w:val="21"/>
              </w:rPr>
            </w:pPr>
          </w:p>
          <w:p w14:paraId="40895C26">
            <w:pPr>
              <w:spacing w:line="272" w:lineRule="auto"/>
              <w:rPr>
                <w:rFonts w:ascii="Arial"/>
                <w:sz w:val="21"/>
              </w:rPr>
            </w:pPr>
          </w:p>
          <w:p w14:paraId="7FE44D79">
            <w:pPr>
              <w:pStyle w:val="6"/>
              <w:spacing w:before="103" w:line="188" w:lineRule="auto"/>
              <w:ind w:left="119"/>
            </w:pPr>
            <w:r>
              <w:rPr>
                <w:spacing w:val="-4"/>
              </w:rPr>
              <w:t>实施方案</w:t>
            </w:r>
          </w:p>
        </w:tc>
        <w:tc>
          <w:tcPr>
            <w:tcW w:w="581" w:type="dxa"/>
            <w:vAlign w:val="top"/>
          </w:tcPr>
          <w:p w14:paraId="3B4C701C">
            <w:pPr>
              <w:spacing w:line="272" w:lineRule="auto"/>
              <w:rPr>
                <w:rFonts w:ascii="Arial"/>
                <w:sz w:val="21"/>
              </w:rPr>
            </w:pPr>
          </w:p>
          <w:p w14:paraId="791F6099">
            <w:pPr>
              <w:spacing w:line="273" w:lineRule="auto"/>
              <w:rPr>
                <w:rFonts w:ascii="Arial"/>
                <w:sz w:val="21"/>
              </w:rPr>
            </w:pPr>
          </w:p>
          <w:p w14:paraId="2F3D3F43">
            <w:pPr>
              <w:pStyle w:val="6"/>
              <w:spacing w:before="103" w:line="301" w:lineRule="auto"/>
              <w:ind w:left="181" w:right="168" w:firstLine="25"/>
            </w:pPr>
            <w:r>
              <w:rPr>
                <w:spacing w:val="-22"/>
                <w:w w:val="90"/>
              </w:rPr>
              <w:t>7</w:t>
            </w:r>
            <w:r>
              <w:t xml:space="preserve">  </w:t>
            </w:r>
            <w:r>
              <w:rPr>
                <w:spacing w:val="-2"/>
                <w:w w:val="93"/>
              </w:rPr>
              <w:t>分</w:t>
            </w:r>
          </w:p>
        </w:tc>
        <w:tc>
          <w:tcPr>
            <w:tcW w:w="7078" w:type="dxa"/>
            <w:vAlign w:val="top"/>
          </w:tcPr>
          <w:p w14:paraId="67319970">
            <w:pPr>
              <w:pStyle w:val="6"/>
              <w:spacing w:before="282" w:line="187" w:lineRule="auto"/>
              <w:ind w:left="116" w:right="103"/>
              <w:jc w:val="both"/>
            </w:pPr>
            <w:r>
              <w:rPr>
                <w:spacing w:val="-4"/>
              </w:rPr>
              <w:t>投标人提供项目实施方案，包含但不限于：总体推进计划、质量保</w:t>
            </w:r>
            <w:r>
              <w:rPr>
                <w:spacing w:val="3"/>
              </w:rPr>
              <w:t xml:space="preserve"> </w:t>
            </w:r>
            <w:r>
              <w:rPr>
                <w:spacing w:val="-4"/>
              </w:rPr>
              <w:t>证计划、信息安全管理、进度计划、团队人员组织结构、测试阶段</w:t>
            </w:r>
            <w:r>
              <w:rPr>
                <w:spacing w:val="3"/>
              </w:rPr>
              <w:t xml:space="preserve"> </w:t>
            </w:r>
            <w:r>
              <w:rPr>
                <w:spacing w:val="-4"/>
              </w:rPr>
              <w:t>实施方案、交付及维护方案等。</w:t>
            </w:r>
          </w:p>
          <w:p w14:paraId="7DACEE98">
            <w:pPr>
              <w:pStyle w:val="6"/>
              <w:spacing w:before="3" w:line="186" w:lineRule="auto"/>
              <w:ind w:left="122" w:right="21"/>
            </w:pPr>
            <w:r>
              <w:rPr>
                <w:spacing w:val="-12"/>
              </w:rPr>
              <w:t>全部包含以上内容，且内容全面的得 7 分；每存在</w:t>
            </w:r>
            <w:r>
              <w:rPr>
                <w:spacing w:val="33"/>
              </w:rPr>
              <w:t xml:space="preserve"> </w:t>
            </w:r>
            <w:r>
              <w:rPr>
                <w:spacing w:val="-12"/>
              </w:rPr>
              <w:t>1 项内容有缺漏、</w:t>
            </w:r>
            <w:r>
              <w:t xml:space="preserve"> </w:t>
            </w:r>
            <w:r>
              <w:rPr>
                <w:spacing w:val="-3"/>
              </w:rPr>
              <w:t>不完整或不能满足项目要求扣 1 分，扣完为止；不提供</w:t>
            </w:r>
            <w:r>
              <w:rPr>
                <w:spacing w:val="-4"/>
              </w:rPr>
              <w:t>不得分。</w:t>
            </w:r>
          </w:p>
        </w:tc>
      </w:tr>
      <w:tr w14:paraId="4FF2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7" w:hRule="atLeast"/>
        </w:trPr>
        <w:tc>
          <w:tcPr>
            <w:tcW w:w="589" w:type="dxa"/>
            <w:vMerge w:val="continue"/>
            <w:tcBorders>
              <w:top w:val="nil"/>
              <w:bottom w:val="nil"/>
            </w:tcBorders>
            <w:vAlign w:val="top"/>
          </w:tcPr>
          <w:p w14:paraId="34D9434B">
            <w:pPr>
              <w:rPr>
                <w:rFonts w:ascii="Arial"/>
                <w:sz w:val="21"/>
              </w:rPr>
            </w:pPr>
          </w:p>
        </w:tc>
        <w:tc>
          <w:tcPr>
            <w:tcW w:w="1412" w:type="dxa"/>
            <w:vAlign w:val="top"/>
          </w:tcPr>
          <w:p w14:paraId="68FB59FD">
            <w:pPr>
              <w:spacing w:line="251" w:lineRule="auto"/>
              <w:rPr>
                <w:rFonts w:ascii="Arial"/>
                <w:sz w:val="21"/>
              </w:rPr>
            </w:pPr>
          </w:p>
          <w:p w14:paraId="02D7116A">
            <w:pPr>
              <w:spacing w:line="251" w:lineRule="auto"/>
              <w:rPr>
                <w:rFonts w:ascii="Arial"/>
                <w:sz w:val="21"/>
              </w:rPr>
            </w:pPr>
          </w:p>
          <w:p w14:paraId="34307534">
            <w:pPr>
              <w:spacing w:line="251" w:lineRule="auto"/>
              <w:rPr>
                <w:rFonts w:ascii="Arial"/>
                <w:sz w:val="21"/>
              </w:rPr>
            </w:pPr>
          </w:p>
          <w:p w14:paraId="77EFECFD">
            <w:pPr>
              <w:spacing w:line="252" w:lineRule="auto"/>
              <w:rPr>
                <w:rFonts w:ascii="Arial"/>
                <w:sz w:val="21"/>
              </w:rPr>
            </w:pPr>
          </w:p>
          <w:p w14:paraId="024C4681">
            <w:pPr>
              <w:spacing w:line="252" w:lineRule="auto"/>
              <w:rPr>
                <w:rFonts w:ascii="Arial"/>
                <w:sz w:val="21"/>
              </w:rPr>
            </w:pPr>
          </w:p>
          <w:p w14:paraId="5CB9C420">
            <w:pPr>
              <w:pStyle w:val="6"/>
              <w:spacing w:before="103" w:line="187" w:lineRule="auto"/>
              <w:ind w:left="120" w:right="343" w:firstLine="7"/>
            </w:pPr>
            <w:r>
              <w:rPr>
                <w:spacing w:val="-2"/>
                <w:w w:val="97"/>
              </w:rPr>
              <w:t>售后服务</w:t>
            </w:r>
            <w:r>
              <w:rPr>
                <w:spacing w:val="6"/>
              </w:rPr>
              <w:t xml:space="preserve"> </w:t>
            </w:r>
            <w:r>
              <w:rPr>
                <w:spacing w:val="-5"/>
                <w:w w:val="99"/>
              </w:rPr>
              <w:t>方案</w:t>
            </w:r>
          </w:p>
        </w:tc>
        <w:tc>
          <w:tcPr>
            <w:tcW w:w="581" w:type="dxa"/>
            <w:vAlign w:val="top"/>
          </w:tcPr>
          <w:p w14:paraId="46F1886B">
            <w:pPr>
              <w:spacing w:line="286" w:lineRule="auto"/>
              <w:rPr>
                <w:rFonts w:ascii="Arial"/>
                <w:sz w:val="21"/>
              </w:rPr>
            </w:pPr>
          </w:p>
          <w:p w14:paraId="0888B511">
            <w:pPr>
              <w:spacing w:line="286" w:lineRule="auto"/>
              <w:rPr>
                <w:rFonts w:ascii="Arial"/>
                <w:sz w:val="21"/>
              </w:rPr>
            </w:pPr>
          </w:p>
          <w:p w14:paraId="5BD3FC59">
            <w:pPr>
              <w:spacing w:line="286" w:lineRule="auto"/>
              <w:rPr>
                <w:rFonts w:ascii="Arial"/>
                <w:sz w:val="21"/>
              </w:rPr>
            </w:pPr>
          </w:p>
          <w:p w14:paraId="241A305A">
            <w:pPr>
              <w:spacing w:line="286" w:lineRule="auto"/>
              <w:rPr>
                <w:rFonts w:ascii="Arial"/>
                <w:sz w:val="21"/>
              </w:rPr>
            </w:pPr>
          </w:p>
          <w:p w14:paraId="4E95B6EE">
            <w:pPr>
              <w:pStyle w:val="6"/>
              <w:spacing w:before="103" w:line="301" w:lineRule="auto"/>
              <w:ind w:left="181" w:right="168" w:firstLine="25"/>
            </w:pPr>
            <w:r>
              <w:rPr>
                <w:spacing w:val="-22"/>
                <w:w w:val="90"/>
              </w:rPr>
              <w:t>7</w:t>
            </w:r>
            <w:r>
              <w:t xml:space="preserve">  </w:t>
            </w:r>
            <w:r>
              <w:rPr>
                <w:spacing w:val="-2"/>
                <w:w w:val="93"/>
              </w:rPr>
              <w:t>分</w:t>
            </w:r>
          </w:p>
        </w:tc>
        <w:tc>
          <w:tcPr>
            <w:tcW w:w="7078" w:type="dxa"/>
            <w:vAlign w:val="top"/>
          </w:tcPr>
          <w:p w14:paraId="51C565C9">
            <w:pPr>
              <w:pStyle w:val="6"/>
              <w:spacing w:before="44" w:line="183" w:lineRule="auto"/>
              <w:ind w:left="117" w:right="103" w:firstLine="9"/>
              <w:jc w:val="both"/>
            </w:pPr>
            <w:r>
              <w:rPr>
                <w:spacing w:val="-3"/>
              </w:rPr>
              <w:t>1.后续服务方案：根据实现采购任务后续服务工作目标、后续服务</w:t>
            </w:r>
            <w:r>
              <w:rPr>
                <w:spacing w:val="8"/>
              </w:rPr>
              <w:t xml:space="preserve"> </w:t>
            </w:r>
            <w:r>
              <w:rPr>
                <w:spacing w:val="-4"/>
              </w:rPr>
              <w:t>保障措施，包含但不限于：软件系统维护及升级措施、硬件售后服</w:t>
            </w:r>
            <w:r>
              <w:rPr>
                <w:spacing w:val="2"/>
              </w:rPr>
              <w:t xml:space="preserve"> </w:t>
            </w:r>
            <w:r>
              <w:rPr>
                <w:spacing w:val="-5"/>
              </w:rPr>
              <w:t>务、后续服务技术人员配备、故障处理预案、服务流程程序（包括</w:t>
            </w:r>
            <w:r>
              <w:rPr>
                <w:spacing w:val="14"/>
              </w:rPr>
              <w:t xml:space="preserve"> </w:t>
            </w:r>
            <w:r>
              <w:rPr>
                <w:spacing w:val="-8"/>
              </w:rPr>
              <w:t>故障处理、上门维护、紧急维护、电话回访维护等）</w:t>
            </w:r>
            <w:r>
              <w:rPr>
                <w:spacing w:val="47"/>
              </w:rPr>
              <w:t xml:space="preserve"> </w:t>
            </w:r>
            <w:r>
              <w:rPr>
                <w:spacing w:val="-8"/>
              </w:rPr>
              <w:t>等内容，制定</w:t>
            </w:r>
            <w:r>
              <w:t xml:space="preserve"> </w:t>
            </w:r>
            <w:r>
              <w:rPr>
                <w:spacing w:val="-6"/>
              </w:rPr>
              <w:t>后续服务方案。</w:t>
            </w:r>
          </w:p>
          <w:p w14:paraId="133B5939">
            <w:pPr>
              <w:pStyle w:val="6"/>
              <w:spacing w:before="5" w:line="160" w:lineRule="auto"/>
              <w:ind w:left="112" w:right="7" w:firstLine="29"/>
              <w:jc w:val="both"/>
            </w:pPr>
            <w:r>
              <w:rPr>
                <w:spacing w:val="-3"/>
              </w:rPr>
              <w:t>以上 5 项内容完整且完全满足项目要求得 5  分，</w:t>
            </w:r>
            <w:r>
              <w:rPr>
                <w:spacing w:val="-27"/>
              </w:rPr>
              <w:t xml:space="preserve"> </w:t>
            </w:r>
            <w:r>
              <w:rPr>
                <w:spacing w:val="-3"/>
              </w:rPr>
              <w:t>每缺失一项或内</w:t>
            </w:r>
            <w:r>
              <w:t xml:space="preserve">  </w:t>
            </w:r>
            <w:r>
              <w:rPr>
                <w:spacing w:val="-1"/>
              </w:rPr>
              <w:t>容存在缺陷扣  1  分，扣完为止。(缺陷是指：存在不适</w:t>
            </w:r>
            <w:r>
              <w:rPr>
                <w:spacing w:val="-2"/>
              </w:rPr>
              <w:t>用项目实际</w:t>
            </w:r>
            <w:r>
              <w:t xml:space="preserve"> </w:t>
            </w:r>
            <w:r>
              <w:rPr>
                <w:spacing w:val="-4"/>
              </w:rPr>
              <w:t>情况的情形、凭空编造、内容前后不一致、前后逻辑错误、涉及的</w:t>
            </w:r>
            <w:r>
              <w:rPr>
                <w:spacing w:val="3"/>
              </w:rPr>
              <w:t xml:space="preserve">  </w:t>
            </w:r>
            <w:r>
              <w:rPr>
                <w:spacing w:val="1"/>
              </w:rPr>
              <w:t>规范及标准错误、地点区域错误、内容遗漏、不符合采购需求</w:t>
            </w:r>
            <w:r>
              <w:t xml:space="preserve">等)  </w:t>
            </w:r>
            <w:r>
              <w:rPr>
                <w:spacing w:val="-4"/>
              </w:rPr>
              <w:t>2.投标人提供售后服务承诺函，承诺项目验收后提供至少 1 名工程</w:t>
            </w:r>
            <w:r>
              <w:rPr>
                <w:spacing w:val="9"/>
              </w:rPr>
              <w:t xml:space="preserve">  </w:t>
            </w:r>
            <w:r>
              <w:rPr>
                <w:spacing w:val="-5"/>
              </w:rPr>
              <w:t>师驻场 2 年售后服务。提供得 2 分，不提供不得分。</w:t>
            </w:r>
          </w:p>
        </w:tc>
      </w:tr>
      <w:tr w14:paraId="15C44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7" w:hRule="atLeast"/>
        </w:trPr>
        <w:tc>
          <w:tcPr>
            <w:tcW w:w="589" w:type="dxa"/>
            <w:vMerge w:val="continue"/>
            <w:tcBorders>
              <w:top w:val="nil"/>
              <w:bottom w:val="nil"/>
            </w:tcBorders>
            <w:vAlign w:val="top"/>
          </w:tcPr>
          <w:p w14:paraId="7A67F492">
            <w:pPr>
              <w:rPr>
                <w:rFonts w:ascii="Arial"/>
                <w:sz w:val="21"/>
              </w:rPr>
            </w:pPr>
          </w:p>
        </w:tc>
        <w:tc>
          <w:tcPr>
            <w:tcW w:w="1412" w:type="dxa"/>
            <w:vAlign w:val="top"/>
          </w:tcPr>
          <w:p w14:paraId="3BD6F6E0">
            <w:pPr>
              <w:spacing w:line="265" w:lineRule="auto"/>
              <w:rPr>
                <w:rFonts w:ascii="Arial"/>
                <w:sz w:val="21"/>
              </w:rPr>
            </w:pPr>
          </w:p>
          <w:p w14:paraId="44090802">
            <w:pPr>
              <w:spacing w:line="265" w:lineRule="auto"/>
              <w:rPr>
                <w:rFonts w:ascii="Arial"/>
                <w:sz w:val="21"/>
              </w:rPr>
            </w:pPr>
          </w:p>
          <w:p w14:paraId="2C94F915">
            <w:pPr>
              <w:spacing w:line="265" w:lineRule="auto"/>
              <w:rPr>
                <w:rFonts w:ascii="Arial"/>
                <w:sz w:val="21"/>
              </w:rPr>
            </w:pPr>
          </w:p>
          <w:p w14:paraId="0FB6F36D">
            <w:pPr>
              <w:spacing w:line="265" w:lineRule="auto"/>
              <w:rPr>
                <w:rFonts w:ascii="Arial"/>
                <w:sz w:val="21"/>
              </w:rPr>
            </w:pPr>
          </w:p>
          <w:p w14:paraId="79DDD275">
            <w:pPr>
              <w:pStyle w:val="6"/>
              <w:spacing w:before="103" w:line="188" w:lineRule="auto"/>
              <w:ind w:left="115"/>
            </w:pPr>
            <w:r>
              <w:rPr>
                <w:spacing w:val="-4"/>
              </w:rPr>
              <w:t>培训方案</w:t>
            </w:r>
          </w:p>
        </w:tc>
        <w:tc>
          <w:tcPr>
            <w:tcW w:w="581" w:type="dxa"/>
            <w:vAlign w:val="top"/>
          </w:tcPr>
          <w:p w14:paraId="066B02D1">
            <w:pPr>
              <w:spacing w:line="261" w:lineRule="auto"/>
              <w:rPr>
                <w:rFonts w:ascii="Arial"/>
                <w:sz w:val="21"/>
              </w:rPr>
            </w:pPr>
          </w:p>
          <w:p w14:paraId="6FBD8273">
            <w:pPr>
              <w:spacing w:line="262" w:lineRule="auto"/>
              <w:rPr>
                <w:rFonts w:ascii="Arial"/>
                <w:sz w:val="21"/>
              </w:rPr>
            </w:pPr>
          </w:p>
          <w:p w14:paraId="5286E241">
            <w:pPr>
              <w:spacing w:line="262" w:lineRule="auto"/>
              <w:rPr>
                <w:rFonts w:ascii="Arial"/>
                <w:sz w:val="21"/>
              </w:rPr>
            </w:pPr>
          </w:p>
          <w:p w14:paraId="58EAB704">
            <w:pPr>
              <w:pStyle w:val="6"/>
              <w:spacing w:before="103" w:line="301" w:lineRule="auto"/>
              <w:ind w:left="181" w:right="168" w:firstLine="24"/>
            </w:pPr>
            <w:r>
              <w:rPr>
                <w:spacing w:val="-33"/>
                <w:w w:val="99"/>
              </w:rPr>
              <w:t>3</w:t>
            </w:r>
            <w:r>
              <w:t xml:space="preserve">  </w:t>
            </w:r>
            <w:r>
              <w:rPr>
                <w:spacing w:val="-2"/>
                <w:w w:val="93"/>
              </w:rPr>
              <w:t>分</w:t>
            </w:r>
          </w:p>
        </w:tc>
        <w:tc>
          <w:tcPr>
            <w:tcW w:w="7078" w:type="dxa"/>
            <w:vAlign w:val="top"/>
          </w:tcPr>
          <w:p w14:paraId="03CEF83E">
            <w:pPr>
              <w:pStyle w:val="6"/>
              <w:spacing w:before="46" w:line="187" w:lineRule="auto"/>
              <w:ind w:left="116" w:right="103" w:firstLine="1"/>
              <w:jc w:val="both"/>
            </w:pPr>
            <w:r>
              <w:rPr>
                <w:spacing w:val="-4"/>
              </w:rPr>
              <w:t>培训方案完整且易于实施，培训贴合实际，能够在实际使用地进行</w:t>
            </w:r>
            <w:r>
              <w:rPr>
                <w:spacing w:val="2"/>
              </w:rPr>
              <w:t xml:space="preserve"> </w:t>
            </w:r>
            <w:r>
              <w:rPr>
                <w:spacing w:val="-5"/>
              </w:rPr>
              <w:t>现场培训，具备：1、完整、可行的培训方案承诺；2、明</w:t>
            </w:r>
            <w:r>
              <w:rPr>
                <w:spacing w:val="-6"/>
              </w:rPr>
              <w:t>确具体培</w:t>
            </w:r>
            <w:r>
              <w:t xml:space="preserve"> </w:t>
            </w:r>
            <w:r>
              <w:rPr>
                <w:spacing w:val="-3"/>
              </w:rPr>
              <w:t>训内容、方式、时间、对象以及培训目标；3 有专业培训队伍保证</w:t>
            </w:r>
            <w:r>
              <w:rPr>
                <w:spacing w:val="6"/>
              </w:rPr>
              <w:t xml:space="preserve"> </w:t>
            </w:r>
            <w:r>
              <w:rPr>
                <w:spacing w:val="-2"/>
              </w:rPr>
              <w:t>培训质量，明确后期遇到问题能够自行解决的程度。</w:t>
            </w:r>
          </w:p>
          <w:p w14:paraId="6B90795C">
            <w:pPr>
              <w:pStyle w:val="6"/>
              <w:spacing w:before="2" w:line="177" w:lineRule="auto"/>
              <w:ind w:left="115" w:right="103" w:firstLine="26"/>
              <w:jc w:val="both"/>
            </w:pPr>
            <w:r>
              <w:rPr>
                <w:spacing w:val="-2"/>
              </w:rPr>
              <w:t>以上 3 项，均满足且内容详尽得 3 分,每有一项内容不满足或内容</w:t>
            </w:r>
            <w:r>
              <w:rPr>
                <w:spacing w:val="1"/>
              </w:rPr>
              <w:t xml:space="preserve"> </w:t>
            </w:r>
            <w:r>
              <w:rPr>
                <w:spacing w:val="-1"/>
              </w:rPr>
              <w:t>缺陷扣 1 分，扣完为止。(缺陷是指：存在不适用项目实际情况的</w:t>
            </w:r>
            <w:r>
              <w:rPr>
                <w:spacing w:val="12"/>
              </w:rPr>
              <w:t xml:space="preserve"> </w:t>
            </w:r>
            <w:r>
              <w:rPr>
                <w:spacing w:val="-4"/>
              </w:rPr>
              <w:t>情形、凭空编造、内容前后不一致、前后逻辑错误、涉及的规范及</w:t>
            </w:r>
            <w:r>
              <w:rPr>
                <w:spacing w:val="4"/>
              </w:rPr>
              <w:t xml:space="preserve"> </w:t>
            </w:r>
            <w:r>
              <w:rPr>
                <w:spacing w:val="1"/>
              </w:rPr>
              <w:t>标准错误、地点区域错误、内容遗漏、不符合采购需求</w:t>
            </w:r>
            <w:r>
              <w:t>等)</w:t>
            </w:r>
          </w:p>
        </w:tc>
      </w:tr>
      <w:tr w14:paraId="3F211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589" w:type="dxa"/>
            <w:vMerge w:val="continue"/>
            <w:tcBorders>
              <w:top w:val="nil"/>
            </w:tcBorders>
            <w:vAlign w:val="top"/>
          </w:tcPr>
          <w:p w14:paraId="322CE38C">
            <w:pPr>
              <w:rPr>
                <w:rFonts w:ascii="Arial"/>
                <w:sz w:val="21"/>
              </w:rPr>
            </w:pPr>
          </w:p>
        </w:tc>
        <w:tc>
          <w:tcPr>
            <w:tcW w:w="1412" w:type="dxa"/>
            <w:vAlign w:val="top"/>
          </w:tcPr>
          <w:p w14:paraId="215685F2">
            <w:pPr>
              <w:spacing w:line="301" w:lineRule="auto"/>
              <w:rPr>
                <w:rFonts w:ascii="Arial"/>
                <w:sz w:val="21"/>
              </w:rPr>
            </w:pPr>
          </w:p>
          <w:p w14:paraId="1EBE40F7">
            <w:pPr>
              <w:spacing w:line="301" w:lineRule="auto"/>
              <w:rPr>
                <w:rFonts w:ascii="Arial"/>
                <w:sz w:val="21"/>
              </w:rPr>
            </w:pPr>
          </w:p>
          <w:p w14:paraId="33638EC6">
            <w:pPr>
              <w:spacing w:line="302" w:lineRule="auto"/>
              <w:rPr>
                <w:rFonts w:ascii="Arial"/>
                <w:sz w:val="21"/>
              </w:rPr>
            </w:pPr>
          </w:p>
          <w:p w14:paraId="295E5834">
            <w:pPr>
              <w:pStyle w:val="6"/>
              <w:spacing w:before="103" w:line="188" w:lineRule="auto"/>
              <w:ind w:left="128" w:right="343" w:hanging="8"/>
            </w:pPr>
            <w:r>
              <w:rPr>
                <w:spacing w:val="-6"/>
              </w:rPr>
              <w:t>互联互通</w:t>
            </w:r>
            <w:r>
              <w:rPr>
                <w:spacing w:val="1"/>
              </w:rPr>
              <w:t xml:space="preserve"> </w:t>
            </w:r>
            <w:r>
              <w:rPr>
                <w:spacing w:val="-8"/>
              </w:rPr>
              <w:t>能力</w:t>
            </w:r>
          </w:p>
        </w:tc>
        <w:tc>
          <w:tcPr>
            <w:tcW w:w="581" w:type="dxa"/>
            <w:vAlign w:val="top"/>
          </w:tcPr>
          <w:p w14:paraId="2350EDBE">
            <w:pPr>
              <w:spacing w:line="262" w:lineRule="auto"/>
              <w:rPr>
                <w:rFonts w:ascii="Arial"/>
                <w:sz w:val="21"/>
              </w:rPr>
            </w:pPr>
          </w:p>
          <w:p w14:paraId="356B32EA">
            <w:pPr>
              <w:spacing w:line="263" w:lineRule="auto"/>
              <w:rPr>
                <w:rFonts w:ascii="Arial"/>
                <w:sz w:val="21"/>
              </w:rPr>
            </w:pPr>
          </w:p>
          <w:p w14:paraId="1764CB4F">
            <w:pPr>
              <w:spacing w:line="263" w:lineRule="auto"/>
              <w:rPr>
                <w:rFonts w:ascii="Arial"/>
                <w:sz w:val="21"/>
              </w:rPr>
            </w:pPr>
          </w:p>
          <w:p w14:paraId="1841D79F">
            <w:pPr>
              <w:pStyle w:val="6"/>
              <w:spacing w:before="103" w:line="301" w:lineRule="auto"/>
              <w:ind w:left="181" w:right="168" w:firstLine="20"/>
            </w:pPr>
            <w:r>
              <w:rPr>
                <w:spacing w:val="-21"/>
                <w:w w:val="93"/>
              </w:rPr>
              <w:t>8</w:t>
            </w:r>
            <w:r>
              <w:t xml:space="preserve">  </w:t>
            </w:r>
            <w:r>
              <w:rPr>
                <w:spacing w:val="-2"/>
                <w:w w:val="93"/>
              </w:rPr>
              <w:t>分</w:t>
            </w:r>
          </w:p>
        </w:tc>
        <w:tc>
          <w:tcPr>
            <w:tcW w:w="7078" w:type="dxa"/>
            <w:vAlign w:val="top"/>
          </w:tcPr>
          <w:p w14:paraId="0A6DA7AD">
            <w:pPr>
              <w:pStyle w:val="6"/>
              <w:spacing w:before="52" w:line="186" w:lineRule="auto"/>
              <w:ind w:left="116" w:firstLine="27"/>
              <w:jc w:val="both"/>
            </w:pPr>
            <w:r>
              <w:rPr>
                <w:spacing w:val="2"/>
              </w:rPr>
              <w:t>国家卫生健康委员会要求二级以上医院要通过信息化互联互通测</w:t>
            </w:r>
            <w:r>
              <w:rPr>
                <w:spacing w:val="1"/>
              </w:rPr>
              <w:t xml:space="preserve">   </w:t>
            </w:r>
            <w:r>
              <w:rPr>
                <w:spacing w:val="-8"/>
              </w:rPr>
              <w:t>评，因此供应商所提供的产品须要符合 HL7 交互规</w:t>
            </w:r>
            <w:r>
              <w:rPr>
                <w:spacing w:val="-9"/>
              </w:rPr>
              <w:t>范，并支持最新</w:t>
            </w:r>
            <w:r>
              <w:t xml:space="preserve">   </w:t>
            </w:r>
            <w:r>
              <w:rPr>
                <w:spacing w:val="-12"/>
              </w:rPr>
              <w:t>交互标准 HL7</w:t>
            </w:r>
            <w:r>
              <w:rPr>
                <w:spacing w:val="54"/>
              </w:rPr>
              <w:t xml:space="preserve"> </w:t>
            </w:r>
            <w:r>
              <w:rPr>
                <w:spacing w:val="-12"/>
              </w:rPr>
              <w:t>FHIR（含</w:t>
            </w:r>
            <w:r>
              <w:rPr>
                <w:spacing w:val="14"/>
              </w:rPr>
              <w:t xml:space="preserve"> </w:t>
            </w:r>
            <w:r>
              <w:rPr>
                <w:spacing w:val="-12"/>
              </w:rPr>
              <w:t>15 个场景：</w:t>
            </w:r>
            <w:r>
              <w:rPr>
                <w:spacing w:val="-13"/>
              </w:rPr>
              <w:t>用药医嘱、预约、手术、术语、</w:t>
            </w:r>
            <w:r>
              <w:t xml:space="preserve"> </w:t>
            </w:r>
            <w:r>
              <w:rPr>
                <w:spacing w:val="-10"/>
              </w:rPr>
              <w:t>就诊、检查申请、检查报告、患者、院内检验报</w:t>
            </w:r>
            <w:r>
              <w:rPr>
                <w:spacing w:val="-11"/>
              </w:rPr>
              <w:t>告、院外检验报告、</w:t>
            </w:r>
            <w:r>
              <w:t xml:space="preserve">  电子病历生成和读取、电子病历共享交换、</w:t>
            </w:r>
            <w:r>
              <w:rPr>
                <w:spacing w:val="-1"/>
              </w:rPr>
              <w:t>临床辅助诊疗、审计、</w:t>
            </w:r>
            <w:r>
              <w:t xml:space="preserve"> </w:t>
            </w:r>
            <w:r>
              <w:rPr>
                <w:spacing w:val="-8"/>
              </w:rPr>
              <w:t>处方流转）。</w:t>
            </w:r>
          </w:p>
          <w:p w14:paraId="39C0766B">
            <w:pPr>
              <w:pStyle w:val="6"/>
              <w:spacing w:before="4" w:line="169" w:lineRule="auto"/>
              <w:ind w:left="118" w:right="43"/>
            </w:pPr>
            <w:r>
              <w:rPr>
                <w:spacing w:val="-9"/>
              </w:rPr>
              <w:t>提供投标人或生产厂家提供 FHIR</w:t>
            </w:r>
            <w:r>
              <w:rPr>
                <w:spacing w:val="68"/>
              </w:rPr>
              <w:t xml:space="preserve"> </w:t>
            </w:r>
            <w:r>
              <w:rPr>
                <w:spacing w:val="-9"/>
              </w:rPr>
              <w:t>Connectathon 测试通过证书，每</w:t>
            </w:r>
            <w:r>
              <w:t xml:space="preserve"> </w:t>
            </w:r>
            <w:r>
              <w:rPr>
                <w:spacing w:val="-11"/>
              </w:rPr>
              <w:t>提供</w:t>
            </w:r>
            <w:r>
              <w:rPr>
                <w:spacing w:val="21"/>
              </w:rPr>
              <w:t xml:space="preserve"> </w:t>
            </w:r>
            <w:r>
              <w:rPr>
                <w:spacing w:val="-11"/>
              </w:rPr>
              <w:t>1 项认证得</w:t>
            </w:r>
            <w:r>
              <w:rPr>
                <w:spacing w:val="15"/>
              </w:rPr>
              <w:t xml:space="preserve"> </w:t>
            </w:r>
            <w:r>
              <w:rPr>
                <w:spacing w:val="-11"/>
              </w:rPr>
              <w:t>1 分，满分 8</w:t>
            </w:r>
            <w:r>
              <w:rPr>
                <w:spacing w:val="8"/>
              </w:rPr>
              <w:t xml:space="preserve"> </w:t>
            </w:r>
            <w:r>
              <w:rPr>
                <w:spacing w:val="-11"/>
              </w:rPr>
              <w:t>分。</w:t>
            </w:r>
          </w:p>
        </w:tc>
      </w:tr>
    </w:tbl>
    <w:p w14:paraId="17BFE210">
      <w:pPr>
        <w:spacing w:before="160" w:line="188" w:lineRule="auto"/>
        <w:ind w:left="46"/>
        <w:rPr>
          <w:rFonts w:ascii="微软雅黑" w:hAnsi="微软雅黑" w:eastAsia="微软雅黑" w:cs="微软雅黑"/>
          <w:sz w:val="28"/>
          <w:szCs w:val="28"/>
        </w:rPr>
      </w:pPr>
      <w:r>
        <w:rPr>
          <w:rFonts w:ascii="微软雅黑" w:hAnsi="微软雅黑" w:eastAsia="微软雅黑" w:cs="微软雅黑"/>
          <w:b/>
          <w:bCs/>
          <w:spacing w:val="-2"/>
          <w:sz w:val="28"/>
          <w:szCs w:val="28"/>
        </w:rPr>
        <w:t>标段三、医务管理系统</w:t>
      </w:r>
    </w:p>
    <w:p w14:paraId="6CD12538">
      <w:pPr>
        <w:spacing w:line="178" w:lineRule="exact"/>
      </w:pPr>
    </w:p>
    <w:tbl>
      <w:tblPr>
        <w:tblStyle w:val="5"/>
        <w:tblW w:w="9781" w:type="dxa"/>
        <w:tblInd w:w="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2"/>
        <w:gridCol w:w="1409"/>
        <w:gridCol w:w="779"/>
        <w:gridCol w:w="6901"/>
      </w:tblGrid>
      <w:tr w14:paraId="0EB6E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692" w:type="dxa"/>
            <w:textDirection w:val="tbRlV"/>
            <w:vAlign w:val="top"/>
          </w:tcPr>
          <w:p w14:paraId="6F85CFE1">
            <w:pPr>
              <w:pStyle w:val="6"/>
              <w:spacing w:before="223" w:line="166" w:lineRule="auto"/>
              <w:ind w:left="17"/>
            </w:pPr>
            <w:r>
              <w:rPr>
                <w:b/>
                <w:bCs/>
                <w:spacing w:val="14"/>
              </w:rPr>
              <w:t>评</w:t>
            </w:r>
            <w:r>
              <w:rPr>
                <w:b/>
                <w:bCs/>
                <w:spacing w:val="-38"/>
              </w:rPr>
              <w:t xml:space="preserve"> </w:t>
            </w:r>
            <w:r>
              <w:rPr>
                <w:b/>
                <w:bCs/>
                <w:spacing w:val="14"/>
              </w:rPr>
              <w:t>审</w:t>
            </w:r>
            <w:r>
              <w:rPr>
                <w:b/>
                <w:bCs/>
                <w:spacing w:val="-37"/>
              </w:rPr>
              <w:t xml:space="preserve"> </w:t>
            </w:r>
            <w:r>
              <w:rPr>
                <w:b/>
                <w:bCs/>
                <w:spacing w:val="14"/>
              </w:rPr>
              <w:t>项</w:t>
            </w:r>
            <w:r>
              <w:rPr>
                <w:b/>
                <w:bCs/>
                <w:spacing w:val="14"/>
                <w:position w:val="1"/>
              </w:rPr>
              <w:t>目</w:t>
            </w:r>
          </w:p>
        </w:tc>
        <w:tc>
          <w:tcPr>
            <w:tcW w:w="1409" w:type="dxa"/>
            <w:vAlign w:val="top"/>
          </w:tcPr>
          <w:p w14:paraId="51270689">
            <w:pPr>
              <w:spacing w:line="332" w:lineRule="auto"/>
              <w:rPr>
                <w:rFonts w:ascii="Arial"/>
                <w:sz w:val="21"/>
              </w:rPr>
            </w:pPr>
          </w:p>
          <w:p w14:paraId="7453377C">
            <w:pPr>
              <w:pStyle w:val="6"/>
              <w:spacing w:before="103" w:line="188" w:lineRule="auto"/>
              <w:ind w:left="232"/>
            </w:pPr>
            <w:r>
              <w:rPr>
                <w:b/>
                <w:bCs/>
                <w:spacing w:val="-4"/>
              </w:rPr>
              <w:t>评标分项</w:t>
            </w:r>
          </w:p>
        </w:tc>
        <w:tc>
          <w:tcPr>
            <w:tcW w:w="779" w:type="dxa"/>
            <w:vAlign w:val="top"/>
          </w:tcPr>
          <w:p w14:paraId="71F6AE2C">
            <w:pPr>
              <w:pStyle w:val="6"/>
              <w:spacing w:before="297" w:line="176" w:lineRule="auto"/>
              <w:ind w:left="159" w:right="147" w:hanging="1"/>
            </w:pPr>
            <w:r>
              <w:rPr>
                <w:b/>
                <w:bCs/>
                <w:spacing w:val="-9"/>
              </w:rPr>
              <w:t>项目</w:t>
            </w:r>
            <w:r>
              <w:rPr>
                <w:b/>
                <w:bCs/>
              </w:rPr>
              <w:t xml:space="preserve"> </w:t>
            </w:r>
            <w:r>
              <w:rPr>
                <w:b/>
                <w:bCs/>
                <w:spacing w:val="-3"/>
                <w:w w:val="97"/>
              </w:rPr>
              <w:t>分值</w:t>
            </w:r>
          </w:p>
        </w:tc>
        <w:tc>
          <w:tcPr>
            <w:tcW w:w="6901" w:type="dxa"/>
            <w:vAlign w:val="top"/>
          </w:tcPr>
          <w:p w14:paraId="6D6F7DC2">
            <w:pPr>
              <w:spacing w:line="332" w:lineRule="auto"/>
              <w:rPr>
                <w:rFonts w:ascii="Arial"/>
                <w:sz w:val="21"/>
              </w:rPr>
            </w:pPr>
          </w:p>
          <w:p w14:paraId="1DFBAFA5">
            <w:pPr>
              <w:pStyle w:val="6"/>
              <w:spacing w:before="103" w:line="189" w:lineRule="auto"/>
              <w:ind w:left="2981"/>
            </w:pPr>
            <w:r>
              <w:rPr>
                <w:b/>
                <w:bCs/>
                <w:spacing w:val="-4"/>
              </w:rPr>
              <w:t>评审标准</w:t>
            </w:r>
          </w:p>
        </w:tc>
      </w:tr>
      <w:tr w14:paraId="45943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692" w:type="dxa"/>
            <w:vAlign w:val="top"/>
          </w:tcPr>
          <w:p w14:paraId="12C3D662">
            <w:pPr>
              <w:pStyle w:val="6"/>
              <w:spacing w:before="16" w:line="160" w:lineRule="auto"/>
              <w:ind w:left="200" w:right="223" w:firstLine="35"/>
              <w:jc w:val="both"/>
            </w:pPr>
            <w:r>
              <w:rPr>
                <w:spacing w:val="-4"/>
                <w:w w:val="94"/>
              </w:rPr>
              <w:t>价</w:t>
            </w:r>
            <w:r>
              <w:t xml:space="preserve"> </w:t>
            </w:r>
            <w:r>
              <w:rPr>
                <w:spacing w:val="18"/>
              </w:rPr>
              <w:t>格</w:t>
            </w:r>
            <w:r>
              <w:t xml:space="preserve"> </w:t>
            </w:r>
            <w:r>
              <w:rPr>
                <w:spacing w:val="18"/>
              </w:rPr>
              <w:t>部</w:t>
            </w:r>
            <w:r>
              <w:t xml:space="preserve"> </w:t>
            </w:r>
            <w:r>
              <w:rPr>
                <w:spacing w:val="18"/>
              </w:rPr>
              <w:t>分</w:t>
            </w:r>
            <w:r>
              <w:t xml:space="preserve"> </w:t>
            </w:r>
            <w:r>
              <w:rPr>
                <w:spacing w:val="-14"/>
              </w:rPr>
              <w:t>20</w:t>
            </w:r>
          </w:p>
        </w:tc>
        <w:tc>
          <w:tcPr>
            <w:tcW w:w="1409" w:type="dxa"/>
            <w:vAlign w:val="top"/>
          </w:tcPr>
          <w:p w14:paraId="1AF7E534">
            <w:pPr>
              <w:spacing w:line="471" w:lineRule="auto"/>
              <w:rPr>
                <w:rFonts w:ascii="Arial"/>
                <w:sz w:val="21"/>
              </w:rPr>
            </w:pPr>
          </w:p>
          <w:p w14:paraId="0A3A2349">
            <w:pPr>
              <w:pStyle w:val="6"/>
              <w:spacing w:before="103" w:line="187" w:lineRule="auto"/>
              <w:ind w:left="232"/>
            </w:pPr>
            <w:r>
              <w:rPr>
                <w:spacing w:val="-4"/>
              </w:rPr>
              <w:t>项目报价</w:t>
            </w:r>
          </w:p>
        </w:tc>
        <w:tc>
          <w:tcPr>
            <w:tcW w:w="779" w:type="dxa"/>
            <w:vAlign w:val="top"/>
          </w:tcPr>
          <w:p w14:paraId="471BC0DE">
            <w:pPr>
              <w:spacing w:line="471" w:lineRule="auto"/>
              <w:rPr>
                <w:rFonts w:ascii="Arial"/>
                <w:sz w:val="21"/>
              </w:rPr>
            </w:pPr>
          </w:p>
          <w:p w14:paraId="567E7344">
            <w:pPr>
              <w:pStyle w:val="6"/>
              <w:spacing w:before="103" w:line="188" w:lineRule="auto"/>
              <w:ind w:left="123"/>
            </w:pPr>
            <w:r>
              <w:rPr>
                <w:spacing w:val="-15"/>
                <w:w w:val="98"/>
              </w:rPr>
              <w:t>20</w:t>
            </w:r>
            <w:r>
              <w:rPr>
                <w:spacing w:val="9"/>
              </w:rPr>
              <w:t xml:space="preserve"> </w:t>
            </w:r>
            <w:r>
              <w:rPr>
                <w:spacing w:val="-15"/>
                <w:w w:val="98"/>
              </w:rPr>
              <w:t>分</w:t>
            </w:r>
          </w:p>
        </w:tc>
        <w:tc>
          <w:tcPr>
            <w:tcW w:w="6901" w:type="dxa"/>
            <w:vAlign w:val="top"/>
          </w:tcPr>
          <w:p w14:paraId="6D9AD17B">
            <w:pPr>
              <w:pStyle w:val="6"/>
              <w:spacing w:before="296" w:line="170" w:lineRule="auto"/>
              <w:ind w:left="116" w:right="36" w:firstLine="25"/>
              <w:jc w:val="both"/>
            </w:pPr>
            <w:r>
              <w:t>以满足招标文件要求且投标价格最低的投标报</w:t>
            </w:r>
            <w:r>
              <w:rPr>
                <w:spacing w:val="-1"/>
              </w:rPr>
              <w:t>价为评标基准价，</w:t>
            </w:r>
            <w:r>
              <w:t xml:space="preserve"> </w:t>
            </w:r>
            <w:r>
              <w:rPr>
                <w:spacing w:val="-5"/>
              </w:rPr>
              <w:t>其价格分为满分 20 分，其他投标人的</w:t>
            </w:r>
            <w:r>
              <w:rPr>
                <w:spacing w:val="-6"/>
              </w:rPr>
              <w:t>价格分按照下列公式计算：</w:t>
            </w:r>
            <w:r>
              <w:t xml:space="preserve"> </w:t>
            </w:r>
            <w:r>
              <w:rPr>
                <w:spacing w:val="-7"/>
              </w:rPr>
              <w:t>投标报价得分=（评标基准价/投标报价）×20*100%</w:t>
            </w:r>
          </w:p>
        </w:tc>
      </w:tr>
    </w:tbl>
    <w:p w14:paraId="1F5EC6D9">
      <w:pPr>
        <w:pStyle w:val="2"/>
        <w:spacing w:line="458" w:lineRule="auto"/>
      </w:pPr>
    </w:p>
    <w:p w14:paraId="69B962B8">
      <w:pPr>
        <w:spacing w:before="62" w:line="209" w:lineRule="auto"/>
        <w:ind w:left="138"/>
        <w:rPr>
          <w:rFonts w:ascii="宋体" w:hAnsi="宋体" w:eastAsia="宋体" w:cs="宋体"/>
          <w:sz w:val="19"/>
          <w:szCs w:val="19"/>
        </w:rPr>
      </w:pPr>
      <w:r>
        <w:pict>
          <v:shape id="_x0000_s1069" o:spid="_x0000_s1069" style="position:absolute;left:0pt;margin-left:1.45pt;margin-top:11.8pt;height:0.75pt;width:494pt;z-index:251731968;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88                                </w:t>
      </w:r>
      <w:r>
        <w:rPr>
          <w:rFonts w:ascii="宋体" w:hAnsi="宋体" w:eastAsia="宋体" w:cs="宋体"/>
          <w:b/>
          <w:bCs/>
          <w:i/>
          <w:iCs/>
          <w:spacing w:val="-3"/>
          <w:sz w:val="19"/>
          <w:szCs w:val="19"/>
        </w:rPr>
        <w:t>伊犁州公共资源交易中心</w:t>
      </w:r>
    </w:p>
    <w:p w14:paraId="616B99B0">
      <w:pPr>
        <w:spacing w:line="209" w:lineRule="auto"/>
        <w:rPr>
          <w:rFonts w:ascii="宋体" w:hAnsi="宋体" w:eastAsia="宋体" w:cs="宋体"/>
          <w:sz w:val="19"/>
          <w:szCs w:val="19"/>
        </w:rPr>
        <w:sectPr>
          <w:pgSz w:w="11905" w:h="16839"/>
          <w:pgMar w:top="1136" w:right="830" w:bottom="400" w:left="1136" w:header="854" w:footer="0" w:gutter="0"/>
          <w:cols w:space="720" w:num="1"/>
        </w:sectPr>
      </w:pPr>
    </w:p>
    <w:p w14:paraId="04CBF5FF">
      <w:pPr>
        <w:spacing w:before="38"/>
      </w:pPr>
    </w:p>
    <w:tbl>
      <w:tblPr>
        <w:tblStyle w:val="5"/>
        <w:tblW w:w="9781" w:type="dxa"/>
        <w:tblInd w:w="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2"/>
        <w:gridCol w:w="1409"/>
        <w:gridCol w:w="779"/>
        <w:gridCol w:w="6901"/>
      </w:tblGrid>
      <w:tr w14:paraId="565FD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2" w:type="dxa"/>
            <w:vAlign w:val="top"/>
          </w:tcPr>
          <w:p w14:paraId="4EF9CF5D">
            <w:pPr>
              <w:pStyle w:val="6"/>
              <w:spacing w:before="18" w:line="181" w:lineRule="auto"/>
              <w:ind w:left="237"/>
            </w:pPr>
            <w:r>
              <w:t>分</w:t>
            </w:r>
          </w:p>
        </w:tc>
        <w:tc>
          <w:tcPr>
            <w:tcW w:w="1409" w:type="dxa"/>
            <w:vAlign w:val="top"/>
          </w:tcPr>
          <w:p w14:paraId="21CC41BF">
            <w:pPr>
              <w:rPr>
                <w:rFonts w:ascii="Arial"/>
                <w:sz w:val="21"/>
              </w:rPr>
            </w:pPr>
          </w:p>
        </w:tc>
        <w:tc>
          <w:tcPr>
            <w:tcW w:w="779" w:type="dxa"/>
            <w:vAlign w:val="top"/>
          </w:tcPr>
          <w:p w14:paraId="00788D1B">
            <w:pPr>
              <w:rPr>
                <w:rFonts w:ascii="Arial"/>
                <w:sz w:val="21"/>
              </w:rPr>
            </w:pPr>
          </w:p>
        </w:tc>
        <w:tc>
          <w:tcPr>
            <w:tcW w:w="6901" w:type="dxa"/>
            <w:vAlign w:val="top"/>
          </w:tcPr>
          <w:p w14:paraId="52965844">
            <w:pPr>
              <w:rPr>
                <w:rFonts w:ascii="Arial"/>
                <w:sz w:val="21"/>
              </w:rPr>
            </w:pPr>
          </w:p>
        </w:tc>
      </w:tr>
      <w:tr w14:paraId="607A7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692" w:type="dxa"/>
            <w:vMerge w:val="restart"/>
            <w:tcBorders>
              <w:bottom w:val="nil"/>
            </w:tcBorders>
            <w:textDirection w:val="tbRlV"/>
            <w:vAlign w:val="top"/>
          </w:tcPr>
          <w:p w14:paraId="5C081E70">
            <w:pPr>
              <w:pStyle w:val="6"/>
              <w:spacing w:before="222" w:line="172" w:lineRule="auto"/>
              <w:ind w:left="2838"/>
            </w:pPr>
            <w:r>
              <w:rPr>
                <w:spacing w:val="31"/>
              </w:rPr>
              <w:t>商务部分</w:t>
            </w:r>
          </w:p>
        </w:tc>
        <w:tc>
          <w:tcPr>
            <w:tcW w:w="1409" w:type="dxa"/>
            <w:vAlign w:val="top"/>
          </w:tcPr>
          <w:p w14:paraId="557E888B">
            <w:pPr>
              <w:spacing w:line="303" w:lineRule="auto"/>
              <w:rPr>
                <w:rFonts w:ascii="Arial"/>
                <w:sz w:val="21"/>
              </w:rPr>
            </w:pPr>
          </w:p>
          <w:p w14:paraId="5F73239B">
            <w:pPr>
              <w:spacing w:line="303" w:lineRule="auto"/>
              <w:rPr>
                <w:rFonts w:ascii="Arial"/>
                <w:sz w:val="21"/>
              </w:rPr>
            </w:pPr>
          </w:p>
          <w:p w14:paraId="522D0665">
            <w:pPr>
              <w:pStyle w:val="6"/>
              <w:spacing w:before="103" w:line="188" w:lineRule="auto"/>
              <w:ind w:left="237"/>
            </w:pPr>
            <w:r>
              <w:rPr>
                <w:spacing w:val="-5"/>
              </w:rPr>
              <w:t>质量认证</w:t>
            </w:r>
          </w:p>
        </w:tc>
        <w:tc>
          <w:tcPr>
            <w:tcW w:w="779" w:type="dxa"/>
            <w:vAlign w:val="top"/>
          </w:tcPr>
          <w:p w14:paraId="1727E546">
            <w:pPr>
              <w:spacing w:line="303" w:lineRule="auto"/>
              <w:rPr>
                <w:rFonts w:ascii="Arial"/>
                <w:sz w:val="21"/>
              </w:rPr>
            </w:pPr>
          </w:p>
          <w:p w14:paraId="3087C610">
            <w:pPr>
              <w:spacing w:line="303" w:lineRule="auto"/>
              <w:rPr>
                <w:rFonts w:ascii="Arial"/>
                <w:sz w:val="21"/>
              </w:rPr>
            </w:pPr>
          </w:p>
          <w:p w14:paraId="3228E84E">
            <w:pPr>
              <w:pStyle w:val="6"/>
              <w:spacing w:before="103" w:line="188" w:lineRule="auto"/>
              <w:ind w:left="185"/>
            </w:pPr>
            <w:r>
              <w:rPr>
                <w:spacing w:val="-17"/>
              </w:rPr>
              <w:t>3</w:t>
            </w:r>
            <w:r>
              <w:rPr>
                <w:spacing w:val="7"/>
              </w:rPr>
              <w:t xml:space="preserve"> </w:t>
            </w:r>
            <w:r>
              <w:rPr>
                <w:spacing w:val="-17"/>
              </w:rPr>
              <w:t>分</w:t>
            </w:r>
          </w:p>
        </w:tc>
        <w:tc>
          <w:tcPr>
            <w:tcW w:w="6901" w:type="dxa"/>
            <w:vAlign w:val="top"/>
          </w:tcPr>
          <w:p w14:paraId="378287A6">
            <w:pPr>
              <w:pStyle w:val="6"/>
              <w:spacing w:before="13" w:line="163" w:lineRule="auto"/>
              <w:ind w:left="118"/>
            </w:pPr>
            <w:r>
              <w:rPr>
                <w:spacing w:val="-8"/>
              </w:rPr>
              <w:t>提供通过 ISO9001 质量管理体系认证</w:t>
            </w:r>
          </w:p>
          <w:p w14:paraId="672D9BD5">
            <w:pPr>
              <w:pStyle w:val="6"/>
              <w:spacing w:line="163" w:lineRule="auto"/>
              <w:ind w:left="114" w:right="310" w:firstLine="4"/>
            </w:pPr>
            <w:r>
              <w:rPr>
                <w:spacing w:val="-1"/>
              </w:rPr>
              <w:t>提供由中国软件测评中心出具的医务综合管理系统软件产品登</w:t>
            </w:r>
            <w:r>
              <w:rPr>
                <w:spacing w:val="8"/>
              </w:rPr>
              <w:t xml:space="preserve"> </w:t>
            </w:r>
            <w:r>
              <w:rPr>
                <w:spacing w:val="-7"/>
              </w:rPr>
              <w:t>记测试报告。</w:t>
            </w:r>
          </w:p>
          <w:p w14:paraId="3E0FBB5D">
            <w:pPr>
              <w:pStyle w:val="6"/>
              <w:spacing w:line="163" w:lineRule="auto"/>
              <w:ind w:left="118"/>
            </w:pPr>
            <w:r>
              <w:rPr>
                <w:spacing w:val="-4"/>
              </w:rPr>
              <w:t>提供任意一个认证或报告得 3 分。</w:t>
            </w:r>
          </w:p>
          <w:p w14:paraId="33AF2080">
            <w:pPr>
              <w:pStyle w:val="6"/>
              <w:spacing w:line="268" w:lineRule="exact"/>
              <w:ind w:left="116" w:right="326"/>
            </w:pPr>
            <w:r>
              <w:rPr>
                <w:spacing w:val="-1"/>
                <w:position w:val="1"/>
              </w:rPr>
              <w:t>（响应文件中提供上述相关证书复印件并加盖</w:t>
            </w:r>
            <w:r>
              <w:rPr>
                <w:spacing w:val="-2"/>
                <w:position w:val="1"/>
              </w:rPr>
              <w:t>投标人公章进行</w:t>
            </w:r>
            <w:r>
              <w:rPr>
                <w:position w:val="1"/>
              </w:rPr>
              <w:t xml:space="preserve"> </w:t>
            </w:r>
            <w:r>
              <w:rPr>
                <w:spacing w:val="-2"/>
              </w:rPr>
              <w:t>佐证。未提供或提供不符合要求不得分。）</w:t>
            </w:r>
          </w:p>
        </w:tc>
      </w:tr>
      <w:tr w14:paraId="2A769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692" w:type="dxa"/>
            <w:vMerge w:val="continue"/>
            <w:tcBorders>
              <w:top w:val="nil"/>
              <w:bottom w:val="nil"/>
            </w:tcBorders>
            <w:textDirection w:val="tbRlV"/>
            <w:vAlign w:val="top"/>
          </w:tcPr>
          <w:p w14:paraId="21661E20">
            <w:pPr>
              <w:rPr>
                <w:rFonts w:ascii="Arial"/>
                <w:sz w:val="21"/>
              </w:rPr>
            </w:pPr>
          </w:p>
        </w:tc>
        <w:tc>
          <w:tcPr>
            <w:tcW w:w="1409" w:type="dxa"/>
            <w:vAlign w:val="top"/>
          </w:tcPr>
          <w:p w14:paraId="6D9DD350">
            <w:pPr>
              <w:spacing w:line="398" w:lineRule="auto"/>
              <w:rPr>
                <w:rFonts w:ascii="Arial"/>
                <w:sz w:val="21"/>
              </w:rPr>
            </w:pPr>
          </w:p>
          <w:p w14:paraId="06EFB949">
            <w:pPr>
              <w:pStyle w:val="6"/>
              <w:spacing w:before="103" w:line="188" w:lineRule="auto"/>
              <w:ind w:left="231"/>
            </w:pPr>
            <w:r>
              <w:rPr>
                <w:spacing w:val="-3"/>
              </w:rPr>
              <w:t>业绩要求</w:t>
            </w:r>
          </w:p>
        </w:tc>
        <w:tc>
          <w:tcPr>
            <w:tcW w:w="779" w:type="dxa"/>
            <w:vAlign w:val="top"/>
          </w:tcPr>
          <w:p w14:paraId="18C64D14">
            <w:pPr>
              <w:spacing w:line="398" w:lineRule="auto"/>
              <w:rPr>
                <w:rFonts w:ascii="Arial"/>
                <w:sz w:val="21"/>
              </w:rPr>
            </w:pPr>
          </w:p>
          <w:p w14:paraId="46E3D5F3">
            <w:pPr>
              <w:pStyle w:val="6"/>
              <w:spacing w:before="103" w:line="188" w:lineRule="auto"/>
              <w:ind w:left="182"/>
            </w:pPr>
            <w:r>
              <w:rPr>
                <w:spacing w:val="-11"/>
                <w:w w:val="97"/>
              </w:rPr>
              <w:t>6</w:t>
            </w:r>
            <w:r>
              <w:rPr>
                <w:spacing w:val="9"/>
              </w:rPr>
              <w:t xml:space="preserve"> </w:t>
            </w:r>
            <w:r>
              <w:rPr>
                <w:spacing w:val="-11"/>
                <w:w w:val="97"/>
              </w:rPr>
              <w:t>分</w:t>
            </w:r>
          </w:p>
        </w:tc>
        <w:tc>
          <w:tcPr>
            <w:tcW w:w="6901" w:type="dxa"/>
            <w:vAlign w:val="top"/>
          </w:tcPr>
          <w:p w14:paraId="2D58469D">
            <w:pPr>
              <w:pStyle w:val="6"/>
              <w:spacing w:before="84" w:line="163" w:lineRule="auto"/>
              <w:ind w:left="119" w:right="102" w:hanging="1"/>
            </w:pPr>
            <w:r>
              <w:rPr>
                <w:spacing w:val="-8"/>
              </w:rPr>
              <w:t>提供近三年（2021</w:t>
            </w:r>
            <w:r>
              <w:rPr>
                <w:spacing w:val="34"/>
                <w:w w:val="101"/>
              </w:rPr>
              <w:t xml:space="preserve"> </w:t>
            </w:r>
            <w:r>
              <w:rPr>
                <w:spacing w:val="-8"/>
              </w:rPr>
              <w:t>年至投标文件提交截止日止）类似业绩，提供</w:t>
            </w:r>
            <w:r>
              <w:t xml:space="preserve"> </w:t>
            </w:r>
            <w:r>
              <w:rPr>
                <w:spacing w:val="-8"/>
              </w:rPr>
              <w:t>一项得 2 分，最多得 6</w:t>
            </w:r>
            <w:r>
              <w:rPr>
                <w:spacing w:val="7"/>
              </w:rPr>
              <w:t xml:space="preserve"> </w:t>
            </w:r>
            <w:r>
              <w:rPr>
                <w:spacing w:val="-8"/>
              </w:rPr>
              <w:t>分。</w:t>
            </w:r>
          </w:p>
          <w:p w14:paraId="3BBCED85">
            <w:pPr>
              <w:pStyle w:val="6"/>
              <w:spacing w:line="173" w:lineRule="auto"/>
              <w:ind w:left="158" w:right="120" w:hanging="42"/>
            </w:pPr>
            <w:r>
              <w:rPr>
                <w:spacing w:val="-3"/>
              </w:rPr>
              <w:t>（提供中标通知书或合同复印件，并加盖公章，合同须能反映项</w:t>
            </w:r>
            <w:r>
              <w:rPr>
                <w:spacing w:val="16"/>
              </w:rPr>
              <w:t xml:space="preserve"> </w:t>
            </w:r>
            <w:r>
              <w:rPr>
                <w:spacing w:val="-5"/>
              </w:rPr>
              <w:t>目名称，签订时间和签章清晰可见）。</w:t>
            </w:r>
          </w:p>
        </w:tc>
      </w:tr>
      <w:tr w14:paraId="170BB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692" w:type="dxa"/>
            <w:vMerge w:val="continue"/>
            <w:tcBorders>
              <w:top w:val="nil"/>
              <w:bottom w:val="nil"/>
            </w:tcBorders>
            <w:textDirection w:val="tbRlV"/>
            <w:vAlign w:val="top"/>
          </w:tcPr>
          <w:p w14:paraId="3DA0DD5A">
            <w:pPr>
              <w:rPr>
                <w:rFonts w:ascii="Arial"/>
                <w:sz w:val="21"/>
              </w:rPr>
            </w:pPr>
          </w:p>
        </w:tc>
        <w:tc>
          <w:tcPr>
            <w:tcW w:w="1409" w:type="dxa"/>
            <w:vAlign w:val="top"/>
          </w:tcPr>
          <w:p w14:paraId="2EBA21AC">
            <w:pPr>
              <w:spacing w:line="353" w:lineRule="auto"/>
              <w:rPr>
                <w:rFonts w:ascii="Arial"/>
                <w:sz w:val="21"/>
              </w:rPr>
            </w:pPr>
          </w:p>
          <w:p w14:paraId="019C8FFD">
            <w:pPr>
              <w:spacing w:line="353" w:lineRule="auto"/>
              <w:rPr>
                <w:rFonts w:ascii="Arial"/>
                <w:sz w:val="21"/>
              </w:rPr>
            </w:pPr>
          </w:p>
          <w:p w14:paraId="5B4A82A9">
            <w:pPr>
              <w:pStyle w:val="6"/>
              <w:spacing w:before="103" w:line="188" w:lineRule="auto"/>
              <w:ind w:left="234"/>
            </w:pPr>
            <w:r>
              <w:rPr>
                <w:spacing w:val="-4"/>
              </w:rPr>
              <w:t>综合能力</w:t>
            </w:r>
          </w:p>
        </w:tc>
        <w:tc>
          <w:tcPr>
            <w:tcW w:w="779" w:type="dxa"/>
            <w:vAlign w:val="top"/>
          </w:tcPr>
          <w:p w14:paraId="32699CFB">
            <w:pPr>
              <w:spacing w:line="353" w:lineRule="auto"/>
              <w:rPr>
                <w:rFonts w:ascii="Arial"/>
                <w:sz w:val="21"/>
              </w:rPr>
            </w:pPr>
          </w:p>
          <w:p w14:paraId="46AF0044">
            <w:pPr>
              <w:spacing w:line="353" w:lineRule="auto"/>
              <w:rPr>
                <w:rFonts w:ascii="Arial"/>
                <w:sz w:val="21"/>
              </w:rPr>
            </w:pPr>
          </w:p>
          <w:p w14:paraId="46DDDFF4">
            <w:pPr>
              <w:pStyle w:val="6"/>
              <w:spacing w:before="103" w:line="188" w:lineRule="auto"/>
              <w:ind w:left="182"/>
            </w:pPr>
            <w:r>
              <w:rPr>
                <w:spacing w:val="-11"/>
                <w:w w:val="97"/>
              </w:rPr>
              <w:t>6</w:t>
            </w:r>
            <w:r>
              <w:rPr>
                <w:spacing w:val="9"/>
              </w:rPr>
              <w:t xml:space="preserve"> </w:t>
            </w:r>
            <w:r>
              <w:rPr>
                <w:spacing w:val="-11"/>
                <w:w w:val="97"/>
              </w:rPr>
              <w:t>分</w:t>
            </w:r>
          </w:p>
        </w:tc>
        <w:tc>
          <w:tcPr>
            <w:tcW w:w="6901" w:type="dxa"/>
            <w:vAlign w:val="top"/>
          </w:tcPr>
          <w:p w14:paraId="742605C9">
            <w:pPr>
              <w:pStyle w:val="6"/>
              <w:spacing w:before="115" w:line="163" w:lineRule="auto"/>
              <w:ind w:left="117" w:right="102"/>
              <w:jc w:val="both"/>
            </w:pPr>
            <w:r>
              <w:rPr>
                <w:spacing w:val="-2"/>
              </w:rPr>
              <w:t>提供本次所招医务管理软件系统相关功能模块的著作权证书。具</w:t>
            </w:r>
            <w:r>
              <w:rPr>
                <w:spacing w:val="4"/>
              </w:rPr>
              <w:t xml:space="preserve"> </w:t>
            </w:r>
            <w:r>
              <w:rPr>
                <w:spacing w:val="-3"/>
              </w:rPr>
              <w:t>体包括但不限于：</w:t>
            </w:r>
            <w:r>
              <w:rPr>
                <w:spacing w:val="-38"/>
              </w:rPr>
              <w:t xml:space="preserve"> </w:t>
            </w:r>
            <w:r>
              <w:rPr>
                <w:spacing w:val="-3"/>
              </w:rPr>
              <w:t>医务综合管理系统、医师档案管理系统、医疗</w:t>
            </w:r>
            <w:r>
              <w:t xml:space="preserve"> </w:t>
            </w:r>
            <w:r>
              <w:rPr>
                <w:spacing w:val="-2"/>
              </w:rPr>
              <w:t>技术管理系统、临床排班管理系统、手术授权软件系统、新技术</w:t>
            </w:r>
            <w:r>
              <w:rPr>
                <w:spacing w:val="5"/>
              </w:rPr>
              <w:t xml:space="preserve"> </w:t>
            </w:r>
            <w:r>
              <w:rPr>
                <w:spacing w:val="-4"/>
              </w:rPr>
              <w:t>软件系统软件著作权等证书。</w:t>
            </w:r>
          </w:p>
          <w:p w14:paraId="3953D220">
            <w:pPr>
              <w:pStyle w:val="6"/>
              <w:spacing w:line="173" w:lineRule="auto"/>
              <w:ind w:left="116" w:right="103" w:firstLine="8"/>
            </w:pPr>
            <w:r>
              <w:rPr>
                <w:spacing w:val="-5"/>
              </w:rPr>
              <w:t>每提供一个，得 1 分，满分 6 分。（须提供加盖公章的证书复印</w:t>
            </w:r>
            <w:r>
              <w:rPr>
                <w:spacing w:val="15"/>
              </w:rPr>
              <w:t xml:space="preserve"> </w:t>
            </w:r>
            <w:r>
              <w:rPr>
                <w:spacing w:val="-4"/>
              </w:rPr>
              <w:t>件，未提供不得分）</w:t>
            </w:r>
          </w:p>
        </w:tc>
      </w:tr>
      <w:tr w14:paraId="1A0AA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2" w:hRule="atLeast"/>
        </w:trPr>
        <w:tc>
          <w:tcPr>
            <w:tcW w:w="692" w:type="dxa"/>
            <w:vMerge w:val="continue"/>
            <w:tcBorders>
              <w:top w:val="nil"/>
            </w:tcBorders>
            <w:textDirection w:val="tbRlV"/>
            <w:vAlign w:val="top"/>
          </w:tcPr>
          <w:p w14:paraId="605DAF68">
            <w:pPr>
              <w:rPr>
                <w:rFonts w:ascii="Arial"/>
                <w:sz w:val="21"/>
              </w:rPr>
            </w:pPr>
          </w:p>
        </w:tc>
        <w:tc>
          <w:tcPr>
            <w:tcW w:w="1409" w:type="dxa"/>
            <w:vAlign w:val="top"/>
          </w:tcPr>
          <w:p w14:paraId="3C4537CC">
            <w:pPr>
              <w:spacing w:line="243" w:lineRule="auto"/>
              <w:rPr>
                <w:rFonts w:ascii="Arial"/>
                <w:sz w:val="21"/>
              </w:rPr>
            </w:pPr>
          </w:p>
          <w:p w14:paraId="0BC3E761">
            <w:pPr>
              <w:spacing w:line="243" w:lineRule="auto"/>
              <w:rPr>
                <w:rFonts w:ascii="Arial"/>
                <w:sz w:val="21"/>
              </w:rPr>
            </w:pPr>
          </w:p>
          <w:p w14:paraId="0906240D">
            <w:pPr>
              <w:spacing w:line="244" w:lineRule="auto"/>
              <w:rPr>
                <w:rFonts w:ascii="Arial"/>
                <w:sz w:val="21"/>
              </w:rPr>
            </w:pPr>
          </w:p>
          <w:p w14:paraId="4DB27847">
            <w:pPr>
              <w:pStyle w:val="6"/>
              <w:spacing w:before="103" w:line="180" w:lineRule="auto"/>
              <w:ind w:left="590" w:right="223" w:hanging="331"/>
            </w:pPr>
            <w:r>
              <w:rPr>
                <w:spacing w:val="-11"/>
              </w:rPr>
              <w:t>国产化认</w:t>
            </w:r>
            <w:r>
              <w:t xml:space="preserve"> 证</w:t>
            </w:r>
          </w:p>
        </w:tc>
        <w:tc>
          <w:tcPr>
            <w:tcW w:w="779" w:type="dxa"/>
            <w:vAlign w:val="top"/>
          </w:tcPr>
          <w:p w14:paraId="7218FB69">
            <w:pPr>
              <w:spacing w:line="290" w:lineRule="auto"/>
              <w:rPr>
                <w:rFonts w:ascii="Arial"/>
                <w:sz w:val="21"/>
              </w:rPr>
            </w:pPr>
          </w:p>
          <w:p w14:paraId="5A2B4AD2">
            <w:pPr>
              <w:spacing w:line="290" w:lineRule="auto"/>
              <w:rPr>
                <w:rFonts w:ascii="Arial"/>
                <w:sz w:val="21"/>
              </w:rPr>
            </w:pPr>
          </w:p>
          <w:p w14:paraId="7D927F5B">
            <w:pPr>
              <w:spacing w:line="290" w:lineRule="auto"/>
              <w:rPr>
                <w:rFonts w:ascii="Arial"/>
                <w:sz w:val="21"/>
              </w:rPr>
            </w:pPr>
          </w:p>
          <w:p w14:paraId="0FC5B7E9">
            <w:pPr>
              <w:pStyle w:val="6"/>
              <w:spacing w:before="103" w:line="188" w:lineRule="auto"/>
              <w:ind w:left="182"/>
            </w:pPr>
            <w:r>
              <w:rPr>
                <w:spacing w:val="-11"/>
                <w:w w:val="97"/>
              </w:rPr>
              <w:t>6</w:t>
            </w:r>
            <w:r>
              <w:rPr>
                <w:spacing w:val="9"/>
              </w:rPr>
              <w:t xml:space="preserve"> </w:t>
            </w:r>
            <w:r>
              <w:rPr>
                <w:spacing w:val="-11"/>
                <w:w w:val="97"/>
              </w:rPr>
              <w:t>分</w:t>
            </w:r>
          </w:p>
        </w:tc>
        <w:tc>
          <w:tcPr>
            <w:tcW w:w="6901" w:type="dxa"/>
            <w:vAlign w:val="top"/>
          </w:tcPr>
          <w:p w14:paraId="5DCB478C">
            <w:pPr>
              <w:pStyle w:val="6"/>
              <w:spacing w:before="139" w:line="163" w:lineRule="auto"/>
              <w:ind w:left="120" w:right="103" w:hanging="2"/>
            </w:pPr>
            <w:r>
              <w:rPr>
                <w:spacing w:val="7"/>
              </w:rPr>
              <w:t>提供本项目的软件系统投标产品生产厂家能够兼容国产操作系</w:t>
            </w:r>
            <w:r>
              <w:t xml:space="preserve"> </w:t>
            </w:r>
            <w:r>
              <w:rPr>
                <w:spacing w:val="-5"/>
              </w:rPr>
              <w:t>统及国产数据库系统。</w:t>
            </w:r>
          </w:p>
          <w:p w14:paraId="6D0C9881">
            <w:pPr>
              <w:pStyle w:val="6"/>
              <w:spacing w:line="163" w:lineRule="auto"/>
              <w:ind w:left="127"/>
            </w:pPr>
            <w:r>
              <w:rPr>
                <w:spacing w:val="1"/>
              </w:rPr>
              <w:t>1.获得国产化数据库兼容认证证书</w:t>
            </w:r>
          </w:p>
          <w:p w14:paraId="6E989424">
            <w:pPr>
              <w:pStyle w:val="6"/>
              <w:spacing w:line="163" w:lineRule="auto"/>
              <w:ind w:left="113" w:right="2710" w:hanging="1"/>
            </w:pPr>
            <w:r>
              <w:rPr>
                <w:spacing w:val="1"/>
              </w:rPr>
              <w:t>2.获得国产化应用服务器兼容认证证书</w:t>
            </w:r>
            <w:r>
              <w:rPr>
                <w:spacing w:val="11"/>
              </w:rPr>
              <w:t xml:space="preserve"> </w:t>
            </w:r>
            <w:r>
              <w:rPr>
                <w:spacing w:val="1"/>
              </w:rPr>
              <w:t>3.获得国产操作系统兼容认证证书</w:t>
            </w:r>
          </w:p>
          <w:p w14:paraId="1B6AFCCE">
            <w:pPr>
              <w:pStyle w:val="6"/>
              <w:spacing w:line="173" w:lineRule="auto"/>
              <w:ind w:left="116" w:right="581" w:firstLine="24"/>
            </w:pPr>
            <w:r>
              <w:rPr>
                <w:spacing w:val="-5"/>
              </w:rPr>
              <w:t xml:space="preserve">以上证书每提供一个得 2 分，最高得 6 </w:t>
            </w:r>
            <w:r>
              <w:rPr>
                <w:spacing w:val="-6"/>
              </w:rPr>
              <w:t>分，未提供不得分。</w:t>
            </w:r>
            <w:r>
              <w:t xml:space="preserve"> </w:t>
            </w:r>
            <w:r>
              <w:rPr>
                <w:spacing w:val="-2"/>
              </w:rPr>
              <w:t>（须提供兼容认证厂商加盖公章的认证证书且官方可查）</w:t>
            </w:r>
          </w:p>
        </w:tc>
      </w:tr>
      <w:tr w14:paraId="24CE3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92" w:type="dxa"/>
            <w:vMerge w:val="restart"/>
            <w:tcBorders>
              <w:bottom w:val="nil"/>
            </w:tcBorders>
            <w:textDirection w:val="tbRlV"/>
            <w:vAlign w:val="top"/>
          </w:tcPr>
          <w:p w14:paraId="26F226A5">
            <w:pPr>
              <w:pStyle w:val="6"/>
              <w:spacing w:before="222" w:line="172" w:lineRule="auto"/>
              <w:ind w:left="1899"/>
            </w:pPr>
            <w:r>
              <w:rPr>
                <w:spacing w:val="31"/>
              </w:rPr>
              <w:t>技术部分</w:t>
            </w:r>
          </w:p>
        </w:tc>
        <w:tc>
          <w:tcPr>
            <w:tcW w:w="1409" w:type="dxa"/>
            <w:vAlign w:val="top"/>
          </w:tcPr>
          <w:p w14:paraId="011C28C1">
            <w:pPr>
              <w:pStyle w:val="6"/>
              <w:spacing w:before="20" w:line="224" w:lineRule="auto"/>
              <w:ind w:left="474" w:right="463" w:hanging="2"/>
            </w:pPr>
            <w:r>
              <w:rPr>
                <w:spacing w:val="-3"/>
                <w:w w:val="97"/>
              </w:rPr>
              <w:t>技术</w:t>
            </w:r>
            <w:r>
              <w:rPr>
                <w:spacing w:val="2"/>
              </w:rPr>
              <w:t xml:space="preserve"> </w:t>
            </w:r>
            <w:r>
              <w:rPr>
                <w:spacing w:val="-2"/>
                <w:w w:val="96"/>
              </w:rPr>
              <w:t>参数</w:t>
            </w:r>
          </w:p>
        </w:tc>
        <w:tc>
          <w:tcPr>
            <w:tcW w:w="779" w:type="dxa"/>
            <w:vAlign w:val="top"/>
          </w:tcPr>
          <w:p w14:paraId="6F08392F">
            <w:pPr>
              <w:pStyle w:val="6"/>
              <w:spacing w:before="279" w:line="188" w:lineRule="auto"/>
              <w:ind w:left="125"/>
            </w:pPr>
            <w:r>
              <w:rPr>
                <w:spacing w:val="-19"/>
              </w:rPr>
              <w:t>30</w:t>
            </w:r>
            <w:r>
              <w:rPr>
                <w:spacing w:val="9"/>
              </w:rPr>
              <w:t xml:space="preserve"> </w:t>
            </w:r>
            <w:r>
              <w:rPr>
                <w:spacing w:val="-19"/>
              </w:rPr>
              <w:t>分</w:t>
            </w:r>
          </w:p>
        </w:tc>
        <w:tc>
          <w:tcPr>
            <w:tcW w:w="6901" w:type="dxa"/>
            <w:vAlign w:val="top"/>
          </w:tcPr>
          <w:p w14:paraId="2754AA67">
            <w:pPr>
              <w:pStyle w:val="6"/>
              <w:spacing w:before="258" w:line="265" w:lineRule="exact"/>
              <w:ind w:left="120" w:right="119" w:hanging="2"/>
            </w:pPr>
            <w:r>
              <w:rPr>
                <w:spacing w:val="-2"/>
              </w:rPr>
              <w:t>采购需求及技术参数中未加标注★的项，有一项负</w:t>
            </w:r>
            <w:r>
              <w:rPr>
                <w:spacing w:val="-3"/>
              </w:rPr>
              <w:t>偏离扣 1 分，</w:t>
            </w:r>
            <w:r>
              <w:t xml:space="preserve"> </w:t>
            </w:r>
            <w:r>
              <w:rPr>
                <w:spacing w:val="-6"/>
                <w:position w:val="-1"/>
              </w:rPr>
              <w:t>扣完本项分为止。</w:t>
            </w:r>
          </w:p>
        </w:tc>
      </w:tr>
      <w:tr w14:paraId="26C87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692" w:type="dxa"/>
            <w:vMerge w:val="continue"/>
            <w:tcBorders>
              <w:top w:val="nil"/>
              <w:bottom w:val="nil"/>
            </w:tcBorders>
            <w:textDirection w:val="tbRlV"/>
            <w:vAlign w:val="top"/>
          </w:tcPr>
          <w:p w14:paraId="650C0981">
            <w:pPr>
              <w:rPr>
                <w:rFonts w:ascii="Arial"/>
                <w:sz w:val="21"/>
              </w:rPr>
            </w:pPr>
          </w:p>
        </w:tc>
        <w:tc>
          <w:tcPr>
            <w:tcW w:w="1409" w:type="dxa"/>
            <w:vMerge w:val="restart"/>
            <w:tcBorders>
              <w:bottom w:val="nil"/>
            </w:tcBorders>
            <w:vAlign w:val="top"/>
          </w:tcPr>
          <w:p w14:paraId="6CE51237">
            <w:pPr>
              <w:spacing w:line="324" w:lineRule="auto"/>
              <w:rPr>
                <w:rFonts w:ascii="Arial"/>
                <w:sz w:val="21"/>
              </w:rPr>
            </w:pPr>
          </w:p>
          <w:p w14:paraId="13D212BE">
            <w:pPr>
              <w:spacing w:line="324" w:lineRule="auto"/>
              <w:rPr>
                <w:rFonts w:ascii="Arial"/>
                <w:sz w:val="21"/>
              </w:rPr>
            </w:pPr>
          </w:p>
          <w:p w14:paraId="0F0C4635">
            <w:pPr>
              <w:pStyle w:val="6"/>
              <w:spacing w:before="103" w:line="187" w:lineRule="auto"/>
              <w:ind w:left="115"/>
            </w:pPr>
            <w:r>
              <w:rPr>
                <w:spacing w:val="-4"/>
              </w:rPr>
              <w:t>项目团队</w:t>
            </w:r>
          </w:p>
        </w:tc>
        <w:tc>
          <w:tcPr>
            <w:tcW w:w="779" w:type="dxa"/>
            <w:vAlign w:val="top"/>
          </w:tcPr>
          <w:p w14:paraId="74F85537">
            <w:pPr>
              <w:pStyle w:val="6"/>
              <w:spacing w:before="273" w:line="188" w:lineRule="auto"/>
              <w:ind w:left="183"/>
            </w:pPr>
            <w:r>
              <w:rPr>
                <w:spacing w:val="-13"/>
                <w:w w:val="98"/>
              </w:rPr>
              <w:t>2</w:t>
            </w:r>
            <w:r>
              <w:rPr>
                <w:spacing w:val="8"/>
              </w:rPr>
              <w:t xml:space="preserve"> </w:t>
            </w:r>
            <w:r>
              <w:rPr>
                <w:spacing w:val="-13"/>
                <w:w w:val="98"/>
              </w:rPr>
              <w:t>分</w:t>
            </w:r>
          </w:p>
        </w:tc>
        <w:tc>
          <w:tcPr>
            <w:tcW w:w="6901" w:type="dxa"/>
            <w:vAlign w:val="top"/>
          </w:tcPr>
          <w:p w14:paraId="713812C8">
            <w:pPr>
              <w:pStyle w:val="6"/>
              <w:spacing w:before="131" w:line="176" w:lineRule="auto"/>
              <w:ind w:left="132" w:right="103" w:hanging="16"/>
            </w:pPr>
            <w:r>
              <w:rPr>
                <w:spacing w:val="7"/>
              </w:rPr>
              <w:t>投标人或投标产品生产厂家项目负责人具备信息系统项目管理</w:t>
            </w:r>
            <w:r>
              <w:rPr>
                <w:spacing w:val="1"/>
              </w:rPr>
              <w:t xml:space="preserve"> </w:t>
            </w:r>
            <w:r>
              <w:rPr>
                <w:spacing w:val="-5"/>
              </w:rPr>
              <w:t>师，或其他信息系统相关证书的得 2 分。</w:t>
            </w:r>
          </w:p>
        </w:tc>
      </w:tr>
      <w:tr w14:paraId="42F7C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692" w:type="dxa"/>
            <w:vMerge w:val="continue"/>
            <w:tcBorders>
              <w:top w:val="nil"/>
              <w:bottom w:val="nil"/>
            </w:tcBorders>
            <w:textDirection w:val="tbRlV"/>
            <w:vAlign w:val="top"/>
          </w:tcPr>
          <w:p w14:paraId="6AA878CF">
            <w:pPr>
              <w:rPr>
                <w:rFonts w:ascii="Arial"/>
                <w:sz w:val="21"/>
              </w:rPr>
            </w:pPr>
          </w:p>
        </w:tc>
        <w:tc>
          <w:tcPr>
            <w:tcW w:w="1409" w:type="dxa"/>
            <w:vMerge w:val="continue"/>
            <w:tcBorders>
              <w:top w:val="nil"/>
            </w:tcBorders>
            <w:vAlign w:val="top"/>
          </w:tcPr>
          <w:p w14:paraId="50654CF3">
            <w:pPr>
              <w:rPr>
                <w:rFonts w:ascii="Arial"/>
                <w:sz w:val="21"/>
              </w:rPr>
            </w:pPr>
          </w:p>
        </w:tc>
        <w:tc>
          <w:tcPr>
            <w:tcW w:w="779" w:type="dxa"/>
            <w:vAlign w:val="top"/>
          </w:tcPr>
          <w:p w14:paraId="199AAEB3">
            <w:pPr>
              <w:spacing w:line="253" w:lineRule="auto"/>
              <w:rPr>
                <w:rFonts w:ascii="Arial"/>
                <w:sz w:val="21"/>
              </w:rPr>
            </w:pPr>
          </w:p>
          <w:p w14:paraId="182D45BA">
            <w:pPr>
              <w:pStyle w:val="6"/>
              <w:spacing w:before="103" w:line="188" w:lineRule="auto"/>
              <w:ind w:left="183"/>
            </w:pPr>
            <w:r>
              <w:rPr>
                <w:spacing w:val="-13"/>
                <w:w w:val="98"/>
              </w:rPr>
              <w:t>2</w:t>
            </w:r>
            <w:r>
              <w:rPr>
                <w:spacing w:val="8"/>
              </w:rPr>
              <w:t xml:space="preserve"> </w:t>
            </w:r>
            <w:r>
              <w:rPr>
                <w:spacing w:val="-13"/>
                <w:w w:val="98"/>
              </w:rPr>
              <w:t>分</w:t>
            </w:r>
          </w:p>
        </w:tc>
        <w:tc>
          <w:tcPr>
            <w:tcW w:w="6901" w:type="dxa"/>
            <w:vAlign w:val="top"/>
          </w:tcPr>
          <w:p w14:paraId="4D738738">
            <w:pPr>
              <w:pStyle w:val="6"/>
              <w:spacing w:before="216" w:line="176" w:lineRule="auto"/>
              <w:ind w:left="117" w:right="103" w:firstLine="3"/>
            </w:pPr>
            <w:r>
              <w:rPr>
                <w:spacing w:val="-2"/>
              </w:rPr>
              <w:t>实施团队成员包含医疗信息化专业人员，提供任意一份毕业证书</w:t>
            </w:r>
            <w:r>
              <w:rPr>
                <w:spacing w:val="1"/>
              </w:rPr>
              <w:t xml:space="preserve"> </w:t>
            </w:r>
            <w:r>
              <w:rPr>
                <w:spacing w:val="-7"/>
              </w:rPr>
              <w:t>得 2 分。未提供不得分。</w:t>
            </w:r>
          </w:p>
        </w:tc>
      </w:tr>
      <w:tr w14:paraId="55EAD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4" w:hRule="atLeast"/>
        </w:trPr>
        <w:tc>
          <w:tcPr>
            <w:tcW w:w="692" w:type="dxa"/>
            <w:vMerge w:val="continue"/>
            <w:tcBorders>
              <w:top w:val="nil"/>
            </w:tcBorders>
            <w:textDirection w:val="tbRlV"/>
            <w:vAlign w:val="top"/>
          </w:tcPr>
          <w:p w14:paraId="6B8A28A4">
            <w:pPr>
              <w:rPr>
                <w:rFonts w:ascii="Arial"/>
                <w:sz w:val="21"/>
              </w:rPr>
            </w:pPr>
          </w:p>
        </w:tc>
        <w:tc>
          <w:tcPr>
            <w:tcW w:w="1409" w:type="dxa"/>
            <w:vAlign w:val="top"/>
          </w:tcPr>
          <w:p w14:paraId="4892047B">
            <w:pPr>
              <w:spacing w:line="309" w:lineRule="auto"/>
              <w:rPr>
                <w:rFonts w:ascii="Arial"/>
                <w:sz w:val="21"/>
              </w:rPr>
            </w:pPr>
          </w:p>
          <w:p w14:paraId="7C95D041">
            <w:pPr>
              <w:spacing w:line="309" w:lineRule="auto"/>
              <w:rPr>
                <w:rFonts w:ascii="Arial"/>
                <w:sz w:val="21"/>
              </w:rPr>
            </w:pPr>
          </w:p>
          <w:p w14:paraId="00534C64">
            <w:pPr>
              <w:spacing w:line="309" w:lineRule="auto"/>
              <w:rPr>
                <w:rFonts w:ascii="Arial"/>
                <w:sz w:val="21"/>
              </w:rPr>
            </w:pPr>
          </w:p>
          <w:p w14:paraId="38D2D20F">
            <w:pPr>
              <w:pStyle w:val="6"/>
              <w:spacing w:before="103" w:line="176" w:lineRule="auto"/>
              <w:ind w:left="476" w:right="463" w:hanging="4"/>
            </w:pPr>
            <w:r>
              <w:rPr>
                <w:spacing w:val="-3"/>
                <w:w w:val="97"/>
              </w:rPr>
              <w:t>技术</w:t>
            </w:r>
            <w:r>
              <w:rPr>
                <w:spacing w:val="2"/>
              </w:rPr>
              <w:t xml:space="preserve"> </w:t>
            </w:r>
            <w:r>
              <w:rPr>
                <w:spacing w:val="-4"/>
                <w:w w:val="97"/>
              </w:rPr>
              <w:t>方案</w:t>
            </w:r>
          </w:p>
        </w:tc>
        <w:tc>
          <w:tcPr>
            <w:tcW w:w="779" w:type="dxa"/>
            <w:vAlign w:val="top"/>
          </w:tcPr>
          <w:p w14:paraId="154C9F89">
            <w:pPr>
              <w:spacing w:line="267" w:lineRule="auto"/>
              <w:rPr>
                <w:rFonts w:ascii="Arial"/>
                <w:sz w:val="21"/>
              </w:rPr>
            </w:pPr>
          </w:p>
          <w:p w14:paraId="5059FC71">
            <w:pPr>
              <w:spacing w:line="267" w:lineRule="auto"/>
              <w:rPr>
                <w:rFonts w:ascii="Arial"/>
                <w:sz w:val="21"/>
              </w:rPr>
            </w:pPr>
          </w:p>
          <w:p w14:paraId="4698A841">
            <w:pPr>
              <w:spacing w:line="267" w:lineRule="auto"/>
              <w:rPr>
                <w:rFonts w:ascii="Arial"/>
                <w:sz w:val="21"/>
              </w:rPr>
            </w:pPr>
          </w:p>
          <w:p w14:paraId="3E0CDDA6">
            <w:pPr>
              <w:spacing w:line="267" w:lineRule="auto"/>
              <w:rPr>
                <w:rFonts w:ascii="Arial"/>
                <w:sz w:val="21"/>
              </w:rPr>
            </w:pPr>
          </w:p>
          <w:p w14:paraId="646351F6">
            <w:pPr>
              <w:pStyle w:val="6"/>
              <w:spacing w:before="103" w:line="188" w:lineRule="auto"/>
              <w:ind w:left="138"/>
            </w:pPr>
            <w:r>
              <w:rPr>
                <w:spacing w:val="-23"/>
              </w:rPr>
              <w:t>10</w:t>
            </w:r>
            <w:r>
              <w:rPr>
                <w:spacing w:val="8"/>
              </w:rPr>
              <w:t xml:space="preserve"> </w:t>
            </w:r>
            <w:r>
              <w:rPr>
                <w:spacing w:val="-23"/>
              </w:rPr>
              <w:t>分</w:t>
            </w:r>
          </w:p>
        </w:tc>
        <w:tc>
          <w:tcPr>
            <w:tcW w:w="6901" w:type="dxa"/>
            <w:vAlign w:val="top"/>
          </w:tcPr>
          <w:p w14:paraId="2092D4FF">
            <w:pPr>
              <w:pStyle w:val="6"/>
              <w:spacing w:before="198" w:line="163" w:lineRule="auto"/>
              <w:ind w:left="117" w:right="102"/>
            </w:pPr>
            <w:r>
              <w:rPr>
                <w:spacing w:val="-2"/>
              </w:rPr>
              <w:t>根据投标人提供总体设计及系统功能设计方案进行评审，包含但</w:t>
            </w:r>
            <w:r>
              <w:rPr>
                <w:spacing w:val="5"/>
              </w:rPr>
              <w:t xml:space="preserve"> </w:t>
            </w:r>
            <w:r>
              <w:rPr>
                <w:spacing w:val="-2"/>
              </w:rPr>
              <w:t>不限于：建设原则、建设思路、系统架构设计、技术路线选型、</w:t>
            </w:r>
            <w:r>
              <w:rPr>
                <w:spacing w:val="5"/>
              </w:rPr>
              <w:t xml:space="preserve"> </w:t>
            </w:r>
            <w:r>
              <w:rPr>
                <w:spacing w:val="-4"/>
              </w:rPr>
              <w:t>本次招标功能模块的具体说明。</w:t>
            </w:r>
          </w:p>
          <w:p w14:paraId="594E31D5">
            <w:pPr>
              <w:pStyle w:val="6"/>
              <w:spacing w:before="1" w:line="167" w:lineRule="auto"/>
              <w:ind w:left="120" w:right="21" w:hanging="3"/>
              <w:jc w:val="both"/>
            </w:pPr>
            <w:r>
              <w:rPr>
                <w:spacing w:val="-3"/>
              </w:rPr>
              <w:t>满足以上 5 项，设计方案内容全面完整，能够充分满足</w:t>
            </w:r>
            <w:r>
              <w:rPr>
                <w:spacing w:val="-4"/>
              </w:rPr>
              <w:t>招标文件</w:t>
            </w:r>
            <w:r>
              <w:t xml:space="preserve">  </w:t>
            </w:r>
            <w:r>
              <w:rPr>
                <w:spacing w:val="-5"/>
              </w:rPr>
              <w:t>要求，</w:t>
            </w:r>
            <w:r>
              <w:rPr>
                <w:spacing w:val="-48"/>
              </w:rPr>
              <w:t xml:space="preserve"> </w:t>
            </w:r>
            <w:r>
              <w:rPr>
                <w:spacing w:val="-5"/>
              </w:rPr>
              <w:t>得</w:t>
            </w:r>
            <w:r>
              <w:rPr>
                <w:spacing w:val="19"/>
              </w:rPr>
              <w:t xml:space="preserve"> </w:t>
            </w:r>
            <w:r>
              <w:rPr>
                <w:spacing w:val="-5"/>
              </w:rPr>
              <w:t>10 分。每缺少</w:t>
            </w:r>
            <w:r>
              <w:rPr>
                <w:spacing w:val="18"/>
                <w:w w:val="101"/>
              </w:rPr>
              <w:t xml:space="preserve"> </w:t>
            </w:r>
            <w:r>
              <w:rPr>
                <w:spacing w:val="-5"/>
              </w:rPr>
              <w:t>1 项内容或内容</w:t>
            </w:r>
            <w:r>
              <w:rPr>
                <w:spacing w:val="-6"/>
              </w:rPr>
              <w:t>存在缺陷扣 2 分，</w:t>
            </w:r>
            <w:r>
              <w:rPr>
                <w:spacing w:val="-44"/>
              </w:rPr>
              <w:t xml:space="preserve"> </w:t>
            </w:r>
            <w:r>
              <w:rPr>
                <w:spacing w:val="-6"/>
              </w:rPr>
              <w:t>扣完</w:t>
            </w:r>
            <w:r>
              <w:t xml:space="preserve">  </w:t>
            </w:r>
            <w:r>
              <w:rPr>
                <w:spacing w:val="-2"/>
              </w:rPr>
              <w:t>为止。(缺陷是指：存在不适用项目实际情况的情形、凭空编造、</w:t>
            </w:r>
            <w:r>
              <w:rPr>
                <w:spacing w:val="4"/>
              </w:rPr>
              <w:t xml:space="preserve"> </w:t>
            </w:r>
            <w:r>
              <w:rPr>
                <w:spacing w:val="-2"/>
              </w:rPr>
              <w:t>内容前后不一致、前后逻辑错误、涉及的规范及标准错误、地点</w:t>
            </w:r>
            <w:r>
              <w:t xml:space="preserve">  </w:t>
            </w:r>
            <w:r>
              <w:rPr>
                <w:spacing w:val="1"/>
              </w:rPr>
              <w:t>区域错误、内容遗漏、不符合采购需求等)</w:t>
            </w:r>
          </w:p>
        </w:tc>
      </w:tr>
    </w:tbl>
    <w:p w14:paraId="5C1FFCBD">
      <w:pPr>
        <w:pStyle w:val="2"/>
        <w:spacing w:line="274" w:lineRule="auto"/>
      </w:pPr>
    </w:p>
    <w:p w14:paraId="3549CC49">
      <w:pPr>
        <w:pStyle w:val="2"/>
        <w:spacing w:line="275" w:lineRule="auto"/>
      </w:pPr>
    </w:p>
    <w:p w14:paraId="58072500">
      <w:pPr>
        <w:pStyle w:val="2"/>
        <w:spacing w:line="275" w:lineRule="auto"/>
      </w:pPr>
    </w:p>
    <w:p w14:paraId="38CA21AD">
      <w:pPr>
        <w:pStyle w:val="2"/>
        <w:spacing w:line="275" w:lineRule="auto"/>
      </w:pPr>
    </w:p>
    <w:p w14:paraId="1F5D412A">
      <w:pPr>
        <w:pStyle w:val="2"/>
        <w:spacing w:line="275" w:lineRule="auto"/>
      </w:pPr>
    </w:p>
    <w:p w14:paraId="767A4733">
      <w:pPr>
        <w:pStyle w:val="2"/>
        <w:spacing w:line="275" w:lineRule="auto"/>
      </w:pPr>
    </w:p>
    <w:p w14:paraId="1B97E537">
      <w:pPr>
        <w:spacing w:before="62" w:line="209" w:lineRule="auto"/>
        <w:ind w:left="138"/>
        <w:rPr>
          <w:rFonts w:ascii="宋体" w:hAnsi="宋体" w:eastAsia="宋体" w:cs="宋体"/>
          <w:sz w:val="19"/>
          <w:szCs w:val="19"/>
        </w:rPr>
      </w:pPr>
      <w:r>
        <w:pict>
          <v:shape id="_x0000_s1070" o:spid="_x0000_s1070" style="position:absolute;left:0pt;margin-left:1.45pt;margin-top:11.85pt;height:0.75pt;width:494pt;z-index:251732992;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89                                </w:t>
      </w:r>
      <w:r>
        <w:rPr>
          <w:rFonts w:ascii="宋体" w:hAnsi="宋体" w:eastAsia="宋体" w:cs="宋体"/>
          <w:b/>
          <w:bCs/>
          <w:i/>
          <w:iCs/>
          <w:spacing w:val="-3"/>
          <w:sz w:val="19"/>
          <w:szCs w:val="19"/>
        </w:rPr>
        <w:t>伊犁州公共资源交易中心</w:t>
      </w:r>
    </w:p>
    <w:p w14:paraId="6B5E1FB6">
      <w:pPr>
        <w:spacing w:line="209" w:lineRule="auto"/>
        <w:rPr>
          <w:rFonts w:ascii="宋体" w:hAnsi="宋体" w:eastAsia="宋体" w:cs="宋体"/>
          <w:sz w:val="19"/>
          <w:szCs w:val="19"/>
        </w:rPr>
        <w:sectPr>
          <w:pgSz w:w="11905" w:h="16839"/>
          <w:pgMar w:top="1136" w:right="830" w:bottom="400" w:left="1136" w:header="854" w:footer="0" w:gutter="0"/>
          <w:cols w:space="720" w:num="1"/>
        </w:sectPr>
      </w:pPr>
    </w:p>
    <w:p w14:paraId="4549820D">
      <w:pPr>
        <w:spacing w:before="38"/>
      </w:pPr>
    </w:p>
    <w:tbl>
      <w:tblPr>
        <w:tblStyle w:val="5"/>
        <w:tblW w:w="978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2"/>
        <w:gridCol w:w="1409"/>
        <w:gridCol w:w="779"/>
        <w:gridCol w:w="6908"/>
      </w:tblGrid>
      <w:tr w14:paraId="61B52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5" w:hRule="atLeast"/>
        </w:trPr>
        <w:tc>
          <w:tcPr>
            <w:tcW w:w="692" w:type="dxa"/>
            <w:vMerge w:val="restart"/>
            <w:tcBorders>
              <w:bottom w:val="nil"/>
            </w:tcBorders>
            <w:vAlign w:val="top"/>
          </w:tcPr>
          <w:p w14:paraId="7E6E4011">
            <w:pPr>
              <w:rPr>
                <w:rFonts w:ascii="Arial"/>
                <w:sz w:val="21"/>
              </w:rPr>
            </w:pPr>
          </w:p>
        </w:tc>
        <w:tc>
          <w:tcPr>
            <w:tcW w:w="1409" w:type="dxa"/>
            <w:vAlign w:val="top"/>
          </w:tcPr>
          <w:p w14:paraId="184C5765">
            <w:pPr>
              <w:spacing w:line="277" w:lineRule="auto"/>
              <w:rPr>
                <w:rFonts w:ascii="Arial"/>
                <w:sz w:val="21"/>
              </w:rPr>
            </w:pPr>
          </w:p>
          <w:p w14:paraId="206621E6">
            <w:pPr>
              <w:spacing w:line="277" w:lineRule="auto"/>
              <w:rPr>
                <w:rFonts w:ascii="Arial"/>
                <w:sz w:val="21"/>
              </w:rPr>
            </w:pPr>
          </w:p>
          <w:p w14:paraId="006CD787">
            <w:pPr>
              <w:spacing w:line="277" w:lineRule="auto"/>
              <w:rPr>
                <w:rFonts w:ascii="Arial"/>
                <w:sz w:val="21"/>
              </w:rPr>
            </w:pPr>
          </w:p>
          <w:p w14:paraId="406E08C0">
            <w:pPr>
              <w:pStyle w:val="6"/>
              <w:spacing w:before="103" w:line="188" w:lineRule="auto"/>
              <w:ind w:left="236"/>
            </w:pPr>
            <w:r>
              <w:rPr>
                <w:spacing w:val="-4"/>
              </w:rPr>
              <w:t>实施方案</w:t>
            </w:r>
          </w:p>
        </w:tc>
        <w:tc>
          <w:tcPr>
            <w:tcW w:w="779" w:type="dxa"/>
            <w:vAlign w:val="top"/>
          </w:tcPr>
          <w:p w14:paraId="4B60D626">
            <w:pPr>
              <w:spacing w:line="277" w:lineRule="auto"/>
              <w:rPr>
                <w:rFonts w:ascii="Arial"/>
                <w:sz w:val="21"/>
              </w:rPr>
            </w:pPr>
          </w:p>
          <w:p w14:paraId="5F45FC00">
            <w:pPr>
              <w:spacing w:line="277" w:lineRule="auto"/>
              <w:rPr>
                <w:rFonts w:ascii="Arial"/>
                <w:sz w:val="21"/>
              </w:rPr>
            </w:pPr>
          </w:p>
          <w:p w14:paraId="6EE7C699">
            <w:pPr>
              <w:spacing w:line="277" w:lineRule="auto"/>
              <w:rPr>
                <w:rFonts w:ascii="Arial"/>
                <w:sz w:val="21"/>
              </w:rPr>
            </w:pPr>
          </w:p>
          <w:p w14:paraId="76A2B740">
            <w:pPr>
              <w:pStyle w:val="6"/>
              <w:spacing w:before="103" w:line="188" w:lineRule="auto"/>
              <w:ind w:left="185"/>
            </w:pPr>
            <w:r>
              <w:rPr>
                <w:spacing w:val="-17"/>
              </w:rPr>
              <w:t>5</w:t>
            </w:r>
            <w:r>
              <w:rPr>
                <w:spacing w:val="7"/>
              </w:rPr>
              <w:t xml:space="preserve"> </w:t>
            </w:r>
            <w:r>
              <w:rPr>
                <w:spacing w:val="-17"/>
              </w:rPr>
              <w:t>分</w:t>
            </w:r>
          </w:p>
        </w:tc>
        <w:tc>
          <w:tcPr>
            <w:tcW w:w="6908" w:type="dxa"/>
            <w:vAlign w:val="top"/>
          </w:tcPr>
          <w:p w14:paraId="635C89C9">
            <w:pPr>
              <w:pStyle w:val="6"/>
              <w:spacing w:before="240" w:line="163" w:lineRule="auto"/>
              <w:ind w:left="119" w:right="109" w:hanging="3"/>
              <w:jc w:val="both"/>
            </w:pPr>
            <w:r>
              <w:rPr>
                <w:spacing w:val="-2"/>
              </w:rPr>
              <w:t>投标人具有完备的项目实施方案，包含但不限于：项目实施计划</w:t>
            </w:r>
            <w:r>
              <w:rPr>
                <w:spacing w:val="6"/>
              </w:rPr>
              <w:t xml:space="preserve"> </w:t>
            </w:r>
            <w:r>
              <w:rPr>
                <w:spacing w:val="-3"/>
              </w:rPr>
              <w:t>及控制（项目质量控制、项目进度控制、项目风险控制）、升级</w:t>
            </w:r>
            <w:r>
              <w:rPr>
                <w:spacing w:val="13"/>
              </w:rPr>
              <w:t xml:space="preserve"> </w:t>
            </w:r>
            <w:r>
              <w:rPr>
                <w:spacing w:val="-2"/>
              </w:rPr>
              <w:t>改造调试及验收方案、软件接口方案和网络安全及数据安全保障</w:t>
            </w:r>
            <w:r>
              <w:rPr>
                <w:spacing w:val="3"/>
              </w:rPr>
              <w:t xml:space="preserve"> </w:t>
            </w:r>
            <w:r>
              <w:rPr>
                <w:spacing w:val="-2"/>
              </w:rPr>
              <w:t>方案、故障处理服务方案、优惠措施等方面进行综合评分。</w:t>
            </w:r>
          </w:p>
          <w:p w14:paraId="2EFB8C00">
            <w:pPr>
              <w:pStyle w:val="6"/>
              <w:spacing w:line="163" w:lineRule="auto"/>
              <w:ind w:left="122"/>
            </w:pPr>
            <w:r>
              <w:rPr>
                <w:spacing w:val="-7"/>
              </w:rPr>
              <w:t>方案中以上 5 项内容，每提供</w:t>
            </w:r>
            <w:r>
              <w:rPr>
                <w:spacing w:val="33"/>
              </w:rPr>
              <w:t xml:space="preserve"> </w:t>
            </w:r>
            <w:r>
              <w:rPr>
                <w:spacing w:val="-7"/>
              </w:rPr>
              <w:t>1 项得</w:t>
            </w:r>
            <w:r>
              <w:rPr>
                <w:spacing w:val="15"/>
              </w:rPr>
              <w:t xml:space="preserve"> </w:t>
            </w:r>
            <w:r>
              <w:rPr>
                <w:spacing w:val="-7"/>
              </w:rPr>
              <w:t>1 分，不提供不得分，满分</w:t>
            </w:r>
          </w:p>
          <w:p w14:paraId="71813158">
            <w:pPr>
              <w:pStyle w:val="6"/>
              <w:spacing w:line="188" w:lineRule="auto"/>
              <w:ind w:left="114"/>
            </w:pPr>
            <w:r>
              <w:rPr>
                <w:spacing w:val="-20"/>
              </w:rPr>
              <w:t>5</w:t>
            </w:r>
            <w:r>
              <w:rPr>
                <w:spacing w:val="7"/>
              </w:rPr>
              <w:t xml:space="preserve"> </w:t>
            </w:r>
            <w:r>
              <w:rPr>
                <w:spacing w:val="-20"/>
              </w:rPr>
              <w:t>分。</w:t>
            </w:r>
          </w:p>
        </w:tc>
      </w:tr>
      <w:tr w14:paraId="4DEB1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6" w:hRule="atLeast"/>
        </w:trPr>
        <w:tc>
          <w:tcPr>
            <w:tcW w:w="692" w:type="dxa"/>
            <w:vMerge w:val="continue"/>
            <w:tcBorders>
              <w:top w:val="nil"/>
              <w:bottom w:val="nil"/>
            </w:tcBorders>
            <w:vAlign w:val="top"/>
          </w:tcPr>
          <w:p w14:paraId="122DBFB1">
            <w:pPr>
              <w:rPr>
                <w:rFonts w:ascii="Arial"/>
                <w:sz w:val="21"/>
              </w:rPr>
            </w:pPr>
          </w:p>
        </w:tc>
        <w:tc>
          <w:tcPr>
            <w:tcW w:w="1409" w:type="dxa"/>
            <w:vAlign w:val="top"/>
          </w:tcPr>
          <w:p w14:paraId="04B28D09">
            <w:pPr>
              <w:spacing w:line="296" w:lineRule="auto"/>
              <w:rPr>
                <w:rFonts w:ascii="Arial"/>
                <w:sz w:val="21"/>
              </w:rPr>
            </w:pPr>
          </w:p>
          <w:p w14:paraId="0FA31838">
            <w:pPr>
              <w:spacing w:line="296" w:lineRule="auto"/>
              <w:rPr>
                <w:rFonts w:ascii="Arial"/>
                <w:sz w:val="21"/>
              </w:rPr>
            </w:pPr>
          </w:p>
          <w:p w14:paraId="59592F5E">
            <w:pPr>
              <w:spacing w:line="297" w:lineRule="auto"/>
              <w:rPr>
                <w:rFonts w:ascii="Arial"/>
                <w:sz w:val="21"/>
              </w:rPr>
            </w:pPr>
          </w:p>
          <w:p w14:paraId="089C0EBD">
            <w:pPr>
              <w:pStyle w:val="6"/>
              <w:spacing w:before="103" w:line="175" w:lineRule="auto"/>
              <w:ind w:left="471" w:right="463" w:firstLine="13"/>
            </w:pPr>
            <w:r>
              <w:rPr>
                <w:spacing w:val="-2"/>
                <w:w w:val="94"/>
              </w:rPr>
              <w:t>售后</w:t>
            </w:r>
            <w:r>
              <w:rPr>
                <w:spacing w:val="2"/>
              </w:rPr>
              <w:t xml:space="preserve"> </w:t>
            </w:r>
            <w:r>
              <w:rPr>
                <w:spacing w:val="-2"/>
                <w:w w:val="97"/>
              </w:rPr>
              <w:t>服务</w:t>
            </w:r>
          </w:p>
        </w:tc>
        <w:tc>
          <w:tcPr>
            <w:tcW w:w="779" w:type="dxa"/>
            <w:vAlign w:val="top"/>
          </w:tcPr>
          <w:p w14:paraId="59B05938">
            <w:pPr>
              <w:spacing w:line="256" w:lineRule="auto"/>
              <w:rPr>
                <w:rFonts w:ascii="Arial"/>
                <w:sz w:val="21"/>
              </w:rPr>
            </w:pPr>
          </w:p>
          <w:p w14:paraId="79E4F596">
            <w:pPr>
              <w:spacing w:line="256" w:lineRule="auto"/>
              <w:rPr>
                <w:rFonts w:ascii="Arial"/>
                <w:sz w:val="21"/>
              </w:rPr>
            </w:pPr>
          </w:p>
          <w:p w14:paraId="3C7386C8">
            <w:pPr>
              <w:spacing w:line="257" w:lineRule="auto"/>
              <w:rPr>
                <w:rFonts w:ascii="Arial"/>
                <w:sz w:val="21"/>
              </w:rPr>
            </w:pPr>
          </w:p>
          <w:p w14:paraId="76BF420E">
            <w:pPr>
              <w:spacing w:line="257" w:lineRule="auto"/>
              <w:rPr>
                <w:rFonts w:ascii="Arial"/>
                <w:sz w:val="21"/>
              </w:rPr>
            </w:pPr>
          </w:p>
          <w:p w14:paraId="24715739">
            <w:pPr>
              <w:pStyle w:val="6"/>
              <w:spacing w:before="103" w:line="188" w:lineRule="auto"/>
              <w:ind w:left="185"/>
            </w:pPr>
            <w:r>
              <w:rPr>
                <w:spacing w:val="-17"/>
              </w:rPr>
              <w:t>5</w:t>
            </w:r>
            <w:r>
              <w:rPr>
                <w:spacing w:val="7"/>
              </w:rPr>
              <w:t xml:space="preserve"> </w:t>
            </w:r>
            <w:r>
              <w:rPr>
                <w:spacing w:val="-17"/>
              </w:rPr>
              <w:t>分</w:t>
            </w:r>
          </w:p>
        </w:tc>
        <w:tc>
          <w:tcPr>
            <w:tcW w:w="6908" w:type="dxa"/>
            <w:vAlign w:val="top"/>
          </w:tcPr>
          <w:p w14:paraId="2775B820">
            <w:pPr>
              <w:pStyle w:val="6"/>
              <w:spacing w:before="17" w:line="163" w:lineRule="auto"/>
              <w:ind w:left="116" w:firstLine="2"/>
            </w:pPr>
            <w:r>
              <w:rPr>
                <w:spacing w:val="-2"/>
              </w:rPr>
              <w:t>后续服务方案：根据实现采购任务后续服务工作目</w:t>
            </w:r>
            <w:r>
              <w:rPr>
                <w:spacing w:val="-3"/>
              </w:rPr>
              <w:t>标、后续服务</w:t>
            </w:r>
            <w:r>
              <w:t xml:space="preserve">  </w:t>
            </w:r>
            <w:r>
              <w:rPr>
                <w:spacing w:val="-2"/>
              </w:rPr>
              <w:t>保障措施，包含但不限于：软件系统维护及升级措施、</w:t>
            </w:r>
            <w:r>
              <w:rPr>
                <w:spacing w:val="-3"/>
              </w:rPr>
              <w:t>硬件售后</w:t>
            </w:r>
            <w:r>
              <w:t xml:space="preserve">  </w:t>
            </w:r>
            <w:r>
              <w:rPr>
                <w:spacing w:val="6"/>
              </w:rPr>
              <w:t>服务、后续服务技术人员配备、故障处理预案、服务流程程序</w:t>
            </w:r>
            <w:r>
              <w:rPr>
                <w:spacing w:val="9"/>
              </w:rPr>
              <w:t xml:space="preserve">  </w:t>
            </w:r>
            <w:r>
              <w:rPr>
                <w:spacing w:val="-2"/>
              </w:rPr>
              <w:t>（包括故障处理、上门维护、紧急维护、电话回访维护等</w:t>
            </w:r>
            <w:r>
              <w:rPr>
                <w:spacing w:val="-3"/>
              </w:rPr>
              <w:t>）等内</w:t>
            </w:r>
            <w:r>
              <w:t xml:space="preserve">  </w:t>
            </w:r>
            <w:r>
              <w:rPr>
                <w:spacing w:val="-5"/>
              </w:rPr>
              <w:t>容，制定后续服务方案。以上方案中 5 项内</w:t>
            </w:r>
            <w:r>
              <w:rPr>
                <w:spacing w:val="-6"/>
              </w:rPr>
              <w:t>容，每提供 1 项得 1</w:t>
            </w:r>
            <w:r>
              <w:t xml:space="preserve">   </w:t>
            </w:r>
            <w:r>
              <w:rPr>
                <w:spacing w:val="-8"/>
              </w:rPr>
              <w:t xml:space="preserve">分，满 5 </w:t>
            </w:r>
            <w:r>
              <w:rPr>
                <w:spacing w:val="-7"/>
              </w:rPr>
              <w:t>分。每缺失一项内容或内容缺陷扣  1  分，扣完为止。</w:t>
            </w:r>
            <w:r>
              <w:rPr>
                <w:spacing w:val="-8"/>
              </w:rPr>
              <w:t>(</w:t>
            </w:r>
            <w:r>
              <w:rPr>
                <w:spacing w:val="-2"/>
              </w:rPr>
              <w:t>缺</w:t>
            </w:r>
          </w:p>
          <w:p w14:paraId="4598A646">
            <w:pPr>
              <w:pStyle w:val="6"/>
              <w:spacing w:before="2" w:line="157" w:lineRule="auto"/>
              <w:ind w:left="122" w:right="28" w:firstLine="11"/>
            </w:pPr>
            <w:r>
              <w:rPr>
                <w:spacing w:val="-3"/>
              </w:rPr>
              <w:t>陷是指：存在不适用项目实际情况的情形、凭空编造、内容前后</w:t>
            </w:r>
            <w:r>
              <w:rPr>
                <w:spacing w:val="8"/>
              </w:rPr>
              <w:t xml:space="preserve">  </w:t>
            </w:r>
            <w:r>
              <w:rPr>
                <w:spacing w:val="-8"/>
              </w:rPr>
              <w:t>不一致、前后逻辑错误、涉及的规范及标准错误、地点区域错误、</w:t>
            </w:r>
            <w:r>
              <w:rPr>
                <w:spacing w:val="18"/>
              </w:rPr>
              <w:t xml:space="preserve"> </w:t>
            </w:r>
            <w:r>
              <w:rPr>
                <w:spacing w:val="1"/>
              </w:rPr>
              <w:t>内容遗漏、不符合采购需求等)</w:t>
            </w:r>
          </w:p>
        </w:tc>
      </w:tr>
      <w:tr w14:paraId="2C783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1" w:hRule="atLeast"/>
        </w:trPr>
        <w:tc>
          <w:tcPr>
            <w:tcW w:w="692" w:type="dxa"/>
            <w:vMerge w:val="continue"/>
            <w:tcBorders>
              <w:top w:val="nil"/>
            </w:tcBorders>
            <w:vAlign w:val="top"/>
          </w:tcPr>
          <w:p w14:paraId="4D79B1A5">
            <w:pPr>
              <w:rPr>
                <w:rFonts w:ascii="Arial"/>
                <w:sz w:val="21"/>
              </w:rPr>
            </w:pPr>
          </w:p>
        </w:tc>
        <w:tc>
          <w:tcPr>
            <w:tcW w:w="1409" w:type="dxa"/>
            <w:vAlign w:val="top"/>
          </w:tcPr>
          <w:p w14:paraId="2EA956CC">
            <w:pPr>
              <w:spacing w:line="257" w:lineRule="auto"/>
              <w:rPr>
                <w:rFonts w:ascii="Arial"/>
                <w:sz w:val="21"/>
              </w:rPr>
            </w:pPr>
          </w:p>
          <w:p w14:paraId="4F019A72">
            <w:pPr>
              <w:spacing w:line="257" w:lineRule="auto"/>
              <w:rPr>
                <w:rFonts w:ascii="Arial"/>
                <w:sz w:val="21"/>
              </w:rPr>
            </w:pPr>
          </w:p>
          <w:p w14:paraId="432761AE">
            <w:pPr>
              <w:spacing w:line="257" w:lineRule="auto"/>
              <w:rPr>
                <w:rFonts w:ascii="Arial"/>
                <w:sz w:val="21"/>
              </w:rPr>
            </w:pPr>
          </w:p>
          <w:p w14:paraId="1C670743">
            <w:pPr>
              <w:spacing w:line="258" w:lineRule="auto"/>
              <w:rPr>
                <w:rFonts w:ascii="Arial"/>
                <w:sz w:val="21"/>
              </w:rPr>
            </w:pPr>
          </w:p>
          <w:p w14:paraId="7F51F069">
            <w:pPr>
              <w:pStyle w:val="6"/>
              <w:spacing w:before="103" w:line="176" w:lineRule="auto"/>
              <w:ind w:left="476" w:right="463" w:hanging="4"/>
            </w:pPr>
            <w:r>
              <w:rPr>
                <w:spacing w:val="-5"/>
                <w:w w:val="98"/>
              </w:rPr>
              <w:t>培训</w:t>
            </w:r>
            <w:r>
              <w:rPr>
                <w:spacing w:val="1"/>
              </w:rPr>
              <w:t xml:space="preserve"> </w:t>
            </w:r>
            <w:r>
              <w:rPr>
                <w:spacing w:val="-4"/>
                <w:w w:val="97"/>
              </w:rPr>
              <w:t>方案</w:t>
            </w:r>
          </w:p>
        </w:tc>
        <w:tc>
          <w:tcPr>
            <w:tcW w:w="779" w:type="dxa"/>
            <w:vAlign w:val="top"/>
          </w:tcPr>
          <w:p w14:paraId="7F5A92AB">
            <w:pPr>
              <w:spacing w:line="292" w:lineRule="auto"/>
              <w:rPr>
                <w:rFonts w:ascii="Arial"/>
                <w:sz w:val="21"/>
              </w:rPr>
            </w:pPr>
          </w:p>
          <w:p w14:paraId="68B3E6DA">
            <w:pPr>
              <w:spacing w:line="292" w:lineRule="auto"/>
              <w:rPr>
                <w:rFonts w:ascii="Arial"/>
                <w:sz w:val="21"/>
              </w:rPr>
            </w:pPr>
          </w:p>
          <w:p w14:paraId="7EA6F423">
            <w:pPr>
              <w:spacing w:line="293" w:lineRule="auto"/>
              <w:rPr>
                <w:rFonts w:ascii="Arial"/>
                <w:sz w:val="21"/>
              </w:rPr>
            </w:pPr>
          </w:p>
          <w:p w14:paraId="098B9F24">
            <w:pPr>
              <w:spacing w:line="293" w:lineRule="auto"/>
              <w:rPr>
                <w:rFonts w:ascii="Arial"/>
                <w:sz w:val="21"/>
              </w:rPr>
            </w:pPr>
          </w:p>
          <w:p w14:paraId="536CA87D">
            <w:pPr>
              <w:pStyle w:val="6"/>
              <w:spacing w:before="102" w:line="188" w:lineRule="auto"/>
              <w:ind w:left="185"/>
            </w:pPr>
            <w:r>
              <w:rPr>
                <w:spacing w:val="-17"/>
              </w:rPr>
              <w:t>5</w:t>
            </w:r>
            <w:r>
              <w:rPr>
                <w:spacing w:val="7"/>
              </w:rPr>
              <w:t xml:space="preserve"> </w:t>
            </w:r>
            <w:r>
              <w:rPr>
                <w:spacing w:val="-17"/>
              </w:rPr>
              <w:t>分</w:t>
            </w:r>
          </w:p>
        </w:tc>
        <w:tc>
          <w:tcPr>
            <w:tcW w:w="6908" w:type="dxa"/>
            <w:vAlign w:val="top"/>
          </w:tcPr>
          <w:p w14:paraId="762F2E23">
            <w:pPr>
              <w:pStyle w:val="6"/>
              <w:spacing w:before="50" w:line="182" w:lineRule="auto"/>
              <w:ind w:left="118" w:right="109"/>
              <w:jc w:val="both"/>
            </w:pPr>
            <w:r>
              <w:rPr>
                <w:spacing w:val="-2"/>
              </w:rPr>
              <w:t>提供项目培训方案，应至少涵盖但不限于：培训组织架构、培训</w:t>
            </w:r>
            <w:r>
              <w:rPr>
                <w:spacing w:val="4"/>
              </w:rPr>
              <w:t xml:space="preserve"> </w:t>
            </w:r>
            <w:r>
              <w:rPr>
                <w:spacing w:val="-8"/>
              </w:rPr>
              <w:t>对象和内容、培训方式、培训流程、培训日程安排</w:t>
            </w:r>
            <w:r>
              <w:rPr>
                <w:spacing w:val="-9"/>
              </w:rPr>
              <w:t>，</w:t>
            </w:r>
            <w:r>
              <w:rPr>
                <w:spacing w:val="18"/>
              </w:rPr>
              <w:t xml:space="preserve">  </w:t>
            </w:r>
            <w:r>
              <w:rPr>
                <w:spacing w:val="-9"/>
              </w:rPr>
              <w:t>确保培训人</w:t>
            </w:r>
            <w:r>
              <w:t xml:space="preserve"> </w:t>
            </w:r>
            <w:r>
              <w:rPr>
                <w:spacing w:val="-2"/>
              </w:rPr>
              <w:t>员对系统基本理论、技术特性、操作规范和运行规程、管理维护</w:t>
            </w:r>
            <w:r>
              <w:rPr>
                <w:spacing w:val="4"/>
              </w:rPr>
              <w:t xml:space="preserve"> </w:t>
            </w:r>
            <w:r>
              <w:rPr>
                <w:spacing w:val="-5"/>
              </w:rPr>
              <w:t>等方面全面了解和掌握。</w:t>
            </w:r>
          </w:p>
          <w:p w14:paraId="78F6A9D5">
            <w:pPr>
              <w:pStyle w:val="6"/>
              <w:spacing w:before="1" w:line="167" w:lineRule="auto"/>
              <w:ind w:left="116" w:right="109" w:firstLine="24"/>
            </w:pPr>
            <w:r>
              <w:rPr>
                <w:spacing w:val="-5"/>
              </w:rPr>
              <w:t>以上 5 项内容都包含且满足采购需求的得 5 分；每缺少一项内容</w:t>
            </w:r>
            <w:r>
              <w:t xml:space="preserve"> </w:t>
            </w:r>
            <w:r>
              <w:rPr>
                <w:spacing w:val="-4"/>
              </w:rPr>
              <w:t>或内容存在缺陷的扣 1 分，扣完为止，未提供不得分。（缺陷是</w:t>
            </w:r>
            <w:r>
              <w:rPr>
                <w:spacing w:val="11"/>
              </w:rPr>
              <w:t xml:space="preserve"> </w:t>
            </w:r>
            <w:r>
              <w:rPr>
                <w:spacing w:val="-2"/>
              </w:rPr>
              <w:t>指：存在不适用该项目实际情况的情形、凭空编造、内容前后不</w:t>
            </w:r>
            <w:r>
              <w:rPr>
                <w:spacing w:val="6"/>
              </w:rPr>
              <w:t xml:space="preserve"> </w:t>
            </w:r>
            <w:r>
              <w:rPr>
                <w:spacing w:val="-2"/>
              </w:rPr>
              <w:t>一致、前后逻辑错误、涉及的规范及标准错误、地点区域错误、</w:t>
            </w:r>
            <w:r>
              <w:rPr>
                <w:spacing w:val="6"/>
              </w:rPr>
              <w:t xml:space="preserve"> </w:t>
            </w:r>
            <w:r>
              <w:rPr>
                <w:spacing w:val="-2"/>
              </w:rPr>
              <w:t>内容缺失、不符合采购需求的任意一项）</w:t>
            </w:r>
          </w:p>
        </w:tc>
      </w:tr>
    </w:tbl>
    <w:p w14:paraId="3D4E343B">
      <w:pPr>
        <w:spacing w:before="175" w:line="187" w:lineRule="auto"/>
        <w:ind w:left="90"/>
        <w:rPr>
          <w:rFonts w:ascii="微软雅黑" w:hAnsi="微软雅黑" w:eastAsia="微软雅黑" w:cs="微软雅黑"/>
          <w:sz w:val="28"/>
          <w:szCs w:val="28"/>
        </w:rPr>
      </w:pPr>
      <w:r>
        <w:rPr>
          <w:rFonts w:ascii="微软雅黑" w:hAnsi="微软雅黑" w:eastAsia="微软雅黑" w:cs="微软雅黑"/>
          <w:b/>
          <w:bCs/>
          <w:spacing w:val="-4"/>
          <w:sz w:val="28"/>
          <w:szCs w:val="28"/>
        </w:rPr>
        <w:t xml:space="preserve">标段四 </w:t>
      </w:r>
      <w:r>
        <w:rPr>
          <w:rFonts w:ascii="宋体" w:hAnsi="宋体" w:eastAsia="宋体" w:cs="宋体"/>
          <w:b/>
          <w:bCs/>
          <w:spacing w:val="-4"/>
          <w:sz w:val="32"/>
          <w:szCs w:val="32"/>
        </w:rPr>
        <w:t>PACS</w:t>
      </w:r>
      <w:r>
        <w:rPr>
          <w:rFonts w:ascii="宋体" w:hAnsi="宋体" w:eastAsia="宋体" w:cs="宋体"/>
          <w:spacing w:val="-49"/>
          <w:sz w:val="32"/>
          <w:szCs w:val="32"/>
        </w:rPr>
        <w:t xml:space="preserve"> </w:t>
      </w:r>
      <w:r>
        <w:rPr>
          <w:rFonts w:ascii="微软雅黑" w:hAnsi="微软雅黑" w:eastAsia="微软雅黑" w:cs="微软雅黑"/>
          <w:b/>
          <w:bCs/>
          <w:spacing w:val="-4"/>
          <w:sz w:val="28"/>
          <w:szCs w:val="28"/>
        </w:rPr>
        <w:t>系统升级改造：评分项目、</w:t>
      </w:r>
      <w:r>
        <w:rPr>
          <w:rFonts w:ascii="微软雅黑" w:hAnsi="微软雅黑" w:eastAsia="微软雅黑" w:cs="微软雅黑"/>
          <w:b/>
          <w:bCs/>
          <w:spacing w:val="-5"/>
          <w:sz w:val="28"/>
          <w:szCs w:val="28"/>
        </w:rPr>
        <w:t>分值及评分办法如下：</w:t>
      </w:r>
    </w:p>
    <w:p w14:paraId="31BF4CE8">
      <w:pPr>
        <w:spacing w:line="166" w:lineRule="exact"/>
      </w:pPr>
    </w:p>
    <w:tbl>
      <w:tblPr>
        <w:tblStyle w:val="5"/>
        <w:tblW w:w="1000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8"/>
        <w:gridCol w:w="1482"/>
        <w:gridCol w:w="674"/>
        <w:gridCol w:w="7161"/>
      </w:tblGrid>
      <w:tr w14:paraId="70F17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3" w:hRule="atLeast"/>
        </w:trPr>
        <w:tc>
          <w:tcPr>
            <w:tcW w:w="688" w:type="dxa"/>
            <w:vAlign w:val="top"/>
          </w:tcPr>
          <w:p w14:paraId="49164499">
            <w:pPr>
              <w:spacing w:before="33" w:line="215" w:lineRule="auto"/>
              <w:ind w:left="263" w:right="218" w:hanging="41"/>
              <w:rPr>
                <w:rFonts w:ascii="宋体" w:hAnsi="宋体" w:eastAsia="宋体" w:cs="宋体"/>
                <w:sz w:val="24"/>
                <w:szCs w:val="24"/>
              </w:rPr>
            </w:pPr>
            <w:r>
              <w:rPr>
                <w:rFonts w:ascii="宋体" w:hAnsi="宋体" w:eastAsia="宋体" w:cs="宋体"/>
                <w:b/>
                <w:bCs/>
                <w:spacing w:val="-16"/>
                <w:sz w:val="24"/>
                <w:szCs w:val="24"/>
              </w:rPr>
              <w:t>项</w:t>
            </w:r>
            <w:r>
              <w:rPr>
                <w:rFonts w:ascii="宋体" w:hAnsi="宋体" w:eastAsia="宋体" w:cs="宋体"/>
                <w:sz w:val="24"/>
                <w:szCs w:val="24"/>
              </w:rPr>
              <w:t xml:space="preserve"> </w:t>
            </w:r>
            <w:r>
              <w:rPr>
                <w:rFonts w:ascii="宋体" w:hAnsi="宋体" w:eastAsia="宋体" w:cs="宋体"/>
                <w:b/>
                <w:bCs/>
                <w:spacing w:val="-58"/>
                <w:sz w:val="24"/>
                <w:szCs w:val="24"/>
              </w:rPr>
              <w:t>目</w:t>
            </w:r>
          </w:p>
        </w:tc>
        <w:tc>
          <w:tcPr>
            <w:tcW w:w="1482" w:type="dxa"/>
            <w:tcBorders>
              <w:bottom w:val="single" w:color="000000" w:sz="4" w:space="0"/>
            </w:tcBorders>
            <w:vAlign w:val="top"/>
          </w:tcPr>
          <w:p w14:paraId="2F1396DE">
            <w:pPr>
              <w:spacing w:before="184" w:line="220" w:lineRule="auto"/>
              <w:ind w:left="254"/>
              <w:rPr>
                <w:rFonts w:ascii="宋体" w:hAnsi="宋体" w:eastAsia="宋体" w:cs="宋体"/>
                <w:sz w:val="24"/>
                <w:szCs w:val="24"/>
              </w:rPr>
            </w:pPr>
            <w:r>
              <w:rPr>
                <w:rFonts w:ascii="宋体" w:hAnsi="宋体" w:eastAsia="宋体" w:cs="宋体"/>
                <w:b/>
                <w:bCs/>
                <w:spacing w:val="-5"/>
                <w:sz w:val="24"/>
                <w:szCs w:val="24"/>
              </w:rPr>
              <w:t>分项名称</w:t>
            </w:r>
          </w:p>
        </w:tc>
        <w:tc>
          <w:tcPr>
            <w:tcW w:w="674" w:type="dxa"/>
            <w:tcBorders>
              <w:bottom w:val="single" w:color="000000" w:sz="4" w:space="0"/>
            </w:tcBorders>
            <w:vAlign w:val="top"/>
          </w:tcPr>
          <w:p w14:paraId="51063DA3">
            <w:pPr>
              <w:spacing w:before="33" w:line="215" w:lineRule="auto"/>
              <w:ind w:left="211" w:right="211" w:firstLine="2"/>
              <w:rPr>
                <w:rFonts w:ascii="宋体" w:hAnsi="宋体" w:eastAsia="宋体" w:cs="宋体"/>
                <w:sz w:val="24"/>
                <w:szCs w:val="24"/>
              </w:rPr>
            </w:pPr>
            <w:r>
              <w:rPr>
                <w:rFonts w:ascii="宋体" w:hAnsi="宋体" w:eastAsia="宋体" w:cs="宋体"/>
                <w:b/>
                <w:bCs/>
                <w:spacing w:val="-15"/>
                <w:sz w:val="24"/>
                <w:szCs w:val="24"/>
              </w:rPr>
              <w:t>分</w:t>
            </w:r>
            <w:r>
              <w:rPr>
                <w:rFonts w:ascii="宋体" w:hAnsi="宋体" w:eastAsia="宋体" w:cs="宋体"/>
                <w:sz w:val="24"/>
                <w:szCs w:val="24"/>
              </w:rPr>
              <w:t xml:space="preserve"> </w:t>
            </w:r>
            <w:r>
              <w:rPr>
                <w:rFonts w:ascii="宋体" w:hAnsi="宋体" w:eastAsia="宋体" w:cs="宋体"/>
                <w:b/>
                <w:bCs/>
                <w:spacing w:val="-12"/>
                <w:sz w:val="24"/>
                <w:szCs w:val="24"/>
              </w:rPr>
              <w:t>值</w:t>
            </w:r>
          </w:p>
        </w:tc>
        <w:tc>
          <w:tcPr>
            <w:tcW w:w="7161" w:type="dxa"/>
            <w:tcBorders>
              <w:bottom w:val="single" w:color="000000" w:sz="4" w:space="0"/>
            </w:tcBorders>
            <w:vAlign w:val="top"/>
          </w:tcPr>
          <w:p w14:paraId="4C7C0F5F">
            <w:pPr>
              <w:spacing w:before="184" w:line="220" w:lineRule="auto"/>
              <w:ind w:left="3094"/>
              <w:rPr>
                <w:rFonts w:ascii="宋体" w:hAnsi="宋体" w:eastAsia="宋体" w:cs="宋体"/>
                <w:sz w:val="24"/>
                <w:szCs w:val="24"/>
              </w:rPr>
            </w:pPr>
            <w:r>
              <w:rPr>
                <w:rFonts w:ascii="宋体" w:hAnsi="宋体" w:eastAsia="宋体" w:cs="宋体"/>
                <w:b/>
                <w:bCs/>
                <w:spacing w:val="-4"/>
                <w:sz w:val="24"/>
                <w:szCs w:val="24"/>
              </w:rPr>
              <w:t>评分标准</w:t>
            </w:r>
          </w:p>
        </w:tc>
      </w:tr>
      <w:tr w14:paraId="4DD1D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88" w:type="dxa"/>
            <w:tcBorders>
              <w:right w:val="single" w:color="000000" w:sz="4" w:space="0"/>
            </w:tcBorders>
            <w:vAlign w:val="top"/>
          </w:tcPr>
          <w:p w14:paraId="19EF8B06">
            <w:pPr>
              <w:pStyle w:val="6"/>
              <w:spacing w:before="31" w:line="170" w:lineRule="auto"/>
              <w:ind w:left="108" w:firstLine="105"/>
            </w:pPr>
            <w:r>
              <w:rPr>
                <w:spacing w:val="-4"/>
                <w:w w:val="84"/>
              </w:rPr>
              <w:t>价</w:t>
            </w:r>
            <w:r>
              <w:t xml:space="preserve">    </w:t>
            </w:r>
            <w:r>
              <w:rPr>
                <w:spacing w:val="6"/>
                <w:w w:val="124"/>
              </w:rPr>
              <w:t>格</w:t>
            </w:r>
            <w:r>
              <w:t xml:space="preserve">    </w:t>
            </w:r>
            <w:r>
              <w:rPr>
                <w:spacing w:val="9"/>
                <w:w w:val="123"/>
              </w:rPr>
              <w:t>部</w:t>
            </w:r>
            <w:r>
              <w:t xml:space="preserve">    </w:t>
            </w:r>
            <w:r>
              <w:rPr>
                <w:spacing w:val="4"/>
                <w:w w:val="125"/>
              </w:rPr>
              <w:t>分</w:t>
            </w:r>
            <w:r>
              <w:t xml:space="preserve">    </w:t>
            </w:r>
            <w:r>
              <w:rPr>
                <w:spacing w:val="-19"/>
              </w:rPr>
              <w:t>（2</w:t>
            </w:r>
            <w:r>
              <w:t xml:space="preserve">    </w:t>
            </w:r>
            <w:r>
              <w:rPr>
                <w:spacing w:val="-19"/>
              </w:rPr>
              <w:t>0分）</w:t>
            </w:r>
          </w:p>
        </w:tc>
        <w:tc>
          <w:tcPr>
            <w:tcW w:w="1482" w:type="dxa"/>
            <w:tcBorders>
              <w:top w:val="single" w:color="000000" w:sz="4" w:space="0"/>
              <w:left w:val="single" w:color="000000" w:sz="4" w:space="0"/>
              <w:bottom w:val="single" w:color="000000" w:sz="4" w:space="0"/>
            </w:tcBorders>
            <w:vAlign w:val="top"/>
          </w:tcPr>
          <w:p w14:paraId="34B10936">
            <w:pPr>
              <w:spacing w:line="336" w:lineRule="auto"/>
              <w:rPr>
                <w:rFonts w:ascii="Arial"/>
                <w:sz w:val="21"/>
              </w:rPr>
            </w:pPr>
          </w:p>
          <w:p w14:paraId="3BD6F2AE">
            <w:pPr>
              <w:spacing w:line="337" w:lineRule="auto"/>
              <w:rPr>
                <w:rFonts w:ascii="Arial"/>
                <w:sz w:val="21"/>
              </w:rPr>
            </w:pPr>
          </w:p>
          <w:p w14:paraId="1D4FBF08">
            <w:pPr>
              <w:pStyle w:val="6"/>
              <w:spacing w:before="103" w:line="188" w:lineRule="auto"/>
              <w:ind w:left="505"/>
            </w:pPr>
            <w:r>
              <w:rPr>
                <w:spacing w:val="-4"/>
              </w:rPr>
              <w:t>报价</w:t>
            </w:r>
          </w:p>
        </w:tc>
        <w:tc>
          <w:tcPr>
            <w:tcW w:w="674" w:type="dxa"/>
            <w:tcBorders>
              <w:top w:val="single" w:color="000000" w:sz="4" w:space="0"/>
              <w:bottom w:val="single" w:color="000000" w:sz="4" w:space="0"/>
            </w:tcBorders>
            <w:vAlign w:val="top"/>
          </w:tcPr>
          <w:p w14:paraId="33CC35ED">
            <w:pPr>
              <w:spacing w:line="284" w:lineRule="auto"/>
              <w:rPr>
                <w:rFonts w:ascii="Arial"/>
                <w:sz w:val="21"/>
              </w:rPr>
            </w:pPr>
          </w:p>
          <w:p w14:paraId="10051482">
            <w:pPr>
              <w:spacing w:line="284" w:lineRule="auto"/>
              <w:rPr>
                <w:rFonts w:ascii="Arial"/>
                <w:sz w:val="21"/>
              </w:rPr>
            </w:pPr>
          </w:p>
          <w:p w14:paraId="0B95E627">
            <w:pPr>
              <w:pStyle w:val="6"/>
              <w:spacing w:before="103" w:line="179" w:lineRule="auto"/>
              <w:ind w:left="220" w:right="211" w:hanging="37"/>
            </w:pPr>
            <w:r>
              <w:rPr>
                <w:spacing w:val="-22"/>
                <w:w w:val="96"/>
              </w:rPr>
              <w:t>20</w:t>
            </w:r>
            <w:r>
              <w:rPr>
                <w:spacing w:val="1"/>
              </w:rPr>
              <w:t xml:space="preserve"> </w:t>
            </w:r>
            <w:r>
              <w:rPr>
                <w:spacing w:val="-2"/>
                <w:w w:val="93"/>
              </w:rPr>
              <w:t>分</w:t>
            </w:r>
          </w:p>
        </w:tc>
        <w:tc>
          <w:tcPr>
            <w:tcW w:w="7161" w:type="dxa"/>
            <w:tcBorders>
              <w:top w:val="single" w:color="000000" w:sz="4" w:space="0"/>
              <w:bottom w:val="single" w:color="000000" w:sz="4" w:space="0"/>
              <w:right w:val="single" w:color="000000" w:sz="4" w:space="0"/>
            </w:tcBorders>
            <w:vAlign w:val="top"/>
          </w:tcPr>
          <w:p w14:paraId="306F7687">
            <w:pPr>
              <w:spacing w:line="375" w:lineRule="auto"/>
              <w:rPr>
                <w:rFonts w:ascii="Arial"/>
                <w:sz w:val="21"/>
              </w:rPr>
            </w:pPr>
          </w:p>
          <w:p w14:paraId="5FF24775">
            <w:pPr>
              <w:pStyle w:val="6"/>
              <w:spacing w:before="103" w:line="175" w:lineRule="auto"/>
              <w:ind w:left="134"/>
            </w:pPr>
            <w:r>
              <w:rPr>
                <w:spacing w:val="-1"/>
              </w:rPr>
              <w:t>以满足招标文件要求且投标价格最低的投标报价为评</w:t>
            </w:r>
            <w:r>
              <w:rPr>
                <w:spacing w:val="-2"/>
              </w:rPr>
              <w:t>标基准价，其</w:t>
            </w:r>
          </w:p>
          <w:p w14:paraId="3D398EDA">
            <w:pPr>
              <w:pStyle w:val="6"/>
              <w:spacing w:before="1" w:line="174" w:lineRule="auto"/>
              <w:ind w:left="165"/>
            </w:pPr>
            <w:r>
              <w:rPr>
                <w:spacing w:val="-3"/>
              </w:rPr>
              <w:t>价格分为满分 20 分，其他投标人的价格分按照下列公式计算：投</w:t>
            </w:r>
          </w:p>
          <w:p w14:paraId="73954E93">
            <w:pPr>
              <w:pStyle w:val="6"/>
              <w:spacing w:line="183" w:lineRule="auto"/>
              <w:ind w:left="1003"/>
            </w:pPr>
            <w:r>
              <w:rPr>
                <w:spacing w:val="-7"/>
              </w:rPr>
              <w:t>标报价得分=（评标基准价/投标报价）×20*100%</w:t>
            </w:r>
          </w:p>
        </w:tc>
      </w:tr>
      <w:tr w14:paraId="2C358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 w:hRule="atLeast"/>
        </w:trPr>
        <w:tc>
          <w:tcPr>
            <w:tcW w:w="688" w:type="dxa"/>
            <w:vMerge w:val="restart"/>
            <w:tcBorders>
              <w:bottom w:val="nil"/>
              <w:right w:val="single" w:color="000000" w:sz="4" w:space="0"/>
            </w:tcBorders>
            <w:textDirection w:val="tbRlV"/>
            <w:vAlign w:val="top"/>
          </w:tcPr>
          <w:p w14:paraId="00EC0BCD">
            <w:pPr>
              <w:pStyle w:val="6"/>
              <w:spacing w:before="217" w:line="172" w:lineRule="auto"/>
              <w:ind w:left="682"/>
            </w:pPr>
            <w:r>
              <w:rPr>
                <w:spacing w:val="46"/>
              </w:rPr>
              <w:t>技术部分</w:t>
            </w:r>
          </w:p>
        </w:tc>
        <w:tc>
          <w:tcPr>
            <w:tcW w:w="1482" w:type="dxa"/>
            <w:tcBorders>
              <w:top w:val="single" w:color="000000" w:sz="4" w:space="0"/>
              <w:bottom w:val="single" w:color="000000" w:sz="4" w:space="0"/>
            </w:tcBorders>
            <w:vAlign w:val="top"/>
          </w:tcPr>
          <w:p w14:paraId="25D0F0B1">
            <w:pPr>
              <w:pStyle w:val="6"/>
              <w:spacing w:before="175" w:line="182" w:lineRule="auto"/>
              <w:ind w:left="619" w:right="137" w:hanging="478"/>
            </w:pPr>
            <w:r>
              <w:rPr>
                <w:spacing w:val="-4"/>
              </w:rPr>
              <w:t>技术服务指</w:t>
            </w:r>
            <w:r>
              <w:rPr>
                <w:spacing w:val="2"/>
              </w:rPr>
              <w:t xml:space="preserve"> </w:t>
            </w:r>
            <w:r>
              <w:t>标</w:t>
            </w:r>
          </w:p>
        </w:tc>
        <w:tc>
          <w:tcPr>
            <w:tcW w:w="674" w:type="dxa"/>
            <w:tcBorders>
              <w:top w:val="single" w:color="000000" w:sz="4" w:space="0"/>
              <w:bottom w:val="single" w:color="000000" w:sz="4" w:space="0"/>
            </w:tcBorders>
            <w:vAlign w:val="top"/>
          </w:tcPr>
          <w:p w14:paraId="44E7CE55">
            <w:pPr>
              <w:pStyle w:val="6"/>
              <w:spacing w:before="218" w:line="179" w:lineRule="auto"/>
              <w:ind w:left="220" w:right="211" w:hanging="37"/>
            </w:pPr>
            <w:r>
              <w:rPr>
                <w:spacing w:val="-22"/>
                <w:w w:val="96"/>
              </w:rPr>
              <w:t>20</w:t>
            </w:r>
            <w:r>
              <w:rPr>
                <w:spacing w:val="1"/>
              </w:rPr>
              <w:t xml:space="preserve"> </w:t>
            </w:r>
            <w:r>
              <w:rPr>
                <w:spacing w:val="-2"/>
                <w:w w:val="93"/>
              </w:rPr>
              <w:t>分</w:t>
            </w:r>
          </w:p>
        </w:tc>
        <w:tc>
          <w:tcPr>
            <w:tcW w:w="7161" w:type="dxa"/>
            <w:tcBorders>
              <w:top w:val="single" w:color="000000" w:sz="4" w:space="0"/>
            </w:tcBorders>
            <w:vAlign w:val="top"/>
          </w:tcPr>
          <w:p w14:paraId="4878C027">
            <w:pPr>
              <w:pStyle w:val="6"/>
              <w:spacing w:before="178" w:line="175" w:lineRule="auto"/>
              <w:ind w:left="113" w:right="98" w:hanging="2"/>
            </w:pPr>
            <w:r>
              <w:rPr>
                <w:spacing w:val="-2"/>
              </w:rPr>
              <w:t>采购需求及技术参数中未加标注★的项，</w:t>
            </w:r>
            <w:r>
              <w:rPr>
                <w:spacing w:val="-37"/>
              </w:rPr>
              <w:t xml:space="preserve"> </w:t>
            </w:r>
            <w:r>
              <w:rPr>
                <w:spacing w:val="-2"/>
              </w:rPr>
              <w:t>有一项负偏离扣 1 分，扣</w:t>
            </w:r>
            <w:r>
              <w:t xml:space="preserve"> </w:t>
            </w:r>
            <w:r>
              <w:rPr>
                <w:spacing w:val="-7"/>
              </w:rPr>
              <w:t>完本项分为止。</w:t>
            </w:r>
          </w:p>
        </w:tc>
      </w:tr>
      <w:tr w14:paraId="6DBBF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7" w:hRule="atLeast"/>
        </w:trPr>
        <w:tc>
          <w:tcPr>
            <w:tcW w:w="688" w:type="dxa"/>
            <w:vMerge w:val="continue"/>
            <w:tcBorders>
              <w:top w:val="nil"/>
              <w:right w:val="single" w:color="000000" w:sz="4" w:space="0"/>
            </w:tcBorders>
            <w:textDirection w:val="tbRlV"/>
            <w:vAlign w:val="top"/>
          </w:tcPr>
          <w:p w14:paraId="76164525">
            <w:pPr>
              <w:rPr>
                <w:rFonts w:ascii="Arial"/>
                <w:sz w:val="21"/>
              </w:rPr>
            </w:pPr>
          </w:p>
        </w:tc>
        <w:tc>
          <w:tcPr>
            <w:tcW w:w="1482" w:type="dxa"/>
            <w:tcBorders>
              <w:top w:val="single" w:color="000000" w:sz="4" w:space="0"/>
              <w:left w:val="single" w:color="000000" w:sz="4" w:space="0"/>
              <w:bottom w:val="single" w:color="000000" w:sz="4" w:space="0"/>
            </w:tcBorders>
            <w:vAlign w:val="top"/>
          </w:tcPr>
          <w:p w14:paraId="0E1B7F29">
            <w:pPr>
              <w:spacing w:line="293" w:lineRule="auto"/>
              <w:rPr>
                <w:rFonts w:ascii="Arial"/>
                <w:sz w:val="21"/>
              </w:rPr>
            </w:pPr>
          </w:p>
          <w:p w14:paraId="390A1CD6">
            <w:pPr>
              <w:spacing w:line="293" w:lineRule="auto"/>
              <w:rPr>
                <w:rFonts w:ascii="Arial"/>
                <w:sz w:val="21"/>
              </w:rPr>
            </w:pPr>
          </w:p>
          <w:p w14:paraId="464B2658">
            <w:pPr>
              <w:pStyle w:val="6"/>
              <w:spacing w:before="103" w:line="188" w:lineRule="auto"/>
              <w:ind w:left="266"/>
            </w:pPr>
            <w:r>
              <w:rPr>
                <w:spacing w:val="-4"/>
              </w:rPr>
              <w:t>技术方案</w:t>
            </w:r>
          </w:p>
        </w:tc>
        <w:tc>
          <w:tcPr>
            <w:tcW w:w="674" w:type="dxa"/>
            <w:tcBorders>
              <w:top w:val="single" w:color="000000" w:sz="4" w:space="0"/>
              <w:bottom w:val="single" w:color="000000" w:sz="4" w:space="0"/>
              <w:right w:val="single" w:color="000000" w:sz="4" w:space="0"/>
            </w:tcBorders>
            <w:vAlign w:val="top"/>
          </w:tcPr>
          <w:p w14:paraId="441EEBFC">
            <w:pPr>
              <w:spacing w:line="293" w:lineRule="auto"/>
              <w:rPr>
                <w:rFonts w:ascii="Arial"/>
                <w:sz w:val="21"/>
              </w:rPr>
            </w:pPr>
          </w:p>
          <w:p w14:paraId="75CA4AC8">
            <w:pPr>
              <w:spacing w:line="293" w:lineRule="auto"/>
              <w:rPr>
                <w:rFonts w:ascii="Arial"/>
                <w:sz w:val="21"/>
              </w:rPr>
            </w:pPr>
          </w:p>
          <w:p w14:paraId="722E4046">
            <w:pPr>
              <w:pStyle w:val="6"/>
              <w:spacing w:before="103" w:line="188" w:lineRule="auto"/>
              <w:ind w:left="126"/>
            </w:pPr>
            <w:r>
              <w:rPr>
                <w:spacing w:val="-13"/>
                <w:w w:val="97"/>
              </w:rPr>
              <w:t>7</w:t>
            </w:r>
            <w:r>
              <w:rPr>
                <w:spacing w:val="9"/>
              </w:rPr>
              <w:t xml:space="preserve"> </w:t>
            </w:r>
            <w:r>
              <w:rPr>
                <w:spacing w:val="-13"/>
                <w:w w:val="97"/>
              </w:rPr>
              <w:t>分</w:t>
            </w:r>
          </w:p>
        </w:tc>
        <w:tc>
          <w:tcPr>
            <w:tcW w:w="7161" w:type="dxa"/>
            <w:tcBorders>
              <w:left w:val="single" w:color="000000" w:sz="4" w:space="0"/>
            </w:tcBorders>
            <w:vAlign w:val="top"/>
          </w:tcPr>
          <w:p w14:paraId="27B65CFF">
            <w:pPr>
              <w:pStyle w:val="6"/>
              <w:spacing w:before="92" w:line="175" w:lineRule="auto"/>
              <w:ind w:left="114" w:right="98" w:firstLine="1"/>
              <w:jc w:val="both"/>
            </w:pPr>
            <w:r>
              <w:rPr>
                <w:spacing w:val="-1"/>
              </w:rPr>
              <w:t>根据供应商递交的技术方案里，针对本项目主要需求理解、现状分</w:t>
            </w:r>
            <w:r>
              <w:t xml:space="preserve"> </w:t>
            </w:r>
            <w:r>
              <w:rPr>
                <w:spacing w:val="-1"/>
              </w:rPr>
              <w:t>析、技术架构、功能模块、模块功能描述、接口标准、软件界面进</w:t>
            </w:r>
            <w:r>
              <w:rPr>
                <w:spacing w:val="1"/>
              </w:rPr>
              <w:t xml:space="preserve"> </w:t>
            </w:r>
            <w:r>
              <w:rPr>
                <w:spacing w:val="-7"/>
              </w:rPr>
              <w:t>行综合评价。</w:t>
            </w:r>
          </w:p>
          <w:p w14:paraId="22E366C7">
            <w:pPr>
              <w:pStyle w:val="6"/>
              <w:spacing w:line="176" w:lineRule="auto"/>
              <w:ind w:left="117" w:right="158" w:firstLine="2"/>
            </w:pPr>
            <w:r>
              <w:rPr>
                <w:spacing w:val="-7"/>
              </w:rPr>
              <w:t>方案中以上 7 项内容，</w:t>
            </w:r>
            <w:r>
              <w:rPr>
                <w:spacing w:val="-49"/>
              </w:rPr>
              <w:t xml:space="preserve"> </w:t>
            </w:r>
            <w:r>
              <w:rPr>
                <w:spacing w:val="-7"/>
              </w:rPr>
              <w:t>每提供</w:t>
            </w:r>
            <w:r>
              <w:rPr>
                <w:spacing w:val="16"/>
              </w:rPr>
              <w:t xml:space="preserve"> </w:t>
            </w:r>
            <w:r>
              <w:rPr>
                <w:spacing w:val="-7"/>
              </w:rPr>
              <w:t>1 项得</w:t>
            </w:r>
            <w:r>
              <w:rPr>
                <w:spacing w:val="15"/>
              </w:rPr>
              <w:t xml:space="preserve"> </w:t>
            </w:r>
            <w:r>
              <w:rPr>
                <w:spacing w:val="-7"/>
              </w:rPr>
              <w:t>1 分，不提</w:t>
            </w:r>
            <w:r>
              <w:rPr>
                <w:spacing w:val="-8"/>
              </w:rPr>
              <w:t>供不得分，满分 7</w:t>
            </w:r>
            <w:r>
              <w:t xml:space="preserve"> </w:t>
            </w:r>
            <w:r>
              <w:rPr>
                <w:spacing w:val="-13"/>
              </w:rPr>
              <w:t>分。</w:t>
            </w:r>
          </w:p>
        </w:tc>
      </w:tr>
    </w:tbl>
    <w:p w14:paraId="219B4D9E">
      <w:pPr>
        <w:pStyle w:val="2"/>
        <w:spacing w:line="268" w:lineRule="auto"/>
      </w:pPr>
    </w:p>
    <w:p w14:paraId="0AF1B002">
      <w:pPr>
        <w:pStyle w:val="2"/>
        <w:spacing w:line="268" w:lineRule="auto"/>
      </w:pPr>
    </w:p>
    <w:p w14:paraId="375E05DA">
      <w:pPr>
        <w:pStyle w:val="2"/>
        <w:spacing w:line="268" w:lineRule="auto"/>
      </w:pPr>
    </w:p>
    <w:p w14:paraId="7D933C45">
      <w:pPr>
        <w:pStyle w:val="2"/>
        <w:spacing w:line="269" w:lineRule="auto"/>
      </w:pPr>
    </w:p>
    <w:p w14:paraId="4724FDFD">
      <w:pPr>
        <w:spacing w:before="62" w:line="209" w:lineRule="auto"/>
        <w:ind w:left="181"/>
        <w:rPr>
          <w:rFonts w:ascii="宋体" w:hAnsi="宋体" w:eastAsia="宋体" w:cs="宋体"/>
          <w:sz w:val="19"/>
          <w:szCs w:val="19"/>
        </w:rPr>
        <w:sectPr>
          <w:headerReference r:id="rId83" w:type="default"/>
          <w:pgSz w:w="11905" w:h="16839"/>
          <w:pgMar w:top="1136" w:right="786" w:bottom="400" w:left="1093" w:header="854" w:footer="0" w:gutter="0"/>
          <w:cols w:space="720" w:num="1"/>
        </w:sectPr>
      </w:pPr>
      <w:r>
        <w:pict>
          <v:shape id="_x0000_s1071" o:spid="_x0000_s1071" style="position:absolute;left:0pt;margin-left:3.6pt;margin-top:11.8pt;height:0.75pt;width:494pt;z-index:251734016;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90                                </w:t>
      </w:r>
      <w:r>
        <w:rPr>
          <w:rFonts w:ascii="宋体" w:hAnsi="宋体" w:eastAsia="宋体" w:cs="宋体"/>
          <w:b/>
          <w:bCs/>
          <w:i/>
          <w:iCs/>
          <w:spacing w:val="-3"/>
          <w:sz w:val="19"/>
          <w:szCs w:val="19"/>
        </w:rPr>
        <w:t>伊犁州公共资源交易中心</w:t>
      </w:r>
    </w:p>
    <w:p w14:paraId="38A5F926">
      <w:pPr>
        <w:spacing w:before="38"/>
      </w:pPr>
    </w:p>
    <w:p w14:paraId="7D4160B8">
      <w:pPr>
        <w:spacing w:before="38"/>
      </w:pPr>
    </w:p>
    <w:p w14:paraId="356BA49C">
      <w:pPr>
        <w:spacing w:before="38"/>
      </w:pPr>
    </w:p>
    <w:tbl>
      <w:tblPr>
        <w:tblStyle w:val="5"/>
        <w:tblW w:w="1000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8"/>
        <w:gridCol w:w="1482"/>
        <w:gridCol w:w="674"/>
        <w:gridCol w:w="7161"/>
      </w:tblGrid>
      <w:tr w14:paraId="6DBF3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88" w:type="dxa"/>
            <w:vMerge w:val="restart"/>
            <w:tcBorders>
              <w:top w:val="nil"/>
              <w:bottom w:val="nil"/>
            </w:tcBorders>
            <w:vAlign w:val="top"/>
          </w:tcPr>
          <w:p w14:paraId="00BE40D9">
            <w:pPr>
              <w:rPr>
                <w:rFonts w:ascii="Arial"/>
                <w:sz w:val="21"/>
              </w:rPr>
            </w:pPr>
          </w:p>
        </w:tc>
        <w:tc>
          <w:tcPr>
            <w:tcW w:w="1482" w:type="dxa"/>
            <w:tcBorders>
              <w:top w:val="single" w:color="000000" w:sz="4" w:space="0"/>
              <w:bottom w:val="single" w:color="000000" w:sz="4" w:space="0"/>
            </w:tcBorders>
            <w:vAlign w:val="top"/>
          </w:tcPr>
          <w:p w14:paraId="5951835D">
            <w:pPr>
              <w:spacing w:line="270" w:lineRule="auto"/>
              <w:rPr>
                <w:rFonts w:ascii="Arial"/>
                <w:sz w:val="21"/>
              </w:rPr>
            </w:pPr>
          </w:p>
          <w:p w14:paraId="1ACB9AE9">
            <w:pPr>
              <w:spacing w:line="270" w:lineRule="auto"/>
              <w:rPr>
                <w:rFonts w:ascii="Arial"/>
                <w:sz w:val="21"/>
              </w:rPr>
            </w:pPr>
          </w:p>
          <w:p w14:paraId="38BFD59B">
            <w:pPr>
              <w:spacing w:line="270" w:lineRule="auto"/>
              <w:rPr>
                <w:rFonts w:ascii="Arial"/>
                <w:sz w:val="21"/>
              </w:rPr>
            </w:pPr>
          </w:p>
          <w:p w14:paraId="3304D747">
            <w:pPr>
              <w:spacing w:line="271" w:lineRule="auto"/>
              <w:rPr>
                <w:rFonts w:ascii="Arial"/>
                <w:sz w:val="21"/>
              </w:rPr>
            </w:pPr>
          </w:p>
          <w:p w14:paraId="65D7C617">
            <w:pPr>
              <w:spacing w:line="271" w:lineRule="auto"/>
              <w:rPr>
                <w:rFonts w:ascii="Arial"/>
                <w:sz w:val="21"/>
              </w:rPr>
            </w:pPr>
          </w:p>
          <w:p w14:paraId="4C3C19A3">
            <w:pPr>
              <w:pStyle w:val="6"/>
              <w:spacing w:before="103" w:line="182" w:lineRule="auto"/>
              <w:ind w:left="621" w:right="137" w:hanging="480"/>
            </w:pPr>
            <w:r>
              <w:rPr>
                <w:spacing w:val="-4"/>
              </w:rPr>
              <w:t>项目实施方</w:t>
            </w:r>
            <w:r>
              <w:rPr>
                <w:spacing w:val="2"/>
              </w:rPr>
              <w:t xml:space="preserve"> </w:t>
            </w:r>
            <w:r>
              <w:t>案</w:t>
            </w:r>
          </w:p>
        </w:tc>
        <w:tc>
          <w:tcPr>
            <w:tcW w:w="674" w:type="dxa"/>
            <w:tcBorders>
              <w:top w:val="single" w:color="000000" w:sz="4" w:space="0"/>
              <w:bottom w:val="single" w:color="000000" w:sz="4" w:space="0"/>
            </w:tcBorders>
            <w:vAlign w:val="top"/>
          </w:tcPr>
          <w:p w14:paraId="53280145">
            <w:pPr>
              <w:spacing w:line="279" w:lineRule="auto"/>
              <w:rPr>
                <w:rFonts w:ascii="Arial"/>
                <w:sz w:val="21"/>
              </w:rPr>
            </w:pPr>
          </w:p>
          <w:p w14:paraId="2A41ED10">
            <w:pPr>
              <w:spacing w:line="279" w:lineRule="auto"/>
              <w:rPr>
                <w:rFonts w:ascii="Arial"/>
                <w:sz w:val="21"/>
              </w:rPr>
            </w:pPr>
          </w:p>
          <w:p w14:paraId="1208F90D">
            <w:pPr>
              <w:spacing w:line="279" w:lineRule="auto"/>
              <w:rPr>
                <w:rFonts w:ascii="Arial"/>
                <w:sz w:val="21"/>
              </w:rPr>
            </w:pPr>
          </w:p>
          <w:p w14:paraId="4903A4AA">
            <w:pPr>
              <w:spacing w:line="280" w:lineRule="auto"/>
              <w:rPr>
                <w:rFonts w:ascii="Arial"/>
                <w:sz w:val="21"/>
              </w:rPr>
            </w:pPr>
          </w:p>
          <w:p w14:paraId="06BE6653">
            <w:pPr>
              <w:spacing w:line="280" w:lineRule="auto"/>
              <w:rPr>
                <w:rFonts w:ascii="Arial"/>
                <w:sz w:val="21"/>
              </w:rPr>
            </w:pPr>
          </w:p>
          <w:p w14:paraId="31FF91A1">
            <w:pPr>
              <w:pStyle w:val="6"/>
              <w:spacing w:before="103" w:line="180" w:lineRule="auto"/>
              <w:ind w:left="220" w:right="211" w:hanging="22"/>
            </w:pPr>
            <w:r>
              <w:rPr>
                <w:spacing w:val="-34"/>
              </w:rPr>
              <w:t>12</w:t>
            </w:r>
            <w:r>
              <w:t xml:space="preserve"> </w:t>
            </w:r>
            <w:r>
              <w:rPr>
                <w:spacing w:val="-2"/>
                <w:w w:val="93"/>
              </w:rPr>
              <w:t>分</w:t>
            </w:r>
          </w:p>
        </w:tc>
        <w:tc>
          <w:tcPr>
            <w:tcW w:w="7161" w:type="dxa"/>
            <w:tcBorders>
              <w:top w:val="nil"/>
            </w:tcBorders>
            <w:vAlign w:val="top"/>
          </w:tcPr>
          <w:p w14:paraId="19A8C43E">
            <w:pPr>
              <w:pStyle w:val="6"/>
              <w:spacing w:before="176" w:line="187" w:lineRule="auto"/>
              <w:ind w:left="109" w:right="98" w:firstLine="11"/>
            </w:pPr>
            <w:r>
              <w:t>1、实施方案：</w:t>
            </w:r>
            <w:r>
              <w:rPr>
                <w:spacing w:val="-43"/>
              </w:rPr>
              <w:t xml:space="preserve"> </w:t>
            </w:r>
            <w:r>
              <w:t>投标人具有完备的项目实施方案，</w:t>
            </w:r>
            <w:r>
              <w:rPr>
                <w:spacing w:val="-39"/>
              </w:rPr>
              <w:t xml:space="preserve"> </w:t>
            </w:r>
            <w:r>
              <w:t xml:space="preserve">包含但不限于① </w:t>
            </w:r>
            <w:r>
              <w:rPr>
                <w:spacing w:val="-1"/>
              </w:rPr>
              <w:t>项目实施计划及控制（项目质量控制、项目进度控制、项目风险控</w:t>
            </w:r>
            <w:r>
              <w:rPr>
                <w:spacing w:val="1"/>
              </w:rPr>
              <w:t xml:space="preserve"> </w:t>
            </w:r>
            <w:r>
              <w:rPr>
                <w:spacing w:val="-2"/>
              </w:rPr>
              <w:t>制</w:t>
            </w:r>
            <w:r>
              <w:rPr>
                <w:spacing w:val="4"/>
              </w:rPr>
              <w:t>），</w:t>
            </w:r>
            <w:r>
              <w:rPr>
                <w:spacing w:val="-2"/>
              </w:rPr>
              <w:t>②升级改造调试及验收方案、③软件接口方案和网络安全及</w:t>
            </w:r>
            <w:r>
              <w:rPr>
                <w:spacing w:val="1"/>
              </w:rPr>
              <w:t xml:space="preserve"> </w:t>
            </w:r>
            <w:r>
              <w:rPr>
                <w:spacing w:val="-1"/>
              </w:rPr>
              <w:t>数据安全保障方案、④故障处理服务方案、⑤优惠措施等方面进行</w:t>
            </w:r>
            <w:r>
              <w:rPr>
                <w:spacing w:val="1"/>
              </w:rPr>
              <w:t xml:space="preserve"> </w:t>
            </w:r>
            <w:r>
              <w:rPr>
                <w:spacing w:val="-5"/>
              </w:rPr>
              <w:t>综合评分。方案中以上 5 项内容，</w:t>
            </w:r>
            <w:r>
              <w:rPr>
                <w:spacing w:val="-48"/>
              </w:rPr>
              <w:t xml:space="preserve"> </w:t>
            </w:r>
            <w:r>
              <w:rPr>
                <w:spacing w:val="-5"/>
              </w:rPr>
              <w:t>每提供 1 项得 2 分，不</w:t>
            </w:r>
            <w:r>
              <w:rPr>
                <w:spacing w:val="-6"/>
              </w:rPr>
              <w:t>提供不得</w:t>
            </w:r>
            <w:r>
              <w:t xml:space="preserve"> </w:t>
            </w:r>
            <w:r>
              <w:rPr>
                <w:spacing w:val="-12"/>
              </w:rPr>
              <w:t>分，满分</w:t>
            </w:r>
            <w:r>
              <w:rPr>
                <w:spacing w:val="21"/>
                <w:w w:val="101"/>
              </w:rPr>
              <w:t xml:space="preserve"> </w:t>
            </w:r>
            <w:r>
              <w:rPr>
                <w:spacing w:val="-12"/>
              </w:rPr>
              <w:t>10 分。</w:t>
            </w:r>
          </w:p>
          <w:p w14:paraId="66F32AD4">
            <w:pPr>
              <w:pStyle w:val="6"/>
              <w:spacing w:before="4" w:line="186" w:lineRule="auto"/>
              <w:ind w:left="110" w:right="98" w:hanging="5"/>
            </w:pPr>
            <w:r>
              <w:t>2、实施团队人员配置，</w:t>
            </w:r>
            <w:r>
              <w:rPr>
                <w:spacing w:val="-27"/>
              </w:rPr>
              <w:t xml:space="preserve"> </w:t>
            </w:r>
            <w:r>
              <w:t>包含但不限于：</w:t>
            </w:r>
            <w:r>
              <w:rPr>
                <w:spacing w:val="-40"/>
              </w:rPr>
              <w:t xml:space="preserve"> </w:t>
            </w:r>
            <w:r>
              <w:t xml:space="preserve">具有系统集成项目管理工 </w:t>
            </w:r>
            <w:r>
              <w:rPr>
                <w:spacing w:val="-11"/>
              </w:rPr>
              <w:t>程师证书的得</w:t>
            </w:r>
            <w:r>
              <w:rPr>
                <w:spacing w:val="15"/>
              </w:rPr>
              <w:t xml:space="preserve"> </w:t>
            </w:r>
            <w:r>
              <w:rPr>
                <w:spacing w:val="-11"/>
              </w:rPr>
              <w:t>1 分；</w:t>
            </w:r>
            <w:r>
              <w:rPr>
                <w:spacing w:val="-47"/>
              </w:rPr>
              <w:t xml:space="preserve"> </w:t>
            </w:r>
            <w:r>
              <w:rPr>
                <w:spacing w:val="-11"/>
              </w:rPr>
              <w:t>具有 PMP 证书的得</w:t>
            </w:r>
            <w:r>
              <w:rPr>
                <w:spacing w:val="15"/>
              </w:rPr>
              <w:t xml:space="preserve"> </w:t>
            </w:r>
            <w:r>
              <w:rPr>
                <w:spacing w:val="-11"/>
              </w:rPr>
              <w:t>1 分；</w:t>
            </w:r>
            <w:r>
              <w:rPr>
                <w:spacing w:val="-47"/>
              </w:rPr>
              <w:t xml:space="preserve"> </w:t>
            </w:r>
            <w:r>
              <w:rPr>
                <w:spacing w:val="-12"/>
              </w:rPr>
              <w:t>具有高级数据库管理</w:t>
            </w:r>
            <w:r>
              <w:t xml:space="preserve"> </w:t>
            </w:r>
            <w:r>
              <w:rPr>
                <w:spacing w:val="-5"/>
              </w:rPr>
              <w:t>工程师证书的得 1 分；</w:t>
            </w:r>
            <w:r>
              <w:rPr>
                <w:spacing w:val="-48"/>
              </w:rPr>
              <w:t xml:space="preserve"> </w:t>
            </w:r>
            <w:r>
              <w:rPr>
                <w:spacing w:val="-5"/>
              </w:rPr>
              <w:t>具有高级软件工程师证书的得 1 分，以上 4</w:t>
            </w:r>
            <w:r>
              <w:t xml:space="preserve">  </w:t>
            </w:r>
            <w:r>
              <w:rPr>
                <w:spacing w:val="-4"/>
              </w:rPr>
              <w:t>项可任意提供两项，最高得 2 分。</w:t>
            </w:r>
          </w:p>
        </w:tc>
      </w:tr>
      <w:tr w14:paraId="6C36D7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78" w:hRule="atLeast"/>
        </w:trPr>
        <w:tc>
          <w:tcPr>
            <w:tcW w:w="688" w:type="dxa"/>
            <w:vMerge w:val="continue"/>
            <w:tcBorders>
              <w:top w:val="nil"/>
              <w:bottom w:val="nil"/>
            </w:tcBorders>
            <w:vAlign w:val="top"/>
          </w:tcPr>
          <w:p w14:paraId="290301C9">
            <w:pPr>
              <w:rPr>
                <w:rFonts w:ascii="Arial"/>
                <w:sz w:val="21"/>
              </w:rPr>
            </w:pPr>
          </w:p>
        </w:tc>
        <w:tc>
          <w:tcPr>
            <w:tcW w:w="1482" w:type="dxa"/>
            <w:tcBorders>
              <w:top w:val="single" w:color="000000" w:sz="4" w:space="0"/>
              <w:bottom w:val="single" w:color="000000" w:sz="4" w:space="0"/>
            </w:tcBorders>
            <w:vAlign w:val="top"/>
          </w:tcPr>
          <w:p w14:paraId="7E48555E">
            <w:pPr>
              <w:spacing w:line="287" w:lineRule="auto"/>
              <w:rPr>
                <w:rFonts w:ascii="Arial"/>
                <w:sz w:val="21"/>
              </w:rPr>
            </w:pPr>
          </w:p>
          <w:p w14:paraId="46FD86AC">
            <w:pPr>
              <w:spacing w:line="288" w:lineRule="auto"/>
              <w:rPr>
                <w:rFonts w:ascii="Arial"/>
                <w:sz w:val="21"/>
              </w:rPr>
            </w:pPr>
          </w:p>
          <w:p w14:paraId="629D17E3">
            <w:pPr>
              <w:spacing w:line="288" w:lineRule="auto"/>
              <w:rPr>
                <w:rFonts w:ascii="Arial"/>
                <w:sz w:val="21"/>
              </w:rPr>
            </w:pPr>
          </w:p>
          <w:p w14:paraId="76EEBBA1">
            <w:pPr>
              <w:pStyle w:val="6"/>
              <w:spacing w:before="103" w:line="182" w:lineRule="auto"/>
              <w:ind w:left="620" w:right="137" w:hanging="480"/>
            </w:pPr>
            <w:r>
              <w:rPr>
                <w:spacing w:val="-4"/>
              </w:rPr>
              <w:t>应急处理预</w:t>
            </w:r>
            <w:r>
              <w:rPr>
                <w:spacing w:val="3"/>
              </w:rPr>
              <w:t xml:space="preserve"> </w:t>
            </w:r>
            <w:r>
              <w:t>案</w:t>
            </w:r>
          </w:p>
        </w:tc>
        <w:tc>
          <w:tcPr>
            <w:tcW w:w="674" w:type="dxa"/>
            <w:tcBorders>
              <w:top w:val="single" w:color="000000" w:sz="4" w:space="0"/>
              <w:bottom w:val="single" w:color="000000" w:sz="4" w:space="0"/>
            </w:tcBorders>
            <w:vAlign w:val="top"/>
          </w:tcPr>
          <w:p w14:paraId="6A2A9681">
            <w:pPr>
              <w:spacing w:line="253" w:lineRule="auto"/>
              <w:rPr>
                <w:rFonts w:ascii="Arial"/>
                <w:sz w:val="21"/>
              </w:rPr>
            </w:pPr>
          </w:p>
          <w:p w14:paraId="7D345D53">
            <w:pPr>
              <w:spacing w:line="253" w:lineRule="auto"/>
              <w:rPr>
                <w:rFonts w:ascii="Arial"/>
                <w:sz w:val="21"/>
              </w:rPr>
            </w:pPr>
          </w:p>
          <w:p w14:paraId="6D817D63">
            <w:pPr>
              <w:spacing w:line="254" w:lineRule="auto"/>
              <w:rPr>
                <w:rFonts w:ascii="Arial"/>
                <w:sz w:val="21"/>
              </w:rPr>
            </w:pPr>
          </w:p>
          <w:p w14:paraId="2EFA22DC">
            <w:pPr>
              <w:spacing w:line="254" w:lineRule="auto"/>
              <w:rPr>
                <w:rFonts w:ascii="Arial"/>
                <w:sz w:val="21"/>
              </w:rPr>
            </w:pPr>
          </w:p>
          <w:p w14:paraId="3C201B1B">
            <w:pPr>
              <w:pStyle w:val="6"/>
              <w:spacing w:before="103" w:line="188" w:lineRule="auto"/>
              <w:ind w:left="125"/>
            </w:pPr>
            <w:r>
              <w:rPr>
                <w:spacing w:val="-17"/>
              </w:rPr>
              <w:t>5</w:t>
            </w:r>
            <w:r>
              <w:rPr>
                <w:spacing w:val="7"/>
              </w:rPr>
              <w:t xml:space="preserve"> </w:t>
            </w:r>
            <w:r>
              <w:rPr>
                <w:spacing w:val="-17"/>
              </w:rPr>
              <w:t>分</w:t>
            </w:r>
          </w:p>
        </w:tc>
        <w:tc>
          <w:tcPr>
            <w:tcW w:w="7161" w:type="dxa"/>
            <w:tcBorders>
              <w:bottom w:val="single" w:color="000000" w:sz="4" w:space="0"/>
            </w:tcBorders>
            <w:vAlign w:val="top"/>
          </w:tcPr>
          <w:p w14:paraId="04B7C94F">
            <w:pPr>
              <w:pStyle w:val="6"/>
              <w:spacing w:before="72" w:line="175" w:lineRule="auto"/>
              <w:ind w:left="114" w:right="125" w:hanging="5"/>
              <w:jc w:val="both"/>
            </w:pPr>
            <w:r>
              <w:rPr>
                <w:spacing w:val="-1"/>
              </w:rPr>
              <w:t>针对本项目实施运行和系统使用过程中可能发生的突发事件或故</w:t>
            </w:r>
            <w:r>
              <w:rPr>
                <w:spacing w:val="2"/>
              </w:rPr>
              <w:t xml:space="preserve">    </w:t>
            </w:r>
            <w:r>
              <w:rPr>
                <w:spacing w:val="-2"/>
              </w:rPr>
              <w:t>障所编制的应急处理方案，应急处理预案方案中具备：明确</w:t>
            </w:r>
            <w:r>
              <w:rPr>
                <w:spacing w:val="-3"/>
              </w:rPr>
              <w:t>目标、</w:t>
            </w:r>
            <w:r>
              <w:t xml:space="preserve"> </w:t>
            </w:r>
            <w:r>
              <w:rPr>
                <w:spacing w:val="-2"/>
              </w:rPr>
              <w:t>原则制度、应急策略，应急演练流程、突发事件分级分类。</w:t>
            </w:r>
          </w:p>
          <w:p w14:paraId="70ECD1A5">
            <w:pPr>
              <w:pStyle w:val="6"/>
              <w:spacing w:before="1" w:line="174" w:lineRule="auto"/>
              <w:ind w:left="112" w:right="16" w:firstLine="261"/>
            </w:pPr>
            <w:r>
              <w:rPr>
                <w:spacing w:val="-5"/>
              </w:rPr>
              <w:t>以上 5 项内容都包含且满足采购需求的得 5 分；</w:t>
            </w:r>
            <w:r>
              <w:rPr>
                <w:spacing w:val="-44"/>
              </w:rPr>
              <w:t xml:space="preserve"> </w:t>
            </w:r>
            <w:r>
              <w:rPr>
                <w:spacing w:val="-5"/>
              </w:rPr>
              <w:t>每缺</w:t>
            </w:r>
            <w:r>
              <w:rPr>
                <w:spacing w:val="-6"/>
              </w:rPr>
              <w:t>少一项内容</w:t>
            </w:r>
            <w:r>
              <w:t xml:space="preserve">  </w:t>
            </w:r>
            <w:r>
              <w:rPr>
                <w:spacing w:val="-8"/>
              </w:rPr>
              <w:t>或内容存在缺陷的扣</w:t>
            </w:r>
            <w:r>
              <w:rPr>
                <w:spacing w:val="16"/>
              </w:rPr>
              <w:t xml:space="preserve"> </w:t>
            </w:r>
            <w:r>
              <w:rPr>
                <w:spacing w:val="-8"/>
              </w:rPr>
              <w:t>1 分，扣完为止，未提供不得分。（缺陷是指：</w:t>
            </w:r>
            <w:r>
              <w:t xml:space="preserve"> </w:t>
            </w:r>
            <w:r>
              <w:rPr>
                <w:spacing w:val="-1"/>
              </w:rPr>
              <w:t>存在不适用该项目实际情况的情形、凭空编造、内容前后不一致、</w:t>
            </w:r>
            <w:r>
              <w:rPr>
                <w:spacing w:val="4"/>
              </w:rPr>
              <w:t xml:space="preserve">  </w:t>
            </w:r>
            <w:r>
              <w:rPr>
                <w:spacing w:val="-6"/>
              </w:rPr>
              <w:t>前后逻辑错误、涉及的规范及标准错误、地点</w:t>
            </w:r>
            <w:r>
              <w:rPr>
                <w:spacing w:val="-7"/>
              </w:rPr>
              <w:t>区域错误、内容缺失、</w:t>
            </w:r>
            <w:r>
              <w:t xml:space="preserve"> </w:t>
            </w:r>
            <w:r>
              <w:rPr>
                <w:spacing w:val="-3"/>
              </w:rPr>
              <w:t>不符合采购需求的任意一项）</w:t>
            </w:r>
          </w:p>
        </w:tc>
      </w:tr>
      <w:tr w14:paraId="25F4C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6" w:hRule="atLeast"/>
        </w:trPr>
        <w:tc>
          <w:tcPr>
            <w:tcW w:w="688" w:type="dxa"/>
            <w:vMerge w:val="continue"/>
            <w:tcBorders>
              <w:top w:val="nil"/>
            </w:tcBorders>
            <w:vAlign w:val="top"/>
          </w:tcPr>
          <w:p w14:paraId="28DEDC61">
            <w:pPr>
              <w:rPr>
                <w:rFonts w:ascii="Arial"/>
                <w:sz w:val="21"/>
              </w:rPr>
            </w:pPr>
          </w:p>
        </w:tc>
        <w:tc>
          <w:tcPr>
            <w:tcW w:w="1482" w:type="dxa"/>
            <w:tcBorders>
              <w:top w:val="single" w:color="000000" w:sz="4" w:space="0"/>
              <w:bottom w:val="single" w:color="000000" w:sz="4" w:space="0"/>
            </w:tcBorders>
            <w:vAlign w:val="top"/>
          </w:tcPr>
          <w:p w14:paraId="33CEF5C6">
            <w:pPr>
              <w:spacing w:line="294" w:lineRule="auto"/>
              <w:rPr>
                <w:rFonts w:ascii="Arial"/>
                <w:sz w:val="21"/>
              </w:rPr>
            </w:pPr>
          </w:p>
          <w:p w14:paraId="5BE160BD">
            <w:pPr>
              <w:spacing w:line="294" w:lineRule="auto"/>
              <w:rPr>
                <w:rFonts w:ascii="Arial"/>
                <w:sz w:val="21"/>
              </w:rPr>
            </w:pPr>
          </w:p>
          <w:p w14:paraId="7F2B8FF9">
            <w:pPr>
              <w:spacing w:line="294" w:lineRule="auto"/>
              <w:rPr>
                <w:rFonts w:ascii="Arial"/>
                <w:sz w:val="21"/>
              </w:rPr>
            </w:pPr>
          </w:p>
          <w:p w14:paraId="6FCF3ABF">
            <w:pPr>
              <w:spacing w:line="294" w:lineRule="auto"/>
              <w:rPr>
                <w:rFonts w:ascii="Arial"/>
                <w:sz w:val="21"/>
              </w:rPr>
            </w:pPr>
          </w:p>
          <w:p w14:paraId="6B527A04">
            <w:pPr>
              <w:pStyle w:val="6"/>
              <w:spacing w:before="103" w:line="188" w:lineRule="auto"/>
              <w:ind w:left="261"/>
            </w:pPr>
            <w:r>
              <w:rPr>
                <w:spacing w:val="-4"/>
              </w:rPr>
              <w:t>培训方案</w:t>
            </w:r>
          </w:p>
        </w:tc>
        <w:tc>
          <w:tcPr>
            <w:tcW w:w="674" w:type="dxa"/>
            <w:tcBorders>
              <w:top w:val="single" w:color="000000" w:sz="4" w:space="0"/>
              <w:bottom w:val="single" w:color="000000" w:sz="4" w:space="0"/>
              <w:right w:val="single" w:color="000000" w:sz="4" w:space="0"/>
            </w:tcBorders>
            <w:vAlign w:val="top"/>
          </w:tcPr>
          <w:p w14:paraId="1D3CB60A">
            <w:pPr>
              <w:spacing w:line="293" w:lineRule="auto"/>
              <w:rPr>
                <w:rFonts w:ascii="Arial"/>
                <w:sz w:val="21"/>
              </w:rPr>
            </w:pPr>
          </w:p>
          <w:p w14:paraId="5E947228">
            <w:pPr>
              <w:spacing w:line="294" w:lineRule="auto"/>
              <w:rPr>
                <w:rFonts w:ascii="Arial"/>
                <w:sz w:val="21"/>
              </w:rPr>
            </w:pPr>
          </w:p>
          <w:p w14:paraId="4FD1D576">
            <w:pPr>
              <w:spacing w:line="294" w:lineRule="auto"/>
              <w:rPr>
                <w:rFonts w:ascii="Arial"/>
                <w:sz w:val="21"/>
              </w:rPr>
            </w:pPr>
          </w:p>
          <w:p w14:paraId="7EB35474">
            <w:pPr>
              <w:spacing w:line="294" w:lineRule="auto"/>
              <w:rPr>
                <w:rFonts w:ascii="Arial"/>
                <w:sz w:val="21"/>
              </w:rPr>
            </w:pPr>
          </w:p>
          <w:p w14:paraId="62B67868">
            <w:pPr>
              <w:pStyle w:val="6"/>
              <w:spacing w:before="103" w:line="188" w:lineRule="auto"/>
              <w:ind w:left="125"/>
            </w:pPr>
            <w:r>
              <w:rPr>
                <w:spacing w:val="-17"/>
              </w:rPr>
              <w:t>5</w:t>
            </w:r>
            <w:r>
              <w:rPr>
                <w:spacing w:val="7"/>
              </w:rPr>
              <w:t xml:space="preserve"> </w:t>
            </w:r>
            <w:r>
              <w:rPr>
                <w:spacing w:val="-17"/>
              </w:rPr>
              <w:t>分</w:t>
            </w:r>
          </w:p>
        </w:tc>
        <w:tc>
          <w:tcPr>
            <w:tcW w:w="7161" w:type="dxa"/>
            <w:tcBorders>
              <w:top w:val="single" w:color="000000" w:sz="4" w:space="0"/>
              <w:left w:val="single" w:color="000000" w:sz="4" w:space="0"/>
            </w:tcBorders>
            <w:vAlign w:val="top"/>
          </w:tcPr>
          <w:p w14:paraId="10BF3491">
            <w:pPr>
              <w:pStyle w:val="6"/>
              <w:spacing w:before="63" w:line="184" w:lineRule="auto"/>
              <w:ind w:left="118" w:right="98" w:hanging="2"/>
              <w:jc w:val="both"/>
            </w:pPr>
            <w:r>
              <w:rPr>
                <w:spacing w:val="-2"/>
              </w:rPr>
              <w:t>提供项目培训方案，应至少涵盖但不限于：</w:t>
            </w:r>
            <w:r>
              <w:rPr>
                <w:spacing w:val="-43"/>
              </w:rPr>
              <w:t xml:space="preserve"> </w:t>
            </w:r>
            <w:r>
              <w:rPr>
                <w:spacing w:val="-2"/>
              </w:rPr>
              <w:t>培训组织架构、培训对</w:t>
            </w:r>
            <w:r>
              <w:t xml:space="preserve"> </w:t>
            </w:r>
            <w:r>
              <w:rPr>
                <w:spacing w:val="-8"/>
              </w:rPr>
              <w:t>象和内容、培训方式、培训流程、培训日程安排，</w:t>
            </w:r>
            <w:r>
              <w:rPr>
                <w:spacing w:val="28"/>
              </w:rPr>
              <w:t xml:space="preserve">  </w:t>
            </w:r>
            <w:r>
              <w:rPr>
                <w:spacing w:val="-8"/>
              </w:rPr>
              <w:t>确保培训人员对</w:t>
            </w:r>
            <w:r>
              <w:rPr>
                <w:spacing w:val="1"/>
              </w:rPr>
              <w:t xml:space="preserve"> </w:t>
            </w:r>
            <w:r>
              <w:rPr>
                <w:spacing w:val="-1"/>
              </w:rPr>
              <w:t>系统基本理论、技术特性、操作规范和运行规程、管理维</w:t>
            </w:r>
            <w:r>
              <w:rPr>
                <w:spacing w:val="-2"/>
              </w:rPr>
              <w:t>护等方面</w:t>
            </w:r>
            <w:r>
              <w:t xml:space="preserve"> </w:t>
            </w:r>
            <w:r>
              <w:rPr>
                <w:spacing w:val="-6"/>
              </w:rPr>
              <w:t>全面了解和掌握。</w:t>
            </w:r>
          </w:p>
          <w:p w14:paraId="330EABAA">
            <w:pPr>
              <w:pStyle w:val="6"/>
              <w:spacing w:before="5" w:line="174" w:lineRule="auto"/>
              <w:ind w:left="119" w:firstLine="493"/>
            </w:pPr>
            <w:r>
              <w:rPr>
                <w:spacing w:val="-7"/>
              </w:rPr>
              <w:t>以上内容都包含且满足采购需求的得 5 分；</w:t>
            </w:r>
            <w:r>
              <w:rPr>
                <w:spacing w:val="-38"/>
              </w:rPr>
              <w:t xml:space="preserve"> </w:t>
            </w:r>
            <w:r>
              <w:rPr>
                <w:spacing w:val="-7"/>
              </w:rPr>
              <w:t>每缺少一项内容的</w:t>
            </w:r>
            <w:r>
              <w:t xml:space="preserve">   </w:t>
            </w:r>
            <w:r>
              <w:rPr>
                <w:spacing w:val="-9"/>
              </w:rPr>
              <w:t xml:space="preserve">扣  1  </w:t>
            </w:r>
            <w:r>
              <w:rPr>
                <w:spacing w:val="-8"/>
              </w:rPr>
              <w:t>分；</w:t>
            </w:r>
            <w:r>
              <w:rPr>
                <w:spacing w:val="-40"/>
              </w:rPr>
              <w:t xml:space="preserve"> </w:t>
            </w:r>
            <w:r>
              <w:rPr>
                <w:spacing w:val="-8"/>
              </w:rPr>
              <w:t>每有一处缺陷的扣  1 分；</w:t>
            </w:r>
            <w:r>
              <w:rPr>
                <w:spacing w:val="-48"/>
              </w:rPr>
              <w:t xml:space="preserve"> </w:t>
            </w:r>
            <w:r>
              <w:rPr>
                <w:spacing w:val="-8"/>
              </w:rPr>
              <w:t>扣完为止，未提供不得分。（</w:t>
            </w:r>
            <w:r>
              <w:rPr>
                <w:spacing w:val="-2"/>
              </w:rPr>
              <w:t>缺</w:t>
            </w:r>
            <w:r>
              <w:t xml:space="preserve"> </w:t>
            </w:r>
            <w:r>
              <w:rPr>
                <w:spacing w:val="-5"/>
              </w:rPr>
              <w:t>陷是指：</w:t>
            </w:r>
            <w:r>
              <w:rPr>
                <w:spacing w:val="-39"/>
              </w:rPr>
              <w:t xml:space="preserve"> </w:t>
            </w:r>
            <w:r>
              <w:rPr>
                <w:spacing w:val="-5"/>
              </w:rPr>
              <w:t>存在不适用该项目实际情况的情形、凭空编造、内容前后</w:t>
            </w:r>
            <w:r>
              <w:t xml:space="preserve">   </w:t>
            </w:r>
            <w:r>
              <w:rPr>
                <w:spacing w:val="-5"/>
              </w:rPr>
              <w:t>不一致、前后逻辑错误、涉及的规范及标准错误、地点区域错误、</w:t>
            </w:r>
          </w:p>
          <w:p w14:paraId="7C222EC9">
            <w:pPr>
              <w:pStyle w:val="6"/>
              <w:spacing w:line="250" w:lineRule="exact"/>
              <w:ind w:left="144"/>
            </w:pPr>
            <w:r>
              <w:rPr>
                <w:spacing w:val="-3"/>
                <w:position w:val="-1"/>
              </w:rPr>
              <w:t>内容缺失、不符合采购需求的任意一项）</w:t>
            </w:r>
          </w:p>
        </w:tc>
      </w:tr>
      <w:tr w14:paraId="25AB4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5" w:hRule="atLeast"/>
        </w:trPr>
        <w:tc>
          <w:tcPr>
            <w:tcW w:w="688" w:type="dxa"/>
            <w:vMerge w:val="restart"/>
            <w:tcBorders>
              <w:bottom w:val="nil"/>
            </w:tcBorders>
            <w:vAlign w:val="top"/>
          </w:tcPr>
          <w:p w14:paraId="0DAB51DD">
            <w:pPr>
              <w:spacing w:line="255" w:lineRule="auto"/>
              <w:rPr>
                <w:rFonts w:ascii="Arial"/>
                <w:sz w:val="21"/>
              </w:rPr>
            </w:pPr>
          </w:p>
          <w:p w14:paraId="1FEEB8B8">
            <w:pPr>
              <w:spacing w:line="255" w:lineRule="auto"/>
              <w:rPr>
                <w:rFonts w:ascii="Arial"/>
                <w:sz w:val="21"/>
              </w:rPr>
            </w:pPr>
          </w:p>
          <w:p w14:paraId="562EE9EA">
            <w:pPr>
              <w:spacing w:line="255" w:lineRule="auto"/>
              <w:rPr>
                <w:rFonts w:ascii="Arial"/>
                <w:sz w:val="21"/>
              </w:rPr>
            </w:pPr>
          </w:p>
          <w:p w14:paraId="7ADEA059">
            <w:pPr>
              <w:spacing w:line="255" w:lineRule="auto"/>
              <w:rPr>
                <w:rFonts w:ascii="Arial"/>
                <w:sz w:val="21"/>
              </w:rPr>
            </w:pPr>
          </w:p>
          <w:p w14:paraId="66E50269">
            <w:pPr>
              <w:spacing w:line="255" w:lineRule="auto"/>
              <w:rPr>
                <w:rFonts w:ascii="Arial"/>
                <w:sz w:val="21"/>
              </w:rPr>
            </w:pPr>
          </w:p>
          <w:p w14:paraId="6337ABB8">
            <w:pPr>
              <w:spacing w:line="255" w:lineRule="auto"/>
              <w:rPr>
                <w:rFonts w:ascii="Arial"/>
                <w:sz w:val="21"/>
              </w:rPr>
            </w:pPr>
          </w:p>
          <w:p w14:paraId="6FC8605F">
            <w:pPr>
              <w:pStyle w:val="6"/>
              <w:spacing w:before="103" w:line="176" w:lineRule="auto"/>
              <w:ind w:left="124" w:firstLine="97"/>
            </w:pPr>
            <w:r>
              <w:rPr>
                <w:spacing w:val="-7"/>
                <w:w w:val="81"/>
              </w:rPr>
              <w:t>商</w:t>
            </w:r>
            <w:r>
              <w:t xml:space="preserve">    </w:t>
            </w:r>
            <w:r>
              <w:rPr>
                <w:spacing w:val="46"/>
              </w:rPr>
              <w:t>务</w:t>
            </w:r>
            <w:r>
              <w:t xml:space="preserve">    </w:t>
            </w:r>
            <w:r>
              <w:rPr>
                <w:spacing w:val="46"/>
              </w:rPr>
              <w:t>部</w:t>
            </w:r>
            <w:r>
              <w:t xml:space="preserve">    </w:t>
            </w:r>
            <w:r>
              <w:rPr>
                <w:spacing w:val="46"/>
              </w:rPr>
              <w:t>分</w:t>
            </w:r>
            <w:r>
              <w:t xml:space="preserve">    </w:t>
            </w:r>
            <w:r>
              <w:rPr>
                <w:spacing w:val="-28"/>
              </w:rPr>
              <w:t>（3</w:t>
            </w:r>
            <w:r>
              <w:t xml:space="preserve">    </w:t>
            </w:r>
            <w:r>
              <w:rPr>
                <w:spacing w:val="-26"/>
              </w:rPr>
              <w:t>1分）</w:t>
            </w:r>
          </w:p>
        </w:tc>
        <w:tc>
          <w:tcPr>
            <w:tcW w:w="1482" w:type="dxa"/>
            <w:tcBorders>
              <w:top w:val="single" w:color="000000" w:sz="4" w:space="0"/>
              <w:bottom w:val="single" w:color="000000" w:sz="4" w:space="0"/>
            </w:tcBorders>
            <w:vAlign w:val="top"/>
          </w:tcPr>
          <w:p w14:paraId="02DCE4DD">
            <w:pPr>
              <w:spacing w:line="257" w:lineRule="auto"/>
              <w:rPr>
                <w:rFonts w:ascii="Arial"/>
                <w:sz w:val="21"/>
              </w:rPr>
            </w:pPr>
          </w:p>
          <w:p w14:paraId="748B7382">
            <w:pPr>
              <w:spacing w:line="257" w:lineRule="auto"/>
              <w:rPr>
                <w:rFonts w:ascii="Arial"/>
                <w:sz w:val="21"/>
              </w:rPr>
            </w:pPr>
          </w:p>
          <w:p w14:paraId="3710D28A">
            <w:pPr>
              <w:spacing w:line="257" w:lineRule="auto"/>
              <w:rPr>
                <w:rFonts w:ascii="Arial"/>
                <w:sz w:val="21"/>
              </w:rPr>
            </w:pPr>
          </w:p>
          <w:p w14:paraId="54BED8C4">
            <w:pPr>
              <w:spacing w:line="258" w:lineRule="auto"/>
              <w:rPr>
                <w:rFonts w:ascii="Arial"/>
                <w:sz w:val="21"/>
              </w:rPr>
            </w:pPr>
          </w:p>
          <w:p w14:paraId="04A4C030">
            <w:pPr>
              <w:spacing w:line="258" w:lineRule="auto"/>
              <w:rPr>
                <w:rFonts w:ascii="Arial"/>
                <w:sz w:val="21"/>
              </w:rPr>
            </w:pPr>
          </w:p>
          <w:p w14:paraId="0A07DCBA">
            <w:pPr>
              <w:spacing w:line="258" w:lineRule="auto"/>
              <w:rPr>
                <w:rFonts w:ascii="Arial"/>
                <w:sz w:val="21"/>
              </w:rPr>
            </w:pPr>
          </w:p>
          <w:p w14:paraId="51CF3A0F">
            <w:pPr>
              <w:pStyle w:val="6"/>
              <w:spacing w:before="103" w:line="182" w:lineRule="auto"/>
              <w:ind w:left="261" w:right="137" w:hanging="108"/>
            </w:pPr>
            <w:r>
              <w:rPr>
                <w:spacing w:val="-3"/>
                <w:w w:val="98"/>
              </w:rPr>
              <w:t>售后服务与</w:t>
            </w:r>
            <w:r>
              <w:rPr>
                <w:spacing w:val="8"/>
              </w:rPr>
              <w:t xml:space="preserve"> </w:t>
            </w:r>
            <w:r>
              <w:rPr>
                <w:spacing w:val="-4"/>
              </w:rPr>
              <w:t>运维方案</w:t>
            </w:r>
          </w:p>
        </w:tc>
        <w:tc>
          <w:tcPr>
            <w:tcW w:w="674" w:type="dxa"/>
            <w:tcBorders>
              <w:top w:val="single" w:color="000000" w:sz="4" w:space="0"/>
              <w:bottom w:val="single" w:color="000000" w:sz="4" w:space="0"/>
            </w:tcBorders>
            <w:vAlign w:val="top"/>
          </w:tcPr>
          <w:p w14:paraId="575C549F">
            <w:pPr>
              <w:spacing w:line="242" w:lineRule="auto"/>
              <w:rPr>
                <w:rFonts w:ascii="Arial"/>
                <w:sz w:val="21"/>
              </w:rPr>
            </w:pPr>
          </w:p>
          <w:p w14:paraId="7C77C3B0">
            <w:pPr>
              <w:spacing w:line="242" w:lineRule="auto"/>
              <w:rPr>
                <w:rFonts w:ascii="Arial"/>
                <w:sz w:val="21"/>
              </w:rPr>
            </w:pPr>
          </w:p>
          <w:p w14:paraId="52C5DEBA">
            <w:pPr>
              <w:spacing w:line="242" w:lineRule="auto"/>
              <w:rPr>
                <w:rFonts w:ascii="Arial"/>
                <w:sz w:val="21"/>
              </w:rPr>
            </w:pPr>
          </w:p>
          <w:p w14:paraId="4E1D8504">
            <w:pPr>
              <w:spacing w:line="242" w:lineRule="auto"/>
              <w:rPr>
                <w:rFonts w:ascii="Arial"/>
                <w:sz w:val="21"/>
              </w:rPr>
            </w:pPr>
          </w:p>
          <w:p w14:paraId="3E75C04C">
            <w:pPr>
              <w:spacing w:line="242" w:lineRule="auto"/>
              <w:rPr>
                <w:rFonts w:ascii="Arial"/>
                <w:sz w:val="21"/>
              </w:rPr>
            </w:pPr>
          </w:p>
          <w:p w14:paraId="4E130773">
            <w:pPr>
              <w:spacing w:line="243" w:lineRule="auto"/>
              <w:rPr>
                <w:rFonts w:ascii="Arial"/>
                <w:sz w:val="21"/>
              </w:rPr>
            </w:pPr>
          </w:p>
          <w:p w14:paraId="60C82CE9">
            <w:pPr>
              <w:spacing w:line="243" w:lineRule="auto"/>
              <w:rPr>
                <w:rFonts w:ascii="Arial"/>
                <w:sz w:val="21"/>
              </w:rPr>
            </w:pPr>
          </w:p>
          <w:p w14:paraId="3810B5C7">
            <w:pPr>
              <w:pStyle w:val="6"/>
              <w:spacing w:before="103" w:line="188" w:lineRule="auto"/>
              <w:ind w:left="121"/>
            </w:pPr>
            <w:r>
              <w:rPr>
                <w:spacing w:val="-12"/>
                <w:w w:val="98"/>
              </w:rPr>
              <w:t>8</w:t>
            </w:r>
            <w:r>
              <w:rPr>
                <w:spacing w:val="8"/>
              </w:rPr>
              <w:t xml:space="preserve"> </w:t>
            </w:r>
            <w:r>
              <w:rPr>
                <w:spacing w:val="-12"/>
                <w:w w:val="98"/>
              </w:rPr>
              <w:t>分</w:t>
            </w:r>
          </w:p>
        </w:tc>
        <w:tc>
          <w:tcPr>
            <w:tcW w:w="7161" w:type="dxa"/>
            <w:vAlign w:val="top"/>
          </w:tcPr>
          <w:p w14:paraId="413EA8E3">
            <w:pPr>
              <w:pStyle w:val="6"/>
              <w:spacing w:before="51" w:line="187" w:lineRule="auto"/>
              <w:ind w:left="110" w:right="98" w:firstLine="9"/>
              <w:jc w:val="both"/>
            </w:pPr>
            <w:r>
              <w:rPr>
                <w:spacing w:val="-3"/>
              </w:rPr>
              <w:t>1.</w:t>
            </w:r>
            <w:r>
              <w:rPr>
                <w:spacing w:val="22"/>
              </w:rPr>
              <w:t xml:space="preserve"> </w:t>
            </w:r>
            <w:r>
              <w:rPr>
                <w:spacing w:val="-3"/>
              </w:rPr>
              <w:t>后续服务方案：根据实现采购任务后续服务工作目标、后续服务</w:t>
            </w:r>
            <w:r>
              <w:t xml:space="preserve"> </w:t>
            </w:r>
            <w:r>
              <w:rPr>
                <w:spacing w:val="-2"/>
              </w:rPr>
              <w:t>保障措施，包含但不限于：</w:t>
            </w:r>
            <w:r>
              <w:rPr>
                <w:spacing w:val="-42"/>
              </w:rPr>
              <w:t xml:space="preserve"> </w:t>
            </w:r>
            <w:r>
              <w:rPr>
                <w:spacing w:val="-2"/>
              </w:rPr>
              <w:t>软件系统维护及升级措施、硬件售后服</w:t>
            </w:r>
            <w:r>
              <w:t xml:space="preserve"> </w:t>
            </w:r>
            <w:r>
              <w:rPr>
                <w:spacing w:val="-2"/>
              </w:rPr>
              <w:t>务、后续服务技术人员配备、故障处理预案、服务流程程序（包括</w:t>
            </w:r>
            <w:r>
              <w:rPr>
                <w:spacing w:val="12"/>
              </w:rPr>
              <w:t xml:space="preserve"> </w:t>
            </w:r>
            <w:r>
              <w:rPr>
                <w:spacing w:val="-1"/>
              </w:rPr>
              <w:t>故障处理、上门维护、紧急维护、电话回访维护等）等内容，制定</w:t>
            </w:r>
            <w:r>
              <w:t xml:space="preserve"> </w:t>
            </w:r>
            <w:r>
              <w:rPr>
                <w:spacing w:val="-6"/>
              </w:rPr>
              <w:t>后续服务方案。</w:t>
            </w:r>
          </w:p>
          <w:p w14:paraId="2CBFBDA1">
            <w:pPr>
              <w:pStyle w:val="6"/>
              <w:spacing w:before="7" w:line="185" w:lineRule="auto"/>
              <w:ind w:left="112" w:right="38" w:firstLine="501"/>
            </w:pPr>
            <w:r>
              <w:rPr>
                <w:spacing w:val="-5"/>
              </w:rPr>
              <w:t>以上 5 项内容完整且完全满足项目要求得 5  分，每缺失一项内</w:t>
            </w:r>
            <w:r>
              <w:rPr>
                <w:spacing w:val="11"/>
              </w:rPr>
              <w:t xml:space="preserve"> </w:t>
            </w:r>
            <w:r>
              <w:rPr>
                <w:spacing w:val="-1"/>
              </w:rPr>
              <w:t>容或内容存在缺陷扣  1  分，扣完为止。</w:t>
            </w:r>
            <w:r>
              <w:rPr>
                <w:spacing w:val="-2"/>
              </w:rPr>
              <w:t>(缺陷是指：存在不适用项</w:t>
            </w:r>
            <w:r>
              <w:t xml:space="preserve"> </w:t>
            </w:r>
            <w:r>
              <w:rPr>
                <w:spacing w:val="-1"/>
              </w:rPr>
              <w:t>目实际情况的情形、凭空编造、内容前后不一致、前后逻辑错误、</w:t>
            </w:r>
            <w:r>
              <w:rPr>
                <w:spacing w:val="9"/>
              </w:rPr>
              <w:t xml:space="preserve"> </w:t>
            </w:r>
            <w:r>
              <w:rPr>
                <w:spacing w:val="-1"/>
              </w:rPr>
              <w:t>涉及的规范及标准错误、地点区域错误、内容遗漏、不符合采</w:t>
            </w:r>
            <w:r>
              <w:rPr>
                <w:spacing w:val="-2"/>
              </w:rPr>
              <w:t>购需</w:t>
            </w:r>
            <w:r>
              <w:t xml:space="preserve">  </w:t>
            </w:r>
            <w:r>
              <w:rPr>
                <w:spacing w:val="7"/>
              </w:rPr>
              <w:t>求等)</w:t>
            </w:r>
          </w:p>
          <w:p w14:paraId="6178300A">
            <w:pPr>
              <w:pStyle w:val="6"/>
              <w:spacing w:before="6" w:line="165" w:lineRule="auto"/>
              <w:ind w:left="110" w:right="98" w:hanging="5"/>
            </w:pPr>
            <w:r>
              <w:rPr>
                <w:spacing w:val="-4"/>
              </w:rPr>
              <w:t>2.</w:t>
            </w:r>
            <w:r>
              <w:rPr>
                <w:spacing w:val="32"/>
              </w:rPr>
              <w:t xml:space="preserve"> </w:t>
            </w:r>
            <w:r>
              <w:rPr>
                <w:spacing w:val="-4"/>
              </w:rPr>
              <w:t>提供售后服务承诺函，承诺验收合格后提供至少 1 名工程师驻场</w:t>
            </w:r>
            <w:r>
              <w:t xml:space="preserve"> </w:t>
            </w:r>
            <w:r>
              <w:rPr>
                <w:spacing w:val="-4"/>
              </w:rPr>
              <w:t>半年的售后服务，提供得 3 分，未提供不得分。</w:t>
            </w:r>
          </w:p>
        </w:tc>
      </w:tr>
      <w:tr w14:paraId="289FD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72" w:hRule="atLeast"/>
        </w:trPr>
        <w:tc>
          <w:tcPr>
            <w:tcW w:w="688" w:type="dxa"/>
            <w:vMerge w:val="continue"/>
            <w:tcBorders>
              <w:top w:val="nil"/>
            </w:tcBorders>
            <w:vAlign w:val="top"/>
          </w:tcPr>
          <w:p w14:paraId="449F6AE4">
            <w:pPr>
              <w:rPr>
                <w:rFonts w:ascii="Arial"/>
                <w:sz w:val="21"/>
              </w:rPr>
            </w:pPr>
          </w:p>
        </w:tc>
        <w:tc>
          <w:tcPr>
            <w:tcW w:w="1482" w:type="dxa"/>
            <w:tcBorders>
              <w:top w:val="single" w:color="000000" w:sz="4" w:space="0"/>
              <w:bottom w:val="single" w:color="000000" w:sz="4" w:space="0"/>
            </w:tcBorders>
            <w:vAlign w:val="top"/>
          </w:tcPr>
          <w:p w14:paraId="5B487B53">
            <w:pPr>
              <w:spacing w:line="361" w:lineRule="auto"/>
              <w:rPr>
                <w:rFonts w:ascii="Arial"/>
                <w:sz w:val="21"/>
              </w:rPr>
            </w:pPr>
          </w:p>
          <w:p w14:paraId="29F76BA2">
            <w:pPr>
              <w:pStyle w:val="6"/>
              <w:spacing w:before="103" w:line="190" w:lineRule="auto"/>
              <w:ind w:left="261"/>
            </w:pPr>
            <w:r>
              <w:rPr>
                <w:spacing w:val="-4"/>
              </w:rPr>
              <w:t>企业能力</w:t>
            </w:r>
          </w:p>
        </w:tc>
        <w:tc>
          <w:tcPr>
            <w:tcW w:w="674" w:type="dxa"/>
            <w:tcBorders>
              <w:top w:val="single" w:color="000000" w:sz="4" w:space="0"/>
              <w:bottom w:val="single" w:color="000000" w:sz="4" w:space="0"/>
            </w:tcBorders>
            <w:vAlign w:val="top"/>
          </w:tcPr>
          <w:p w14:paraId="3E9502C2">
            <w:pPr>
              <w:spacing w:line="362" w:lineRule="auto"/>
              <w:rPr>
                <w:rFonts w:ascii="Arial"/>
                <w:sz w:val="21"/>
              </w:rPr>
            </w:pPr>
          </w:p>
          <w:p w14:paraId="430319EC">
            <w:pPr>
              <w:pStyle w:val="6"/>
              <w:spacing w:before="102" w:line="188" w:lineRule="auto"/>
              <w:ind w:left="121"/>
            </w:pPr>
            <w:r>
              <w:rPr>
                <w:spacing w:val="-12"/>
                <w:w w:val="98"/>
              </w:rPr>
              <w:t>9</w:t>
            </w:r>
            <w:r>
              <w:rPr>
                <w:spacing w:val="8"/>
              </w:rPr>
              <w:t xml:space="preserve"> </w:t>
            </w:r>
            <w:r>
              <w:rPr>
                <w:spacing w:val="-12"/>
                <w:w w:val="98"/>
              </w:rPr>
              <w:t>分</w:t>
            </w:r>
          </w:p>
        </w:tc>
        <w:tc>
          <w:tcPr>
            <w:tcW w:w="7161" w:type="dxa"/>
            <w:tcBorders>
              <w:bottom w:val="nil"/>
            </w:tcBorders>
            <w:vAlign w:val="top"/>
          </w:tcPr>
          <w:p w14:paraId="10CAC53C">
            <w:pPr>
              <w:pStyle w:val="6"/>
              <w:spacing w:before="167" w:line="179" w:lineRule="auto"/>
              <w:ind w:left="109" w:right="136" w:firstLine="11"/>
              <w:jc w:val="both"/>
            </w:pPr>
            <w:r>
              <w:rPr>
                <w:sz w:val="24"/>
                <w:szCs w:val="24"/>
              </w:rPr>
              <w:t>1.为了证明投标人的医疗信息化系统的集成和交互能力达到了一</w:t>
            </w:r>
            <w:r>
              <w:rPr>
                <w:spacing w:val="4"/>
                <w:sz w:val="24"/>
                <w:szCs w:val="24"/>
              </w:rPr>
              <w:t xml:space="preserve">   </w:t>
            </w:r>
            <w:r>
              <w:rPr>
                <w:spacing w:val="-5"/>
                <w:sz w:val="24"/>
                <w:szCs w:val="24"/>
              </w:rPr>
              <w:t>定的标准，投标人所投产品通过 IHE</w:t>
            </w:r>
            <w:r>
              <w:rPr>
                <w:spacing w:val="39"/>
                <w:sz w:val="24"/>
                <w:szCs w:val="24"/>
              </w:rPr>
              <w:t xml:space="preserve"> </w:t>
            </w:r>
            <w:r>
              <w:rPr>
                <w:spacing w:val="-5"/>
                <w:sz w:val="24"/>
                <w:szCs w:val="24"/>
              </w:rPr>
              <w:t>中国测试功能角色通过证书</w:t>
            </w:r>
            <w:r>
              <w:rPr>
                <w:rFonts w:hint="eastAsia"/>
                <w:b/>
                <w:bCs/>
                <w:spacing w:val="-5"/>
                <w:sz w:val="24"/>
                <w:szCs w:val="24"/>
                <w:lang w:val="en-US" w:eastAsia="zh-CN"/>
              </w:rPr>
              <w:t>(本标项技术参数中任一功能模块IHE中国测试功能角色通过证书，不限定某些特定的功能角色）</w:t>
            </w:r>
            <w:r>
              <w:rPr>
                <w:spacing w:val="-5"/>
                <w:sz w:val="24"/>
                <w:szCs w:val="24"/>
              </w:rPr>
              <w:t>，</w:t>
            </w:r>
            <w:r>
              <w:rPr>
                <w:sz w:val="24"/>
                <w:szCs w:val="24"/>
              </w:rPr>
              <w:t xml:space="preserve"> </w:t>
            </w:r>
            <w:r>
              <w:rPr>
                <w:spacing w:val="-3"/>
                <w:sz w:val="24"/>
                <w:szCs w:val="24"/>
              </w:rPr>
              <w:t>证书需在有效期内，提供证书清晰可辨得 3 分，没有不得分。</w:t>
            </w:r>
          </w:p>
        </w:tc>
      </w:tr>
    </w:tbl>
    <w:p w14:paraId="63680FCD">
      <w:pPr>
        <w:pStyle w:val="2"/>
        <w:spacing w:line="430" w:lineRule="auto"/>
      </w:pPr>
    </w:p>
    <w:p w14:paraId="499B67C2">
      <w:pPr>
        <w:pStyle w:val="2"/>
        <w:spacing w:line="430" w:lineRule="auto"/>
      </w:pPr>
    </w:p>
    <w:p w14:paraId="11D55128">
      <w:pPr>
        <w:pStyle w:val="2"/>
        <w:spacing w:line="430" w:lineRule="auto"/>
      </w:pPr>
    </w:p>
    <w:p w14:paraId="0FC96673">
      <w:pPr>
        <w:pStyle w:val="2"/>
        <w:spacing w:line="430" w:lineRule="auto"/>
      </w:pPr>
    </w:p>
    <w:p w14:paraId="47D33EEB">
      <w:pPr>
        <w:pStyle w:val="2"/>
        <w:spacing w:line="430" w:lineRule="auto"/>
      </w:pPr>
    </w:p>
    <w:p w14:paraId="73A95178">
      <w:pPr>
        <w:pStyle w:val="2"/>
        <w:spacing w:line="430" w:lineRule="auto"/>
      </w:pPr>
    </w:p>
    <w:p w14:paraId="3B9BF0D8">
      <w:pPr>
        <w:pStyle w:val="2"/>
        <w:spacing w:line="430" w:lineRule="auto"/>
      </w:pPr>
    </w:p>
    <w:p w14:paraId="005E8F6A">
      <w:pPr>
        <w:pStyle w:val="2"/>
        <w:spacing w:line="430" w:lineRule="auto"/>
      </w:pPr>
    </w:p>
    <w:p w14:paraId="35D3ABFE">
      <w:pPr>
        <w:pStyle w:val="2"/>
        <w:spacing w:line="430" w:lineRule="auto"/>
      </w:pPr>
    </w:p>
    <w:p w14:paraId="3B20E05C">
      <w:pPr>
        <w:pStyle w:val="2"/>
        <w:spacing w:line="430" w:lineRule="auto"/>
      </w:pPr>
    </w:p>
    <w:p w14:paraId="4D847564">
      <w:pPr>
        <w:pStyle w:val="2"/>
        <w:spacing w:line="430" w:lineRule="auto"/>
      </w:pPr>
    </w:p>
    <w:p w14:paraId="26F4F536">
      <w:pPr>
        <w:pStyle w:val="2"/>
        <w:spacing w:line="430" w:lineRule="auto"/>
      </w:pPr>
    </w:p>
    <w:p w14:paraId="3C91DA14">
      <w:pPr>
        <w:pStyle w:val="2"/>
        <w:spacing w:line="430" w:lineRule="auto"/>
      </w:pPr>
    </w:p>
    <w:p w14:paraId="7B16A721">
      <w:pPr>
        <w:pStyle w:val="2"/>
        <w:spacing w:line="430" w:lineRule="auto"/>
      </w:pPr>
    </w:p>
    <w:p w14:paraId="2C11ABE0">
      <w:pPr>
        <w:pStyle w:val="2"/>
        <w:spacing w:line="430" w:lineRule="auto"/>
      </w:pPr>
    </w:p>
    <w:p w14:paraId="6B0C432C">
      <w:pPr>
        <w:pStyle w:val="2"/>
        <w:spacing w:line="430" w:lineRule="auto"/>
      </w:pPr>
    </w:p>
    <w:p w14:paraId="2945FD6B">
      <w:pPr>
        <w:pStyle w:val="2"/>
        <w:spacing w:line="430" w:lineRule="auto"/>
      </w:pPr>
    </w:p>
    <w:p w14:paraId="68D8D21B">
      <w:pPr>
        <w:pStyle w:val="2"/>
        <w:spacing w:line="430" w:lineRule="auto"/>
      </w:pPr>
    </w:p>
    <w:p w14:paraId="1258B0AA">
      <w:pPr>
        <w:pStyle w:val="2"/>
        <w:spacing w:line="430" w:lineRule="auto"/>
      </w:pPr>
    </w:p>
    <w:p w14:paraId="51CC1D8D">
      <w:pPr>
        <w:pStyle w:val="2"/>
        <w:spacing w:line="430" w:lineRule="auto"/>
      </w:pPr>
    </w:p>
    <w:p w14:paraId="2662D5C2">
      <w:pPr>
        <w:pStyle w:val="2"/>
        <w:spacing w:line="430" w:lineRule="auto"/>
      </w:pPr>
    </w:p>
    <w:p w14:paraId="3B8AE4F2">
      <w:pPr>
        <w:pStyle w:val="2"/>
        <w:spacing w:line="430" w:lineRule="auto"/>
      </w:pPr>
    </w:p>
    <w:p w14:paraId="1A7F5488">
      <w:pPr>
        <w:pStyle w:val="2"/>
        <w:spacing w:line="430" w:lineRule="auto"/>
      </w:pPr>
    </w:p>
    <w:p w14:paraId="3FA9CF4D">
      <w:pPr>
        <w:pStyle w:val="2"/>
        <w:spacing w:line="430" w:lineRule="auto"/>
      </w:pPr>
    </w:p>
    <w:p w14:paraId="3CE4E536">
      <w:pPr>
        <w:pStyle w:val="2"/>
        <w:spacing w:line="430" w:lineRule="auto"/>
      </w:pPr>
    </w:p>
    <w:p w14:paraId="2F8383BD">
      <w:pPr>
        <w:pStyle w:val="2"/>
        <w:spacing w:line="430" w:lineRule="auto"/>
      </w:pPr>
    </w:p>
    <w:p w14:paraId="69C2EF40">
      <w:pPr>
        <w:pStyle w:val="2"/>
        <w:spacing w:line="430" w:lineRule="auto"/>
      </w:pPr>
    </w:p>
    <w:p w14:paraId="14F59521">
      <w:pPr>
        <w:pStyle w:val="2"/>
        <w:spacing w:line="430" w:lineRule="auto"/>
      </w:pPr>
    </w:p>
    <w:p w14:paraId="50F04227">
      <w:pPr>
        <w:pStyle w:val="2"/>
        <w:spacing w:line="430" w:lineRule="auto"/>
      </w:pPr>
    </w:p>
    <w:p w14:paraId="5E1AFD59">
      <w:pPr>
        <w:spacing w:before="61" w:line="160" w:lineRule="auto"/>
        <w:ind w:left="181"/>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91                                </w:t>
      </w:r>
      <w:r>
        <w:rPr>
          <w:rFonts w:ascii="宋体" w:hAnsi="宋体" w:eastAsia="宋体" w:cs="宋体"/>
          <w:b/>
          <w:bCs/>
          <w:i/>
          <w:iCs/>
          <w:spacing w:val="-3"/>
          <w:sz w:val="19"/>
          <w:szCs w:val="19"/>
        </w:rPr>
        <w:t>伊犁州公共资源交易中心</w:t>
      </w:r>
    </w:p>
    <w:p w14:paraId="6F3D0C84">
      <w:pPr>
        <w:spacing w:line="160" w:lineRule="auto"/>
        <w:rPr>
          <w:rFonts w:ascii="宋体" w:hAnsi="宋体" w:eastAsia="宋体" w:cs="宋体"/>
          <w:sz w:val="19"/>
          <w:szCs w:val="19"/>
        </w:rPr>
      </w:pPr>
    </w:p>
    <w:p w14:paraId="72803B0F">
      <w:pPr>
        <w:spacing w:line="160" w:lineRule="auto"/>
        <w:rPr>
          <w:rFonts w:ascii="宋体" w:hAnsi="宋体" w:eastAsia="宋体" w:cs="宋体"/>
          <w:sz w:val="19"/>
          <w:szCs w:val="19"/>
        </w:rPr>
        <w:sectPr>
          <w:footerReference r:id="rId84" w:type="default"/>
          <w:pgSz w:w="11905" w:h="16839"/>
          <w:pgMar w:top="1136" w:right="786" w:bottom="937" w:left="1093" w:header="854" w:footer="923" w:gutter="0"/>
          <w:cols w:space="720" w:num="1"/>
        </w:sectPr>
      </w:pPr>
    </w:p>
    <w:p w14:paraId="18144C14">
      <w:pPr>
        <w:spacing w:before="38"/>
      </w:pPr>
    </w:p>
    <w:tbl>
      <w:tblPr>
        <w:tblStyle w:val="5"/>
        <w:tblW w:w="1000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8"/>
        <w:gridCol w:w="1482"/>
        <w:gridCol w:w="674"/>
        <w:gridCol w:w="7161"/>
      </w:tblGrid>
      <w:tr w14:paraId="71F82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5" w:hRule="atLeast"/>
        </w:trPr>
        <w:tc>
          <w:tcPr>
            <w:tcW w:w="688" w:type="dxa"/>
            <w:vMerge w:val="restart"/>
            <w:tcBorders>
              <w:top w:val="nil"/>
              <w:bottom w:val="nil"/>
            </w:tcBorders>
            <w:vAlign w:val="top"/>
          </w:tcPr>
          <w:p w14:paraId="1A1BCA23">
            <w:pPr>
              <w:rPr>
                <w:rFonts w:ascii="Arial"/>
                <w:sz w:val="21"/>
              </w:rPr>
            </w:pPr>
          </w:p>
        </w:tc>
        <w:tc>
          <w:tcPr>
            <w:tcW w:w="1482" w:type="dxa"/>
            <w:tcBorders>
              <w:top w:val="single" w:color="000000" w:sz="4" w:space="0"/>
              <w:bottom w:val="single" w:color="000000" w:sz="4" w:space="0"/>
            </w:tcBorders>
            <w:vAlign w:val="top"/>
          </w:tcPr>
          <w:p w14:paraId="4D42FD88">
            <w:pPr>
              <w:rPr>
                <w:rFonts w:ascii="Arial"/>
                <w:sz w:val="21"/>
              </w:rPr>
            </w:pPr>
          </w:p>
        </w:tc>
        <w:tc>
          <w:tcPr>
            <w:tcW w:w="674" w:type="dxa"/>
            <w:tcBorders>
              <w:top w:val="single" w:color="000000" w:sz="4" w:space="0"/>
              <w:bottom w:val="single" w:color="000000" w:sz="4" w:space="0"/>
            </w:tcBorders>
            <w:vAlign w:val="top"/>
          </w:tcPr>
          <w:p w14:paraId="5544A75C">
            <w:pPr>
              <w:rPr>
                <w:rFonts w:ascii="Arial"/>
                <w:sz w:val="21"/>
              </w:rPr>
            </w:pPr>
          </w:p>
        </w:tc>
        <w:tc>
          <w:tcPr>
            <w:tcW w:w="7161" w:type="dxa"/>
            <w:tcBorders>
              <w:top w:val="nil"/>
            </w:tcBorders>
            <w:vAlign w:val="top"/>
          </w:tcPr>
          <w:p w14:paraId="7B72EF3E">
            <w:pPr>
              <w:pStyle w:val="6"/>
              <w:spacing w:before="33" w:line="175" w:lineRule="auto"/>
              <w:ind w:left="111" w:right="98" w:hanging="4"/>
            </w:pPr>
            <w:r>
              <w:rPr>
                <w:rFonts w:hint="eastAsia"/>
                <w:spacing w:val="-2"/>
                <w:lang w:val="en-US" w:eastAsia="zh-CN"/>
              </w:rPr>
              <w:t>2</w:t>
            </w:r>
            <w:r>
              <w:rPr>
                <w:spacing w:val="-2"/>
              </w:rPr>
              <w:t>. 投标人所投产品确保满足国家信息安全等级保护标准的要求，需</w:t>
            </w:r>
            <w:r>
              <w:rPr>
                <w:spacing w:val="7"/>
              </w:rPr>
              <w:t xml:space="preserve"> </w:t>
            </w:r>
            <w:r>
              <w:rPr>
                <w:spacing w:val="-1"/>
              </w:rPr>
              <w:t>提供医学影像或电子胶片相关系统的信息系统安全等级保护备案</w:t>
            </w:r>
          </w:p>
          <w:p w14:paraId="61319311">
            <w:pPr>
              <w:pStyle w:val="6"/>
              <w:spacing w:before="1" w:line="174" w:lineRule="auto"/>
              <w:ind w:left="109"/>
            </w:pPr>
            <w:r>
              <w:rPr>
                <w:spacing w:val="-3"/>
              </w:rPr>
              <w:t>证明达到三级的证明材料（有效期内）。</w:t>
            </w:r>
          </w:p>
          <w:p w14:paraId="1A060CDC">
            <w:pPr>
              <w:pStyle w:val="6"/>
              <w:spacing w:before="1" w:line="187" w:lineRule="auto"/>
              <w:ind w:left="110"/>
            </w:pPr>
            <w:r>
              <w:rPr>
                <w:spacing w:val="-6"/>
              </w:rPr>
              <w:t>满足得 3 分，未提供不得分。</w:t>
            </w:r>
          </w:p>
          <w:p w14:paraId="22AE556B">
            <w:pPr>
              <w:pStyle w:val="6"/>
              <w:spacing w:before="133" w:line="179" w:lineRule="auto"/>
              <w:ind w:left="110" w:right="98" w:hanging="3"/>
              <w:jc w:val="both"/>
            </w:pPr>
            <w:r>
              <w:rPr>
                <w:spacing w:val="-1"/>
              </w:rPr>
              <w:t>3.</w:t>
            </w:r>
            <w:r>
              <w:rPr>
                <w:spacing w:val="-25"/>
              </w:rPr>
              <w:t xml:space="preserve"> </w:t>
            </w:r>
            <w:r>
              <w:rPr>
                <w:spacing w:val="-1"/>
              </w:rPr>
              <w:t>国产化认证：投标人所投产品能够兼容国产操作系统、国产数据</w:t>
            </w:r>
            <w:r>
              <w:t xml:space="preserve"> </w:t>
            </w:r>
            <w:r>
              <w:rPr>
                <w:spacing w:val="-3"/>
              </w:rPr>
              <w:t>库系统或国产存储服务，</w:t>
            </w:r>
            <w:r>
              <w:rPr>
                <w:spacing w:val="-34"/>
              </w:rPr>
              <w:t xml:space="preserve"> </w:t>
            </w:r>
            <w:r>
              <w:rPr>
                <w:spacing w:val="-3"/>
              </w:rPr>
              <w:t>需要提供认证证书或其他证明文件，</w:t>
            </w:r>
            <w:r>
              <w:rPr>
                <w:spacing w:val="-50"/>
              </w:rPr>
              <w:t xml:space="preserve"> </w:t>
            </w:r>
            <w:r>
              <w:rPr>
                <w:spacing w:val="-3"/>
              </w:rPr>
              <w:t>每提</w:t>
            </w:r>
            <w:r>
              <w:t xml:space="preserve"> </w:t>
            </w:r>
            <w:r>
              <w:rPr>
                <w:spacing w:val="-4"/>
              </w:rPr>
              <w:t>供一个得 1.5 分，最高得 3 分，未提供不得分。</w:t>
            </w:r>
          </w:p>
        </w:tc>
      </w:tr>
      <w:tr w14:paraId="0B5C0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3" w:hRule="atLeast"/>
        </w:trPr>
        <w:tc>
          <w:tcPr>
            <w:tcW w:w="688" w:type="dxa"/>
            <w:vMerge w:val="continue"/>
            <w:tcBorders>
              <w:top w:val="nil"/>
              <w:bottom w:val="nil"/>
            </w:tcBorders>
            <w:vAlign w:val="top"/>
          </w:tcPr>
          <w:p w14:paraId="751C0B1F">
            <w:pPr>
              <w:rPr>
                <w:rFonts w:ascii="Arial"/>
                <w:sz w:val="21"/>
              </w:rPr>
            </w:pPr>
          </w:p>
        </w:tc>
        <w:tc>
          <w:tcPr>
            <w:tcW w:w="1482" w:type="dxa"/>
            <w:tcBorders>
              <w:top w:val="single" w:color="000000" w:sz="4" w:space="0"/>
              <w:bottom w:val="single" w:color="000000" w:sz="4" w:space="0"/>
            </w:tcBorders>
            <w:vAlign w:val="top"/>
          </w:tcPr>
          <w:p w14:paraId="21810C6D">
            <w:pPr>
              <w:spacing w:line="259" w:lineRule="auto"/>
              <w:rPr>
                <w:rFonts w:ascii="Arial"/>
                <w:sz w:val="21"/>
              </w:rPr>
            </w:pPr>
          </w:p>
          <w:p w14:paraId="6B763EA2">
            <w:pPr>
              <w:spacing w:line="259" w:lineRule="auto"/>
              <w:rPr>
                <w:rFonts w:ascii="Arial"/>
                <w:sz w:val="21"/>
              </w:rPr>
            </w:pPr>
          </w:p>
          <w:p w14:paraId="2261447F">
            <w:pPr>
              <w:spacing w:line="259" w:lineRule="auto"/>
              <w:rPr>
                <w:rFonts w:ascii="Arial"/>
                <w:sz w:val="21"/>
              </w:rPr>
            </w:pPr>
          </w:p>
          <w:p w14:paraId="46E7444C">
            <w:pPr>
              <w:spacing w:line="259" w:lineRule="auto"/>
              <w:rPr>
                <w:rFonts w:ascii="Arial"/>
                <w:sz w:val="21"/>
              </w:rPr>
            </w:pPr>
          </w:p>
          <w:p w14:paraId="105EB20A">
            <w:pPr>
              <w:spacing w:line="259" w:lineRule="auto"/>
              <w:rPr>
                <w:rFonts w:ascii="Arial"/>
                <w:sz w:val="21"/>
              </w:rPr>
            </w:pPr>
          </w:p>
          <w:p w14:paraId="1F60E209">
            <w:pPr>
              <w:spacing w:line="259" w:lineRule="auto"/>
              <w:rPr>
                <w:rFonts w:ascii="Arial"/>
                <w:sz w:val="21"/>
              </w:rPr>
            </w:pPr>
          </w:p>
          <w:p w14:paraId="055A121B">
            <w:pPr>
              <w:spacing w:line="260" w:lineRule="auto"/>
              <w:rPr>
                <w:rFonts w:ascii="Arial"/>
                <w:sz w:val="21"/>
              </w:rPr>
            </w:pPr>
          </w:p>
          <w:p w14:paraId="6786690C">
            <w:pPr>
              <w:pStyle w:val="6"/>
              <w:spacing w:before="103" w:line="188" w:lineRule="auto"/>
              <w:ind w:left="141"/>
            </w:pPr>
            <w:r>
              <w:rPr>
                <w:spacing w:val="-3"/>
              </w:rPr>
              <w:t>软件著作权</w:t>
            </w:r>
          </w:p>
        </w:tc>
        <w:tc>
          <w:tcPr>
            <w:tcW w:w="674" w:type="dxa"/>
            <w:tcBorders>
              <w:top w:val="single" w:color="000000" w:sz="4" w:space="0"/>
              <w:bottom w:val="single" w:color="000000" w:sz="4" w:space="0"/>
            </w:tcBorders>
            <w:vAlign w:val="top"/>
          </w:tcPr>
          <w:p w14:paraId="1A68D476">
            <w:pPr>
              <w:spacing w:line="259" w:lineRule="auto"/>
              <w:rPr>
                <w:rFonts w:ascii="Arial"/>
                <w:sz w:val="21"/>
              </w:rPr>
            </w:pPr>
          </w:p>
          <w:p w14:paraId="70439AEB">
            <w:pPr>
              <w:spacing w:line="259" w:lineRule="auto"/>
              <w:rPr>
                <w:rFonts w:ascii="Arial"/>
                <w:sz w:val="21"/>
              </w:rPr>
            </w:pPr>
          </w:p>
          <w:p w14:paraId="314F13DB">
            <w:pPr>
              <w:spacing w:line="259" w:lineRule="auto"/>
              <w:rPr>
                <w:rFonts w:ascii="Arial"/>
                <w:sz w:val="21"/>
              </w:rPr>
            </w:pPr>
          </w:p>
          <w:p w14:paraId="324F6D9F">
            <w:pPr>
              <w:spacing w:line="259" w:lineRule="auto"/>
              <w:rPr>
                <w:rFonts w:ascii="Arial"/>
                <w:sz w:val="21"/>
              </w:rPr>
            </w:pPr>
          </w:p>
          <w:p w14:paraId="68B87941">
            <w:pPr>
              <w:spacing w:line="259" w:lineRule="auto"/>
              <w:rPr>
                <w:rFonts w:ascii="Arial"/>
                <w:sz w:val="21"/>
              </w:rPr>
            </w:pPr>
          </w:p>
          <w:p w14:paraId="3E41ED0F">
            <w:pPr>
              <w:spacing w:line="259" w:lineRule="auto"/>
              <w:rPr>
                <w:rFonts w:ascii="Arial"/>
                <w:sz w:val="21"/>
              </w:rPr>
            </w:pPr>
          </w:p>
          <w:p w14:paraId="250FE7D8">
            <w:pPr>
              <w:spacing w:line="260" w:lineRule="auto"/>
              <w:rPr>
                <w:rFonts w:ascii="Arial"/>
                <w:sz w:val="21"/>
              </w:rPr>
            </w:pPr>
          </w:p>
          <w:p w14:paraId="1F01561B">
            <w:pPr>
              <w:pStyle w:val="6"/>
              <w:spacing w:before="103" w:line="188" w:lineRule="auto"/>
              <w:ind w:left="125"/>
            </w:pPr>
            <w:r>
              <w:rPr>
                <w:spacing w:val="-17"/>
              </w:rPr>
              <w:t>5</w:t>
            </w:r>
            <w:r>
              <w:rPr>
                <w:spacing w:val="7"/>
              </w:rPr>
              <w:t xml:space="preserve"> </w:t>
            </w:r>
            <w:r>
              <w:rPr>
                <w:spacing w:val="-17"/>
              </w:rPr>
              <w:t>分</w:t>
            </w:r>
          </w:p>
        </w:tc>
        <w:tc>
          <w:tcPr>
            <w:tcW w:w="7161" w:type="dxa"/>
            <w:vAlign w:val="top"/>
          </w:tcPr>
          <w:p w14:paraId="5630013A">
            <w:pPr>
              <w:pStyle w:val="6"/>
              <w:spacing w:before="32" w:line="175" w:lineRule="auto"/>
              <w:ind w:left="109"/>
            </w:pPr>
            <w:r>
              <w:rPr>
                <w:spacing w:val="-1"/>
              </w:rPr>
              <w:t>投标人须具备软件相关著作权证书，</w:t>
            </w:r>
            <w:r>
              <w:rPr>
                <w:spacing w:val="-50"/>
              </w:rPr>
              <w:t xml:space="preserve"> </w:t>
            </w:r>
            <w:r>
              <w:rPr>
                <w:spacing w:val="-1"/>
              </w:rPr>
              <w:t>每提供一项得</w:t>
            </w:r>
            <w:r>
              <w:rPr>
                <w:spacing w:val="-2"/>
              </w:rPr>
              <w:t xml:space="preserve"> </w:t>
            </w:r>
            <w:r>
              <w:rPr>
                <w:rFonts w:hint="eastAsia"/>
                <w:spacing w:val="-2"/>
                <w:lang w:val="en-US" w:eastAsia="zh-CN"/>
              </w:rPr>
              <w:t>1</w:t>
            </w:r>
            <w:r>
              <w:rPr>
                <w:spacing w:val="-2"/>
              </w:rPr>
              <w:t>分，最多得</w:t>
            </w:r>
          </w:p>
          <w:p w14:paraId="62BBFD0C">
            <w:pPr>
              <w:pStyle w:val="6"/>
              <w:spacing w:line="186" w:lineRule="auto"/>
              <w:ind w:left="107"/>
            </w:pPr>
            <w:r>
              <w:rPr>
                <w:spacing w:val="-20"/>
              </w:rPr>
              <w:t>5</w:t>
            </w:r>
            <w:r>
              <w:rPr>
                <w:spacing w:val="7"/>
              </w:rPr>
              <w:t xml:space="preserve"> </w:t>
            </w:r>
            <w:r>
              <w:rPr>
                <w:spacing w:val="-20"/>
              </w:rPr>
              <w:t>分。</w:t>
            </w:r>
          </w:p>
          <w:p w14:paraId="60E0CED0">
            <w:pPr>
              <w:pStyle w:val="6"/>
              <w:spacing w:before="2" w:line="269" w:lineRule="auto"/>
              <w:ind w:left="105" w:right="2299" w:firstLine="14"/>
            </w:pPr>
            <w:r>
              <w:rPr>
                <w:spacing w:val="-4"/>
              </w:rPr>
              <w:t>1.</w:t>
            </w:r>
            <w:r>
              <w:rPr>
                <w:spacing w:val="-26"/>
              </w:rPr>
              <w:t xml:space="preserve"> </w:t>
            </w:r>
            <w:r>
              <w:rPr>
                <w:spacing w:val="-4"/>
              </w:rPr>
              <w:t>医疗影像存储与传输系统相关软件著作权；</w:t>
            </w:r>
            <w:r>
              <w:t xml:space="preserve"> </w:t>
            </w:r>
            <w:r>
              <w:rPr>
                <w:spacing w:val="-2"/>
              </w:rPr>
              <w:t>2.结构化报告相关著作权；</w:t>
            </w:r>
          </w:p>
          <w:p w14:paraId="0EF0DC1C">
            <w:pPr>
              <w:pStyle w:val="6"/>
              <w:spacing w:before="14" w:line="187" w:lineRule="auto"/>
              <w:ind w:left="107"/>
            </w:pPr>
            <w:r>
              <w:rPr>
                <w:spacing w:val="-2"/>
              </w:rPr>
              <w:t>3.科室管理系统相关著作权；</w:t>
            </w:r>
          </w:p>
          <w:p w14:paraId="017328EB">
            <w:pPr>
              <w:pStyle w:val="6"/>
              <w:spacing w:before="1" w:line="186" w:lineRule="auto"/>
              <w:ind w:left="106" w:right="2719" w:hanging="5"/>
            </w:pPr>
            <w:r>
              <w:rPr>
                <w:spacing w:val="-8"/>
              </w:rPr>
              <w:t>4.PACS 危急值管理系统相关软件著作权；</w:t>
            </w:r>
            <w:r>
              <w:rPr>
                <w:spacing w:val="10"/>
              </w:rPr>
              <w:t xml:space="preserve"> </w:t>
            </w:r>
            <w:r>
              <w:rPr>
                <w:spacing w:val="-4"/>
              </w:rPr>
              <w:t>5.</w:t>
            </w:r>
            <w:r>
              <w:rPr>
                <w:spacing w:val="-19"/>
              </w:rPr>
              <w:t xml:space="preserve"> </w:t>
            </w:r>
            <w:r>
              <w:rPr>
                <w:spacing w:val="-4"/>
              </w:rPr>
              <w:t>医疗检查预约平台相关软件著作权；</w:t>
            </w:r>
          </w:p>
          <w:p w14:paraId="29E9CEC6">
            <w:pPr>
              <w:pStyle w:val="6"/>
              <w:spacing w:before="1" w:line="186" w:lineRule="auto"/>
              <w:ind w:left="107" w:right="3499" w:hanging="3"/>
            </w:pPr>
            <w:r>
              <w:rPr>
                <w:spacing w:val="-4"/>
              </w:rPr>
              <w:t>6.</w:t>
            </w:r>
            <w:r>
              <w:rPr>
                <w:spacing w:val="-29"/>
              </w:rPr>
              <w:t xml:space="preserve"> </w:t>
            </w:r>
            <w:r>
              <w:rPr>
                <w:spacing w:val="-4"/>
              </w:rPr>
              <w:t>电子胶片信息系统相关著作权；</w:t>
            </w:r>
            <w:r>
              <w:t xml:space="preserve"> </w:t>
            </w:r>
            <w:r>
              <w:rPr>
                <w:spacing w:val="-2"/>
              </w:rPr>
              <w:t>7.影像质控管理相关著作权；</w:t>
            </w:r>
          </w:p>
          <w:p w14:paraId="4A2E2E24">
            <w:pPr>
              <w:pStyle w:val="6"/>
              <w:spacing w:line="255" w:lineRule="exact"/>
              <w:ind w:left="120"/>
            </w:pPr>
            <w:r>
              <w:rPr>
                <w:rFonts w:hint="eastAsia"/>
                <w:spacing w:val="-3"/>
                <w:position w:val="-1"/>
                <w:lang w:val="en-US" w:eastAsia="zh-CN"/>
              </w:rPr>
              <w:t>8</w:t>
            </w:r>
            <w:r>
              <w:rPr>
                <w:spacing w:val="-3"/>
                <w:position w:val="-1"/>
              </w:rPr>
              <w:t>.数字医学影像服务平台相关著作权；</w:t>
            </w:r>
          </w:p>
        </w:tc>
      </w:tr>
      <w:tr w14:paraId="5D1BB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8" w:hRule="atLeast"/>
        </w:trPr>
        <w:tc>
          <w:tcPr>
            <w:tcW w:w="688" w:type="dxa"/>
            <w:vMerge w:val="continue"/>
            <w:tcBorders>
              <w:top w:val="nil"/>
              <w:bottom w:val="nil"/>
            </w:tcBorders>
            <w:vAlign w:val="top"/>
          </w:tcPr>
          <w:p w14:paraId="36E10BE2">
            <w:pPr>
              <w:rPr>
                <w:rFonts w:ascii="Arial"/>
                <w:sz w:val="21"/>
              </w:rPr>
            </w:pPr>
          </w:p>
        </w:tc>
        <w:tc>
          <w:tcPr>
            <w:tcW w:w="1482" w:type="dxa"/>
            <w:tcBorders>
              <w:top w:val="single" w:color="000000" w:sz="4" w:space="0"/>
            </w:tcBorders>
            <w:vAlign w:val="top"/>
          </w:tcPr>
          <w:p w14:paraId="3AADE1D7">
            <w:pPr>
              <w:spacing w:line="263" w:lineRule="auto"/>
              <w:rPr>
                <w:rFonts w:ascii="Arial"/>
                <w:sz w:val="21"/>
              </w:rPr>
            </w:pPr>
          </w:p>
          <w:p w14:paraId="22986B54">
            <w:pPr>
              <w:spacing w:line="263" w:lineRule="auto"/>
              <w:rPr>
                <w:rFonts w:ascii="Arial"/>
                <w:sz w:val="21"/>
              </w:rPr>
            </w:pPr>
          </w:p>
          <w:p w14:paraId="36553837">
            <w:pPr>
              <w:spacing w:line="263" w:lineRule="auto"/>
              <w:rPr>
                <w:rFonts w:ascii="Arial"/>
                <w:sz w:val="21"/>
              </w:rPr>
            </w:pPr>
          </w:p>
          <w:p w14:paraId="510FA8D4">
            <w:pPr>
              <w:spacing w:line="263" w:lineRule="auto"/>
              <w:rPr>
                <w:rFonts w:ascii="Arial"/>
                <w:sz w:val="21"/>
              </w:rPr>
            </w:pPr>
          </w:p>
          <w:p w14:paraId="41E20258">
            <w:pPr>
              <w:spacing w:line="263" w:lineRule="auto"/>
              <w:rPr>
                <w:rFonts w:ascii="Arial"/>
                <w:sz w:val="21"/>
              </w:rPr>
            </w:pPr>
          </w:p>
          <w:p w14:paraId="1ED6422A">
            <w:pPr>
              <w:spacing w:line="263" w:lineRule="auto"/>
              <w:rPr>
                <w:rFonts w:ascii="Arial"/>
                <w:sz w:val="21"/>
              </w:rPr>
            </w:pPr>
          </w:p>
          <w:p w14:paraId="4EAC2B86">
            <w:pPr>
              <w:pStyle w:val="6"/>
              <w:spacing w:before="103" w:line="182" w:lineRule="auto"/>
              <w:ind w:left="623" w:right="137" w:hanging="457"/>
            </w:pPr>
            <w:r>
              <w:rPr>
                <w:spacing w:val="-6"/>
                <w:w w:val="98"/>
              </w:rPr>
              <w:t>电子病历能</w:t>
            </w:r>
            <w:r>
              <w:rPr>
                <w:spacing w:val="10"/>
              </w:rPr>
              <w:t xml:space="preserve"> </w:t>
            </w:r>
            <w:r>
              <w:t>力</w:t>
            </w:r>
          </w:p>
        </w:tc>
        <w:tc>
          <w:tcPr>
            <w:tcW w:w="674" w:type="dxa"/>
            <w:tcBorders>
              <w:top w:val="single" w:color="000000" w:sz="4" w:space="0"/>
            </w:tcBorders>
            <w:vAlign w:val="top"/>
          </w:tcPr>
          <w:p w14:paraId="5223779B">
            <w:pPr>
              <w:spacing w:line="246" w:lineRule="auto"/>
              <w:rPr>
                <w:rFonts w:ascii="Arial"/>
                <w:sz w:val="21"/>
              </w:rPr>
            </w:pPr>
          </w:p>
          <w:p w14:paraId="1DB59CA0">
            <w:pPr>
              <w:spacing w:line="246" w:lineRule="auto"/>
              <w:rPr>
                <w:rFonts w:ascii="Arial"/>
                <w:sz w:val="21"/>
              </w:rPr>
            </w:pPr>
          </w:p>
          <w:p w14:paraId="38E34D87">
            <w:pPr>
              <w:spacing w:line="246" w:lineRule="auto"/>
              <w:rPr>
                <w:rFonts w:ascii="Arial"/>
                <w:sz w:val="21"/>
              </w:rPr>
            </w:pPr>
          </w:p>
          <w:p w14:paraId="3F7A21C6">
            <w:pPr>
              <w:spacing w:line="247" w:lineRule="auto"/>
              <w:rPr>
                <w:rFonts w:ascii="Arial"/>
                <w:sz w:val="21"/>
              </w:rPr>
            </w:pPr>
          </w:p>
          <w:p w14:paraId="3B1D5FEE">
            <w:pPr>
              <w:spacing w:line="247" w:lineRule="auto"/>
              <w:rPr>
                <w:rFonts w:ascii="Arial"/>
                <w:sz w:val="21"/>
              </w:rPr>
            </w:pPr>
          </w:p>
          <w:p w14:paraId="02CE55D1">
            <w:pPr>
              <w:spacing w:line="247" w:lineRule="auto"/>
              <w:rPr>
                <w:rFonts w:ascii="Arial"/>
                <w:sz w:val="21"/>
              </w:rPr>
            </w:pPr>
          </w:p>
          <w:p w14:paraId="470EACF1">
            <w:pPr>
              <w:spacing w:line="247" w:lineRule="auto"/>
              <w:rPr>
                <w:rFonts w:ascii="Arial"/>
                <w:sz w:val="21"/>
              </w:rPr>
            </w:pPr>
          </w:p>
          <w:p w14:paraId="6E38372D">
            <w:pPr>
              <w:pStyle w:val="6"/>
              <w:spacing w:before="103" w:line="188" w:lineRule="auto"/>
              <w:ind w:left="125"/>
            </w:pPr>
            <w:r>
              <w:rPr>
                <w:spacing w:val="-17"/>
              </w:rPr>
              <w:t>5</w:t>
            </w:r>
            <w:r>
              <w:rPr>
                <w:spacing w:val="7"/>
              </w:rPr>
              <w:t xml:space="preserve"> </w:t>
            </w:r>
            <w:r>
              <w:rPr>
                <w:spacing w:val="-17"/>
              </w:rPr>
              <w:t>分</w:t>
            </w:r>
          </w:p>
        </w:tc>
        <w:tc>
          <w:tcPr>
            <w:tcW w:w="7161" w:type="dxa"/>
            <w:vAlign w:val="top"/>
          </w:tcPr>
          <w:p w14:paraId="1307B0D4">
            <w:pPr>
              <w:pStyle w:val="6"/>
              <w:spacing w:before="39" w:line="175" w:lineRule="auto"/>
              <w:ind w:left="112" w:right="98"/>
            </w:pPr>
            <w:r>
              <w:rPr>
                <w:spacing w:val="-1"/>
              </w:rPr>
              <w:t>具备相关电子病历评级经验，所投产品协助医院通过电子病历</w:t>
            </w:r>
            <w:r>
              <w:rPr>
                <w:spacing w:val="-2"/>
              </w:rPr>
              <w:t>评级</w:t>
            </w:r>
            <w:r>
              <w:t xml:space="preserve"> </w:t>
            </w:r>
            <w:r>
              <w:rPr>
                <w:spacing w:val="-8"/>
              </w:rPr>
              <w:t>并通过相关等级：</w:t>
            </w:r>
          </w:p>
          <w:p w14:paraId="0DCAAAD4">
            <w:pPr>
              <w:pStyle w:val="6"/>
              <w:spacing w:before="1" w:line="174" w:lineRule="auto"/>
              <w:ind w:left="120"/>
            </w:pPr>
            <w:r>
              <w:rPr>
                <w:spacing w:val="-4"/>
              </w:rPr>
              <w:t>1.</w:t>
            </w:r>
            <w:r>
              <w:rPr>
                <w:spacing w:val="32"/>
                <w:w w:val="101"/>
              </w:rPr>
              <w:t xml:space="preserve"> </w:t>
            </w:r>
            <w:r>
              <w:rPr>
                <w:spacing w:val="-4"/>
              </w:rPr>
              <w:t>具有协助医院通过电子病历 7 级评审案例的，得 5 分；</w:t>
            </w:r>
          </w:p>
          <w:p w14:paraId="0A45B925">
            <w:pPr>
              <w:pStyle w:val="6"/>
              <w:spacing w:before="1" w:line="174" w:lineRule="auto"/>
              <w:ind w:left="105"/>
            </w:pPr>
            <w:r>
              <w:rPr>
                <w:spacing w:val="-2"/>
              </w:rPr>
              <w:t>2.</w:t>
            </w:r>
            <w:r>
              <w:rPr>
                <w:spacing w:val="21"/>
              </w:rPr>
              <w:t xml:space="preserve"> </w:t>
            </w:r>
            <w:r>
              <w:rPr>
                <w:spacing w:val="-2"/>
              </w:rPr>
              <w:t>具有协助医院通过电子病历 6 级评审案例的，得 3 分</w:t>
            </w:r>
          </w:p>
          <w:p w14:paraId="730B48D0">
            <w:pPr>
              <w:pStyle w:val="6"/>
              <w:spacing w:before="1" w:line="174" w:lineRule="auto"/>
              <w:ind w:left="107"/>
            </w:pPr>
            <w:r>
              <w:rPr>
                <w:spacing w:val="-3"/>
              </w:rPr>
              <w:t>3.</w:t>
            </w:r>
            <w:r>
              <w:rPr>
                <w:spacing w:val="19"/>
                <w:w w:val="101"/>
              </w:rPr>
              <w:t xml:space="preserve"> </w:t>
            </w:r>
            <w:r>
              <w:rPr>
                <w:spacing w:val="-3"/>
              </w:rPr>
              <w:t xml:space="preserve">具有协助医院通过电子病历 5 级评审案例的，得 </w:t>
            </w:r>
            <w:r>
              <w:rPr>
                <w:spacing w:val="-4"/>
              </w:rPr>
              <w:t>1 分；</w:t>
            </w:r>
          </w:p>
          <w:p w14:paraId="4E3985E7">
            <w:pPr>
              <w:pStyle w:val="6"/>
              <w:spacing w:before="1" w:line="174" w:lineRule="auto"/>
              <w:ind w:left="101"/>
            </w:pPr>
            <w:r>
              <w:t>4.无协助医院通过电子病历 5 级以上评审案</w:t>
            </w:r>
            <w:r>
              <w:rPr>
                <w:spacing w:val="-1"/>
              </w:rPr>
              <w:t>例或未提供以上业绩</w:t>
            </w:r>
          </w:p>
          <w:p w14:paraId="11A878A2">
            <w:pPr>
              <w:pStyle w:val="6"/>
              <w:spacing w:before="7" w:line="174" w:lineRule="auto"/>
              <w:ind w:left="107" w:right="98" w:firstLine="3"/>
            </w:pPr>
            <w:r>
              <w:rPr>
                <w:spacing w:val="-2"/>
              </w:rPr>
              <w:t>案例的不得分。（按以上给分项的最高分给分</w:t>
            </w:r>
            <w:r>
              <w:rPr>
                <w:spacing w:val="-3"/>
              </w:rPr>
              <w:t>，不累加。例如：</w:t>
            </w:r>
            <w:r>
              <w:rPr>
                <w:spacing w:val="-33"/>
              </w:rPr>
              <w:t xml:space="preserve"> </w:t>
            </w:r>
            <w:r>
              <w:rPr>
                <w:spacing w:val="-3"/>
              </w:rPr>
              <w:t>既</w:t>
            </w:r>
            <w:r>
              <w:t xml:space="preserve"> </w:t>
            </w:r>
            <w:r>
              <w:rPr>
                <w:spacing w:val="-3"/>
              </w:rPr>
              <w:t>有通过电子病例 6 级的案例，又有通过电子</w:t>
            </w:r>
            <w:r>
              <w:rPr>
                <w:spacing w:val="-4"/>
              </w:rPr>
              <w:t>病例 5 级的案例，得分</w:t>
            </w:r>
            <w:r>
              <w:t xml:space="preserve"> </w:t>
            </w:r>
            <w:r>
              <w:rPr>
                <w:spacing w:val="-6"/>
              </w:rPr>
              <w:t>为 3 分，而不是 3 分+1 分。）证明材料要求：1、电子病历评审需</w:t>
            </w:r>
            <w:r>
              <w:t xml:space="preserve"> </w:t>
            </w:r>
            <w:r>
              <w:rPr>
                <w:spacing w:val="-2"/>
              </w:rPr>
              <w:t>提供项目合同复印件，医院等级评定结果或</w:t>
            </w:r>
            <w:r>
              <w:rPr>
                <w:spacing w:val="-3"/>
              </w:rPr>
              <w:t>评定等级牌匾；</w:t>
            </w:r>
            <w:r>
              <w:rPr>
                <w:spacing w:val="-29"/>
              </w:rPr>
              <w:t xml:space="preserve"> </w:t>
            </w:r>
            <w:r>
              <w:rPr>
                <w:spacing w:val="-3"/>
              </w:rPr>
              <w:t>以上证</w:t>
            </w:r>
            <w:r>
              <w:t xml:space="preserve"> </w:t>
            </w:r>
            <w:r>
              <w:rPr>
                <w:spacing w:val="-3"/>
              </w:rPr>
              <w:t>明材料加盖公章，有缺项、漏项者不得分。</w:t>
            </w:r>
          </w:p>
          <w:p w14:paraId="2B3513E4">
            <w:pPr>
              <w:pStyle w:val="6"/>
              <w:spacing w:before="2" w:line="159" w:lineRule="auto"/>
              <w:ind w:left="108" w:right="206" w:hanging="3"/>
            </w:pPr>
            <w:r>
              <w:rPr>
                <w:spacing w:val="-1"/>
              </w:rPr>
              <w:t>2、案例须提供项目合同复印件，以上证明材料至少包</w:t>
            </w:r>
            <w:r>
              <w:rPr>
                <w:spacing w:val="-2"/>
              </w:rPr>
              <w:t>括首页、价</w:t>
            </w:r>
            <w:r>
              <w:t xml:space="preserve"> </w:t>
            </w:r>
            <w:r>
              <w:rPr>
                <w:spacing w:val="-2"/>
              </w:rPr>
              <w:t>格页、内容页和签字页，有缺项、漏项者不计</w:t>
            </w:r>
            <w:r>
              <w:rPr>
                <w:spacing w:val="-3"/>
              </w:rPr>
              <w:t>分。</w:t>
            </w:r>
          </w:p>
        </w:tc>
      </w:tr>
      <w:tr w14:paraId="6EA5D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3" w:hRule="atLeast"/>
        </w:trPr>
        <w:tc>
          <w:tcPr>
            <w:tcW w:w="688" w:type="dxa"/>
            <w:vMerge w:val="continue"/>
            <w:tcBorders>
              <w:top w:val="nil"/>
            </w:tcBorders>
            <w:vAlign w:val="top"/>
          </w:tcPr>
          <w:p w14:paraId="1DD1E827">
            <w:pPr>
              <w:rPr>
                <w:rFonts w:ascii="Arial"/>
                <w:sz w:val="21"/>
              </w:rPr>
            </w:pPr>
          </w:p>
        </w:tc>
        <w:tc>
          <w:tcPr>
            <w:tcW w:w="1482" w:type="dxa"/>
            <w:vAlign w:val="top"/>
          </w:tcPr>
          <w:p w14:paraId="09682E03">
            <w:pPr>
              <w:spacing w:line="363" w:lineRule="auto"/>
              <w:rPr>
                <w:rFonts w:ascii="Arial"/>
                <w:sz w:val="21"/>
              </w:rPr>
            </w:pPr>
          </w:p>
          <w:p w14:paraId="2DD1FB9A">
            <w:pPr>
              <w:pStyle w:val="6"/>
              <w:spacing w:before="103" w:line="188" w:lineRule="auto"/>
              <w:ind w:left="500"/>
            </w:pPr>
            <w:r>
              <w:rPr>
                <w:spacing w:val="-4"/>
              </w:rPr>
              <w:t>业绩</w:t>
            </w:r>
          </w:p>
        </w:tc>
        <w:tc>
          <w:tcPr>
            <w:tcW w:w="674" w:type="dxa"/>
            <w:vAlign w:val="top"/>
          </w:tcPr>
          <w:p w14:paraId="592589DF">
            <w:pPr>
              <w:spacing w:line="364" w:lineRule="auto"/>
              <w:rPr>
                <w:rFonts w:ascii="Arial"/>
                <w:sz w:val="21"/>
              </w:rPr>
            </w:pPr>
          </w:p>
          <w:p w14:paraId="1F4D3FEF">
            <w:pPr>
              <w:pStyle w:val="6"/>
              <w:spacing w:before="103" w:line="188" w:lineRule="auto"/>
              <w:ind w:left="119"/>
            </w:pPr>
            <w:r>
              <w:rPr>
                <w:spacing w:val="-3"/>
                <w:w w:val="94"/>
              </w:rPr>
              <w:t>4</w:t>
            </w:r>
            <w:r>
              <w:rPr>
                <w:spacing w:val="7"/>
              </w:rPr>
              <w:t xml:space="preserve"> </w:t>
            </w:r>
            <w:r>
              <w:rPr>
                <w:spacing w:val="-3"/>
                <w:w w:val="94"/>
              </w:rPr>
              <w:t>分</w:t>
            </w:r>
          </w:p>
        </w:tc>
        <w:tc>
          <w:tcPr>
            <w:tcW w:w="7161" w:type="dxa"/>
            <w:vAlign w:val="top"/>
          </w:tcPr>
          <w:p w14:paraId="054DB0F1">
            <w:pPr>
              <w:pStyle w:val="6"/>
              <w:spacing w:before="169" w:line="179" w:lineRule="auto"/>
              <w:ind w:left="111" w:right="38" w:hanging="2"/>
              <w:jc w:val="both"/>
            </w:pPr>
            <w:r>
              <w:rPr>
                <w:spacing w:val="-5"/>
              </w:rPr>
              <w:t>投标人须具有类似案例，</w:t>
            </w:r>
            <w:r>
              <w:rPr>
                <w:spacing w:val="-45"/>
              </w:rPr>
              <w:t xml:space="preserve"> </w:t>
            </w:r>
            <w:r>
              <w:rPr>
                <w:spacing w:val="-5"/>
              </w:rPr>
              <w:t>每提供一个案例得</w:t>
            </w:r>
            <w:r>
              <w:rPr>
                <w:spacing w:val="60"/>
              </w:rPr>
              <w:t xml:space="preserve"> </w:t>
            </w:r>
            <w:r>
              <w:rPr>
                <w:spacing w:val="-5"/>
              </w:rPr>
              <w:t>2 分，</w:t>
            </w:r>
            <w:r>
              <w:rPr>
                <w:spacing w:val="-50"/>
              </w:rPr>
              <w:t xml:space="preserve"> </w:t>
            </w:r>
            <w:r>
              <w:rPr>
                <w:spacing w:val="-5"/>
              </w:rPr>
              <w:t>最多得 4 分。须</w:t>
            </w:r>
            <w:r>
              <w:t xml:space="preserve"> </w:t>
            </w:r>
            <w:r>
              <w:rPr>
                <w:spacing w:val="-1"/>
              </w:rPr>
              <w:t>提供项目合同复印件。证明材料至少包括首页、价格页、内容页和</w:t>
            </w:r>
            <w:r>
              <w:t xml:space="preserve">  </w:t>
            </w:r>
            <w:r>
              <w:rPr>
                <w:spacing w:val="-4"/>
              </w:rPr>
              <w:t>签字页，有缺项、漏项者不计数。</w:t>
            </w:r>
          </w:p>
        </w:tc>
      </w:tr>
    </w:tbl>
    <w:p w14:paraId="2FCB9305">
      <w:pPr>
        <w:spacing w:before="179" w:line="184" w:lineRule="auto"/>
        <w:ind w:left="560"/>
        <w:rPr>
          <w:rFonts w:ascii="微软雅黑" w:hAnsi="微软雅黑" w:eastAsia="微软雅黑" w:cs="微软雅黑"/>
          <w:sz w:val="24"/>
          <w:szCs w:val="24"/>
        </w:rPr>
      </w:pPr>
      <w:r>
        <w:rPr>
          <w:rFonts w:ascii="微软雅黑" w:hAnsi="微软雅黑" w:eastAsia="微软雅黑" w:cs="微软雅黑"/>
          <w:b/>
          <w:bCs/>
          <w:spacing w:val="-6"/>
          <w:sz w:val="24"/>
          <w:szCs w:val="24"/>
        </w:rPr>
        <w:t>（4）支持中小企业政府采购政策功能落实</w:t>
      </w:r>
    </w:p>
    <w:p w14:paraId="6F74B77A">
      <w:pPr>
        <w:spacing w:before="140" w:line="181" w:lineRule="auto"/>
        <w:ind w:left="87" w:right="72" w:firstLine="481"/>
        <w:jc w:val="both"/>
        <w:rPr>
          <w:rFonts w:ascii="微软雅黑" w:hAnsi="微软雅黑" w:eastAsia="微软雅黑" w:cs="微软雅黑"/>
          <w:sz w:val="24"/>
          <w:szCs w:val="24"/>
        </w:rPr>
      </w:pPr>
      <w:r>
        <w:rPr>
          <w:rFonts w:ascii="微软雅黑" w:hAnsi="微软雅黑" w:eastAsia="微软雅黑" w:cs="微软雅黑"/>
          <w:sz w:val="24"/>
          <w:szCs w:val="24"/>
        </w:rPr>
        <w:t>本采购项目不专门面向中小企业。该项目对应的中小企业划分标准所属行业：</w:t>
      </w:r>
      <w:r>
        <w:rPr>
          <w:rFonts w:ascii="微软雅黑" w:hAnsi="微软雅黑" w:eastAsia="微软雅黑" w:cs="微软雅黑"/>
          <w:spacing w:val="-47"/>
          <w:sz w:val="24"/>
          <w:szCs w:val="24"/>
        </w:rPr>
        <w:t xml:space="preserve"> </w:t>
      </w:r>
      <w:r>
        <w:rPr>
          <w:rFonts w:ascii="微软雅黑" w:hAnsi="微软雅黑" w:eastAsia="微软雅黑" w:cs="微软雅黑"/>
          <w:b/>
          <w:bCs/>
          <w:sz w:val="24"/>
          <w:szCs w:val="24"/>
          <w:u w:val="single" w:color="auto"/>
        </w:rPr>
        <w:t>软件</w:t>
      </w:r>
      <w:r>
        <w:rPr>
          <w:rFonts w:ascii="微软雅黑" w:hAnsi="微软雅黑" w:eastAsia="微软雅黑" w:cs="微软雅黑"/>
          <w:b/>
          <w:bCs/>
          <w:spacing w:val="-1"/>
          <w:sz w:val="24"/>
          <w:szCs w:val="24"/>
          <w:u w:val="single" w:color="auto"/>
        </w:rPr>
        <w:t>和信息</w:t>
      </w:r>
      <w:r>
        <w:rPr>
          <w:rFonts w:ascii="微软雅黑" w:hAnsi="微软雅黑" w:eastAsia="微软雅黑" w:cs="微软雅黑"/>
          <w:b/>
          <w:bCs/>
          <w:sz w:val="24"/>
          <w:szCs w:val="24"/>
        </w:rPr>
        <w:t xml:space="preserve"> </w:t>
      </w:r>
      <w:r>
        <w:rPr>
          <w:rFonts w:ascii="微软雅黑" w:hAnsi="微软雅黑" w:eastAsia="微软雅黑" w:cs="微软雅黑"/>
          <w:b/>
          <w:bCs/>
          <w:spacing w:val="-5"/>
          <w:sz w:val="24"/>
          <w:szCs w:val="24"/>
          <w:u w:val="single" w:color="auto"/>
        </w:rPr>
        <w:t>技术服务业</w:t>
      </w:r>
      <w:r>
        <w:rPr>
          <w:rFonts w:ascii="微软雅黑" w:hAnsi="微软雅黑" w:eastAsia="微软雅黑" w:cs="微软雅黑"/>
          <w:spacing w:val="-5"/>
          <w:sz w:val="24"/>
          <w:szCs w:val="24"/>
        </w:rPr>
        <w:t>【行业划分标准按《国民经济行业分类》执行。中小企业划分标准按</w:t>
      </w:r>
      <w:r>
        <w:rPr>
          <w:rFonts w:ascii="微软雅黑" w:hAnsi="微软雅黑" w:eastAsia="微软雅黑" w:cs="微软雅黑"/>
          <w:spacing w:val="-6"/>
          <w:sz w:val="24"/>
          <w:szCs w:val="24"/>
        </w:rPr>
        <w:t>《中小企业划型</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标准规定》（工信部联企业[2011]300 号）文件</w:t>
      </w:r>
      <w:r>
        <w:rPr>
          <w:rFonts w:ascii="微软雅黑" w:hAnsi="微软雅黑" w:eastAsia="微软雅黑" w:cs="微软雅黑"/>
          <w:spacing w:val="-7"/>
          <w:sz w:val="24"/>
          <w:szCs w:val="24"/>
        </w:rPr>
        <w:t>规定执行。】</w:t>
      </w:r>
    </w:p>
    <w:p w14:paraId="2ECA5C53">
      <w:pPr>
        <w:spacing w:line="178" w:lineRule="auto"/>
        <w:ind w:left="560"/>
        <w:rPr>
          <w:rFonts w:ascii="微软雅黑" w:hAnsi="微软雅黑" w:eastAsia="微软雅黑" w:cs="微软雅黑"/>
          <w:sz w:val="24"/>
          <w:szCs w:val="24"/>
        </w:rPr>
      </w:pPr>
      <w:r>
        <w:rPr>
          <w:rFonts w:ascii="微软雅黑" w:hAnsi="微软雅黑" w:eastAsia="微软雅黑" w:cs="微软雅黑"/>
          <w:b/>
          <w:bCs/>
          <w:spacing w:val="-1"/>
          <w:sz w:val="24"/>
          <w:szCs w:val="24"/>
        </w:rPr>
        <w:t>①小微型企业价格扣除</w:t>
      </w:r>
    </w:p>
    <w:p w14:paraId="6DAA65CA">
      <w:pPr>
        <w:spacing w:before="5" w:line="183" w:lineRule="auto"/>
        <w:ind w:left="568"/>
        <w:rPr>
          <w:rFonts w:ascii="微软雅黑" w:hAnsi="微软雅黑" w:eastAsia="微软雅黑" w:cs="微软雅黑"/>
          <w:sz w:val="24"/>
          <w:szCs w:val="24"/>
        </w:rPr>
      </w:pPr>
      <w:r>
        <w:rPr>
          <w:rFonts w:ascii="微软雅黑" w:hAnsi="微软雅黑" w:eastAsia="微软雅黑" w:cs="微软雅黑"/>
          <w:spacing w:val="-6"/>
          <w:sz w:val="24"/>
          <w:szCs w:val="24"/>
        </w:rPr>
        <w:t>（a）本项目对小型和微型企业产品给予</w:t>
      </w:r>
      <w:r>
        <w:rPr>
          <w:rFonts w:ascii="微软雅黑" w:hAnsi="微软雅黑" w:eastAsia="微软雅黑" w:cs="微软雅黑"/>
          <w:spacing w:val="44"/>
          <w:sz w:val="24"/>
          <w:szCs w:val="24"/>
        </w:rPr>
        <w:t xml:space="preserve"> </w:t>
      </w:r>
      <w:r>
        <w:rPr>
          <w:rFonts w:ascii="微软雅黑" w:hAnsi="微软雅黑" w:eastAsia="微软雅黑" w:cs="微软雅黑"/>
          <w:spacing w:val="-6"/>
          <w:sz w:val="24"/>
          <w:szCs w:val="24"/>
        </w:rPr>
        <w:t>10%的扣除价格，用扣除后</w:t>
      </w:r>
      <w:r>
        <w:rPr>
          <w:rFonts w:ascii="微软雅黑" w:hAnsi="微软雅黑" w:eastAsia="微软雅黑" w:cs="微软雅黑"/>
          <w:spacing w:val="-7"/>
          <w:sz w:val="24"/>
          <w:szCs w:val="24"/>
        </w:rPr>
        <w:t>的价格参与评审。</w:t>
      </w:r>
    </w:p>
    <w:p w14:paraId="0764AD80">
      <w:pPr>
        <w:pStyle w:val="2"/>
        <w:spacing w:line="427" w:lineRule="auto"/>
      </w:pPr>
    </w:p>
    <w:p w14:paraId="7C9D63C7">
      <w:pPr>
        <w:spacing w:before="62" w:line="209" w:lineRule="auto"/>
        <w:ind w:left="181"/>
        <w:rPr>
          <w:rFonts w:ascii="宋体" w:hAnsi="宋体" w:eastAsia="宋体" w:cs="宋体"/>
          <w:sz w:val="19"/>
          <w:szCs w:val="19"/>
        </w:rPr>
      </w:pPr>
      <w:r>
        <w:pict>
          <v:shape id="_x0000_s1072" o:spid="_x0000_s1072" style="position:absolute;left:0pt;margin-left:3.6pt;margin-top:11.8pt;height:0.75pt;width:494pt;z-index:251737088;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92                                </w:t>
      </w:r>
      <w:r>
        <w:rPr>
          <w:rFonts w:ascii="宋体" w:hAnsi="宋体" w:eastAsia="宋体" w:cs="宋体"/>
          <w:b/>
          <w:bCs/>
          <w:i/>
          <w:iCs/>
          <w:spacing w:val="-3"/>
          <w:sz w:val="19"/>
          <w:szCs w:val="19"/>
        </w:rPr>
        <w:t>伊犁州公共资源交易中心</w:t>
      </w:r>
    </w:p>
    <w:p w14:paraId="22C697B6">
      <w:pPr>
        <w:spacing w:line="209" w:lineRule="auto"/>
        <w:rPr>
          <w:rFonts w:ascii="宋体" w:hAnsi="宋体" w:eastAsia="宋体" w:cs="宋体"/>
          <w:sz w:val="19"/>
          <w:szCs w:val="19"/>
        </w:rPr>
        <w:sectPr>
          <w:footerReference r:id="rId85" w:type="default"/>
          <w:pgSz w:w="11905" w:h="16839"/>
          <w:pgMar w:top="1136" w:right="786" w:bottom="400" w:left="1093" w:header="854" w:footer="0" w:gutter="0"/>
          <w:cols w:space="720" w:num="1"/>
        </w:sectPr>
      </w:pPr>
    </w:p>
    <w:p w14:paraId="37A9258F">
      <w:pPr>
        <w:spacing w:before="318" w:line="181" w:lineRule="auto"/>
        <w:ind w:left="524"/>
        <w:rPr>
          <w:rFonts w:ascii="微软雅黑" w:hAnsi="微软雅黑" w:eastAsia="微软雅黑" w:cs="微软雅黑"/>
          <w:sz w:val="24"/>
          <w:szCs w:val="24"/>
        </w:rPr>
      </w:pPr>
      <w:r>
        <w:rPr>
          <w:rFonts w:ascii="微软雅黑" w:hAnsi="微软雅黑" w:eastAsia="微软雅黑" w:cs="微软雅黑"/>
          <w:spacing w:val="-3"/>
          <w:sz w:val="24"/>
          <w:szCs w:val="24"/>
        </w:rPr>
        <w:t>（b）供应商需按照采购文件的要求提供相应的《企业类型声明函》。</w:t>
      </w:r>
    </w:p>
    <w:p w14:paraId="1FBC62E2">
      <w:pPr>
        <w:spacing w:before="1" w:line="181" w:lineRule="auto"/>
        <w:ind w:left="50" w:right="173" w:firstLine="474"/>
        <w:rPr>
          <w:rFonts w:ascii="微软雅黑" w:hAnsi="微软雅黑" w:eastAsia="微软雅黑" w:cs="微软雅黑"/>
          <w:sz w:val="24"/>
          <w:szCs w:val="24"/>
        </w:rPr>
      </w:pPr>
      <w:r>
        <w:rPr>
          <w:rFonts w:ascii="微软雅黑" w:hAnsi="微软雅黑" w:eastAsia="微软雅黑" w:cs="微软雅黑"/>
          <w:spacing w:val="-6"/>
          <w:sz w:val="24"/>
          <w:szCs w:val="24"/>
        </w:rPr>
        <w:t>（c）企业标准请参照《关于印发中小企业</w:t>
      </w:r>
      <w:r>
        <w:rPr>
          <w:rFonts w:ascii="微软雅黑" w:hAnsi="微软雅黑" w:eastAsia="微软雅黑" w:cs="微软雅黑"/>
          <w:spacing w:val="-7"/>
          <w:sz w:val="24"/>
          <w:szCs w:val="24"/>
        </w:rPr>
        <w:t>划型标准规定的通知》（工信部联企业[2011]300</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号）文件规定自行填写。</w:t>
      </w:r>
    </w:p>
    <w:p w14:paraId="4906128A">
      <w:pPr>
        <w:spacing w:line="178" w:lineRule="auto"/>
        <w:ind w:left="516"/>
        <w:rPr>
          <w:rFonts w:ascii="微软雅黑" w:hAnsi="微软雅黑" w:eastAsia="微软雅黑" w:cs="微软雅黑"/>
          <w:sz w:val="24"/>
          <w:szCs w:val="24"/>
        </w:rPr>
      </w:pPr>
      <w:r>
        <w:rPr>
          <w:rFonts w:ascii="微软雅黑" w:hAnsi="微软雅黑" w:eastAsia="微软雅黑" w:cs="微软雅黑"/>
          <w:b/>
          <w:bCs/>
          <w:spacing w:val="-1"/>
          <w:sz w:val="24"/>
          <w:szCs w:val="24"/>
        </w:rPr>
        <w:t>②残疾人福利单位价格扣除</w:t>
      </w:r>
    </w:p>
    <w:p w14:paraId="434308FF">
      <w:pPr>
        <w:spacing w:before="6" w:line="181" w:lineRule="auto"/>
        <w:ind w:left="45" w:right="184" w:firstLine="479"/>
        <w:rPr>
          <w:rFonts w:ascii="微软雅黑" w:hAnsi="微软雅黑" w:eastAsia="微软雅黑" w:cs="微软雅黑"/>
          <w:sz w:val="24"/>
          <w:szCs w:val="24"/>
        </w:rPr>
      </w:pPr>
      <w:r>
        <w:rPr>
          <w:rFonts w:ascii="微软雅黑" w:hAnsi="微软雅黑" w:eastAsia="微软雅黑" w:cs="微软雅黑"/>
          <w:spacing w:val="-5"/>
          <w:sz w:val="24"/>
          <w:szCs w:val="24"/>
        </w:rPr>
        <w:t>（a）本项目对残疾人福利性单位视同小型、微型企业，给予 10%的价</w:t>
      </w:r>
      <w:r>
        <w:rPr>
          <w:rFonts w:ascii="微软雅黑" w:hAnsi="微软雅黑" w:eastAsia="微软雅黑" w:cs="微软雅黑"/>
          <w:spacing w:val="-6"/>
          <w:sz w:val="24"/>
          <w:szCs w:val="24"/>
        </w:rPr>
        <w:t>格扣除，用扣除后的</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价格参与评审。</w:t>
      </w:r>
    </w:p>
    <w:p w14:paraId="7683248C">
      <w:pPr>
        <w:spacing w:line="181" w:lineRule="auto"/>
        <w:ind w:left="524"/>
        <w:rPr>
          <w:rFonts w:ascii="微软雅黑" w:hAnsi="微软雅黑" w:eastAsia="微软雅黑" w:cs="微软雅黑"/>
          <w:sz w:val="24"/>
          <w:szCs w:val="24"/>
        </w:rPr>
      </w:pPr>
      <w:r>
        <w:rPr>
          <w:rFonts w:ascii="微软雅黑" w:hAnsi="微软雅黑" w:eastAsia="微软雅黑" w:cs="微软雅黑"/>
          <w:spacing w:val="-2"/>
          <w:sz w:val="24"/>
          <w:szCs w:val="24"/>
        </w:rPr>
        <w:t>（b）残疾人福利单位需按照采购文件的要求提供《残疾人福利</w:t>
      </w:r>
      <w:r>
        <w:rPr>
          <w:rFonts w:ascii="微软雅黑" w:hAnsi="微软雅黑" w:eastAsia="微软雅黑" w:cs="微软雅黑"/>
          <w:spacing w:val="-3"/>
          <w:sz w:val="24"/>
          <w:szCs w:val="24"/>
        </w:rPr>
        <w:t>性单位声明函》。</w:t>
      </w:r>
    </w:p>
    <w:p w14:paraId="1FA6B0FE">
      <w:pPr>
        <w:spacing w:before="1" w:line="181" w:lineRule="auto"/>
        <w:jc w:val="right"/>
        <w:rPr>
          <w:rFonts w:ascii="微软雅黑" w:hAnsi="微软雅黑" w:eastAsia="微软雅黑" w:cs="微软雅黑"/>
          <w:sz w:val="24"/>
          <w:szCs w:val="24"/>
        </w:rPr>
      </w:pPr>
      <w:r>
        <w:rPr>
          <w:rFonts w:ascii="微软雅黑" w:hAnsi="微软雅黑" w:eastAsia="微软雅黑" w:cs="微软雅黑"/>
          <w:spacing w:val="-11"/>
          <w:sz w:val="24"/>
          <w:szCs w:val="24"/>
        </w:rPr>
        <w:t>（c）残疾人福利单位标准请参照《关于促进残疾人就业政府采</w:t>
      </w:r>
      <w:r>
        <w:rPr>
          <w:rFonts w:ascii="微软雅黑" w:hAnsi="微软雅黑" w:eastAsia="微软雅黑" w:cs="微软雅黑"/>
          <w:spacing w:val="-12"/>
          <w:sz w:val="24"/>
          <w:szCs w:val="24"/>
        </w:rPr>
        <w:t>购政策的通知》（财库〔2017〕</w:t>
      </w:r>
    </w:p>
    <w:p w14:paraId="583CEBFE">
      <w:pPr>
        <w:spacing w:line="181" w:lineRule="auto"/>
        <w:ind w:left="55"/>
        <w:rPr>
          <w:rFonts w:ascii="微软雅黑" w:hAnsi="微软雅黑" w:eastAsia="微软雅黑" w:cs="微软雅黑"/>
          <w:sz w:val="24"/>
          <w:szCs w:val="24"/>
        </w:rPr>
      </w:pPr>
      <w:r>
        <w:rPr>
          <w:rFonts w:ascii="微软雅黑" w:hAnsi="微软雅黑" w:eastAsia="微软雅黑" w:cs="微软雅黑"/>
          <w:spacing w:val="-21"/>
          <w:sz w:val="24"/>
          <w:szCs w:val="24"/>
        </w:rPr>
        <w:t>141</w:t>
      </w:r>
      <w:r>
        <w:rPr>
          <w:rFonts w:ascii="微软雅黑" w:hAnsi="微软雅黑" w:eastAsia="微软雅黑" w:cs="微软雅黑"/>
          <w:spacing w:val="11"/>
          <w:sz w:val="24"/>
          <w:szCs w:val="24"/>
        </w:rPr>
        <w:t xml:space="preserve"> </w:t>
      </w:r>
      <w:r>
        <w:rPr>
          <w:rFonts w:ascii="微软雅黑" w:hAnsi="微软雅黑" w:eastAsia="微软雅黑" w:cs="微软雅黑"/>
          <w:spacing w:val="-21"/>
          <w:sz w:val="24"/>
          <w:szCs w:val="24"/>
        </w:rPr>
        <w:t>号）。</w:t>
      </w:r>
    </w:p>
    <w:p w14:paraId="30AE82E2">
      <w:pPr>
        <w:spacing w:before="1" w:line="178" w:lineRule="auto"/>
        <w:ind w:left="516"/>
        <w:rPr>
          <w:rFonts w:ascii="微软雅黑" w:hAnsi="微软雅黑" w:eastAsia="微软雅黑" w:cs="微软雅黑"/>
          <w:sz w:val="24"/>
          <w:szCs w:val="24"/>
        </w:rPr>
      </w:pPr>
      <w:r>
        <w:rPr>
          <w:rFonts w:ascii="微软雅黑" w:hAnsi="微软雅黑" w:eastAsia="微软雅黑" w:cs="微软雅黑"/>
          <w:b/>
          <w:bCs/>
          <w:spacing w:val="-1"/>
          <w:sz w:val="24"/>
          <w:szCs w:val="24"/>
        </w:rPr>
        <w:t>③监狱和戒毒企业价格扣除</w:t>
      </w:r>
    </w:p>
    <w:p w14:paraId="662A888F">
      <w:pPr>
        <w:spacing w:before="7" w:line="181" w:lineRule="auto"/>
        <w:ind w:left="56" w:right="185" w:firstLine="468"/>
        <w:rPr>
          <w:rFonts w:ascii="微软雅黑" w:hAnsi="微软雅黑" w:eastAsia="微软雅黑" w:cs="微软雅黑"/>
          <w:sz w:val="24"/>
          <w:szCs w:val="24"/>
        </w:rPr>
      </w:pPr>
      <w:r>
        <w:rPr>
          <w:rFonts w:ascii="微软雅黑" w:hAnsi="微软雅黑" w:eastAsia="微软雅黑" w:cs="微软雅黑"/>
          <w:spacing w:val="-5"/>
          <w:sz w:val="24"/>
          <w:szCs w:val="24"/>
        </w:rPr>
        <w:t>（a）本项目对监狱和戒毒企业（简称监狱企业）视同小型、微型企业</w:t>
      </w:r>
      <w:r>
        <w:rPr>
          <w:rFonts w:ascii="微软雅黑" w:hAnsi="微软雅黑" w:eastAsia="微软雅黑" w:cs="微软雅黑"/>
          <w:spacing w:val="-6"/>
          <w:sz w:val="24"/>
          <w:szCs w:val="24"/>
        </w:rPr>
        <w:t>，给予 10%的价格扣</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除，用扣除后的价格参与评审。</w:t>
      </w:r>
    </w:p>
    <w:p w14:paraId="284B8F3A">
      <w:pPr>
        <w:spacing w:before="2" w:line="181" w:lineRule="auto"/>
        <w:ind w:left="44" w:right="160"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（b）</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监狱企业参加政府采购活动时，</w:t>
      </w:r>
      <w:r>
        <w:rPr>
          <w:rFonts w:ascii="微软雅黑" w:hAnsi="微软雅黑" w:eastAsia="微软雅黑" w:cs="微软雅黑"/>
          <w:spacing w:val="-43"/>
          <w:sz w:val="24"/>
          <w:szCs w:val="24"/>
        </w:rPr>
        <w:t xml:space="preserve"> </w:t>
      </w:r>
      <w:r>
        <w:rPr>
          <w:rFonts w:ascii="微软雅黑" w:hAnsi="微软雅黑" w:eastAsia="微软雅黑" w:cs="微软雅黑"/>
          <w:spacing w:val="-1"/>
          <w:sz w:val="24"/>
          <w:szCs w:val="24"/>
        </w:rPr>
        <w:t>需提供由省级以上监狱管理局、戒毒管理局(含新疆</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生产建设兵团)出具的属于监狱企业的证明文件。</w:t>
      </w:r>
      <w:r>
        <w:rPr>
          <w:rFonts w:ascii="微软雅黑" w:hAnsi="微软雅黑" w:eastAsia="微软雅黑" w:cs="微软雅黑"/>
          <w:spacing w:val="-4"/>
          <w:sz w:val="24"/>
          <w:szCs w:val="24"/>
        </w:rPr>
        <w:t>供应商如不提供上述证明文件，</w:t>
      </w:r>
      <w:r>
        <w:rPr>
          <w:rFonts w:ascii="微软雅黑" w:hAnsi="微软雅黑" w:eastAsia="微软雅黑" w:cs="微软雅黑"/>
          <w:spacing w:val="18"/>
          <w:sz w:val="24"/>
          <w:szCs w:val="24"/>
        </w:rPr>
        <w:t xml:space="preserve"> </w:t>
      </w:r>
      <w:r>
        <w:rPr>
          <w:rFonts w:ascii="微软雅黑" w:hAnsi="微软雅黑" w:eastAsia="微软雅黑" w:cs="微软雅黑"/>
          <w:spacing w:val="-4"/>
          <w:sz w:val="24"/>
          <w:szCs w:val="24"/>
        </w:rPr>
        <w:t>价格将不做相</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应扣除。</w:t>
      </w:r>
    </w:p>
    <w:p w14:paraId="1A52667C">
      <w:pPr>
        <w:spacing w:line="181" w:lineRule="auto"/>
        <w:ind w:left="524"/>
        <w:rPr>
          <w:rFonts w:ascii="微软雅黑" w:hAnsi="微软雅黑" w:eastAsia="微软雅黑" w:cs="微软雅黑"/>
          <w:sz w:val="24"/>
          <w:szCs w:val="24"/>
        </w:rPr>
      </w:pPr>
      <w:r>
        <w:rPr>
          <w:rFonts w:ascii="微软雅黑" w:hAnsi="微软雅黑" w:eastAsia="微软雅黑" w:cs="微软雅黑"/>
          <w:spacing w:val="9"/>
          <w:sz w:val="24"/>
          <w:szCs w:val="24"/>
        </w:rPr>
        <w:t>（c）</w:t>
      </w:r>
      <w:r>
        <w:rPr>
          <w:rFonts w:ascii="微软雅黑" w:hAnsi="微软雅黑" w:eastAsia="微软雅黑" w:cs="微软雅黑"/>
          <w:spacing w:val="-27"/>
          <w:sz w:val="24"/>
          <w:szCs w:val="24"/>
        </w:rPr>
        <w:t xml:space="preserve"> </w:t>
      </w:r>
      <w:r>
        <w:rPr>
          <w:rFonts w:ascii="微软雅黑" w:hAnsi="微软雅黑" w:eastAsia="微软雅黑" w:cs="微软雅黑"/>
          <w:spacing w:val="9"/>
          <w:sz w:val="24"/>
          <w:szCs w:val="24"/>
        </w:rPr>
        <w:t>监狱企业标准请参照《关于政府采购支持监狱</w:t>
      </w:r>
      <w:r>
        <w:rPr>
          <w:rFonts w:ascii="微软雅黑" w:hAnsi="微软雅黑" w:eastAsia="微软雅黑" w:cs="微软雅黑"/>
          <w:spacing w:val="8"/>
          <w:sz w:val="24"/>
          <w:szCs w:val="24"/>
        </w:rPr>
        <w:t>企业发展有关问题的通知》（财库</w:t>
      </w:r>
    </w:p>
    <w:p w14:paraId="0BA14F2F">
      <w:pPr>
        <w:spacing w:before="1" w:line="181" w:lineRule="auto"/>
        <w:ind w:left="74"/>
        <w:rPr>
          <w:rFonts w:ascii="微软雅黑" w:hAnsi="微软雅黑" w:eastAsia="微软雅黑" w:cs="微软雅黑"/>
          <w:sz w:val="24"/>
          <w:szCs w:val="24"/>
        </w:rPr>
      </w:pPr>
      <w:r>
        <w:rPr>
          <w:rFonts w:ascii="微软雅黑" w:hAnsi="微软雅黑" w:eastAsia="微软雅黑" w:cs="微软雅黑"/>
          <w:spacing w:val="-10"/>
          <w:sz w:val="24"/>
          <w:szCs w:val="24"/>
        </w:rPr>
        <w:t>[2014]68 号）。</w:t>
      </w:r>
    </w:p>
    <w:p w14:paraId="31305E11">
      <w:pPr>
        <w:spacing w:before="1" w:line="178" w:lineRule="auto"/>
        <w:ind w:left="516"/>
        <w:rPr>
          <w:rFonts w:ascii="微软雅黑" w:hAnsi="微软雅黑" w:eastAsia="微软雅黑" w:cs="微软雅黑"/>
          <w:sz w:val="24"/>
          <w:szCs w:val="24"/>
        </w:rPr>
      </w:pPr>
      <w:r>
        <w:rPr>
          <w:rFonts w:ascii="微软雅黑" w:hAnsi="微软雅黑" w:eastAsia="微软雅黑" w:cs="微软雅黑"/>
          <w:b/>
          <w:bCs/>
          <w:spacing w:val="-1"/>
          <w:sz w:val="24"/>
          <w:szCs w:val="24"/>
        </w:rPr>
        <w:t>④残疾人福利单位、监狱企业属于小型、微型企业的，</w:t>
      </w:r>
      <w:r>
        <w:rPr>
          <w:rFonts w:ascii="微软雅黑" w:hAnsi="微软雅黑" w:eastAsia="微软雅黑" w:cs="微软雅黑"/>
          <w:b/>
          <w:bCs/>
          <w:spacing w:val="-2"/>
          <w:sz w:val="24"/>
          <w:szCs w:val="24"/>
        </w:rPr>
        <w:t>不重复享受政策。</w:t>
      </w:r>
    </w:p>
    <w:p w14:paraId="72A391BC">
      <w:pPr>
        <w:spacing w:before="6" w:line="178" w:lineRule="auto"/>
        <w:ind w:left="516"/>
        <w:rPr>
          <w:rFonts w:ascii="微软雅黑" w:hAnsi="微软雅黑" w:eastAsia="微软雅黑" w:cs="微软雅黑"/>
          <w:sz w:val="24"/>
          <w:szCs w:val="24"/>
        </w:rPr>
      </w:pPr>
      <w:r>
        <w:rPr>
          <w:rFonts w:ascii="微软雅黑" w:hAnsi="微软雅黑" w:eastAsia="微软雅黑" w:cs="微软雅黑"/>
          <w:b/>
          <w:bCs/>
          <w:spacing w:val="-1"/>
          <w:sz w:val="24"/>
          <w:szCs w:val="24"/>
        </w:rPr>
        <w:t>⑤节能产品、环境标志产品政府采购政策执行</w:t>
      </w:r>
    </w:p>
    <w:p w14:paraId="3DB7B782">
      <w:pPr>
        <w:spacing w:before="8" w:line="181" w:lineRule="auto"/>
        <w:ind w:left="44" w:right="80" w:firstLine="824"/>
        <w:rPr>
          <w:rFonts w:ascii="微软雅黑" w:hAnsi="微软雅黑" w:eastAsia="微软雅黑" w:cs="微软雅黑"/>
          <w:sz w:val="24"/>
          <w:szCs w:val="24"/>
        </w:rPr>
      </w:pPr>
      <w:r>
        <w:rPr>
          <w:rFonts w:ascii="微软雅黑" w:hAnsi="微软雅黑" w:eastAsia="微软雅黑" w:cs="微软雅黑"/>
          <w:sz w:val="24"/>
          <w:szCs w:val="24"/>
        </w:rPr>
        <w:t>（1）根据《财政部发展改革委生态环境部市场监管总局关于调整优化节能产品、环境</w:t>
      </w:r>
      <w:r>
        <w:rPr>
          <w:rFonts w:ascii="微软雅黑" w:hAnsi="微软雅黑" w:eastAsia="微软雅黑" w:cs="微软雅黑"/>
          <w:spacing w:val="8"/>
          <w:sz w:val="24"/>
          <w:szCs w:val="24"/>
        </w:rPr>
        <w:t xml:space="preserve">  </w:t>
      </w:r>
      <w:r>
        <w:rPr>
          <w:rFonts w:ascii="微软雅黑" w:hAnsi="微软雅黑" w:eastAsia="微软雅黑" w:cs="微软雅黑"/>
          <w:spacing w:val="-3"/>
          <w:sz w:val="24"/>
          <w:szCs w:val="24"/>
        </w:rPr>
        <w:t>标志产品政府采购执行机制的通知》（财库〔20</w:t>
      </w:r>
      <w:r>
        <w:rPr>
          <w:rFonts w:ascii="微软雅黑" w:hAnsi="微软雅黑" w:eastAsia="微软雅黑" w:cs="微软雅黑"/>
          <w:spacing w:val="-4"/>
          <w:sz w:val="24"/>
          <w:szCs w:val="24"/>
        </w:rPr>
        <w:t>19〕</w:t>
      </w:r>
      <w:r>
        <w:rPr>
          <w:rFonts w:ascii="微软雅黑" w:hAnsi="微软雅黑" w:eastAsia="微软雅黑" w:cs="微软雅黑"/>
          <w:spacing w:val="65"/>
          <w:sz w:val="24"/>
          <w:szCs w:val="24"/>
        </w:rPr>
        <w:t xml:space="preserve"> </w:t>
      </w:r>
      <w:r>
        <w:rPr>
          <w:rFonts w:ascii="微软雅黑" w:hAnsi="微软雅黑" w:eastAsia="微软雅黑" w:cs="微软雅黑"/>
          <w:spacing w:val="-4"/>
          <w:sz w:val="24"/>
          <w:szCs w:val="24"/>
        </w:rPr>
        <w:t>9  号）相关要求，依据品目清单和认证证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书实施政府优先采购和强制采购。本项目采购的产品</w:t>
      </w:r>
      <w:r>
        <w:rPr>
          <w:rFonts w:ascii="微软雅黑" w:hAnsi="微软雅黑" w:eastAsia="微软雅黑" w:cs="微软雅黑"/>
          <w:sz w:val="24"/>
          <w:szCs w:val="24"/>
        </w:rPr>
        <w:t>属于品目清单范围的，应当依据国家确定  的认证机构出具的、处于有效期之内的节能产品、环境标志产品认证证书，</w:t>
      </w:r>
      <w:r>
        <w:rPr>
          <w:rFonts w:ascii="微软雅黑" w:hAnsi="微软雅黑" w:eastAsia="微软雅黑" w:cs="微软雅黑"/>
          <w:spacing w:val="-48"/>
          <w:sz w:val="24"/>
          <w:szCs w:val="24"/>
        </w:rPr>
        <w:t xml:space="preserve"> </w:t>
      </w:r>
      <w:r>
        <w:rPr>
          <w:rFonts w:ascii="微软雅黑" w:hAnsi="微软雅黑" w:eastAsia="微软雅黑" w:cs="微软雅黑"/>
          <w:sz w:val="24"/>
          <w:szCs w:val="24"/>
        </w:rPr>
        <w:t xml:space="preserve">对获得证书的产品  </w:t>
      </w:r>
      <w:r>
        <w:rPr>
          <w:rFonts w:ascii="微软雅黑" w:hAnsi="微软雅黑" w:eastAsia="微软雅黑" w:cs="微软雅黑"/>
          <w:spacing w:val="-4"/>
          <w:sz w:val="24"/>
          <w:szCs w:val="24"/>
        </w:rPr>
        <w:t>实施政府优先采购或强制采购。</w:t>
      </w:r>
    </w:p>
    <w:p w14:paraId="08E94704">
      <w:pPr>
        <w:spacing w:before="3" w:line="181" w:lineRule="auto"/>
        <w:ind w:left="44" w:right="90" w:firstLine="480"/>
        <w:rPr>
          <w:rFonts w:ascii="微软雅黑" w:hAnsi="微软雅黑" w:eastAsia="微软雅黑" w:cs="微软雅黑"/>
          <w:sz w:val="24"/>
          <w:szCs w:val="24"/>
        </w:rPr>
      </w:pPr>
      <w:r>
        <w:rPr>
          <w:rFonts w:ascii="微软雅黑" w:hAnsi="微软雅黑" w:eastAsia="微软雅黑" w:cs="微软雅黑"/>
          <w:spacing w:val="-1"/>
          <w:sz w:val="24"/>
          <w:szCs w:val="24"/>
        </w:rPr>
        <w:t>（2）采购标的属于《节能产品政府采购品目清单》、《环境标志产品政府</w:t>
      </w:r>
      <w:r>
        <w:rPr>
          <w:rFonts w:ascii="微软雅黑" w:hAnsi="微软雅黑" w:eastAsia="微软雅黑" w:cs="微软雅黑"/>
          <w:spacing w:val="-2"/>
          <w:sz w:val="24"/>
          <w:szCs w:val="24"/>
        </w:rPr>
        <w:t>采购品目清单》</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中优先采购产品类别产品，须提供由《参与实施政府</w:t>
      </w:r>
      <w:r>
        <w:rPr>
          <w:rFonts w:ascii="微软雅黑" w:hAnsi="微软雅黑" w:eastAsia="微软雅黑" w:cs="微软雅黑"/>
          <w:sz w:val="24"/>
          <w:szCs w:val="24"/>
        </w:rPr>
        <w:t xml:space="preserve">采购节能产品认证机构名录》、《参与实  </w:t>
      </w:r>
      <w:r>
        <w:rPr>
          <w:rFonts w:ascii="微软雅黑" w:hAnsi="微软雅黑" w:eastAsia="微软雅黑" w:cs="微软雅黑"/>
          <w:spacing w:val="1"/>
          <w:sz w:val="24"/>
          <w:szCs w:val="24"/>
        </w:rPr>
        <w:t>施政府采购环境标志产品认证机构名录》中确定的认</w:t>
      </w:r>
      <w:r>
        <w:rPr>
          <w:rFonts w:ascii="微软雅黑" w:hAnsi="微软雅黑" w:eastAsia="微软雅黑" w:cs="微软雅黑"/>
          <w:sz w:val="24"/>
          <w:szCs w:val="24"/>
        </w:rPr>
        <w:t xml:space="preserve">证机构出具的、处于有效期之内的节能产  </w:t>
      </w:r>
      <w:r>
        <w:rPr>
          <w:rFonts w:ascii="微软雅黑" w:hAnsi="微软雅黑" w:eastAsia="微软雅黑" w:cs="微软雅黑"/>
          <w:spacing w:val="-1"/>
          <w:sz w:val="24"/>
          <w:szCs w:val="24"/>
        </w:rPr>
        <w:t>品认证证书或环境标志产品认证证书（复印件加</w:t>
      </w:r>
      <w:r>
        <w:rPr>
          <w:rFonts w:ascii="微软雅黑" w:hAnsi="微软雅黑" w:eastAsia="微软雅黑" w:cs="微软雅黑"/>
          <w:spacing w:val="-2"/>
          <w:sz w:val="24"/>
          <w:szCs w:val="24"/>
        </w:rPr>
        <w:t>盖供应商公章</w:t>
      </w:r>
      <w:r>
        <w:rPr>
          <w:rFonts w:ascii="微软雅黑" w:hAnsi="微软雅黑" w:eastAsia="微软雅黑" w:cs="微软雅黑"/>
          <w:spacing w:val="-1"/>
          <w:sz w:val="24"/>
          <w:szCs w:val="24"/>
        </w:rPr>
        <w:t>），</w:t>
      </w:r>
      <w:r>
        <w:rPr>
          <w:rFonts w:ascii="微软雅黑" w:hAnsi="微软雅黑" w:eastAsia="微软雅黑" w:cs="微软雅黑"/>
          <w:spacing w:val="-2"/>
          <w:sz w:val="24"/>
          <w:szCs w:val="24"/>
        </w:rPr>
        <w:t>将给予加分。</w:t>
      </w:r>
    </w:p>
    <w:p w14:paraId="29485FFD">
      <w:pPr>
        <w:spacing w:before="1" w:line="181" w:lineRule="auto"/>
        <w:ind w:left="520"/>
        <w:rPr>
          <w:rFonts w:ascii="微软雅黑" w:hAnsi="微软雅黑" w:eastAsia="微软雅黑" w:cs="微软雅黑"/>
          <w:sz w:val="24"/>
          <w:szCs w:val="24"/>
        </w:rPr>
      </w:pPr>
      <w:r>
        <w:rPr>
          <w:rFonts w:ascii="微软雅黑" w:hAnsi="微软雅黑" w:eastAsia="微软雅黑" w:cs="微软雅黑"/>
          <w:spacing w:val="-3"/>
          <w:sz w:val="24"/>
          <w:szCs w:val="24"/>
        </w:rPr>
        <w:t>26.3</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评标程序</w:t>
      </w:r>
    </w:p>
    <w:p w14:paraId="0E662D30">
      <w:pPr>
        <w:spacing w:line="181" w:lineRule="auto"/>
        <w:ind w:left="520"/>
        <w:rPr>
          <w:rFonts w:ascii="微软雅黑" w:hAnsi="微软雅黑" w:eastAsia="微软雅黑" w:cs="微软雅黑"/>
          <w:sz w:val="24"/>
          <w:szCs w:val="24"/>
        </w:rPr>
      </w:pPr>
      <w:r>
        <w:rPr>
          <w:rFonts w:ascii="微软雅黑" w:hAnsi="微软雅黑" w:eastAsia="微软雅黑" w:cs="微软雅黑"/>
          <w:spacing w:val="1"/>
          <w:sz w:val="24"/>
          <w:szCs w:val="24"/>
        </w:rPr>
        <w:t>26.3.1 投标文件初审</w:t>
      </w:r>
    </w:p>
    <w:p w14:paraId="13D7186A">
      <w:pPr>
        <w:spacing w:before="2" w:line="181" w:lineRule="auto"/>
        <w:ind w:left="46" w:right="183" w:firstLine="478"/>
        <w:rPr>
          <w:rFonts w:ascii="微软雅黑" w:hAnsi="微软雅黑" w:eastAsia="微软雅黑" w:cs="微软雅黑"/>
          <w:sz w:val="24"/>
          <w:szCs w:val="24"/>
        </w:rPr>
      </w:pPr>
      <w:r>
        <w:rPr>
          <w:rFonts w:ascii="微软雅黑" w:hAnsi="微软雅黑" w:eastAsia="微软雅黑" w:cs="微软雅黑"/>
          <w:spacing w:val="-3"/>
          <w:sz w:val="24"/>
          <w:szCs w:val="24"/>
        </w:rPr>
        <w:t>（1）依据招标文件的规定，从投标文件的</w:t>
      </w:r>
      <w:r>
        <w:rPr>
          <w:rFonts w:ascii="微软雅黑" w:hAnsi="微软雅黑" w:eastAsia="微软雅黑" w:cs="微软雅黑"/>
          <w:spacing w:val="-4"/>
          <w:sz w:val="24"/>
          <w:szCs w:val="24"/>
        </w:rPr>
        <w:t>有效性、完整性和对招标文件的响应程度进行审</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查，以确定是否对招标文件的实质性要求作出</w:t>
      </w:r>
      <w:r>
        <w:rPr>
          <w:rFonts w:ascii="微软雅黑" w:hAnsi="微软雅黑" w:eastAsia="微软雅黑" w:cs="微软雅黑"/>
          <w:spacing w:val="-3"/>
          <w:sz w:val="24"/>
          <w:szCs w:val="24"/>
        </w:rPr>
        <w:t>响应。</w:t>
      </w:r>
    </w:p>
    <w:p w14:paraId="58F9B452">
      <w:pPr>
        <w:spacing w:line="181" w:lineRule="auto"/>
        <w:ind w:left="524"/>
        <w:rPr>
          <w:rFonts w:ascii="微软雅黑" w:hAnsi="微软雅黑" w:eastAsia="微软雅黑" w:cs="微软雅黑"/>
          <w:sz w:val="24"/>
          <w:szCs w:val="24"/>
        </w:rPr>
      </w:pPr>
      <w:r>
        <w:rPr>
          <w:rFonts w:ascii="微软雅黑" w:hAnsi="微软雅黑" w:eastAsia="微软雅黑" w:cs="微软雅黑"/>
          <w:spacing w:val="-2"/>
          <w:sz w:val="24"/>
          <w:szCs w:val="24"/>
        </w:rPr>
        <w:t>（2）评标委员会判断投标文件的响应性仅基于投标文件本身而不靠外部证据。</w:t>
      </w:r>
    </w:p>
    <w:p w14:paraId="73B6CAAE">
      <w:pPr>
        <w:spacing w:before="2" w:line="181" w:lineRule="auto"/>
        <w:ind w:left="47" w:right="173" w:firstLine="477"/>
        <w:rPr>
          <w:rFonts w:ascii="微软雅黑" w:hAnsi="微软雅黑" w:eastAsia="微软雅黑" w:cs="微软雅黑"/>
          <w:sz w:val="24"/>
          <w:szCs w:val="24"/>
        </w:rPr>
      </w:pPr>
      <w:r>
        <w:rPr>
          <w:rFonts w:ascii="微软雅黑" w:hAnsi="微软雅黑" w:eastAsia="微软雅黑" w:cs="微软雅黑"/>
          <w:spacing w:val="-3"/>
          <w:sz w:val="24"/>
          <w:szCs w:val="24"/>
        </w:rPr>
        <w:t>（3）评标委员会将拒绝被确定为非实质性响应的投标。投标人不</w:t>
      </w:r>
      <w:r>
        <w:rPr>
          <w:rFonts w:ascii="微软雅黑" w:hAnsi="微软雅黑" w:eastAsia="微软雅黑" w:cs="微软雅黑"/>
          <w:spacing w:val="-4"/>
          <w:sz w:val="24"/>
          <w:szCs w:val="24"/>
        </w:rPr>
        <w:t>能通过修正或撤销不符合</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之处而使其投标成为实质性响应的投标。</w:t>
      </w:r>
    </w:p>
    <w:p w14:paraId="3C1C62AE">
      <w:pPr>
        <w:spacing w:line="181" w:lineRule="auto"/>
        <w:ind w:left="520"/>
        <w:rPr>
          <w:rFonts w:ascii="微软雅黑" w:hAnsi="微软雅黑" w:eastAsia="微软雅黑" w:cs="微软雅黑"/>
          <w:sz w:val="24"/>
          <w:szCs w:val="24"/>
        </w:rPr>
      </w:pPr>
      <w:r>
        <w:rPr>
          <w:rFonts w:ascii="微软雅黑" w:hAnsi="微软雅黑" w:eastAsia="微软雅黑" w:cs="微软雅黑"/>
          <w:spacing w:val="1"/>
          <w:sz w:val="24"/>
          <w:szCs w:val="24"/>
        </w:rPr>
        <w:t>26.3.2</w:t>
      </w:r>
      <w:r>
        <w:rPr>
          <w:rFonts w:ascii="微软雅黑" w:hAnsi="微软雅黑" w:eastAsia="微软雅黑" w:cs="微软雅黑"/>
          <w:spacing w:val="67"/>
          <w:sz w:val="24"/>
          <w:szCs w:val="24"/>
        </w:rPr>
        <w:t xml:space="preserve"> </w:t>
      </w:r>
      <w:r>
        <w:rPr>
          <w:rFonts w:ascii="微软雅黑" w:hAnsi="微软雅黑" w:eastAsia="微软雅黑" w:cs="微软雅黑"/>
          <w:spacing w:val="1"/>
          <w:sz w:val="24"/>
          <w:szCs w:val="24"/>
        </w:rPr>
        <w:t>投标文件的澄清</w:t>
      </w:r>
    </w:p>
    <w:p w14:paraId="64AE4A8E">
      <w:pPr>
        <w:spacing w:before="2" w:line="181" w:lineRule="auto"/>
        <w:ind w:left="49" w:right="160" w:firstLine="475"/>
        <w:rPr>
          <w:rFonts w:ascii="微软雅黑" w:hAnsi="微软雅黑" w:eastAsia="微软雅黑" w:cs="微软雅黑"/>
          <w:sz w:val="24"/>
          <w:szCs w:val="24"/>
        </w:rPr>
      </w:pPr>
      <w:r>
        <w:rPr>
          <w:rFonts w:ascii="微软雅黑" w:hAnsi="微软雅黑" w:eastAsia="微软雅黑" w:cs="微软雅黑"/>
          <w:spacing w:val="-7"/>
          <w:sz w:val="24"/>
          <w:szCs w:val="24"/>
        </w:rPr>
        <w:t>（1）为有助于对投标文件进行审查、评估和比较，</w:t>
      </w:r>
      <w:r>
        <w:rPr>
          <w:rFonts w:ascii="微软雅黑" w:hAnsi="微软雅黑" w:eastAsia="微软雅黑" w:cs="微软雅黑"/>
          <w:spacing w:val="17"/>
          <w:sz w:val="24"/>
          <w:szCs w:val="24"/>
        </w:rPr>
        <w:t xml:space="preserve">  </w:t>
      </w:r>
      <w:r>
        <w:rPr>
          <w:rFonts w:ascii="微软雅黑" w:hAnsi="微软雅黑" w:eastAsia="微软雅黑" w:cs="微软雅黑"/>
          <w:spacing w:val="-7"/>
          <w:sz w:val="24"/>
          <w:szCs w:val="24"/>
        </w:rPr>
        <w:t>集采</w:t>
      </w:r>
      <w:r>
        <w:rPr>
          <w:rFonts w:ascii="微软雅黑" w:hAnsi="微软雅黑" w:eastAsia="微软雅黑" w:cs="微软雅黑"/>
          <w:spacing w:val="-8"/>
          <w:sz w:val="24"/>
          <w:szCs w:val="24"/>
        </w:rPr>
        <w:t>机构组建的评标委员会将对认为需</w:t>
      </w:r>
      <w:r>
        <w:rPr>
          <w:rFonts w:ascii="微软雅黑" w:hAnsi="微软雅黑" w:eastAsia="微软雅黑" w:cs="微软雅黑"/>
          <w:spacing w:val="1"/>
          <w:sz w:val="24"/>
          <w:szCs w:val="24"/>
        </w:rPr>
        <w:t xml:space="preserve"> </w:t>
      </w:r>
      <w:r>
        <w:rPr>
          <w:rFonts w:ascii="微软雅黑" w:hAnsi="微软雅黑" w:eastAsia="微软雅黑" w:cs="微软雅黑"/>
          <w:sz w:val="24"/>
          <w:szCs w:val="24"/>
        </w:rPr>
        <w:t>要（不是每一个）</w:t>
      </w:r>
      <w:r>
        <w:rPr>
          <w:rFonts w:ascii="微软雅黑" w:hAnsi="微软雅黑" w:eastAsia="微软雅黑" w:cs="微软雅黑"/>
          <w:spacing w:val="-39"/>
          <w:sz w:val="24"/>
          <w:szCs w:val="24"/>
        </w:rPr>
        <w:t xml:space="preserve"> </w:t>
      </w:r>
      <w:r>
        <w:rPr>
          <w:rFonts w:ascii="微软雅黑" w:hAnsi="微软雅黑" w:eastAsia="微软雅黑" w:cs="微软雅黑"/>
          <w:sz w:val="24"/>
          <w:szCs w:val="24"/>
        </w:rPr>
        <w:t>的投标人进行询标，请投标人澄清其投标内</w:t>
      </w:r>
      <w:r>
        <w:rPr>
          <w:rFonts w:ascii="微软雅黑" w:hAnsi="微软雅黑" w:eastAsia="微软雅黑" w:cs="微软雅黑"/>
          <w:spacing w:val="-1"/>
          <w:sz w:val="24"/>
          <w:szCs w:val="24"/>
        </w:rPr>
        <w:t>容。投标人有责任按照集采机构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通知的时间、地点指派专人进行答疑和澄清，询标时投标人代表应</w:t>
      </w:r>
      <w:r>
        <w:rPr>
          <w:rFonts w:ascii="微软雅黑" w:hAnsi="微软雅黑" w:eastAsia="微软雅黑" w:cs="微软雅黑"/>
          <w:spacing w:val="-2"/>
          <w:sz w:val="24"/>
          <w:szCs w:val="24"/>
        </w:rPr>
        <w:t>对重要内容做出书面答复。</w:t>
      </w:r>
    </w:p>
    <w:p w14:paraId="540C3E1F">
      <w:pPr>
        <w:spacing w:before="2" w:line="181" w:lineRule="auto"/>
        <w:ind w:left="45" w:right="72" w:firstLine="479"/>
        <w:rPr>
          <w:rFonts w:ascii="微软雅黑" w:hAnsi="微软雅黑" w:eastAsia="微软雅黑" w:cs="微软雅黑"/>
          <w:sz w:val="24"/>
          <w:szCs w:val="24"/>
        </w:rPr>
      </w:pPr>
      <w:r>
        <w:rPr>
          <w:rFonts w:ascii="微软雅黑" w:hAnsi="微软雅黑" w:eastAsia="微软雅黑" w:cs="微软雅黑"/>
          <w:spacing w:val="-7"/>
          <w:sz w:val="24"/>
          <w:szCs w:val="24"/>
        </w:rPr>
        <w:t>（2）重要澄清的答复应是书面的，但不得对报价、技术指标和参数等内容进行实质性修改。</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澄清文件须由投标人法人代表或法人授权代表签字</w:t>
      </w:r>
      <w:r>
        <w:rPr>
          <w:rFonts w:ascii="微软雅黑" w:hAnsi="微软雅黑" w:eastAsia="微软雅黑" w:cs="微软雅黑"/>
          <w:sz w:val="24"/>
          <w:szCs w:val="24"/>
        </w:rPr>
        <w:t xml:space="preserve">和（或）加盖集采机构公章并作为投标文件  </w:t>
      </w:r>
      <w:r>
        <w:rPr>
          <w:rFonts w:ascii="微软雅黑" w:hAnsi="微软雅黑" w:eastAsia="微软雅黑" w:cs="微软雅黑"/>
          <w:spacing w:val="-7"/>
          <w:sz w:val="24"/>
          <w:szCs w:val="24"/>
        </w:rPr>
        <w:t>的组成部分。</w:t>
      </w:r>
    </w:p>
    <w:p w14:paraId="03A855BD">
      <w:pPr>
        <w:spacing w:before="1" w:line="181" w:lineRule="auto"/>
        <w:ind w:left="520"/>
        <w:rPr>
          <w:rFonts w:ascii="微软雅黑" w:hAnsi="微软雅黑" w:eastAsia="微软雅黑" w:cs="微软雅黑"/>
          <w:sz w:val="24"/>
          <w:szCs w:val="24"/>
        </w:rPr>
      </w:pPr>
      <w:r>
        <w:rPr>
          <w:rFonts w:ascii="微软雅黑" w:hAnsi="微软雅黑" w:eastAsia="微软雅黑" w:cs="微软雅黑"/>
          <w:sz w:val="24"/>
          <w:szCs w:val="24"/>
        </w:rPr>
        <w:t>26.3.3</w:t>
      </w:r>
      <w:r>
        <w:rPr>
          <w:rFonts w:ascii="微软雅黑" w:hAnsi="微软雅黑" w:eastAsia="微软雅黑" w:cs="微软雅黑"/>
          <w:spacing w:val="79"/>
          <w:w w:val="101"/>
          <w:sz w:val="24"/>
          <w:szCs w:val="24"/>
        </w:rPr>
        <w:t xml:space="preserve"> </w:t>
      </w:r>
      <w:r>
        <w:rPr>
          <w:rFonts w:ascii="微软雅黑" w:hAnsi="微软雅黑" w:eastAsia="微软雅黑" w:cs="微软雅黑"/>
          <w:sz w:val="24"/>
          <w:szCs w:val="24"/>
        </w:rPr>
        <w:t>对投标文件的评估和比较</w:t>
      </w:r>
    </w:p>
    <w:p w14:paraId="3848AA03">
      <w:pPr>
        <w:spacing w:before="1" w:line="183" w:lineRule="auto"/>
        <w:ind w:left="524"/>
        <w:rPr>
          <w:rFonts w:ascii="微软雅黑" w:hAnsi="微软雅黑" w:eastAsia="微软雅黑" w:cs="微软雅黑"/>
          <w:sz w:val="24"/>
          <w:szCs w:val="24"/>
        </w:rPr>
      </w:pPr>
      <w:r>
        <w:rPr>
          <w:rFonts w:ascii="微软雅黑" w:hAnsi="微软雅黑" w:eastAsia="微软雅黑" w:cs="微软雅黑"/>
          <w:spacing w:val="-3"/>
          <w:sz w:val="24"/>
          <w:szCs w:val="24"/>
        </w:rPr>
        <w:t>（1）评标委员会将对实质性响应的投标文件进行评估和比较，除</w:t>
      </w:r>
      <w:r>
        <w:rPr>
          <w:rFonts w:ascii="微软雅黑" w:hAnsi="微软雅黑" w:eastAsia="微软雅黑" w:cs="微软雅黑"/>
          <w:spacing w:val="-4"/>
          <w:sz w:val="24"/>
          <w:szCs w:val="24"/>
        </w:rPr>
        <w:t>考虑投标价格外，应从以</w:t>
      </w:r>
    </w:p>
    <w:p w14:paraId="36EDBF9B">
      <w:pPr>
        <w:pStyle w:val="2"/>
        <w:spacing w:line="254" w:lineRule="auto"/>
      </w:pPr>
    </w:p>
    <w:p w14:paraId="2EFCE72C">
      <w:pPr>
        <w:pStyle w:val="2"/>
        <w:spacing w:line="254" w:lineRule="auto"/>
      </w:pPr>
    </w:p>
    <w:p w14:paraId="79C53900">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93                                </w:t>
      </w:r>
      <w:r>
        <w:rPr>
          <w:rFonts w:ascii="宋体" w:hAnsi="宋体" w:eastAsia="宋体" w:cs="宋体"/>
          <w:b/>
          <w:bCs/>
          <w:i/>
          <w:iCs/>
          <w:spacing w:val="-3"/>
          <w:sz w:val="19"/>
          <w:szCs w:val="19"/>
        </w:rPr>
        <w:t>伊犁州公共资源交易中心</w:t>
      </w:r>
    </w:p>
    <w:p w14:paraId="3A02968D">
      <w:pPr>
        <w:spacing w:line="160" w:lineRule="auto"/>
        <w:rPr>
          <w:rFonts w:ascii="宋体" w:hAnsi="宋体" w:eastAsia="宋体" w:cs="宋体"/>
          <w:sz w:val="19"/>
          <w:szCs w:val="19"/>
        </w:rPr>
        <w:sectPr>
          <w:headerReference r:id="rId86" w:type="default"/>
          <w:footerReference r:id="rId87" w:type="default"/>
          <w:pgSz w:w="11905" w:h="16839"/>
          <w:pgMar w:top="1136" w:right="698" w:bottom="937" w:left="1136" w:header="854" w:footer="923" w:gutter="0"/>
          <w:cols w:space="720" w:num="1"/>
        </w:sectPr>
      </w:pPr>
    </w:p>
    <w:p w14:paraId="342B43C9">
      <w:pPr>
        <w:spacing w:before="318" w:line="181" w:lineRule="auto"/>
        <w:ind w:left="49"/>
        <w:rPr>
          <w:rFonts w:ascii="微软雅黑" w:hAnsi="微软雅黑" w:eastAsia="微软雅黑" w:cs="微软雅黑"/>
          <w:sz w:val="24"/>
          <w:szCs w:val="24"/>
        </w:rPr>
      </w:pPr>
      <w:r>
        <w:rPr>
          <w:rFonts w:ascii="微软雅黑" w:hAnsi="微软雅黑" w:eastAsia="微软雅黑" w:cs="微软雅黑"/>
          <w:spacing w:val="-7"/>
          <w:sz w:val="24"/>
          <w:szCs w:val="24"/>
        </w:rPr>
        <w:t>下方面予以评估和比较：</w:t>
      </w:r>
    </w:p>
    <w:p w14:paraId="3E057F0E">
      <w:pPr>
        <w:spacing w:line="180" w:lineRule="auto"/>
        <w:ind w:left="517"/>
        <w:rPr>
          <w:rFonts w:ascii="微软雅黑" w:hAnsi="微软雅黑" w:eastAsia="微软雅黑" w:cs="微软雅黑"/>
          <w:sz w:val="24"/>
          <w:szCs w:val="24"/>
        </w:rPr>
      </w:pPr>
      <w:r>
        <w:rPr>
          <w:rFonts w:ascii="微软雅黑" w:hAnsi="微软雅黑" w:eastAsia="微软雅黑" w:cs="微软雅黑"/>
          <w:spacing w:val="-1"/>
          <w:sz w:val="24"/>
          <w:szCs w:val="24"/>
        </w:rPr>
        <w:t>①软件开发服务工作方案</w:t>
      </w:r>
    </w:p>
    <w:p w14:paraId="67E3AC4E">
      <w:pPr>
        <w:spacing w:line="181" w:lineRule="auto"/>
        <w:ind w:left="516"/>
        <w:rPr>
          <w:rFonts w:ascii="微软雅黑" w:hAnsi="微软雅黑" w:eastAsia="微软雅黑" w:cs="微软雅黑"/>
          <w:sz w:val="24"/>
          <w:szCs w:val="24"/>
        </w:rPr>
      </w:pPr>
      <w:r>
        <w:rPr>
          <w:rFonts w:ascii="微软雅黑" w:hAnsi="微软雅黑" w:eastAsia="微软雅黑" w:cs="微软雅黑"/>
          <w:spacing w:val="-5"/>
          <w:sz w:val="24"/>
          <w:szCs w:val="24"/>
        </w:rPr>
        <w:t>②软件设备配置和适用性；</w:t>
      </w:r>
    </w:p>
    <w:p w14:paraId="787A7366">
      <w:pPr>
        <w:spacing w:line="181" w:lineRule="auto"/>
        <w:ind w:left="516"/>
        <w:rPr>
          <w:rFonts w:ascii="微软雅黑" w:hAnsi="微软雅黑" w:eastAsia="微软雅黑" w:cs="微软雅黑"/>
          <w:sz w:val="24"/>
          <w:szCs w:val="24"/>
        </w:rPr>
      </w:pPr>
      <w:r>
        <w:rPr>
          <w:rFonts w:ascii="微软雅黑" w:hAnsi="微软雅黑" w:eastAsia="微软雅黑" w:cs="微软雅黑"/>
          <w:spacing w:val="-2"/>
          <w:sz w:val="24"/>
          <w:szCs w:val="24"/>
        </w:rPr>
        <w:t>③投标人为其所服务及售后服务的可能性及</w:t>
      </w:r>
      <w:r>
        <w:rPr>
          <w:rFonts w:ascii="微软雅黑" w:hAnsi="微软雅黑" w:eastAsia="微软雅黑" w:cs="微软雅黑"/>
          <w:spacing w:val="-3"/>
          <w:sz w:val="24"/>
          <w:szCs w:val="24"/>
        </w:rPr>
        <w:t>相关服务费用；</w:t>
      </w:r>
    </w:p>
    <w:p w14:paraId="3F7C1AE1">
      <w:pPr>
        <w:spacing w:before="1" w:line="181" w:lineRule="auto"/>
        <w:ind w:left="516"/>
        <w:rPr>
          <w:rFonts w:ascii="微软雅黑" w:hAnsi="微软雅黑" w:eastAsia="微软雅黑" w:cs="微软雅黑"/>
          <w:sz w:val="24"/>
          <w:szCs w:val="24"/>
        </w:rPr>
      </w:pPr>
      <w:r>
        <w:rPr>
          <w:rFonts w:ascii="微软雅黑" w:hAnsi="微软雅黑" w:eastAsia="微软雅黑" w:cs="微软雅黑"/>
          <w:spacing w:val="-5"/>
          <w:sz w:val="24"/>
          <w:szCs w:val="24"/>
        </w:rPr>
        <w:t>④人员配备管理制度和措施；</w:t>
      </w:r>
    </w:p>
    <w:p w14:paraId="58B48EC2">
      <w:pPr>
        <w:spacing w:line="181" w:lineRule="auto"/>
        <w:ind w:left="516"/>
        <w:rPr>
          <w:rFonts w:ascii="微软雅黑" w:hAnsi="微软雅黑" w:eastAsia="微软雅黑" w:cs="微软雅黑"/>
          <w:sz w:val="24"/>
          <w:szCs w:val="24"/>
        </w:rPr>
      </w:pPr>
      <w:r>
        <w:rPr>
          <w:rFonts w:ascii="微软雅黑" w:hAnsi="微软雅黑" w:eastAsia="微软雅黑" w:cs="微软雅黑"/>
          <w:spacing w:val="-5"/>
          <w:sz w:val="24"/>
          <w:szCs w:val="24"/>
        </w:rPr>
        <w:t>⑤企业的相关经验及实力；</w:t>
      </w:r>
    </w:p>
    <w:p w14:paraId="7485B995">
      <w:pPr>
        <w:spacing w:before="1" w:line="181" w:lineRule="auto"/>
        <w:ind w:left="516"/>
        <w:rPr>
          <w:rFonts w:ascii="微软雅黑" w:hAnsi="微软雅黑" w:eastAsia="微软雅黑" w:cs="微软雅黑"/>
          <w:sz w:val="24"/>
          <w:szCs w:val="24"/>
        </w:rPr>
      </w:pPr>
      <w:r>
        <w:rPr>
          <w:rFonts w:ascii="微软雅黑" w:hAnsi="微软雅黑" w:eastAsia="微软雅黑" w:cs="微软雅黑"/>
          <w:spacing w:val="-7"/>
          <w:sz w:val="24"/>
          <w:szCs w:val="24"/>
        </w:rPr>
        <w:t>⑥企业类似业绩；</w:t>
      </w:r>
    </w:p>
    <w:p w14:paraId="4B42D347">
      <w:pPr>
        <w:spacing w:before="4" w:line="181" w:lineRule="auto"/>
        <w:ind w:left="44" w:right="28" w:firstLine="480"/>
        <w:rPr>
          <w:rFonts w:ascii="微软雅黑" w:hAnsi="微软雅黑" w:eastAsia="微软雅黑" w:cs="微软雅黑"/>
          <w:sz w:val="24"/>
          <w:szCs w:val="24"/>
        </w:rPr>
      </w:pPr>
      <w:r>
        <w:rPr>
          <w:rFonts w:ascii="微软雅黑" w:hAnsi="微软雅黑" w:eastAsia="微软雅黑" w:cs="微软雅黑"/>
          <w:spacing w:val="-3"/>
          <w:sz w:val="24"/>
          <w:szCs w:val="24"/>
        </w:rPr>
        <w:t>（2）在评估和比较过程中，评标委员会认为投标人的报价明显低于其他通过符合性审查投</w:t>
      </w:r>
      <w:r>
        <w:rPr>
          <w:rFonts w:ascii="微软雅黑" w:hAnsi="微软雅黑" w:eastAsia="微软雅黑" w:cs="微软雅黑"/>
          <w:spacing w:val="2"/>
          <w:sz w:val="24"/>
          <w:szCs w:val="24"/>
        </w:rPr>
        <w:t xml:space="preserve"> </w:t>
      </w:r>
      <w:r>
        <w:rPr>
          <w:rFonts w:ascii="微软雅黑" w:hAnsi="微软雅黑" w:eastAsia="微软雅黑" w:cs="微软雅黑"/>
          <w:spacing w:val="1"/>
          <w:sz w:val="24"/>
          <w:szCs w:val="24"/>
        </w:rPr>
        <w:t>标人的报价，有可能影响软件开发质量或者不能设备</w:t>
      </w:r>
      <w:r>
        <w:rPr>
          <w:rFonts w:ascii="微软雅黑" w:hAnsi="微软雅黑" w:eastAsia="微软雅黑" w:cs="微软雅黑"/>
          <w:sz w:val="24"/>
          <w:szCs w:val="24"/>
        </w:rPr>
        <w:t xml:space="preserve">配置和适用性的应当要求其在评标现场合 </w:t>
      </w:r>
      <w:r>
        <w:rPr>
          <w:rFonts w:ascii="微软雅黑" w:hAnsi="微软雅黑" w:eastAsia="微软雅黑" w:cs="微软雅黑"/>
          <w:spacing w:val="-1"/>
          <w:sz w:val="24"/>
          <w:szCs w:val="24"/>
        </w:rPr>
        <w:t>理的时间内提供书面说明，</w:t>
      </w:r>
      <w:r>
        <w:rPr>
          <w:rFonts w:ascii="微软雅黑" w:hAnsi="微软雅黑" w:eastAsia="微软雅黑" w:cs="微软雅黑"/>
          <w:spacing w:val="-31"/>
          <w:sz w:val="24"/>
          <w:szCs w:val="24"/>
        </w:rPr>
        <w:t xml:space="preserve"> </w:t>
      </w:r>
      <w:r>
        <w:rPr>
          <w:rFonts w:ascii="微软雅黑" w:hAnsi="微软雅黑" w:eastAsia="微软雅黑" w:cs="微软雅黑"/>
          <w:spacing w:val="-1"/>
          <w:sz w:val="24"/>
          <w:szCs w:val="24"/>
        </w:rPr>
        <w:t>必要时提交相关证明材料；</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投标人不能证明其报价合理性的，评标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委员会应当将其作为无效投标处理。</w:t>
      </w:r>
    </w:p>
    <w:p w14:paraId="146B6441">
      <w:pPr>
        <w:spacing w:before="2" w:line="181" w:lineRule="auto"/>
        <w:ind w:left="75" w:right="43" w:firstLine="449"/>
        <w:rPr>
          <w:rFonts w:ascii="微软雅黑" w:hAnsi="微软雅黑" w:eastAsia="微软雅黑" w:cs="微软雅黑"/>
          <w:sz w:val="24"/>
          <w:szCs w:val="24"/>
        </w:rPr>
      </w:pPr>
      <w:r>
        <w:rPr>
          <w:rFonts w:ascii="微软雅黑" w:hAnsi="微软雅黑" w:eastAsia="微软雅黑" w:cs="微软雅黑"/>
          <w:spacing w:val="-3"/>
          <w:sz w:val="24"/>
          <w:szCs w:val="24"/>
        </w:rPr>
        <w:t>（3）在评标过程中，评标委员会发现投标人以他人名义投标</w:t>
      </w:r>
      <w:r>
        <w:rPr>
          <w:rFonts w:ascii="微软雅黑" w:hAnsi="微软雅黑" w:eastAsia="微软雅黑" w:cs="微软雅黑"/>
          <w:spacing w:val="-4"/>
          <w:sz w:val="24"/>
          <w:szCs w:val="24"/>
        </w:rPr>
        <w:t>、串通投标、以行贿手段谋取</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中标或者以其他弄虚作假方式投标的，应该及时向集采机构和现场监</w:t>
      </w:r>
      <w:r>
        <w:rPr>
          <w:rFonts w:ascii="微软雅黑" w:hAnsi="微软雅黑" w:eastAsia="微软雅黑" w:cs="微软雅黑"/>
          <w:spacing w:val="-3"/>
          <w:sz w:val="24"/>
          <w:szCs w:val="24"/>
        </w:rPr>
        <w:t>督部门报告。</w:t>
      </w:r>
    </w:p>
    <w:p w14:paraId="6BBFED87">
      <w:pPr>
        <w:spacing w:line="181" w:lineRule="auto"/>
        <w:ind w:left="524"/>
        <w:rPr>
          <w:rFonts w:ascii="微软雅黑" w:hAnsi="微软雅黑" w:eastAsia="微软雅黑" w:cs="微软雅黑"/>
          <w:sz w:val="24"/>
          <w:szCs w:val="24"/>
        </w:rPr>
      </w:pPr>
      <w:r>
        <w:rPr>
          <w:rFonts w:ascii="微软雅黑" w:hAnsi="微软雅黑" w:eastAsia="微软雅黑" w:cs="微软雅黑"/>
          <w:spacing w:val="-3"/>
          <w:sz w:val="24"/>
          <w:szCs w:val="24"/>
        </w:rPr>
        <w:t>（4）投标人不得误导、干扰集采机构的评标活动。</w:t>
      </w:r>
    </w:p>
    <w:p w14:paraId="65C60254">
      <w:pPr>
        <w:spacing w:before="2" w:line="181" w:lineRule="auto"/>
        <w:ind w:left="42" w:right="28" w:firstLine="482"/>
        <w:rPr>
          <w:rFonts w:ascii="微软雅黑" w:hAnsi="微软雅黑" w:eastAsia="微软雅黑" w:cs="微软雅黑"/>
          <w:sz w:val="24"/>
          <w:szCs w:val="24"/>
        </w:rPr>
      </w:pPr>
      <w:r>
        <w:rPr>
          <w:rFonts w:ascii="微软雅黑" w:hAnsi="微软雅黑" w:eastAsia="微软雅黑" w:cs="微软雅黑"/>
          <w:spacing w:val="-8"/>
          <w:sz w:val="24"/>
          <w:szCs w:val="24"/>
        </w:rPr>
        <w:t>（5）评标一般应当在开标后当日内完成。不能在当日完成的，</w:t>
      </w:r>
      <w:r>
        <w:rPr>
          <w:rFonts w:ascii="微软雅黑" w:hAnsi="微软雅黑" w:eastAsia="微软雅黑" w:cs="微软雅黑"/>
          <w:spacing w:val="16"/>
          <w:sz w:val="24"/>
          <w:szCs w:val="24"/>
        </w:rPr>
        <w:t xml:space="preserve">  </w:t>
      </w:r>
      <w:r>
        <w:rPr>
          <w:rFonts w:ascii="微软雅黑" w:hAnsi="微软雅黑" w:eastAsia="微软雅黑" w:cs="微软雅黑"/>
          <w:spacing w:val="-8"/>
          <w:sz w:val="24"/>
          <w:szCs w:val="24"/>
        </w:rPr>
        <w:t>招标人应当提前 3 天通知所</w:t>
      </w:r>
      <w:r>
        <w:rPr>
          <w:rFonts w:ascii="微软雅黑" w:hAnsi="微软雅黑" w:eastAsia="微软雅黑" w:cs="微软雅黑"/>
          <w:spacing w:val="1"/>
          <w:sz w:val="24"/>
          <w:szCs w:val="24"/>
        </w:rPr>
        <w:t xml:space="preserve"> </w:t>
      </w:r>
      <w:r>
        <w:rPr>
          <w:rFonts w:ascii="微软雅黑" w:hAnsi="微软雅黑" w:eastAsia="微软雅黑" w:cs="微软雅黑"/>
          <w:spacing w:val="-8"/>
          <w:sz w:val="24"/>
          <w:szCs w:val="24"/>
        </w:rPr>
        <w:t>有投标人。</w:t>
      </w:r>
    </w:p>
    <w:p w14:paraId="2678B640">
      <w:pPr>
        <w:spacing w:before="1" w:line="181" w:lineRule="auto"/>
        <w:ind w:left="44" w:right="44" w:firstLine="480"/>
        <w:rPr>
          <w:rFonts w:ascii="微软雅黑" w:hAnsi="微软雅黑" w:eastAsia="微软雅黑" w:cs="微软雅黑"/>
          <w:sz w:val="24"/>
          <w:szCs w:val="24"/>
        </w:rPr>
      </w:pPr>
      <w:r>
        <w:rPr>
          <w:rFonts w:ascii="微软雅黑" w:hAnsi="微软雅黑" w:eastAsia="微软雅黑" w:cs="微软雅黑"/>
          <w:spacing w:val="-4"/>
          <w:sz w:val="24"/>
          <w:szCs w:val="24"/>
        </w:rPr>
        <w:t>（6）在评标过程中，</w:t>
      </w:r>
      <w:r>
        <w:rPr>
          <w:rFonts w:ascii="微软雅黑" w:hAnsi="微软雅黑" w:eastAsia="微软雅黑" w:cs="微软雅黑"/>
          <w:spacing w:val="-39"/>
          <w:sz w:val="24"/>
          <w:szCs w:val="24"/>
        </w:rPr>
        <w:t xml:space="preserve"> </w:t>
      </w:r>
      <w:r>
        <w:rPr>
          <w:rFonts w:ascii="微软雅黑" w:hAnsi="微软雅黑" w:eastAsia="微软雅黑" w:cs="微软雅黑"/>
          <w:spacing w:val="-4"/>
          <w:sz w:val="24"/>
          <w:szCs w:val="24"/>
        </w:rPr>
        <w:t>因有效投标不足三家使得投标明显缺乏竞争性时，按政</w:t>
      </w:r>
      <w:r>
        <w:rPr>
          <w:rFonts w:ascii="微软雅黑" w:hAnsi="微软雅黑" w:eastAsia="微软雅黑" w:cs="微软雅黑"/>
          <w:spacing w:val="-5"/>
          <w:sz w:val="24"/>
          <w:szCs w:val="24"/>
        </w:rPr>
        <w:t>府采购相关法</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规规定处理。</w:t>
      </w:r>
    </w:p>
    <w:p w14:paraId="2ABA1C3E">
      <w:pPr>
        <w:spacing w:before="1" w:line="181" w:lineRule="auto"/>
        <w:ind w:left="524"/>
        <w:rPr>
          <w:rFonts w:ascii="微软雅黑" w:hAnsi="微软雅黑" w:eastAsia="微软雅黑" w:cs="微软雅黑"/>
          <w:sz w:val="24"/>
          <w:szCs w:val="24"/>
        </w:rPr>
      </w:pPr>
      <w:r>
        <w:rPr>
          <w:rFonts w:ascii="微软雅黑" w:hAnsi="微软雅黑" w:eastAsia="微软雅黑" w:cs="微软雅黑"/>
          <w:spacing w:val="-2"/>
          <w:sz w:val="24"/>
          <w:szCs w:val="24"/>
        </w:rPr>
        <w:t>（7）评标委员会根据全体评标成员签字的原始评标记录和评标结果编写评标报告。</w:t>
      </w:r>
    </w:p>
    <w:p w14:paraId="7B624192">
      <w:pPr>
        <w:spacing w:before="1" w:line="181" w:lineRule="auto"/>
        <w:ind w:left="520"/>
        <w:rPr>
          <w:rFonts w:ascii="微软雅黑" w:hAnsi="微软雅黑" w:eastAsia="微软雅黑" w:cs="微软雅黑"/>
          <w:sz w:val="24"/>
          <w:szCs w:val="24"/>
        </w:rPr>
      </w:pPr>
      <w:r>
        <w:rPr>
          <w:rFonts w:ascii="微软雅黑" w:hAnsi="微软雅黑" w:eastAsia="微软雅黑" w:cs="微软雅黑"/>
          <w:spacing w:val="-3"/>
          <w:sz w:val="24"/>
          <w:szCs w:val="24"/>
        </w:rPr>
        <w:t>26.3</w:t>
      </w:r>
      <w:r>
        <w:rPr>
          <w:rFonts w:ascii="微软雅黑" w:hAnsi="微软雅黑" w:eastAsia="微软雅黑" w:cs="微软雅黑"/>
          <w:spacing w:val="77"/>
          <w:sz w:val="24"/>
          <w:szCs w:val="24"/>
        </w:rPr>
        <w:t xml:space="preserve"> </w:t>
      </w:r>
      <w:r>
        <w:rPr>
          <w:rFonts w:ascii="微软雅黑" w:hAnsi="微软雅黑" w:eastAsia="微软雅黑" w:cs="微软雅黑"/>
          <w:spacing w:val="-3"/>
          <w:sz w:val="24"/>
          <w:szCs w:val="24"/>
        </w:rPr>
        <w:t>推荐中标候选投标人</w:t>
      </w:r>
    </w:p>
    <w:p w14:paraId="4457FE39">
      <w:pPr>
        <w:spacing w:before="1" w:line="181" w:lineRule="auto"/>
        <w:ind w:left="52" w:right="29" w:firstLine="473"/>
        <w:rPr>
          <w:rFonts w:ascii="微软雅黑" w:hAnsi="微软雅黑" w:eastAsia="微软雅黑" w:cs="微软雅黑"/>
          <w:sz w:val="24"/>
          <w:szCs w:val="24"/>
        </w:rPr>
      </w:pPr>
      <w:r>
        <w:rPr>
          <w:rFonts w:ascii="微软雅黑" w:hAnsi="微软雅黑" w:eastAsia="微软雅黑" w:cs="微软雅黑"/>
          <w:spacing w:val="1"/>
          <w:sz w:val="24"/>
          <w:szCs w:val="24"/>
        </w:rPr>
        <w:t>评标委员会从质量和服务均能满足采购文件实质</w:t>
      </w:r>
      <w:r>
        <w:rPr>
          <w:rFonts w:ascii="微软雅黑" w:hAnsi="微软雅黑" w:eastAsia="微软雅黑" w:cs="微软雅黑"/>
          <w:sz w:val="24"/>
          <w:szCs w:val="24"/>
        </w:rPr>
        <w:t xml:space="preserve">性响应要求的投标人中，按照综合得分从 </w:t>
      </w:r>
      <w:r>
        <w:rPr>
          <w:rFonts w:ascii="微软雅黑" w:hAnsi="微软雅黑" w:eastAsia="微软雅黑" w:cs="微软雅黑"/>
          <w:spacing w:val="-2"/>
          <w:sz w:val="24"/>
          <w:szCs w:val="24"/>
        </w:rPr>
        <w:t>高到低的顺序，向采购人推荐中标候选人，并编写评标报告。</w:t>
      </w:r>
    </w:p>
    <w:p w14:paraId="254EE7D4">
      <w:pPr>
        <w:spacing w:before="1" w:line="181" w:lineRule="auto"/>
        <w:ind w:left="520"/>
        <w:rPr>
          <w:rFonts w:ascii="微软雅黑" w:hAnsi="微软雅黑" w:eastAsia="微软雅黑" w:cs="微软雅黑"/>
          <w:sz w:val="24"/>
          <w:szCs w:val="24"/>
        </w:rPr>
      </w:pPr>
      <w:r>
        <w:rPr>
          <w:rFonts w:ascii="微软雅黑" w:hAnsi="微软雅黑" w:eastAsia="微软雅黑" w:cs="微软雅黑"/>
          <w:spacing w:val="-3"/>
          <w:sz w:val="24"/>
          <w:szCs w:val="24"/>
        </w:rPr>
        <w:t>26.4</w:t>
      </w:r>
      <w:r>
        <w:rPr>
          <w:rFonts w:ascii="微软雅黑" w:hAnsi="微软雅黑" w:eastAsia="微软雅黑" w:cs="微软雅黑"/>
          <w:spacing w:val="16"/>
          <w:sz w:val="24"/>
          <w:szCs w:val="24"/>
        </w:rPr>
        <w:t xml:space="preserve">   </w:t>
      </w:r>
      <w:r>
        <w:rPr>
          <w:rFonts w:ascii="微软雅黑" w:hAnsi="微软雅黑" w:eastAsia="微软雅黑" w:cs="微软雅黑"/>
          <w:spacing w:val="-3"/>
          <w:sz w:val="24"/>
          <w:szCs w:val="24"/>
        </w:rPr>
        <w:t>评标过程的保密</w:t>
      </w:r>
    </w:p>
    <w:p w14:paraId="47509748">
      <w:pPr>
        <w:spacing w:before="2" w:line="181" w:lineRule="auto"/>
        <w:ind w:left="44" w:right="28" w:firstLine="480"/>
        <w:rPr>
          <w:rFonts w:ascii="微软雅黑" w:hAnsi="微软雅黑" w:eastAsia="微软雅黑" w:cs="微软雅黑"/>
          <w:sz w:val="24"/>
          <w:szCs w:val="24"/>
        </w:rPr>
      </w:pPr>
      <w:r>
        <w:rPr>
          <w:rFonts w:ascii="微软雅黑" w:hAnsi="微软雅黑" w:eastAsia="微软雅黑" w:cs="微软雅黑"/>
          <w:spacing w:val="-3"/>
          <w:sz w:val="24"/>
          <w:szCs w:val="24"/>
        </w:rPr>
        <w:t>（1）开标后，凡是属于审查、澄清、评价和比较的有关资料以及授标建议等评标委员会成</w:t>
      </w:r>
      <w:r>
        <w:rPr>
          <w:rFonts w:ascii="微软雅黑" w:hAnsi="微软雅黑" w:eastAsia="微软雅黑" w:cs="微软雅黑"/>
          <w:spacing w:val="2"/>
          <w:sz w:val="24"/>
          <w:szCs w:val="24"/>
        </w:rPr>
        <w:t xml:space="preserve"> </w:t>
      </w:r>
      <w:r>
        <w:rPr>
          <w:rFonts w:ascii="微软雅黑" w:hAnsi="微软雅黑" w:eastAsia="微软雅黑" w:cs="微软雅黑"/>
          <w:sz w:val="24"/>
          <w:szCs w:val="24"/>
        </w:rPr>
        <w:t>员或参与评标的有关工作人员均不得向投标人或其他无关的人员透露，</w:t>
      </w:r>
      <w:r>
        <w:rPr>
          <w:rFonts w:ascii="微软雅黑" w:hAnsi="微软雅黑" w:eastAsia="微软雅黑" w:cs="微软雅黑"/>
          <w:spacing w:val="-48"/>
          <w:sz w:val="24"/>
          <w:szCs w:val="24"/>
        </w:rPr>
        <w:t xml:space="preserve"> </w:t>
      </w:r>
      <w:r>
        <w:rPr>
          <w:rFonts w:ascii="微软雅黑" w:hAnsi="微软雅黑" w:eastAsia="微软雅黑" w:cs="微软雅黑"/>
          <w:sz w:val="24"/>
          <w:szCs w:val="24"/>
        </w:rPr>
        <w:t xml:space="preserve">违者给予警告、取消担 </w:t>
      </w:r>
      <w:r>
        <w:rPr>
          <w:rFonts w:ascii="微软雅黑" w:hAnsi="微软雅黑" w:eastAsia="微软雅黑" w:cs="微软雅黑"/>
          <w:spacing w:val="-2"/>
          <w:sz w:val="24"/>
          <w:szCs w:val="24"/>
        </w:rPr>
        <w:t>任评标委员会成员的资格，不得再参加任何投标项目的评标。</w:t>
      </w:r>
    </w:p>
    <w:p w14:paraId="26272828">
      <w:pPr>
        <w:spacing w:before="1" w:line="181" w:lineRule="auto"/>
        <w:ind w:left="44" w:right="53" w:firstLine="480"/>
        <w:rPr>
          <w:rFonts w:ascii="微软雅黑" w:hAnsi="微软雅黑" w:eastAsia="微软雅黑" w:cs="微软雅黑"/>
          <w:sz w:val="24"/>
          <w:szCs w:val="24"/>
        </w:rPr>
      </w:pPr>
      <w:r>
        <w:rPr>
          <w:rFonts w:ascii="微软雅黑" w:hAnsi="微软雅黑" w:eastAsia="微软雅黑" w:cs="微软雅黑"/>
          <w:spacing w:val="-4"/>
          <w:sz w:val="24"/>
          <w:szCs w:val="24"/>
        </w:rPr>
        <w:t>（2）投标人在评标过程中，所进行的力图影响评标结果的不符合《政府采购法》及本次招</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标有关规定的活动，将被取消中标资格。</w:t>
      </w:r>
    </w:p>
    <w:p w14:paraId="6279BA80">
      <w:pPr>
        <w:spacing w:before="1" w:line="181" w:lineRule="auto"/>
        <w:ind w:left="520"/>
        <w:rPr>
          <w:rFonts w:ascii="微软雅黑" w:hAnsi="微软雅黑" w:eastAsia="微软雅黑" w:cs="微软雅黑"/>
          <w:sz w:val="24"/>
          <w:szCs w:val="24"/>
        </w:rPr>
      </w:pPr>
      <w:r>
        <w:rPr>
          <w:rFonts w:ascii="微软雅黑" w:hAnsi="微软雅黑" w:eastAsia="微软雅黑" w:cs="微软雅黑"/>
          <w:spacing w:val="-9"/>
          <w:sz w:val="24"/>
          <w:szCs w:val="24"/>
        </w:rPr>
        <w:t>27、定标</w:t>
      </w:r>
    </w:p>
    <w:p w14:paraId="7B628D47">
      <w:pPr>
        <w:spacing w:line="181" w:lineRule="auto"/>
        <w:ind w:left="520"/>
        <w:rPr>
          <w:rFonts w:ascii="微软雅黑" w:hAnsi="微软雅黑" w:eastAsia="微软雅黑" w:cs="微软雅黑"/>
          <w:sz w:val="24"/>
          <w:szCs w:val="24"/>
        </w:rPr>
      </w:pPr>
      <w:r>
        <w:rPr>
          <w:rFonts w:ascii="微软雅黑" w:hAnsi="微软雅黑" w:eastAsia="微软雅黑" w:cs="微软雅黑"/>
          <w:spacing w:val="-3"/>
          <w:sz w:val="24"/>
          <w:szCs w:val="24"/>
        </w:rPr>
        <w:t>27.1</w:t>
      </w:r>
      <w:r>
        <w:rPr>
          <w:rFonts w:ascii="微软雅黑" w:hAnsi="微软雅黑" w:eastAsia="微软雅黑" w:cs="微软雅黑"/>
          <w:spacing w:val="77"/>
          <w:sz w:val="24"/>
          <w:szCs w:val="24"/>
        </w:rPr>
        <w:t xml:space="preserve"> </w:t>
      </w:r>
      <w:r>
        <w:rPr>
          <w:rFonts w:ascii="微软雅黑" w:hAnsi="微软雅黑" w:eastAsia="微软雅黑" w:cs="微软雅黑"/>
          <w:spacing w:val="-3"/>
          <w:sz w:val="24"/>
          <w:szCs w:val="24"/>
        </w:rPr>
        <w:t>采购结果确认和公告</w:t>
      </w:r>
    </w:p>
    <w:p w14:paraId="2D4F3BD0">
      <w:pPr>
        <w:spacing w:before="4" w:line="181" w:lineRule="auto"/>
        <w:ind w:left="44" w:right="28" w:firstLine="480"/>
        <w:rPr>
          <w:rFonts w:ascii="微软雅黑" w:hAnsi="微软雅黑" w:eastAsia="微软雅黑" w:cs="微软雅黑"/>
          <w:sz w:val="24"/>
          <w:szCs w:val="24"/>
        </w:rPr>
      </w:pPr>
      <w:r>
        <w:rPr>
          <w:rFonts w:ascii="微软雅黑" w:hAnsi="微软雅黑" w:eastAsia="微软雅黑" w:cs="微软雅黑"/>
          <w:spacing w:val="-3"/>
          <w:sz w:val="24"/>
          <w:szCs w:val="24"/>
        </w:rPr>
        <w:t>（1）集采机构在评标结束后将评标报告送采购人，采购人根据评标报告确定的中标候选人</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名单，</w:t>
      </w:r>
      <w:r>
        <w:rPr>
          <w:rFonts w:ascii="微软雅黑" w:hAnsi="微软雅黑" w:eastAsia="微软雅黑" w:cs="微软雅黑"/>
          <w:spacing w:val="-15"/>
          <w:sz w:val="24"/>
          <w:szCs w:val="24"/>
        </w:rPr>
        <w:t xml:space="preserve"> </w:t>
      </w:r>
      <w:r>
        <w:rPr>
          <w:rFonts w:ascii="微软雅黑" w:hAnsi="微软雅黑" w:eastAsia="微软雅黑" w:cs="微软雅黑"/>
          <w:spacing w:val="-2"/>
          <w:sz w:val="24"/>
          <w:szCs w:val="24"/>
        </w:rPr>
        <w:t>出具《采购结果确认书》确定中标人。中标候选人并列的，</w:t>
      </w:r>
      <w:r>
        <w:rPr>
          <w:rFonts w:ascii="微软雅黑" w:hAnsi="微软雅黑" w:eastAsia="微软雅黑" w:cs="微软雅黑"/>
          <w:spacing w:val="-22"/>
          <w:sz w:val="24"/>
          <w:szCs w:val="24"/>
        </w:rPr>
        <w:t xml:space="preserve"> </w:t>
      </w:r>
      <w:r>
        <w:rPr>
          <w:rFonts w:ascii="微软雅黑" w:hAnsi="微软雅黑" w:eastAsia="微软雅黑" w:cs="微软雅黑"/>
          <w:spacing w:val="-2"/>
          <w:sz w:val="24"/>
          <w:szCs w:val="24"/>
        </w:rPr>
        <w:t>由采购人或者采购人委托评</w:t>
      </w:r>
      <w:r>
        <w:rPr>
          <w:rFonts w:ascii="微软雅黑" w:hAnsi="微软雅黑" w:eastAsia="微软雅黑" w:cs="微软雅黑"/>
          <w:sz w:val="24"/>
          <w:szCs w:val="24"/>
        </w:rPr>
        <w:t xml:space="preserve"> 标委员会按照招标文件规定的方式确定中标人。采购人</w:t>
      </w:r>
      <w:r>
        <w:rPr>
          <w:rFonts w:ascii="微软雅黑" w:hAnsi="微软雅黑" w:eastAsia="微软雅黑" w:cs="微软雅黑"/>
          <w:spacing w:val="-1"/>
          <w:sz w:val="24"/>
          <w:szCs w:val="24"/>
        </w:rPr>
        <w:t>在收到评标报告 5 个工作日内未按评标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报告推荐的中标候选人顺序确定中标人，又不能说明</w:t>
      </w:r>
      <w:r>
        <w:rPr>
          <w:rFonts w:ascii="微软雅黑" w:hAnsi="微软雅黑" w:eastAsia="微软雅黑" w:cs="微软雅黑"/>
          <w:sz w:val="24"/>
          <w:szCs w:val="24"/>
        </w:rPr>
        <w:t xml:space="preserve">合法理由的，视同按评标报告推荐的顺序 </w:t>
      </w:r>
      <w:r>
        <w:rPr>
          <w:rFonts w:ascii="微软雅黑" w:hAnsi="微软雅黑" w:eastAsia="微软雅黑" w:cs="微软雅黑"/>
          <w:spacing w:val="-3"/>
          <w:sz w:val="24"/>
          <w:szCs w:val="24"/>
        </w:rPr>
        <w:t>确定排名第一的中标候选人为中标人。</w:t>
      </w:r>
    </w:p>
    <w:p w14:paraId="497762F1">
      <w:pPr>
        <w:spacing w:before="1" w:line="181" w:lineRule="auto"/>
        <w:ind w:left="45" w:right="28" w:firstLine="959"/>
        <w:rPr>
          <w:rFonts w:ascii="微软雅黑" w:hAnsi="微软雅黑" w:eastAsia="微软雅黑" w:cs="微软雅黑"/>
          <w:sz w:val="24"/>
          <w:szCs w:val="24"/>
        </w:rPr>
      </w:pPr>
      <w:r>
        <w:rPr>
          <w:rFonts w:ascii="微软雅黑" w:hAnsi="微软雅黑" w:eastAsia="微软雅黑" w:cs="微软雅黑"/>
          <w:spacing w:val="-4"/>
          <w:sz w:val="24"/>
          <w:szCs w:val="24"/>
        </w:rPr>
        <w:t>（2）集采机构在收到采购人出具《采购结果确认书》之日起 2 个工作日内，在《新疆</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政府采购网》公告中标结果。</w:t>
      </w:r>
    </w:p>
    <w:p w14:paraId="3F4527DE">
      <w:pPr>
        <w:spacing w:before="1" w:line="181" w:lineRule="auto"/>
        <w:ind w:left="520"/>
        <w:rPr>
          <w:rFonts w:ascii="微软雅黑" w:hAnsi="微软雅黑" w:eastAsia="微软雅黑" w:cs="微软雅黑"/>
          <w:sz w:val="24"/>
          <w:szCs w:val="24"/>
        </w:rPr>
      </w:pPr>
      <w:r>
        <w:rPr>
          <w:rFonts w:ascii="微软雅黑" w:hAnsi="微软雅黑" w:eastAsia="微软雅黑" w:cs="微软雅黑"/>
          <w:spacing w:val="-6"/>
          <w:sz w:val="24"/>
          <w:szCs w:val="24"/>
        </w:rPr>
        <w:t>27.2</w:t>
      </w:r>
      <w:r>
        <w:rPr>
          <w:rFonts w:ascii="微软雅黑" w:hAnsi="微软雅黑" w:eastAsia="微软雅黑" w:cs="微软雅黑"/>
          <w:spacing w:val="14"/>
          <w:sz w:val="24"/>
          <w:szCs w:val="24"/>
        </w:rPr>
        <w:t xml:space="preserve">  </w:t>
      </w:r>
      <w:r>
        <w:rPr>
          <w:rFonts w:ascii="微软雅黑" w:hAnsi="微软雅黑" w:eastAsia="微软雅黑" w:cs="微软雅黑"/>
          <w:spacing w:val="-6"/>
          <w:sz w:val="24"/>
          <w:szCs w:val="24"/>
        </w:rPr>
        <w:t>中标通知书</w:t>
      </w:r>
    </w:p>
    <w:p w14:paraId="1F8DB914">
      <w:pPr>
        <w:spacing w:before="2" w:line="184" w:lineRule="auto"/>
        <w:ind w:left="69" w:right="47" w:firstLine="455"/>
        <w:rPr>
          <w:rFonts w:ascii="微软雅黑" w:hAnsi="微软雅黑" w:eastAsia="微软雅黑" w:cs="微软雅黑"/>
          <w:sz w:val="24"/>
          <w:szCs w:val="24"/>
        </w:rPr>
      </w:pPr>
      <w:r>
        <w:rPr>
          <w:rFonts w:ascii="微软雅黑" w:hAnsi="微软雅黑" w:eastAsia="微软雅黑" w:cs="微软雅黑"/>
          <w:spacing w:val="-3"/>
          <w:sz w:val="24"/>
          <w:szCs w:val="24"/>
        </w:rPr>
        <w:t>（1）集采机构在公告采购结果的同时以书面形式发</w:t>
      </w:r>
      <w:r>
        <w:rPr>
          <w:rFonts w:ascii="微软雅黑" w:hAnsi="微软雅黑" w:eastAsia="微软雅黑" w:cs="微软雅黑"/>
          <w:spacing w:val="-4"/>
          <w:sz w:val="24"/>
          <w:szCs w:val="24"/>
        </w:rPr>
        <w:t>出《中标通知书》，《中标通知书》发</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出后因质疑或投诉引起的中标结果变更，发出的《中标通知书》将自</w:t>
      </w:r>
      <w:r>
        <w:rPr>
          <w:rFonts w:ascii="微软雅黑" w:hAnsi="微软雅黑" w:eastAsia="微软雅黑" w:cs="微软雅黑"/>
          <w:spacing w:val="-3"/>
          <w:sz w:val="24"/>
          <w:szCs w:val="24"/>
        </w:rPr>
        <w:t>动作废。</w:t>
      </w:r>
    </w:p>
    <w:p w14:paraId="57F1C920">
      <w:pPr>
        <w:spacing w:before="132" w:line="183" w:lineRule="auto"/>
        <w:ind w:left="524"/>
        <w:rPr>
          <w:rFonts w:ascii="微软雅黑" w:hAnsi="微软雅黑" w:eastAsia="微软雅黑" w:cs="微软雅黑"/>
          <w:sz w:val="24"/>
          <w:szCs w:val="24"/>
        </w:rPr>
      </w:pPr>
      <w:r>
        <w:rPr>
          <w:rFonts w:ascii="微软雅黑" w:hAnsi="微软雅黑" w:eastAsia="微软雅黑" w:cs="微软雅黑"/>
          <w:spacing w:val="-3"/>
          <w:sz w:val="24"/>
          <w:szCs w:val="24"/>
        </w:rPr>
        <w:t>（2）《中标通知书》将作为签订合同的依据，</w:t>
      </w:r>
      <w:r>
        <w:rPr>
          <w:rFonts w:ascii="微软雅黑" w:hAnsi="微软雅黑" w:eastAsia="微软雅黑" w:cs="微软雅黑"/>
          <w:spacing w:val="-39"/>
          <w:sz w:val="24"/>
          <w:szCs w:val="24"/>
        </w:rPr>
        <w:t xml:space="preserve"> </w:t>
      </w:r>
      <w:r>
        <w:rPr>
          <w:rFonts w:ascii="微软雅黑" w:hAnsi="微软雅黑" w:eastAsia="微软雅黑" w:cs="微软雅黑"/>
          <w:spacing w:val="-3"/>
          <w:sz w:val="24"/>
          <w:szCs w:val="24"/>
        </w:rPr>
        <w:t>一经发出即发生法律效力。</w:t>
      </w:r>
    </w:p>
    <w:p w14:paraId="2642B388">
      <w:pPr>
        <w:pStyle w:val="2"/>
        <w:spacing w:line="258" w:lineRule="auto"/>
      </w:pPr>
    </w:p>
    <w:p w14:paraId="53C116F6">
      <w:pPr>
        <w:pStyle w:val="2"/>
        <w:spacing w:line="259" w:lineRule="auto"/>
      </w:pPr>
    </w:p>
    <w:p w14:paraId="5F3338EC">
      <w:pPr>
        <w:pStyle w:val="2"/>
        <w:spacing w:line="259" w:lineRule="auto"/>
      </w:pPr>
    </w:p>
    <w:p w14:paraId="58C3054F">
      <w:pPr>
        <w:pStyle w:val="2"/>
        <w:spacing w:line="259" w:lineRule="auto"/>
      </w:pPr>
    </w:p>
    <w:p w14:paraId="495F6B89">
      <w:pPr>
        <w:pStyle w:val="2"/>
        <w:spacing w:line="259" w:lineRule="auto"/>
      </w:pPr>
    </w:p>
    <w:p w14:paraId="1FE43EC4">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94                                </w:t>
      </w:r>
      <w:r>
        <w:rPr>
          <w:rFonts w:ascii="宋体" w:hAnsi="宋体" w:eastAsia="宋体" w:cs="宋体"/>
          <w:b/>
          <w:bCs/>
          <w:i/>
          <w:iCs/>
          <w:spacing w:val="-3"/>
          <w:sz w:val="19"/>
          <w:szCs w:val="19"/>
        </w:rPr>
        <w:t>伊犁州公共资源交易中心</w:t>
      </w:r>
    </w:p>
    <w:p w14:paraId="5B468766">
      <w:pPr>
        <w:spacing w:line="160" w:lineRule="auto"/>
        <w:rPr>
          <w:rFonts w:ascii="宋体" w:hAnsi="宋体" w:eastAsia="宋体" w:cs="宋体"/>
          <w:sz w:val="19"/>
          <w:szCs w:val="19"/>
        </w:rPr>
        <w:sectPr>
          <w:headerReference r:id="rId88" w:type="default"/>
          <w:footerReference r:id="rId89" w:type="default"/>
          <w:pgSz w:w="11905" w:h="16839"/>
          <w:pgMar w:top="1136" w:right="830" w:bottom="937" w:left="1136" w:header="854" w:footer="923" w:gutter="0"/>
          <w:cols w:space="720" w:num="1"/>
        </w:sectPr>
      </w:pPr>
    </w:p>
    <w:p w14:paraId="4FAFEA19">
      <w:pPr>
        <w:pStyle w:val="2"/>
        <w:spacing w:line="245" w:lineRule="auto"/>
      </w:pPr>
    </w:p>
    <w:p w14:paraId="22AD5538">
      <w:pPr>
        <w:spacing w:before="155" w:line="187" w:lineRule="auto"/>
        <w:ind w:left="3118"/>
        <w:rPr>
          <w:rFonts w:ascii="微软雅黑" w:hAnsi="微软雅黑" w:eastAsia="微软雅黑" w:cs="微软雅黑"/>
          <w:sz w:val="36"/>
          <w:szCs w:val="36"/>
        </w:rPr>
      </w:pPr>
      <w:bookmarkStart w:id="48" w:name="bookmark60"/>
      <w:bookmarkEnd w:id="48"/>
      <w:r>
        <w:rPr>
          <w:rFonts w:ascii="微软雅黑" w:hAnsi="微软雅黑" w:eastAsia="微软雅黑" w:cs="微软雅黑"/>
          <w:b/>
          <w:bCs/>
          <w:spacing w:val="-7"/>
          <w:sz w:val="36"/>
          <w:szCs w:val="36"/>
        </w:rPr>
        <w:t>第三章</w:t>
      </w:r>
      <w:r>
        <w:rPr>
          <w:rFonts w:ascii="微软雅黑" w:hAnsi="微软雅黑" w:eastAsia="微软雅黑" w:cs="微软雅黑"/>
          <w:b/>
          <w:bCs/>
          <w:spacing w:val="106"/>
          <w:sz w:val="36"/>
          <w:szCs w:val="36"/>
        </w:rPr>
        <w:t xml:space="preserve"> </w:t>
      </w:r>
      <w:r>
        <w:rPr>
          <w:rFonts w:ascii="微软雅黑" w:hAnsi="微软雅黑" w:eastAsia="微软雅黑" w:cs="微软雅黑"/>
          <w:b/>
          <w:bCs/>
          <w:spacing w:val="-7"/>
          <w:sz w:val="36"/>
          <w:szCs w:val="36"/>
        </w:rPr>
        <w:t>无效投标及废标</w:t>
      </w:r>
    </w:p>
    <w:p w14:paraId="12BA70E1">
      <w:pPr>
        <w:spacing w:before="31" w:line="181" w:lineRule="auto"/>
        <w:ind w:left="520"/>
        <w:rPr>
          <w:rFonts w:ascii="微软雅黑" w:hAnsi="微软雅黑" w:eastAsia="微软雅黑" w:cs="微软雅黑"/>
          <w:sz w:val="24"/>
          <w:szCs w:val="24"/>
        </w:rPr>
      </w:pPr>
      <w:r>
        <w:rPr>
          <w:rFonts w:ascii="微软雅黑" w:hAnsi="微软雅黑" w:eastAsia="微软雅黑" w:cs="微软雅黑"/>
          <w:spacing w:val="-8"/>
          <w:sz w:val="24"/>
          <w:szCs w:val="24"/>
        </w:rPr>
        <w:t>28、无效标</w:t>
      </w:r>
    </w:p>
    <w:p w14:paraId="1B20DCE3">
      <w:pPr>
        <w:spacing w:line="181" w:lineRule="auto"/>
        <w:ind w:left="520"/>
        <w:rPr>
          <w:rFonts w:ascii="微软雅黑" w:hAnsi="微软雅黑" w:eastAsia="微软雅黑" w:cs="微软雅黑"/>
          <w:sz w:val="24"/>
          <w:szCs w:val="24"/>
        </w:rPr>
      </w:pPr>
      <w:r>
        <w:rPr>
          <w:rFonts w:ascii="微软雅黑" w:hAnsi="微软雅黑" w:eastAsia="微软雅黑" w:cs="微软雅黑"/>
          <w:spacing w:val="-3"/>
          <w:sz w:val="24"/>
          <w:szCs w:val="24"/>
        </w:rPr>
        <w:t>28.1</w:t>
      </w:r>
      <w:r>
        <w:rPr>
          <w:rFonts w:ascii="微软雅黑" w:hAnsi="微软雅黑" w:eastAsia="微软雅黑" w:cs="微软雅黑"/>
          <w:spacing w:val="16"/>
          <w:sz w:val="24"/>
          <w:szCs w:val="24"/>
        </w:rPr>
        <w:t xml:space="preserve">   </w:t>
      </w:r>
      <w:r>
        <w:rPr>
          <w:rFonts w:ascii="微软雅黑" w:hAnsi="微软雅黑" w:eastAsia="微软雅黑" w:cs="微软雅黑"/>
          <w:spacing w:val="-3"/>
          <w:sz w:val="24"/>
          <w:szCs w:val="24"/>
        </w:rPr>
        <w:t>无效投标的概念</w:t>
      </w:r>
    </w:p>
    <w:p w14:paraId="0E59418F">
      <w:pPr>
        <w:spacing w:before="2" w:line="181" w:lineRule="auto"/>
        <w:ind w:left="48" w:right="81"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无效投标一般是指由于投标人所递交的单个</w:t>
      </w:r>
      <w:r>
        <w:rPr>
          <w:rFonts w:ascii="微软雅黑" w:hAnsi="微软雅黑" w:eastAsia="微软雅黑" w:cs="微软雅黑"/>
          <w:sz w:val="24"/>
          <w:szCs w:val="24"/>
        </w:rPr>
        <w:t xml:space="preserve">投标文件，经审查不符合招标文件资格性、符 </w:t>
      </w:r>
      <w:r>
        <w:rPr>
          <w:rFonts w:ascii="微软雅黑" w:hAnsi="微软雅黑" w:eastAsia="微软雅黑" w:cs="微软雅黑"/>
          <w:spacing w:val="1"/>
          <w:sz w:val="24"/>
          <w:szCs w:val="24"/>
        </w:rPr>
        <w:t>合性的要求，从而导致评标委员会拒绝接受</w:t>
      </w:r>
      <w:r>
        <w:rPr>
          <w:rFonts w:ascii="微软雅黑" w:hAnsi="微软雅黑" w:eastAsia="微软雅黑" w:cs="微软雅黑"/>
          <w:sz w:val="24"/>
          <w:szCs w:val="24"/>
        </w:rPr>
        <w:t xml:space="preserve">该投标文件。无效投标对其他投标人投标行为的有 </w:t>
      </w:r>
      <w:r>
        <w:rPr>
          <w:rFonts w:ascii="微软雅黑" w:hAnsi="微软雅黑" w:eastAsia="微软雅黑" w:cs="微软雅黑"/>
          <w:spacing w:val="-3"/>
          <w:sz w:val="24"/>
          <w:szCs w:val="24"/>
        </w:rPr>
        <w:t>效性不直接产生影响，该招标项目可以继续进行。</w:t>
      </w:r>
    </w:p>
    <w:p w14:paraId="721CD886">
      <w:pPr>
        <w:spacing w:line="181" w:lineRule="auto"/>
        <w:ind w:left="520"/>
        <w:rPr>
          <w:rFonts w:ascii="微软雅黑" w:hAnsi="微软雅黑" w:eastAsia="微软雅黑" w:cs="微软雅黑"/>
          <w:sz w:val="24"/>
          <w:szCs w:val="24"/>
        </w:rPr>
      </w:pPr>
      <w:r>
        <w:rPr>
          <w:rFonts w:ascii="微软雅黑" w:hAnsi="微软雅黑" w:eastAsia="微软雅黑" w:cs="微软雅黑"/>
          <w:spacing w:val="-2"/>
          <w:sz w:val="24"/>
          <w:szCs w:val="24"/>
        </w:rPr>
        <w:t>28.2   有下列情况之一的投标应作无效标处理：</w:t>
      </w:r>
    </w:p>
    <w:p w14:paraId="18D1AFB6">
      <w:pPr>
        <w:spacing w:line="181" w:lineRule="auto"/>
        <w:ind w:left="524"/>
        <w:rPr>
          <w:rFonts w:ascii="微软雅黑" w:hAnsi="微软雅黑" w:eastAsia="微软雅黑" w:cs="微软雅黑"/>
          <w:sz w:val="24"/>
          <w:szCs w:val="24"/>
        </w:rPr>
      </w:pPr>
      <w:r>
        <w:rPr>
          <w:rFonts w:ascii="微软雅黑" w:hAnsi="微软雅黑" w:eastAsia="微软雅黑" w:cs="微软雅黑"/>
          <w:spacing w:val="-5"/>
          <w:sz w:val="24"/>
          <w:szCs w:val="24"/>
        </w:rPr>
        <w:t>（1）投标截止时间过后递交的投标文件；</w:t>
      </w:r>
    </w:p>
    <w:p w14:paraId="5326D347">
      <w:pPr>
        <w:spacing w:before="1" w:line="181" w:lineRule="auto"/>
        <w:ind w:left="524"/>
        <w:rPr>
          <w:rFonts w:ascii="微软雅黑" w:hAnsi="微软雅黑" w:eastAsia="微软雅黑" w:cs="微软雅黑"/>
          <w:sz w:val="24"/>
          <w:szCs w:val="24"/>
        </w:rPr>
      </w:pPr>
      <w:r>
        <w:rPr>
          <w:rFonts w:ascii="微软雅黑" w:hAnsi="微软雅黑" w:eastAsia="微软雅黑" w:cs="微软雅黑"/>
          <w:spacing w:val="-5"/>
          <w:sz w:val="24"/>
          <w:szCs w:val="24"/>
        </w:rPr>
        <w:t>（2）不具备招标文件中规定资格要求的；</w:t>
      </w:r>
    </w:p>
    <w:p w14:paraId="671670ED">
      <w:pPr>
        <w:spacing w:line="181" w:lineRule="auto"/>
        <w:ind w:left="524"/>
        <w:rPr>
          <w:rFonts w:ascii="微软雅黑" w:hAnsi="微软雅黑" w:eastAsia="微软雅黑" w:cs="微软雅黑"/>
          <w:sz w:val="24"/>
          <w:szCs w:val="24"/>
        </w:rPr>
      </w:pPr>
      <w:r>
        <w:rPr>
          <w:rFonts w:ascii="微软雅黑" w:hAnsi="微软雅黑" w:eastAsia="微软雅黑" w:cs="微软雅黑"/>
          <w:spacing w:val="-6"/>
          <w:sz w:val="24"/>
          <w:szCs w:val="24"/>
        </w:rPr>
        <w:t>（3）未提供《开标一览表》的；</w:t>
      </w:r>
    </w:p>
    <w:p w14:paraId="65E90042">
      <w:pPr>
        <w:spacing w:before="1" w:line="181" w:lineRule="auto"/>
        <w:ind w:left="524"/>
        <w:rPr>
          <w:rFonts w:ascii="微软雅黑" w:hAnsi="微软雅黑" w:eastAsia="微软雅黑" w:cs="微软雅黑"/>
          <w:sz w:val="24"/>
          <w:szCs w:val="24"/>
        </w:rPr>
      </w:pPr>
      <w:r>
        <w:rPr>
          <w:rFonts w:ascii="微软雅黑" w:hAnsi="微软雅黑" w:eastAsia="微软雅黑" w:cs="微软雅黑"/>
          <w:spacing w:val="-3"/>
          <w:sz w:val="24"/>
          <w:szCs w:val="24"/>
        </w:rPr>
        <w:t>（4）投标文件未按照采购文件规定要求密封、签署、盖</w:t>
      </w:r>
      <w:r>
        <w:rPr>
          <w:rFonts w:ascii="微软雅黑" w:hAnsi="微软雅黑" w:eastAsia="微软雅黑" w:cs="微软雅黑"/>
          <w:spacing w:val="-4"/>
          <w:sz w:val="24"/>
          <w:szCs w:val="24"/>
        </w:rPr>
        <w:t>章的；</w:t>
      </w:r>
    </w:p>
    <w:p w14:paraId="18D825D5">
      <w:pPr>
        <w:spacing w:before="1" w:line="181" w:lineRule="auto"/>
        <w:ind w:left="524"/>
        <w:rPr>
          <w:rFonts w:ascii="微软雅黑" w:hAnsi="微软雅黑" w:eastAsia="微软雅黑" w:cs="微软雅黑"/>
          <w:sz w:val="24"/>
          <w:szCs w:val="24"/>
        </w:rPr>
      </w:pPr>
      <w:r>
        <w:rPr>
          <w:rFonts w:ascii="微软雅黑" w:hAnsi="微软雅黑" w:eastAsia="微软雅黑" w:cs="微软雅黑"/>
          <w:spacing w:val="-2"/>
          <w:sz w:val="24"/>
          <w:szCs w:val="24"/>
        </w:rPr>
        <w:t>（5）投标报价超过招标文件中规定的预算金额或</w:t>
      </w:r>
      <w:r>
        <w:rPr>
          <w:rFonts w:ascii="微软雅黑" w:hAnsi="微软雅黑" w:eastAsia="微软雅黑" w:cs="微软雅黑"/>
          <w:spacing w:val="-3"/>
          <w:sz w:val="24"/>
          <w:szCs w:val="24"/>
        </w:rPr>
        <w:t>最高限价的</w:t>
      </w:r>
    </w:p>
    <w:p w14:paraId="7049A58E">
      <w:pPr>
        <w:spacing w:before="1" w:line="181" w:lineRule="auto"/>
        <w:ind w:left="524"/>
        <w:rPr>
          <w:rFonts w:ascii="微软雅黑" w:hAnsi="微软雅黑" w:eastAsia="微软雅黑" w:cs="微软雅黑"/>
          <w:sz w:val="24"/>
          <w:szCs w:val="24"/>
        </w:rPr>
      </w:pPr>
      <w:r>
        <w:rPr>
          <w:rFonts w:ascii="微软雅黑" w:hAnsi="微软雅黑" w:eastAsia="微软雅黑" w:cs="微软雅黑"/>
          <w:spacing w:val="-3"/>
          <w:sz w:val="24"/>
          <w:szCs w:val="24"/>
        </w:rPr>
        <w:t>（6）投标文件载明的采购项目完成期限超过招标文件规定期限的；</w:t>
      </w:r>
    </w:p>
    <w:p w14:paraId="4255C69B">
      <w:pPr>
        <w:spacing w:line="181" w:lineRule="auto"/>
        <w:ind w:left="524"/>
        <w:rPr>
          <w:rFonts w:ascii="微软雅黑" w:hAnsi="微软雅黑" w:eastAsia="微软雅黑" w:cs="微软雅黑"/>
          <w:sz w:val="24"/>
          <w:szCs w:val="24"/>
        </w:rPr>
      </w:pPr>
      <w:r>
        <w:rPr>
          <w:rFonts w:ascii="微软雅黑" w:hAnsi="微软雅黑" w:eastAsia="微软雅黑" w:cs="微软雅黑"/>
          <w:spacing w:val="-4"/>
          <w:sz w:val="24"/>
          <w:szCs w:val="24"/>
        </w:rPr>
        <w:t>（7）评标过程中拒绝澄清相关事宜和问题</w:t>
      </w:r>
      <w:r>
        <w:rPr>
          <w:rFonts w:ascii="微软雅黑" w:hAnsi="微软雅黑" w:eastAsia="微软雅黑" w:cs="微软雅黑"/>
          <w:spacing w:val="-5"/>
          <w:sz w:val="24"/>
          <w:szCs w:val="24"/>
        </w:rPr>
        <w:t>的；</w:t>
      </w:r>
    </w:p>
    <w:p w14:paraId="19E36689">
      <w:pPr>
        <w:spacing w:before="1" w:line="181" w:lineRule="auto"/>
        <w:ind w:left="524"/>
        <w:rPr>
          <w:rFonts w:ascii="微软雅黑" w:hAnsi="微软雅黑" w:eastAsia="微软雅黑" w:cs="微软雅黑"/>
          <w:sz w:val="24"/>
          <w:szCs w:val="24"/>
        </w:rPr>
      </w:pPr>
      <w:r>
        <w:rPr>
          <w:rFonts w:ascii="微软雅黑" w:hAnsi="微软雅黑" w:eastAsia="微软雅黑" w:cs="微软雅黑"/>
          <w:spacing w:val="-5"/>
          <w:sz w:val="24"/>
          <w:szCs w:val="24"/>
        </w:rPr>
        <w:t>（8）投标文件不真实，有欺骗行为的；</w:t>
      </w:r>
    </w:p>
    <w:p w14:paraId="0CEF64A5">
      <w:pPr>
        <w:spacing w:before="1" w:line="181" w:lineRule="auto"/>
        <w:ind w:left="524"/>
        <w:rPr>
          <w:rFonts w:ascii="微软雅黑" w:hAnsi="微软雅黑" w:eastAsia="微软雅黑" w:cs="微软雅黑"/>
          <w:sz w:val="24"/>
          <w:szCs w:val="24"/>
        </w:rPr>
      </w:pPr>
      <w:r>
        <w:rPr>
          <w:rFonts w:ascii="微软雅黑" w:hAnsi="微软雅黑" w:eastAsia="微软雅黑" w:cs="微软雅黑"/>
          <w:spacing w:val="-3"/>
          <w:sz w:val="24"/>
          <w:szCs w:val="24"/>
        </w:rPr>
        <w:t>（9）投标文件含有采购人和集采机构不能接受的附加条</w:t>
      </w:r>
      <w:r>
        <w:rPr>
          <w:rFonts w:ascii="微软雅黑" w:hAnsi="微软雅黑" w:eastAsia="微软雅黑" w:cs="微软雅黑"/>
          <w:spacing w:val="-4"/>
          <w:sz w:val="24"/>
          <w:szCs w:val="24"/>
        </w:rPr>
        <w:t>件的；</w:t>
      </w:r>
    </w:p>
    <w:p w14:paraId="77C481CC">
      <w:pPr>
        <w:spacing w:line="181" w:lineRule="auto"/>
        <w:ind w:left="524"/>
        <w:rPr>
          <w:rFonts w:ascii="微软雅黑" w:hAnsi="微软雅黑" w:eastAsia="微软雅黑" w:cs="微软雅黑"/>
          <w:sz w:val="24"/>
          <w:szCs w:val="24"/>
        </w:rPr>
      </w:pPr>
      <w:r>
        <w:rPr>
          <w:rFonts w:ascii="微软雅黑" w:hAnsi="微软雅黑" w:eastAsia="微软雅黑" w:cs="微软雅黑"/>
          <w:spacing w:val="-5"/>
          <w:sz w:val="24"/>
          <w:szCs w:val="24"/>
        </w:rPr>
        <w:t>（10）不符合招标文件规定的其他实质性要求的；</w:t>
      </w:r>
    </w:p>
    <w:p w14:paraId="374CDEDA">
      <w:pPr>
        <w:spacing w:before="1" w:line="181" w:lineRule="auto"/>
        <w:ind w:left="520"/>
        <w:rPr>
          <w:rFonts w:ascii="微软雅黑" w:hAnsi="微软雅黑" w:eastAsia="微软雅黑" w:cs="微软雅黑"/>
          <w:sz w:val="24"/>
          <w:szCs w:val="24"/>
        </w:rPr>
      </w:pPr>
      <w:r>
        <w:rPr>
          <w:rFonts w:ascii="微软雅黑" w:hAnsi="微软雅黑" w:eastAsia="微软雅黑" w:cs="微软雅黑"/>
          <w:spacing w:val="-9"/>
          <w:sz w:val="24"/>
          <w:szCs w:val="24"/>
        </w:rPr>
        <w:t>29、废标</w:t>
      </w:r>
    </w:p>
    <w:p w14:paraId="3FE2676A">
      <w:pPr>
        <w:spacing w:before="1" w:line="181" w:lineRule="auto"/>
        <w:ind w:left="520"/>
        <w:rPr>
          <w:rFonts w:ascii="微软雅黑" w:hAnsi="微软雅黑" w:eastAsia="微软雅黑" w:cs="微软雅黑"/>
          <w:sz w:val="24"/>
          <w:szCs w:val="24"/>
        </w:rPr>
      </w:pPr>
      <w:r>
        <w:rPr>
          <w:rFonts w:ascii="微软雅黑" w:hAnsi="微软雅黑" w:eastAsia="微软雅黑" w:cs="微软雅黑"/>
          <w:spacing w:val="-3"/>
          <w:sz w:val="24"/>
          <w:szCs w:val="24"/>
        </w:rPr>
        <w:t>29.1</w:t>
      </w:r>
      <w:r>
        <w:rPr>
          <w:rFonts w:ascii="微软雅黑" w:hAnsi="微软雅黑" w:eastAsia="微软雅黑" w:cs="微软雅黑"/>
          <w:spacing w:val="15"/>
          <w:sz w:val="24"/>
          <w:szCs w:val="24"/>
        </w:rPr>
        <w:t xml:space="preserve">   </w:t>
      </w:r>
      <w:r>
        <w:rPr>
          <w:rFonts w:ascii="微软雅黑" w:hAnsi="微软雅黑" w:eastAsia="微软雅黑" w:cs="微软雅黑"/>
          <w:spacing w:val="-3"/>
          <w:sz w:val="24"/>
          <w:szCs w:val="24"/>
        </w:rPr>
        <w:t>废标的概念</w:t>
      </w:r>
    </w:p>
    <w:p w14:paraId="082D3876">
      <w:pPr>
        <w:spacing w:before="2" w:line="181" w:lineRule="auto"/>
        <w:ind w:left="44" w:right="81" w:firstLine="483"/>
        <w:jc w:val="both"/>
        <w:rPr>
          <w:rFonts w:ascii="微软雅黑" w:hAnsi="微软雅黑" w:eastAsia="微软雅黑" w:cs="微软雅黑"/>
          <w:sz w:val="24"/>
          <w:szCs w:val="24"/>
        </w:rPr>
      </w:pPr>
      <w:r>
        <w:rPr>
          <w:rFonts w:ascii="微软雅黑" w:hAnsi="微软雅黑" w:eastAsia="微软雅黑" w:cs="微软雅黑"/>
          <w:sz w:val="24"/>
          <w:szCs w:val="24"/>
        </w:rPr>
        <w:t>废标一般是指由于投标人所递交的所有投标文件，经评标委员会审查，</w:t>
      </w:r>
      <w:r>
        <w:rPr>
          <w:rFonts w:ascii="微软雅黑" w:hAnsi="微软雅黑" w:eastAsia="微软雅黑" w:cs="微软雅黑"/>
          <w:spacing w:val="-51"/>
          <w:sz w:val="24"/>
          <w:szCs w:val="24"/>
        </w:rPr>
        <w:t xml:space="preserve"> </w:t>
      </w:r>
      <w:r>
        <w:rPr>
          <w:rFonts w:ascii="微软雅黑" w:hAnsi="微软雅黑" w:eastAsia="微软雅黑" w:cs="微软雅黑"/>
          <w:sz w:val="24"/>
          <w:szCs w:val="24"/>
        </w:rPr>
        <w:t xml:space="preserve">在合格投标文件的 </w:t>
      </w:r>
      <w:r>
        <w:rPr>
          <w:rFonts w:ascii="微软雅黑" w:hAnsi="微软雅黑" w:eastAsia="微软雅黑" w:cs="微软雅黑"/>
          <w:spacing w:val="1"/>
          <w:sz w:val="24"/>
          <w:szCs w:val="24"/>
        </w:rPr>
        <w:t>数量、投标报价、招标过程的公正性上不符合法律的</w:t>
      </w:r>
      <w:r>
        <w:rPr>
          <w:rFonts w:ascii="微软雅黑" w:hAnsi="微软雅黑" w:eastAsia="微软雅黑" w:cs="微软雅黑"/>
          <w:sz w:val="24"/>
          <w:szCs w:val="24"/>
        </w:rPr>
        <w:t>规定，从而导致评标委员会拒绝接受所有 投标文件。废标对所有投标人的投标行为都直接产生影响，标志着该招标项目立即</w:t>
      </w:r>
      <w:r>
        <w:rPr>
          <w:rFonts w:ascii="微软雅黑" w:hAnsi="微软雅黑" w:eastAsia="微软雅黑" w:cs="微软雅黑"/>
          <w:spacing w:val="-1"/>
          <w:sz w:val="24"/>
          <w:szCs w:val="24"/>
        </w:rPr>
        <w:t>终止，</w:t>
      </w:r>
      <w:r>
        <w:rPr>
          <w:rFonts w:ascii="微软雅黑" w:hAnsi="微软雅黑" w:eastAsia="微软雅黑" w:cs="微软雅黑"/>
          <w:spacing w:val="-43"/>
          <w:sz w:val="24"/>
          <w:szCs w:val="24"/>
        </w:rPr>
        <w:t xml:space="preserve"> </w:t>
      </w:r>
      <w:r>
        <w:rPr>
          <w:rFonts w:ascii="微软雅黑" w:hAnsi="微软雅黑" w:eastAsia="微软雅黑" w:cs="微软雅黑"/>
          <w:spacing w:val="-1"/>
          <w:sz w:val="24"/>
          <w:szCs w:val="24"/>
        </w:rPr>
        <w:t>需要</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重新招标或改用其他采购方式。</w:t>
      </w:r>
    </w:p>
    <w:p w14:paraId="50D45F7A">
      <w:pPr>
        <w:spacing w:before="1" w:line="181" w:lineRule="auto"/>
        <w:ind w:left="520"/>
        <w:rPr>
          <w:rFonts w:ascii="微软雅黑" w:hAnsi="微软雅黑" w:eastAsia="微软雅黑" w:cs="微软雅黑"/>
          <w:sz w:val="24"/>
          <w:szCs w:val="24"/>
        </w:rPr>
      </w:pPr>
      <w:r>
        <w:rPr>
          <w:rFonts w:ascii="微软雅黑" w:hAnsi="微软雅黑" w:eastAsia="微软雅黑" w:cs="微软雅黑"/>
          <w:spacing w:val="-4"/>
          <w:sz w:val="24"/>
          <w:szCs w:val="24"/>
        </w:rPr>
        <w:t>29.2</w:t>
      </w:r>
      <w:r>
        <w:rPr>
          <w:rFonts w:ascii="微软雅黑" w:hAnsi="微软雅黑" w:eastAsia="微软雅黑" w:cs="微软雅黑"/>
          <w:spacing w:val="13"/>
          <w:sz w:val="24"/>
          <w:szCs w:val="24"/>
        </w:rPr>
        <w:t xml:space="preserve">   </w:t>
      </w:r>
      <w:r>
        <w:rPr>
          <w:rFonts w:ascii="微软雅黑" w:hAnsi="微软雅黑" w:eastAsia="微软雅黑" w:cs="微软雅黑"/>
          <w:spacing w:val="-4"/>
          <w:sz w:val="24"/>
          <w:szCs w:val="24"/>
        </w:rPr>
        <w:t>有下列情形之一的应予以废标：</w:t>
      </w:r>
    </w:p>
    <w:p w14:paraId="2FE4562C">
      <w:pPr>
        <w:spacing w:before="1" w:line="181" w:lineRule="auto"/>
        <w:ind w:left="559"/>
        <w:rPr>
          <w:rFonts w:ascii="微软雅黑" w:hAnsi="微软雅黑" w:eastAsia="微软雅黑" w:cs="微软雅黑"/>
          <w:sz w:val="24"/>
          <w:szCs w:val="24"/>
        </w:rPr>
      </w:pPr>
      <w:r>
        <w:rPr>
          <w:rFonts w:ascii="微软雅黑" w:hAnsi="微软雅黑" w:eastAsia="微软雅黑" w:cs="微软雅黑"/>
          <w:spacing w:val="-2"/>
          <w:sz w:val="24"/>
          <w:szCs w:val="24"/>
        </w:rPr>
        <w:t>(1)出现影响采购公正的违法、违规行为的；</w:t>
      </w:r>
    </w:p>
    <w:p w14:paraId="2830DBF5">
      <w:pPr>
        <w:spacing w:line="181" w:lineRule="auto"/>
        <w:ind w:left="559"/>
        <w:rPr>
          <w:rFonts w:ascii="微软雅黑" w:hAnsi="微软雅黑" w:eastAsia="微软雅黑" w:cs="微软雅黑"/>
          <w:sz w:val="24"/>
          <w:szCs w:val="24"/>
        </w:rPr>
      </w:pPr>
      <w:r>
        <w:rPr>
          <w:rFonts w:ascii="微软雅黑" w:hAnsi="微软雅黑" w:eastAsia="微软雅黑" w:cs="微软雅黑"/>
          <w:spacing w:val="-2"/>
          <w:sz w:val="24"/>
          <w:szCs w:val="24"/>
        </w:rPr>
        <w:t>(2)投标人的报价均超过了采购预算，且采购人不能支付的；</w:t>
      </w:r>
    </w:p>
    <w:p w14:paraId="52E7CE87">
      <w:pPr>
        <w:spacing w:before="1" w:line="183" w:lineRule="auto"/>
        <w:ind w:left="559"/>
        <w:rPr>
          <w:rFonts w:ascii="微软雅黑" w:hAnsi="微软雅黑" w:eastAsia="微软雅黑" w:cs="微软雅黑"/>
          <w:sz w:val="24"/>
          <w:szCs w:val="24"/>
        </w:rPr>
      </w:pPr>
      <w:r>
        <w:rPr>
          <w:rFonts w:ascii="微软雅黑" w:hAnsi="微软雅黑" w:eastAsia="微软雅黑" w:cs="微软雅黑"/>
          <w:spacing w:val="-2"/>
          <w:sz w:val="24"/>
          <w:szCs w:val="24"/>
        </w:rPr>
        <w:t>(3)因重大变故，采购任务取消的。</w:t>
      </w:r>
    </w:p>
    <w:p w14:paraId="33245227">
      <w:pPr>
        <w:spacing w:before="353" w:line="181" w:lineRule="auto"/>
        <w:ind w:left="1936"/>
        <w:rPr>
          <w:rFonts w:ascii="微软雅黑" w:hAnsi="微软雅黑" w:eastAsia="微软雅黑" w:cs="微软雅黑"/>
          <w:sz w:val="44"/>
          <w:szCs w:val="44"/>
        </w:rPr>
      </w:pPr>
      <w:r>
        <w:rPr>
          <w:rFonts w:ascii="微软雅黑" w:hAnsi="微软雅黑" w:eastAsia="微软雅黑" w:cs="微软雅黑"/>
          <w:b/>
          <w:bCs/>
          <w:spacing w:val="-6"/>
          <w:sz w:val="44"/>
          <w:szCs w:val="44"/>
        </w:rPr>
        <w:t>第五部分</w:t>
      </w:r>
      <w:r>
        <w:rPr>
          <w:rFonts w:ascii="微软雅黑" w:hAnsi="微软雅黑" w:eastAsia="微软雅黑" w:cs="微软雅黑"/>
          <w:b/>
          <w:bCs/>
          <w:spacing w:val="26"/>
          <w:sz w:val="44"/>
          <w:szCs w:val="44"/>
        </w:rPr>
        <w:t xml:space="preserve">   </w:t>
      </w:r>
      <w:r>
        <w:rPr>
          <w:rFonts w:ascii="微软雅黑" w:hAnsi="微软雅黑" w:eastAsia="微软雅黑" w:cs="微软雅黑"/>
          <w:b/>
          <w:bCs/>
          <w:spacing w:val="-6"/>
          <w:sz w:val="44"/>
          <w:szCs w:val="44"/>
        </w:rPr>
        <w:t>招标结束后注意事项</w:t>
      </w:r>
    </w:p>
    <w:p w14:paraId="2AC509B7">
      <w:pPr>
        <w:spacing w:before="1" w:line="174" w:lineRule="auto"/>
        <w:ind w:left="3658"/>
        <w:rPr>
          <w:rFonts w:ascii="微软雅黑" w:hAnsi="微软雅黑" w:eastAsia="微软雅黑" w:cs="微软雅黑"/>
          <w:sz w:val="36"/>
          <w:szCs w:val="36"/>
        </w:rPr>
      </w:pPr>
      <w:r>
        <w:rPr>
          <w:rFonts w:ascii="微软雅黑" w:hAnsi="微软雅黑" w:eastAsia="微软雅黑" w:cs="微软雅黑"/>
          <w:b/>
          <w:bCs/>
          <w:spacing w:val="-8"/>
          <w:sz w:val="36"/>
          <w:szCs w:val="36"/>
        </w:rPr>
        <w:t>第一章  质疑处理</w:t>
      </w:r>
    </w:p>
    <w:p w14:paraId="0BE8BFB6">
      <w:pPr>
        <w:spacing w:line="181" w:lineRule="auto"/>
        <w:ind w:left="522"/>
        <w:rPr>
          <w:rFonts w:ascii="微软雅黑" w:hAnsi="微软雅黑" w:eastAsia="微软雅黑" w:cs="微软雅黑"/>
          <w:sz w:val="24"/>
          <w:szCs w:val="24"/>
        </w:rPr>
      </w:pPr>
      <w:r>
        <w:rPr>
          <w:rFonts w:ascii="微软雅黑" w:hAnsi="微软雅黑" w:eastAsia="微软雅黑" w:cs="微软雅黑"/>
          <w:b/>
          <w:bCs/>
          <w:spacing w:val="-9"/>
          <w:sz w:val="24"/>
          <w:szCs w:val="24"/>
        </w:rPr>
        <w:t>30、质疑提出</w:t>
      </w:r>
    </w:p>
    <w:p w14:paraId="0E453FAD">
      <w:pPr>
        <w:spacing w:before="2" w:line="181" w:lineRule="auto"/>
        <w:ind w:left="46" w:right="81" w:firstLine="475"/>
        <w:rPr>
          <w:rFonts w:ascii="微软雅黑" w:hAnsi="微软雅黑" w:eastAsia="微软雅黑" w:cs="微软雅黑"/>
          <w:sz w:val="24"/>
          <w:szCs w:val="24"/>
        </w:rPr>
      </w:pPr>
      <w:r>
        <w:rPr>
          <w:rFonts w:ascii="微软雅黑" w:hAnsi="微软雅黑" w:eastAsia="微软雅黑" w:cs="微软雅黑"/>
          <w:b/>
          <w:bCs/>
          <w:sz w:val="24"/>
          <w:szCs w:val="24"/>
        </w:rPr>
        <w:t xml:space="preserve">30.1   </w:t>
      </w:r>
      <w:r>
        <w:rPr>
          <w:rFonts w:ascii="微软雅黑" w:hAnsi="微软雅黑" w:eastAsia="微软雅黑" w:cs="微软雅黑"/>
          <w:sz w:val="24"/>
          <w:szCs w:val="24"/>
        </w:rPr>
        <w:t>投标人认为招标过程或中标结果使自己的合法权益受到损害的，应当在知道或者应</w:t>
      </w:r>
      <w:r>
        <w:rPr>
          <w:rFonts w:ascii="微软雅黑" w:hAnsi="微软雅黑" w:eastAsia="微软雅黑" w:cs="微软雅黑"/>
          <w:spacing w:val="18"/>
          <w:sz w:val="24"/>
          <w:szCs w:val="24"/>
        </w:rPr>
        <w:t xml:space="preserve"> </w:t>
      </w:r>
      <w:r>
        <w:rPr>
          <w:rFonts w:ascii="微软雅黑" w:hAnsi="微软雅黑" w:eastAsia="微软雅黑" w:cs="微软雅黑"/>
          <w:spacing w:val="-2"/>
          <w:sz w:val="24"/>
          <w:szCs w:val="24"/>
        </w:rPr>
        <w:t>知其权益受到损害之日起七个工作日内，以书面形式提出质疑。</w:t>
      </w:r>
    </w:p>
    <w:p w14:paraId="19BBD631">
      <w:pPr>
        <w:spacing w:line="181" w:lineRule="auto"/>
        <w:ind w:left="522"/>
        <w:rPr>
          <w:rFonts w:ascii="微软雅黑" w:hAnsi="微软雅黑" w:eastAsia="微软雅黑" w:cs="微软雅黑"/>
          <w:sz w:val="24"/>
          <w:szCs w:val="24"/>
        </w:rPr>
      </w:pPr>
      <w:r>
        <w:rPr>
          <w:rFonts w:ascii="微软雅黑" w:hAnsi="微软雅黑" w:eastAsia="微软雅黑" w:cs="微软雅黑"/>
          <w:b/>
          <w:bCs/>
          <w:spacing w:val="-3"/>
          <w:sz w:val="24"/>
          <w:szCs w:val="24"/>
        </w:rPr>
        <w:t>30.2</w:t>
      </w:r>
      <w:r>
        <w:rPr>
          <w:rFonts w:ascii="微软雅黑" w:hAnsi="微软雅黑" w:eastAsia="微软雅黑" w:cs="微软雅黑"/>
          <w:b/>
          <w:bCs/>
          <w:spacing w:val="67"/>
          <w:sz w:val="24"/>
          <w:szCs w:val="24"/>
        </w:rPr>
        <w:t xml:space="preserve"> </w:t>
      </w:r>
      <w:r>
        <w:rPr>
          <w:rFonts w:ascii="微软雅黑" w:hAnsi="微软雅黑" w:eastAsia="微软雅黑" w:cs="微软雅黑"/>
          <w:spacing w:val="-3"/>
          <w:sz w:val="24"/>
          <w:szCs w:val="24"/>
        </w:rPr>
        <w:t>投标人提出质疑应当提交质疑函和必要的证明材料。质疑函应当包括下列内容：</w:t>
      </w:r>
    </w:p>
    <w:p w14:paraId="632E38CD">
      <w:pPr>
        <w:spacing w:before="1" w:line="181" w:lineRule="auto"/>
        <w:ind w:left="1004"/>
        <w:rPr>
          <w:rFonts w:ascii="微软雅黑" w:hAnsi="微软雅黑" w:eastAsia="微软雅黑" w:cs="微软雅黑"/>
          <w:sz w:val="24"/>
          <w:szCs w:val="24"/>
        </w:rPr>
      </w:pPr>
      <w:r>
        <w:rPr>
          <w:rFonts w:ascii="微软雅黑" w:hAnsi="微软雅黑" w:eastAsia="微软雅黑" w:cs="微软雅黑"/>
          <w:spacing w:val="-2"/>
          <w:sz w:val="24"/>
          <w:szCs w:val="24"/>
        </w:rPr>
        <w:t>（一）投标人的姓名或者名称、地址、邮编</w:t>
      </w:r>
      <w:r>
        <w:rPr>
          <w:rFonts w:ascii="微软雅黑" w:hAnsi="微软雅黑" w:eastAsia="微软雅黑" w:cs="微软雅黑"/>
          <w:spacing w:val="-3"/>
          <w:sz w:val="24"/>
          <w:szCs w:val="24"/>
        </w:rPr>
        <w:t>、联系人及联系电话；</w:t>
      </w:r>
    </w:p>
    <w:p w14:paraId="370BE9B9">
      <w:pPr>
        <w:spacing w:before="1" w:line="181" w:lineRule="auto"/>
        <w:ind w:left="1004"/>
        <w:rPr>
          <w:rFonts w:ascii="微软雅黑" w:hAnsi="微软雅黑" w:eastAsia="微软雅黑" w:cs="微软雅黑"/>
          <w:sz w:val="24"/>
          <w:szCs w:val="24"/>
        </w:rPr>
      </w:pPr>
      <w:r>
        <w:rPr>
          <w:rFonts w:ascii="微软雅黑" w:hAnsi="微软雅黑" w:eastAsia="微软雅黑" w:cs="微软雅黑"/>
          <w:spacing w:val="-5"/>
          <w:sz w:val="24"/>
          <w:szCs w:val="24"/>
        </w:rPr>
        <w:t>（二）质疑项目的名称、编号；</w:t>
      </w:r>
    </w:p>
    <w:p w14:paraId="5E4DC3A5">
      <w:pPr>
        <w:spacing w:line="181" w:lineRule="auto"/>
        <w:ind w:left="1004"/>
        <w:rPr>
          <w:rFonts w:ascii="微软雅黑" w:hAnsi="微软雅黑" w:eastAsia="微软雅黑" w:cs="微软雅黑"/>
          <w:sz w:val="24"/>
          <w:szCs w:val="24"/>
        </w:rPr>
      </w:pPr>
      <w:r>
        <w:rPr>
          <w:rFonts w:ascii="微软雅黑" w:hAnsi="微软雅黑" w:eastAsia="微软雅黑" w:cs="微软雅黑"/>
          <w:spacing w:val="-3"/>
          <w:sz w:val="24"/>
          <w:szCs w:val="24"/>
        </w:rPr>
        <w:t>（三）具体、明确的质疑事项和与质疑事项相关的请求；</w:t>
      </w:r>
    </w:p>
    <w:p w14:paraId="787F1F14">
      <w:pPr>
        <w:spacing w:before="1" w:line="181" w:lineRule="auto"/>
        <w:ind w:left="1004"/>
        <w:rPr>
          <w:rFonts w:ascii="微软雅黑" w:hAnsi="微软雅黑" w:eastAsia="微软雅黑" w:cs="微软雅黑"/>
          <w:sz w:val="24"/>
          <w:szCs w:val="24"/>
        </w:rPr>
      </w:pPr>
      <w:r>
        <w:rPr>
          <w:rFonts w:ascii="微软雅黑" w:hAnsi="微软雅黑" w:eastAsia="微软雅黑" w:cs="微软雅黑"/>
          <w:spacing w:val="-8"/>
          <w:sz w:val="24"/>
          <w:szCs w:val="24"/>
        </w:rPr>
        <w:t>（四）事实依据；</w:t>
      </w:r>
    </w:p>
    <w:p w14:paraId="46D13DD8">
      <w:pPr>
        <w:spacing w:before="1" w:line="181" w:lineRule="auto"/>
        <w:ind w:left="1004"/>
        <w:rPr>
          <w:rFonts w:ascii="微软雅黑" w:hAnsi="微软雅黑" w:eastAsia="微软雅黑" w:cs="微软雅黑"/>
          <w:sz w:val="24"/>
          <w:szCs w:val="24"/>
        </w:rPr>
      </w:pPr>
      <w:r>
        <w:rPr>
          <w:rFonts w:ascii="微软雅黑" w:hAnsi="微软雅黑" w:eastAsia="微软雅黑" w:cs="微软雅黑"/>
          <w:spacing w:val="-6"/>
          <w:sz w:val="24"/>
          <w:szCs w:val="24"/>
        </w:rPr>
        <w:t>（五）必要的法律依据；</w:t>
      </w:r>
    </w:p>
    <w:p w14:paraId="52164331">
      <w:pPr>
        <w:spacing w:before="1" w:line="181" w:lineRule="auto"/>
        <w:ind w:left="1004"/>
        <w:rPr>
          <w:rFonts w:ascii="微软雅黑" w:hAnsi="微软雅黑" w:eastAsia="微软雅黑" w:cs="微软雅黑"/>
          <w:sz w:val="24"/>
          <w:szCs w:val="24"/>
        </w:rPr>
      </w:pPr>
      <w:r>
        <w:rPr>
          <w:rFonts w:ascii="微软雅黑" w:hAnsi="微软雅黑" w:eastAsia="微软雅黑" w:cs="微软雅黑"/>
          <w:spacing w:val="-4"/>
          <w:sz w:val="24"/>
          <w:szCs w:val="24"/>
        </w:rPr>
        <w:t>（六）提出质疑的日期。</w:t>
      </w:r>
    </w:p>
    <w:p w14:paraId="368B47B4">
      <w:pPr>
        <w:spacing w:before="2" w:line="184" w:lineRule="auto"/>
        <w:ind w:left="51" w:firstLine="472"/>
        <w:rPr>
          <w:rFonts w:ascii="微软雅黑" w:hAnsi="微软雅黑" w:eastAsia="微软雅黑" w:cs="微软雅黑"/>
          <w:sz w:val="24"/>
          <w:szCs w:val="24"/>
        </w:rPr>
      </w:pPr>
      <w:r>
        <w:rPr>
          <w:rFonts w:ascii="微软雅黑" w:hAnsi="微软雅黑" w:eastAsia="微软雅黑" w:cs="微软雅黑"/>
          <w:spacing w:val="-3"/>
          <w:sz w:val="24"/>
          <w:szCs w:val="24"/>
        </w:rPr>
        <w:t>投标人为自然人的，应当由本人签字；投标人为法人或者</w:t>
      </w:r>
      <w:r>
        <w:rPr>
          <w:rFonts w:ascii="微软雅黑" w:hAnsi="微软雅黑" w:eastAsia="微软雅黑" w:cs="微软雅黑"/>
          <w:spacing w:val="-4"/>
          <w:sz w:val="24"/>
          <w:szCs w:val="24"/>
        </w:rPr>
        <w:t>其他组织的，应当由法定代表人、</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主要负责人，或者其授权代表签字或者盖章，并加盖公</w:t>
      </w:r>
      <w:r>
        <w:rPr>
          <w:rFonts w:ascii="微软雅黑" w:hAnsi="微软雅黑" w:eastAsia="微软雅黑" w:cs="微软雅黑"/>
          <w:spacing w:val="-3"/>
          <w:sz w:val="24"/>
          <w:szCs w:val="24"/>
        </w:rPr>
        <w:t>章。</w:t>
      </w:r>
    </w:p>
    <w:p w14:paraId="4621C669">
      <w:pPr>
        <w:pStyle w:val="2"/>
        <w:spacing w:line="398" w:lineRule="auto"/>
      </w:pPr>
    </w:p>
    <w:p w14:paraId="02FA76A7">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95                                </w:t>
      </w:r>
      <w:r>
        <w:rPr>
          <w:rFonts w:ascii="宋体" w:hAnsi="宋体" w:eastAsia="宋体" w:cs="宋体"/>
          <w:b/>
          <w:bCs/>
          <w:i/>
          <w:iCs/>
          <w:spacing w:val="-3"/>
          <w:sz w:val="19"/>
          <w:szCs w:val="19"/>
        </w:rPr>
        <w:t>伊犁州公共资源交易中心</w:t>
      </w:r>
    </w:p>
    <w:p w14:paraId="32F3074B">
      <w:pPr>
        <w:spacing w:line="160" w:lineRule="auto"/>
        <w:rPr>
          <w:rFonts w:ascii="宋体" w:hAnsi="宋体" w:eastAsia="宋体" w:cs="宋体"/>
          <w:sz w:val="19"/>
          <w:szCs w:val="19"/>
        </w:rPr>
        <w:sectPr>
          <w:headerReference r:id="rId90" w:type="default"/>
          <w:footerReference r:id="rId91" w:type="default"/>
          <w:pgSz w:w="11905" w:h="16839"/>
          <w:pgMar w:top="1136" w:right="777" w:bottom="937" w:left="1136" w:header="854" w:footer="923" w:gutter="0"/>
          <w:cols w:space="720" w:num="1"/>
        </w:sectPr>
      </w:pPr>
    </w:p>
    <w:p w14:paraId="448D1A25">
      <w:pPr>
        <w:spacing w:before="318" w:line="181" w:lineRule="auto"/>
        <w:ind w:left="522"/>
        <w:rPr>
          <w:rFonts w:ascii="微软雅黑" w:hAnsi="微软雅黑" w:eastAsia="微软雅黑" w:cs="微软雅黑"/>
          <w:sz w:val="24"/>
          <w:szCs w:val="24"/>
        </w:rPr>
      </w:pPr>
      <w:bookmarkStart w:id="49" w:name="bookmark61"/>
      <w:bookmarkEnd w:id="49"/>
      <w:r>
        <w:rPr>
          <w:rFonts w:ascii="微软雅黑" w:hAnsi="微软雅黑" w:eastAsia="微软雅黑" w:cs="微软雅黑"/>
          <w:b/>
          <w:bCs/>
          <w:spacing w:val="-10"/>
          <w:sz w:val="24"/>
          <w:szCs w:val="24"/>
        </w:rPr>
        <w:t>31、  质疑答复</w:t>
      </w:r>
    </w:p>
    <w:p w14:paraId="20D8B8F5">
      <w:pPr>
        <w:spacing w:before="1" w:line="181" w:lineRule="auto"/>
        <w:ind w:left="46" w:right="60" w:firstLine="475"/>
        <w:rPr>
          <w:rFonts w:ascii="微软雅黑" w:hAnsi="微软雅黑" w:eastAsia="微软雅黑" w:cs="微软雅黑"/>
          <w:sz w:val="24"/>
          <w:szCs w:val="24"/>
        </w:rPr>
      </w:pPr>
      <w:r>
        <w:rPr>
          <w:rFonts w:ascii="微软雅黑" w:hAnsi="微软雅黑" w:eastAsia="微软雅黑" w:cs="微软雅黑"/>
          <w:b/>
          <w:bCs/>
          <w:spacing w:val="-3"/>
          <w:sz w:val="24"/>
          <w:szCs w:val="24"/>
        </w:rPr>
        <w:t>31.1</w:t>
      </w:r>
      <w:r>
        <w:rPr>
          <w:rFonts w:ascii="微软雅黑" w:hAnsi="微软雅黑" w:eastAsia="微软雅黑" w:cs="微软雅黑"/>
          <w:b/>
          <w:bCs/>
          <w:spacing w:val="68"/>
          <w:sz w:val="24"/>
          <w:szCs w:val="24"/>
        </w:rPr>
        <w:t xml:space="preserve"> </w:t>
      </w:r>
      <w:r>
        <w:rPr>
          <w:rFonts w:ascii="微软雅黑" w:hAnsi="微软雅黑" w:eastAsia="微软雅黑" w:cs="微软雅黑"/>
          <w:spacing w:val="-3"/>
          <w:sz w:val="24"/>
          <w:szCs w:val="24"/>
        </w:rPr>
        <w:t>采购人或集采机构应当在收到质疑函后 7 个工作日内作出答复，并以书面形式通知质</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疑投标人。</w:t>
      </w:r>
    </w:p>
    <w:p w14:paraId="2B400AF3">
      <w:pPr>
        <w:spacing w:before="1" w:line="181" w:lineRule="auto"/>
        <w:ind w:left="50" w:right="60" w:firstLine="471"/>
        <w:rPr>
          <w:rFonts w:ascii="微软雅黑" w:hAnsi="微软雅黑" w:eastAsia="微软雅黑" w:cs="微软雅黑"/>
          <w:sz w:val="24"/>
          <w:szCs w:val="24"/>
        </w:rPr>
      </w:pPr>
      <w:r>
        <w:rPr>
          <w:rFonts w:ascii="微软雅黑" w:hAnsi="微软雅黑" w:eastAsia="微软雅黑" w:cs="微软雅黑"/>
          <w:b/>
          <w:bCs/>
          <w:spacing w:val="-6"/>
          <w:sz w:val="24"/>
          <w:szCs w:val="24"/>
        </w:rPr>
        <w:t>31.2</w:t>
      </w:r>
      <w:r>
        <w:rPr>
          <w:rFonts w:ascii="微软雅黑" w:hAnsi="微软雅黑" w:eastAsia="微软雅黑" w:cs="微软雅黑"/>
          <w:b/>
          <w:bCs/>
          <w:spacing w:val="66"/>
          <w:w w:val="101"/>
          <w:sz w:val="24"/>
          <w:szCs w:val="24"/>
        </w:rPr>
        <w:t xml:space="preserve"> </w:t>
      </w:r>
      <w:r>
        <w:rPr>
          <w:rFonts w:ascii="微软雅黑" w:hAnsi="微软雅黑" w:eastAsia="微软雅黑" w:cs="微软雅黑"/>
          <w:spacing w:val="-6"/>
          <w:sz w:val="24"/>
          <w:szCs w:val="24"/>
        </w:rPr>
        <w:t>对招标组织程序、招标过程有质疑的由</w:t>
      </w:r>
      <w:r>
        <w:rPr>
          <w:rFonts w:ascii="微软雅黑" w:hAnsi="微软雅黑" w:eastAsia="微软雅黑" w:cs="微软雅黑"/>
          <w:spacing w:val="-7"/>
          <w:sz w:val="24"/>
          <w:szCs w:val="24"/>
        </w:rPr>
        <w:t>集采机构负责答复，</w:t>
      </w:r>
      <w:r>
        <w:rPr>
          <w:rFonts w:ascii="微软雅黑" w:hAnsi="微软雅黑" w:eastAsia="微软雅黑" w:cs="微软雅黑"/>
          <w:spacing w:val="19"/>
          <w:sz w:val="24"/>
          <w:szCs w:val="24"/>
        </w:rPr>
        <w:t xml:space="preserve">  </w:t>
      </w:r>
      <w:r>
        <w:rPr>
          <w:rFonts w:ascii="微软雅黑" w:hAnsi="微软雅黑" w:eastAsia="微软雅黑" w:cs="微软雅黑"/>
          <w:spacing w:val="-7"/>
          <w:sz w:val="24"/>
          <w:szCs w:val="24"/>
        </w:rPr>
        <w:t>对采购需求、评标结果有</w:t>
      </w:r>
      <w:r>
        <w:rPr>
          <w:rFonts w:ascii="微软雅黑" w:hAnsi="微软雅黑" w:eastAsia="微软雅黑" w:cs="微软雅黑"/>
          <w:spacing w:val="1"/>
          <w:sz w:val="24"/>
          <w:szCs w:val="24"/>
        </w:rPr>
        <w:t xml:space="preserve"> </w:t>
      </w:r>
      <w:r>
        <w:rPr>
          <w:rFonts w:ascii="微软雅黑" w:hAnsi="微软雅黑" w:eastAsia="微软雅黑" w:cs="微软雅黑"/>
          <w:spacing w:val="-5"/>
          <w:sz w:val="24"/>
          <w:szCs w:val="24"/>
        </w:rPr>
        <w:t>质疑的由采购人负责答复。</w:t>
      </w:r>
    </w:p>
    <w:p w14:paraId="0B9BF310">
      <w:pPr>
        <w:spacing w:before="1" w:line="181" w:lineRule="auto"/>
        <w:ind w:left="44" w:right="60" w:firstLine="477"/>
        <w:rPr>
          <w:rFonts w:ascii="微软雅黑" w:hAnsi="微软雅黑" w:eastAsia="微软雅黑" w:cs="微软雅黑"/>
          <w:sz w:val="24"/>
          <w:szCs w:val="24"/>
        </w:rPr>
      </w:pPr>
      <w:r>
        <w:rPr>
          <w:rFonts w:ascii="微软雅黑" w:hAnsi="微软雅黑" w:eastAsia="微软雅黑" w:cs="微软雅黑"/>
          <w:b/>
          <w:bCs/>
          <w:spacing w:val="-2"/>
          <w:sz w:val="24"/>
          <w:szCs w:val="24"/>
        </w:rPr>
        <w:t>31.3</w:t>
      </w:r>
      <w:r>
        <w:rPr>
          <w:rFonts w:ascii="微软雅黑" w:hAnsi="微软雅黑" w:eastAsia="微软雅黑" w:cs="微软雅黑"/>
          <w:b/>
          <w:bCs/>
          <w:spacing w:val="63"/>
          <w:w w:val="101"/>
          <w:sz w:val="24"/>
          <w:szCs w:val="24"/>
        </w:rPr>
        <w:t xml:space="preserve"> </w:t>
      </w:r>
      <w:r>
        <w:rPr>
          <w:rFonts w:ascii="微软雅黑" w:hAnsi="微软雅黑" w:eastAsia="微软雅黑" w:cs="微软雅黑"/>
          <w:spacing w:val="-2"/>
          <w:sz w:val="24"/>
          <w:szCs w:val="24"/>
        </w:rPr>
        <w:t>投标人对采购人或投标方未在规定时间内作出答复的或者对质疑答复不满意，可以在</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答复期满后十五个工作日内向同级采购监管部门投诉。</w:t>
      </w:r>
    </w:p>
    <w:p w14:paraId="40D36C96">
      <w:pPr>
        <w:spacing w:before="1" w:line="181" w:lineRule="auto"/>
        <w:ind w:left="89" w:right="119" w:firstLine="432"/>
        <w:rPr>
          <w:rFonts w:ascii="微软雅黑" w:hAnsi="微软雅黑" w:eastAsia="微软雅黑" w:cs="微软雅黑"/>
          <w:sz w:val="24"/>
          <w:szCs w:val="24"/>
        </w:rPr>
      </w:pPr>
      <w:r>
        <w:rPr>
          <w:rFonts w:ascii="微软雅黑" w:hAnsi="微软雅黑" w:eastAsia="微软雅黑" w:cs="微软雅黑"/>
          <w:b/>
          <w:bCs/>
          <w:sz w:val="24"/>
          <w:szCs w:val="24"/>
        </w:rPr>
        <w:t xml:space="preserve">31.4   </w:t>
      </w:r>
      <w:r>
        <w:rPr>
          <w:rFonts w:ascii="微软雅黑" w:hAnsi="微软雅黑" w:eastAsia="微软雅黑" w:cs="微软雅黑"/>
          <w:sz w:val="24"/>
          <w:szCs w:val="24"/>
        </w:rPr>
        <w:t>质疑、投诉应当采用书面形式，</w:t>
      </w:r>
      <w:r>
        <w:rPr>
          <w:rFonts w:ascii="微软雅黑" w:hAnsi="微软雅黑" w:eastAsia="微软雅黑" w:cs="微软雅黑"/>
          <w:spacing w:val="-46"/>
          <w:sz w:val="24"/>
          <w:szCs w:val="24"/>
        </w:rPr>
        <w:t xml:space="preserve"> </w:t>
      </w:r>
      <w:r>
        <w:rPr>
          <w:rFonts w:ascii="微软雅黑" w:hAnsi="微软雅黑" w:eastAsia="微软雅黑" w:cs="微软雅黑"/>
          <w:sz w:val="24"/>
          <w:szCs w:val="24"/>
        </w:rPr>
        <w:t>质疑书、投诉书均应明确招标过程</w:t>
      </w:r>
      <w:r>
        <w:rPr>
          <w:rFonts w:ascii="微软雅黑" w:hAnsi="微软雅黑" w:eastAsia="微软雅黑" w:cs="微软雅黑"/>
          <w:spacing w:val="-1"/>
          <w:sz w:val="24"/>
          <w:szCs w:val="24"/>
        </w:rPr>
        <w:t>或中标结果中使</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自己合法权益受到损害的实质性内容，</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提供相关事实、依据和证据及其来源或线索，便于</w:t>
      </w:r>
      <w:r>
        <w:rPr>
          <w:rFonts w:ascii="微软雅黑" w:hAnsi="微软雅黑" w:eastAsia="微软雅黑" w:cs="微软雅黑"/>
          <w:spacing w:val="-2"/>
          <w:sz w:val="24"/>
          <w:szCs w:val="24"/>
        </w:rPr>
        <w:t>有关</w:t>
      </w:r>
    </w:p>
    <w:p w14:paraId="173F4841">
      <w:pPr>
        <w:spacing w:before="1" w:line="187" w:lineRule="auto"/>
        <w:ind w:left="49"/>
        <w:rPr>
          <w:rFonts w:ascii="微软雅黑" w:hAnsi="微软雅黑" w:eastAsia="微软雅黑" w:cs="微软雅黑"/>
          <w:sz w:val="24"/>
          <w:szCs w:val="24"/>
        </w:rPr>
      </w:pPr>
      <w:r>
        <w:rPr>
          <w:rFonts w:ascii="微软雅黑" w:hAnsi="微软雅黑" w:eastAsia="微软雅黑" w:cs="微软雅黑"/>
          <w:spacing w:val="-5"/>
          <w:sz w:val="24"/>
          <w:szCs w:val="24"/>
        </w:rPr>
        <w:t>单位调查、答复和处理。</w:t>
      </w:r>
    </w:p>
    <w:p w14:paraId="705831FA">
      <w:pPr>
        <w:spacing w:before="384" w:line="188" w:lineRule="auto"/>
        <w:ind w:left="3658"/>
        <w:rPr>
          <w:rFonts w:ascii="微软雅黑" w:hAnsi="微软雅黑" w:eastAsia="微软雅黑" w:cs="微软雅黑"/>
          <w:sz w:val="36"/>
          <w:szCs w:val="36"/>
        </w:rPr>
      </w:pPr>
      <w:r>
        <w:rPr>
          <w:rFonts w:ascii="微软雅黑" w:hAnsi="微软雅黑" w:eastAsia="微软雅黑" w:cs="微软雅黑"/>
          <w:b/>
          <w:bCs/>
          <w:spacing w:val="-8"/>
          <w:sz w:val="36"/>
          <w:szCs w:val="36"/>
        </w:rPr>
        <w:t>第二章  签订合同</w:t>
      </w:r>
    </w:p>
    <w:p w14:paraId="2261AB25">
      <w:pPr>
        <w:spacing w:before="29" w:line="181" w:lineRule="auto"/>
        <w:ind w:left="522"/>
        <w:rPr>
          <w:rFonts w:ascii="微软雅黑" w:hAnsi="微软雅黑" w:eastAsia="微软雅黑" w:cs="微软雅黑"/>
          <w:sz w:val="24"/>
          <w:szCs w:val="24"/>
        </w:rPr>
      </w:pPr>
      <w:r>
        <w:rPr>
          <w:rFonts w:ascii="微软雅黑" w:hAnsi="微软雅黑" w:eastAsia="微软雅黑" w:cs="微软雅黑"/>
          <w:b/>
          <w:bCs/>
          <w:spacing w:val="-9"/>
          <w:sz w:val="24"/>
          <w:szCs w:val="24"/>
        </w:rPr>
        <w:t>32、签订合同</w:t>
      </w:r>
    </w:p>
    <w:p w14:paraId="32E22011">
      <w:pPr>
        <w:spacing w:before="2" w:line="181" w:lineRule="auto"/>
        <w:ind w:left="44" w:right="119" w:firstLine="477"/>
        <w:jc w:val="both"/>
        <w:rPr>
          <w:rFonts w:ascii="微软雅黑" w:hAnsi="微软雅黑" w:eastAsia="微软雅黑" w:cs="微软雅黑"/>
          <w:sz w:val="24"/>
          <w:szCs w:val="24"/>
        </w:rPr>
      </w:pPr>
      <w:r>
        <w:rPr>
          <w:rFonts w:ascii="微软雅黑" w:hAnsi="微软雅黑" w:eastAsia="微软雅黑" w:cs="微软雅黑"/>
          <w:spacing w:val="-6"/>
          <w:sz w:val="24"/>
          <w:szCs w:val="24"/>
        </w:rPr>
        <w:t>32.1    中标人收到集采机构的《中标通知书》后 30  日内，按照招标文件和投标书中的约定</w:t>
      </w:r>
      <w:r>
        <w:rPr>
          <w:rFonts w:ascii="微软雅黑" w:hAnsi="微软雅黑" w:eastAsia="微软雅黑" w:cs="微软雅黑"/>
          <w:spacing w:val="15"/>
          <w:sz w:val="24"/>
          <w:szCs w:val="24"/>
        </w:rPr>
        <w:t xml:space="preserve"> </w:t>
      </w:r>
      <w:r>
        <w:rPr>
          <w:rFonts w:ascii="微软雅黑" w:hAnsi="微软雅黑" w:eastAsia="微软雅黑" w:cs="微软雅黑"/>
          <w:spacing w:val="1"/>
          <w:sz w:val="24"/>
          <w:szCs w:val="24"/>
        </w:rPr>
        <w:t>与采购人签订书面合同，所签订的合同不得对招标文</w:t>
      </w:r>
      <w:r>
        <w:rPr>
          <w:rFonts w:ascii="微软雅黑" w:hAnsi="微软雅黑" w:eastAsia="微软雅黑" w:cs="微软雅黑"/>
          <w:sz w:val="24"/>
          <w:szCs w:val="24"/>
        </w:rPr>
        <w:t xml:space="preserve">件和中标人的投标文件作实质性修改。采 </w:t>
      </w:r>
      <w:r>
        <w:rPr>
          <w:rFonts w:ascii="微软雅黑" w:hAnsi="微软雅黑" w:eastAsia="微软雅黑" w:cs="微软雅黑"/>
          <w:spacing w:val="-2"/>
          <w:sz w:val="24"/>
          <w:szCs w:val="24"/>
        </w:rPr>
        <w:t>购人不得向中标人提出任何不合理的要求作为签订合同的条件。</w:t>
      </w:r>
    </w:p>
    <w:p w14:paraId="11FCA763">
      <w:pPr>
        <w:spacing w:before="1" w:line="181" w:lineRule="auto"/>
        <w:ind w:left="44" w:right="120" w:firstLine="477"/>
        <w:rPr>
          <w:rFonts w:ascii="微软雅黑" w:hAnsi="微软雅黑" w:eastAsia="微软雅黑" w:cs="微软雅黑"/>
          <w:sz w:val="24"/>
          <w:szCs w:val="24"/>
        </w:rPr>
      </w:pPr>
      <w:r>
        <w:rPr>
          <w:rFonts w:ascii="微软雅黑" w:hAnsi="微软雅黑" w:eastAsia="微软雅黑" w:cs="微软雅黑"/>
          <w:spacing w:val="-1"/>
          <w:sz w:val="24"/>
          <w:szCs w:val="24"/>
        </w:rPr>
        <w:t>32.2 政府采购合同应当包括采购人与中标人的名称和住所、标的、数量、质量、</w:t>
      </w:r>
      <w:r>
        <w:rPr>
          <w:rFonts w:ascii="微软雅黑" w:hAnsi="微软雅黑" w:eastAsia="微软雅黑" w:cs="微软雅黑"/>
          <w:spacing w:val="-2"/>
          <w:sz w:val="24"/>
          <w:szCs w:val="24"/>
        </w:rPr>
        <w:t>价款或者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报酬、履行期限及地点和方式、验收要求、违约责</w:t>
      </w:r>
      <w:r>
        <w:rPr>
          <w:rFonts w:ascii="微软雅黑" w:hAnsi="微软雅黑" w:eastAsia="微软雅黑" w:cs="微软雅黑"/>
          <w:spacing w:val="-2"/>
          <w:sz w:val="24"/>
          <w:szCs w:val="24"/>
        </w:rPr>
        <w:t>任、解决争议的方法等内容。</w:t>
      </w:r>
    </w:p>
    <w:p w14:paraId="2D657312">
      <w:pPr>
        <w:spacing w:before="1" w:line="181" w:lineRule="auto"/>
        <w:ind w:left="522"/>
        <w:rPr>
          <w:rFonts w:ascii="微软雅黑" w:hAnsi="微软雅黑" w:eastAsia="微软雅黑" w:cs="微软雅黑"/>
          <w:sz w:val="24"/>
          <w:szCs w:val="24"/>
        </w:rPr>
      </w:pPr>
      <w:r>
        <w:rPr>
          <w:rFonts w:ascii="微软雅黑" w:hAnsi="微软雅黑" w:eastAsia="微软雅黑" w:cs="微软雅黑"/>
          <w:spacing w:val="-2"/>
          <w:sz w:val="24"/>
          <w:szCs w:val="24"/>
        </w:rPr>
        <w:t>32.3 采购人与中标人应当根据合同的约定依法履行合同义务。</w:t>
      </w:r>
    </w:p>
    <w:p w14:paraId="0CD7D23C">
      <w:pPr>
        <w:spacing w:before="1" w:line="185" w:lineRule="auto"/>
        <w:ind w:left="52" w:right="120" w:firstLine="469"/>
        <w:rPr>
          <w:rFonts w:ascii="微软雅黑" w:hAnsi="微软雅黑" w:eastAsia="微软雅黑" w:cs="微软雅黑"/>
          <w:sz w:val="24"/>
          <w:szCs w:val="24"/>
        </w:rPr>
      </w:pPr>
      <w:r>
        <w:rPr>
          <w:rFonts w:ascii="微软雅黑" w:hAnsi="微软雅黑" w:eastAsia="微软雅黑" w:cs="微软雅黑"/>
          <w:spacing w:val="11"/>
          <w:sz w:val="24"/>
          <w:szCs w:val="24"/>
        </w:rPr>
        <w:t>32.4 政府采购合同的履行、违约责任和解决争议的方法等适用《中华人</w:t>
      </w:r>
      <w:r>
        <w:rPr>
          <w:rFonts w:ascii="微软雅黑" w:hAnsi="微软雅黑" w:eastAsia="微软雅黑" w:cs="微软雅黑"/>
          <w:spacing w:val="10"/>
          <w:sz w:val="24"/>
          <w:szCs w:val="24"/>
        </w:rPr>
        <w:t>民共和国合同</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法》。</w:t>
      </w:r>
    </w:p>
    <w:p w14:paraId="27B9C72E">
      <w:pPr>
        <w:pStyle w:val="2"/>
        <w:spacing w:line="254" w:lineRule="auto"/>
      </w:pPr>
    </w:p>
    <w:p w14:paraId="1DA331CC">
      <w:pPr>
        <w:pStyle w:val="2"/>
        <w:spacing w:line="254" w:lineRule="auto"/>
      </w:pPr>
    </w:p>
    <w:p w14:paraId="5143544B">
      <w:pPr>
        <w:spacing w:before="155" w:line="188" w:lineRule="auto"/>
        <w:ind w:left="3658"/>
        <w:rPr>
          <w:rFonts w:ascii="微软雅黑" w:hAnsi="微软雅黑" w:eastAsia="微软雅黑" w:cs="微软雅黑"/>
          <w:sz w:val="36"/>
          <w:szCs w:val="36"/>
        </w:rPr>
      </w:pPr>
      <w:r>
        <w:rPr>
          <w:rFonts w:ascii="微软雅黑" w:hAnsi="微软雅黑" w:eastAsia="微软雅黑" w:cs="微软雅黑"/>
          <w:b/>
          <w:bCs/>
          <w:spacing w:val="-9"/>
          <w:sz w:val="36"/>
          <w:szCs w:val="36"/>
        </w:rPr>
        <w:t>第三章</w:t>
      </w:r>
      <w:r>
        <w:rPr>
          <w:rFonts w:ascii="微软雅黑" w:hAnsi="微软雅黑" w:eastAsia="微软雅黑" w:cs="微软雅黑"/>
          <w:b/>
          <w:bCs/>
          <w:spacing w:val="101"/>
          <w:sz w:val="36"/>
          <w:szCs w:val="36"/>
        </w:rPr>
        <w:t xml:space="preserve"> </w:t>
      </w:r>
      <w:r>
        <w:rPr>
          <w:rFonts w:ascii="微软雅黑" w:hAnsi="微软雅黑" w:eastAsia="微软雅黑" w:cs="微软雅黑"/>
          <w:b/>
          <w:bCs/>
          <w:spacing w:val="-9"/>
          <w:sz w:val="36"/>
          <w:szCs w:val="36"/>
        </w:rPr>
        <w:t>项目验收</w:t>
      </w:r>
    </w:p>
    <w:p w14:paraId="3EE75DFF">
      <w:pPr>
        <w:spacing w:before="29" w:line="181" w:lineRule="auto"/>
        <w:ind w:left="522"/>
        <w:rPr>
          <w:rFonts w:ascii="微软雅黑" w:hAnsi="微软雅黑" w:eastAsia="微软雅黑" w:cs="微软雅黑"/>
          <w:sz w:val="24"/>
          <w:szCs w:val="24"/>
        </w:rPr>
      </w:pPr>
      <w:r>
        <w:rPr>
          <w:rFonts w:ascii="微软雅黑" w:hAnsi="微软雅黑" w:eastAsia="微软雅黑" w:cs="微软雅黑"/>
          <w:b/>
          <w:bCs/>
          <w:spacing w:val="-9"/>
          <w:sz w:val="24"/>
          <w:szCs w:val="24"/>
        </w:rPr>
        <w:t>33、组织验收</w:t>
      </w:r>
    </w:p>
    <w:p w14:paraId="0D26BDBE">
      <w:pPr>
        <w:spacing w:before="2" w:line="181" w:lineRule="auto"/>
        <w:ind w:left="44" w:right="119" w:firstLine="478"/>
        <w:jc w:val="both"/>
        <w:rPr>
          <w:rFonts w:ascii="微软雅黑" w:hAnsi="微软雅黑" w:eastAsia="微软雅黑" w:cs="微软雅黑"/>
          <w:sz w:val="24"/>
          <w:szCs w:val="24"/>
        </w:rPr>
      </w:pPr>
      <w:r>
        <w:rPr>
          <w:rFonts w:ascii="微软雅黑" w:hAnsi="微软雅黑" w:eastAsia="微软雅黑" w:cs="微软雅黑"/>
          <w:spacing w:val="1"/>
          <w:sz w:val="24"/>
          <w:szCs w:val="24"/>
        </w:rPr>
        <w:t>33.1   政府采购合同及投标承诺是政府采购项目验收的依据，</w:t>
      </w:r>
      <w:r>
        <w:rPr>
          <w:rFonts w:ascii="微软雅黑" w:hAnsi="微软雅黑" w:eastAsia="微软雅黑" w:cs="微软雅黑"/>
          <w:spacing w:val="-51"/>
          <w:sz w:val="24"/>
          <w:szCs w:val="24"/>
        </w:rPr>
        <w:t xml:space="preserve"> </w:t>
      </w:r>
      <w:r>
        <w:rPr>
          <w:rFonts w:ascii="微软雅黑" w:hAnsi="微软雅黑" w:eastAsia="微软雅黑" w:cs="微软雅黑"/>
          <w:spacing w:val="1"/>
          <w:sz w:val="24"/>
          <w:szCs w:val="24"/>
        </w:rPr>
        <w:t>是</w:t>
      </w:r>
      <w:r>
        <w:rPr>
          <w:rFonts w:ascii="微软雅黑" w:hAnsi="微软雅黑" w:eastAsia="微软雅黑" w:cs="微软雅黑"/>
          <w:sz w:val="24"/>
          <w:szCs w:val="24"/>
        </w:rPr>
        <w:t>采购人和投标人之间的权 利和义务。投标人、采购人应按照采购合同的约定，</w:t>
      </w:r>
      <w:r>
        <w:rPr>
          <w:rFonts w:ascii="微软雅黑" w:hAnsi="微软雅黑" w:eastAsia="微软雅黑" w:cs="微软雅黑"/>
          <w:spacing w:val="-47"/>
          <w:sz w:val="24"/>
          <w:szCs w:val="24"/>
        </w:rPr>
        <w:t xml:space="preserve"> </w:t>
      </w:r>
      <w:r>
        <w:rPr>
          <w:rFonts w:ascii="微软雅黑" w:hAnsi="微软雅黑" w:eastAsia="微软雅黑" w:cs="微软雅黑"/>
          <w:sz w:val="24"/>
          <w:szCs w:val="24"/>
        </w:rPr>
        <w:t xml:space="preserve">全面履行合同。任何一方当事人在履行合 </w:t>
      </w:r>
      <w:r>
        <w:rPr>
          <w:rFonts w:ascii="微软雅黑" w:hAnsi="微软雅黑" w:eastAsia="微软雅黑" w:cs="微软雅黑"/>
          <w:spacing w:val="-3"/>
          <w:sz w:val="24"/>
          <w:szCs w:val="24"/>
        </w:rPr>
        <w:t>同过程中均不得擅自变更、中止或终止合同。</w:t>
      </w:r>
    </w:p>
    <w:p w14:paraId="5C4E998A">
      <w:pPr>
        <w:spacing w:before="2" w:line="181" w:lineRule="auto"/>
        <w:ind w:left="44" w:firstLine="477"/>
        <w:rPr>
          <w:rFonts w:ascii="微软雅黑" w:hAnsi="微软雅黑" w:eastAsia="微软雅黑" w:cs="微软雅黑"/>
          <w:sz w:val="24"/>
          <w:szCs w:val="24"/>
        </w:rPr>
      </w:pPr>
      <w:r>
        <w:rPr>
          <w:rFonts w:ascii="微软雅黑" w:hAnsi="微软雅黑" w:eastAsia="微软雅黑" w:cs="微软雅黑"/>
          <w:spacing w:val="1"/>
          <w:sz w:val="24"/>
          <w:szCs w:val="24"/>
        </w:rPr>
        <w:t>33.2   采购人应当成立验收小组,按照采购合同的约定对投标人履约情况进行验收。验收时,</w:t>
      </w:r>
      <w:r>
        <w:rPr>
          <w:rFonts w:ascii="微软雅黑" w:hAnsi="微软雅黑" w:eastAsia="微软雅黑" w:cs="微软雅黑"/>
          <w:spacing w:val="12"/>
          <w:sz w:val="24"/>
          <w:szCs w:val="24"/>
        </w:rPr>
        <w:t xml:space="preserve"> </w:t>
      </w:r>
      <w:r>
        <w:rPr>
          <w:rFonts w:ascii="微软雅黑" w:hAnsi="微软雅黑" w:eastAsia="微软雅黑" w:cs="微软雅黑"/>
          <w:spacing w:val="-1"/>
          <w:sz w:val="24"/>
          <w:szCs w:val="24"/>
        </w:rPr>
        <w:t>应当按照采购合同的约定对每一项技术、服务、安</w:t>
      </w:r>
      <w:r>
        <w:rPr>
          <w:rFonts w:ascii="微软雅黑" w:hAnsi="微软雅黑" w:eastAsia="微软雅黑" w:cs="微软雅黑"/>
          <w:spacing w:val="-2"/>
          <w:sz w:val="24"/>
          <w:szCs w:val="24"/>
        </w:rPr>
        <w:t>全标准的履约情况进行确认。</w:t>
      </w:r>
    </w:p>
    <w:p w14:paraId="0C949E22">
      <w:pPr>
        <w:spacing w:before="2" w:line="181" w:lineRule="auto"/>
        <w:ind w:left="45" w:right="119" w:firstLine="476"/>
        <w:rPr>
          <w:rFonts w:ascii="微软雅黑" w:hAnsi="微软雅黑" w:eastAsia="微软雅黑" w:cs="微软雅黑"/>
          <w:sz w:val="24"/>
          <w:szCs w:val="24"/>
        </w:rPr>
      </w:pPr>
      <w:r>
        <w:rPr>
          <w:rFonts w:ascii="微软雅黑" w:hAnsi="微软雅黑" w:eastAsia="微软雅黑" w:cs="微软雅黑"/>
          <w:spacing w:val="1"/>
          <w:sz w:val="24"/>
          <w:szCs w:val="24"/>
        </w:rPr>
        <w:t>33.3</w:t>
      </w:r>
      <w:r>
        <w:rPr>
          <w:rFonts w:ascii="微软雅黑" w:hAnsi="微软雅黑" w:eastAsia="微软雅黑" w:cs="微软雅黑"/>
          <w:spacing w:val="65"/>
          <w:w w:val="101"/>
          <w:sz w:val="24"/>
          <w:szCs w:val="24"/>
        </w:rPr>
        <w:t xml:space="preserve"> </w:t>
      </w:r>
      <w:r>
        <w:rPr>
          <w:rFonts w:ascii="微软雅黑" w:hAnsi="微软雅黑" w:eastAsia="微软雅黑" w:cs="微软雅黑"/>
          <w:spacing w:val="1"/>
          <w:sz w:val="24"/>
          <w:szCs w:val="24"/>
        </w:rPr>
        <w:t>验收结束后</w:t>
      </w:r>
      <w:r>
        <w:rPr>
          <w:rFonts w:ascii="微软雅黑" w:hAnsi="微软雅黑" w:eastAsia="微软雅黑" w:cs="微软雅黑"/>
          <w:spacing w:val="-36"/>
          <w:sz w:val="24"/>
          <w:szCs w:val="24"/>
        </w:rPr>
        <w:t xml:space="preserve"> </w:t>
      </w:r>
      <w:r>
        <w:rPr>
          <w:rFonts w:ascii="微软雅黑" w:hAnsi="微软雅黑" w:eastAsia="微软雅黑" w:cs="微软雅黑"/>
          <w:spacing w:val="1"/>
          <w:sz w:val="24"/>
          <w:szCs w:val="24"/>
        </w:rPr>
        <w:t>,应当出具验收书</w:t>
      </w:r>
      <w:r>
        <w:rPr>
          <w:rFonts w:ascii="微软雅黑" w:hAnsi="微软雅黑" w:eastAsia="微软雅黑" w:cs="微软雅黑"/>
          <w:spacing w:val="-35"/>
          <w:sz w:val="24"/>
          <w:szCs w:val="24"/>
        </w:rPr>
        <w:t xml:space="preserve"> </w:t>
      </w:r>
      <w:r>
        <w:rPr>
          <w:rFonts w:ascii="微软雅黑" w:hAnsi="微软雅黑" w:eastAsia="微软雅黑" w:cs="微软雅黑"/>
          <w:spacing w:val="1"/>
          <w:sz w:val="24"/>
          <w:szCs w:val="24"/>
        </w:rPr>
        <w:t>,列明各项标准的验收情况及项目总体评价</w:t>
      </w:r>
      <w:r>
        <w:rPr>
          <w:rFonts w:ascii="微软雅黑" w:hAnsi="微软雅黑" w:eastAsia="微软雅黑" w:cs="微软雅黑"/>
          <w:spacing w:val="-35"/>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pacing w:val="-23"/>
          <w:sz w:val="24"/>
          <w:szCs w:val="24"/>
        </w:rPr>
        <w:t xml:space="preserve"> </w:t>
      </w:r>
      <w:r>
        <w:rPr>
          <w:rFonts w:ascii="微软雅黑" w:hAnsi="微软雅黑" w:eastAsia="微软雅黑" w:cs="微软雅黑"/>
          <w:spacing w:val="1"/>
          <w:sz w:val="24"/>
          <w:szCs w:val="24"/>
        </w:rPr>
        <w:t>由验收</w:t>
      </w:r>
      <w:r>
        <w:rPr>
          <w:rFonts w:ascii="微软雅黑" w:hAnsi="微软雅黑" w:eastAsia="微软雅黑" w:cs="微软雅黑"/>
          <w:sz w:val="24"/>
          <w:szCs w:val="24"/>
        </w:rPr>
        <w:t xml:space="preserve">双方 </w:t>
      </w:r>
      <w:r>
        <w:rPr>
          <w:rFonts w:ascii="微软雅黑" w:hAnsi="微软雅黑" w:eastAsia="微软雅黑" w:cs="微软雅黑"/>
          <w:spacing w:val="1"/>
          <w:sz w:val="24"/>
          <w:szCs w:val="24"/>
        </w:rPr>
        <w:t>共同签署。验收结果应当与采购合同约定的资金支</w:t>
      </w:r>
      <w:r>
        <w:rPr>
          <w:rFonts w:ascii="微软雅黑" w:hAnsi="微软雅黑" w:eastAsia="微软雅黑" w:cs="微软雅黑"/>
          <w:sz w:val="24"/>
          <w:szCs w:val="24"/>
        </w:rPr>
        <w:t xml:space="preserve">付及履约保证金返还条件挂钩。履约验收的 </w:t>
      </w:r>
      <w:r>
        <w:rPr>
          <w:rFonts w:ascii="微软雅黑" w:hAnsi="微软雅黑" w:eastAsia="微软雅黑" w:cs="微软雅黑"/>
          <w:spacing w:val="-2"/>
          <w:sz w:val="24"/>
          <w:szCs w:val="24"/>
        </w:rPr>
        <w:t>各项资料应当存档备查</w:t>
      </w:r>
    </w:p>
    <w:p w14:paraId="6BF1311D">
      <w:pPr>
        <w:spacing w:before="2" w:line="181" w:lineRule="auto"/>
        <w:ind w:left="44" w:right="120" w:firstLine="477"/>
        <w:rPr>
          <w:rFonts w:ascii="微软雅黑" w:hAnsi="微软雅黑" w:eastAsia="微软雅黑" w:cs="微软雅黑"/>
          <w:sz w:val="24"/>
          <w:szCs w:val="24"/>
        </w:rPr>
      </w:pPr>
      <w:r>
        <w:rPr>
          <w:rFonts w:ascii="微软雅黑" w:hAnsi="微软雅黑" w:eastAsia="微软雅黑" w:cs="微软雅黑"/>
          <w:spacing w:val="1"/>
          <w:sz w:val="24"/>
          <w:szCs w:val="24"/>
        </w:rPr>
        <w:t>33.4</w:t>
      </w:r>
      <w:r>
        <w:rPr>
          <w:rFonts w:ascii="微软雅黑" w:hAnsi="微软雅黑" w:eastAsia="微软雅黑" w:cs="微软雅黑"/>
          <w:spacing w:val="68"/>
          <w:w w:val="101"/>
          <w:sz w:val="24"/>
          <w:szCs w:val="24"/>
        </w:rPr>
        <w:t xml:space="preserve"> </w:t>
      </w:r>
      <w:r>
        <w:rPr>
          <w:rFonts w:ascii="微软雅黑" w:hAnsi="微软雅黑" w:eastAsia="微软雅黑" w:cs="微软雅黑"/>
          <w:spacing w:val="1"/>
          <w:sz w:val="24"/>
          <w:szCs w:val="24"/>
        </w:rPr>
        <w:t>对于采购人和使用人分离的采购项目</w:t>
      </w:r>
      <w:r>
        <w:rPr>
          <w:rFonts w:ascii="微软雅黑" w:hAnsi="微软雅黑" w:eastAsia="微软雅黑" w:cs="微软雅黑"/>
          <w:spacing w:val="-35"/>
          <w:sz w:val="24"/>
          <w:szCs w:val="24"/>
        </w:rPr>
        <w:t xml:space="preserve"> </w:t>
      </w:r>
      <w:r>
        <w:rPr>
          <w:rFonts w:ascii="微软雅黑" w:hAnsi="微软雅黑" w:eastAsia="微软雅黑" w:cs="微软雅黑"/>
          <w:spacing w:val="1"/>
          <w:sz w:val="24"/>
          <w:szCs w:val="24"/>
        </w:rPr>
        <w:t>,应当邀请实际使用人参与</w:t>
      </w:r>
      <w:r>
        <w:rPr>
          <w:rFonts w:ascii="微软雅黑" w:hAnsi="微软雅黑" w:eastAsia="微软雅黑" w:cs="微软雅黑"/>
          <w:sz w:val="24"/>
          <w:szCs w:val="24"/>
        </w:rPr>
        <w:t xml:space="preserve">验收。采购人可以邀 </w:t>
      </w:r>
      <w:r>
        <w:rPr>
          <w:rFonts w:ascii="微软雅黑" w:hAnsi="微软雅黑" w:eastAsia="微软雅黑" w:cs="微软雅黑"/>
          <w:spacing w:val="4"/>
          <w:sz w:val="24"/>
          <w:szCs w:val="24"/>
        </w:rPr>
        <w:t>请参加本项目的其他投标人或第三方专业机构及专家参与验收</w:t>
      </w:r>
      <w:r>
        <w:rPr>
          <w:rFonts w:ascii="微软雅黑" w:hAnsi="微软雅黑" w:eastAsia="微软雅黑" w:cs="微软雅黑"/>
          <w:spacing w:val="-30"/>
          <w:sz w:val="24"/>
          <w:szCs w:val="24"/>
        </w:rPr>
        <w:t xml:space="preserve"> </w:t>
      </w:r>
      <w:r>
        <w:rPr>
          <w:rFonts w:ascii="微软雅黑" w:hAnsi="微软雅黑" w:eastAsia="微软雅黑" w:cs="微软雅黑"/>
          <w:spacing w:val="4"/>
          <w:sz w:val="24"/>
          <w:szCs w:val="24"/>
        </w:rPr>
        <w:t>,相关验收意见作为验收书的参</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考资料。政府向社会公众提供的公共服务项目</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,验收时应当邀请服务对象参</w:t>
      </w:r>
      <w:r>
        <w:rPr>
          <w:rFonts w:ascii="微软雅黑" w:hAnsi="微软雅黑" w:eastAsia="微软雅黑" w:cs="微软雅黑"/>
          <w:spacing w:val="1"/>
          <w:sz w:val="24"/>
          <w:szCs w:val="24"/>
        </w:rPr>
        <w:t>与并出具意见</w:t>
      </w:r>
      <w:r>
        <w:rPr>
          <w:rFonts w:ascii="微软雅黑" w:hAnsi="微软雅黑" w:eastAsia="微软雅黑" w:cs="微软雅黑"/>
          <w:spacing w:val="-36"/>
          <w:sz w:val="24"/>
          <w:szCs w:val="24"/>
        </w:rPr>
        <w:t xml:space="preserve"> </w:t>
      </w:r>
      <w:r>
        <w:rPr>
          <w:rFonts w:ascii="微软雅黑" w:hAnsi="微软雅黑" w:eastAsia="微软雅黑" w:cs="微软雅黑"/>
          <w:spacing w:val="1"/>
          <w:sz w:val="24"/>
          <w:szCs w:val="24"/>
        </w:rPr>
        <w:t>,验收</w:t>
      </w:r>
    </w:p>
    <w:p w14:paraId="12371386">
      <w:pPr>
        <w:spacing w:before="1" w:line="187" w:lineRule="auto"/>
        <w:ind w:left="49"/>
        <w:rPr>
          <w:rFonts w:ascii="微软雅黑" w:hAnsi="微软雅黑" w:eastAsia="微软雅黑" w:cs="微软雅黑"/>
          <w:sz w:val="24"/>
          <w:szCs w:val="24"/>
        </w:rPr>
      </w:pPr>
      <w:r>
        <w:rPr>
          <w:rFonts w:ascii="微软雅黑" w:hAnsi="微软雅黑" w:eastAsia="微软雅黑" w:cs="微软雅黑"/>
          <w:spacing w:val="-5"/>
          <w:sz w:val="24"/>
          <w:szCs w:val="24"/>
        </w:rPr>
        <w:t>结果应当向社会公告。</w:t>
      </w:r>
    </w:p>
    <w:p w14:paraId="4CEF43B2">
      <w:pPr>
        <w:pStyle w:val="2"/>
        <w:spacing w:line="265" w:lineRule="auto"/>
      </w:pPr>
    </w:p>
    <w:p w14:paraId="1412D630">
      <w:pPr>
        <w:pStyle w:val="2"/>
        <w:spacing w:line="265" w:lineRule="auto"/>
      </w:pPr>
    </w:p>
    <w:p w14:paraId="6E86C384">
      <w:pPr>
        <w:pStyle w:val="2"/>
        <w:spacing w:line="266" w:lineRule="auto"/>
      </w:pPr>
    </w:p>
    <w:p w14:paraId="7AFC5E03">
      <w:pPr>
        <w:pStyle w:val="2"/>
        <w:spacing w:line="266" w:lineRule="auto"/>
      </w:pPr>
    </w:p>
    <w:p w14:paraId="3C156C4B">
      <w:pPr>
        <w:pStyle w:val="2"/>
        <w:spacing w:line="266" w:lineRule="auto"/>
      </w:pPr>
    </w:p>
    <w:p w14:paraId="0E2BDADC">
      <w:pPr>
        <w:pStyle w:val="2"/>
        <w:spacing w:line="266" w:lineRule="auto"/>
      </w:pPr>
    </w:p>
    <w:p w14:paraId="512D4129">
      <w:pPr>
        <w:pStyle w:val="2"/>
        <w:spacing w:line="266" w:lineRule="auto"/>
      </w:pPr>
    </w:p>
    <w:p w14:paraId="1011287B">
      <w:pPr>
        <w:pStyle w:val="2"/>
        <w:spacing w:line="266" w:lineRule="auto"/>
      </w:pPr>
    </w:p>
    <w:p w14:paraId="77C2B423">
      <w:pPr>
        <w:spacing w:before="62" w:line="160" w:lineRule="auto"/>
        <w:ind w:left="138"/>
        <w:rPr>
          <w:rFonts w:ascii="宋体" w:hAnsi="宋体" w:eastAsia="宋体" w:cs="宋体"/>
          <w:sz w:val="19"/>
          <w:szCs w:val="19"/>
        </w:rPr>
      </w:pP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96                                </w:t>
      </w:r>
      <w:r>
        <w:rPr>
          <w:rFonts w:ascii="宋体" w:hAnsi="宋体" w:eastAsia="宋体" w:cs="宋体"/>
          <w:b/>
          <w:bCs/>
          <w:i/>
          <w:iCs/>
          <w:spacing w:val="-3"/>
          <w:sz w:val="19"/>
          <w:szCs w:val="19"/>
        </w:rPr>
        <w:t>伊犁州公共资源交易中心</w:t>
      </w:r>
    </w:p>
    <w:p w14:paraId="5123EAB7">
      <w:pPr>
        <w:spacing w:line="160" w:lineRule="auto"/>
        <w:rPr>
          <w:rFonts w:ascii="宋体" w:hAnsi="宋体" w:eastAsia="宋体" w:cs="宋体"/>
          <w:sz w:val="19"/>
          <w:szCs w:val="19"/>
        </w:rPr>
        <w:sectPr>
          <w:headerReference r:id="rId92" w:type="default"/>
          <w:footerReference r:id="rId93" w:type="default"/>
          <w:pgSz w:w="11905" w:h="16839"/>
          <w:pgMar w:top="1136" w:right="738" w:bottom="937" w:left="1136" w:header="854" w:footer="923" w:gutter="0"/>
          <w:cols w:space="720" w:num="1"/>
        </w:sectPr>
      </w:pPr>
    </w:p>
    <w:p w14:paraId="07FBB6E7">
      <w:pPr>
        <w:spacing w:before="336" w:line="219" w:lineRule="auto"/>
        <w:ind w:left="2563"/>
        <w:rPr>
          <w:rFonts w:ascii="宋体" w:hAnsi="宋体" w:eastAsia="宋体" w:cs="宋体"/>
          <w:sz w:val="36"/>
          <w:szCs w:val="36"/>
        </w:rPr>
      </w:pPr>
      <w:r>
        <w:rPr>
          <w:rFonts w:ascii="宋体" w:hAnsi="宋体" w:eastAsia="宋体" w:cs="宋体"/>
          <w:b/>
          <w:bCs/>
          <w:spacing w:val="-4"/>
          <w:sz w:val="36"/>
          <w:szCs w:val="36"/>
        </w:rPr>
        <w:t>第六部分</w:t>
      </w:r>
      <w:r>
        <w:rPr>
          <w:rFonts w:ascii="宋体" w:hAnsi="宋体" w:eastAsia="宋体" w:cs="宋体"/>
          <w:spacing w:val="-4"/>
          <w:sz w:val="36"/>
          <w:szCs w:val="36"/>
        </w:rPr>
        <w:t xml:space="preserve"> </w:t>
      </w:r>
      <w:r>
        <w:rPr>
          <w:rFonts w:ascii="宋体" w:hAnsi="宋体" w:eastAsia="宋体" w:cs="宋体"/>
          <w:b/>
          <w:bCs/>
          <w:spacing w:val="-4"/>
          <w:sz w:val="36"/>
          <w:szCs w:val="36"/>
        </w:rPr>
        <w:t>投标文件范本格式</w:t>
      </w:r>
    </w:p>
    <w:p w14:paraId="129F90AE">
      <w:pPr>
        <w:pStyle w:val="2"/>
        <w:spacing w:line="282" w:lineRule="auto"/>
      </w:pPr>
    </w:p>
    <w:p w14:paraId="38269594">
      <w:pPr>
        <w:spacing w:before="137" w:line="184" w:lineRule="auto"/>
        <w:ind w:left="3550"/>
        <w:rPr>
          <w:rFonts w:ascii="微软雅黑" w:hAnsi="微软雅黑" w:eastAsia="微软雅黑" w:cs="微软雅黑"/>
          <w:sz w:val="32"/>
          <w:szCs w:val="32"/>
        </w:rPr>
      </w:pPr>
      <w:r>
        <w:rPr>
          <w:rFonts w:ascii="微软雅黑" w:hAnsi="微软雅黑" w:eastAsia="微软雅黑" w:cs="微软雅黑"/>
          <w:b/>
          <w:bCs/>
          <w:spacing w:val="-5"/>
          <w:sz w:val="32"/>
          <w:szCs w:val="32"/>
        </w:rPr>
        <w:t>（一）投标文件封面</w:t>
      </w:r>
    </w:p>
    <w:p w14:paraId="2ABDBD69">
      <w:pPr>
        <w:spacing w:line="35" w:lineRule="exact"/>
      </w:pPr>
    </w:p>
    <w:tbl>
      <w:tblPr>
        <w:tblStyle w:val="5"/>
        <w:tblW w:w="9223" w:type="dxa"/>
        <w:tblInd w:w="33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223"/>
      </w:tblGrid>
      <w:tr w14:paraId="3C6C16A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217" w:hRule="atLeast"/>
        </w:trPr>
        <w:tc>
          <w:tcPr>
            <w:tcW w:w="9223" w:type="dxa"/>
            <w:vAlign w:val="top"/>
          </w:tcPr>
          <w:p w14:paraId="5B832D7F">
            <w:pPr>
              <w:spacing w:line="242" w:lineRule="auto"/>
              <w:rPr>
                <w:rFonts w:ascii="Arial"/>
                <w:sz w:val="21"/>
              </w:rPr>
            </w:pPr>
          </w:p>
          <w:p w14:paraId="38C41F92">
            <w:pPr>
              <w:spacing w:line="242" w:lineRule="auto"/>
              <w:rPr>
                <w:rFonts w:ascii="Arial"/>
                <w:sz w:val="21"/>
              </w:rPr>
            </w:pPr>
          </w:p>
          <w:p w14:paraId="42983A2F">
            <w:pPr>
              <w:spacing w:line="242" w:lineRule="auto"/>
              <w:rPr>
                <w:rFonts w:ascii="Arial"/>
                <w:sz w:val="21"/>
              </w:rPr>
            </w:pPr>
          </w:p>
          <w:p w14:paraId="24ED837A">
            <w:pPr>
              <w:spacing w:line="243" w:lineRule="auto"/>
              <w:rPr>
                <w:rFonts w:ascii="Arial"/>
                <w:sz w:val="21"/>
              </w:rPr>
            </w:pPr>
          </w:p>
          <w:p w14:paraId="52BFA88F">
            <w:pPr>
              <w:spacing w:line="243" w:lineRule="auto"/>
              <w:rPr>
                <w:rFonts w:ascii="Arial"/>
                <w:sz w:val="21"/>
              </w:rPr>
            </w:pPr>
          </w:p>
          <w:p w14:paraId="61378B9E">
            <w:pPr>
              <w:spacing w:line="243" w:lineRule="auto"/>
              <w:rPr>
                <w:rFonts w:ascii="Arial"/>
                <w:sz w:val="21"/>
              </w:rPr>
            </w:pPr>
          </w:p>
          <w:p w14:paraId="03088DE3">
            <w:pPr>
              <w:spacing w:line="243" w:lineRule="auto"/>
              <w:rPr>
                <w:rFonts w:ascii="Arial"/>
                <w:sz w:val="21"/>
              </w:rPr>
            </w:pPr>
          </w:p>
          <w:p w14:paraId="33710C56">
            <w:pPr>
              <w:spacing w:line="243" w:lineRule="auto"/>
              <w:rPr>
                <w:rFonts w:ascii="Arial"/>
                <w:sz w:val="21"/>
              </w:rPr>
            </w:pPr>
          </w:p>
          <w:p w14:paraId="08A7C4E7">
            <w:pPr>
              <w:spacing w:line="243" w:lineRule="auto"/>
              <w:rPr>
                <w:rFonts w:ascii="Arial"/>
                <w:sz w:val="21"/>
              </w:rPr>
            </w:pPr>
          </w:p>
          <w:p w14:paraId="14FEC84C">
            <w:pPr>
              <w:spacing w:line="243" w:lineRule="auto"/>
              <w:rPr>
                <w:rFonts w:ascii="Arial"/>
                <w:sz w:val="21"/>
              </w:rPr>
            </w:pPr>
          </w:p>
          <w:p w14:paraId="584217CC">
            <w:pPr>
              <w:spacing w:line="243" w:lineRule="auto"/>
              <w:rPr>
                <w:rFonts w:ascii="Arial"/>
                <w:sz w:val="21"/>
              </w:rPr>
            </w:pPr>
          </w:p>
          <w:p w14:paraId="093F1174">
            <w:pPr>
              <w:pStyle w:val="6"/>
              <w:tabs>
                <w:tab w:val="left" w:pos="7782"/>
              </w:tabs>
              <w:spacing w:before="206" w:line="187" w:lineRule="auto"/>
              <w:ind w:left="1783"/>
              <w:outlineLvl w:val="0"/>
              <w:rPr>
                <w:sz w:val="48"/>
                <w:szCs w:val="48"/>
              </w:rPr>
            </w:pPr>
            <w:bookmarkStart w:id="50" w:name="bookmark16"/>
            <w:bookmarkEnd w:id="50"/>
            <w:bookmarkStart w:id="51" w:name="bookmark17"/>
            <w:bookmarkEnd w:id="51"/>
            <w:bookmarkStart w:id="52" w:name="bookmark18"/>
            <w:bookmarkEnd w:id="52"/>
            <w:r>
              <w:rPr>
                <w:sz w:val="48"/>
                <w:szCs w:val="48"/>
                <w:u w:val="single" w:color="auto"/>
              </w:rPr>
              <w:tab/>
            </w:r>
            <w:r>
              <w:rPr>
                <w:b/>
                <w:bCs/>
                <w:spacing w:val="-125"/>
                <w:sz w:val="48"/>
                <w:szCs w:val="48"/>
              </w:rPr>
              <w:t xml:space="preserve"> </w:t>
            </w:r>
            <w:r>
              <w:rPr>
                <w:b/>
                <w:bCs/>
                <w:spacing w:val="-5"/>
                <w:sz w:val="48"/>
                <w:szCs w:val="48"/>
              </w:rPr>
              <w:t>项目</w:t>
            </w:r>
          </w:p>
          <w:p w14:paraId="0E026D0B">
            <w:pPr>
              <w:spacing w:line="271" w:lineRule="auto"/>
              <w:rPr>
                <w:rFonts w:ascii="Arial"/>
                <w:sz w:val="21"/>
              </w:rPr>
            </w:pPr>
          </w:p>
          <w:p w14:paraId="0572C95C">
            <w:pPr>
              <w:spacing w:line="272" w:lineRule="auto"/>
              <w:rPr>
                <w:rFonts w:ascii="Arial"/>
                <w:sz w:val="21"/>
              </w:rPr>
            </w:pPr>
          </w:p>
          <w:p w14:paraId="6CB2C710">
            <w:pPr>
              <w:spacing w:line="272" w:lineRule="auto"/>
              <w:rPr>
                <w:rFonts w:ascii="Arial"/>
                <w:sz w:val="21"/>
              </w:rPr>
            </w:pPr>
          </w:p>
          <w:p w14:paraId="35D3072F">
            <w:pPr>
              <w:spacing w:line="272" w:lineRule="auto"/>
              <w:rPr>
                <w:rFonts w:ascii="Arial"/>
                <w:sz w:val="21"/>
              </w:rPr>
            </w:pPr>
          </w:p>
          <w:p w14:paraId="34C08F55">
            <w:pPr>
              <w:pStyle w:val="6"/>
              <w:spacing w:before="412" w:line="188" w:lineRule="auto"/>
              <w:ind w:left="2664"/>
              <w:rPr>
                <w:sz w:val="96"/>
                <w:szCs w:val="96"/>
              </w:rPr>
            </w:pPr>
            <w:bookmarkStart w:id="53" w:name="bookmark62"/>
            <w:bookmarkEnd w:id="53"/>
            <w:r>
              <w:rPr>
                <w:spacing w:val="-6"/>
                <w:sz w:val="96"/>
                <w:szCs w:val="96"/>
              </w:rPr>
              <w:t>投标文件</w:t>
            </w:r>
          </w:p>
          <w:p w14:paraId="248EA45B">
            <w:pPr>
              <w:spacing w:line="287" w:lineRule="auto"/>
              <w:rPr>
                <w:rFonts w:ascii="Arial"/>
                <w:sz w:val="21"/>
              </w:rPr>
            </w:pPr>
          </w:p>
          <w:p w14:paraId="09B195F6">
            <w:pPr>
              <w:spacing w:line="287" w:lineRule="auto"/>
              <w:rPr>
                <w:rFonts w:ascii="Arial"/>
                <w:sz w:val="21"/>
              </w:rPr>
            </w:pPr>
          </w:p>
          <w:p w14:paraId="1A7C8500">
            <w:pPr>
              <w:spacing w:line="287" w:lineRule="auto"/>
              <w:rPr>
                <w:rFonts w:ascii="Arial"/>
                <w:sz w:val="21"/>
              </w:rPr>
            </w:pPr>
          </w:p>
          <w:p w14:paraId="0C7F8773">
            <w:pPr>
              <w:spacing w:line="288" w:lineRule="auto"/>
              <w:rPr>
                <w:rFonts w:ascii="Arial"/>
                <w:sz w:val="21"/>
              </w:rPr>
            </w:pPr>
          </w:p>
          <w:p w14:paraId="729C6720">
            <w:pPr>
              <w:spacing w:before="104" w:line="331" w:lineRule="auto"/>
              <w:ind w:left="2039" w:right="1910" w:firstLine="2"/>
              <w:rPr>
                <w:rFonts w:ascii="仿宋" w:hAnsi="仿宋" w:eastAsia="仿宋" w:cs="仿宋"/>
                <w:sz w:val="32"/>
                <w:szCs w:val="32"/>
              </w:rPr>
            </w:pPr>
            <w:r>
              <w:rPr>
                <w:rFonts w:ascii="楷体" w:hAnsi="楷体" w:eastAsia="楷体" w:cs="楷体"/>
                <w:b/>
                <w:bCs/>
                <w:spacing w:val="-13"/>
                <w:sz w:val="32"/>
                <w:szCs w:val="32"/>
              </w:rPr>
              <w:t>项目名称：</w:t>
            </w:r>
            <w:r>
              <w:rPr>
                <w:rFonts w:ascii="楷体" w:hAnsi="楷体" w:eastAsia="楷体" w:cs="楷体"/>
                <w:spacing w:val="-132"/>
                <w:sz w:val="32"/>
                <w:szCs w:val="32"/>
              </w:rPr>
              <w:t xml:space="preserve"> </w:t>
            </w:r>
            <w:r>
              <w:rPr>
                <w:rFonts w:ascii="楷体" w:hAnsi="楷体" w:eastAsia="楷体" w:cs="楷体"/>
                <w:sz w:val="32"/>
                <w:szCs w:val="32"/>
                <w:u w:val="single" w:color="auto"/>
              </w:rPr>
              <w:t xml:space="preserve">                       </w:t>
            </w:r>
            <w:r>
              <w:rPr>
                <w:rFonts w:ascii="楷体" w:hAnsi="楷体" w:eastAsia="楷体" w:cs="楷体"/>
                <w:sz w:val="32"/>
                <w:szCs w:val="32"/>
              </w:rPr>
              <w:t xml:space="preserve"> </w:t>
            </w:r>
            <w:r>
              <w:rPr>
                <w:rFonts w:ascii="仿宋" w:hAnsi="仿宋" w:eastAsia="仿宋" w:cs="仿宋"/>
                <w:b/>
                <w:bCs/>
                <w:spacing w:val="-7"/>
                <w:sz w:val="32"/>
                <w:szCs w:val="32"/>
              </w:rPr>
              <w:t>项目编号：</w:t>
            </w:r>
            <w:r>
              <w:rPr>
                <w:rFonts w:ascii="仿宋" w:hAnsi="仿宋" w:eastAsia="仿宋" w:cs="仿宋"/>
                <w:sz w:val="32"/>
                <w:szCs w:val="32"/>
                <w:u w:val="single" w:color="auto"/>
              </w:rPr>
              <w:t xml:space="preserve">                       </w:t>
            </w:r>
          </w:p>
          <w:p w14:paraId="34FEF611">
            <w:pPr>
              <w:spacing w:before="46" w:line="333" w:lineRule="auto"/>
              <w:ind w:left="2023"/>
              <w:rPr>
                <w:rFonts w:ascii="楷体" w:hAnsi="楷体" w:eastAsia="楷体" w:cs="楷体"/>
                <w:sz w:val="32"/>
                <w:szCs w:val="32"/>
              </w:rPr>
            </w:pPr>
            <w:r>
              <w:rPr>
                <w:rFonts w:ascii="楷体" w:hAnsi="楷体" w:eastAsia="楷体" w:cs="楷体"/>
                <w:b/>
                <w:bCs/>
                <w:spacing w:val="-5"/>
                <w:sz w:val="32"/>
                <w:szCs w:val="32"/>
              </w:rPr>
              <w:t>投标人名称</w:t>
            </w:r>
            <w:r>
              <w:rPr>
                <w:rFonts w:ascii="楷体" w:hAnsi="楷体" w:eastAsia="楷体" w:cs="楷体"/>
                <w:b/>
                <w:bCs/>
                <w:spacing w:val="-2"/>
                <w:sz w:val="32"/>
                <w:szCs w:val="32"/>
              </w:rPr>
              <w:t>：</w:t>
            </w:r>
            <w:r>
              <w:rPr>
                <w:rFonts w:ascii="楷体" w:hAnsi="楷体" w:eastAsia="楷体" w:cs="楷体"/>
                <w:spacing w:val="-133"/>
                <w:sz w:val="32"/>
                <w:szCs w:val="32"/>
              </w:rPr>
              <w:t xml:space="preserve"> </w:t>
            </w:r>
            <w:r>
              <w:rPr>
                <w:rFonts w:ascii="楷体" w:hAnsi="楷体" w:eastAsia="楷体" w:cs="楷体"/>
                <w:spacing w:val="7"/>
                <w:sz w:val="32"/>
                <w:szCs w:val="32"/>
                <w:u w:val="single" w:color="auto"/>
              </w:rPr>
              <w:t xml:space="preserve">                    </w:t>
            </w:r>
            <w:r>
              <w:rPr>
                <w:rFonts w:ascii="楷体" w:hAnsi="楷体" w:eastAsia="楷体" w:cs="楷体"/>
                <w:spacing w:val="-2"/>
                <w:sz w:val="32"/>
                <w:szCs w:val="32"/>
              </w:rPr>
              <w:t>（</w:t>
            </w:r>
            <w:r>
              <w:rPr>
                <w:rFonts w:ascii="楷体" w:hAnsi="楷体" w:eastAsia="楷体" w:cs="楷体"/>
                <w:spacing w:val="-5"/>
                <w:sz w:val="32"/>
                <w:szCs w:val="32"/>
              </w:rPr>
              <w:t>加盖公章）</w:t>
            </w:r>
            <w:r>
              <w:rPr>
                <w:rFonts w:ascii="楷体" w:hAnsi="楷体" w:eastAsia="楷体" w:cs="楷体"/>
                <w:spacing w:val="15"/>
                <w:sz w:val="32"/>
                <w:szCs w:val="32"/>
              </w:rPr>
              <w:t xml:space="preserve"> </w:t>
            </w:r>
            <w:r>
              <w:rPr>
                <w:rFonts w:ascii="楷体" w:hAnsi="楷体" w:eastAsia="楷体" w:cs="楷体"/>
                <w:b/>
                <w:bCs/>
                <w:spacing w:val="-9"/>
                <w:sz w:val="32"/>
                <w:szCs w:val="32"/>
              </w:rPr>
              <w:t>投标人地址：</w:t>
            </w:r>
            <w:r>
              <w:rPr>
                <w:rFonts w:ascii="楷体" w:hAnsi="楷体" w:eastAsia="楷体" w:cs="楷体"/>
                <w:spacing w:val="-130"/>
                <w:sz w:val="32"/>
                <w:szCs w:val="32"/>
              </w:rPr>
              <w:t xml:space="preserve"> </w:t>
            </w:r>
            <w:r>
              <w:rPr>
                <w:rFonts w:ascii="楷体" w:hAnsi="楷体" w:eastAsia="楷体" w:cs="楷体"/>
                <w:sz w:val="32"/>
                <w:szCs w:val="32"/>
                <w:u w:val="single" w:color="auto"/>
              </w:rPr>
              <w:t xml:space="preserve">                     </w:t>
            </w:r>
          </w:p>
          <w:p w14:paraId="27A150CE">
            <w:pPr>
              <w:spacing w:before="38" w:line="328" w:lineRule="auto"/>
              <w:ind w:left="2029" w:right="1910" w:firstLine="19"/>
              <w:rPr>
                <w:rFonts w:ascii="楷体" w:hAnsi="楷体" w:eastAsia="楷体" w:cs="楷体"/>
                <w:sz w:val="32"/>
                <w:szCs w:val="32"/>
              </w:rPr>
            </w:pPr>
            <w:r>
              <w:rPr>
                <w:rFonts w:ascii="楷体" w:hAnsi="楷体" w:eastAsia="楷体" w:cs="楷体"/>
                <w:b/>
                <w:bCs/>
                <w:spacing w:val="-10"/>
                <w:sz w:val="32"/>
                <w:szCs w:val="32"/>
              </w:rPr>
              <w:t>法人/被授权人：</w:t>
            </w:r>
            <w:r>
              <w:rPr>
                <w:rFonts w:ascii="楷体" w:hAnsi="楷体" w:eastAsia="楷体" w:cs="楷体"/>
                <w:spacing w:val="-134"/>
                <w:sz w:val="32"/>
                <w:szCs w:val="32"/>
              </w:rPr>
              <w:t xml:space="preserve"> </w:t>
            </w:r>
            <w:r>
              <w:rPr>
                <w:rFonts w:ascii="楷体" w:hAnsi="楷体" w:eastAsia="楷体" w:cs="楷体"/>
                <w:sz w:val="32"/>
                <w:szCs w:val="32"/>
                <w:u w:val="single" w:color="auto"/>
              </w:rPr>
              <w:t xml:space="preserve">                  </w:t>
            </w:r>
            <w:r>
              <w:rPr>
                <w:rFonts w:ascii="楷体" w:hAnsi="楷体" w:eastAsia="楷体" w:cs="楷体"/>
                <w:sz w:val="32"/>
                <w:szCs w:val="32"/>
              </w:rPr>
              <w:t xml:space="preserve"> </w:t>
            </w:r>
            <w:r>
              <w:rPr>
                <w:rFonts w:ascii="楷体" w:hAnsi="楷体" w:eastAsia="楷体" w:cs="楷体"/>
                <w:b/>
                <w:bCs/>
                <w:spacing w:val="-10"/>
                <w:sz w:val="32"/>
                <w:szCs w:val="32"/>
              </w:rPr>
              <w:t>联系电话：</w:t>
            </w:r>
            <w:r>
              <w:rPr>
                <w:rFonts w:ascii="楷体" w:hAnsi="楷体" w:eastAsia="楷体" w:cs="楷体"/>
                <w:spacing w:val="-134"/>
                <w:sz w:val="32"/>
                <w:szCs w:val="32"/>
              </w:rPr>
              <w:t xml:space="preserve"> </w:t>
            </w:r>
            <w:r>
              <w:rPr>
                <w:rFonts w:ascii="楷体" w:hAnsi="楷体" w:eastAsia="楷体" w:cs="楷体"/>
                <w:sz w:val="32"/>
                <w:szCs w:val="32"/>
                <w:u w:val="single" w:color="auto"/>
              </w:rPr>
              <w:t xml:space="preserve">                       </w:t>
            </w:r>
          </w:p>
          <w:p w14:paraId="568D8D56">
            <w:pPr>
              <w:spacing w:line="270" w:lineRule="auto"/>
              <w:rPr>
                <w:rFonts w:ascii="Arial"/>
                <w:sz w:val="21"/>
              </w:rPr>
            </w:pPr>
          </w:p>
          <w:p w14:paraId="7609EFF1">
            <w:pPr>
              <w:spacing w:line="271" w:lineRule="auto"/>
              <w:rPr>
                <w:rFonts w:ascii="Arial"/>
                <w:sz w:val="21"/>
              </w:rPr>
            </w:pPr>
          </w:p>
          <w:p w14:paraId="2EAD6F9B">
            <w:pPr>
              <w:spacing w:before="104" w:line="217" w:lineRule="auto"/>
              <w:ind w:left="3632"/>
              <w:rPr>
                <w:rFonts w:ascii="楷体" w:hAnsi="楷体" w:eastAsia="楷体" w:cs="楷体"/>
                <w:sz w:val="32"/>
                <w:szCs w:val="32"/>
              </w:rPr>
            </w:pPr>
            <w:r>
              <w:rPr>
                <w:rFonts w:ascii="楷体" w:hAnsi="楷体" w:eastAsia="楷体" w:cs="楷体"/>
                <w:b/>
                <w:bCs/>
                <w:spacing w:val="-17"/>
                <w:sz w:val="32"/>
                <w:szCs w:val="32"/>
              </w:rPr>
              <w:t>年</w:t>
            </w:r>
            <w:r>
              <w:rPr>
                <w:rFonts w:ascii="楷体" w:hAnsi="楷体" w:eastAsia="楷体" w:cs="楷体"/>
                <w:spacing w:val="6"/>
                <w:sz w:val="32"/>
                <w:szCs w:val="32"/>
              </w:rPr>
              <w:t xml:space="preserve">     </w:t>
            </w:r>
            <w:r>
              <w:rPr>
                <w:rFonts w:ascii="楷体" w:hAnsi="楷体" w:eastAsia="楷体" w:cs="楷体"/>
                <w:b/>
                <w:bCs/>
                <w:spacing w:val="-17"/>
                <w:sz w:val="32"/>
                <w:szCs w:val="32"/>
              </w:rPr>
              <w:t>月</w:t>
            </w:r>
            <w:r>
              <w:rPr>
                <w:rFonts w:ascii="楷体" w:hAnsi="楷体" w:eastAsia="楷体" w:cs="楷体"/>
                <w:spacing w:val="12"/>
                <w:sz w:val="32"/>
                <w:szCs w:val="32"/>
              </w:rPr>
              <w:t xml:space="preserve">      </w:t>
            </w:r>
            <w:r>
              <w:rPr>
                <w:rFonts w:ascii="楷体" w:hAnsi="楷体" w:eastAsia="楷体" w:cs="楷体"/>
                <w:b/>
                <w:bCs/>
                <w:spacing w:val="-17"/>
                <w:sz w:val="32"/>
                <w:szCs w:val="32"/>
              </w:rPr>
              <w:t>日</w:t>
            </w:r>
          </w:p>
        </w:tc>
      </w:tr>
    </w:tbl>
    <w:p w14:paraId="11BF7FF9">
      <w:pPr>
        <w:pStyle w:val="2"/>
        <w:spacing w:line="322" w:lineRule="auto"/>
      </w:pPr>
    </w:p>
    <w:p w14:paraId="3A657860">
      <w:pPr>
        <w:pStyle w:val="2"/>
        <w:spacing w:line="322" w:lineRule="auto"/>
      </w:pPr>
    </w:p>
    <w:p w14:paraId="2C92F324">
      <w:pPr>
        <w:spacing w:before="61" w:line="209" w:lineRule="auto"/>
        <w:ind w:left="138"/>
        <w:rPr>
          <w:rFonts w:ascii="宋体" w:hAnsi="宋体" w:eastAsia="宋体" w:cs="宋体"/>
          <w:sz w:val="19"/>
          <w:szCs w:val="19"/>
        </w:rPr>
      </w:pPr>
      <w:r>
        <w:pict>
          <v:shape id="_x0000_s1073" o:spid="_x0000_s1073" style="position:absolute;left:0pt;margin-left:1.45pt;margin-top:11.8pt;height:0.75pt;width:494pt;z-index:251740160;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97                                </w:t>
      </w:r>
      <w:r>
        <w:rPr>
          <w:rFonts w:ascii="宋体" w:hAnsi="宋体" w:eastAsia="宋体" w:cs="宋体"/>
          <w:b/>
          <w:bCs/>
          <w:i/>
          <w:iCs/>
          <w:spacing w:val="-3"/>
          <w:sz w:val="19"/>
          <w:szCs w:val="19"/>
        </w:rPr>
        <w:t>伊犁州公共资源交易中心</w:t>
      </w:r>
    </w:p>
    <w:p w14:paraId="459C8A9C">
      <w:pPr>
        <w:spacing w:line="209" w:lineRule="auto"/>
        <w:rPr>
          <w:rFonts w:ascii="宋体" w:hAnsi="宋体" w:eastAsia="宋体" w:cs="宋体"/>
          <w:sz w:val="19"/>
          <w:szCs w:val="19"/>
        </w:rPr>
        <w:sectPr>
          <w:headerReference r:id="rId94" w:type="default"/>
          <w:footerReference r:id="rId95" w:type="default"/>
          <w:pgSz w:w="11905" w:h="16839"/>
          <w:pgMar w:top="1136" w:right="830" w:bottom="400" w:left="1136" w:header="854" w:footer="0" w:gutter="0"/>
          <w:cols w:space="720" w:num="1"/>
        </w:sectPr>
      </w:pPr>
    </w:p>
    <w:p w14:paraId="29525B72">
      <w:pPr>
        <w:pStyle w:val="2"/>
        <w:spacing w:line="280" w:lineRule="auto"/>
      </w:pPr>
    </w:p>
    <w:p w14:paraId="533D8101">
      <w:pPr>
        <w:spacing w:before="138" w:line="184" w:lineRule="auto"/>
        <w:ind w:left="3250"/>
        <w:outlineLvl w:val="1"/>
        <w:rPr>
          <w:rFonts w:ascii="微软雅黑" w:hAnsi="微软雅黑" w:eastAsia="微软雅黑" w:cs="微软雅黑"/>
          <w:sz w:val="32"/>
          <w:szCs w:val="32"/>
        </w:rPr>
      </w:pPr>
      <w:bookmarkStart w:id="54" w:name="bookmark19"/>
      <w:bookmarkEnd w:id="54"/>
      <w:bookmarkStart w:id="55" w:name="bookmark23"/>
      <w:bookmarkEnd w:id="55"/>
      <w:r>
        <w:rPr>
          <w:rFonts w:ascii="微软雅黑" w:hAnsi="微软雅黑" w:eastAsia="微软雅黑" w:cs="微软雅黑"/>
          <w:b/>
          <w:bCs/>
          <w:spacing w:val="-6"/>
          <w:sz w:val="32"/>
          <w:szCs w:val="32"/>
        </w:rPr>
        <w:t>（二）评分索引表</w:t>
      </w:r>
    </w:p>
    <w:p w14:paraId="31771DC6">
      <w:pPr>
        <w:spacing w:line="35" w:lineRule="exact"/>
      </w:pPr>
    </w:p>
    <w:tbl>
      <w:tblPr>
        <w:tblStyle w:val="5"/>
        <w:tblW w:w="9239"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8"/>
        <w:gridCol w:w="3711"/>
      </w:tblGrid>
      <w:tr w14:paraId="3DA3C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5528" w:type="dxa"/>
            <w:vAlign w:val="top"/>
          </w:tcPr>
          <w:p w14:paraId="06DCC036">
            <w:pPr>
              <w:spacing w:line="397" w:lineRule="auto"/>
              <w:rPr>
                <w:rFonts w:ascii="Arial"/>
                <w:sz w:val="21"/>
              </w:rPr>
            </w:pPr>
          </w:p>
          <w:p w14:paraId="2745E150">
            <w:pPr>
              <w:spacing w:before="78" w:line="220" w:lineRule="auto"/>
              <w:ind w:left="2495"/>
              <w:rPr>
                <w:rFonts w:ascii="宋体" w:hAnsi="宋体" w:eastAsia="宋体" w:cs="宋体"/>
                <w:sz w:val="24"/>
                <w:szCs w:val="24"/>
              </w:rPr>
            </w:pPr>
            <w:r>
              <w:rPr>
                <w:rFonts w:ascii="宋体" w:hAnsi="宋体" w:eastAsia="宋体" w:cs="宋体"/>
                <w:b/>
                <w:bCs/>
                <w:spacing w:val="-4"/>
                <w:sz w:val="24"/>
                <w:szCs w:val="24"/>
              </w:rPr>
              <w:t>评分项目</w:t>
            </w:r>
          </w:p>
        </w:tc>
        <w:tc>
          <w:tcPr>
            <w:tcW w:w="3711" w:type="dxa"/>
            <w:vAlign w:val="top"/>
          </w:tcPr>
          <w:p w14:paraId="4A29EBA6">
            <w:pPr>
              <w:spacing w:before="179" w:line="387" w:lineRule="auto"/>
              <w:ind w:left="894" w:right="103" w:hanging="782"/>
              <w:rPr>
                <w:rFonts w:ascii="宋体" w:hAnsi="宋体" w:eastAsia="宋体" w:cs="宋体"/>
                <w:sz w:val="24"/>
                <w:szCs w:val="24"/>
              </w:rPr>
            </w:pPr>
            <w:r>
              <w:rPr>
                <w:rFonts w:ascii="宋体" w:hAnsi="宋体" w:eastAsia="宋体" w:cs="宋体"/>
                <w:b/>
                <w:bCs/>
                <w:spacing w:val="-11"/>
                <w:sz w:val="24"/>
                <w:szCs w:val="24"/>
              </w:rPr>
              <w:t>在投标文件中的页码位置（注明在</w:t>
            </w:r>
            <w:r>
              <w:rPr>
                <w:rFonts w:ascii="宋体" w:hAnsi="宋体" w:eastAsia="宋体" w:cs="宋体"/>
                <w:spacing w:val="11"/>
                <w:sz w:val="24"/>
                <w:szCs w:val="24"/>
              </w:rPr>
              <w:t xml:space="preserve"> </w:t>
            </w:r>
            <w:r>
              <w:rPr>
                <w:rFonts w:ascii="宋体" w:hAnsi="宋体" w:eastAsia="宋体" w:cs="宋体"/>
                <w:b/>
                <w:bCs/>
                <w:spacing w:val="-3"/>
                <w:sz w:val="24"/>
                <w:szCs w:val="24"/>
              </w:rPr>
              <w:t>**节点下第**页）</w:t>
            </w:r>
          </w:p>
        </w:tc>
      </w:tr>
      <w:tr w14:paraId="5AD65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5528" w:type="dxa"/>
            <w:vAlign w:val="top"/>
          </w:tcPr>
          <w:p w14:paraId="3BCF9DF1">
            <w:pPr>
              <w:rPr>
                <w:rFonts w:ascii="Arial"/>
                <w:sz w:val="21"/>
              </w:rPr>
            </w:pPr>
          </w:p>
        </w:tc>
        <w:tc>
          <w:tcPr>
            <w:tcW w:w="3711" w:type="dxa"/>
            <w:vAlign w:val="top"/>
          </w:tcPr>
          <w:p w14:paraId="64A4BDF9">
            <w:pPr>
              <w:rPr>
                <w:rFonts w:ascii="Arial"/>
                <w:sz w:val="21"/>
              </w:rPr>
            </w:pPr>
          </w:p>
        </w:tc>
      </w:tr>
      <w:tr w14:paraId="23758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239" w:type="dxa"/>
            <w:gridSpan w:val="2"/>
            <w:vAlign w:val="top"/>
          </w:tcPr>
          <w:p w14:paraId="23B0FEC4">
            <w:pPr>
              <w:rPr>
                <w:rFonts w:ascii="Arial"/>
                <w:sz w:val="21"/>
              </w:rPr>
            </w:pPr>
          </w:p>
        </w:tc>
      </w:tr>
      <w:tr w14:paraId="54D0F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5528" w:type="dxa"/>
            <w:vAlign w:val="top"/>
          </w:tcPr>
          <w:p w14:paraId="225A084B">
            <w:pPr>
              <w:rPr>
                <w:rFonts w:ascii="Arial"/>
                <w:sz w:val="21"/>
              </w:rPr>
            </w:pPr>
          </w:p>
        </w:tc>
        <w:tc>
          <w:tcPr>
            <w:tcW w:w="3711" w:type="dxa"/>
            <w:vAlign w:val="top"/>
          </w:tcPr>
          <w:p w14:paraId="253CA430">
            <w:pPr>
              <w:rPr>
                <w:rFonts w:ascii="Arial"/>
                <w:sz w:val="21"/>
              </w:rPr>
            </w:pPr>
          </w:p>
        </w:tc>
      </w:tr>
      <w:tr w14:paraId="49E69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5528" w:type="dxa"/>
            <w:vAlign w:val="top"/>
          </w:tcPr>
          <w:p w14:paraId="74669E1C">
            <w:pPr>
              <w:rPr>
                <w:rFonts w:ascii="Arial"/>
                <w:sz w:val="21"/>
              </w:rPr>
            </w:pPr>
          </w:p>
        </w:tc>
        <w:tc>
          <w:tcPr>
            <w:tcW w:w="3711" w:type="dxa"/>
            <w:vAlign w:val="top"/>
          </w:tcPr>
          <w:p w14:paraId="5609F74F">
            <w:pPr>
              <w:rPr>
                <w:rFonts w:ascii="Arial"/>
                <w:sz w:val="21"/>
              </w:rPr>
            </w:pPr>
          </w:p>
        </w:tc>
      </w:tr>
      <w:tr w14:paraId="6C655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5528" w:type="dxa"/>
            <w:vAlign w:val="top"/>
          </w:tcPr>
          <w:p w14:paraId="3D9621F7">
            <w:pPr>
              <w:rPr>
                <w:rFonts w:ascii="Arial"/>
                <w:sz w:val="21"/>
              </w:rPr>
            </w:pPr>
          </w:p>
        </w:tc>
        <w:tc>
          <w:tcPr>
            <w:tcW w:w="3711" w:type="dxa"/>
            <w:vAlign w:val="top"/>
          </w:tcPr>
          <w:p w14:paraId="54B6AE1C">
            <w:pPr>
              <w:rPr>
                <w:rFonts w:ascii="Arial"/>
                <w:sz w:val="21"/>
              </w:rPr>
            </w:pPr>
          </w:p>
        </w:tc>
      </w:tr>
      <w:tr w14:paraId="7E56F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5528" w:type="dxa"/>
            <w:vAlign w:val="top"/>
          </w:tcPr>
          <w:p w14:paraId="29452CC2">
            <w:pPr>
              <w:rPr>
                <w:rFonts w:ascii="Arial"/>
                <w:sz w:val="21"/>
              </w:rPr>
            </w:pPr>
          </w:p>
        </w:tc>
        <w:tc>
          <w:tcPr>
            <w:tcW w:w="3711" w:type="dxa"/>
            <w:vAlign w:val="top"/>
          </w:tcPr>
          <w:p w14:paraId="571F8651">
            <w:pPr>
              <w:rPr>
                <w:rFonts w:ascii="Arial"/>
                <w:sz w:val="21"/>
              </w:rPr>
            </w:pPr>
          </w:p>
        </w:tc>
      </w:tr>
      <w:tr w14:paraId="1C7A2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5528" w:type="dxa"/>
            <w:vAlign w:val="top"/>
          </w:tcPr>
          <w:p w14:paraId="3F8FD74F">
            <w:pPr>
              <w:rPr>
                <w:rFonts w:ascii="Arial"/>
                <w:sz w:val="21"/>
              </w:rPr>
            </w:pPr>
          </w:p>
        </w:tc>
        <w:tc>
          <w:tcPr>
            <w:tcW w:w="3711" w:type="dxa"/>
            <w:vAlign w:val="top"/>
          </w:tcPr>
          <w:p w14:paraId="34ACD7BB">
            <w:pPr>
              <w:rPr>
                <w:rFonts w:ascii="Arial"/>
                <w:sz w:val="21"/>
              </w:rPr>
            </w:pPr>
          </w:p>
        </w:tc>
      </w:tr>
      <w:tr w14:paraId="781EC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239" w:type="dxa"/>
            <w:gridSpan w:val="2"/>
            <w:vAlign w:val="top"/>
          </w:tcPr>
          <w:p w14:paraId="3400E44E">
            <w:pPr>
              <w:rPr>
                <w:rFonts w:ascii="Arial"/>
                <w:sz w:val="21"/>
              </w:rPr>
            </w:pPr>
          </w:p>
        </w:tc>
      </w:tr>
      <w:tr w14:paraId="7366E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528" w:type="dxa"/>
            <w:vAlign w:val="top"/>
          </w:tcPr>
          <w:p w14:paraId="1CBDDBB6">
            <w:pPr>
              <w:rPr>
                <w:rFonts w:ascii="Arial"/>
                <w:sz w:val="21"/>
              </w:rPr>
            </w:pPr>
          </w:p>
        </w:tc>
        <w:tc>
          <w:tcPr>
            <w:tcW w:w="3711" w:type="dxa"/>
            <w:vAlign w:val="top"/>
          </w:tcPr>
          <w:p w14:paraId="180B5BF9">
            <w:pPr>
              <w:rPr>
                <w:rFonts w:ascii="Arial"/>
                <w:sz w:val="21"/>
              </w:rPr>
            </w:pPr>
          </w:p>
        </w:tc>
      </w:tr>
      <w:tr w14:paraId="1DB9E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5528" w:type="dxa"/>
            <w:vAlign w:val="top"/>
          </w:tcPr>
          <w:p w14:paraId="74A73E69">
            <w:pPr>
              <w:rPr>
                <w:rFonts w:ascii="Arial"/>
                <w:sz w:val="21"/>
              </w:rPr>
            </w:pPr>
          </w:p>
        </w:tc>
        <w:tc>
          <w:tcPr>
            <w:tcW w:w="3711" w:type="dxa"/>
            <w:vAlign w:val="top"/>
          </w:tcPr>
          <w:p w14:paraId="0FCBC86F">
            <w:pPr>
              <w:rPr>
                <w:rFonts w:ascii="Arial"/>
                <w:sz w:val="21"/>
              </w:rPr>
            </w:pPr>
          </w:p>
        </w:tc>
      </w:tr>
      <w:tr w14:paraId="485ED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5528" w:type="dxa"/>
            <w:vAlign w:val="top"/>
          </w:tcPr>
          <w:p w14:paraId="1340BAFE">
            <w:pPr>
              <w:rPr>
                <w:rFonts w:ascii="Arial"/>
                <w:sz w:val="21"/>
              </w:rPr>
            </w:pPr>
          </w:p>
        </w:tc>
        <w:tc>
          <w:tcPr>
            <w:tcW w:w="3711" w:type="dxa"/>
            <w:vAlign w:val="top"/>
          </w:tcPr>
          <w:p w14:paraId="35E181E2">
            <w:pPr>
              <w:rPr>
                <w:rFonts w:ascii="Arial"/>
                <w:sz w:val="21"/>
              </w:rPr>
            </w:pPr>
          </w:p>
        </w:tc>
      </w:tr>
      <w:tr w14:paraId="12744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5528" w:type="dxa"/>
            <w:vAlign w:val="top"/>
          </w:tcPr>
          <w:p w14:paraId="698E89AA">
            <w:pPr>
              <w:rPr>
                <w:rFonts w:ascii="Arial"/>
                <w:sz w:val="21"/>
              </w:rPr>
            </w:pPr>
          </w:p>
        </w:tc>
        <w:tc>
          <w:tcPr>
            <w:tcW w:w="3711" w:type="dxa"/>
            <w:vAlign w:val="top"/>
          </w:tcPr>
          <w:p w14:paraId="08FEEF73">
            <w:pPr>
              <w:rPr>
                <w:rFonts w:ascii="Arial"/>
                <w:sz w:val="21"/>
              </w:rPr>
            </w:pPr>
          </w:p>
        </w:tc>
      </w:tr>
      <w:tr w14:paraId="61065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5528" w:type="dxa"/>
            <w:vAlign w:val="top"/>
          </w:tcPr>
          <w:p w14:paraId="01F41736">
            <w:pPr>
              <w:rPr>
                <w:rFonts w:ascii="Arial"/>
                <w:sz w:val="21"/>
              </w:rPr>
            </w:pPr>
          </w:p>
        </w:tc>
        <w:tc>
          <w:tcPr>
            <w:tcW w:w="3711" w:type="dxa"/>
            <w:vAlign w:val="top"/>
          </w:tcPr>
          <w:p w14:paraId="757E1839">
            <w:pPr>
              <w:rPr>
                <w:rFonts w:ascii="Arial"/>
                <w:sz w:val="21"/>
              </w:rPr>
            </w:pPr>
          </w:p>
        </w:tc>
      </w:tr>
      <w:tr w14:paraId="4E4E8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239" w:type="dxa"/>
            <w:gridSpan w:val="2"/>
            <w:vAlign w:val="top"/>
          </w:tcPr>
          <w:p w14:paraId="0FECAA6E">
            <w:pPr>
              <w:rPr>
                <w:rFonts w:ascii="Arial"/>
                <w:sz w:val="21"/>
              </w:rPr>
            </w:pPr>
          </w:p>
        </w:tc>
      </w:tr>
      <w:tr w14:paraId="37F96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5528" w:type="dxa"/>
            <w:vAlign w:val="top"/>
          </w:tcPr>
          <w:p w14:paraId="2F9660DA">
            <w:pPr>
              <w:rPr>
                <w:rFonts w:ascii="Arial"/>
                <w:sz w:val="21"/>
              </w:rPr>
            </w:pPr>
          </w:p>
        </w:tc>
        <w:tc>
          <w:tcPr>
            <w:tcW w:w="3711" w:type="dxa"/>
            <w:vAlign w:val="top"/>
          </w:tcPr>
          <w:p w14:paraId="4D9064F0">
            <w:pPr>
              <w:rPr>
                <w:rFonts w:ascii="Arial"/>
                <w:sz w:val="21"/>
              </w:rPr>
            </w:pPr>
          </w:p>
        </w:tc>
      </w:tr>
      <w:tr w14:paraId="1D2E1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528" w:type="dxa"/>
            <w:vAlign w:val="top"/>
          </w:tcPr>
          <w:p w14:paraId="20F0EEC6">
            <w:pPr>
              <w:rPr>
                <w:rFonts w:ascii="Arial"/>
                <w:sz w:val="21"/>
              </w:rPr>
            </w:pPr>
          </w:p>
        </w:tc>
        <w:tc>
          <w:tcPr>
            <w:tcW w:w="3711" w:type="dxa"/>
            <w:vAlign w:val="top"/>
          </w:tcPr>
          <w:p w14:paraId="2C2DD120">
            <w:pPr>
              <w:rPr>
                <w:rFonts w:ascii="Arial"/>
                <w:sz w:val="21"/>
              </w:rPr>
            </w:pPr>
          </w:p>
        </w:tc>
      </w:tr>
    </w:tbl>
    <w:p w14:paraId="5ADEFC36">
      <w:pPr>
        <w:pStyle w:val="2"/>
        <w:spacing w:line="247" w:lineRule="auto"/>
      </w:pPr>
    </w:p>
    <w:p w14:paraId="768E433D">
      <w:pPr>
        <w:pStyle w:val="2"/>
        <w:spacing w:line="247" w:lineRule="auto"/>
      </w:pPr>
    </w:p>
    <w:p w14:paraId="40325082">
      <w:pPr>
        <w:pStyle w:val="2"/>
        <w:spacing w:line="247" w:lineRule="auto"/>
      </w:pPr>
    </w:p>
    <w:p w14:paraId="787BF366">
      <w:pPr>
        <w:pStyle w:val="2"/>
        <w:spacing w:line="247" w:lineRule="auto"/>
      </w:pPr>
    </w:p>
    <w:p w14:paraId="2A77EB5F">
      <w:pPr>
        <w:pStyle w:val="2"/>
        <w:spacing w:line="247" w:lineRule="auto"/>
      </w:pPr>
    </w:p>
    <w:p w14:paraId="563DACC4">
      <w:pPr>
        <w:pStyle w:val="2"/>
        <w:spacing w:line="247" w:lineRule="auto"/>
      </w:pPr>
    </w:p>
    <w:p w14:paraId="0062C530">
      <w:pPr>
        <w:pStyle w:val="2"/>
        <w:spacing w:line="248" w:lineRule="auto"/>
      </w:pPr>
    </w:p>
    <w:p w14:paraId="1C4520C5">
      <w:pPr>
        <w:pStyle w:val="2"/>
        <w:spacing w:line="248" w:lineRule="auto"/>
      </w:pPr>
    </w:p>
    <w:p w14:paraId="66D3B82A">
      <w:pPr>
        <w:pStyle w:val="2"/>
        <w:spacing w:line="248" w:lineRule="auto"/>
      </w:pPr>
    </w:p>
    <w:p w14:paraId="5F407E14">
      <w:pPr>
        <w:pStyle w:val="2"/>
        <w:spacing w:line="248" w:lineRule="auto"/>
      </w:pPr>
    </w:p>
    <w:p w14:paraId="469FE0AA">
      <w:pPr>
        <w:pStyle w:val="2"/>
        <w:spacing w:line="248" w:lineRule="auto"/>
      </w:pPr>
    </w:p>
    <w:p w14:paraId="614E8D49">
      <w:pPr>
        <w:spacing w:before="62" w:line="209" w:lineRule="auto"/>
        <w:ind w:left="138"/>
        <w:rPr>
          <w:rFonts w:ascii="宋体" w:hAnsi="宋体" w:eastAsia="宋体" w:cs="宋体"/>
          <w:sz w:val="19"/>
          <w:szCs w:val="19"/>
        </w:rPr>
      </w:pPr>
      <w:r>
        <w:pict>
          <v:shape id="_x0000_s1074" o:spid="_x0000_s1074" style="position:absolute;left:0pt;margin-left:1.45pt;margin-top:11.8pt;height:0.75pt;width:494pt;z-index:251741184;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98                                </w:t>
      </w:r>
      <w:r>
        <w:rPr>
          <w:rFonts w:ascii="宋体" w:hAnsi="宋体" w:eastAsia="宋体" w:cs="宋体"/>
          <w:b/>
          <w:bCs/>
          <w:i/>
          <w:iCs/>
          <w:spacing w:val="-3"/>
          <w:sz w:val="19"/>
          <w:szCs w:val="19"/>
        </w:rPr>
        <w:t>伊犁州公共资源交易中心</w:t>
      </w:r>
    </w:p>
    <w:p w14:paraId="39B108C9">
      <w:pPr>
        <w:spacing w:line="209" w:lineRule="auto"/>
        <w:rPr>
          <w:rFonts w:ascii="宋体" w:hAnsi="宋体" w:eastAsia="宋体" w:cs="宋体"/>
          <w:sz w:val="19"/>
          <w:szCs w:val="19"/>
        </w:rPr>
        <w:sectPr>
          <w:pgSz w:w="11905" w:h="16839"/>
          <w:pgMar w:top="1136" w:right="830" w:bottom="400" w:left="1136" w:header="854" w:footer="0" w:gutter="0"/>
          <w:cols w:space="720" w:num="1"/>
        </w:sectPr>
      </w:pPr>
    </w:p>
    <w:p w14:paraId="2DC3F8A0">
      <w:pPr>
        <w:pStyle w:val="2"/>
        <w:spacing w:line="280" w:lineRule="auto"/>
      </w:pPr>
    </w:p>
    <w:p w14:paraId="716C417C">
      <w:pPr>
        <w:spacing w:before="138" w:line="184" w:lineRule="auto"/>
        <w:ind w:left="3070"/>
        <w:rPr>
          <w:rFonts w:ascii="微软雅黑" w:hAnsi="微软雅黑" w:eastAsia="微软雅黑" w:cs="微软雅黑"/>
          <w:sz w:val="32"/>
          <w:szCs w:val="32"/>
        </w:rPr>
      </w:pPr>
      <w:bookmarkStart w:id="56" w:name="bookmark25"/>
      <w:bookmarkEnd w:id="56"/>
      <w:r>
        <w:rPr>
          <w:rFonts w:ascii="微软雅黑" w:hAnsi="微软雅黑" w:eastAsia="微软雅黑" w:cs="微软雅黑"/>
          <w:b/>
          <w:bCs/>
          <w:spacing w:val="-4"/>
          <w:sz w:val="32"/>
          <w:szCs w:val="32"/>
        </w:rPr>
        <w:t>（三）资格审查响应对照表</w:t>
      </w:r>
    </w:p>
    <w:p w14:paraId="59A7AFB8">
      <w:pPr>
        <w:spacing w:line="237" w:lineRule="exact"/>
      </w:pPr>
    </w:p>
    <w:tbl>
      <w:tblPr>
        <w:tblStyle w:val="5"/>
        <w:tblW w:w="9655"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6169"/>
        <w:gridCol w:w="1004"/>
        <w:gridCol w:w="1818"/>
      </w:tblGrid>
      <w:tr w14:paraId="4B232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664" w:type="dxa"/>
            <w:vAlign w:val="top"/>
          </w:tcPr>
          <w:p w14:paraId="10615FD2">
            <w:pPr>
              <w:spacing w:line="370" w:lineRule="auto"/>
              <w:rPr>
                <w:rFonts w:ascii="Arial"/>
                <w:sz w:val="21"/>
              </w:rPr>
            </w:pPr>
          </w:p>
          <w:p w14:paraId="47F43F30">
            <w:pPr>
              <w:spacing w:before="69" w:line="221" w:lineRule="auto"/>
              <w:ind w:left="121"/>
              <w:rPr>
                <w:rFonts w:ascii="宋体" w:hAnsi="宋体" w:eastAsia="宋体" w:cs="宋体"/>
                <w:sz w:val="21"/>
                <w:szCs w:val="21"/>
              </w:rPr>
            </w:pPr>
            <w:r>
              <w:rPr>
                <w:rFonts w:ascii="宋体" w:hAnsi="宋体" w:eastAsia="宋体" w:cs="宋体"/>
                <w:b/>
                <w:bCs/>
                <w:spacing w:val="-6"/>
                <w:sz w:val="21"/>
                <w:szCs w:val="21"/>
              </w:rPr>
              <w:t>序号</w:t>
            </w:r>
          </w:p>
        </w:tc>
        <w:tc>
          <w:tcPr>
            <w:tcW w:w="6169" w:type="dxa"/>
            <w:vAlign w:val="top"/>
          </w:tcPr>
          <w:p w14:paraId="3BE30267">
            <w:pPr>
              <w:spacing w:line="370" w:lineRule="auto"/>
              <w:rPr>
                <w:rFonts w:ascii="Arial"/>
                <w:sz w:val="21"/>
              </w:rPr>
            </w:pPr>
          </w:p>
          <w:p w14:paraId="32C61DD0">
            <w:pPr>
              <w:spacing w:before="68" w:line="220" w:lineRule="auto"/>
              <w:ind w:left="2252"/>
              <w:rPr>
                <w:rFonts w:ascii="宋体" w:hAnsi="宋体" w:eastAsia="宋体" w:cs="宋体"/>
                <w:sz w:val="21"/>
                <w:szCs w:val="21"/>
              </w:rPr>
            </w:pPr>
            <w:r>
              <w:rPr>
                <w:rFonts w:ascii="宋体" w:hAnsi="宋体" w:eastAsia="宋体" w:cs="宋体"/>
                <w:b/>
                <w:bCs/>
                <w:spacing w:val="-4"/>
                <w:sz w:val="21"/>
                <w:szCs w:val="21"/>
              </w:rPr>
              <w:t>资格审查响应内容</w:t>
            </w:r>
          </w:p>
        </w:tc>
        <w:tc>
          <w:tcPr>
            <w:tcW w:w="1004" w:type="dxa"/>
            <w:vAlign w:val="top"/>
          </w:tcPr>
          <w:p w14:paraId="45992AA8">
            <w:pPr>
              <w:spacing w:before="33" w:line="220" w:lineRule="auto"/>
              <w:ind w:left="195"/>
              <w:rPr>
                <w:rFonts w:ascii="宋体" w:hAnsi="宋体" w:eastAsia="宋体" w:cs="宋体"/>
                <w:sz w:val="21"/>
                <w:szCs w:val="21"/>
              </w:rPr>
            </w:pPr>
            <w:r>
              <w:rPr>
                <w:rFonts w:ascii="宋体" w:hAnsi="宋体" w:eastAsia="宋体" w:cs="宋体"/>
                <w:b/>
                <w:bCs/>
                <w:spacing w:val="-6"/>
                <w:sz w:val="21"/>
                <w:szCs w:val="21"/>
              </w:rPr>
              <w:t>是否响</w:t>
            </w:r>
          </w:p>
          <w:p w14:paraId="50512D1E">
            <w:pPr>
              <w:spacing w:before="21" w:line="222" w:lineRule="auto"/>
              <w:ind w:left="403"/>
              <w:rPr>
                <w:rFonts w:ascii="宋体" w:hAnsi="宋体" w:eastAsia="宋体" w:cs="宋体"/>
                <w:sz w:val="21"/>
                <w:szCs w:val="21"/>
              </w:rPr>
            </w:pPr>
            <w:r>
              <w:rPr>
                <w:rFonts w:ascii="宋体" w:hAnsi="宋体" w:eastAsia="宋体" w:cs="宋体"/>
                <w:b/>
                <w:bCs/>
                <w:spacing w:val="-3"/>
                <w:sz w:val="21"/>
                <w:szCs w:val="21"/>
              </w:rPr>
              <w:t>应</w:t>
            </w:r>
          </w:p>
          <w:p w14:paraId="17F42BB8">
            <w:pPr>
              <w:spacing w:before="20" w:line="222" w:lineRule="auto"/>
              <w:ind w:left="194" w:right="188" w:firstLine="3"/>
              <w:rPr>
                <w:rFonts w:ascii="宋体" w:hAnsi="宋体" w:eastAsia="宋体" w:cs="宋体"/>
                <w:sz w:val="21"/>
                <w:szCs w:val="21"/>
              </w:rPr>
            </w:pPr>
            <w:r>
              <w:rPr>
                <w:rFonts w:ascii="宋体" w:hAnsi="宋体" w:eastAsia="宋体" w:cs="宋体"/>
                <w:b/>
                <w:bCs/>
                <w:spacing w:val="-10"/>
                <w:sz w:val="21"/>
                <w:szCs w:val="21"/>
              </w:rPr>
              <w:t>（填是</w:t>
            </w:r>
            <w:r>
              <w:rPr>
                <w:rFonts w:ascii="宋体" w:hAnsi="宋体" w:eastAsia="宋体" w:cs="宋体"/>
                <w:sz w:val="21"/>
                <w:szCs w:val="21"/>
              </w:rPr>
              <w:t xml:space="preserve"> </w:t>
            </w:r>
            <w:r>
              <w:rPr>
                <w:rFonts w:ascii="宋体" w:hAnsi="宋体" w:eastAsia="宋体" w:cs="宋体"/>
                <w:b/>
                <w:bCs/>
                <w:spacing w:val="-10"/>
                <w:sz w:val="21"/>
                <w:szCs w:val="21"/>
              </w:rPr>
              <w:t>或否）</w:t>
            </w:r>
          </w:p>
        </w:tc>
        <w:tc>
          <w:tcPr>
            <w:tcW w:w="1818" w:type="dxa"/>
            <w:vAlign w:val="top"/>
          </w:tcPr>
          <w:p w14:paraId="27A326CC">
            <w:pPr>
              <w:spacing w:before="169" w:line="233" w:lineRule="auto"/>
              <w:ind w:left="144" w:right="111" w:firstLine="34"/>
              <w:jc w:val="both"/>
              <w:rPr>
                <w:rFonts w:ascii="宋体" w:hAnsi="宋体" w:eastAsia="宋体" w:cs="宋体"/>
                <w:sz w:val="21"/>
                <w:szCs w:val="21"/>
              </w:rPr>
            </w:pPr>
            <w:r>
              <w:rPr>
                <w:rFonts w:ascii="宋体" w:hAnsi="宋体" w:eastAsia="宋体" w:cs="宋体"/>
                <w:b/>
                <w:bCs/>
                <w:spacing w:val="-3"/>
                <w:sz w:val="21"/>
                <w:szCs w:val="21"/>
              </w:rPr>
              <w:t>上传证明材料的</w:t>
            </w:r>
            <w:r>
              <w:rPr>
                <w:rFonts w:ascii="宋体" w:hAnsi="宋体" w:eastAsia="宋体" w:cs="宋体"/>
                <w:sz w:val="21"/>
                <w:szCs w:val="21"/>
              </w:rPr>
              <w:t xml:space="preserve"> </w:t>
            </w:r>
            <w:r>
              <w:rPr>
                <w:rFonts w:ascii="宋体" w:hAnsi="宋体" w:eastAsia="宋体" w:cs="宋体"/>
                <w:b/>
                <w:bCs/>
                <w:spacing w:val="-6"/>
                <w:sz w:val="21"/>
                <w:szCs w:val="21"/>
              </w:rPr>
              <w:t>图片(按顺序附到</w:t>
            </w:r>
            <w:r>
              <w:rPr>
                <w:rFonts w:ascii="宋体" w:hAnsi="宋体" w:eastAsia="宋体" w:cs="宋体"/>
                <w:spacing w:val="6"/>
                <w:sz w:val="21"/>
                <w:szCs w:val="21"/>
              </w:rPr>
              <w:t xml:space="preserve"> </w:t>
            </w:r>
            <w:r>
              <w:rPr>
                <w:rFonts w:ascii="宋体" w:hAnsi="宋体" w:eastAsia="宋体" w:cs="宋体"/>
                <w:b/>
                <w:bCs/>
                <w:spacing w:val="9"/>
                <w:sz w:val="21"/>
                <w:szCs w:val="21"/>
              </w:rPr>
              <w:t>此对照表后面)</w:t>
            </w:r>
          </w:p>
        </w:tc>
      </w:tr>
      <w:tr w14:paraId="4545F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655" w:type="dxa"/>
            <w:gridSpan w:val="4"/>
            <w:vAlign w:val="top"/>
          </w:tcPr>
          <w:p w14:paraId="1DF6C303">
            <w:pPr>
              <w:spacing w:before="42" w:line="216" w:lineRule="auto"/>
              <w:ind w:left="111"/>
              <w:rPr>
                <w:rFonts w:ascii="宋体" w:hAnsi="宋体" w:eastAsia="宋体" w:cs="宋体"/>
                <w:sz w:val="21"/>
                <w:szCs w:val="21"/>
              </w:rPr>
            </w:pPr>
            <w:r>
              <w:rPr>
                <w:rFonts w:ascii="宋体" w:hAnsi="宋体" w:eastAsia="宋体" w:cs="宋体"/>
                <w:b/>
                <w:bCs/>
                <w:spacing w:val="-3"/>
                <w:sz w:val="21"/>
                <w:szCs w:val="21"/>
              </w:rPr>
              <w:t>通用资格条件</w:t>
            </w:r>
          </w:p>
        </w:tc>
      </w:tr>
      <w:tr w14:paraId="22BF4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64" w:type="dxa"/>
            <w:vAlign w:val="top"/>
          </w:tcPr>
          <w:p w14:paraId="5B884CA3">
            <w:pPr>
              <w:spacing w:before="227" w:line="182" w:lineRule="auto"/>
              <w:ind w:left="295"/>
              <w:rPr>
                <w:rFonts w:ascii="宋体" w:hAnsi="宋体" w:eastAsia="宋体" w:cs="宋体"/>
                <w:sz w:val="21"/>
                <w:szCs w:val="21"/>
              </w:rPr>
            </w:pPr>
            <w:r>
              <w:rPr>
                <w:rFonts w:ascii="宋体" w:hAnsi="宋体" w:eastAsia="宋体" w:cs="宋体"/>
                <w:b/>
                <w:bCs/>
                <w:spacing w:val="-3"/>
                <w:sz w:val="21"/>
                <w:szCs w:val="21"/>
              </w:rPr>
              <w:t>1</w:t>
            </w:r>
          </w:p>
        </w:tc>
        <w:tc>
          <w:tcPr>
            <w:tcW w:w="6169" w:type="dxa"/>
            <w:vAlign w:val="top"/>
          </w:tcPr>
          <w:p w14:paraId="588E39FD">
            <w:pPr>
              <w:pStyle w:val="6"/>
              <w:spacing w:before="193" w:line="188" w:lineRule="auto"/>
              <w:ind w:left="119"/>
              <w:rPr>
                <w:sz w:val="21"/>
                <w:szCs w:val="21"/>
              </w:rPr>
            </w:pPr>
            <w:r>
              <w:rPr>
                <w:spacing w:val="-2"/>
                <w:sz w:val="21"/>
                <w:szCs w:val="21"/>
              </w:rPr>
              <w:t>法人代表授权委托书原件扫描件</w:t>
            </w:r>
          </w:p>
        </w:tc>
        <w:tc>
          <w:tcPr>
            <w:tcW w:w="1004" w:type="dxa"/>
            <w:vAlign w:val="top"/>
          </w:tcPr>
          <w:p w14:paraId="4B2FEAE1">
            <w:pPr>
              <w:rPr>
                <w:rFonts w:ascii="Arial"/>
                <w:sz w:val="21"/>
              </w:rPr>
            </w:pPr>
          </w:p>
        </w:tc>
        <w:tc>
          <w:tcPr>
            <w:tcW w:w="1818" w:type="dxa"/>
            <w:vAlign w:val="top"/>
          </w:tcPr>
          <w:p w14:paraId="333DA459">
            <w:pPr>
              <w:rPr>
                <w:rFonts w:ascii="Arial"/>
                <w:sz w:val="21"/>
              </w:rPr>
            </w:pPr>
          </w:p>
        </w:tc>
      </w:tr>
      <w:tr w14:paraId="079DB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664" w:type="dxa"/>
            <w:vAlign w:val="top"/>
          </w:tcPr>
          <w:p w14:paraId="6A88D657">
            <w:pPr>
              <w:spacing w:line="261" w:lineRule="auto"/>
              <w:rPr>
                <w:rFonts w:ascii="Arial"/>
                <w:sz w:val="21"/>
              </w:rPr>
            </w:pPr>
          </w:p>
          <w:p w14:paraId="3F6ECBAB">
            <w:pPr>
              <w:spacing w:before="68" w:line="181" w:lineRule="auto"/>
              <w:ind w:left="282"/>
              <w:rPr>
                <w:rFonts w:ascii="宋体" w:hAnsi="宋体" w:eastAsia="宋体" w:cs="宋体"/>
                <w:sz w:val="21"/>
                <w:szCs w:val="21"/>
              </w:rPr>
            </w:pPr>
            <w:r>
              <w:rPr>
                <w:rFonts w:ascii="宋体" w:hAnsi="宋体" w:eastAsia="宋体" w:cs="宋体"/>
                <w:b/>
                <w:bCs/>
                <w:spacing w:val="-3"/>
                <w:sz w:val="21"/>
                <w:szCs w:val="21"/>
              </w:rPr>
              <w:t>2</w:t>
            </w:r>
          </w:p>
        </w:tc>
        <w:tc>
          <w:tcPr>
            <w:tcW w:w="6169" w:type="dxa"/>
            <w:vAlign w:val="top"/>
          </w:tcPr>
          <w:p w14:paraId="06168B18">
            <w:pPr>
              <w:pStyle w:val="6"/>
              <w:spacing w:before="295" w:line="188" w:lineRule="auto"/>
              <w:ind w:left="119"/>
              <w:rPr>
                <w:sz w:val="21"/>
                <w:szCs w:val="21"/>
              </w:rPr>
            </w:pPr>
            <w:r>
              <w:rPr>
                <w:spacing w:val="-1"/>
                <w:sz w:val="21"/>
                <w:szCs w:val="21"/>
              </w:rPr>
              <w:t>法定代表人及被授权人《居民身份证》扫描件</w:t>
            </w:r>
          </w:p>
        </w:tc>
        <w:tc>
          <w:tcPr>
            <w:tcW w:w="1004" w:type="dxa"/>
            <w:vAlign w:val="top"/>
          </w:tcPr>
          <w:p w14:paraId="0D440F4D">
            <w:pPr>
              <w:rPr>
                <w:rFonts w:ascii="Arial"/>
                <w:sz w:val="21"/>
              </w:rPr>
            </w:pPr>
          </w:p>
        </w:tc>
        <w:tc>
          <w:tcPr>
            <w:tcW w:w="1818" w:type="dxa"/>
            <w:vAlign w:val="top"/>
          </w:tcPr>
          <w:p w14:paraId="75DDACDD">
            <w:pPr>
              <w:rPr>
                <w:rFonts w:ascii="Arial"/>
                <w:sz w:val="21"/>
              </w:rPr>
            </w:pPr>
          </w:p>
        </w:tc>
      </w:tr>
      <w:tr w14:paraId="7477F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664" w:type="dxa"/>
            <w:vAlign w:val="top"/>
          </w:tcPr>
          <w:p w14:paraId="0C13C210">
            <w:pPr>
              <w:spacing w:line="262" w:lineRule="auto"/>
              <w:rPr>
                <w:rFonts w:ascii="Arial"/>
                <w:sz w:val="21"/>
              </w:rPr>
            </w:pPr>
          </w:p>
          <w:p w14:paraId="56E43AC0">
            <w:pPr>
              <w:spacing w:before="68" w:line="181" w:lineRule="auto"/>
              <w:ind w:left="284"/>
              <w:rPr>
                <w:rFonts w:ascii="宋体" w:hAnsi="宋体" w:eastAsia="宋体" w:cs="宋体"/>
                <w:sz w:val="21"/>
                <w:szCs w:val="21"/>
              </w:rPr>
            </w:pPr>
            <w:r>
              <w:rPr>
                <w:rFonts w:ascii="宋体" w:hAnsi="宋体" w:eastAsia="宋体" w:cs="宋体"/>
                <w:b/>
                <w:bCs/>
                <w:spacing w:val="-3"/>
                <w:sz w:val="21"/>
                <w:szCs w:val="21"/>
              </w:rPr>
              <w:t>3</w:t>
            </w:r>
          </w:p>
        </w:tc>
        <w:tc>
          <w:tcPr>
            <w:tcW w:w="6169" w:type="dxa"/>
            <w:vAlign w:val="top"/>
          </w:tcPr>
          <w:p w14:paraId="41F48840">
            <w:pPr>
              <w:pStyle w:val="6"/>
              <w:spacing w:before="295" w:line="188" w:lineRule="auto"/>
              <w:ind w:left="112"/>
              <w:rPr>
                <w:sz w:val="21"/>
                <w:szCs w:val="21"/>
              </w:rPr>
            </w:pPr>
            <w:r>
              <w:rPr>
                <w:spacing w:val="-1"/>
                <w:sz w:val="21"/>
                <w:szCs w:val="21"/>
              </w:rPr>
              <w:t>投标人有效期内营业执照副本原件扫描件</w:t>
            </w:r>
          </w:p>
        </w:tc>
        <w:tc>
          <w:tcPr>
            <w:tcW w:w="1004" w:type="dxa"/>
            <w:vAlign w:val="top"/>
          </w:tcPr>
          <w:p w14:paraId="41737695">
            <w:pPr>
              <w:rPr>
                <w:rFonts w:ascii="Arial"/>
                <w:sz w:val="21"/>
              </w:rPr>
            </w:pPr>
          </w:p>
        </w:tc>
        <w:tc>
          <w:tcPr>
            <w:tcW w:w="1818" w:type="dxa"/>
            <w:vAlign w:val="top"/>
          </w:tcPr>
          <w:p w14:paraId="76C31BB0">
            <w:pPr>
              <w:rPr>
                <w:rFonts w:ascii="Arial"/>
                <w:sz w:val="21"/>
              </w:rPr>
            </w:pPr>
          </w:p>
        </w:tc>
      </w:tr>
      <w:tr w14:paraId="611A6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664" w:type="dxa"/>
            <w:vAlign w:val="top"/>
          </w:tcPr>
          <w:p w14:paraId="77FC14EF">
            <w:pPr>
              <w:spacing w:before="232" w:line="181" w:lineRule="auto"/>
              <w:ind w:left="279"/>
              <w:rPr>
                <w:rFonts w:ascii="宋体" w:hAnsi="宋体" w:eastAsia="宋体" w:cs="宋体"/>
                <w:sz w:val="21"/>
                <w:szCs w:val="21"/>
              </w:rPr>
            </w:pPr>
            <w:r>
              <w:rPr>
                <w:rFonts w:ascii="宋体" w:hAnsi="宋体" w:eastAsia="宋体" w:cs="宋体"/>
                <w:sz w:val="21"/>
                <w:szCs w:val="21"/>
              </w:rPr>
              <w:t>4</w:t>
            </w:r>
          </w:p>
        </w:tc>
        <w:tc>
          <w:tcPr>
            <w:tcW w:w="6169" w:type="dxa"/>
            <w:vAlign w:val="top"/>
          </w:tcPr>
          <w:p w14:paraId="4A3B1686">
            <w:pPr>
              <w:pStyle w:val="6"/>
              <w:spacing w:before="197" w:line="188" w:lineRule="auto"/>
              <w:ind w:left="112"/>
              <w:rPr>
                <w:sz w:val="21"/>
                <w:szCs w:val="21"/>
              </w:rPr>
            </w:pPr>
            <w:r>
              <w:rPr>
                <w:spacing w:val="-1"/>
                <w:sz w:val="21"/>
                <w:szCs w:val="21"/>
              </w:rPr>
              <w:t>近半年内任意一个月的财务报表原件扫描件</w:t>
            </w:r>
          </w:p>
        </w:tc>
        <w:tc>
          <w:tcPr>
            <w:tcW w:w="1004" w:type="dxa"/>
            <w:vAlign w:val="top"/>
          </w:tcPr>
          <w:p w14:paraId="36D99AC6">
            <w:pPr>
              <w:rPr>
                <w:rFonts w:ascii="Arial"/>
                <w:sz w:val="21"/>
              </w:rPr>
            </w:pPr>
          </w:p>
        </w:tc>
        <w:tc>
          <w:tcPr>
            <w:tcW w:w="1818" w:type="dxa"/>
            <w:vAlign w:val="top"/>
          </w:tcPr>
          <w:p w14:paraId="37DD30F4">
            <w:pPr>
              <w:rPr>
                <w:rFonts w:ascii="Arial"/>
                <w:sz w:val="21"/>
              </w:rPr>
            </w:pPr>
          </w:p>
        </w:tc>
      </w:tr>
      <w:tr w14:paraId="1C8F2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64" w:type="dxa"/>
            <w:vAlign w:val="top"/>
          </w:tcPr>
          <w:p w14:paraId="42BC5035">
            <w:pPr>
              <w:spacing w:line="270" w:lineRule="auto"/>
              <w:rPr>
                <w:rFonts w:ascii="Arial"/>
                <w:sz w:val="21"/>
              </w:rPr>
            </w:pPr>
          </w:p>
          <w:p w14:paraId="56373E3E">
            <w:pPr>
              <w:spacing w:before="68" w:line="180" w:lineRule="auto"/>
              <w:ind w:left="284"/>
              <w:rPr>
                <w:rFonts w:ascii="宋体" w:hAnsi="宋体" w:eastAsia="宋体" w:cs="宋体"/>
                <w:sz w:val="21"/>
                <w:szCs w:val="21"/>
              </w:rPr>
            </w:pPr>
            <w:r>
              <w:rPr>
                <w:rFonts w:ascii="宋体" w:hAnsi="宋体" w:eastAsia="宋体" w:cs="宋体"/>
                <w:sz w:val="21"/>
                <w:szCs w:val="21"/>
              </w:rPr>
              <w:t>5</w:t>
            </w:r>
          </w:p>
        </w:tc>
        <w:tc>
          <w:tcPr>
            <w:tcW w:w="6169" w:type="dxa"/>
            <w:vAlign w:val="top"/>
          </w:tcPr>
          <w:p w14:paraId="471598B7">
            <w:pPr>
              <w:pStyle w:val="6"/>
              <w:spacing w:before="303" w:line="188" w:lineRule="auto"/>
              <w:ind w:left="113"/>
              <w:rPr>
                <w:sz w:val="21"/>
                <w:szCs w:val="21"/>
              </w:rPr>
            </w:pPr>
            <w:r>
              <w:rPr>
                <w:spacing w:val="-1"/>
                <w:sz w:val="21"/>
                <w:szCs w:val="21"/>
              </w:rPr>
              <w:t>依法缴纳税收和社会保障资金凭证扫描件</w:t>
            </w:r>
          </w:p>
        </w:tc>
        <w:tc>
          <w:tcPr>
            <w:tcW w:w="1004" w:type="dxa"/>
            <w:vAlign w:val="top"/>
          </w:tcPr>
          <w:p w14:paraId="3AC67B3E">
            <w:pPr>
              <w:rPr>
                <w:rFonts w:ascii="Arial"/>
                <w:sz w:val="21"/>
              </w:rPr>
            </w:pPr>
          </w:p>
        </w:tc>
        <w:tc>
          <w:tcPr>
            <w:tcW w:w="1818" w:type="dxa"/>
            <w:vAlign w:val="top"/>
          </w:tcPr>
          <w:p w14:paraId="5D1D003A">
            <w:pPr>
              <w:rPr>
                <w:rFonts w:ascii="Arial"/>
                <w:sz w:val="21"/>
              </w:rPr>
            </w:pPr>
          </w:p>
        </w:tc>
      </w:tr>
      <w:tr w14:paraId="7CE06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64" w:type="dxa"/>
            <w:vAlign w:val="top"/>
          </w:tcPr>
          <w:p w14:paraId="5E245507">
            <w:pPr>
              <w:spacing w:before="269" w:line="181" w:lineRule="auto"/>
              <w:ind w:left="282"/>
              <w:rPr>
                <w:rFonts w:ascii="宋体" w:hAnsi="宋体" w:eastAsia="宋体" w:cs="宋体"/>
                <w:sz w:val="21"/>
                <w:szCs w:val="21"/>
              </w:rPr>
            </w:pPr>
            <w:r>
              <w:rPr>
                <w:rFonts w:ascii="宋体" w:hAnsi="宋体" w:eastAsia="宋体" w:cs="宋体"/>
                <w:sz w:val="21"/>
                <w:szCs w:val="21"/>
              </w:rPr>
              <w:t>6</w:t>
            </w:r>
          </w:p>
        </w:tc>
        <w:tc>
          <w:tcPr>
            <w:tcW w:w="6169" w:type="dxa"/>
            <w:vAlign w:val="top"/>
          </w:tcPr>
          <w:p w14:paraId="0D77B5ED">
            <w:pPr>
              <w:pStyle w:val="6"/>
              <w:spacing w:before="234" w:line="188" w:lineRule="auto"/>
              <w:ind w:left="115"/>
              <w:rPr>
                <w:sz w:val="21"/>
                <w:szCs w:val="21"/>
              </w:rPr>
            </w:pPr>
            <w:r>
              <w:rPr>
                <w:spacing w:val="-1"/>
                <w:sz w:val="21"/>
                <w:szCs w:val="21"/>
              </w:rPr>
              <w:t>具备履行合同所必需的设备和专业技术能力的书面声明</w:t>
            </w:r>
          </w:p>
        </w:tc>
        <w:tc>
          <w:tcPr>
            <w:tcW w:w="1004" w:type="dxa"/>
            <w:vAlign w:val="top"/>
          </w:tcPr>
          <w:p w14:paraId="65E7BC16">
            <w:pPr>
              <w:rPr>
                <w:rFonts w:ascii="Arial"/>
                <w:sz w:val="21"/>
              </w:rPr>
            </w:pPr>
          </w:p>
        </w:tc>
        <w:tc>
          <w:tcPr>
            <w:tcW w:w="1818" w:type="dxa"/>
            <w:vAlign w:val="top"/>
          </w:tcPr>
          <w:p w14:paraId="4C7E3EE0">
            <w:pPr>
              <w:rPr>
                <w:rFonts w:ascii="Arial"/>
                <w:sz w:val="21"/>
              </w:rPr>
            </w:pPr>
          </w:p>
        </w:tc>
      </w:tr>
      <w:tr w14:paraId="1A83C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64" w:type="dxa"/>
            <w:vAlign w:val="top"/>
          </w:tcPr>
          <w:p w14:paraId="6D3AF87C">
            <w:pPr>
              <w:spacing w:line="307" w:lineRule="auto"/>
              <w:rPr>
                <w:rFonts w:ascii="Arial"/>
                <w:sz w:val="21"/>
              </w:rPr>
            </w:pPr>
          </w:p>
          <w:p w14:paraId="6E3E8164">
            <w:pPr>
              <w:spacing w:before="68" w:line="180" w:lineRule="auto"/>
              <w:ind w:left="285"/>
              <w:rPr>
                <w:rFonts w:ascii="宋体" w:hAnsi="宋体" w:eastAsia="宋体" w:cs="宋体"/>
                <w:sz w:val="21"/>
                <w:szCs w:val="21"/>
              </w:rPr>
            </w:pPr>
            <w:r>
              <w:rPr>
                <w:rFonts w:ascii="宋体" w:hAnsi="宋体" w:eastAsia="宋体" w:cs="宋体"/>
                <w:sz w:val="21"/>
                <w:szCs w:val="21"/>
              </w:rPr>
              <w:t>7</w:t>
            </w:r>
          </w:p>
        </w:tc>
        <w:tc>
          <w:tcPr>
            <w:tcW w:w="6169" w:type="dxa"/>
            <w:vAlign w:val="top"/>
          </w:tcPr>
          <w:p w14:paraId="4D67D53E">
            <w:pPr>
              <w:pStyle w:val="6"/>
              <w:spacing w:before="140" w:line="216" w:lineRule="auto"/>
              <w:ind w:left="116" w:right="75"/>
              <w:rPr>
                <w:sz w:val="21"/>
                <w:szCs w:val="21"/>
              </w:rPr>
            </w:pPr>
            <w:r>
              <w:rPr>
                <w:spacing w:val="-2"/>
                <w:sz w:val="21"/>
                <w:szCs w:val="21"/>
              </w:rPr>
              <w:t>参加政府采购活动前</w:t>
            </w:r>
            <w:r>
              <w:rPr>
                <w:spacing w:val="55"/>
                <w:sz w:val="21"/>
                <w:szCs w:val="21"/>
              </w:rPr>
              <w:t xml:space="preserve"> </w:t>
            </w:r>
            <w:r>
              <w:rPr>
                <w:spacing w:val="-2"/>
                <w:sz w:val="21"/>
                <w:szCs w:val="21"/>
              </w:rPr>
              <w:t>3  年内在经营活动中没有</w:t>
            </w:r>
            <w:r>
              <w:rPr>
                <w:spacing w:val="-3"/>
                <w:sz w:val="21"/>
                <w:szCs w:val="21"/>
              </w:rPr>
              <w:t>重大违法记录的书</w:t>
            </w:r>
            <w:r>
              <w:rPr>
                <w:sz w:val="21"/>
                <w:szCs w:val="21"/>
              </w:rPr>
              <w:t xml:space="preserve"> </w:t>
            </w:r>
            <w:r>
              <w:rPr>
                <w:spacing w:val="-5"/>
                <w:sz w:val="21"/>
                <w:szCs w:val="21"/>
              </w:rPr>
              <w:t>面声明</w:t>
            </w:r>
          </w:p>
        </w:tc>
        <w:tc>
          <w:tcPr>
            <w:tcW w:w="1004" w:type="dxa"/>
            <w:vAlign w:val="top"/>
          </w:tcPr>
          <w:p w14:paraId="13B2E149">
            <w:pPr>
              <w:rPr>
                <w:rFonts w:ascii="Arial"/>
                <w:sz w:val="21"/>
              </w:rPr>
            </w:pPr>
          </w:p>
        </w:tc>
        <w:tc>
          <w:tcPr>
            <w:tcW w:w="1818" w:type="dxa"/>
            <w:vAlign w:val="top"/>
          </w:tcPr>
          <w:p w14:paraId="7902EDD1">
            <w:pPr>
              <w:rPr>
                <w:rFonts w:ascii="Arial"/>
                <w:sz w:val="21"/>
              </w:rPr>
            </w:pPr>
          </w:p>
        </w:tc>
      </w:tr>
      <w:tr w14:paraId="07563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664" w:type="dxa"/>
            <w:vAlign w:val="top"/>
          </w:tcPr>
          <w:p w14:paraId="2966BDFD">
            <w:pPr>
              <w:spacing w:line="311" w:lineRule="auto"/>
              <w:rPr>
                <w:rFonts w:ascii="Arial"/>
                <w:sz w:val="21"/>
              </w:rPr>
            </w:pPr>
          </w:p>
          <w:p w14:paraId="0F4D2FAD">
            <w:pPr>
              <w:spacing w:line="312" w:lineRule="auto"/>
              <w:rPr>
                <w:rFonts w:ascii="Arial"/>
                <w:sz w:val="21"/>
              </w:rPr>
            </w:pPr>
          </w:p>
          <w:p w14:paraId="24193D5B">
            <w:pPr>
              <w:spacing w:before="69" w:line="181" w:lineRule="auto"/>
              <w:ind w:left="281"/>
              <w:rPr>
                <w:rFonts w:ascii="宋体" w:hAnsi="宋体" w:eastAsia="宋体" w:cs="宋体"/>
                <w:sz w:val="21"/>
                <w:szCs w:val="21"/>
              </w:rPr>
            </w:pPr>
            <w:r>
              <w:rPr>
                <w:rFonts w:ascii="宋体" w:hAnsi="宋体" w:eastAsia="宋体" w:cs="宋体"/>
                <w:sz w:val="21"/>
                <w:szCs w:val="21"/>
              </w:rPr>
              <w:t>8</w:t>
            </w:r>
          </w:p>
        </w:tc>
        <w:tc>
          <w:tcPr>
            <w:tcW w:w="6169" w:type="dxa"/>
            <w:vAlign w:val="top"/>
          </w:tcPr>
          <w:p w14:paraId="2D8B06FE">
            <w:pPr>
              <w:pStyle w:val="6"/>
              <w:spacing w:before="210" w:line="183" w:lineRule="auto"/>
              <w:ind w:left="112" w:right="99" w:firstLine="1"/>
              <w:jc w:val="both"/>
              <w:rPr>
                <w:sz w:val="21"/>
                <w:szCs w:val="21"/>
              </w:rPr>
            </w:pPr>
            <w:r>
              <w:rPr>
                <w:spacing w:val="-10"/>
                <w:sz w:val="21"/>
                <w:szCs w:val="21"/>
              </w:rPr>
              <w:t>采</w:t>
            </w:r>
            <w:r>
              <w:rPr>
                <w:spacing w:val="5"/>
                <w:sz w:val="21"/>
                <w:szCs w:val="21"/>
              </w:rPr>
              <w:t xml:space="preserve">     </w:t>
            </w:r>
            <w:r>
              <w:rPr>
                <w:spacing w:val="-10"/>
                <w:sz w:val="21"/>
                <w:szCs w:val="21"/>
              </w:rPr>
              <w:t>购</w:t>
            </w:r>
            <w:r>
              <w:rPr>
                <w:spacing w:val="4"/>
                <w:sz w:val="21"/>
                <w:szCs w:val="21"/>
              </w:rPr>
              <w:t xml:space="preserve">     </w:t>
            </w:r>
            <w:r>
              <w:rPr>
                <w:spacing w:val="-10"/>
                <w:sz w:val="21"/>
                <w:szCs w:val="21"/>
              </w:rPr>
              <w:t>人</w:t>
            </w:r>
            <w:r>
              <w:rPr>
                <w:spacing w:val="4"/>
                <w:sz w:val="21"/>
                <w:szCs w:val="21"/>
              </w:rPr>
              <w:t xml:space="preserve">     </w:t>
            </w:r>
            <w:r>
              <w:rPr>
                <w:spacing w:val="-10"/>
                <w:sz w:val="21"/>
                <w:szCs w:val="21"/>
              </w:rPr>
              <w:t>在</w:t>
            </w:r>
            <w:r>
              <w:rPr>
                <w:sz w:val="21"/>
                <w:szCs w:val="21"/>
              </w:rPr>
              <w:t xml:space="preserve">     </w:t>
            </w:r>
            <w:r>
              <w:rPr>
                <w:spacing w:val="-10"/>
                <w:sz w:val="21"/>
                <w:szCs w:val="21"/>
              </w:rPr>
              <w:t>“</w:t>
            </w:r>
            <w:r>
              <w:rPr>
                <w:spacing w:val="3"/>
                <w:sz w:val="21"/>
                <w:szCs w:val="21"/>
              </w:rPr>
              <w:t xml:space="preserve">     </w:t>
            </w:r>
            <w:r>
              <w:rPr>
                <w:spacing w:val="-10"/>
                <w:sz w:val="21"/>
                <w:szCs w:val="21"/>
              </w:rPr>
              <w:t>信</w:t>
            </w:r>
            <w:r>
              <w:rPr>
                <w:spacing w:val="3"/>
                <w:sz w:val="21"/>
                <w:szCs w:val="21"/>
              </w:rPr>
              <w:t xml:space="preserve">     </w:t>
            </w:r>
            <w:r>
              <w:rPr>
                <w:spacing w:val="-10"/>
                <w:sz w:val="21"/>
                <w:szCs w:val="21"/>
              </w:rPr>
              <w:t>用      中      国      ”      网</w:t>
            </w:r>
            <w:r>
              <w:rPr>
                <w:spacing w:val="4"/>
                <w:sz w:val="21"/>
                <w:szCs w:val="21"/>
              </w:rPr>
              <w:t xml:space="preserve">     </w:t>
            </w:r>
            <w:r>
              <w:rPr>
                <w:spacing w:val="-10"/>
                <w:sz w:val="21"/>
                <w:szCs w:val="21"/>
              </w:rPr>
              <w:t>站</w:t>
            </w:r>
            <w:r>
              <w:rPr>
                <w:spacing w:val="2"/>
                <w:sz w:val="21"/>
                <w:szCs w:val="21"/>
              </w:rPr>
              <w:t xml:space="preserve"> </w:t>
            </w:r>
            <w:r>
              <w:rPr>
                <w:spacing w:val="-4"/>
                <w:sz w:val="21"/>
                <w:szCs w:val="21"/>
              </w:rPr>
              <w:t>（</w:t>
            </w:r>
            <w:r>
              <w:rPr>
                <w:spacing w:val="25"/>
                <w:sz w:val="21"/>
                <w:szCs w:val="21"/>
              </w:rPr>
              <w:t xml:space="preserve">  </w:t>
            </w:r>
            <w:r>
              <w:rPr>
                <w:spacing w:val="-4"/>
                <w:sz w:val="21"/>
                <w:szCs w:val="21"/>
              </w:rPr>
              <w:t>http://www.creditchina.gov.cn/</w:t>
            </w:r>
            <w:r>
              <w:rPr>
                <w:spacing w:val="17"/>
                <w:w w:val="101"/>
                <w:sz w:val="21"/>
                <w:szCs w:val="21"/>
              </w:rPr>
              <w:t xml:space="preserve">  </w:t>
            </w:r>
            <w:r>
              <w:rPr>
                <w:spacing w:val="-4"/>
                <w:sz w:val="21"/>
                <w:szCs w:val="21"/>
              </w:rPr>
              <w:t>）和</w:t>
            </w:r>
            <w:r>
              <w:rPr>
                <w:spacing w:val="-38"/>
                <w:sz w:val="21"/>
                <w:szCs w:val="21"/>
              </w:rPr>
              <w:t xml:space="preserve"> </w:t>
            </w:r>
            <w:r>
              <w:rPr>
                <w:spacing w:val="-4"/>
                <w:sz w:val="21"/>
                <w:szCs w:val="21"/>
              </w:rPr>
              <w:t>“ 中 国</w:t>
            </w:r>
            <w:r>
              <w:rPr>
                <w:spacing w:val="-23"/>
                <w:sz w:val="21"/>
                <w:szCs w:val="21"/>
              </w:rPr>
              <w:t xml:space="preserve"> </w:t>
            </w:r>
            <w:r>
              <w:rPr>
                <w:spacing w:val="-4"/>
                <w:sz w:val="21"/>
                <w:szCs w:val="21"/>
              </w:rPr>
              <w:t>政</w:t>
            </w:r>
            <w:r>
              <w:rPr>
                <w:spacing w:val="-23"/>
                <w:sz w:val="21"/>
                <w:szCs w:val="21"/>
              </w:rPr>
              <w:t xml:space="preserve"> </w:t>
            </w:r>
            <w:r>
              <w:rPr>
                <w:spacing w:val="-4"/>
                <w:sz w:val="21"/>
                <w:szCs w:val="21"/>
              </w:rPr>
              <w:t>府</w:t>
            </w:r>
            <w:r>
              <w:rPr>
                <w:spacing w:val="-23"/>
                <w:sz w:val="21"/>
                <w:szCs w:val="21"/>
              </w:rPr>
              <w:t xml:space="preserve"> </w:t>
            </w:r>
            <w:r>
              <w:rPr>
                <w:spacing w:val="-4"/>
                <w:sz w:val="21"/>
                <w:szCs w:val="21"/>
              </w:rPr>
              <w:t>采</w:t>
            </w:r>
            <w:r>
              <w:rPr>
                <w:spacing w:val="-24"/>
                <w:sz w:val="21"/>
                <w:szCs w:val="21"/>
              </w:rPr>
              <w:t xml:space="preserve"> </w:t>
            </w:r>
            <w:r>
              <w:rPr>
                <w:spacing w:val="-4"/>
                <w:sz w:val="21"/>
                <w:szCs w:val="21"/>
              </w:rPr>
              <w:t>购 网</w:t>
            </w:r>
            <w:r>
              <w:rPr>
                <w:sz w:val="21"/>
                <w:szCs w:val="21"/>
              </w:rPr>
              <w:t xml:space="preserve"> "(www.ccgp.gov.cn)查</w:t>
            </w:r>
            <w:r>
              <w:rPr>
                <w:spacing w:val="-1"/>
                <w:sz w:val="21"/>
                <w:szCs w:val="21"/>
              </w:rPr>
              <w:t>询投标人有无违法违规行为也是资格审查</w:t>
            </w:r>
            <w:r>
              <w:rPr>
                <w:sz w:val="21"/>
                <w:szCs w:val="21"/>
              </w:rPr>
              <w:t xml:space="preserve"> </w:t>
            </w:r>
            <w:r>
              <w:rPr>
                <w:spacing w:val="-8"/>
                <w:sz w:val="21"/>
                <w:szCs w:val="21"/>
              </w:rPr>
              <w:t>的内容。</w:t>
            </w:r>
          </w:p>
        </w:tc>
        <w:tc>
          <w:tcPr>
            <w:tcW w:w="1004" w:type="dxa"/>
            <w:vAlign w:val="top"/>
          </w:tcPr>
          <w:p w14:paraId="7B154ABC">
            <w:pPr>
              <w:rPr>
                <w:rFonts w:ascii="Arial"/>
                <w:sz w:val="21"/>
              </w:rPr>
            </w:pPr>
          </w:p>
        </w:tc>
        <w:tc>
          <w:tcPr>
            <w:tcW w:w="1818" w:type="dxa"/>
            <w:vAlign w:val="top"/>
          </w:tcPr>
          <w:p w14:paraId="069A10AD">
            <w:pPr>
              <w:rPr>
                <w:rFonts w:ascii="Arial"/>
                <w:sz w:val="21"/>
              </w:rPr>
            </w:pPr>
          </w:p>
        </w:tc>
      </w:tr>
      <w:tr w14:paraId="0CF85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9655" w:type="dxa"/>
            <w:gridSpan w:val="4"/>
            <w:vAlign w:val="top"/>
          </w:tcPr>
          <w:p w14:paraId="31A5A520">
            <w:pPr>
              <w:spacing w:before="88" w:line="220" w:lineRule="auto"/>
              <w:ind w:left="111"/>
              <w:rPr>
                <w:rFonts w:ascii="宋体" w:hAnsi="宋体" w:eastAsia="宋体" w:cs="宋体"/>
                <w:sz w:val="21"/>
                <w:szCs w:val="21"/>
              </w:rPr>
            </w:pPr>
            <w:r>
              <w:rPr>
                <w:rFonts w:ascii="宋体" w:hAnsi="宋体" w:eastAsia="宋体" w:cs="宋体"/>
                <w:b/>
                <w:bCs/>
                <w:spacing w:val="-3"/>
                <w:sz w:val="21"/>
                <w:szCs w:val="21"/>
              </w:rPr>
              <w:t>特定资格条件</w:t>
            </w:r>
          </w:p>
        </w:tc>
      </w:tr>
      <w:tr w14:paraId="73A2F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664" w:type="dxa"/>
            <w:vAlign w:val="top"/>
          </w:tcPr>
          <w:p w14:paraId="592ED758">
            <w:pPr>
              <w:spacing w:line="272" w:lineRule="auto"/>
              <w:rPr>
                <w:rFonts w:ascii="Arial"/>
                <w:sz w:val="21"/>
              </w:rPr>
            </w:pPr>
          </w:p>
          <w:p w14:paraId="41DDC955">
            <w:pPr>
              <w:spacing w:line="273" w:lineRule="auto"/>
              <w:rPr>
                <w:rFonts w:ascii="Arial"/>
                <w:sz w:val="21"/>
              </w:rPr>
            </w:pPr>
          </w:p>
          <w:p w14:paraId="12C661F6">
            <w:pPr>
              <w:spacing w:before="69" w:line="180" w:lineRule="auto"/>
              <w:ind w:left="285"/>
              <w:rPr>
                <w:rFonts w:ascii="宋体" w:hAnsi="宋体" w:eastAsia="宋体" w:cs="宋体"/>
                <w:sz w:val="21"/>
                <w:szCs w:val="21"/>
              </w:rPr>
            </w:pPr>
            <w:r>
              <w:rPr>
                <w:rFonts w:ascii="宋体" w:hAnsi="宋体" w:eastAsia="宋体" w:cs="宋体"/>
                <w:sz w:val="21"/>
                <w:szCs w:val="21"/>
              </w:rPr>
              <w:t>7</w:t>
            </w:r>
          </w:p>
        </w:tc>
        <w:tc>
          <w:tcPr>
            <w:tcW w:w="6169" w:type="dxa"/>
            <w:vAlign w:val="top"/>
          </w:tcPr>
          <w:p w14:paraId="1E78E695">
            <w:pPr>
              <w:pStyle w:val="6"/>
              <w:spacing w:before="38" w:line="181" w:lineRule="auto"/>
              <w:ind w:left="108" w:right="180" w:firstLine="4"/>
              <w:jc w:val="both"/>
              <w:rPr>
                <w:sz w:val="21"/>
                <w:szCs w:val="21"/>
              </w:rPr>
            </w:pPr>
            <w:r>
              <w:rPr>
                <w:spacing w:val="-1"/>
                <w:sz w:val="21"/>
                <w:szCs w:val="21"/>
              </w:rPr>
              <w:t>投标商须提供制造商的《医疗器械生产许可证》、《医疗器械注</w:t>
            </w:r>
            <w:r>
              <w:rPr>
                <w:spacing w:val="13"/>
                <w:sz w:val="21"/>
                <w:szCs w:val="21"/>
              </w:rPr>
              <w:t xml:space="preserve"> </w:t>
            </w:r>
            <w:r>
              <w:rPr>
                <w:spacing w:val="-1"/>
                <w:sz w:val="21"/>
                <w:szCs w:val="21"/>
              </w:rPr>
              <w:t>册证》；供应商为经销商的须提供《医疗器械经营许可证》或者</w:t>
            </w:r>
            <w:r>
              <w:rPr>
                <w:spacing w:val="17"/>
                <w:w w:val="101"/>
                <w:sz w:val="21"/>
                <w:szCs w:val="21"/>
              </w:rPr>
              <w:t xml:space="preserve"> </w:t>
            </w:r>
            <w:r>
              <w:rPr>
                <w:spacing w:val="-1"/>
                <w:sz w:val="21"/>
                <w:szCs w:val="21"/>
              </w:rPr>
              <w:t>《医疗器械经营备案凭证》，所投设备须提供《产品生产许可</w:t>
            </w:r>
          </w:p>
          <w:p w14:paraId="7A2C7559">
            <w:pPr>
              <w:pStyle w:val="6"/>
              <w:spacing w:before="1" w:line="165" w:lineRule="auto"/>
              <w:ind w:left="112" w:right="180"/>
              <w:jc w:val="both"/>
              <w:rPr>
                <w:sz w:val="21"/>
                <w:szCs w:val="21"/>
              </w:rPr>
            </w:pPr>
            <w:r>
              <w:rPr>
                <w:spacing w:val="-1"/>
                <w:sz w:val="21"/>
                <w:szCs w:val="21"/>
              </w:rPr>
              <w:t>证》、《医疗器械产品注册证》所有证件均应在有效期内的原件</w:t>
            </w:r>
            <w:r>
              <w:rPr>
                <w:spacing w:val="13"/>
                <w:sz w:val="21"/>
                <w:szCs w:val="21"/>
              </w:rPr>
              <w:t xml:space="preserve"> </w:t>
            </w:r>
            <w:r>
              <w:rPr>
                <w:b/>
                <w:bCs/>
                <w:spacing w:val="1"/>
                <w:sz w:val="21"/>
                <w:szCs w:val="21"/>
              </w:rPr>
              <w:t>（投标段四项目提供）</w:t>
            </w:r>
            <w:r>
              <w:rPr>
                <w:spacing w:val="1"/>
                <w:sz w:val="21"/>
                <w:szCs w:val="21"/>
              </w:rPr>
              <w:t>。</w:t>
            </w:r>
          </w:p>
        </w:tc>
        <w:tc>
          <w:tcPr>
            <w:tcW w:w="2822" w:type="dxa"/>
            <w:gridSpan w:val="2"/>
            <w:vAlign w:val="top"/>
          </w:tcPr>
          <w:p w14:paraId="7A375C7E">
            <w:pPr>
              <w:spacing w:line="254" w:lineRule="auto"/>
              <w:rPr>
                <w:rFonts w:ascii="Arial"/>
                <w:sz w:val="21"/>
              </w:rPr>
            </w:pPr>
          </w:p>
          <w:p w14:paraId="36CD0123">
            <w:pPr>
              <w:spacing w:line="255" w:lineRule="auto"/>
              <w:rPr>
                <w:rFonts w:ascii="Arial"/>
                <w:sz w:val="21"/>
              </w:rPr>
            </w:pPr>
          </w:p>
          <w:p w14:paraId="7E8C7572">
            <w:pPr>
              <w:spacing w:before="69" w:line="220" w:lineRule="auto"/>
              <w:ind w:left="117"/>
              <w:rPr>
                <w:rFonts w:ascii="宋体" w:hAnsi="宋体" w:eastAsia="宋体" w:cs="宋体"/>
                <w:sz w:val="21"/>
                <w:szCs w:val="21"/>
              </w:rPr>
            </w:pPr>
            <w:r>
              <w:rPr>
                <w:rFonts w:ascii="宋体" w:hAnsi="宋体" w:eastAsia="宋体" w:cs="宋体"/>
                <w:spacing w:val="-2"/>
                <w:sz w:val="21"/>
                <w:szCs w:val="21"/>
              </w:rPr>
              <w:t>如该项目设定</w:t>
            </w:r>
          </w:p>
        </w:tc>
      </w:tr>
      <w:tr w14:paraId="3D4C3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655" w:type="dxa"/>
            <w:gridSpan w:val="4"/>
            <w:vAlign w:val="top"/>
          </w:tcPr>
          <w:p w14:paraId="2734DC12">
            <w:pPr>
              <w:spacing w:before="150" w:line="219" w:lineRule="auto"/>
              <w:ind w:left="112"/>
              <w:rPr>
                <w:rFonts w:ascii="宋体" w:hAnsi="宋体" w:eastAsia="宋体" w:cs="宋体"/>
                <w:sz w:val="21"/>
                <w:szCs w:val="21"/>
              </w:rPr>
            </w:pPr>
            <w:r>
              <w:rPr>
                <w:rFonts w:ascii="宋体" w:hAnsi="宋体" w:eastAsia="宋体" w:cs="宋体"/>
                <w:b/>
                <w:bCs/>
                <w:spacing w:val="-3"/>
                <w:sz w:val="21"/>
                <w:szCs w:val="21"/>
              </w:rPr>
              <w:t>落实政府采购政策需满足的资格要求</w:t>
            </w:r>
          </w:p>
        </w:tc>
      </w:tr>
      <w:tr w14:paraId="20269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64" w:type="dxa"/>
            <w:vAlign w:val="top"/>
          </w:tcPr>
          <w:p w14:paraId="267B1CE4">
            <w:pPr>
              <w:spacing w:before="186" w:line="181" w:lineRule="auto"/>
              <w:ind w:left="281"/>
              <w:rPr>
                <w:rFonts w:ascii="宋体" w:hAnsi="宋体" w:eastAsia="宋体" w:cs="宋体"/>
                <w:sz w:val="21"/>
                <w:szCs w:val="21"/>
              </w:rPr>
            </w:pPr>
            <w:r>
              <w:rPr>
                <w:rFonts w:ascii="宋体" w:hAnsi="宋体" w:eastAsia="宋体" w:cs="宋体"/>
                <w:sz w:val="21"/>
                <w:szCs w:val="21"/>
              </w:rPr>
              <w:t>8</w:t>
            </w:r>
          </w:p>
        </w:tc>
        <w:tc>
          <w:tcPr>
            <w:tcW w:w="6169" w:type="dxa"/>
            <w:vAlign w:val="top"/>
          </w:tcPr>
          <w:p w14:paraId="4B308A8F">
            <w:pPr>
              <w:spacing w:before="237" w:line="174" w:lineRule="exact"/>
              <w:ind w:left="123"/>
              <w:rPr>
                <w:rFonts w:ascii="宋体" w:hAnsi="宋体" w:eastAsia="宋体" w:cs="宋体"/>
                <w:sz w:val="24"/>
                <w:szCs w:val="24"/>
              </w:rPr>
            </w:pPr>
            <w:r>
              <w:rPr>
                <w:rFonts w:ascii="宋体" w:hAnsi="宋体" w:eastAsia="宋体" w:cs="宋体"/>
                <w:spacing w:val="-7"/>
                <w:position w:val="-3"/>
                <w:sz w:val="24"/>
                <w:szCs w:val="24"/>
              </w:rPr>
              <w:t>……</w:t>
            </w:r>
          </w:p>
        </w:tc>
        <w:tc>
          <w:tcPr>
            <w:tcW w:w="2822" w:type="dxa"/>
            <w:gridSpan w:val="2"/>
            <w:vAlign w:val="top"/>
          </w:tcPr>
          <w:p w14:paraId="2C8F552F">
            <w:pPr>
              <w:spacing w:before="151" w:line="220" w:lineRule="auto"/>
              <w:ind w:left="117"/>
              <w:rPr>
                <w:rFonts w:ascii="宋体" w:hAnsi="宋体" w:eastAsia="宋体" w:cs="宋体"/>
                <w:sz w:val="21"/>
                <w:szCs w:val="21"/>
              </w:rPr>
            </w:pPr>
            <w:r>
              <w:rPr>
                <w:rFonts w:ascii="宋体" w:hAnsi="宋体" w:eastAsia="宋体" w:cs="宋体"/>
                <w:spacing w:val="-2"/>
                <w:sz w:val="21"/>
                <w:szCs w:val="21"/>
              </w:rPr>
              <w:t>如该项目设定</w:t>
            </w:r>
          </w:p>
        </w:tc>
      </w:tr>
      <w:tr w14:paraId="3B212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655" w:type="dxa"/>
            <w:gridSpan w:val="4"/>
            <w:vAlign w:val="top"/>
          </w:tcPr>
          <w:p w14:paraId="45ADBA0C">
            <w:pPr>
              <w:spacing w:before="150" w:line="220" w:lineRule="auto"/>
              <w:ind w:left="112"/>
              <w:rPr>
                <w:rFonts w:ascii="宋体" w:hAnsi="宋体" w:eastAsia="宋体" w:cs="宋体"/>
                <w:sz w:val="21"/>
                <w:szCs w:val="21"/>
              </w:rPr>
            </w:pPr>
            <w:r>
              <w:rPr>
                <w:rFonts w:ascii="宋体" w:hAnsi="宋体" w:eastAsia="宋体" w:cs="宋体"/>
                <w:b/>
                <w:bCs/>
                <w:spacing w:val="-4"/>
                <w:sz w:val="21"/>
                <w:szCs w:val="21"/>
              </w:rPr>
              <w:t>其他资格条件</w:t>
            </w:r>
          </w:p>
        </w:tc>
      </w:tr>
      <w:tr w14:paraId="232BB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64" w:type="dxa"/>
            <w:vAlign w:val="top"/>
          </w:tcPr>
          <w:p w14:paraId="258F7FA1">
            <w:pPr>
              <w:spacing w:before="186" w:line="181" w:lineRule="auto"/>
              <w:ind w:left="281"/>
              <w:rPr>
                <w:rFonts w:ascii="宋体" w:hAnsi="宋体" w:eastAsia="宋体" w:cs="宋体"/>
                <w:sz w:val="21"/>
                <w:szCs w:val="21"/>
              </w:rPr>
            </w:pPr>
            <w:r>
              <w:rPr>
                <w:rFonts w:ascii="宋体" w:hAnsi="宋体" w:eastAsia="宋体" w:cs="宋体"/>
                <w:sz w:val="21"/>
                <w:szCs w:val="21"/>
              </w:rPr>
              <w:t>9</w:t>
            </w:r>
          </w:p>
        </w:tc>
        <w:tc>
          <w:tcPr>
            <w:tcW w:w="6169" w:type="dxa"/>
            <w:vAlign w:val="top"/>
          </w:tcPr>
          <w:p w14:paraId="00B96172">
            <w:pPr>
              <w:spacing w:before="237" w:line="174" w:lineRule="exact"/>
              <w:ind w:left="123"/>
              <w:rPr>
                <w:rFonts w:ascii="宋体" w:hAnsi="宋体" w:eastAsia="宋体" w:cs="宋体"/>
                <w:sz w:val="24"/>
                <w:szCs w:val="24"/>
              </w:rPr>
            </w:pPr>
            <w:r>
              <w:rPr>
                <w:rFonts w:ascii="宋体" w:hAnsi="宋体" w:eastAsia="宋体" w:cs="宋体"/>
                <w:spacing w:val="-7"/>
                <w:position w:val="-3"/>
                <w:sz w:val="24"/>
                <w:szCs w:val="24"/>
              </w:rPr>
              <w:t>……</w:t>
            </w:r>
          </w:p>
        </w:tc>
        <w:tc>
          <w:tcPr>
            <w:tcW w:w="2822" w:type="dxa"/>
            <w:gridSpan w:val="2"/>
            <w:vAlign w:val="top"/>
          </w:tcPr>
          <w:p w14:paraId="7AB2A415">
            <w:pPr>
              <w:rPr>
                <w:rFonts w:ascii="Arial"/>
                <w:sz w:val="21"/>
              </w:rPr>
            </w:pPr>
          </w:p>
        </w:tc>
      </w:tr>
      <w:tr w14:paraId="155BE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64" w:type="dxa"/>
            <w:vAlign w:val="top"/>
          </w:tcPr>
          <w:p w14:paraId="1EA7EC1A">
            <w:pPr>
              <w:rPr>
                <w:rFonts w:ascii="Arial"/>
                <w:sz w:val="21"/>
              </w:rPr>
            </w:pPr>
          </w:p>
        </w:tc>
        <w:tc>
          <w:tcPr>
            <w:tcW w:w="6169" w:type="dxa"/>
            <w:vAlign w:val="top"/>
          </w:tcPr>
          <w:p w14:paraId="5A5C670F">
            <w:pPr>
              <w:rPr>
                <w:rFonts w:ascii="Arial"/>
                <w:sz w:val="21"/>
              </w:rPr>
            </w:pPr>
          </w:p>
        </w:tc>
        <w:tc>
          <w:tcPr>
            <w:tcW w:w="2822" w:type="dxa"/>
            <w:gridSpan w:val="2"/>
            <w:vAlign w:val="top"/>
          </w:tcPr>
          <w:p w14:paraId="5568DF9A">
            <w:pPr>
              <w:rPr>
                <w:rFonts w:ascii="Arial"/>
                <w:sz w:val="21"/>
              </w:rPr>
            </w:pPr>
          </w:p>
        </w:tc>
      </w:tr>
      <w:tr w14:paraId="712DC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64" w:type="dxa"/>
            <w:vAlign w:val="top"/>
          </w:tcPr>
          <w:p w14:paraId="23442C85">
            <w:pPr>
              <w:rPr>
                <w:rFonts w:ascii="Arial"/>
                <w:sz w:val="21"/>
              </w:rPr>
            </w:pPr>
          </w:p>
        </w:tc>
        <w:tc>
          <w:tcPr>
            <w:tcW w:w="6169" w:type="dxa"/>
            <w:vAlign w:val="top"/>
          </w:tcPr>
          <w:p w14:paraId="244F8573">
            <w:pPr>
              <w:rPr>
                <w:rFonts w:ascii="Arial"/>
                <w:sz w:val="21"/>
              </w:rPr>
            </w:pPr>
          </w:p>
        </w:tc>
        <w:tc>
          <w:tcPr>
            <w:tcW w:w="2822" w:type="dxa"/>
            <w:gridSpan w:val="2"/>
            <w:vAlign w:val="top"/>
          </w:tcPr>
          <w:p w14:paraId="44EFBF63">
            <w:pPr>
              <w:rPr>
                <w:rFonts w:ascii="Arial"/>
                <w:sz w:val="21"/>
              </w:rPr>
            </w:pPr>
          </w:p>
        </w:tc>
      </w:tr>
    </w:tbl>
    <w:p w14:paraId="7001A10D">
      <w:pPr>
        <w:pStyle w:val="2"/>
        <w:spacing w:line="282" w:lineRule="auto"/>
      </w:pPr>
    </w:p>
    <w:p w14:paraId="365A0950">
      <w:pPr>
        <w:pStyle w:val="2"/>
        <w:spacing w:line="282" w:lineRule="auto"/>
      </w:pPr>
    </w:p>
    <w:p w14:paraId="275F0111">
      <w:pPr>
        <w:pStyle w:val="2"/>
        <w:spacing w:line="282" w:lineRule="auto"/>
      </w:pPr>
    </w:p>
    <w:p w14:paraId="02B50D07">
      <w:pPr>
        <w:pStyle w:val="2"/>
        <w:spacing w:line="282" w:lineRule="auto"/>
      </w:pPr>
    </w:p>
    <w:p w14:paraId="1A66A737">
      <w:pPr>
        <w:pStyle w:val="2"/>
        <w:spacing w:line="283" w:lineRule="auto"/>
      </w:pPr>
    </w:p>
    <w:p w14:paraId="5DBCB24A">
      <w:pPr>
        <w:spacing w:before="61" w:line="209" w:lineRule="auto"/>
        <w:ind w:left="138"/>
        <w:rPr>
          <w:rFonts w:ascii="宋体" w:hAnsi="宋体" w:eastAsia="宋体" w:cs="宋体"/>
          <w:sz w:val="19"/>
          <w:szCs w:val="19"/>
        </w:rPr>
      </w:pPr>
      <w:r>
        <w:pict>
          <v:shape id="_x0000_s1075" o:spid="_x0000_s1075" style="position:absolute;left:0pt;margin-left:1.45pt;margin-top:11.8pt;height:0.75pt;width:494pt;z-index:251742208;mso-width-relative:page;mso-height-relative:page;" filled="f" stroked="t" coordsize="9880,15" path="m0,7l9880,7e">
            <v:fill on="f" focussize="0,0"/>
            <v:stroke weight="0.71pt" color="#000000" miterlimit="10" joinstyle="miter"/>
            <v:imagedata o:title=""/>
            <o:lock v:ext="edit"/>
          </v:shape>
        </w:pict>
      </w:r>
      <w:r>
        <w:rPr>
          <w:rFonts w:ascii="仿宋" w:hAnsi="仿宋" w:eastAsia="仿宋" w:cs="仿宋"/>
          <w:i/>
          <w:iCs/>
          <w:spacing w:val="-2"/>
          <w:sz w:val="19"/>
          <w:szCs w:val="19"/>
        </w:rPr>
        <w:t>电话:0999-8330667</w:t>
      </w:r>
      <w:r>
        <w:rPr>
          <w:rFonts w:ascii="仿宋" w:hAnsi="仿宋" w:eastAsia="仿宋" w:cs="仿宋"/>
          <w:spacing w:val="-2"/>
          <w:sz w:val="19"/>
          <w:szCs w:val="19"/>
        </w:rPr>
        <w:t xml:space="preserve">                    </w:t>
      </w:r>
      <w:r>
        <w:rPr>
          <w:rFonts w:ascii="仿宋" w:hAnsi="仿宋" w:eastAsia="仿宋" w:cs="仿宋"/>
          <w:spacing w:val="-3"/>
          <w:sz w:val="19"/>
          <w:szCs w:val="19"/>
        </w:rPr>
        <w:t xml:space="preserve">              </w:t>
      </w:r>
      <w:r>
        <w:rPr>
          <w:rFonts w:ascii="Times New Roman" w:hAnsi="Times New Roman" w:eastAsia="Times New Roman" w:cs="Times New Roman"/>
          <w:spacing w:val="-3"/>
          <w:position w:val="1"/>
          <w:sz w:val="18"/>
          <w:szCs w:val="18"/>
        </w:rPr>
        <w:t xml:space="preserve">99                                </w:t>
      </w:r>
      <w:r>
        <w:rPr>
          <w:rFonts w:ascii="宋体" w:hAnsi="宋体" w:eastAsia="宋体" w:cs="宋体"/>
          <w:b/>
          <w:bCs/>
          <w:i/>
          <w:iCs/>
          <w:spacing w:val="-3"/>
          <w:sz w:val="19"/>
          <w:szCs w:val="19"/>
        </w:rPr>
        <w:t>伊犁州公共资源交易中心</w:t>
      </w:r>
    </w:p>
    <w:p w14:paraId="152B86A7">
      <w:pPr>
        <w:spacing w:line="209" w:lineRule="auto"/>
        <w:rPr>
          <w:rFonts w:ascii="宋体" w:hAnsi="宋体" w:eastAsia="宋体" w:cs="宋体"/>
          <w:sz w:val="19"/>
          <w:szCs w:val="19"/>
        </w:rPr>
        <w:sectPr>
          <w:pgSz w:w="11905" w:h="16839"/>
          <w:pgMar w:top="1136" w:right="830" w:bottom="400" w:left="1136" w:header="854" w:footer="0" w:gutter="0"/>
          <w:cols w:space="720" w:num="1"/>
        </w:sectPr>
      </w:pPr>
    </w:p>
    <w:p w14:paraId="475EE543">
      <w:pPr>
        <w:spacing w:before="211" w:line="184" w:lineRule="auto"/>
        <w:ind w:left="2731"/>
        <w:rPr>
          <w:rFonts w:ascii="微软雅黑" w:hAnsi="微软雅黑" w:eastAsia="微软雅黑" w:cs="微软雅黑"/>
          <w:sz w:val="32"/>
          <w:szCs w:val="32"/>
        </w:rPr>
      </w:pPr>
      <w:bookmarkStart w:id="57" w:name="bookmark27"/>
      <w:bookmarkEnd w:id="57"/>
      <w:r>
        <w:rPr>
          <w:rFonts w:ascii="微软雅黑" w:hAnsi="微软雅黑" w:eastAsia="微软雅黑" w:cs="微软雅黑"/>
          <w:b/>
          <w:bCs/>
          <w:spacing w:val="-4"/>
          <w:sz w:val="32"/>
          <w:szCs w:val="32"/>
        </w:rPr>
        <w:t>（四）符合性审查响应对照表</w:t>
      </w:r>
    </w:p>
    <w:p w14:paraId="0C151EC0">
      <w:pPr>
        <w:spacing w:line="70" w:lineRule="exact"/>
      </w:pPr>
    </w:p>
    <w:tbl>
      <w:tblPr>
        <w:tblStyle w:val="5"/>
        <w:tblW w:w="9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5441"/>
        <w:gridCol w:w="1678"/>
        <w:gridCol w:w="1311"/>
      </w:tblGrid>
      <w:tr w14:paraId="67770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trPr>
        <w:tc>
          <w:tcPr>
            <w:tcW w:w="650" w:type="dxa"/>
            <w:vAlign w:val="top"/>
          </w:tcPr>
          <w:p w14:paraId="4BA19F8B">
            <w:pPr>
              <w:spacing w:line="253" w:lineRule="auto"/>
              <w:rPr>
                <w:rFonts w:ascii="Arial"/>
                <w:sz w:val="21"/>
              </w:rPr>
            </w:pPr>
          </w:p>
          <w:p w14:paraId="002F2615">
            <w:pPr>
              <w:spacing w:line="253" w:lineRule="auto"/>
              <w:rPr>
                <w:rFonts w:ascii="Arial"/>
                <w:sz w:val="21"/>
              </w:rPr>
            </w:pPr>
          </w:p>
          <w:p w14:paraId="2CBBF596">
            <w:pPr>
              <w:spacing w:before="68" w:line="221" w:lineRule="auto"/>
              <w:ind w:left="114"/>
              <w:rPr>
                <w:rFonts w:ascii="宋体" w:hAnsi="宋体" w:eastAsia="宋体" w:cs="宋体"/>
                <w:sz w:val="21"/>
                <w:szCs w:val="21"/>
              </w:rPr>
            </w:pPr>
            <w:r>
              <w:rPr>
                <w:rFonts w:ascii="宋体" w:hAnsi="宋体" w:eastAsia="宋体" w:cs="宋体"/>
                <w:b/>
                <w:bCs/>
                <w:spacing w:val="-6"/>
                <w:sz w:val="21"/>
                <w:szCs w:val="21"/>
              </w:rPr>
              <w:t>序号</w:t>
            </w:r>
          </w:p>
        </w:tc>
        <w:tc>
          <w:tcPr>
            <w:tcW w:w="5441" w:type="dxa"/>
            <w:vAlign w:val="top"/>
          </w:tcPr>
          <w:p w14:paraId="44FDC0F3">
            <w:pPr>
              <w:spacing w:line="252" w:lineRule="auto"/>
              <w:rPr>
                <w:rFonts w:ascii="Arial"/>
                <w:sz w:val="21"/>
              </w:rPr>
            </w:pPr>
          </w:p>
          <w:p w14:paraId="3138338D">
            <w:pPr>
              <w:spacing w:line="253" w:lineRule="auto"/>
              <w:rPr>
                <w:rFonts w:ascii="Arial"/>
                <w:sz w:val="21"/>
              </w:rPr>
            </w:pPr>
          </w:p>
          <w:p w14:paraId="2B8CD3DD">
            <w:pPr>
              <w:spacing w:before="68" w:line="220" w:lineRule="auto"/>
              <w:ind w:left="1775"/>
              <w:rPr>
                <w:rFonts w:ascii="宋体" w:hAnsi="宋体" w:eastAsia="宋体" w:cs="宋体"/>
                <w:sz w:val="21"/>
                <w:szCs w:val="21"/>
              </w:rPr>
            </w:pPr>
            <w:r>
              <w:rPr>
                <w:rFonts w:ascii="宋体" w:hAnsi="宋体" w:eastAsia="宋体" w:cs="宋体"/>
                <w:b/>
                <w:bCs/>
                <w:spacing w:val="-3"/>
                <w:sz w:val="21"/>
                <w:szCs w:val="21"/>
              </w:rPr>
              <w:t>符合性审查响应内容</w:t>
            </w:r>
          </w:p>
        </w:tc>
        <w:tc>
          <w:tcPr>
            <w:tcW w:w="1678" w:type="dxa"/>
            <w:vAlign w:val="top"/>
          </w:tcPr>
          <w:p w14:paraId="26053B2B">
            <w:pPr>
              <w:spacing w:line="370" w:lineRule="auto"/>
              <w:rPr>
                <w:rFonts w:ascii="Arial"/>
                <w:sz w:val="21"/>
              </w:rPr>
            </w:pPr>
          </w:p>
          <w:p w14:paraId="667BF6EE">
            <w:pPr>
              <w:spacing w:before="68" w:line="230" w:lineRule="auto"/>
              <w:ind w:left="218" w:right="213" w:firstLine="208"/>
              <w:rPr>
                <w:rFonts w:ascii="宋体" w:hAnsi="宋体" w:eastAsia="宋体" w:cs="宋体"/>
                <w:sz w:val="21"/>
                <w:szCs w:val="21"/>
              </w:rPr>
            </w:pPr>
            <w:r>
              <w:rPr>
                <w:rFonts w:ascii="宋体" w:hAnsi="宋体" w:eastAsia="宋体" w:cs="宋体"/>
                <w:b/>
                <w:bCs/>
                <w:spacing w:val="-5"/>
                <w:sz w:val="21"/>
                <w:szCs w:val="21"/>
              </w:rPr>
              <w:t>是否响应</w:t>
            </w:r>
            <w:r>
              <w:rPr>
                <w:rFonts w:ascii="宋体" w:hAnsi="宋体" w:eastAsia="宋体" w:cs="宋体"/>
                <w:sz w:val="21"/>
                <w:szCs w:val="21"/>
              </w:rPr>
              <w:t xml:space="preserve">   </w:t>
            </w:r>
            <w:r>
              <w:rPr>
                <w:rFonts w:ascii="宋体" w:hAnsi="宋体" w:eastAsia="宋体" w:cs="宋体"/>
                <w:b/>
                <w:bCs/>
                <w:spacing w:val="-7"/>
                <w:sz w:val="21"/>
                <w:szCs w:val="21"/>
              </w:rPr>
              <w:t>（填是或否）</w:t>
            </w:r>
          </w:p>
        </w:tc>
        <w:tc>
          <w:tcPr>
            <w:tcW w:w="1311" w:type="dxa"/>
            <w:vAlign w:val="top"/>
          </w:tcPr>
          <w:p w14:paraId="19F722DE">
            <w:pPr>
              <w:spacing w:before="34" w:line="232" w:lineRule="auto"/>
              <w:ind w:left="113" w:right="102"/>
              <w:jc w:val="both"/>
              <w:rPr>
                <w:rFonts w:ascii="宋体" w:hAnsi="宋体" w:eastAsia="宋体" w:cs="宋体"/>
                <w:sz w:val="21"/>
                <w:szCs w:val="21"/>
              </w:rPr>
            </w:pPr>
            <w:r>
              <w:rPr>
                <w:rFonts w:ascii="宋体" w:hAnsi="宋体" w:eastAsia="宋体" w:cs="宋体"/>
                <w:b/>
                <w:bCs/>
                <w:spacing w:val="4"/>
                <w:sz w:val="21"/>
                <w:szCs w:val="21"/>
              </w:rPr>
              <w:t>在投标文件</w:t>
            </w:r>
            <w:r>
              <w:rPr>
                <w:rFonts w:ascii="宋体" w:hAnsi="宋体" w:eastAsia="宋体" w:cs="宋体"/>
                <w:spacing w:val="1"/>
                <w:sz w:val="21"/>
                <w:szCs w:val="21"/>
              </w:rPr>
              <w:t xml:space="preserve"> </w:t>
            </w:r>
            <w:r>
              <w:rPr>
                <w:rFonts w:ascii="宋体" w:hAnsi="宋体" w:eastAsia="宋体" w:cs="宋体"/>
                <w:b/>
                <w:bCs/>
                <w:spacing w:val="4"/>
                <w:sz w:val="21"/>
                <w:szCs w:val="21"/>
              </w:rPr>
              <w:t>中的页码位</w:t>
            </w:r>
            <w:r>
              <w:rPr>
                <w:rFonts w:ascii="宋体" w:hAnsi="宋体" w:eastAsia="宋体" w:cs="宋体"/>
                <w:spacing w:val="2"/>
                <w:sz w:val="21"/>
                <w:szCs w:val="21"/>
              </w:rPr>
              <w:t xml:space="preserve"> </w:t>
            </w:r>
            <w:r>
              <w:rPr>
                <w:rFonts w:ascii="宋体" w:hAnsi="宋体" w:eastAsia="宋体" w:cs="宋体"/>
                <w:b/>
                <w:bCs/>
                <w:spacing w:val="4"/>
                <w:sz w:val="21"/>
                <w:szCs w:val="21"/>
              </w:rPr>
              <w:t>置（注明在</w:t>
            </w:r>
            <w:r>
              <w:rPr>
                <w:rFonts w:ascii="宋体" w:hAnsi="宋体" w:eastAsia="宋体" w:cs="宋体"/>
                <w:spacing w:val="2"/>
                <w:sz w:val="21"/>
                <w:szCs w:val="21"/>
              </w:rPr>
              <w:t xml:space="preserve"> </w:t>
            </w:r>
            <w:r>
              <w:rPr>
                <w:rFonts w:ascii="宋体" w:hAnsi="宋体" w:eastAsia="宋体" w:cs="宋体"/>
                <w:b/>
                <w:bCs/>
                <w:spacing w:val="3"/>
                <w:sz w:val="21"/>
                <w:szCs w:val="21"/>
              </w:rPr>
              <w:t>**节点下第</w:t>
            </w:r>
            <w:r>
              <w:rPr>
                <w:rFonts w:ascii="宋体" w:hAnsi="宋体" w:eastAsia="宋体" w:cs="宋体"/>
                <w:spacing w:val="2"/>
                <w:sz w:val="21"/>
                <w:szCs w:val="21"/>
              </w:rPr>
              <w:t xml:space="preserve"> </w:t>
            </w:r>
            <w:r>
              <w:rPr>
                <w:rFonts w:ascii="宋体" w:hAnsi="宋体" w:eastAsia="宋体" w:cs="宋体"/>
                <w:b/>
                <w:bCs/>
                <w:spacing w:val="-4"/>
                <w:sz w:val="21"/>
                <w:szCs w:val="21"/>
              </w:rPr>
              <w:t>**页）</w:t>
            </w:r>
          </w:p>
        </w:tc>
      </w:tr>
      <w:tr w14:paraId="1E728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650" w:type="dxa"/>
            <w:vAlign w:val="top"/>
          </w:tcPr>
          <w:p w14:paraId="7399F0E2">
            <w:pPr>
              <w:spacing w:line="248" w:lineRule="auto"/>
              <w:rPr>
                <w:rFonts w:ascii="Arial"/>
                <w:sz w:val="21"/>
              </w:rPr>
            </w:pPr>
          </w:p>
          <w:p w14:paraId="5E4AD49C">
            <w:pPr>
              <w:spacing w:before="69" w:line="182" w:lineRule="auto"/>
              <w:ind w:left="289"/>
              <w:rPr>
                <w:rFonts w:ascii="宋体" w:hAnsi="宋体" w:eastAsia="宋体" w:cs="宋体"/>
                <w:sz w:val="21"/>
                <w:szCs w:val="21"/>
              </w:rPr>
            </w:pPr>
            <w:r>
              <w:rPr>
                <w:rFonts w:ascii="宋体" w:hAnsi="宋体" w:eastAsia="宋体" w:cs="宋体"/>
                <w:sz w:val="21"/>
                <w:szCs w:val="21"/>
              </w:rPr>
              <w:t>1</w:t>
            </w:r>
          </w:p>
        </w:tc>
        <w:tc>
          <w:tcPr>
            <w:tcW w:w="5441" w:type="dxa"/>
            <w:vAlign w:val="top"/>
          </w:tcPr>
          <w:p w14:paraId="73E1E188">
            <w:pPr>
              <w:spacing w:before="284" w:line="218" w:lineRule="auto"/>
              <w:ind w:left="105"/>
              <w:rPr>
                <w:rFonts w:ascii="宋体" w:hAnsi="宋体" w:eastAsia="宋体" w:cs="宋体"/>
                <w:sz w:val="21"/>
                <w:szCs w:val="21"/>
              </w:rPr>
            </w:pPr>
            <w:r>
              <w:rPr>
                <w:rFonts w:ascii="宋体" w:hAnsi="宋体" w:eastAsia="宋体" w:cs="宋体"/>
                <w:spacing w:val="-1"/>
                <w:sz w:val="21"/>
                <w:szCs w:val="21"/>
              </w:rPr>
              <w:t>报价未超预算</w:t>
            </w:r>
          </w:p>
        </w:tc>
        <w:tc>
          <w:tcPr>
            <w:tcW w:w="1678" w:type="dxa"/>
            <w:vAlign w:val="top"/>
          </w:tcPr>
          <w:p w14:paraId="0FB344BF">
            <w:pPr>
              <w:rPr>
                <w:rFonts w:ascii="Arial"/>
                <w:sz w:val="21"/>
              </w:rPr>
            </w:pPr>
          </w:p>
        </w:tc>
        <w:tc>
          <w:tcPr>
            <w:tcW w:w="1311" w:type="dxa"/>
            <w:vAlign w:val="top"/>
          </w:tcPr>
          <w:p w14:paraId="1DFC2690">
            <w:pPr>
              <w:rPr>
                <w:rFonts w:ascii="Arial"/>
                <w:sz w:val="21"/>
              </w:rPr>
            </w:pPr>
          </w:p>
        </w:tc>
      </w:tr>
      <w:tr w14:paraId="438E1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650" w:type="dxa"/>
            <w:vAlign w:val="top"/>
          </w:tcPr>
          <w:p w14:paraId="4894E045">
            <w:pPr>
              <w:spacing w:line="252" w:lineRule="auto"/>
              <w:rPr>
                <w:rFonts w:ascii="Arial"/>
                <w:sz w:val="21"/>
              </w:rPr>
            </w:pPr>
          </w:p>
          <w:p w14:paraId="1A717381">
            <w:pPr>
              <w:spacing w:before="68" w:line="181" w:lineRule="auto"/>
              <w:ind w:left="276"/>
              <w:rPr>
                <w:rFonts w:ascii="宋体" w:hAnsi="宋体" w:eastAsia="宋体" w:cs="宋体"/>
                <w:sz w:val="21"/>
                <w:szCs w:val="21"/>
              </w:rPr>
            </w:pPr>
            <w:r>
              <w:rPr>
                <w:rFonts w:ascii="宋体" w:hAnsi="宋体" w:eastAsia="宋体" w:cs="宋体"/>
                <w:sz w:val="21"/>
                <w:szCs w:val="21"/>
              </w:rPr>
              <w:t>2</w:t>
            </w:r>
          </w:p>
        </w:tc>
        <w:tc>
          <w:tcPr>
            <w:tcW w:w="5441" w:type="dxa"/>
            <w:vAlign w:val="top"/>
          </w:tcPr>
          <w:p w14:paraId="2E59605D">
            <w:pPr>
              <w:spacing w:before="286" w:line="219" w:lineRule="auto"/>
              <w:ind w:left="108"/>
              <w:rPr>
                <w:rFonts w:ascii="宋体" w:hAnsi="宋体" w:eastAsia="宋体" w:cs="宋体"/>
                <w:sz w:val="21"/>
                <w:szCs w:val="21"/>
              </w:rPr>
            </w:pPr>
            <w:r>
              <w:rPr>
                <w:rFonts w:ascii="宋体" w:hAnsi="宋体" w:eastAsia="宋体" w:cs="宋体"/>
                <w:spacing w:val="-1"/>
                <w:sz w:val="21"/>
                <w:szCs w:val="21"/>
              </w:rPr>
              <w:t>按照招标文件规定要求签署、盖章</w:t>
            </w:r>
          </w:p>
        </w:tc>
        <w:tc>
          <w:tcPr>
            <w:tcW w:w="1678" w:type="dxa"/>
            <w:vAlign w:val="top"/>
          </w:tcPr>
          <w:p w14:paraId="7274074B">
            <w:pPr>
              <w:rPr>
                <w:rFonts w:ascii="Arial"/>
                <w:sz w:val="21"/>
              </w:rPr>
            </w:pPr>
          </w:p>
        </w:tc>
        <w:tc>
          <w:tcPr>
            <w:tcW w:w="1311" w:type="dxa"/>
            <w:vAlign w:val="top"/>
          </w:tcPr>
          <w:p w14:paraId="04BC7F5E">
            <w:pPr>
              <w:rPr>
                <w:rFonts w:ascii="Arial"/>
                <w:sz w:val="21"/>
              </w:rPr>
            </w:pPr>
          </w:p>
        </w:tc>
      </w:tr>
      <w:tr w14:paraId="5455B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50" w:type="dxa"/>
            <w:vAlign w:val="top"/>
          </w:tcPr>
          <w:p w14:paraId="52430D57">
            <w:pPr>
              <w:spacing w:line="254" w:lineRule="auto"/>
              <w:rPr>
                <w:rFonts w:ascii="Arial"/>
                <w:sz w:val="21"/>
              </w:rPr>
            </w:pPr>
          </w:p>
          <w:p w14:paraId="4EEAA1DD">
            <w:pPr>
              <w:spacing w:before="68" w:line="181" w:lineRule="auto"/>
              <w:ind w:left="277"/>
              <w:rPr>
                <w:rFonts w:ascii="宋体" w:hAnsi="宋体" w:eastAsia="宋体" w:cs="宋体"/>
                <w:sz w:val="21"/>
                <w:szCs w:val="21"/>
              </w:rPr>
            </w:pPr>
            <w:r>
              <w:rPr>
                <w:rFonts w:ascii="宋体" w:hAnsi="宋体" w:eastAsia="宋体" w:cs="宋体"/>
                <w:sz w:val="21"/>
                <w:szCs w:val="21"/>
              </w:rPr>
              <w:t>3</w:t>
            </w:r>
          </w:p>
        </w:tc>
        <w:tc>
          <w:tcPr>
            <w:tcW w:w="5441" w:type="dxa"/>
            <w:vAlign w:val="top"/>
          </w:tcPr>
          <w:p w14:paraId="2D814047">
            <w:pPr>
              <w:spacing w:before="152" w:line="218" w:lineRule="auto"/>
              <w:ind w:left="107"/>
              <w:rPr>
                <w:rFonts w:ascii="宋体" w:hAnsi="宋体" w:eastAsia="宋体" w:cs="宋体"/>
                <w:sz w:val="21"/>
                <w:szCs w:val="21"/>
              </w:rPr>
            </w:pPr>
            <w:r>
              <w:rPr>
                <w:rFonts w:ascii="宋体" w:hAnsi="宋体" w:eastAsia="宋体" w:cs="宋体"/>
                <w:spacing w:val="-1"/>
                <w:sz w:val="21"/>
                <w:szCs w:val="21"/>
              </w:rPr>
              <w:t>供应商在报价时未采用选择性报价</w:t>
            </w:r>
          </w:p>
        </w:tc>
        <w:tc>
          <w:tcPr>
            <w:tcW w:w="1678" w:type="dxa"/>
            <w:vAlign w:val="top"/>
          </w:tcPr>
          <w:p w14:paraId="2CB4F706">
            <w:pPr>
              <w:rPr>
                <w:rFonts w:ascii="Arial"/>
                <w:sz w:val="21"/>
              </w:rPr>
            </w:pPr>
          </w:p>
        </w:tc>
        <w:tc>
          <w:tcPr>
            <w:tcW w:w="1311" w:type="dxa"/>
            <w:vAlign w:val="top"/>
          </w:tcPr>
          <w:p w14:paraId="6DCF72D1">
            <w:pPr>
              <w:rPr>
                <w:rFonts w:ascii="Arial"/>
                <w:sz w:val="21"/>
              </w:rPr>
            </w:pPr>
          </w:p>
        </w:tc>
      </w:tr>
      <w:tr w14:paraId="43DC1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50" w:type="dxa"/>
            <w:vAlign w:val="top"/>
          </w:tcPr>
          <w:p w14:paraId="1EAEE369">
            <w:pPr>
              <w:spacing w:line="255" w:lineRule="auto"/>
              <w:rPr>
                <w:rFonts w:ascii="Arial"/>
                <w:sz w:val="21"/>
              </w:rPr>
            </w:pPr>
          </w:p>
          <w:p w14:paraId="64750F9E">
            <w:pPr>
              <w:spacing w:before="68" w:line="181" w:lineRule="auto"/>
              <w:ind w:left="272"/>
              <w:rPr>
                <w:rFonts w:ascii="宋体" w:hAnsi="宋体" w:eastAsia="宋体" w:cs="宋体"/>
                <w:sz w:val="21"/>
                <w:szCs w:val="21"/>
              </w:rPr>
            </w:pPr>
            <w:r>
              <w:rPr>
                <w:rFonts w:ascii="宋体" w:hAnsi="宋体" w:eastAsia="宋体" w:cs="宋体"/>
                <w:sz w:val="21"/>
                <w:szCs w:val="21"/>
              </w:rPr>
              <w:t>4</w:t>
            </w:r>
          </w:p>
        </w:tc>
        <w:tc>
          <w:tcPr>
            <w:tcW w:w="5441" w:type="dxa"/>
            <w:vAlign w:val="top"/>
          </w:tcPr>
          <w:p w14:paraId="0567EA18">
            <w:pPr>
              <w:spacing w:before="288" w:line="220" w:lineRule="auto"/>
              <w:ind w:left="108"/>
              <w:rPr>
                <w:rFonts w:ascii="宋体" w:hAnsi="宋体" w:eastAsia="宋体" w:cs="宋体"/>
                <w:sz w:val="21"/>
                <w:szCs w:val="21"/>
              </w:rPr>
            </w:pPr>
            <w:r>
              <w:rPr>
                <w:rFonts w:ascii="宋体" w:hAnsi="宋体" w:eastAsia="宋体" w:cs="宋体"/>
                <w:spacing w:val="-1"/>
                <w:sz w:val="21"/>
                <w:szCs w:val="21"/>
              </w:rPr>
              <w:t>符合招标文件中规定的完成期限</w:t>
            </w:r>
          </w:p>
        </w:tc>
        <w:tc>
          <w:tcPr>
            <w:tcW w:w="1678" w:type="dxa"/>
            <w:vAlign w:val="top"/>
          </w:tcPr>
          <w:p w14:paraId="4D2B1F96">
            <w:pPr>
              <w:rPr>
                <w:rFonts w:ascii="Arial"/>
                <w:sz w:val="21"/>
              </w:rPr>
            </w:pPr>
          </w:p>
        </w:tc>
        <w:tc>
          <w:tcPr>
            <w:tcW w:w="1311" w:type="dxa"/>
            <w:vAlign w:val="top"/>
          </w:tcPr>
          <w:p w14:paraId="4C1F2554">
            <w:pPr>
              <w:rPr>
                <w:rFonts w:ascii="Arial"/>
                <w:sz w:val="21"/>
              </w:rPr>
            </w:pPr>
          </w:p>
        </w:tc>
      </w:tr>
      <w:tr w14:paraId="159A3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650" w:type="dxa"/>
            <w:vAlign w:val="top"/>
          </w:tcPr>
          <w:p w14:paraId="6DFDCD3A">
            <w:pPr>
              <w:spacing w:line="257" w:lineRule="auto"/>
              <w:rPr>
                <w:rFonts w:ascii="Arial"/>
                <w:sz w:val="21"/>
              </w:rPr>
            </w:pPr>
          </w:p>
          <w:p w14:paraId="24034ADF">
            <w:pPr>
              <w:spacing w:before="68" w:line="180" w:lineRule="auto"/>
              <w:ind w:left="277"/>
              <w:rPr>
                <w:rFonts w:ascii="宋体" w:hAnsi="宋体" w:eastAsia="宋体" w:cs="宋体"/>
                <w:sz w:val="21"/>
                <w:szCs w:val="21"/>
              </w:rPr>
            </w:pPr>
            <w:r>
              <w:rPr>
                <w:rFonts w:ascii="宋体" w:hAnsi="宋体" w:eastAsia="宋体" w:cs="宋体"/>
                <w:sz w:val="21"/>
                <w:szCs w:val="21"/>
              </w:rPr>
              <w:t>5</w:t>
            </w:r>
          </w:p>
        </w:tc>
        <w:tc>
          <w:tcPr>
            <w:tcW w:w="5441" w:type="dxa"/>
            <w:vAlign w:val="top"/>
          </w:tcPr>
          <w:p w14:paraId="339A7298">
            <w:pPr>
              <w:spacing w:before="290" w:line="219" w:lineRule="auto"/>
              <w:ind w:left="110"/>
              <w:rPr>
                <w:rFonts w:ascii="宋体" w:hAnsi="宋体" w:eastAsia="宋体" w:cs="宋体"/>
                <w:sz w:val="21"/>
                <w:szCs w:val="21"/>
              </w:rPr>
            </w:pPr>
            <w:r>
              <w:rPr>
                <w:rFonts w:ascii="宋体" w:hAnsi="宋体" w:eastAsia="宋体" w:cs="宋体"/>
                <w:spacing w:val="-1"/>
                <w:sz w:val="21"/>
                <w:szCs w:val="21"/>
              </w:rPr>
              <w:t>未含有采购人不能接受的附加条件的</w:t>
            </w:r>
          </w:p>
        </w:tc>
        <w:tc>
          <w:tcPr>
            <w:tcW w:w="1678" w:type="dxa"/>
            <w:vAlign w:val="top"/>
          </w:tcPr>
          <w:p w14:paraId="107425CD">
            <w:pPr>
              <w:rPr>
                <w:rFonts w:ascii="Arial"/>
                <w:sz w:val="21"/>
              </w:rPr>
            </w:pPr>
          </w:p>
        </w:tc>
        <w:tc>
          <w:tcPr>
            <w:tcW w:w="1311" w:type="dxa"/>
            <w:vAlign w:val="top"/>
          </w:tcPr>
          <w:p w14:paraId="3EFBF973">
            <w:pPr>
              <w:rPr>
                <w:rFonts w:ascii="Arial"/>
                <w:sz w:val="21"/>
              </w:rPr>
            </w:pPr>
          </w:p>
        </w:tc>
      </w:tr>
    </w:tbl>
    <w:p w14:paraId="0DD8340D">
      <w:pPr>
        <w:pStyle w:val="2"/>
        <w:spacing w:line="368" w:lineRule="auto"/>
      </w:pPr>
    </w:p>
    <w:p w14:paraId="50E14314">
      <w:pPr>
        <w:spacing w:before="137" w:line="184" w:lineRule="auto"/>
        <w:ind w:left="3691"/>
        <w:rPr>
          <w:rFonts w:ascii="微软雅黑" w:hAnsi="微软雅黑" w:eastAsia="微软雅黑" w:cs="微软雅黑"/>
          <w:sz w:val="32"/>
          <w:szCs w:val="32"/>
        </w:rPr>
      </w:pPr>
      <w:bookmarkStart w:id="58" w:name="bookmark29"/>
      <w:bookmarkEnd w:id="58"/>
      <w:r>
        <w:rPr>
          <w:rFonts w:ascii="微软雅黑" w:hAnsi="微软雅黑" w:eastAsia="微软雅黑" w:cs="微软雅黑"/>
          <w:b/>
          <w:bCs/>
          <w:spacing w:val="-7"/>
          <w:sz w:val="32"/>
          <w:szCs w:val="32"/>
        </w:rPr>
        <w:t>（五）投  标</w:t>
      </w:r>
      <w:r>
        <w:rPr>
          <w:rFonts w:ascii="微软雅黑" w:hAnsi="微软雅黑" w:eastAsia="微软雅黑" w:cs="微软雅黑"/>
          <w:b/>
          <w:bCs/>
          <w:spacing w:val="11"/>
          <w:sz w:val="32"/>
          <w:szCs w:val="32"/>
        </w:rPr>
        <w:t xml:space="preserve">  </w:t>
      </w:r>
      <w:r>
        <w:rPr>
          <w:rFonts w:ascii="微软雅黑" w:hAnsi="微软雅黑" w:eastAsia="微软雅黑" w:cs="微软雅黑"/>
          <w:b/>
          <w:bCs/>
          <w:spacing w:val="-7"/>
          <w:sz w:val="32"/>
          <w:szCs w:val="32"/>
        </w:rPr>
        <w:t>函</w:t>
      </w:r>
    </w:p>
    <w:p w14:paraId="57C84E5C">
      <w:pPr>
        <w:spacing w:before="118" w:line="188" w:lineRule="auto"/>
        <w:ind w:left="131"/>
        <w:rPr>
          <w:rFonts w:ascii="微软雅黑" w:hAnsi="微软雅黑" w:eastAsia="微软雅黑" w:cs="微软雅黑"/>
          <w:sz w:val="24"/>
          <w:szCs w:val="24"/>
        </w:rPr>
      </w:pPr>
      <w:r>
        <w:rPr>
          <w:rFonts w:ascii="微软雅黑" w:hAnsi="微软雅黑" w:eastAsia="微软雅黑" w:cs="微软雅黑"/>
          <w:spacing w:val="-2"/>
          <w:sz w:val="24"/>
          <w:szCs w:val="24"/>
        </w:rPr>
        <w:t>致：伊犁州公共资源交易中心</w:t>
      </w:r>
    </w:p>
    <w:p w14:paraId="547D944E">
      <w:pPr>
        <w:spacing w:before="60" w:line="183" w:lineRule="auto"/>
        <w:jc w:val="right"/>
        <w:rPr>
          <w:rFonts w:ascii="微软雅黑" w:hAnsi="微软雅黑" w:eastAsia="微软雅黑" w:cs="微软雅黑"/>
          <w:sz w:val="24"/>
          <w:szCs w:val="24"/>
        </w:rPr>
      </w:pPr>
      <w:r>
        <w:rPr>
          <w:rFonts w:ascii="微软雅黑" w:hAnsi="微软雅黑" w:eastAsia="微软雅黑" w:cs="微软雅黑"/>
          <w:spacing w:val="-7"/>
          <w:sz w:val="24"/>
          <w:szCs w:val="24"/>
        </w:rPr>
        <w:t>根据贵方的伊犁州</w:t>
      </w:r>
      <w:r>
        <w:rPr>
          <w:rFonts w:ascii="微软雅黑" w:hAnsi="微软雅黑" w:eastAsia="微软雅黑" w:cs="微软雅黑"/>
          <w:spacing w:val="-7"/>
          <w:sz w:val="24"/>
          <w:szCs w:val="24"/>
          <w:u w:val="single" w:color="auto"/>
        </w:rPr>
        <w:t xml:space="preserve">                      </w:t>
      </w:r>
      <w:r>
        <w:rPr>
          <w:rFonts w:ascii="微软雅黑" w:hAnsi="微软雅黑" w:eastAsia="微软雅黑" w:cs="微软雅黑"/>
          <w:spacing w:val="-8"/>
          <w:sz w:val="24"/>
          <w:szCs w:val="24"/>
          <w:u w:val="single" w:color="auto"/>
        </w:rPr>
        <w:t xml:space="preserve">          项目（编号：YLCG-2024GK-019 号）</w:t>
      </w:r>
      <w:r>
        <w:rPr>
          <w:rFonts w:ascii="微软雅黑" w:hAnsi="微软雅黑" w:eastAsia="微软雅黑" w:cs="微软雅黑"/>
          <w:spacing w:val="-8"/>
          <w:sz w:val="24"/>
          <w:szCs w:val="24"/>
        </w:rPr>
        <w:t>采购文件，</w:t>
      </w:r>
    </w:p>
    <w:p w14:paraId="6D99B184">
      <w:pPr>
        <w:spacing w:before="66" w:line="183" w:lineRule="auto"/>
        <w:ind w:left="128"/>
        <w:rPr>
          <w:rFonts w:ascii="微软雅黑" w:hAnsi="微软雅黑" w:eastAsia="微软雅黑" w:cs="微软雅黑"/>
          <w:sz w:val="24"/>
          <w:szCs w:val="24"/>
        </w:rPr>
      </w:pPr>
      <w:r>
        <w:rPr>
          <w:rFonts w:ascii="微软雅黑" w:hAnsi="微软雅黑" w:eastAsia="微软雅黑" w:cs="微软雅黑"/>
          <w:spacing w:val="18"/>
          <w:sz w:val="24"/>
          <w:szCs w:val="24"/>
        </w:rPr>
        <w:t>现正式授权下述签字人</w:t>
      </w:r>
      <w:r>
        <w:rPr>
          <w:rFonts w:ascii="微软雅黑" w:hAnsi="微软雅黑" w:eastAsia="微软雅黑" w:cs="微软雅黑"/>
          <w:spacing w:val="-51"/>
          <w:sz w:val="24"/>
          <w:szCs w:val="24"/>
        </w:rPr>
        <w:t xml:space="preserve"> </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19"/>
          <w:sz w:val="24"/>
          <w:szCs w:val="24"/>
        </w:rPr>
        <w:t xml:space="preserve"> </w:t>
      </w:r>
      <w:r>
        <w:rPr>
          <w:rFonts w:ascii="微软雅黑" w:hAnsi="微软雅黑" w:eastAsia="微软雅黑" w:cs="微软雅黑"/>
          <w:spacing w:val="18"/>
          <w:sz w:val="24"/>
          <w:szCs w:val="24"/>
        </w:rPr>
        <w:t>(姓名)代表我方</w:t>
      </w:r>
      <w:r>
        <w:rPr>
          <w:rFonts w:ascii="微软雅黑" w:hAnsi="微软雅黑" w:eastAsia="微软雅黑" w:cs="微软雅黑"/>
          <w:spacing w:val="-52"/>
          <w:sz w:val="24"/>
          <w:szCs w:val="24"/>
        </w:rPr>
        <w:t xml:space="preserve"> </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18"/>
          <w:sz w:val="24"/>
          <w:szCs w:val="24"/>
        </w:rPr>
        <w:t>（投标人的全</w:t>
      </w:r>
    </w:p>
    <w:p w14:paraId="7F1A2A64">
      <w:pPr>
        <w:spacing w:before="65" w:line="220" w:lineRule="auto"/>
        <w:ind w:left="683" w:right="5037" w:hanging="555"/>
        <w:rPr>
          <w:rFonts w:ascii="微软雅黑" w:hAnsi="微软雅黑" w:eastAsia="微软雅黑" w:cs="微软雅黑"/>
          <w:sz w:val="24"/>
          <w:szCs w:val="24"/>
        </w:rPr>
      </w:pPr>
      <w:r>
        <w:rPr>
          <w:rFonts w:ascii="微软雅黑" w:hAnsi="微软雅黑" w:eastAsia="微软雅黑" w:cs="微软雅黑"/>
          <w:spacing w:val="-3"/>
          <w:sz w:val="24"/>
          <w:szCs w:val="24"/>
        </w:rPr>
        <w:t>称</w:t>
      </w:r>
      <w:r>
        <w:rPr>
          <w:rFonts w:ascii="微软雅黑" w:hAnsi="微软雅黑" w:eastAsia="微软雅黑" w:cs="微软雅黑"/>
          <w:spacing w:val="1"/>
          <w:sz w:val="24"/>
          <w:szCs w:val="24"/>
        </w:rPr>
        <w:t>），</w:t>
      </w:r>
      <w:r>
        <w:rPr>
          <w:rFonts w:ascii="微软雅黑" w:hAnsi="微软雅黑" w:eastAsia="微软雅黑" w:cs="微软雅黑"/>
          <w:spacing w:val="-3"/>
          <w:sz w:val="24"/>
          <w:szCs w:val="24"/>
        </w:rPr>
        <w:t>全权处理本次项目投标的有关事宜。</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据此函，签字代表宣布并同意如下：</w:t>
      </w:r>
    </w:p>
    <w:p w14:paraId="2E13D7DD">
      <w:pPr>
        <w:spacing w:before="6" w:line="187" w:lineRule="auto"/>
        <w:ind w:left="694"/>
        <w:rPr>
          <w:rFonts w:ascii="微软雅黑" w:hAnsi="微软雅黑" w:eastAsia="微软雅黑" w:cs="微软雅黑"/>
          <w:sz w:val="24"/>
          <w:szCs w:val="24"/>
        </w:rPr>
      </w:pPr>
      <w:r>
        <w:rPr>
          <w:rFonts w:ascii="微软雅黑" w:hAnsi="微软雅黑" w:eastAsia="微软雅黑" w:cs="微软雅黑"/>
          <w:spacing w:val="-2"/>
          <w:sz w:val="24"/>
          <w:szCs w:val="24"/>
        </w:rPr>
        <w:t>1、按照采购文件中规定各项要求，我方愿以《开标一览表》所填报</w:t>
      </w:r>
      <w:r>
        <w:rPr>
          <w:rFonts w:ascii="微软雅黑" w:hAnsi="微软雅黑" w:eastAsia="微软雅黑" w:cs="微软雅黑"/>
          <w:spacing w:val="-3"/>
          <w:sz w:val="24"/>
          <w:szCs w:val="24"/>
        </w:rPr>
        <w:t>价进行投标。</w:t>
      </w:r>
    </w:p>
    <w:p w14:paraId="03DA71E4">
      <w:pPr>
        <w:spacing w:before="58" w:line="188" w:lineRule="auto"/>
        <w:ind w:left="679"/>
        <w:rPr>
          <w:rFonts w:ascii="微软雅黑" w:hAnsi="微软雅黑" w:eastAsia="微软雅黑" w:cs="微软雅黑"/>
          <w:sz w:val="24"/>
          <w:szCs w:val="24"/>
        </w:rPr>
      </w:pPr>
      <w:r>
        <w:rPr>
          <w:rFonts w:ascii="微软雅黑" w:hAnsi="微软雅黑" w:eastAsia="微软雅黑" w:cs="微软雅黑"/>
          <w:spacing w:val="-4"/>
          <w:sz w:val="24"/>
          <w:szCs w:val="24"/>
        </w:rPr>
        <w:t>2、我方将按招标文件的规定履行合同责任和义务；</w:t>
      </w:r>
    </w:p>
    <w:p w14:paraId="2DB19483">
      <w:pPr>
        <w:spacing w:before="56" w:line="205" w:lineRule="auto"/>
        <w:ind w:left="134" w:right="237" w:firstLine="546"/>
        <w:rPr>
          <w:rFonts w:ascii="微软雅黑" w:hAnsi="微软雅黑" w:eastAsia="微软雅黑" w:cs="微软雅黑"/>
          <w:sz w:val="24"/>
          <w:szCs w:val="24"/>
        </w:rPr>
      </w:pPr>
      <w:r>
        <w:rPr>
          <w:rFonts w:ascii="微软雅黑" w:hAnsi="微软雅黑" w:eastAsia="微软雅黑" w:cs="微软雅黑"/>
          <w:spacing w:val="-2"/>
          <w:sz w:val="24"/>
          <w:szCs w:val="24"/>
        </w:rPr>
        <w:t>3、我方已详细阅读并理解了采购文件的全部，</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包括修改文件（如有的话）</w:t>
      </w:r>
      <w:r>
        <w:rPr>
          <w:rFonts w:ascii="微软雅黑" w:hAnsi="微软雅黑" w:eastAsia="微软雅黑" w:cs="微软雅黑"/>
          <w:spacing w:val="-51"/>
          <w:sz w:val="24"/>
          <w:szCs w:val="24"/>
        </w:rPr>
        <w:t xml:space="preserve"> </w:t>
      </w:r>
      <w:r>
        <w:rPr>
          <w:rFonts w:ascii="微软雅黑" w:hAnsi="微软雅黑" w:eastAsia="微软雅黑" w:cs="微软雅黑"/>
          <w:spacing w:val="-2"/>
          <w:sz w:val="24"/>
          <w:szCs w:val="24"/>
        </w:rPr>
        <w:t>。我们完</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全理解并同意放弃对这方面有不明及误解的权利。</w:t>
      </w:r>
    </w:p>
    <w:p w14:paraId="08F63911">
      <w:pPr>
        <w:spacing w:before="58" w:line="188" w:lineRule="auto"/>
        <w:ind w:left="675"/>
        <w:rPr>
          <w:rFonts w:ascii="微软雅黑" w:hAnsi="微软雅黑" w:eastAsia="微软雅黑" w:cs="微软雅黑"/>
          <w:sz w:val="24"/>
          <w:szCs w:val="24"/>
        </w:rPr>
      </w:pPr>
      <w:r>
        <w:rPr>
          <w:rFonts w:ascii="微软雅黑" w:hAnsi="微软雅黑" w:eastAsia="微软雅黑" w:cs="微软雅黑"/>
          <w:spacing w:val="-4"/>
          <w:sz w:val="24"/>
          <w:szCs w:val="24"/>
        </w:rPr>
        <w:t xml:space="preserve">4、我方同意本投标有效期自开标之日起 </w:t>
      </w:r>
      <w:r>
        <w:rPr>
          <w:rFonts w:ascii="微软雅黑" w:hAnsi="微软雅黑" w:eastAsia="微软雅黑" w:cs="微软雅黑"/>
          <w:spacing w:val="-4"/>
          <w:sz w:val="24"/>
          <w:szCs w:val="24"/>
          <w:u w:val="single" w:color="auto"/>
        </w:rPr>
        <w:t>9</w:t>
      </w:r>
      <w:r>
        <w:rPr>
          <w:rFonts w:ascii="微软雅黑" w:hAnsi="微软雅黑" w:eastAsia="微软雅黑" w:cs="微软雅黑"/>
          <w:spacing w:val="-5"/>
          <w:sz w:val="24"/>
          <w:szCs w:val="24"/>
          <w:u w:val="single" w:color="auto"/>
        </w:rPr>
        <w:t xml:space="preserve">0 </w:t>
      </w:r>
      <w:r>
        <w:rPr>
          <w:rFonts w:ascii="微软雅黑" w:hAnsi="微软雅黑" w:eastAsia="微软雅黑" w:cs="微软雅黑"/>
          <w:spacing w:val="-5"/>
          <w:sz w:val="24"/>
          <w:szCs w:val="24"/>
        </w:rPr>
        <w:t>个日历日。</w:t>
      </w:r>
    </w:p>
    <w:p w14:paraId="3A85E088">
      <w:pPr>
        <w:spacing w:before="57" w:line="188" w:lineRule="auto"/>
        <w:ind w:left="681"/>
        <w:rPr>
          <w:rFonts w:ascii="微软雅黑" w:hAnsi="微软雅黑" w:eastAsia="微软雅黑" w:cs="微软雅黑"/>
          <w:sz w:val="24"/>
          <w:szCs w:val="24"/>
        </w:rPr>
      </w:pPr>
      <w:r>
        <w:rPr>
          <w:rFonts w:ascii="微软雅黑" w:hAnsi="微软雅黑" w:eastAsia="微软雅黑" w:cs="微软雅黑"/>
          <w:spacing w:val="-2"/>
          <w:sz w:val="24"/>
          <w:szCs w:val="24"/>
        </w:rPr>
        <w:t>5、我方如果在投标有效期内撤回投标，同意投标保证金将被贵方没收。</w:t>
      </w:r>
    </w:p>
    <w:p w14:paraId="6F6B8898">
      <w:pPr>
        <w:spacing w:before="57" w:line="205" w:lineRule="auto"/>
        <w:ind w:left="134" w:right="211" w:firstLine="543"/>
        <w:rPr>
          <w:rFonts w:ascii="微软雅黑" w:hAnsi="微软雅黑" w:eastAsia="微软雅黑" w:cs="微软雅黑"/>
          <w:sz w:val="24"/>
          <w:szCs w:val="24"/>
        </w:rPr>
      </w:pPr>
      <w:r>
        <w:rPr>
          <w:rFonts w:ascii="微软雅黑" w:hAnsi="微软雅黑" w:eastAsia="微软雅黑" w:cs="微软雅黑"/>
          <w:sz w:val="24"/>
          <w:szCs w:val="24"/>
        </w:rPr>
        <w:t>6、我方同意提供按照贵方可能要求的与其</w:t>
      </w:r>
      <w:r>
        <w:rPr>
          <w:rFonts w:ascii="微软雅黑" w:hAnsi="微软雅黑" w:eastAsia="微软雅黑" w:cs="微软雅黑"/>
          <w:spacing w:val="-1"/>
          <w:sz w:val="24"/>
          <w:szCs w:val="24"/>
        </w:rPr>
        <w:t>投标有关的一切数据或资料，</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完全理解贵</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方不一定接受最低价的投标或收到的任何投标的约定。</w:t>
      </w:r>
    </w:p>
    <w:p w14:paraId="78D50397">
      <w:pPr>
        <w:spacing w:before="57" w:line="189" w:lineRule="auto"/>
        <w:ind w:left="697"/>
        <w:rPr>
          <w:rFonts w:ascii="微软雅黑" w:hAnsi="微软雅黑" w:eastAsia="微软雅黑" w:cs="微软雅黑"/>
          <w:sz w:val="24"/>
          <w:szCs w:val="24"/>
        </w:rPr>
      </w:pPr>
      <w:r>
        <w:rPr>
          <w:rFonts w:ascii="微软雅黑" w:hAnsi="微软雅黑" w:eastAsia="微软雅黑" w:cs="微软雅黑"/>
          <w:spacing w:val="-5"/>
          <w:sz w:val="24"/>
          <w:szCs w:val="24"/>
        </w:rPr>
        <w:t>7、与本投标有关的一切正式往来信函请寄：</w:t>
      </w:r>
    </w:p>
    <w:p w14:paraId="0E7D213A">
      <w:pPr>
        <w:spacing w:before="56" w:line="189" w:lineRule="auto"/>
        <w:ind w:left="409"/>
        <w:rPr>
          <w:rFonts w:ascii="微软雅黑" w:hAnsi="微软雅黑" w:eastAsia="微软雅黑" w:cs="微软雅黑"/>
          <w:sz w:val="24"/>
          <w:szCs w:val="24"/>
        </w:rPr>
      </w:pPr>
      <w:r>
        <w:rPr>
          <w:rFonts w:ascii="微软雅黑" w:hAnsi="微软雅黑" w:eastAsia="微软雅黑" w:cs="微软雅黑"/>
          <w:spacing w:val="-12"/>
          <w:sz w:val="24"/>
          <w:szCs w:val="24"/>
        </w:rPr>
        <w:t>地</w:t>
      </w:r>
      <w:r>
        <w:rPr>
          <w:rFonts w:ascii="微软雅黑" w:hAnsi="微软雅黑" w:eastAsia="微软雅黑" w:cs="微软雅黑"/>
          <w:spacing w:val="3"/>
          <w:sz w:val="24"/>
          <w:szCs w:val="24"/>
        </w:rPr>
        <w:t xml:space="preserve">                  </w:t>
      </w:r>
      <w:r>
        <w:rPr>
          <w:rFonts w:ascii="微软雅黑" w:hAnsi="微软雅黑" w:eastAsia="微软雅黑" w:cs="微软雅黑"/>
          <w:spacing w:val="-12"/>
          <w:sz w:val="24"/>
          <w:szCs w:val="24"/>
        </w:rPr>
        <w:t>址：</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30"/>
          <w:sz w:val="24"/>
          <w:szCs w:val="24"/>
        </w:rPr>
        <w:t xml:space="preserve"> </w:t>
      </w:r>
      <w:r>
        <w:rPr>
          <w:rFonts w:ascii="微软雅黑" w:hAnsi="微软雅黑" w:eastAsia="微软雅黑" w:cs="微软雅黑"/>
          <w:spacing w:val="-12"/>
          <w:sz w:val="24"/>
          <w:szCs w:val="24"/>
        </w:rPr>
        <w:t>邮编：</w:t>
      </w:r>
      <w:r>
        <w:rPr>
          <w:rFonts w:ascii="微软雅黑" w:hAnsi="微软雅黑" w:eastAsia="微软雅黑" w:cs="微软雅黑"/>
          <w:sz w:val="24"/>
          <w:szCs w:val="24"/>
          <w:u w:val="single" w:color="auto"/>
        </w:rPr>
        <w:t xml:space="preserve">                                    </w:t>
      </w:r>
    </w:p>
    <w:p w14:paraId="2035C412">
      <w:pPr>
        <w:spacing w:before="56" w:line="188" w:lineRule="auto"/>
        <w:ind w:left="395"/>
        <w:rPr>
          <w:rFonts w:ascii="微软雅黑" w:hAnsi="微软雅黑" w:eastAsia="微软雅黑" w:cs="微软雅黑"/>
          <w:sz w:val="24"/>
          <w:szCs w:val="24"/>
        </w:rPr>
      </w:pPr>
      <w:r>
        <w:rPr>
          <w:rFonts w:ascii="微软雅黑" w:hAnsi="微软雅黑" w:eastAsia="微软雅黑" w:cs="微软雅黑"/>
          <w:spacing w:val="-13"/>
          <w:sz w:val="24"/>
          <w:szCs w:val="24"/>
        </w:rPr>
        <w:t>电</w:t>
      </w:r>
      <w:r>
        <w:rPr>
          <w:rFonts w:ascii="微软雅黑" w:hAnsi="微软雅黑" w:eastAsia="微软雅黑" w:cs="微软雅黑"/>
          <w:spacing w:val="3"/>
          <w:sz w:val="24"/>
          <w:szCs w:val="24"/>
        </w:rPr>
        <w:t xml:space="preserve">                  </w:t>
      </w:r>
      <w:r>
        <w:rPr>
          <w:rFonts w:ascii="微软雅黑" w:hAnsi="微软雅黑" w:eastAsia="微软雅黑" w:cs="微软雅黑"/>
          <w:spacing w:val="-13"/>
          <w:sz w:val="24"/>
          <w:szCs w:val="24"/>
        </w:rPr>
        <w:t>话：</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50"/>
          <w:sz w:val="24"/>
          <w:szCs w:val="24"/>
        </w:rPr>
        <w:t xml:space="preserve"> </w:t>
      </w:r>
      <w:r>
        <w:rPr>
          <w:rFonts w:ascii="微软雅黑" w:hAnsi="微软雅黑" w:eastAsia="微软雅黑" w:cs="微软雅黑"/>
          <w:spacing w:val="-13"/>
          <w:sz w:val="24"/>
          <w:szCs w:val="24"/>
        </w:rPr>
        <w:t>传真：</w:t>
      </w:r>
      <w:r>
        <w:rPr>
          <w:rFonts w:ascii="微软雅黑" w:hAnsi="微软雅黑" w:eastAsia="微软雅黑" w:cs="微软雅黑"/>
          <w:sz w:val="24"/>
          <w:szCs w:val="24"/>
          <w:u w:val="single" w:color="auto"/>
        </w:rPr>
        <w:t xml:space="preserve">                                    </w:t>
      </w:r>
    </w:p>
    <w:p w14:paraId="5F219DCC">
      <w:pPr>
        <w:spacing w:before="59" w:line="220" w:lineRule="auto"/>
        <w:ind w:left="368" w:right="4285"/>
        <w:rPr>
          <w:rFonts w:ascii="微软雅黑" w:hAnsi="微软雅黑" w:eastAsia="微软雅黑" w:cs="微软雅黑"/>
          <w:sz w:val="24"/>
          <w:szCs w:val="24"/>
        </w:rPr>
      </w:pPr>
      <w:r>
        <w:rPr>
          <w:rFonts w:ascii="微软雅黑" w:hAnsi="微软雅黑" w:eastAsia="微软雅黑" w:cs="微软雅黑"/>
          <w:sz w:val="24"/>
          <w:szCs w:val="24"/>
        </w:rPr>
        <w:t>投标人代表签字：</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投  标  人  名  称：</w:t>
      </w:r>
      <w:r>
        <w:rPr>
          <w:rFonts w:ascii="微软雅黑" w:hAnsi="微软雅黑" w:eastAsia="微软雅黑" w:cs="微软雅黑"/>
          <w:sz w:val="24"/>
          <w:szCs w:val="24"/>
          <w:u w:val="single" w:color="auto"/>
        </w:rPr>
        <w:t xml:space="preserve">                                            </w:t>
      </w:r>
    </w:p>
    <w:p w14:paraId="0399655F">
      <w:pPr>
        <w:spacing w:before="3" w:line="189" w:lineRule="auto"/>
        <w:ind w:left="373"/>
        <w:rPr>
          <w:rFonts w:ascii="微软雅黑" w:hAnsi="微软雅黑" w:eastAsia="微软雅黑" w:cs="微软雅黑"/>
          <w:sz w:val="24"/>
          <w:szCs w:val="24"/>
        </w:rPr>
      </w:pPr>
      <w:r>
        <w:rPr>
          <w:rFonts w:ascii="微软雅黑" w:hAnsi="微软雅黑" w:eastAsia="微软雅黑" w:cs="微软雅黑"/>
          <w:spacing w:val="-5"/>
          <w:sz w:val="24"/>
          <w:szCs w:val="24"/>
        </w:rPr>
        <w:t>公                  章：</w:t>
      </w:r>
      <w:r>
        <w:rPr>
          <w:rFonts w:ascii="微软雅黑" w:hAnsi="微软雅黑" w:eastAsia="微软雅黑" w:cs="微软雅黑"/>
          <w:sz w:val="24"/>
          <w:szCs w:val="24"/>
          <w:u w:val="single" w:color="auto"/>
        </w:rPr>
        <w:t xml:space="preserve">                                            </w:t>
      </w:r>
    </w:p>
    <w:p w14:paraId="0D3B0734">
      <w:pPr>
        <w:spacing w:before="94" w:line="179" w:lineRule="auto"/>
        <w:ind w:left="4854"/>
        <w:rPr>
          <w:rFonts w:ascii="仿宋" w:hAnsi="仿宋" w:eastAsia="仿宋" w:cs="仿宋"/>
          <w:sz w:val="15"/>
          <w:szCs w:val="15"/>
        </w:rPr>
      </w:pPr>
      <w:r>
        <w:pict>
          <v:shape id="_x0000_s1076" o:spid="_x0000_s1076" style="position:absolute;left:0pt;margin-left:5.8pt;margin-top:11.05pt;height:0.4pt;width:468.05pt;z-index:251743232;mso-width-relative:page;mso-height-relative:page;" filled="f" stroked="t" coordsize="9360,8" path="m0,3l9360,3e">
            <v:fill on="f" focussize="0,0"/>
            <v:stroke weight="0.38pt" color="#000000" miterlimit="10" joinstyle="miter"/>
            <v:imagedata o:title=""/>
            <o:lock v:ext="edit"/>
          </v:shape>
        </w:pict>
      </w:r>
      <w:r>
        <w:rPr>
          <w:rFonts w:ascii="仿宋" w:hAnsi="仿宋" w:eastAsia="仿宋" w:cs="仿宋"/>
          <w:b/>
          <w:bCs/>
          <w:i/>
          <w:iCs/>
          <w:spacing w:val="5"/>
          <w:sz w:val="15"/>
          <w:szCs w:val="15"/>
        </w:rPr>
        <w:t>101</w:t>
      </w:r>
    </w:p>
    <w:p w14:paraId="767484CC">
      <w:pPr>
        <w:spacing w:line="179" w:lineRule="auto"/>
        <w:rPr>
          <w:rFonts w:ascii="仿宋" w:hAnsi="仿宋" w:eastAsia="仿宋" w:cs="仿宋"/>
          <w:sz w:val="15"/>
          <w:szCs w:val="15"/>
        </w:rPr>
        <w:sectPr>
          <w:headerReference r:id="rId96" w:type="default"/>
          <w:pgSz w:w="11906" w:h="16839"/>
          <w:pgMar w:top="1121" w:right="922" w:bottom="400" w:left="1305" w:header="856" w:footer="0" w:gutter="0"/>
          <w:cols w:space="720" w:num="1"/>
        </w:sectPr>
      </w:pPr>
    </w:p>
    <w:p w14:paraId="7B163523">
      <w:pPr>
        <w:spacing w:before="88" w:line="188" w:lineRule="auto"/>
        <w:ind w:left="5750"/>
        <w:rPr>
          <w:rFonts w:ascii="微软雅黑" w:hAnsi="微软雅黑" w:eastAsia="微软雅黑" w:cs="微软雅黑"/>
          <w:sz w:val="24"/>
          <w:szCs w:val="24"/>
        </w:rPr>
      </w:pPr>
      <w:r>
        <w:rPr>
          <w:rFonts w:ascii="微软雅黑" w:hAnsi="微软雅黑" w:eastAsia="微软雅黑" w:cs="微软雅黑"/>
          <w:spacing w:val="-18"/>
          <w:sz w:val="24"/>
          <w:szCs w:val="24"/>
        </w:rPr>
        <w:t>20</w:t>
      </w:r>
      <w:r>
        <w:rPr>
          <w:rFonts w:ascii="微软雅黑" w:hAnsi="微软雅黑" w:eastAsia="微软雅黑" w:cs="微软雅黑"/>
          <w:spacing w:val="4"/>
          <w:sz w:val="24"/>
          <w:szCs w:val="24"/>
          <w:u w:val="single" w:color="auto"/>
        </w:rPr>
        <w:t xml:space="preserve">        </w:t>
      </w:r>
      <w:r>
        <w:rPr>
          <w:rFonts w:ascii="微软雅黑" w:hAnsi="微软雅黑" w:eastAsia="微软雅黑" w:cs="微软雅黑"/>
          <w:spacing w:val="-49"/>
          <w:sz w:val="24"/>
          <w:szCs w:val="24"/>
        </w:rPr>
        <w:t xml:space="preserve"> </w:t>
      </w:r>
      <w:r>
        <w:rPr>
          <w:rFonts w:ascii="微软雅黑" w:hAnsi="微软雅黑" w:eastAsia="微软雅黑" w:cs="微软雅黑"/>
          <w:spacing w:val="-18"/>
          <w:sz w:val="24"/>
          <w:szCs w:val="24"/>
        </w:rPr>
        <w:t>年</w:t>
      </w:r>
      <w:r>
        <w:rPr>
          <w:rFonts w:ascii="微软雅黑" w:hAnsi="微软雅黑" w:eastAsia="微软雅黑" w:cs="微软雅黑"/>
          <w:spacing w:val="4"/>
          <w:sz w:val="24"/>
          <w:szCs w:val="24"/>
          <w:u w:val="single" w:color="auto"/>
        </w:rPr>
        <w:t xml:space="preserve">        </w:t>
      </w:r>
      <w:r>
        <w:rPr>
          <w:rFonts w:ascii="微软雅黑" w:hAnsi="微软雅黑" w:eastAsia="微软雅黑" w:cs="微软雅黑"/>
          <w:spacing w:val="-44"/>
          <w:sz w:val="24"/>
          <w:szCs w:val="24"/>
        </w:rPr>
        <w:t xml:space="preserve"> </w:t>
      </w:r>
      <w:r>
        <w:rPr>
          <w:rFonts w:ascii="微软雅黑" w:hAnsi="微软雅黑" w:eastAsia="微软雅黑" w:cs="微软雅黑"/>
          <w:spacing w:val="-18"/>
          <w:sz w:val="24"/>
          <w:szCs w:val="24"/>
        </w:rPr>
        <w:t>月</w:t>
      </w:r>
      <w:r>
        <w:rPr>
          <w:rFonts w:ascii="微软雅黑" w:hAnsi="微软雅黑" w:eastAsia="微软雅黑" w:cs="微软雅黑"/>
          <w:spacing w:val="4"/>
          <w:sz w:val="24"/>
          <w:szCs w:val="24"/>
          <w:u w:val="single" w:color="auto"/>
        </w:rPr>
        <w:t xml:space="preserve">        </w:t>
      </w:r>
      <w:r>
        <w:rPr>
          <w:rFonts w:ascii="微软雅黑" w:hAnsi="微软雅黑" w:eastAsia="微软雅黑" w:cs="微软雅黑"/>
          <w:spacing w:val="-18"/>
          <w:sz w:val="24"/>
          <w:szCs w:val="24"/>
        </w:rPr>
        <w:t xml:space="preserve"> 日</w:t>
      </w:r>
    </w:p>
    <w:p w14:paraId="47A60ED8">
      <w:pPr>
        <w:pStyle w:val="2"/>
        <w:spacing w:line="255" w:lineRule="auto"/>
      </w:pPr>
    </w:p>
    <w:p w14:paraId="5C404BF7">
      <w:pPr>
        <w:spacing w:before="138" w:line="184" w:lineRule="auto"/>
        <w:ind w:left="3120"/>
        <w:rPr>
          <w:rFonts w:ascii="微软雅黑" w:hAnsi="微软雅黑" w:eastAsia="微软雅黑" w:cs="微软雅黑"/>
          <w:sz w:val="32"/>
          <w:szCs w:val="32"/>
        </w:rPr>
      </w:pPr>
      <w:bookmarkStart w:id="59" w:name="bookmark31"/>
      <w:bookmarkEnd w:id="59"/>
      <w:r>
        <w:rPr>
          <w:rFonts w:ascii="微软雅黑" w:hAnsi="微软雅黑" w:eastAsia="微软雅黑" w:cs="微软雅黑"/>
          <w:b/>
          <w:bCs/>
          <w:spacing w:val="-7"/>
          <w:sz w:val="32"/>
          <w:szCs w:val="32"/>
        </w:rPr>
        <w:t>（六）法人代表授权书</w:t>
      </w:r>
    </w:p>
    <w:p w14:paraId="54EC7E4F">
      <w:pPr>
        <w:pStyle w:val="2"/>
        <w:spacing w:line="274" w:lineRule="auto"/>
      </w:pPr>
    </w:p>
    <w:p w14:paraId="2862F704">
      <w:pPr>
        <w:spacing w:before="103" w:line="183" w:lineRule="auto"/>
        <w:ind w:right="16"/>
        <w:jc w:val="right"/>
        <w:rPr>
          <w:rFonts w:ascii="微软雅黑" w:hAnsi="微软雅黑" w:eastAsia="微软雅黑" w:cs="微软雅黑"/>
          <w:sz w:val="24"/>
          <w:szCs w:val="24"/>
        </w:rPr>
      </w:pPr>
      <w:r>
        <w:pict>
          <v:group id="_x0000_s1077" o:spid="_x0000_s1077" o:spt="203" style="position:absolute;left:0pt;margin-left:148.9pt;margin-top:16.8pt;height:0.65pt;width:336pt;z-index:251744256;mso-width-relative:page;mso-height-relative:page;" coordsize="6720,12">
            <o:lock v:ext="edit"/>
            <v:shape id="_x0000_s1078" o:spid="_x0000_s1078" style="position:absolute;left:0;top:0;height:12;width:2040;" filled="f" stroked="t" coordsize="2040,12" path="m0,5l2040,5e">
              <v:fill on="f" focussize="0,0"/>
              <v:stroke weight="0.6pt" color="#000000" miterlimit="10" joinstyle="miter"/>
              <v:imagedata o:title=""/>
              <o:lock v:ext="edit"/>
            </v:shape>
            <v:shape id="_x0000_s1079" o:spid="_x0000_s1079" style="position:absolute;left:3000;top:0;height:12;width:3720;" filled="f" stroked="t" coordsize="3720,12" path="m0,5l3720,5e">
              <v:fill on="f" focussize="0,0"/>
              <v:stroke weight="0.6pt" color="#000000" miterlimit="10" joinstyle="miter"/>
              <v:imagedata o:title=""/>
              <o:lock v:ext="edit"/>
            </v:shape>
          </v:group>
        </w:pict>
      </w:r>
      <w:r>
        <w:rPr>
          <w:rFonts w:ascii="微软雅黑" w:hAnsi="微软雅黑" w:eastAsia="微软雅黑" w:cs="微软雅黑"/>
          <w:spacing w:val="1"/>
          <w:sz w:val="24"/>
          <w:szCs w:val="24"/>
        </w:rPr>
        <w:t>本授权书声明:我（姓名）                   系注册于（</w:t>
      </w:r>
      <w:r>
        <w:rPr>
          <w:rFonts w:ascii="微软雅黑" w:hAnsi="微软雅黑" w:eastAsia="微软雅黑" w:cs="微软雅黑"/>
          <w:sz w:val="24"/>
          <w:szCs w:val="24"/>
        </w:rPr>
        <w:t>地区的名称</w:t>
      </w:r>
      <w:r>
        <w:rPr>
          <w:rFonts w:ascii="微软雅黑" w:hAnsi="微软雅黑" w:eastAsia="微软雅黑" w:cs="微软雅黑"/>
          <w:spacing w:val="-1"/>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z w:val="24"/>
          <w:szCs w:val="24"/>
        </w:rPr>
        <w:t>投</w:t>
      </w:r>
    </w:p>
    <w:p w14:paraId="0B86FBB2">
      <w:pPr>
        <w:tabs>
          <w:tab w:val="left" w:pos="9582"/>
        </w:tabs>
        <w:spacing w:before="14" w:line="194" w:lineRule="auto"/>
        <w:ind w:left="473" w:right="91"/>
        <w:jc w:val="both"/>
        <w:rPr>
          <w:rFonts w:ascii="微软雅黑" w:hAnsi="微软雅黑" w:eastAsia="微软雅黑" w:cs="微软雅黑"/>
          <w:sz w:val="24"/>
          <w:szCs w:val="24"/>
        </w:rPr>
      </w:pPr>
      <w:r>
        <w:rPr>
          <w:rFonts w:ascii="微软雅黑" w:hAnsi="微软雅黑" w:eastAsia="微软雅黑" w:cs="微软雅黑"/>
          <w:spacing w:val="-1"/>
          <w:sz w:val="24"/>
          <w:szCs w:val="24"/>
          <w:u w:val="single" w:color="auto"/>
        </w:rPr>
        <w:t xml:space="preserve">标人名称）                  </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41"/>
          <w:sz w:val="24"/>
          <w:szCs w:val="24"/>
        </w:rPr>
        <w:t xml:space="preserve"> </w:t>
      </w:r>
      <w:r>
        <w:rPr>
          <w:rFonts w:ascii="微软雅黑" w:hAnsi="微软雅黑" w:eastAsia="微软雅黑" w:cs="微软雅黑"/>
          <w:spacing w:val="-2"/>
          <w:sz w:val="24"/>
          <w:szCs w:val="24"/>
        </w:rPr>
        <w:t>的法定代表人，</w:t>
      </w:r>
      <w:r>
        <w:rPr>
          <w:rFonts w:ascii="微软雅黑" w:hAnsi="微软雅黑" w:eastAsia="微软雅黑" w:cs="微软雅黑"/>
          <w:spacing w:val="-33"/>
          <w:sz w:val="24"/>
          <w:szCs w:val="24"/>
        </w:rPr>
        <w:t xml:space="preserve"> </w:t>
      </w:r>
      <w:r>
        <w:rPr>
          <w:rFonts w:ascii="微软雅黑" w:hAnsi="微软雅黑" w:eastAsia="微软雅黑" w:cs="微软雅黑"/>
          <w:spacing w:val="-2"/>
          <w:sz w:val="24"/>
          <w:szCs w:val="24"/>
        </w:rPr>
        <w:t xml:space="preserve">现授权（ </w:t>
      </w:r>
      <w:r>
        <w:rPr>
          <w:rFonts w:ascii="微软雅黑" w:hAnsi="微软雅黑" w:eastAsia="微软雅黑" w:cs="微软雅黑"/>
          <w:spacing w:val="-2"/>
          <w:sz w:val="24"/>
          <w:szCs w:val="24"/>
          <w:u w:val="single" w:color="auto"/>
        </w:rPr>
        <w:t>姓名）</w:t>
      </w:r>
      <w:r>
        <w:rPr>
          <w:rFonts w:ascii="微软雅黑" w:hAnsi="微软雅黑" w:eastAsia="微软雅黑" w:cs="微软雅黑"/>
          <w:sz w:val="24"/>
          <w:szCs w:val="24"/>
          <w:u w:val="single" w:color="auto"/>
        </w:rPr>
        <w:tab/>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为我公司被授权人，以本公司的名义参加</w:t>
      </w:r>
      <w:r>
        <w:rPr>
          <w:rFonts w:ascii="微软雅黑" w:hAnsi="微软雅黑" w:eastAsia="微软雅黑" w:cs="微软雅黑"/>
          <w:spacing w:val="-1"/>
          <w:sz w:val="24"/>
          <w:szCs w:val="24"/>
          <w:u w:val="single" w:color="auto"/>
        </w:rPr>
        <w:t>（采购单位名称</w:t>
      </w:r>
      <w:r>
        <w:rPr>
          <w:rFonts w:ascii="微软雅黑" w:hAnsi="微软雅黑" w:eastAsia="微软雅黑" w:cs="微软雅黑"/>
          <w:spacing w:val="4"/>
          <w:sz w:val="24"/>
          <w:szCs w:val="24"/>
          <w:u w:val="single" w:color="auto"/>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4"/>
          <w:sz w:val="24"/>
          <w:szCs w:val="24"/>
          <w:u w:val="single" w:color="auto"/>
        </w:rPr>
        <w:t>（</w:t>
      </w:r>
      <w:r>
        <w:rPr>
          <w:rFonts w:ascii="微软雅黑" w:hAnsi="微软雅黑" w:eastAsia="微软雅黑" w:cs="微软雅黑"/>
          <w:spacing w:val="-1"/>
          <w:sz w:val="24"/>
          <w:szCs w:val="24"/>
          <w:u w:val="single" w:color="auto"/>
        </w:rPr>
        <w:t>项</w:t>
      </w:r>
      <w:r>
        <w:rPr>
          <w:rFonts w:ascii="微软雅黑" w:hAnsi="微软雅黑" w:eastAsia="微软雅黑" w:cs="微软雅黑"/>
          <w:spacing w:val="6"/>
          <w:sz w:val="24"/>
          <w:szCs w:val="24"/>
        </w:rPr>
        <w:t xml:space="preserve"> </w:t>
      </w:r>
      <w:r>
        <w:rPr>
          <w:rFonts w:ascii="微软雅黑" w:hAnsi="微软雅黑" w:eastAsia="微软雅黑" w:cs="微软雅黑"/>
          <w:spacing w:val="-9"/>
          <w:sz w:val="24"/>
          <w:szCs w:val="24"/>
          <w:u w:val="single" w:color="auto"/>
        </w:rPr>
        <w:t>目名称</w:t>
      </w:r>
      <w:r>
        <w:rPr>
          <w:rFonts w:ascii="微软雅黑" w:hAnsi="微软雅黑" w:eastAsia="微软雅黑" w:cs="微软雅黑"/>
          <w:spacing w:val="-2"/>
          <w:sz w:val="24"/>
          <w:szCs w:val="24"/>
          <w:u w:val="single" w:color="auto"/>
        </w:rPr>
        <w:t>）</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2"/>
          <w:sz w:val="24"/>
          <w:szCs w:val="24"/>
          <w:u w:val="single" w:color="auto"/>
        </w:rPr>
        <w:t>（</w:t>
      </w:r>
      <w:r>
        <w:rPr>
          <w:rFonts w:ascii="微软雅黑" w:hAnsi="微软雅黑" w:eastAsia="微软雅黑" w:cs="微软雅黑"/>
          <w:spacing w:val="-9"/>
          <w:sz w:val="24"/>
          <w:szCs w:val="24"/>
          <w:u w:val="single" w:color="auto"/>
        </w:rPr>
        <w:t>文件编号）【YLCG-2024G</w:t>
      </w:r>
      <w:r>
        <w:rPr>
          <w:rFonts w:ascii="微软雅黑" w:hAnsi="微软雅黑" w:eastAsia="微软雅黑" w:cs="微软雅黑"/>
          <w:spacing w:val="-10"/>
          <w:sz w:val="24"/>
          <w:szCs w:val="24"/>
          <w:u w:val="single" w:color="auto"/>
        </w:rPr>
        <w:t>K-019 号】</w:t>
      </w:r>
      <w:r>
        <w:rPr>
          <w:rFonts w:ascii="微软雅黑" w:hAnsi="微软雅黑" w:eastAsia="微软雅黑" w:cs="微软雅黑"/>
          <w:spacing w:val="-10"/>
          <w:sz w:val="24"/>
          <w:szCs w:val="24"/>
        </w:rPr>
        <w:t>的政府采购招标活动。</w:t>
      </w:r>
      <w:r>
        <w:rPr>
          <w:rFonts w:ascii="微软雅黑" w:hAnsi="微软雅黑" w:eastAsia="微软雅黑" w:cs="微软雅黑"/>
          <w:spacing w:val="12"/>
          <w:sz w:val="24"/>
          <w:szCs w:val="24"/>
        </w:rPr>
        <w:t xml:space="preserve"> </w:t>
      </w:r>
      <w:r>
        <w:rPr>
          <w:rFonts w:ascii="微软雅黑" w:hAnsi="微软雅黑" w:eastAsia="微软雅黑" w:cs="微软雅黑"/>
          <w:spacing w:val="3"/>
          <w:sz w:val="24"/>
          <w:szCs w:val="24"/>
        </w:rPr>
        <w:t>被授权人在本次政府采购招标过程中所签署的一切文件和处理与之有关的一切事务</w:t>
      </w:r>
      <w:r>
        <w:rPr>
          <w:rFonts w:ascii="微软雅黑" w:hAnsi="微软雅黑" w:eastAsia="微软雅黑" w:cs="微软雅黑"/>
          <w:spacing w:val="-26"/>
          <w:sz w:val="24"/>
          <w:szCs w:val="24"/>
        </w:rPr>
        <w:t xml:space="preserve"> </w:t>
      </w:r>
      <w:r>
        <w:rPr>
          <w:rFonts w:ascii="微软雅黑" w:hAnsi="微软雅黑" w:eastAsia="微软雅黑" w:cs="微软雅黑"/>
          <w:spacing w:val="3"/>
          <w:sz w:val="24"/>
          <w:szCs w:val="24"/>
        </w:rPr>
        <w:t>,我</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均予以承认。</w:t>
      </w:r>
    </w:p>
    <w:p w14:paraId="5B13592B">
      <w:pPr>
        <w:spacing w:before="3" w:line="193" w:lineRule="auto"/>
        <w:ind w:left="723" w:right="451" w:hanging="8"/>
        <w:rPr>
          <w:rFonts w:ascii="微软雅黑" w:hAnsi="微软雅黑" w:eastAsia="微软雅黑" w:cs="微软雅黑"/>
          <w:sz w:val="24"/>
          <w:szCs w:val="24"/>
        </w:rPr>
      </w:pPr>
      <w:r>
        <w:rPr>
          <w:rFonts w:ascii="微软雅黑" w:hAnsi="微软雅黑" w:eastAsia="微软雅黑" w:cs="微软雅黑"/>
          <w:spacing w:val="-3"/>
          <w:sz w:val="24"/>
          <w:szCs w:val="24"/>
        </w:rPr>
        <w:t>本授权书于 20</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33"/>
          <w:sz w:val="24"/>
          <w:szCs w:val="24"/>
        </w:rPr>
        <w:t xml:space="preserve"> </w:t>
      </w:r>
      <w:r>
        <w:rPr>
          <w:rFonts w:ascii="微软雅黑" w:hAnsi="微软雅黑" w:eastAsia="微软雅黑" w:cs="微软雅黑"/>
          <w:spacing w:val="-3"/>
          <w:sz w:val="24"/>
          <w:szCs w:val="24"/>
        </w:rPr>
        <w:t>年</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44"/>
          <w:sz w:val="24"/>
          <w:szCs w:val="24"/>
        </w:rPr>
        <w:t xml:space="preserve"> </w:t>
      </w:r>
      <w:r>
        <w:rPr>
          <w:rFonts w:ascii="微软雅黑" w:hAnsi="微软雅黑" w:eastAsia="微软雅黑" w:cs="微软雅黑"/>
          <w:spacing w:val="-3"/>
          <w:sz w:val="24"/>
          <w:szCs w:val="24"/>
        </w:rPr>
        <w:t>月</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3"/>
          <w:sz w:val="24"/>
          <w:szCs w:val="24"/>
        </w:rPr>
        <w:t xml:space="preserve"> 日签字生效，被授权人无转让权,特此授权。</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法人代表签字：</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1"/>
          <w:sz w:val="24"/>
          <w:szCs w:val="24"/>
        </w:rPr>
        <w:t xml:space="preserve">    联系电话</w:t>
      </w:r>
      <w:r>
        <w:rPr>
          <w:rFonts w:ascii="微软雅黑" w:hAnsi="微软雅黑" w:eastAsia="微软雅黑" w:cs="微软雅黑"/>
          <w:spacing w:val="-2"/>
          <w:sz w:val="24"/>
          <w:szCs w:val="24"/>
        </w:rPr>
        <w:t>：</w:t>
      </w:r>
      <w:r>
        <w:rPr>
          <w:rFonts w:ascii="微软雅黑" w:hAnsi="微软雅黑" w:eastAsia="微软雅黑" w:cs="微软雅黑"/>
          <w:spacing w:val="-2"/>
          <w:sz w:val="24"/>
          <w:szCs w:val="24"/>
          <w:u w:val="single" w:color="auto"/>
        </w:rPr>
        <w:t xml:space="preserve">                                 </w:t>
      </w:r>
    </w:p>
    <w:p w14:paraId="62413213">
      <w:pPr>
        <w:spacing w:before="5" w:line="188" w:lineRule="auto"/>
        <w:ind w:left="716"/>
        <w:rPr>
          <w:rFonts w:ascii="微软雅黑" w:hAnsi="微软雅黑" w:eastAsia="微软雅黑" w:cs="微软雅黑"/>
          <w:sz w:val="24"/>
          <w:szCs w:val="24"/>
        </w:rPr>
      </w:pPr>
      <w:r>
        <w:rPr>
          <w:rFonts w:ascii="微软雅黑" w:hAnsi="微软雅黑" w:eastAsia="微软雅黑" w:cs="微软雅黑"/>
          <w:spacing w:val="-1"/>
          <w:sz w:val="24"/>
          <w:szCs w:val="24"/>
        </w:rPr>
        <w:t>被授权人签字：</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1"/>
          <w:sz w:val="24"/>
          <w:szCs w:val="24"/>
        </w:rPr>
        <w:t xml:space="preserve">    联系电话：</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u w:val="single" w:color="auto"/>
        </w:rPr>
        <w:t xml:space="preserve">                          </w:t>
      </w:r>
    </w:p>
    <w:p w14:paraId="076E98D7">
      <w:pPr>
        <w:spacing w:before="10" w:line="189" w:lineRule="auto"/>
        <w:ind w:left="721"/>
        <w:rPr>
          <w:rFonts w:ascii="微软雅黑" w:hAnsi="微软雅黑" w:eastAsia="微软雅黑" w:cs="微软雅黑"/>
          <w:sz w:val="24"/>
          <w:szCs w:val="24"/>
        </w:rPr>
      </w:pPr>
      <w:r>
        <w:rPr>
          <w:rFonts w:ascii="微软雅黑" w:hAnsi="微软雅黑" w:eastAsia="微软雅黑" w:cs="微软雅黑"/>
          <w:spacing w:val="-13"/>
          <w:sz w:val="24"/>
          <w:szCs w:val="24"/>
        </w:rPr>
        <w:t>公</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章：</w:t>
      </w:r>
      <w:r>
        <w:rPr>
          <w:rFonts w:ascii="微软雅黑" w:hAnsi="微软雅黑" w:eastAsia="微软雅黑" w:cs="微软雅黑"/>
          <w:sz w:val="24"/>
          <w:szCs w:val="24"/>
          <w:u w:val="single" w:color="auto"/>
        </w:rPr>
        <w:t xml:space="preserve">                                                   </w:t>
      </w:r>
    </w:p>
    <w:p w14:paraId="16788F5B">
      <w:pPr>
        <w:spacing w:before="341" w:line="188" w:lineRule="auto"/>
        <w:ind w:left="4794"/>
        <w:rPr>
          <w:rFonts w:ascii="微软雅黑" w:hAnsi="微软雅黑" w:eastAsia="微软雅黑" w:cs="微软雅黑"/>
          <w:sz w:val="24"/>
          <w:szCs w:val="24"/>
        </w:rPr>
      </w:pPr>
      <w:r>
        <w:rPr>
          <w:rFonts w:ascii="微软雅黑" w:hAnsi="微软雅黑" w:eastAsia="微软雅黑" w:cs="微软雅黑"/>
          <w:spacing w:val="-5"/>
          <w:sz w:val="24"/>
          <w:szCs w:val="24"/>
        </w:rPr>
        <w:t>授权日期：20</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51"/>
          <w:sz w:val="24"/>
          <w:szCs w:val="24"/>
        </w:rPr>
        <w:t xml:space="preserve"> </w:t>
      </w:r>
      <w:r>
        <w:rPr>
          <w:rFonts w:ascii="微软雅黑" w:hAnsi="微软雅黑" w:eastAsia="微软雅黑" w:cs="微软雅黑"/>
          <w:spacing w:val="-5"/>
          <w:sz w:val="24"/>
          <w:szCs w:val="24"/>
        </w:rPr>
        <w:t>年</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44"/>
          <w:sz w:val="24"/>
          <w:szCs w:val="24"/>
        </w:rPr>
        <w:t xml:space="preserve"> </w:t>
      </w:r>
      <w:r>
        <w:rPr>
          <w:rFonts w:ascii="微软雅黑" w:hAnsi="微软雅黑" w:eastAsia="微软雅黑" w:cs="微软雅黑"/>
          <w:spacing w:val="-5"/>
          <w:sz w:val="24"/>
          <w:szCs w:val="24"/>
        </w:rPr>
        <w:t>月</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6"/>
          <w:sz w:val="24"/>
          <w:szCs w:val="24"/>
        </w:rPr>
        <w:t xml:space="preserve"> 日</w:t>
      </w:r>
    </w:p>
    <w:p w14:paraId="59EBB7D2">
      <w:pPr>
        <w:spacing w:before="12" w:line="323" w:lineRule="auto"/>
        <w:ind w:left="3361" w:right="2791" w:hanging="3120"/>
        <w:rPr>
          <w:rFonts w:ascii="宋体" w:hAnsi="宋体" w:eastAsia="宋体" w:cs="宋体"/>
          <w:sz w:val="28"/>
          <w:szCs w:val="28"/>
        </w:rPr>
      </w:pPr>
      <w:r>
        <w:rPr>
          <w:rFonts w:ascii="微软雅黑" w:hAnsi="微软雅黑" w:eastAsia="微软雅黑" w:cs="微软雅黑"/>
          <w:b/>
          <w:bCs/>
          <w:spacing w:val="-2"/>
          <w:sz w:val="24"/>
          <w:szCs w:val="24"/>
        </w:rPr>
        <w:t>注：法定代表人亲自参加采购活动的，可不提供此项证明文件。</w:t>
      </w:r>
      <w:r>
        <w:rPr>
          <w:rFonts w:ascii="微软雅黑" w:hAnsi="微软雅黑" w:eastAsia="微软雅黑" w:cs="微软雅黑"/>
          <w:b/>
          <w:bCs/>
          <w:sz w:val="24"/>
          <w:szCs w:val="24"/>
        </w:rPr>
        <w:t xml:space="preserve"> </w:t>
      </w:r>
      <w:r>
        <w:rPr>
          <w:rFonts w:ascii="宋体" w:hAnsi="宋体" w:eastAsia="宋体" w:cs="宋体"/>
          <w:b/>
          <w:bCs/>
          <w:spacing w:val="-4"/>
          <w:sz w:val="28"/>
          <w:szCs w:val="28"/>
        </w:rPr>
        <w:t>法定代表人身份证复印件</w:t>
      </w:r>
    </w:p>
    <w:tbl>
      <w:tblPr>
        <w:tblStyle w:val="5"/>
        <w:tblW w:w="945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3"/>
        <w:gridCol w:w="4815"/>
      </w:tblGrid>
      <w:tr w14:paraId="2D3C3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9" w:hRule="atLeast"/>
        </w:trPr>
        <w:tc>
          <w:tcPr>
            <w:tcW w:w="4643" w:type="dxa"/>
            <w:vAlign w:val="top"/>
          </w:tcPr>
          <w:p w14:paraId="681FE730">
            <w:pPr>
              <w:spacing w:line="267" w:lineRule="auto"/>
              <w:rPr>
                <w:rFonts w:ascii="Arial"/>
                <w:sz w:val="21"/>
              </w:rPr>
            </w:pPr>
          </w:p>
          <w:p w14:paraId="76DFEA83">
            <w:pPr>
              <w:spacing w:line="268" w:lineRule="auto"/>
              <w:rPr>
                <w:rFonts w:ascii="Arial"/>
                <w:sz w:val="21"/>
              </w:rPr>
            </w:pPr>
          </w:p>
          <w:p w14:paraId="41477000">
            <w:pPr>
              <w:spacing w:line="268" w:lineRule="auto"/>
              <w:rPr>
                <w:rFonts w:ascii="Arial"/>
                <w:sz w:val="21"/>
              </w:rPr>
            </w:pPr>
          </w:p>
          <w:p w14:paraId="18726C8F">
            <w:pPr>
              <w:pStyle w:val="6"/>
              <w:spacing w:before="120" w:line="189" w:lineRule="auto"/>
              <w:ind w:left="2058"/>
              <w:rPr>
                <w:sz w:val="28"/>
                <w:szCs w:val="28"/>
              </w:rPr>
            </w:pPr>
            <w:r>
              <w:rPr>
                <w:b/>
                <w:bCs/>
                <w:spacing w:val="-6"/>
                <w:sz w:val="28"/>
                <w:szCs w:val="28"/>
              </w:rPr>
              <w:t>正面</w:t>
            </w:r>
          </w:p>
        </w:tc>
        <w:tc>
          <w:tcPr>
            <w:tcW w:w="4815" w:type="dxa"/>
            <w:vAlign w:val="top"/>
          </w:tcPr>
          <w:p w14:paraId="737674D3">
            <w:pPr>
              <w:spacing w:line="267" w:lineRule="auto"/>
              <w:rPr>
                <w:rFonts w:ascii="Arial"/>
                <w:sz w:val="21"/>
              </w:rPr>
            </w:pPr>
          </w:p>
          <w:p w14:paraId="0DD0113C">
            <w:pPr>
              <w:spacing w:line="268" w:lineRule="auto"/>
              <w:rPr>
                <w:rFonts w:ascii="Arial"/>
                <w:sz w:val="21"/>
              </w:rPr>
            </w:pPr>
          </w:p>
          <w:p w14:paraId="2187AFEE">
            <w:pPr>
              <w:spacing w:line="268" w:lineRule="auto"/>
              <w:rPr>
                <w:rFonts w:ascii="Arial"/>
                <w:sz w:val="21"/>
              </w:rPr>
            </w:pPr>
          </w:p>
          <w:p w14:paraId="7A2C49F3">
            <w:pPr>
              <w:pStyle w:val="6"/>
              <w:spacing w:before="120" w:line="189" w:lineRule="auto"/>
              <w:ind w:left="2153"/>
              <w:rPr>
                <w:sz w:val="28"/>
                <w:szCs w:val="28"/>
              </w:rPr>
            </w:pPr>
            <w:r>
              <w:rPr>
                <w:b/>
                <w:bCs/>
                <w:spacing w:val="-8"/>
                <w:sz w:val="28"/>
                <w:szCs w:val="28"/>
              </w:rPr>
              <w:t>背面</w:t>
            </w:r>
          </w:p>
        </w:tc>
      </w:tr>
    </w:tbl>
    <w:p w14:paraId="1B87EABB">
      <w:pPr>
        <w:spacing w:before="63" w:line="209" w:lineRule="auto"/>
        <w:ind w:left="3501"/>
        <w:rPr>
          <w:rFonts w:ascii="宋体" w:hAnsi="宋体" w:eastAsia="宋体" w:cs="宋体"/>
          <w:sz w:val="28"/>
          <w:szCs w:val="28"/>
        </w:rPr>
      </w:pPr>
      <w:r>
        <w:rPr>
          <w:rFonts w:ascii="宋体" w:hAnsi="宋体" w:eastAsia="宋体" w:cs="宋体"/>
          <w:b/>
          <w:bCs/>
          <w:spacing w:val="-4"/>
          <w:sz w:val="28"/>
          <w:szCs w:val="28"/>
        </w:rPr>
        <w:t>被授权人身份证复印件</w:t>
      </w:r>
    </w:p>
    <w:tbl>
      <w:tblPr>
        <w:tblStyle w:val="5"/>
        <w:tblW w:w="9563"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3"/>
        <w:gridCol w:w="4950"/>
      </w:tblGrid>
      <w:tr w14:paraId="7C960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5" w:hRule="atLeast"/>
        </w:trPr>
        <w:tc>
          <w:tcPr>
            <w:tcW w:w="4613" w:type="dxa"/>
            <w:vAlign w:val="top"/>
          </w:tcPr>
          <w:p w14:paraId="03463451">
            <w:pPr>
              <w:spacing w:line="265" w:lineRule="auto"/>
              <w:rPr>
                <w:rFonts w:ascii="Arial"/>
                <w:sz w:val="21"/>
              </w:rPr>
            </w:pPr>
          </w:p>
          <w:p w14:paraId="6D5C4AD3">
            <w:pPr>
              <w:spacing w:line="265" w:lineRule="auto"/>
              <w:rPr>
                <w:rFonts w:ascii="Arial"/>
                <w:sz w:val="21"/>
              </w:rPr>
            </w:pPr>
          </w:p>
          <w:p w14:paraId="75E04D30">
            <w:pPr>
              <w:spacing w:line="266" w:lineRule="auto"/>
              <w:rPr>
                <w:rFonts w:ascii="Arial"/>
                <w:sz w:val="21"/>
              </w:rPr>
            </w:pPr>
          </w:p>
          <w:p w14:paraId="09E9D8AA">
            <w:pPr>
              <w:pStyle w:val="6"/>
              <w:spacing w:before="120" w:line="189" w:lineRule="auto"/>
              <w:ind w:left="2043"/>
              <w:rPr>
                <w:sz w:val="28"/>
                <w:szCs w:val="28"/>
              </w:rPr>
            </w:pPr>
            <w:r>
              <w:rPr>
                <w:b/>
                <w:bCs/>
                <w:spacing w:val="-6"/>
                <w:sz w:val="28"/>
                <w:szCs w:val="28"/>
              </w:rPr>
              <w:t>正面</w:t>
            </w:r>
          </w:p>
        </w:tc>
        <w:tc>
          <w:tcPr>
            <w:tcW w:w="4950" w:type="dxa"/>
            <w:vAlign w:val="top"/>
          </w:tcPr>
          <w:p w14:paraId="42FD456D">
            <w:pPr>
              <w:spacing w:line="265" w:lineRule="auto"/>
              <w:rPr>
                <w:rFonts w:ascii="Arial"/>
                <w:sz w:val="21"/>
              </w:rPr>
            </w:pPr>
          </w:p>
          <w:p w14:paraId="21F0E87E">
            <w:pPr>
              <w:spacing w:line="265" w:lineRule="auto"/>
              <w:rPr>
                <w:rFonts w:ascii="Arial"/>
                <w:sz w:val="21"/>
              </w:rPr>
            </w:pPr>
          </w:p>
          <w:p w14:paraId="200267BB">
            <w:pPr>
              <w:spacing w:line="266" w:lineRule="auto"/>
              <w:rPr>
                <w:rFonts w:ascii="Arial"/>
                <w:sz w:val="21"/>
              </w:rPr>
            </w:pPr>
          </w:p>
          <w:p w14:paraId="7903A148">
            <w:pPr>
              <w:pStyle w:val="6"/>
              <w:spacing w:before="120" w:line="189" w:lineRule="auto"/>
              <w:ind w:left="2220"/>
              <w:rPr>
                <w:sz w:val="28"/>
                <w:szCs w:val="28"/>
              </w:rPr>
            </w:pPr>
            <w:r>
              <w:rPr>
                <w:b/>
                <w:bCs/>
                <w:spacing w:val="-8"/>
                <w:sz w:val="28"/>
                <w:szCs w:val="28"/>
              </w:rPr>
              <w:t>背面</w:t>
            </w:r>
          </w:p>
        </w:tc>
      </w:tr>
    </w:tbl>
    <w:p w14:paraId="35F53C34">
      <w:pPr>
        <w:pStyle w:val="2"/>
        <w:spacing w:line="295" w:lineRule="auto"/>
      </w:pPr>
    </w:p>
    <w:p w14:paraId="17A74FE3">
      <w:pPr>
        <w:spacing w:before="138" w:line="184" w:lineRule="auto"/>
        <w:ind w:left="3637"/>
        <w:rPr>
          <w:rFonts w:ascii="微软雅黑" w:hAnsi="微软雅黑" w:eastAsia="微软雅黑" w:cs="微软雅黑"/>
          <w:sz w:val="32"/>
          <w:szCs w:val="32"/>
        </w:rPr>
      </w:pPr>
      <w:bookmarkStart w:id="60" w:name="bookmark33"/>
      <w:bookmarkEnd w:id="60"/>
      <w:r>
        <w:rPr>
          <w:rFonts w:ascii="微软雅黑" w:hAnsi="微软雅黑" w:eastAsia="微软雅黑" w:cs="微软雅黑"/>
          <w:b/>
          <w:bCs/>
          <w:spacing w:val="-3"/>
          <w:sz w:val="32"/>
          <w:szCs w:val="32"/>
        </w:rPr>
        <w:t>（七）开标一览表</w:t>
      </w:r>
    </w:p>
    <w:p w14:paraId="682CA68F">
      <w:pPr>
        <w:pStyle w:val="2"/>
        <w:spacing w:line="276" w:lineRule="auto"/>
      </w:pPr>
    </w:p>
    <w:p w14:paraId="30ACB807">
      <w:pPr>
        <w:spacing w:before="103" w:line="157" w:lineRule="auto"/>
        <w:ind w:left="234"/>
        <w:rPr>
          <w:rFonts w:ascii="微软雅黑" w:hAnsi="微软雅黑" w:eastAsia="微软雅黑" w:cs="微软雅黑"/>
          <w:sz w:val="24"/>
          <w:szCs w:val="24"/>
        </w:rPr>
      </w:pPr>
      <w:r>
        <w:rPr>
          <w:rFonts w:ascii="微软雅黑" w:hAnsi="微软雅黑" w:eastAsia="微软雅黑" w:cs="微软雅黑"/>
          <w:b/>
          <w:bCs/>
          <w:spacing w:val="-14"/>
          <w:sz w:val="24"/>
          <w:szCs w:val="24"/>
        </w:rPr>
        <w:t>投标人名称（公章</w:t>
      </w:r>
      <w:r>
        <w:rPr>
          <w:rFonts w:ascii="微软雅黑" w:hAnsi="微软雅黑" w:eastAsia="微软雅黑" w:cs="微软雅黑"/>
          <w:b/>
          <w:bCs/>
          <w:spacing w:val="-3"/>
          <w:sz w:val="24"/>
          <w:szCs w:val="24"/>
        </w:rPr>
        <w:t>）：</w:t>
      </w:r>
      <w:r>
        <w:rPr>
          <w:rFonts w:ascii="微软雅黑" w:hAnsi="微软雅黑" w:eastAsia="微软雅黑" w:cs="微软雅黑"/>
          <w:b/>
          <w:bCs/>
          <w:spacing w:val="1"/>
          <w:sz w:val="24"/>
          <w:szCs w:val="24"/>
        </w:rPr>
        <w:t xml:space="preserve">                                        </w:t>
      </w:r>
      <w:r>
        <w:rPr>
          <w:rFonts w:ascii="微软雅黑" w:hAnsi="微软雅黑" w:eastAsia="微软雅黑" w:cs="微软雅黑"/>
          <w:b/>
          <w:bCs/>
          <w:spacing w:val="-14"/>
          <w:sz w:val="24"/>
          <w:szCs w:val="24"/>
        </w:rPr>
        <w:t>招标文件编号：YLCG-2024GK</w:t>
      </w:r>
      <w:r>
        <w:rPr>
          <w:rFonts w:ascii="微软雅黑" w:hAnsi="微软雅黑" w:eastAsia="微软雅黑" w:cs="微软雅黑"/>
          <w:b/>
          <w:bCs/>
          <w:spacing w:val="-15"/>
          <w:sz w:val="24"/>
          <w:szCs w:val="24"/>
        </w:rPr>
        <w:t>-019号</w:t>
      </w:r>
    </w:p>
    <w:tbl>
      <w:tblPr>
        <w:tblStyle w:val="5"/>
        <w:tblW w:w="9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3164"/>
        <w:gridCol w:w="1258"/>
        <w:gridCol w:w="1259"/>
        <w:gridCol w:w="1983"/>
      </w:tblGrid>
      <w:tr w14:paraId="1B3FA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515" w:type="dxa"/>
            <w:vAlign w:val="top"/>
          </w:tcPr>
          <w:p w14:paraId="488902EA">
            <w:pPr>
              <w:spacing w:before="212" w:line="217" w:lineRule="auto"/>
              <w:ind w:left="560"/>
              <w:rPr>
                <w:rFonts w:ascii="仿宋" w:hAnsi="仿宋" w:eastAsia="仿宋" w:cs="仿宋"/>
                <w:sz w:val="21"/>
                <w:szCs w:val="21"/>
              </w:rPr>
            </w:pPr>
            <w:r>
              <w:rPr>
                <w:rFonts w:ascii="仿宋" w:hAnsi="仿宋" w:eastAsia="仿宋" w:cs="仿宋"/>
                <w:spacing w:val="-2"/>
                <w:sz w:val="21"/>
                <w:szCs w:val="21"/>
              </w:rPr>
              <w:t>序号</w:t>
            </w:r>
          </w:p>
        </w:tc>
        <w:tc>
          <w:tcPr>
            <w:tcW w:w="3164" w:type="dxa"/>
            <w:vAlign w:val="top"/>
          </w:tcPr>
          <w:p w14:paraId="7AFBBC33">
            <w:pPr>
              <w:spacing w:before="211" w:line="216" w:lineRule="auto"/>
              <w:ind w:left="1095"/>
              <w:rPr>
                <w:rFonts w:ascii="仿宋" w:hAnsi="仿宋" w:eastAsia="仿宋" w:cs="仿宋"/>
                <w:sz w:val="21"/>
                <w:szCs w:val="21"/>
              </w:rPr>
            </w:pPr>
            <w:r>
              <w:rPr>
                <w:rFonts w:ascii="仿宋" w:hAnsi="仿宋" w:eastAsia="仿宋" w:cs="仿宋"/>
                <w:spacing w:val="-3"/>
                <w:sz w:val="21"/>
                <w:szCs w:val="21"/>
              </w:rPr>
              <w:t>项目名称</w:t>
            </w:r>
          </w:p>
        </w:tc>
        <w:tc>
          <w:tcPr>
            <w:tcW w:w="1258" w:type="dxa"/>
            <w:vAlign w:val="top"/>
          </w:tcPr>
          <w:p w14:paraId="743B52A0">
            <w:pPr>
              <w:spacing w:before="212" w:line="217" w:lineRule="auto"/>
              <w:ind w:left="121"/>
              <w:rPr>
                <w:rFonts w:ascii="仿宋" w:hAnsi="仿宋" w:eastAsia="仿宋" w:cs="仿宋"/>
                <w:sz w:val="21"/>
                <w:szCs w:val="21"/>
              </w:rPr>
            </w:pPr>
            <w:r>
              <w:rPr>
                <w:rFonts w:ascii="仿宋" w:hAnsi="仿宋" w:eastAsia="仿宋" w:cs="仿宋"/>
                <w:spacing w:val="-3"/>
                <w:sz w:val="21"/>
                <w:szCs w:val="21"/>
              </w:rPr>
              <w:t>报价（元）</w:t>
            </w:r>
          </w:p>
        </w:tc>
        <w:tc>
          <w:tcPr>
            <w:tcW w:w="1259" w:type="dxa"/>
            <w:vAlign w:val="top"/>
          </w:tcPr>
          <w:p w14:paraId="63ACA8CB">
            <w:pPr>
              <w:spacing w:before="212" w:line="217" w:lineRule="auto"/>
              <w:ind w:left="119"/>
              <w:rPr>
                <w:rFonts w:ascii="仿宋" w:hAnsi="仿宋" w:eastAsia="仿宋" w:cs="仿宋"/>
                <w:sz w:val="21"/>
                <w:szCs w:val="21"/>
              </w:rPr>
            </w:pPr>
            <w:r>
              <w:rPr>
                <w:rFonts w:ascii="仿宋" w:hAnsi="仿宋" w:eastAsia="仿宋" w:cs="仿宋"/>
                <w:spacing w:val="-2"/>
                <w:sz w:val="21"/>
                <w:szCs w:val="21"/>
              </w:rPr>
              <w:t>服务完成期</w:t>
            </w:r>
          </w:p>
        </w:tc>
        <w:tc>
          <w:tcPr>
            <w:tcW w:w="1983" w:type="dxa"/>
            <w:vAlign w:val="top"/>
          </w:tcPr>
          <w:p w14:paraId="6BE56E54">
            <w:pPr>
              <w:spacing w:before="211" w:line="220" w:lineRule="auto"/>
              <w:ind w:left="743"/>
              <w:rPr>
                <w:rFonts w:ascii="仿宋" w:hAnsi="仿宋" w:eastAsia="仿宋" w:cs="仿宋"/>
                <w:sz w:val="21"/>
                <w:szCs w:val="21"/>
              </w:rPr>
            </w:pPr>
            <w:r>
              <w:rPr>
                <w:rFonts w:ascii="仿宋" w:hAnsi="仿宋" w:eastAsia="仿宋" w:cs="仿宋"/>
                <w:spacing w:val="-6"/>
                <w:sz w:val="21"/>
                <w:szCs w:val="21"/>
              </w:rPr>
              <w:t>备</w:t>
            </w:r>
            <w:r>
              <w:rPr>
                <w:rFonts w:ascii="仿宋" w:hAnsi="仿宋" w:eastAsia="仿宋" w:cs="仿宋"/>
                <w:spacing w:val="13"/>
                <w:sz w:val="21"/>
                <w:szCs w:val="21"/>
              </w:rPr>
              <w:t xml:space="preserve"> </w:t>
            </w:r>
            <w:r>
              <w:rPr>
                <w:rFonts w:ascii="仿宋" w:hAnsi="仿宋" w:eastAsia="仿宋" w:cs="仿宋"/>
                <w:spacing w:val="-6"/>
                <w:sz w:val="21"/>
                <w:szCs w:val="21"/>
              </w:rPr>
              <w:t>注</w:t>
            </w:r>
          </w:p>
        </w:tc>
      </w:tr>
      <w:tr w14:paraId="06979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15" w:type="dxa"/>
            <w:vAlign w:val="top"/>
          </w:tcPr>
          <w:p w14:paraId="0F64F25F">
            <w:pPr>
              <w:rPr>
                <w:rFonts w:ascii="Arial"/>
                <w:sz w:val="21"/>
              </w:rPr>
            </w:pPr>
          </w:p>
        </w:tc>
        <w:tc>
          <w:tcPr>
            <w:tcW w:w="3164" w:type="dxa"/>
            <w:vAlign w:val="top"/>
          </w:tcPr>
          <w:p w14:paraId="3CE0DAAC">
            <w:pPr>
              <w:rPr>
                <w:rFonts w:ascii="Arial"/>
                <w:sz w:val="21"/>
              </w:rPr>
            </w:pPr>
          </w:p>
        </w:tc>
        <w:tc>
          <w:tcPr>
            <w:tcW w:w="1258" w:type="dxa"/>
            <w:vAlign w:val="top"/>
          </w:tcPr>
          <w:p w14:paraId="28D9DB1A">
            <w:pPr>
              <w:rPr>
                <w:rFonts w:ascii="Arial"/>
                <w:sz w:val="21"/>
              </w:rPr>
            </w:pPr>
          </w:p>
        </w:tc>
        <w:tc>
          <w:tcPr>
            <w:tcW w:w="1259" w:type="dxa"/>
            <w:vAlign w:val="top"/>
          </w:tcPr>
          <w:p w14:paraId="693F3849">
            <w:pPr>
              <w:rPr>
                <w:rFonts w:ascii="Arial"/>
                <w:sz w:val="21"/>
              </w:rPr>
            </w:pPr>
          </w:p>
        </w:tc>
        <w:tc>
          <w:tcPr>
            <w:tcW w:w="1983" w:type="dxa"/>
            <w:vAlign w:val="top"/>
          </w:tcPr>
          <w:p w14:paraId="37F0B980">
            <w:pPr>
              <w:rPr>
                <w:rFonts w:ascii="Arial"/>
                <w:sz w:val="21"/>
              </w:rPr>
            </w:pPr>
          </w:p>
        </w:tc>
      </w:tr>
      <w:tr w14:paraId="70D51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515" w:type="dxa"/>
            <w:vAlign w:val="top"/>
          </w:tcPr>
          <w:p w14:paraId="29975B51">
            <w:pPr>
              <w:rPr>
                <w:rFonts w:ascii="Arial"/>
                <w:sz w:val="21"/>
              </w:rPr>
            </w:pPr>
          </w:p>
        </w:tc>
        <w:tc>
          <w:tcPr>
            <w:tcW w:w="3164" w:type="dxa"/>
            <w:vAlign w:val="top"/>
          </w:tcPr>
          <w:p w14:paraId="632CB394">
            <w:pPr>
              <w:rPr>
                <w:rFonts w:ascii="Arial"/>
                <w:sz w:val="21"/>
              </w:rPr>
            </w:pPr>
          </w:p>
        </w:tc>
        <w:tc>
          <w:tcPr>
            <w:tcW w:w="1258" w:type="dxa"/>
            <w:vAlign w:val="top"/>
          </w:tcPr>
          <w:p w14:paraId="673920D0">
            <w:pPr>
              <w:rPr>
                <w:rFonts w:ascii="Arial"/>
                <w:sz w:val="21"/>
              </w:rPr>
            </w:pPr>
          </w:p>
        </w:tc>
        <w:tc>
          <w:tcPr>
            <w:tcW w:w="1259" w:type="dxa"/>
            <w:vAlign w:val="top"/>
          </w:tcPr>
          <w:p w14:paraId="0FACFF76">
            <w:pPr>
              <w:rPr>
                <w:rFonts w:ascii="Arial"/>
                <w:sz w:val="21"/>
              </w:rPr>
            </w:pPr>
          </w:p>
        </w:tc>
        <w:tc>
          <w:tcPr>
            <w:tcW w:w="1983" w:type="dxa"/>
            <w:vAlign w:val="top"/>
          </w:tcPr>
          <w:p w14:paraId="58EC919C">
            <w:pPr>
              <w:rPr>
                <w:rFonts w:ascii="Arial"/>
                <w:sz w:val="21"/>
              </w:rPr>
            </w:pPr>
          </w:p>
        </w:tc>
      </w:tr>
    </w:tbl>
    <w:p w14:paraId="4F514C17">
      <w:pPr>
        <w:pStyle w:val="2"/>
        <w:spacing w:line="121" w:lineRule="exact"/>
        <w:rPr>
          <w:sz w:val="10"/>
        </w:rPr>
      </w:pPr>
    </w:p>
    <w:p w14:paraId="4B230D8E">
      <w:pPr>
        <w:spacing w:line="121" w:lineRule="exact"/>
        <w:rPr>
          <w:sz w:val="10"/>
          <w:szCs w:val="10"/>
        </w:rPr>
        <w:sectPr>
          <w:headerReference r:id="rId97" w:type="default"/>
          <w:footerReference r:id="rId98" w:type="default"/>
          <w:pgSz w:w="11906" w:h="16839"/>
          <w:pgMar w:top="1142" w:right="1008" w:bottom="1171" w:left="1199" w:header="855" w:footer="993" w:gutter="0"/>
          <w:cols w:space="720" w:num="1"/>
        </w:sectPr>
      </w:pPr>
    </w:p>
    <w:p w14:paraId="4852CE5A">
      <w:pPr>
        <w:pStyle w:val="2"/>
        <w:spacing w:line="414" w:lineRule="auto"/>
      </w:pPr>
    </w:p>
    <w:p w14:paraId="06C34471">
      <w:pPr>
        <w:spacing w:before="62" w:line="210" w:lineRule="auto"/>
        <w:ind w:left="210"/>
        <w:rPr>
          <w:rFonts w:ascii="宋体" w:hAnsi="宋体" w:eastAsia="宋体" w:cs="宋体"/>
          <w:sz w:val="18"/>
          <w:szCs w:val="18"/>
        </w:rPr>
      </w:pPr>
      <w:r>
        <w:pict>
          <v:shape id="_x0000_s1080" o:spid="_x0000_s1080" style="position:absolute;left:0pt;margin-left:9.85pt;margin-top:14.75pt;height:0.75pt;width:470.6pt;z-index:251745280;mso-width-relative:page;mso-height-relative:page;" filled="f" stroked="t" coordsize="9412,15" path="m0,7l9411,7e">
            <v:fill on="f" focussize="0,0"/>
            <v:stroke color="#000000" miterlimit="10" joinstyle="miter"/>
            <v:imagedata o:title=""/>
            <o:lock v:ext="edit"/>
          </v:shape>
        </w:pict>
      </w:r>
      <w:r>
        <w:rPr>
          <w:rFonts w:ascii="楷体" w:hAnsi="楷体" w:eastAsia="楷体" w:cs="楷体"/>
          <w:b/>
          <w:bCs/>
          <w:i/>
          <w:iCs/>
          <w:sz w:val="19"/>
          <w:szCs w:val="19"/>
        </w:rPr>
        <w:t>公开招标文件</w:t>
      </w:r>
      <w:r>
        <w:rPr>
          <w:rFonts w:ascii="楷体" w:hAnsi="楷体" w:eastAsia="楷体" w:cs="楷体"/>
          <w:spacing w:val="1"/>
          <w:sz w:val="19"/>
          <w:szCs w:val="19"/>
        </w:rPr>
        <w:t xml:space="preserve">                                                                  </w:t>
      </w:r>
      <w:r>
        <w:rPr>
          <w:rFonts w:ascii="Times New Roman" w:hAnsi="Times New Roman" w:eastAsia="Times New Roman" w:cs="Times New Roman"/>
          <w:sz w:val="18"/>
          <w:szCs w:val="18"/>
        </w:rPr>
        <w:t xml:space="preserve">YLCG-2024 GK- 019 </w:t>
      </w:r>
      <w:r>
        <w:rPr>
          <w:rFonts w:ascii="宋体" w:hAnsi="宋体" w:eastAsia="宋体" w:cs="宋体"/>
          <w:sz w:val="18"/>
          <w:szCs w:val="18"/>
        </w:rPr>
        <w:t>号</w:t>
      </w:r>
    </w:p>
    <w:p w14:paraId="12C1B0A6">
      <w:pPr>
        <w:spacing w:line="38" w:lineRule="exact"/>
      </w:pPr>
    </w:p>
    <w:tbl>
      <w:tblPr>
        <w:tblStyle w:val="5"/>
        <w:tblW w:w="9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3164"/>
        <w:gridCol w:w="1258"/>
        <w:gridCol w:w="1259"/>
        <w:gridCol w:w="1983"/>
      </w:tblGrid>
      <w:tr w14:paraId="760EE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515" w:type="dxa"/>
            <w:vAlign w:val="top"/>
          </w:tcPr>
          <w:p w14:paraId="4FF9606C">
            <w:pPr>
              <w:rPr>
                <w:rFonts w:ascii="Arial"/>
                <w:sz w:val="21"/>
              </w:rPr>
            </w:pPr>
          </w:p>
        </w:tc>
        <w:tc>
          <w:tcPr>
            <w:tcW w:w="3164" w:type="dxa"/>
            <w:vAlign w:val="top"/>
          </w:tcPr>
          <w:p w14:paraId="52FD2DF6">
            <w:pPr>
              <w:rPr>
                <w:rFonts w:ascii="Arial"/>
                <w:sz w:val="21"/>
              </w:rPr>
            </w:pPr>
          </w:p>
        </w:tc>
        <w:tc>
          <w:tcPr>
            <w:tcW w:w="1258" w:type="dxa"/>
            <w:vAlign w:val="top"/>
          </w:tcPr>
          <w:p w14:paraId="064DFCA4">
            <w:pPr>
              <w:rPr>
                <w:rFonts w:ascii="Arial"/>
                <w:sz w:val="21"/>
              </w:rPr>
            </w:pPr>
          </w:p>
        </w:tc>
        <w:tc>
          <w:tcPr>
            <w:tcW w:w="1259" w:type="dxa"/>
            <w:vAlign w:val="top"/>
          </w:tcPr>
          <w:p w14:paraId="7F09DAFC">
            <w:pPr>
              <w:rPr>
                <w:rFonts w:ascii="Arial"/>
                <w:sz w:val="21"/>
              </w:rPr>
            </w:pPr>
          </w:p>
        </w:tc>
        <w:tc>
          <w:tcPr>
            <w:tcW w:w="1983" w:type="dxa"/>
            <w:vAlign w:val="top"/>
          </w:tcPr>
          <w:p w14:paraId="600C6213">
            <w:pPr>
              <w:rPr>
                <w:rFonts w:ascii="Arial"/>
                <w:sz w:val="21"/>
              </w:rPr>
            </w:pPr>
          </w:p>
        </w:tc>
      </w:tr>
      <w:tr w14:paraId="1C0A7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179" w:type="dxa"/>
            <w:gridSpan w:val="5"/>
            <w:vAlign w:val="top"/>
          </w:tcPr>
          <w:p w14:paraId="2EAB316E">
            <w:pPr>
              <w:spacing w:before="145" w:line="217" w:lineRule="auto"/>
              <w:ind w:left="184"/>
              <w:rPr>
                <w:rFonts w:ascii="仿宋" w:hAnsi="仿宋" w:eastAsia="仿宋" w:cs="仿宋"/>
                <w:sz w:val="21"/>
                <w:szCs w:val="21"/>
              </w:rPr>
            </w:pPr>
            <w:r>
              <w:rPr>
                <w:rFonts w:ascii="仿宋" w:hAnsi="仿宋" w:eastAsia="仿宋" w:cs="仿宋"/>
                <w:spacing w:val="-10"/>
                <w:sz w:val="21"/>
                <w:szCs w:val="21"/>
              </w:rPr>
              <w:t>人民币大写：</w:t>
            </w:r>
          </w:p>
        </w:tc>
      </w:tr>
    </w:tbl>
    <w:p w14:paraId="66AD510A">
      <w:pPr>
        <w:spacing w:before="48" w:line="188" w:lineRule="auto"/>
        <w:ind w:left="234"/>
        <w:rPr>
          <w:rFonts w:ascii="微软雅黑" w:hAnsi="微软雅黑" w:eastAsia="微软雅黑" w:cs="微软雅黑"/>
          <w:sz w:val="24"/>
          <w:szCs w:val="24"/>
        </w:rPr>
      </w:pPr>
      <w:r>
        <w:rPr>
          <w:rFonts w:ascii="微软雅黑" w:hAnsi="微软雅黑" w:eastAsia="微软雅黑" w:cs="微软雅黑"/>
          <w:spacing w:val="-7"/>
          <w:sz w:val="24"/>
          <w:szCs w:val="24"/>
        </w:rPr>
        <w:t>投标人授权代表签字：</w:t>
      </w:r>
    </w:p>
    <w:p w14:paraId="03CDAE04">
      <w:pPr>
        <w:pStyle w:val="2"/>
        <w:spacing w:line="257" w:lineRule="auto"/>
      </w:pPr>
    </w:p>
    <w:p w14:paraId="20DCBFDD">
      <w:pPr>
        <w:spacing w:before="137" w:line="184" w:lineRule="auto"/>
        <w:ind w:left="3132"/>
        <w:rPr>
          <w:rFonts w:ascii="微软雅黑" w:hAnsi="微软雅黑" w:eastAsia="微软雅黑" w:cs="微软雅黑"/>
          <w:sz w:val="32"/>
          <w:szCs w:val="32"/>
        </w:rPr>
      </w:pPr>
      <w:bookmarkStart w:id="61" w:name="bookmark35"/>
      <w:bookmarkEnd w:id="61"/>
      <w:r>
        <w:rPr>
          <w:rFonts w:ascii="微软雅黑" w:hAnsi="微软雅黑" w:eastAsia="微软雅黑" w:cs="微软雅黑"/>
          <w:b/>
          <w:bCs/>
          <w:spacing w:val="-4"/>
          <w:sz w:val="32"/>
          <w:szCs w:val="32"/>
        </w:rPr>
        <w:t>（八）服务功能偏离表</w:t>
      </w:r>
    </w:p>
    <w:p w14:paraId="76BF3C1E">
      <w:pPr>
        <w:pStyle w:val="2"/>
        <w:spacing w:line="273" w:lineRule="auto"/>
      </w:pPr>
    </w:p>
    <w:p w14:paraId="56E4A0EC">
      <w:pPr>
        <w:spacing w:before="104" w:line="166" w:lineRule="auto"/>
        <w:ind w:left="234"/>
        <w:rPr>
          <w:rFonts w:ascii="微软雅黑" w:hAnsi="微软雅黑" w:eastAsia="微软雅黑" w:cs="微软雅黑"/>
          <w:sz w:val="24"/>
          <w:szCs w:val="24"/>
        </w:rPr>
      </w:pPr>
      <w:r>
        <w:rPr>
          <w:rFonts w:ascii="微软雅黑" w:hAnsi="微软雅黑" w:eastAsia="微软雅黑" w:cs="微软雅黑"/>
          <w:b/>
          <w:bCs/>
          <w:spacing w:val="-14"/>
          <w:sz w:val="24"/>
          <w:szCs w:val="24"/>
        </w:rPr>
        <w:t>投标人名称（公章</w:t>
      </w:r>
      <w:r>
        <w:rPr>
          <w:rFonts w:ascii="微软雅黑" w:hAnsi="微软雅黑" w:eastAsia="微软雅黑" w:cs="微软雅黑"/>
          <w:b/>
          <w:bCs/>
          <w:spacing w:val="-3"/>
          <w:sz w:val="24"/>
          <w:szCs w:val="24"/>
        </w:rPr>
        <w:t>）：</w:t>
      </w:r>
      <w:r>
        <w:rPr>
          <w:rFonts w:ascii="微软雅黑" w:hAnsi="微软雅黑" w:eastAsia="微软雅黑" w:cs="微软雅黑"/>
          <w:b/>
          <w:bCs/>
          <w:spacing w:val="1"/>
          <w:sz w:val="24"/>
          <w:szCs w:val="24"/>
        </w:rPr>
        <w:t xml:space="preserve">                           </w:t>
      </w:r>
      <w:r>
        <w:rPr>
          <w:rFonts w:ascii="微软雅黑" w:hAnsi="微软雅黑" w:eastAsia="微软雅黑" w:cs="微软雅黑"/>
          <w:b/>
          <w:bCs/>
          <w:sz w:val="24"/>
          <w:szCs w:val="24"/>
        </w:rPr>
        <w:t xml:space="preserve">               </w:t>
      </w:r>
      <w:r>
        <w:rPr>
          <w:rFonts w:ascii="微软雅黑" w:hAnsi="微软雅黑" w:eastAsia="微软雅黑" w:cs="微软雅黑"/>
          <w:b/>
          <w:bCs/>
          <w:spacing w:val="-14"/>
          <w:sz w:val="24"/>
          <w:szCs w:val="24"/>
        </w:rPr>
        <w:t>招标文件编号：YLCG-20</w:t>
      </w:r>
      <w:r>
        <w:rPr>
          <w:rFonts w:ascii="微软雅黑" w:hAnsi="微软雅黑" w:eastAsia="微软雅黑" w:cs="微软雅黑"/>
          <w:b/>
          <w:bCs/>
          <w:spacing w:val="-15"/>
          <w:sz w:val="24"/>
          <w:szCs w:val="24"/>
        </w:rPr>
        <w:t>24GK-019 号</w:t>
      </w:r>
    </w:p>
    <w:tbl>
      <w:tblPr>
        <w:tblStyle w:val="5"/>
        <w:tblW w:w="9169" w:type="dxa"/>
        <w:tblInd w:w="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
        <w:gridCol w:w="1728"/>
        <w:gridCol w:w="2248"/>
        <w:gridCol w:w="1791"/>
        <w:gridCol w:w="1585"/>
        <w:gridCol w:w="1138"/>
      </w:tblGrid>
      <w:tr w14:paraId="6ED55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679" w:type="dxa"/>
            <w:textDirection w:val="tbRlV"/>
            <w:vAlign w:val="top"/>
          </w:tcPr>
          <w:p w14:paraId="28D9BD5B">
            <w:pPr>
              <w:pStyle w:val="6"/>
              <w:spacing w:before="216" w:line="173" w:lineRule="auto"/>
              <w:ind w:left="131"/>
            </w:pPr>
            <w:r>
              <w:rPr>
                <w:b/>
                <w:bCs/>
                <w:spacing w:val="5"/>
              </w:rPr>
              <w:t>序</w:t>
            </w:r>
            <w:r>
              <w:rPr>
                <w:b/>
                <w:bCs/>
                <w:spacing w:val="16"/>
              </w:rPr>
              <w:t xml:space="preserve"> </w:t>
            </w:r>
            <w:r>
              <w:rPr>
                <w:b/>
                <w:bCs/>
                <w:spacing w:val="5"/>
              </w:rPr>
              <w:t>号</w:t>
            </w:r>
          </w:p>
        </w:tc>
        <w:tc>
          <w:tcPr>
            <w:tcW w:w="1728" w:type="dxa"/>
            <w:vAlign w:val="top"/>
          </w:tcPr>
          <w:p w14:paraId="40351BCE">
            <w:pPr>
              <w:pStyle w:val="6"/>
              <w:spacing w:before="299" w:line="188" w:lineRule="auto"/>
              <w:ind w:left="391"/>
            </w:pPr>
            <w:r>
              <w:rPr>
                <w:b/>
                <w:bCs/>
                <w:spacing w:val="-3"/>
              </w:rPr>
              <w:t>服务内容</w:t>
            </w:r>
          </w:p>
        </w:tc>
        <w:tc>
          <w:tcPr>
            <w:tcW w:w="2248" w:type="dxa"/>
            <w:vAlign w:val="top"/>
          </w:tcPr>
          <w:p w14:paraId="1D7E1760">
            <w:pPr>
              <w:pStyle w:val="6"/>
              <w:spacing w:before="195" w:line="183" w:lineRule="auto"/>
              <w:ind w:left="658" w:right="640" w:hanging="5"/>
            </w:pPr>
            <w:r>
              <w:rPr>
                <w:b/>
                <w:bCs/>
                <w:spacing w:val="-4"/>
              </w:rPr>
              <w:t>招标文件</w:t>
            </w:r>
            <w:r>
              <w:rPr>
                <w:b/>
                <w:bCs/>
              </w:rPr>
              <w:t xml:space="preserve"> </w:t>
            </w:r>
            <w:r>
              <w:rPr>
                <w:b/>
                <w:bCs/>
                <w:spacing w:val="-6"/>
              </w:rPr>
              <w:t>要求部分</w:t>
            </w:r>
          </w:p>
        </w:tc>
        <w:tc>
          <w:tcPr>
            <w:tcW w:w="1791" w:type="dxa"/>
            <w:vAlign w:val="top"/>
          </w:tcPr>
          <w:p w14:paraId="53DF2FD7">
            <w:pPr>
              <w:pStyle w:val="6"/>
              <w:spacing w:before="195" w:line="183" w:lineRule="auto"/>
              <w:ind w:left="434" w:right="409" w:hanging="8"/>
            </w:pPr>
            <w:r>
              <w:rPr>
                <w:b/>
                <w:bCs/>
                <w:spacing w:val="-4"/>
              </w:rPr>
              <w:t>投标服务</w:t>
            </w:r>
            <w:r>
              <w:rPr>
                <w:b/>
                <w:bCs/>
              </w:rPr>
              <w:t xml:space="preserve"> </w:t>
            </w:r>
            <w:r>
              <w:rPr>
                <w:b/>
                <w:bCs/>
                <w:spacing w:val="-6"/>
              </w:rPr>
              <w:t>响应部分</w:t>
            </w:r>
          </w:p>
        </w:tc>
        <w:tc>
          <w:tcPr>
            <w:tcW w:w="1585" w:type="dxa"/>
            <w:vAlign w:val="top"/>
          </w:tcPr>
          <w:p w14:paraId="1B1D8460">
            <w:pPr>
              <w:pStyle w:val="6"/>
              <w:spacing w:before="132" w:line="189" w:lineRule="auto"/>
              <w:ind w:left="567"/>
            </w:pPr>
            <w:r>
              <w:rPr>
                <w:b/>
                <w:bCs/>
                <w:spacing w:val="-5"/>
              </w:rPr>
              <w:t>偏离</w:t>
            </w:r>
          </w:p>
          <w:p w14:paraId="59527419">
            <w:pPr>
              <w:pStyle w:val="6"/>
              <w:spacing w:before="8" w:line="184" w:lineRule="auto"/>
              <w:ind w:left="120"/>
            </w:pPr>
            <w:r>
              <w:rPr>
                <w:b/>
                <w:bCs/>
                <w:spacing w:val="-3"/>
              </w:rPr>
              <w:t>（正/无/负）</w:t>
            </w:r>
          </w:p>
        </w:tc>
        <w:tc>
          <w:tcPr>
            <w:tcW w:w="1138" w:type="dxa"/>
            <w:vAlign w:val="top"/>
          </w:tcPr>
          <w:p w14:paraId="311144EA">
            <w:pPr>
              <w:pStyle w:val="6"/>
              <w:spacing w:before="298" w:line="187" w:lineRule="auto"/>
              <w:ind w:left="342"/>
            </w:pPr>
            <w:r>
              <w:rPr>
                <w:b/>
                <w:bCs/>
                <w:spacing w:val="-5"/>
              </w:rPr>
              <w:t>说明</w:t>
            </w:r>
          </w:p>
        </w:tc>
      </w:tr>
      <w:tr w14:paraId="6B437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679" w:type="dxa"/>
            <w:vAlign w:val="top"/>
          </w:tcPr>
          <w:p w14:paraId="1FF444E7">
            <w:pPr>
              <w:pStyle w:val="6"/>
              <w:spacing w:before="92" w:line="159" w:lineRule="auto"/>
              <w:ind w:left="129"/>
            </w:pPr>
            <w:r>
              <w:t>1</w:t>
            </w:r>
          </w:p>
        </w:tc>
        <w:tc>
          <w:tcPr>
            <w:tcW w:w="1728" w:type="dxa"/>
            <w:vAlign w:val="top"/>
          </w:tcPr>
          <w:p w14:paraId="09500914">
            <w:pPr>
              <w:rPr>
                <w:rFonts w:ascii="Arial"/>
                <w:sz w:val="21"/>
              </w:rPr>
            </w:pPr>
          </w:p>
        </w:tc>
        <w:tc>
          <w:tcPr>
            <w:tcW w:w="2248" w:type="dxa"/>
            <w:vAlign w:val="top"/>
          </w:tcPr>
          <w:p w14:paraId="43198BE2">
            <w:pPr>
              <w:rPr>
                <w:rFonts w:ascii="Arial"/>
                <w:sz w:val="21"/>
              </w:rPr>
            </w:pPr>
          </w:p>
        </w:tc>
        <w:tc>
          <w:tcPr>
            <w:tcW w:w="1791" w:type="dxa"/>
            <w:vAlign w:val="top"/>
          </w:tcPr>
          <w:p w14:paraId="2B3808FA">
            <w:pPr>
              <w:rPr>
                <w:rFonts w:ascii="Arial"/>
                <w:sz w:val="21"/>
              </w:rPr>
            </w:pPr>
          </w:p>
        </w:tc>
        <w:tc>
          <w:tcPr>
            <w:tcW w:w="1585" w:type="dxa"/>
            <w:vAlign w:val="top"/>
          </w:tcPr>
          <w:p w14:paraId="6D78CCF8">
            <w:pPr>
              <w:rPr>
                <w:rFonts w:ascii="Arial"/>
                <w:sz w:val="21"/>
              </w:rPr>
            </w:pPr>
          </w:p>
        </w:tc>
        <w:tc>
          <w:tcPr>
            <w:tcW w:w="1138" w:type="dxa"/>
            <w:vAlign w:val="top"/>
          </w:tcPr>
          <w:p w14:paraId="0324FCFE">
            <w:pPr>
              <w:rPr>
                <w:rFonts w:ascii="Arial"/>
                <w:sz w:val="21"/>
              </w:rPr>
            </w:pPr>
          </w:p>
        </w:tc>
      </w:tr>
      <w:tr w14:paraId="2E69A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679" w:type="dxa"/>
            <w:vAlign w:val="top"/>
          </w:tcPr>
          <w:p w14:paraId="28762D24">
            <w:pPr>
              <w:pStyle w:val="6"/>
              <w:spacing w:before="94" w:line="159" w:lineRule="auto"/>
              <w:ind w:left="114"/>
            </w:pPr>
            <w:r>
              <w:t>2</w:t>
            </w:r>
          </w:p>
        </w:tc>
        <w:tc>
          <w:tcPr>
            <w:tcW w:w="1728" w:type="dxa"/>
            <w:vAlign w:val="top"/>
          </w:tcPr>
          <w:p w14:paraId="3D415423">
            <w:pPr>
              <w:rPr>
                <w:rFonts w:ascii="Arial"/>
                <w:sz w:val="21"/>
              </w:rPr>
            </w:pPr>
          </w:p>
        </w:tc>
        <w:tc>
          <w:tcPr>
            <w:tcW w:w="2248" w:type="dxa"/>
            <w:vAlign w:val="top"/>
          </w:tcPr>
          <w:p w14:paraId="416BD413">
            <w:pPr>
              <w:rPr>
                <w:rFonts w:ascii="Arial"/>
                <w:sz w:val="21"/>
              </w:rPr>
            </w:pPr>
          </w:p>
        </w:tc>
        <w:tc>
          <w:tcPr>
            <w:tcW w:w="1791" w:type="dxa"/>
            <w:vAlign w:val="top"/>
          </w:tcPr>
          <w:p w14:paraId="326A4A16">
            <w:pPr>
              <w:rPr>
                <w:rFonts w:ascii="Arial"/>
                <w:sz w:val="21"/>
              </w:rPr>
            </w:pPr>
          </w:p>
        </w:tc>
        <w:tc>
          <w:tcPr>
            <w:tcW w:w="1585" w:type="dxa"/>
            <w:vAlign w:val="top"/>
          </w:tcPr>
          <w:p w14:paraId="13C526CB">
            <w:pPr>
              <w:rPr>
                <w:rFonts w:ascii="Arial"/>
                <w:sz w:val="21"/>
              </w:rPr>
            </w:pPr>
          </w:p>
        </w:tc>
        <w:tc>
          <w:tcPr>
            <w:tcW w:w="1138" w:type="dxa"/>
            <w:vAlign w:val="top"/>
          </w:tcPr>
          <w:p w14:paraId="73F03DB4">
            <w:pPr>
              <w:rPr>
                <w:rFonts w:ascii="Arial"/>
                <w:sz w:val="21"/>
              </w:rPr>
            </w:pPr>
          </w:p>
        </w:tc>
      </w:tr>
    </w:tbl>
    <w:p w14:paraId="365C3793">
      <w:pPr>
        <w:spacing w:before="49" w:line="188" w:lineRule="auto"/>
        <w:ind w:left="241"/>
        <w:rPr>
          <w:rFonts w:ascii="微软雅黑" w:hAnsi="微软雅黑" w:eastAsia="微软雅黑" w:cs="微软雅黑"/>
          <w:sz w:val="24"/>
          <w:szCs w:val="24"/>
        </w:rPr>
      </w:pPr>
      <w:r>
        <w:rPr>
          <w:rFonts w:ascii="微软雅黑" w:hAnsi="微软雅黑" w:eastAsia="微软雅黑" w:cs="微软雅黑"/>
          <w:b/>
          <w:bCs/>
          <w:spacing w:val="-6"/>
          <w:sz w:val="24"/>
          <w:szCs w:val="24"/>
        </w:rPr>
        <w:t>注：此表可延伸。</w:t>
      </w:r>
    </w:p>
    <w:p w14:paraId="30962FB2">
      <w:pPr>
        <w:spacing w:before="10" w:line="220" w:lineRule="auto"/>
        <w:ind w:left="231"/>
        <w:rPr>
          <w:rFonts w:ascii="宋体" w:hAnsi="宋体" w:eastAsia="宋体" w:cs="宋体"/>
          <w:sz w:val="24"/>
          <w:szCs w:val="24"/>
        </w:rPr>
      </w:pPr>
      <w:r>
        <w:rPr>
          <w:rFonts w:ascii="宋体" w:hAnsi="宋体" w:eastAsia="宋体" w:cs="宋体"/>
          <w:b/>
          <w:bCs/>
          <w:spacing w:val="-3"/>
          <w:sz w:val="24"/>
          <w:szCs w:val="24"/>
        </w:rPr>
        <w:t>投标人授权代表签字：</w:t>
      </w:r>
    </w:p>
    <w:p w14:paraId="39CB5BC2">
      <w:pPr>
        <w:pStyle w:val="2"/>
        <w:spacing w:line="294" w:lineRule="auto"/>
      </w:pPr>
    </w:p>
    <w:p w14:paraId="1A5B73B2">
      <w:pPr>
        <w:spacing w:before="138" w:line="184" w:lineRule="auto"/>
        <w:ind w:left="3157"/>
        <w:rPr>
          <w:rFonts w:ascii="微软雅黑" w:hAnsi="微软雅黑" w:eastAsia="微软雅黑" w:cs="微软雅黑"/>
          <w:sz w:val="32"/>
          <w:szCs w:val="32"/>
        </w:rPr>
      </w:pPr>
      <w:bookmarkStart w:id="62" w:name="bookmark37"/>
      <w:bookmarkEnd w:id="62"/>
      <w:r>
        <w:rPr>
          <w:rFonts w:ascii="微软雅黑" w:hAnsi="微软雅黑" w:eastAsia="微软雅黑" w:cs="微软雅黑"/>
          <w:b/>
          <w:bCs/>
          <w:spacing w:val="-4"/>
          <w:sz w:val="32"/>
          <w:szCs w:val="32"/>
        </w:rPr>
        <w:t>（九）近三年类似业绩表</w:t>
      </w:r>
    </w:p>
    <w:p w14:paraId="1F51A3C2">
      <w:pPr>
        <w:pStyle w:val="2"/>
        <w:spacing w:line="273" w:lineRule="auto"/>
      </w:pPr>
    </w:p>
    <w:p w14:paraId="4F025DC4">
      <w:pPr>
        <w:spacing w:before="103" w:line="166" w:lineRule="auto"/>
        <w:ind w:left="234"/>
        <w:rPr>
          <w:rFonts w:ascii="微软雅黑" w:hAnsi="微软雅黑" w:eastAsia="微软雅黑" w:cs="微软雅黑"/>
          <w:sz w:val="24"/>
          <w:szCs w:val="24"/>
        </w:rPr>
      </w:pPr>
      <w:r>
        <w:rPr>
          <w:rFonts w:ascii="微软雅黑" w:hAnsi="微软雅黑" w:eastAsia="微软雅黑" w:cs="微软雅黑"/>
          <w:b/>
          <w:bCs/>
          <w:spacing w:val="-14"/>
          <w:sz w:val="24"/>
          <w:szCs w:val="24"/>
        </w:rPr>
        <w:t>投标人名称（公章</w:t>
      </w:r>
      <w:r>
        <w:rPr>
          <w:rFonts w:ascii="微软雅黑" w:hAnsi="微软雅黑" w:eastAsia="微软雅黑" w:cs="微软雅黑"/>
          <w:b/>
          <w:bCs/>
          <w:spacing w:val="-3"/>
          <w:sz w:val="24"/>
          <w:szCs w:val="24"/>
        </w:rPr>
        <w:t>）：</w:t>
      </w:r>
      <w:r>
        <w:rPr>
          <w:rFonts w:ascii="微软雅黑" w:hAnsi="微软雅黑" w:eastAsia="微软雅黑" w:cs="微软雅黑"/>
          <w:b/>
          <w:bCs/>
          <w:spacing w:val="1"/>
          <w:sz w:val="24"/>
          <w:szCs w:val="24"/>
        </w:rPr>
        <w:t xml:space="preserve">                           </w:t>
      </w:r>
      <w:r>
        <w:rPr>
          <w:rFonts w:ascii="微软雅黑" w:hAnsi="微软雅黑" w:eastAsia="微软雅黑" w:cs="微软雅黑"/>
          <w:b/>
          <w:bCs/>
          <w:sz w:val="24"/>
          <w:szCs w:val="24"/>
        </w:rPr>
        <w:t xml:space="preserve">               </w:t>
      </w:r>
      <w:r>
        <w:rPr>
          <w:rFonts w:ascii="微软雅黑" w:hAnsi="微软雅黑" w:eastAsia="微软雅黑" w:cs="微软雅黑"/>
          <w:b/>
          <w:bCs/>
          <w:spacing w:val="-14"/>
          <w:sz w:val="24"/>
          <w:szCs w:val="24"/>
        </w:rPr>
        <w:t>招标文件编号：YLCG-20</w:t>
      </w:r>
      <w:r>
        <w:rPr>
          <w:rFonts w:ascii="微软雅黑" w:hAnsi="微软雅黑" w:eastAsia="微软雅黑" w:cs="微软雅黑"/>
          <w:b/>
          <w:bCs/>
          <w:spacing w:val="-15"/>
          <w:sz w:val="24"/>
          <w:szCs w:val="24"/>
        </w:rPr>
        <w:t>24GK-019 号</w:t>
      </w:r>
    </w:p>
    <w:tbl>
      <w:tblPr>
        <w:tblStyle w:val="5"/>
        <w:tblW w:w="9180" w:type="dxa"/>
        <w:tblInd w:w="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9"/>
        <w:gridCol w:w="2342"/>
        <w:gridCol w:w="1723"/>
        <w:gridCol w:w="2173"/>
        <w:gridCol w:w="973"/>
      </w:tblGrid>
      <w:tr w14:paraId="6E99A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969" w:type="dxa"/>
            <w:vAlign w:val="top"/>
          </w:tcPr>
          <w:p w14:paraId="3A387157">
            <w:pPr>
              <w:pStyle w:val="6"/>
              <w:spacing w:before="214" w:line="193" w:lineRule="auto"/>
              <w:ind w:left="514"/>
            </w:pPr>
            <w:r>
              <w:rPr>
                <w:b/>
                <w:bCs/>
                <w:spacing w:val="-9"/>
              </w:rPr>
              <w:t>地</w:t>
            </w:r>
            <w:r>
              <w:rPr>
                <w:b/>
                <w:bCs/>
                <w:spacing w:val="2"/>
              </w:rPr>
              <w:t xml:space="preserve">       </w:t>
            </w:r>
            <w:r>
              <w:rPr>
                <w:b/>
                <w:bCs/>
                <w:spacing w:val="-9"/>
              </w:rPr>
              <w:t>区</w:t>
            </w:r>
          </w:p>
        </w:tc>
        <w:tc>
          <w:tcPr>
            <w:tcW w:w="2342" w:type="dxa"/>
            <w:vAlign w:val="top"/>
          </w:tcPr>
          <w:p w14:paraId="7D021EC3">
            <w:pPr>
              <w:pStyle w:val="6"/>
              <w:spacing w:before="215" w:line="188" w:lineRule="auto"/>
              <w:ind w:left="753"/>
            </w:pPr>
            <w:r>
              <w:rPr>
                <w:b/>
                <w:bCs/>
                <w:spacing w:val="-3"/>
              </w:rPr>
              <w:t>服务名称</w:t>
            </w:r>
          </w:p>
        </w:tc>
        <w:tc>
          <w:tcPr>
            <w:tcW w:w="1723" w:type="dxa"/>
            <w:vAlign w:val="top"/>
          </w:tcPr>
          <w:p w14:paraId="4EE36D07">
            <w:pPr>
              <w:pStyle w:val="6"/>
              <w:spacing w:before="48" w:line="177" w:lineRule="auto"/>
              <w:ind w:left="153" w:right="151" w:firstLine="30"/>
            </w:pPr>
            <w:r>
              <w:rPr>
                <w:b/>
                <w:bCs/>
                <w:spacing w:val="-11"/>
              </w:rPr>
              <w:t>中标（成交）</w:t>
            </w:r>
            <w:r>
              <w:rPr>
                <w:b/>
                <w:bCs/>
                <w:spacing w:val="2"/>
              </w:rPr>
              <w:t xml:space="preserve"> </w:t>
            </w:r>
            <w:r>
              <w:rPr>
                <w:b/>
                <w:bCs/>
                <w:spacing w:val="-6"/>
              </w:rPr>
              <w:t>金额（万元）</w:t>
            </w:r>
          </w:p>
        </w:tc>
        <w:tc>
          <w:tcPr>
            <w:tcW w:w="2173" w:type="dxa"/>
            <w:vAlign w:val="top"/>
          </w:tcPr>
          <w:p w14:paraId="630B69AF">
            <w:pPr>
              <w:pStyle w:val="6"/>
              <w:spacing w:before="215" w:line="188" w:lineRule="auto"/>
              <w:ind w:left="619"/>
            </w:pPr>
            <w:r>
              <w:rPr>
                <w:b/>
                <w:bCs/>
                <w:spacing w:val="-3"/>
              </w:rPr>
              <w:t>验收结果</w:t>
            </w:r>
          </w:p>
        </w:tc>
        <w:tc>
          <w:tcPr>
            <w:tcW w:w="973" w:type="dxa"/>
            <w:vAlign w:val="top"/>
          </w:tcPr>
          <w:p w14:paraId="4781D351">
            <w:pPr>
              <w:pStyle w:val="6"/>
              <w:spacing w:before="215" w:line="189" w:lineRule="auto"/>
              <w:ind w:left="201"/>
            </w:pPr>
            <w:r>
              <w:rPr>
                <w:b/>
                <w:bCs/>
                <w:spacing w:val="-5"/>
              </w:rPr>
              <w:t>备  注</w:t>
            </w:r>
          </w:p>
        </w:tc>
      </w:tr>
      <w:tr w14:paraId="2D575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969" w:type="dxa"/>
            <w:vAlign w:val="top"/>
          </w:tcPr>
          <w:p w14:paraId="6D9F1810">
            <w:pPr>
              <w:rPr>
                <w:rFonts w:ascii="Arial"/>
                <w:sz w:val="21"/>
              </w:rPr>
            </w:pPr>
          </w:p>
        </w:tc>
        <w:tc>
          <w:tcPr>
            <w:tcW w:w="2342" w:type="dxa"/>
            <w:vAlign w:val="top"/>
          </w:tcPr>
          <w:p w14:paraId="42B56CEA">
            <w:pPr>
              <w:rPr>
                <w:rFonts w:ascii="Arial"/>
                <w:sz w:val="21"/>
              </w:rPr>
            </w:pPr>
          </w:p>
        </w:tc>
        <w:tc>
          <w:tcPr>
            <w:tcW w:w="1723" w:type="dxa"/>
            <w:vAlign w:val="top"/>
          </w:tcPr>
          <w:p w14:paraId="2C3F6CCD">
            <w:pPr>
              <w:rPr>
                <w:rFonts w:ascii="Arial"/>
                <w:sz w:val="21"/>
              </w:rPr>
            </w:pPr>
          </w:p>
        </w:tc>
        <w:tc>
          <w:tcPr>
            <w:tcW w:w="2173" w:type="dxa"/>
            <w:vAlign w:val="top"/>
          </w:tcPr>
          <w:p w14:paraId="6DB47BED">
            <w:pPr>
              <w:rPr>
                <w:rFonts w:ascii="Arial"/>
                <w:sz w:val="21"/>
              </w:rPr>
            </w:pPr>
          </w:p>
        </w:tc>
        <w:tc>
          <w:tcPr>
            <w:tcW w:w="973" w:type="dxa"/>
            <w:vAlign w:val="top"/>
          </w:tcPr>
          <w:p w14:paraId="73D465E4">
            <w:pPr>
              <w:rPr>
                <w:rFonts w:ascii="Arial"/>
                <w:sz w:val="21"/>
              </w:rPr>
            </w:pPr>
          </w:p>
        </w:tc>
      </w:tr>
      <w:tr w14:paraId="0C81F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969" w:type="dxa"/>
            <w:vAlign w:val="top"/>
          </w:tcPr>
          <w:p w14:paraId="26545032">
            <w:pPr>
              <w:rPr>
                <w:rFonts w:ascii="Arial"/>
                <w:sz w:val="21"/>
              </w:rPr>
            </w:pPr>
          </w:p>
        </w:tc>
        <w:tc>
          <w:tcPr>
            <w:tcW w:w="2342" w:type="dxa"/>
            <w:vAlign w:val="top"/>
          </w:tcPr>
          <w:p w14:paraId="74781427">
            <w:pPr>
              <w:rPr>
                <w:rFonts w:ascii="Arial"/>
                <w:sz w:val="21"/>
              </w:rPr>
            </w:pPr>
          </w:p>
        </w:tc>
        <w:tc>
          <w:tcPr>
            <w:tcW w:w="1723" w:type="dxa"/>
            <w:vAlign w:val="top"/>
          </w:tcPr>
          <w:p w14:paraId="4C0B4D88">
            <w:pPr>
              <w:rPr>
                <w:rFonts w:ascii="Arial"/>
                <w:sz w:val="21"/>
              </w:rPr>
            </w:pPr>
          </w:p>
        </w:tc>
        <w:tc>
          <w:tcPr>
            <w:tcW w:w="2173" w:type="dxa"/>
            <w:vAlign w:val="top"/>
          </w:tcPr>
          <w:p w14:paraId="4C2A443D">
            <w:pPr>
              <w:rPr>
                <w:rFonts w:ascii="Arial"/>
                <w:sz w:val="21"/>
              </w:rPr>
            </w:pPr>
          </w:p>
        </w:tc>
        <w:tc>
          <w:tcPr>
            <w:tcW w:w="973" w:type="dxa"/>
            <w:vAlign w:val="top"/>
          </w:tcPr>
          <w:p w14:paraId="162B4ECC">
            <w:pPr>
              <w:rPr>
                <w:rFonts w:ascii="Arial"/>
                <w:sz w:val="21"/>
              </w:rPr>
            </w:pPr>
          </w:p>
        </w:tc>
      </w:tr>
    </w:tbl>
    <w:p w14:paraId="33D89CB5">
      <w:pPr>
        <w:spacing w:before="49" w:line="188" w:lineRule="auto"/>
        <w:ind w:left="234"/>
        <w:rPr>
          <w:rFonts w:ascii="微软雅黑" w:hAnsi="微软雅黑" w:eastAsia="微软雅黑" w:cs="微软雅黑"/>
          <w:sz w:val="24"/>
          <w:szCs w:val="24"/>
        </w:rPr>
      </w:pPr>
      <w:r>
        <w:rPr>
          <w:rFonts w:ascii="微软雅黑" w:hAnsi="微软雅黑" w:eastAsia="微软雅黑" w:cs="微软雅黑"/>
          <w:spacing w:val="-7"/>
          <w:sz w:val="24"/>
          <w:szCs w:val="24"/>
        </w:rPr>
        <w:t>投标人授权代表签字：</w:t>
      </w:r>
    </w:p>
    <w:p w14:paraId="168A2A50">
      <w:pPr>
        <w:spacing w:before="10" w:line="188" w:lineRule="auto"/>
        <w:ind w:left="259"/>
        <w:rPr>
          <w:rFonts w:ascii="微软雅黑" w:hAnsi="微软雅黑" w:eastAsia="微软雅黑" w:cs="微软雅黑"/>
          <w:sz w:val="24"/>
          <w:szCs w:val="24"/>
        </w:rPr>
      </w:pPr>
      <w:r>
        <w:rPr>
          <w:rFonts w:ascii="微软雅黑" w:hAnsi="微软雅黑" w:eastAsia="微软雅黑" w:cs="微软雅黑"/>
          <w:b/>
          <w:bCs/>
          <w:spacing w:val="-4"/>
          <w:sz w:val="24"/>
          <w:szCs w:val="24"/>
        </w:rPr>
        <w:t>以中标通知书或合同为准。此表可向下延伸。</w:t>
      </w:r>
    </w:p>
    <w:p w14:paraId="45BCD542">
      <w:pPr>
        <w:pStyle w:val="2"/>
        <w:spacing w:line="330" w:lineRule="auto"/>
      </w:pPr>
    </w:p>
    <w:p w14:paraId="2AC182D2">
      <w:pPr>
        <w:spacing w:before="138" w:line="184" w:lineRule="auto"/>
        <w:ind w:left="437"/>
        <w:rPr>
          <w:rFonts w:ascii="微软雅黑" w:hAnsi="微软雅黑" w:eastAsia="微软雅黑" w:cs="微软雅黑"/>
          <w:sz w:val="32"/>
          <w:szCs w:val="32"/>
        </w:rPr>
      </w:pPr>
      <w:bookmarkStart w:id="63" w:name="bookmark39"/>
      <w:bookmarkEnd w:id="63"/>
      <w:r>
        <w:rPr>
          <w:rFonts w:ascii="微软雅黑" w:hAnsi="微软雅黑" w:eastAsia="微软雅黑" w:cs="微软雅黑"/>
          <w:b/>
          <w:bCs/>
          <w:spacing w:val="-2"/>
          <w:sz w:val="32"/>
          <w:szCs w:val="32"/>
        </w:rPr>
        <w:t>（十）具备履行合同所必需的设备和专业技术能力的书面声</w:t>
      </w:r>
      <w:r>
        <w:rPr>
          <w:rFonts w:ascii="微软雅黑" w:hAnsi="微软雅黑" w:eastAsia="微软雅黑" w:cs="微软雅黑"/>
          <w:b/>
          <w:bCs/>
          <w:spacing w:val="-3"/>
          <w:sz w:val="32"/>
          <w:szCs w:val="32"/>
        </w:rPr>
        <w:t>明函</w:t>
      </w:r>
    </w:p>
    <w:p w14:paraId="6427B3F5">
      <w:pPr>
        <w:pStyle w:val="2"/>
        <w:spacing w:line="338" w:lineRule="auto"/>
      </w:pPr>
    </w:p>
    <w:p w14:paraId="23B3904A">
      <w:pPr>
        <w:pStyle w:val="2"/>
        <w:spacing w:line="339" w:lineRule="auto"/>
      </w:pPr>
    </w:p>
    <w:p w14:paraId="4FE8D15C">
      <w:pPr>
        <w:spacing w:before="103" w:line="188" w:lineRule="auto"/>
        <w:ind w:left="237"/>
        <w:rPr>
          <w:rFonts w:ascii="微软雅黑" w:hAnsi="微软雅黑" w:eastAsia="微软雅黑" w:cs="微软雅黑"/>
          <w:sz w:val="24"/>
          <w:szCs w:val="24"/>
        </w:rPr>
      </w:pPr>
      <w:r>
        <w:rPr>
          <w:rFonts w:ascii="微软雅黑" w:hAnsi="微软雅黑" w:eastAsia="微软雅黑" w:cs="微软雅黑"/>
          <w:spacing w:val="-6"/>
          <w:sz w:val="24"/>
          <w:szCs w:val="24"/>
        </w:rPr>
        <w:t>伊犁州公共资源交易中心：</w:t>
      </w:r>
    </w:p>
    <w:p w14:paraId="0FB08643">
      <w:pPr>
        <w:spacing w:before="12" w:line="193" w:lineRule="auto"/>
        <w:ind w:left="243" w:firstLine="480"/>
        <w:jc w:val="both"/>
        <w:rPr>
          <w:rFonts w:ascii="微软雅黑" w:hAnsi="微软雅黑" w:eastAsia="微软雅黑" w:cs="微软雅黑"/>
          <w:sz w:val="24"/>
          <w:szCs w:val="24"/>
        </w:rPr>
      </w:pPr>
      <w:r>
        <w:rPr>
          <w:rFonts w:ascii="微软雅黑" w:hAnsi="微软雅黑" w:eastAsia="微软雅黑" w:cs="微软雅黑"/>
          <w:spacing w:val="-1"/>
          <w:sz w:val="24"/>
          <w:szCs w:val="24"/>
        </w:rPr>
        <w:t>我公司自愿参与招标文件编号为</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54"/>
          <w:sz w:val="24"/>
          <w:szCs w:val="24"/>
        </w:rPr>
        <w:t xml:space="preserve"> </w:t>
      </w:r>
      <w:r>
        <w:rPr>
          <w:rFonts w:ascii="微软雅黑" w:hAnsi="微软雅黑" w:eastAsia="微软雅黑" w:cs="微软雅黑"/>
          <w:spacing w:val="-2"/>
          <w:sz w:val="24"/>
          <w:szCs w:val="24"/>
        </w:rPr>
        <w:t>项目的政府采购活动，我公司郑重声明：</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我方具有履行该项目合同的设备和专业技术能力</w:t>
      </w:r>
      <w:r>
        <w:rPr>
          <w:rFonts w:ascii="微软雅黑" w:hAnsi="微软雅黑" w:eastAsia="微软雅黑" w:cs="微软雅黑"/>
          <w:spacing w:val="-16"/>
          <w:sz w:val="24"/>
          <w:szCs w:val="24"/>
        </w:rPr>
        <w:t xml:space="preserve"> </w:t>
      </w:r>
      <w:r>
        <w:rPr>
          <w:rFonts w:ascii="微软雅黑" w:hAnsi="微软雅黑" w:eastAsia="微软雅黑" w:cs="微软雅黑"/>
          <w:spacing w:val="3"/>
          <w:sz w:val="24"/>
          <w:szCs w:val="24"/>
        </w:rPr>
        <w:t>,胜任本项目的服务工作。如本声明失实</w:t>
      </w:r>
      <w:r>
        <w:rPr>
          <w:rFonts w:ascii="微软雅黑" w:hAnsi="微软雅黑" w:eastAsia="微软雅黑" w:cs="微软雅黑"/>
          <w:spacing w:val="-34"/>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我方自愿承担被取消中标资格等责任。</w:t>
      </w:r>
    </w:p>
    <w:p w14:paraId="3ACED89B">
      <w:pPr>
        <w:spacing w:before="5" w:line="188" w:lineRule="auto"/>
        <w:ind w:left="721"/>
        <w:rPr>
          <w:rFonts w:ascii="微软雅黑" w:hAnsi="微软雅黑" w:eastAsia="微软雅黑" w:cs="微软雅黑"/>
          <w:sz w:val="24"/>
          <w:szCs w:val="24"/>
        </w:rPr>
      </w:pPr>
      <w:r>
        <w:rPr>
          <w:rFonts w:ascii="微软雅黑" w:hAnsi="微软雅黑" w:eastAsia="微软雅黑" w:cs="微软雅黑"/>
          <w:spacing w:val="-11"/>
          <w:sz w:val="24"/>
          <w:szCs w:val="24"/>
        </w:rPr>
        <w:t>主要设备有：</w:t>
      </w:r>
    </w:p>
    <w:p w14:paraId="644D9260">
      <w:pPr>
        <w:spacing w:before="10" w:line="188" w:lineRule="auto"/>
        <w:ind w:left="721"/>
        <w:rPr>
          <w:rFonts w:ascii="微软雅黑" w:hAnsi="微软雅黑" w:eastAsia="微软雅黑" w:cs="微软雅黑"/>
          <w:sz w:val="24"/>
          <w:szCs w:val="24"/>
        </w:rPr>
      </w:pPr>
      <w:r>
        <w:rPr>
          <w:rFonts w:ascii="微软雅黑" w:hAnsi="微软雅黑" w:eastAsia="微软雅黑" w:cs="微软雅黑"/>
          <w:spacing w:val="-7"/>
          <w:sz w:val="24"/>
          <w:szCs w:val="24"/>
        </w:rPr>
        <w:t>主要专业技术能力有：</w:t>
      </w:r>
    </w:p>
    <w:p w14:paraId="5757075D">
      <w:pPr>
        <w:spacing w:before="344" w:line="188" w:lineRule="auto"/>
        <w:ind w:left="714"/>
        <w:rPr>
          <w:rFonts w:ascii="微软雅黑" w:hAnsi="微软雅黑" w:eastAsia="微软雅黑" w:cs="微软雅黑"/>
          <w:sz w:val="24"/>
          <w:szCs w:val="24"/>
        </w:rPr>
      </w:pPr>
      <w:r>
        <w:rPr>
          <w:rFonts w:ascii="微软雅黑" w:hAnsi="微软雅黑" w:eastAsia="微软雅黑" w:cs="微软雅黑"/>
          <w:spacing w:val="-3"/>
          <w:sz w:val="24"/>
          <w:szCs w:val="24"/>
        </w:rPr>
        <w:t>特此声明</w:t>
      </w:r>
    </w:p>
    <w:p w14:paraId="0F0740C3">
      <w:pPr>
        <w:spacing w:before="11" w:line="190" w:lineRule="auto"/>
        <w:ind w:left="3362" w:right="3082" w:firstLine="1176"/>
        <w:rPr>
          <w:rFonts w:ascii="微软雅黑" w:hAnsi="微软雅黑" w:eastAsia="微软雅黑" w:cs="微软雅黑"/>
          <w:sz w:val="24"/>
          <w:szCs w:val="24"/>
        </w:rPr>
      </w:pPr>
      <w:r>
        <w:rPr>
          <w:rFonts w:ascii="微软雅黑" w:hAnsi="微软雅黑" w:eastAsia="微软雅黑" w:cs="微软雅黑"/>
          <w:b/>
          <w:bCs/>
          <w:spacing w:val="8"/>
          <w:sz w:val="24"/>
          <w:szCs w:val="24"/>
        </w:rPr>
        <w:t>投标人名称:(盖章)</w:t>
      </w:r>
      <w:r>
        <w:rPr>
          <w:rFonts w:ascii="微软雅黑" w:hAnsi="微软雅黑" w:eastAsia="微软雅黑" w:cs="微软雅黑"/>
          <w:b/>
          <w:bCs/>
          <w:spacing w:val="4"/>
          <w:sz w:val="24"/>
          <w:szCs w:val="24"/>
        </w:rPr>
        <w:t xml:space="preserve">  </w:t>
      </w:r>
      <w:r>
        <w:rPr>
          <w:rFonts w:ascii="微软雅黑" w:hAnsi="微软雅黑" w:eastAsia="微软雅黑" w:cs="微软雅黑"/>
          <w:b/>
          <w:bCs/>
          <w:spacing w:val="2"/>
          <w:sz w:val="24"/>
          <w:szCs w:val="24"/>
        </w:rPr>
        <w:t>法人代表或授权委托人:(签字）</w:t>
      </w:r>
    </w:p>
    <w:p w14:paraId="6E77E55E">
      <w:pPr>
        <w:pStyle w:val="2"/>
        <w:spacing w:line="242" w:lineRule="auto"/>
      </w:pPr>
    </w:p>
    <w:p w14:paraId="2C853DBA">
      <w:pPr>
        <w:spacing w:before="103" w:line="188" w:lineRule="auto"/>
        <w:ind w:left="5519"/>
        <w:rPr>
          <w:rFonts w:ascii="微软雅黑" w:hAnsi="微软雅黑" w:eastAsia="微软雅黑" w:cs="微软雅黑"/>
          <w:sz w:val="24"/>
          <w:szCs w:val="24"/>
        </w:rPr>
      </w:pPr>
      <w:bookmarkStart w:id="64" w:name="bookmark41"/>
      <w:bookmarkEnd w:id="64"/>
      <w:r>
        <w:rPr>
          <w:rFonts w:ascii="微软雅黑" w:hAnsi="微软雅黑" w:eastAsia="微软雅黑" w:cs="微软雅黑"/>
          <w:b/>
          <w:bCs/>
          <w:spacing w:val="-16"/>
          <w:sz w:val="24"/>
          <w:szCs w:val="24"/>
        </w:rPr>
        <w:t>年</w:t>
      </w:r>
      <w:r>
        <w:rPr>
          <w:rFonts w:ascii="微软雅黑" w:hAnsi="微软雅黑" w:eastAsia="微软雅黑" w:cs="微软雅黑"/>
          <w:b/>
          <w:bCs/>
          <w:spacing w:val="5"/>
          <w:sz w:val="24"/>
          <w:szCs w:val="24"/>
        </w:rPr>
        <w:t xml:space="preserve">     </w:t>
      </w:r>
      <w:r>
        <w:rPr>
          <w:rFonts w:ascii="微软雅黑" w:hAnsi="微软雅黑" w:eastAsia="微软雅黑" w:cs="微软雅黑"/>
          <w:b/>
          <w:bCs/>
          <w:spacing w:val="-16"/>
          <w:sz w:val="24"/>
          <w:szCs w:val="24"/>
        </w:rPr>
        <w:t>月</w:t>
      </w:r>
      <w:r>
        <w:rPr>
          <w:rFonts w:ascii="微软雅黑" w:hAnsi="微软雅黑" w:eastAsia="微软雅黑" w:cs="微软雅黑"/>
          <w:b/>
          <w:bCs/>
          <w:spacing w:val="14"/>
          <w:sz w:val="24"/>
          <w:szCs w:val="24"/>
        </w:rPr>
        <w:t xml:space="preserve">     </w:t>
      </w:r>
      <w:r>
        <w:rPr>
          <w:rFonts w:ascii="微软雅黑" w:hAnsi="微软雅黑" w:eastAsia="微软雅黑" w:cs="微软雅黑"/>
          <w:b/>
          <w:bCs/>
          <w:spacing w:val="-16"/>
          <w:sz w:val="24"/>
          <w:szCs w:val="24"/>
        </w:rPr>
        <w:t>日</w:t>
      </w:r>
    </w:p>
    <w:p w14:paraId="78A3F76D">
      <w:pPr>
        <w:spacing w:line="188" w:lineRule="auto"/>
        <w:rPr>
          <w:rFonts w:ascii="微软雅黑" w:hAnsi="微软雅黑" w:eastAsia="微软雅黑" w:cs="微软雅黑"/>
          <w:sz w:val="24"/>
          <w:szCs w:val="24"/>
        </w:rPr>
        <w:sectPr>
          <w:headerReference r:id="rId99" w:type="default"/>
          <w:footerReference r:id="rId100" w:type="default"/>
          <w:pgSz w:w="11906" w:h="16839"/>
          <w:pgMar w:top="400" w:right="941" w:bottom="1171" w:left="1199" w:header="0" w:footer="993" w:gutter="0"/>
          <w:cols w:space="720" w:num="1"/>
        </w:sectPr>
      </w:pPr>
    </w:p>
    <w:p w14:paraId="42A2DF48">
      <w:pPr>
        <w:spacing w:before="165" w:line="184" w:lineRule="auto"/>
        <w:ind w:left="2290"/>
        <w:rPr>
          <w:rFonts w:ascii="微软雅黑" w:hAnsi="微软雅黑" w:eastAsia="微软雅黑" w:cs="微软雅黑"/>
          <w:sz w:val="32"/>
          <w:szCs w:val="32"/>
        </w:rPr>
      </w:pPr>
      <w:bookmarkStart w:id="65" w:name="bookmark63"/>
      <w:bookmarkEnd w:id="65"/>
      <w:r>
        <w:rPr>
          <w:rFonts w:ascii="微软雅黑" w:hAnsi="微软雅黑" w:eastAsia="微软雅黑" w:cs="微软雅黑"/>
          <w:b/>
          <w:bCs/>
          <w:spacing w:val="-4"/>
          <w:sz w:val="32"/>
          <w:szCs w:val="32"/>
        </w:rPr>
        <w:t>（十一）无重大违法记录声明函</w:t>
      </w:r>
    </w:p>
    <w:p w14:paraId="599731DB">
      <w:pPr>
        <w:spacing w:before="118" w:line="188" w:lineRule="auto"/>
        <w:ind w:left="187"/>
        <w:rPr>
          <w:rFonts w:ascii="微软雅黑" w:hAnsi="微软雅黑" w:eastAsia="微软雅黑" w:cs="微软雅黑"/>
          <w:sz w:val="24"/>
          <w:szCs w:val="24"/>
        </w:rPr>
      </w:pPr>
      <w:r>
        <w:rPr>
          <w:rFonts w:ascii="微软雅黑" w:hAnsi="微软雅黑" w:eastAsia="微软雅黑" w:cs="微软雅黑"/>
          <w:spacing w:val="-6"/>
          <w:sz w:val="24"/>
          <w:szCs w:val="24"/>
        </w:rPr>
        <w:t>伊犁州公共资源交易中心：</w:t>
      </w:r>
    </w:p>
    <w:p w14:paraId="1915CB4A">
      <w:pPr>
        <w:spacing w:before="6" w:line="194" w:lineRule="auto"/>
        <w:ind w:left="45" w:firstLine="607"/>
        <w:jc w:val="both"/>
        <w:rPr>
          <w:rFonts w:ascii="微软雅黑" w:hAnsi="微软雅黑" w:eastAsia="微软雅黑" w:cs="微软雅黑"/>
          <w:sz w:val="24"/>
          <w:szCs w:val="24"/>
        </w:rPr>
      </w:pPr>
      <w:r>
        <w:rPr>
          <w:rFonts w:ascii="微软雅黑" w:hAnsi="微软雅黑" w:eastAsia="微软雅黑" w:cs="微软雅黑"/>
          <w:spacing w:val="-2"/>
          <w:sz w:val="24"/>
          <w:szCs w:val="24"/>
        </w:rPr>
        <w:t>我公司自愿参与招标文件编号为</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54"/>
          <w:sz w:val="24"/>
          <w:szCs w:val="24"/>
        </w:rPr>
        <w:t xml:space="preserve"> </w:t>
      </w:r>
      <w:r>
        <w:rPr>
          <w:rFonts w:ascii="微软雅黑" w:hAnsi="微软雅黑" w:eastAsia="微软雅黑" w:cs="微软雅黑"/>
          <w:spacing w:val="-2"/>
          <w:sz w:val="24"/>
          <w:szCs w:val="24"/>
        </w:rPr>
        <w:t>项目的政府采购活动，我公</w:t>
      </w:r>
      <w:r>
        <w:rPr>
          <w:rFonts w:ascii="微软雅黑" w:hAnsi="微软雅黑" w:eastAsia="微软雅黑" w:cs="微软雅黑"/>
          <w:spacing w:val="-3"/>
          <w:sz w:val="24"/>
          <w:szCs w:val="24"/>
        </w:rPr>
        <w:t>司郑重声明：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我方参加本次政府采购招标活动前三年内，在经营活动中无重大违法记录（</w:t>
      </w:r>
      <w:r>
        <w:rPr>
          <w:rFonts w:ascii="微软雅黑" w:hAnsi="微软雅黑" w:eastAsia="微软雅黑" w:cs="微软雅黑"/>
          <w:b/>
          <w:bCs/>
          <w:spacing w:val="-1"/>
          <w:sz w:val="24"/>
          <w:szCs w:val="24"/>
        </w:rPr>
        <w:t>重大违法记录</w:t>
      </w:r>
      <w:r>
        <w:rPr>
          <w:rFonts w:ascii="微软雅黑" w:hAnsi="微软雅黑" w:eastAsia="微软雅黑" w:cs="微软雅黑"/>
          <w:b/>
          <w:bCs/>
          <w:spacing w:val="7"/>
          <w:sz w:val="24"/>
          <w:szCs w:val="24"/>
        </w:rPr>
        <w:t xml:space="preserve">  </w:t>
      </w:r>
      <w:r>
        <w:rPr>
          <w:rFonts w:ascii="微软雅黑" w:hAnsi="微软雅黑" w:eastAsia="微软雅黑" w:cs="微软雅黑"/>
          <w:b/>
          <w:bCs/>
          <w:spacing w:val="-1"/>
          <w:sz w:val="24"/>
          <w:szCs w:val="24"/>
        </w:rPr>
        <w:t>是指投标人因违法经营受到刑事处罚或者责令停产停业、吊销许可证或</w:t>
      </w:r>
      <w:r>
        <w:rPr>
          <w:rFonts w:ascii="微软雅黑" w:hAnsi="微软雅黑" w:eastAsia="微软雅黑" w:cs="微软雅黑"/>
          <w:b/>
          <w:bCs/>
          <w:spacing w:val="-2"/>
          <w:sz w:val="24"/>
          <w:szCs w:val="24"/>
        </w:rPr>
        <w:t>者营业执照、200</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rPr>
        <w:t>万元以上的罚款等行政处罚</w:t>
      </w:r>
      <w:r>
        <w:rPr>
          <w:rFonts w:ascii="微软雅黑" w:hAnsi="微软雅黑" w:eastAsia="微软雅黑" w:cs="微软雅黑"/>
          <w:spacing w:val="6"/>
          <w:sz w:val="24"/>
          <w:szCs w:val="24"/>
        </w:rPr>
        <w:t>），</w:t>
      </w:r>
      <w:r>
        <w:rPr>
          <w:rFonts w:ascii="微软雅黑" w:hAnsi="微软雅黑" w:eastAsia="微软雅黑" w:cs="微软雅黑"/>
          <w:spacing w:val="-1"/>
          <w:sz w:val="24"/>
          <w:szCs w:val="24"/>
        </w:rPr>
        <w:t>具备《中华人民共和国政府采购法》和《中华人民共和国</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政府采购法实施条例》中规定的投标投标人资格条件。我方对</w:t>
      </w:r>
      <w:r>
        <w:rPr>
          <w:rFonts w:ascii="微软雅黑" w:hAnsi="微软雅黑" w:eastAsia="微软雅黑" w:cs="微软雅黑"/>
          <w:spacing w:val="-2"/>
          <w:sz w:val="24"/>
          <w:szCs w:val="24"/>
        </w:rPr>
        <w:t>此声明负全部法律责任。</w:t>
      </w:r>
    </w:p>
    <w:p w14:paraId="5A3DFA0A">
      <w:pPr>
        <w:spacing w:before="5" w:line="188" w:lineRule="auto"/>
        <w:ind w:left="644"/>
        <w:rPr>
          <w:rFonts w:ascii="微软雅黑" w:hAnsi="微软雅黑" w:eastAsia="微软雅黑" w:cs="微软雅黑"/>
          <w:sz w:val="24"/>
          <w:szCs w:val="24"/>
        </w:rPr>
      </w:pPr>
      <w:r>
        <w:rPr>
          <w:rFonts w:ascii="微软雅黑" w:hAnsi="微软雅黑" w:eastAsia="微软雅黑" w:cs="微软雅黑"/>
          <w:spacing w:val="-8"/>
          <w:sz w:val="24"/>
          <w:szCs w:val="24"/>
        </w:rPr>
        <w:t>特此声明。</w:t>
      </w:r>
    </w:p>
    <w:p w14:paraId="78043F51">
      <w:pPr>
        <w:spacing w:before="344" w:line="190" w:lineRule="auto"/>
        <w:ind w:left="2452" w:right="3682" w:firstLine="1191"/>
        <w:rPr>
          <w:rFonts w:ascii="微软雅黑" w:hAnsi="微软雅黑" w:eastAsia="微软雅黑" w:cs="微软雅黑"/>
          <w:sz w:val="24"/>
          <w:szCs w:val="24"/>
        </w:rPr>
      </w:pPr>
      <w:r>
        <w:rPr>
          <w:rFonts w:ascii="微软雅黑" w:hAnsi="微软雅黑" w:eastAsia="微软雅黑" w:cs="微软雅黑"/>
          <w:b/>
          <w:bCs/>
          <w:spacing w:val="8"/>
          <w:sz w:val="24"/>
          <w:szCs w:val="24"/>
        </w:rPr>
        <w:t>投标人名称:(盖章)</w:t>
      </w:r>
      <w:r>
        <w:rPr>
          <w:rFonts w:ascii="微软雅黑" w:hAnsi="微软雅黑" w:eastAsia="微软雅黑" w:cs="微软雅黑"/>
          <w:b/>
          <w:bCs/>
          <w:spacing w:val="4"/>
          <w:sz w:val="24"/>
          <w:szCs w:val="24"/>
        </w:rPr>
        <w:t xml:space="preserve">  </w:t>
      </w:r>
      <w:r>
        <w:rPr>
          <w:rFonts w:ascii="微软雅黑" w:hAnsi="微软雅黑" w:eastAsia="微软雅黑" w:cs="微软雅黑"/>
          <w:b/>
          <w:bCs/>
          <w:spacing w:val="2"/>
          <w:sz w:val="24"/>
          <w:szCs w:val="24"/>
        </w:rPr>
        <w:t>法人代表或授权委托人:(签字）</w:t>
      </w:r>
    </w:p>
    <w:p w14:paraId="12DDC666">
      <w:pPr>
        <w:pStyle w:val="2"/>
        <w:spacing w:line="242" w:lineRule="auto"/>
      </w:pPr>
    </w:p>
    <w:p w14:paraId="2C959F31">
      <w:pPr>
        <w:spacing w:before="103" w:line="188" w:lineRule="auto"/>
        <w:ind w:left="5329"/>
        <w:rPr>
          <w:rFonts w:ascii="微软雅黑" w:hAnsi="微软雅黑" w:eastAsia="微软雅黑" w:cs="微软雅黑"/>
          <w:sz w:val="24"/>
          <w:szCs w:val="24"/>
        </w:rPr>
      </w:pPr>
      <w:r>
        <w:rPr>
          <w:rFonts w:ascii="微软雅黑" w:hAnsi="微软雅黑" w:eastAsia="微软雅黑" w:cs="微软雅黑"/>
          <w:b/>
          <w:bCs/>
          <w:spacing w:val="-16"/>
          <w:sz w:val="24"/>
          <w:szCs w:val="24"/>
        </w:rPr>
        <w:t>年</w:t>
      </w:r>
      <w:r>
        <w:rPr>
          <w:rFonts w:ascii="微软雅黑" w:hAnsi="微软雅黑" w:eastAsia="微软雅黑" w:cs="微软雅黑"/>
          <w:b/>
          <w:bCs/>
          <w:spacing w:val="5"/>
          <w:sz w:val="24"/>
          <w:szCs w:val="24"/>
        </w:rPr>
        <w:t xml:space="preserve">     </w:t>
      </w:r>
      <w:r>
        <w:rPr>
          <w:rFonts w:ascii="微软雅黑" w:hAnsi="微软雅黑" w:eastAsia="微软雅黑" w:cs="微软雅黑"/>
          <w:b/>
          <w:bCs/>
          <w:spacing w:val="-16"/>
          <w:sz w:val="24"/>
          <w:szCs w:val="24"/>
        </w:rPr>
        <w:t>月</w:t>
      </w:r>
      <w:r>
        <w:rPr>
          <w:rFonts w:ascii="微软雅黑" w:hAnsi="微软雅黑" w:eastAsia="微软雅黑" w:cs="微软雅黑"/>
          <w:b/>
          <w:bCs/>
          <w:spacing w:val="14"/>
          <w:sz w:val="24"/>
          <w:szCs w:val="24"/>
        </w:rPr>
        <w:t xml:space="preserve">     </w:t>
      </w:r>
      <w:r>
        <w:rPr>
          <w:rFonts w:ascii="微软雅黑" w:hAnsi="微软雅黑" w:eastAsia="微软雅黑" w:cs="微软雅黑"/>
          <w:b/>
          <w:bCs/>
          <w:spacing w:val="-16"/>
          <w:sz w:val="24"/>
          <w:szCs w:val="24"/>
        </w:rPr>
        <w:t>日</w:t>
      </w:r>
    </w:p>
    <w:p w14:paraId="143CFFAD">
      <w:pPr>
        <w:spacing w:before="136" w:line="184" w:lineRule="auto"/>
        <w:ind w:left="2647"/>
        <w:rPr>
          <w:rFonts w:ascii="微软雅黑" w:hAnsi="微软雅黑" w:eastAsia="微软雅黑" w:cs="微软雅黑"/>
          <w:sz w:val="32"/>
          <w:szCs w:val="32"/>
        </w:rPr>
      </w:pPr>
      <w:bookmarkStart w:id="66" w:name="bookmark43"/>
      <w:bookmarkEnd w:id="66"/>
      <w:r>
        <w:rPr>
          <w:rFonts w:ascii="微软雅黑" w:hAnsi="微软雅黑" w:eastAsia="微软雅黑" w:cs="微软雅黑"/>
          <w:b/>
          <w:bCs/>
          <w:spacing w:val="-6"/>
          <w:sz w:val="32"/>
          <w:szCs w:val="32"/>
        </w:rPr>
        <w:t>（十二）政府采购诚信承诺书</w:t>
      </w:r>
    </w:p>
    <w:p w14:paraId="4D74440C">
      <w:pPr>
        <w:spacing w:before="119" w:line="188" w:lineRule="auto"/>
        <w:ind w:left="47"/>
        <w:rPr>
          <w:rFonts w:ascii="微软雅黑" w:hAnsi="微软雅黑" w:eastAsia="微软雅黑" w:cs="微软雅黑"/>
          <w:sz w:val="24"/>
          <w:szCs w:val="24"/>
        </w:rPr>
      </w:pPr>
      <w:r>
        <w:rPr>
          <w:rFonts w:ascii="微软雅黑" w:hAnsi="微软雅黑" w:eastAsia="微软雅黑" w:cs="微软雅黑"/>
          <w:spacing w:val="3"/>
          <w:sz w:val="24"/>
          <w:szCs w:val="24"/>
        </w:rPr>
        <w:t>伊犁州公共资源交易中心:</w:t>
      </w:r>
    </w:p>
    <w:p w14:paraId="6AE5512B">
      <w:pPr>
        <w:spacing w:before="12" w:line="193" w:lineRule="auto"/>
        <w:ind w:left="47" w:right="72" w:firstLine="485"/>
        <w:jc w:val="both"/>
        <w:rPr>
          <w:rFonts w:ascii="微软雅黑" w:hAnsi="微软雅黑" w:eastAsia="微软雅黑" w:cs="微软雅黑"/>
          <w:sz w:val="24"/>
          <w:szCs w:val="24"/>
        </w:rPr>
      </w:pPr>
      <w:r>
        <w:rPr>
          <w:rFonts w:ascii="微软雅黑" w:hAnsi="微软雅黑" w:eastAsia="微软雅黑" w:cs="微软雅黑"/>
          <w:spacing w:val="2"/>
          <w:sz w:val="24"/>
          <w:szCs w:val="24"/>
        </w:rPr>
        <w:t>我公司自愿参与贵单位的</w:t>
      </w:r>
      <w:r>
        <w:rPr>
          <w:rFonts w:ascii="微软雅黑" w:hAnsi="微软雅黑" w:eastAsia="微软雅黑" w:cs="微软雅黑"/>
          <w:spacing w:val="-69"/>
          <w:sz w:val="24"/>
          <w:szCs w:val="24"/>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项目政府采购活动</w:t>
      </w:r>
      <w:r>
        <w:rPr>
          <w:rFonts w:ascii="微软雅黑" w:hAnsi="微软雅黑" w:eastAsia="微软雅黑" w:cs="微软雅黑"/>
          <w:spacing w:val="-34"/>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1"/>
          <w:sz w:val="24"/>
          <w:szCs w:val="24"/>
        </w:rPr>
        <w:t>严格遵守《中华人</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民共和国政府采购法》等相关法律法规的规定,坚守公平竞争,并无条件地遵守本次采购活</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2"/>
          <w:sz w:val="24"/>
          <w:szCs w:val="24"/>
        </w:rPr>
        <w:t>动各项规定。我们郑重承诺：</w:t>
      </w:r>
      <w:r>
        <w:rPr>
          <w:rFonts w:ascii="微软雅黑" w:hAnsi="微软雅黑" w:eastAsia="微软雅黑" w:cs="微软雅黑"/>
          <w:spacing w:val="-31"/>
          <w:sz w:val="24"/>
          <w:szCs w:val="24"/>
        </w:rPr>
        <w:t xml:space="preserve"> </w:t>
      </w:r>
      <w:r>
        <w:rPr>
          <w:rFonts w:ascii="微软雅黑" w:hAnsi="微软雅黑" w:eastAsia="微软雅黑" w:cs="微软雅黑"/>
          <w:spacing w:val="2"/>
          <w:sz w:val="24"/>
          <w:szCs w:val="24"/>
        </w:rPr>
        <w:t>如果在本次招标活动中有以下情形的</w:t>
      </w:r>
      <w:r>
        <w:rPr>
          <w:rFonts w:ascii="微软雅黑" w:hAnsi="微软雅黑" w:eastAsia="微软雅黑" w:cs="微软雅黑"/>
          <w:spacing w:val="-33"/>
          <w:sz w:val="24"/>
          <w:szCs w:val="24"/>
        </w:rPr>
        <w:t xml:space="preserve"> </w:t>
      </w:r>
      <w:r>
        <w:rPr>
          <w:rFonts w:ascii="微软雅黑" w:hAnsi="微软雅黑" w:eastAsia="微软雅黑" w:cs="微软雅黑"/>
          <w:spacing w:val="2"/>
          <w:sz w:val="24"/>
          <w:szCs w:val="24"/>
        </w:rPr>
        <w:t>,愿接受政府采购监管</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等部门给予相关处罚并承担法律责任。</w:t>
      </w:r>
    </w:p>
    <w:p w14:paraId="02A67E9F">
      <w:pPr>
        <w:spacing w:before="6" w:line="183" w:lineRule="auto"/>
        <w:ind w:left="559"/>
        <w:rPr>
          <w:rFonts w:ascii="微软雅黑" w:hAnsi="微软雅黑" w:eastAsia="微软雅黑" w:cs="微软雅黑"/>
          <w:sz w:val="24"/>
          <w:szCs w:val="24"/>
        </w:rPr>
      </w:pPr>
      <w:r>
        <w:rPr>
          <w:rFonts w:ascii="微软雅黑" w:hAnsi="微软雅黑" w:eastAsia="微软雅黑" w:cs="微软雅黑"/>
          <w:spacing w:val="6"/>
          <w:sz w:val="24"/>
          <w:szCs w:val="24"/>
        </w:rPr>
        <w:t>(一)提供虚假材料谋取中标的;</w:t>
      </w:r>
    </w:p>
    <w:p w14:paraId="126230D8">
      <w:pPr>
        <w:spacing w:before="19" w:line="183" w:lineRule="auto"/>
        <w:ind w:left="559"/>
        <w:rPr>
          <w:rFonts w:ascii="微软雅黑" w:hAnsi="微软雅黑" w:eastAsia="微软雅黑" w:cs="微软雅黑"/>
          <w:sz w:val="24"/>
          <w:szCs w:val="24"/>
        </w:rPr>
      </w:pPr>
      <w:r>
        <w:rPr>
          <w:rFonts w:ascii="微软雅黑" w:hAnsi="微软雅黑" w:eastAsia="微软雅黑" w:cs="微软雅黑"/>
          <w:spacing w:val="-1"/>
          <w:sz w:val="24"/>
          <w:szCs w:val="24"/>
        </w:rPr>
        <w:t>(二)釆取不正当手段语毁、排挤其他投标人</w:t>
      </w:r>
      <w:r>
        <w:rPr>
          <w:rFonts w:ascii="微软雅黑" w:hAnsi="微软雅黑" w:eastAsia="微软雅黑" w:cs="微软雅黑"/>
          <w:spacing w:val="-2"/>
          <w:sz w:val="24"/>
          <w:szCs w:val="24"/>
        </w:rPr>
        <w:t>的；</w:t>
      </w:r>
    </w:p>
    <w:p w14:paraId="24969591">
      <w:pPr>
        <w:spacing w:before="19" w:line="183" w:lineRule="auto"/>
        <w:ind w:left="559"/>
        <w:rPr>
          <w:rFonts w:ascii="微软雅黑" w:hAnsi="微软雅黑" w:eastAsia="微软雅黑" w:cs="微软雅黑"/>
          <w:sz w:val="24"/>
          <w:szCs w:val="24"/>
        </w:rPr>
      </w:pPr>
      <w:r>
        <w:rPr>
          <w:rFonts w:ascii="微软雅黑" w:hAnsi="微软雅黑" w:eastAsia="微软雅黑" w:cs="微软雅黑"/>
          <w:spacing w:val="-1"/>
          <w:sz w:val="24"/>
          <w:szCs w:val="24"/>
        </w:rPr>
        <w:t>(三)与招标采购单位、其他投标人恶意串通</w:t>
      </w:r>
      <w:r>
        <w:rPr>
          <w:rFonts w:ascii="微软雅黑" w:hAnsi="微软雅黑" w:eastAsia="微软雅黑" w:cs="微软雅黑"/>
          <w:spacing w:val="-2"/>
          <w:sz w:val="24"/>
          <w:szCs w:val="24"/>
        </w:rPr>
        <w:t>的；</w:t>
      </w:r>
    </w:p>
    <w:p w14:paraId="56B23D60">
      <w:pPr>
        <w:spacing w:before="19" w:line="183" w:lineRule="auto"/>
        <w:ind w:left="559"/>
        <w:rPr>
          <w:rFonts w:ascii="微软雅黑" w:hAnsi="微软雅黑" w:eastAsia="微软雅黑" w:cs="微软雅黑"/>
          <w:sz w:val="24"/>
          <w:szCs w:val="24"/>
        </w:rPr>
      </w:pPr>
      <w:r>
        <w:rPr>
          <w:rFonts w:ascii="微软雅黑" w:hAnsi="微软雅黑" w:eastAsia="微软雅黑" w:cs="微软雅黑"/>
          <w:spacing w:val="-1"/>
          <w:sz w:val="24"/>
          <w:szCs w:val="24"/>
        </w:rPr>
        <w:t>(四)向招标采购单位或提供其他不正当利益</w:t>
      </w:r>
      <w:r>
        <w:rPr>
          <w:rFonts w:ascii="微软雅黑" w:hAnsi="微软雅黑" w:eastAsia="微软雅黑" w:cs="微软雅黑"/>
          <w:spacing w:val="-2"/>
          <w:sz w:val="24"/>
          <w:szCs w:val="24"/>
        </w:rPr>
        <w:t>的；</w:t>
      </w:r>
    </w:p>
    <w:p w14:paraId="6618D561">
      <w:pPr>
        <w:spacing w:before="19" w:line="191" w:lineRule="auto"/>
        <w:ind w:left="45" w:right="72" w:firstLine="513"/>
        <w:rPr>
          <w:rFonts w:ascii="微软雅黑" w:hAnsi="微软雅黑" w:eastAsia="微软雅黑" w:cs="微软雅黑"/>
          <w:sz w:val="24"/>
          <w:szCs w:val="24"/>
        </w:rPr>
      </w:pPr>
      <w:r>
        <w:rPr>
          <w:rFonts w:ascii="微软雅黑" w:hAnsi="微软雅黑" w:eastAsia="微软雅黑" w:cs="微软雅黑"/>
          <w:spacing w:val="1"/>
          <w:sz w:val="24"/>
          <w:szCs w:val="24"/>
        </w:rPr>
        <w:t>(五)在招标过程中与招标采购单位进行协商谈判</w:t>
      </w:r>
      <w:r>
        <w:rPr>
          <w:rFonts w:ascii="微软雅黑" w:hAnsi="微软雅黑" w:eastAsia="微软雅黑" w:cs="微软雅黑"/>
          <w:sz w:val="24"/>
          <w:szCs w:val="24"/>
        </w:rPr>
        <w:t xml:space="preserve">、不按照招标文件和投标文件的内容 </w:t>
      </w:r>
      <w:r>
        <w:rPr>
          <w:rFonts w:ascii="微软雅黑" w:hAnsi="微软雅黑" w:eastAsia="微软雅黑" w:cs="微软雅黑"/>
          <w:spacing w:val="-1"/>
          <w:sz w:val="24"/>
          <w:szCs w:val="24"/>
        </w:rPr>
        <w:t>订立合同,或者与采购人另立背离合同实质性内容协议的；</w:t>
      </w:r>
    </w:p>
    <w:p w14:paraId="039B4C61">
      <w:pPr>
        <w:spacing w:before="11" w:line="183" w:lineRule="auto"/>
        <w:ind w:left="559"/>
        <w:rPr>
          <w:rFonts w:ascii="微软雅黑" w:hAnsi="微软雅黑" w:eastAsia="微软雅黑" w:cs="微软雅黑"/>
          <w:sz w:val="24"/>
          <w:szCs w:val="24"/>
        </w:rPr>
      </w:pPr>
      <w:r>
        <w:rPr>
          <w:rFonts w:ascii="微软雅黑" w:hAnsi="微软雅黑" w:eastAsia="微软雅黑" w:cs="微软雅黑"/>
          <w:spacing w:val="1"/>
          <w:sz w:val="24"/>
          <w:szCs w:val="24"/>
        </w:rPr>
        <w:t>(六)开标后擅自撤销投标或离开招标现场,影响招标继绩进行的；</w:t>
      </w:r>
    </w:p>
    <w:p w14:paraId="3535E404">
      <w:pPr>
        <w:spacing w:before="19" w:line="183" w:lineRule="auto"/>
        <w:ind w:left="559"/>
        <w:rPr>
          <w:rFonts w:ascii="微软雅黑" w:hAnsi="微软雅黑" w:eastAsia="微软雅黑" w:cs="微软雅黑"/>
          <w:sz w:val="24"/>
          <w:szCs w:val="24"/>
        </w:rPr>
      </w:pPr>
      <w:r>
        <w:rPr>
          <w:rFonts w:ascii="微软雅黑" w:hAnsi="微软雅黑" w:eastAsia="微软雅黑" w:cs="微软雅黑"/>
          <w:spacing w:val="1"/>
          <w:sz w:val="24"/>
          <w:szCs w:val="24"/>
        </w:rPr>
        <w:t>(七)中标后无正当理由,在规定时间内不与采购单位签订合同的；</w:t>
      </w:r>
    </w:p>
    <w:p w14:paraId="08C6FF08">
      <w:pPr>
        <w:spacing w:before="19" w:line="183" w:lineRule="auto"/>
        <w:ind w:left="559"/>
        <w:rPr>
          <w:rFonts w:ascii="微软雅黑" w:hAnsi="微软雅黑" w:eastAsia="微软雅黑" w:cs="微软雅黑"/>
          <w:sz w:val="24"/>
          <w:szCs w:val="24"/>
        </w:rPr>
      </w:pPr>
      <w:r>
        <w:rPr>
          <w:rFonts w:ascii="微软雅黑" w:hAnsi="微软雅黑" w:eastAsia="微软雅黑" w:cs="微软雅黑"/>
          <w:spacing w:val="-1"/>
          <w:sz w:val="24"/>
          <w:szCs w:val="24"/>
        </w:rPr>
        <w:t>(八)将中标项目转让给他人或非法分包他人</w:t>
      </w:r>
      <w:r>
        <w:rPr>
          <w:rFonts w:ascii="微软雅黑" w:hAnsi="微软雅黑" w:eastAsia="微软雅黑" w:cs="微软雅黑"/>
          <w:spacing w:val="-2"/>
          <w:sz w:val="24"/>
          <w:szCs w:val="24"/>
        </w:rPr>
        <w:t>的；</w:t>
      </w:r>
    </w:p>
    <w:p w14:paraId="5E146066">
      <w:pPr>
        <w:spacing w:before="19" w:line="183" w:lineRule="auto"/>
        <w:ind w:left="559"/>
        <w:rPr>
          <w:rFonts w:ascii="微软雅黑" w:hAnsi="微软雅黑" w:eastAsia="微软雅黑" w:cs="微软雅黑"/>
          <w:sz w:val="24"/>
          <w:szCs w:val="24"/>
        </w:rPr>
      </w:pPr>
      <w:r>
        <w:rPr>
          <w:rFonts w:ascii="微软雅黑" w:hAnsi="微软雅黑" w:eastAsia="微软雅黑" w:cs="微软雅黑"/>
          <w:spacing w:val="8"/>
          <w:sz w:val="24"/>
          <w:szCs w:val="24"/>
        </w:rPr>
        <w:t>(九)无正当理由,拒绝履行合同义务的;</w:t>
      </w:r>
    </w:p>
    <w:p w14:paraId="517D6925">
      <w:pPr>
        <w:spacing w:before="19" w:line="183" w:lineRule="auto"/>
        <w:ind w:left="559"/>
        <w:rPr>
          <w:rFonts w:ascii="微软雅黑" w:hAnsi="微软雅黑" w:eastAsia="微软雅黑" w:cs="微软雅黑"/>
          <w:sz w:val="24"/>
          <w:szCs w:val="24"/>
        </w:rPr>
      </w:pPr>
      <w:r>
        <w:rPr>
          <w:rFonts w:ascii="微软雅黑" w:hAnsi="微软雅黑" w:eastAsia="微软雅黑" w:cs="微软雅黑"/>
          <w:spacing w:val="8"/>
          <w:sz w:val="24"/>
          <w:szCs w:val="24"/>
        </w:rPr>
        <w:t>(十)无正当理由放弃中标(成交)项目的;</w:t>
      </w:r>
    </w:p>
    <w:p w14:paraId="66E2643A">
      <w:pPr>
        <w:spacing w:before="19" w:line="193" w:lineRule="auto"/>
        <w:ind w:left="46" w:right="72" w:firstLine="512"/>
        <w:rPr>
          <w:rFonts w:ascii="微软雅黑" w:hAnsi="微软雅黑" w:eastAsia="微软雅黑" w:cs="微软雅黑"/>
          <w:sz w:val="24"/>
          <w:szCs w:val="24"/>
        </w:rPr>
      </w:pPr>
      <w:r>
        <w:rPr>
          <w:rFonts w:ascii="微软雅黑" w:hAnsi="微软雅黑" w:eastAsia="微软雅黑" w:cs="微软雅黑"/>
          <w:spacing w:val="7"/>
          <w:sz w:val="24"/>
          <w:szCs w:val="24"/>
        </w:rPr>
        <w:t>(十—)擅自或与采购入串通或接受采购人要求</w:t>
      </w:r>
      <w:r>
        <w:rPr>
          <w:rFonts w:ascii="微软雅黑" w:hAnsi="微软雅黑" w:eastAsia="微软雅黑" w:cs="微软雅黑"/>
          <w:spacing w:val="-12"/>
          <w:sz w:val="24"/>
          <w:szCs w:val="24"/>
        </w:rPr>
        <w:t xml:space="preserve"> </w:t>
      </w:r>
      <w:r>
        <w:rPr>
          <w:rFonts w:ascii="微软雅黑" w:hAnsi="微软雅黑" w:eastAsia="微软雅黑" w:cs="微软雅黑"/>
          <w:spacing w:val="7"/>
          <w:sz w:val="24"/>
          <w:szCs w:val="24"/>
        </w:rPr>
        <w:t>,在约合同中通过减少服务数量</w:t>
      </w:r>
      <w:r>
        <w:rPr>
          <w:rFonts w:ascii="微软雅黑" w:hAnsi="微软雅黑" w:eastAsia="微软雅黑" w:cs="微软雅黑"/>
          <w:spacing w:val="-29"/>
          <w:sz w:val="24"/>
          <w:szCs w:val="24"/>
        </w:rPr>
        <w:t xml:space="preserve"> </w:t>
      </w:r>
      <w:r>
        <w:rPr>
          <w:rFonts w:ascii="微软雅黑" w:hAnsi="微软雅黑" w:eastAsia="微软雅黑" w:cs="微软雅黑"/>
          <w:spacing w:val="7"/>
          <w:sz w:val="24"/>
          <w:szCs w:val="24"/>
        </w:rPr>
        <w:t>,更换</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品牌，</w:t>
      </w:r>
      <w:r>
        <w:rPr>
          <w:rFonts w:ascii="微软雅黑" w:hAnsi="微软雅黑" w:eastAsia="微软雅黑" w:cs="微软雅黑"/>
          <w:spacing w:val="-30"/>
          <w:sz w:val="24"/>
          <w:szCs w:val="24"/>
        </w:rPr>
        <w:t xml:space="preserve"> </w:t>
      </w:r>
      <w:r>
        <w:rPr>
          <w:rFonts w:ascii="微软雅黑" w:hAnsi="微软雅黑" w:eastAsia="微软雅黑" w:cs="微软雅黑"/>
          <w:spacing w:val="2"/>
          <w:sz w:val="24"/>
          <w:szCs w:val="24"/>
        </w:rPr>
        <w:t>降低配置、技术要求、质量和服务标准等</w:t>
      </w:r>
      <w:r>
        <w:rPr>
          <w:rFonts w:ascii="微软雅黑" w:hAnsi="微软雅黑" w:eastAsia="微软雅黑" w:cs="微软雅黑"/>
          <w:spacing w:val="-33"/>
          <w:sz w:val="24"/>
          <w:szCs w:val="24"/>
        </w:rPr>
        <w:t xml:space="preserve"> </w:t>
      </w:r>
      <w:r>
        <w:rPr>
          <w:rFonts w:ascii="微软雅黑" w:hAnsi="微软雅黑" w:eastAsia="微软雅黑" w:cs="微软雅黑"/>
          <w:spacing w:val="2"/>
          <w:sz w:val="24"/>
          <w:szCs w:val="24"/>
        </w:rPr>
        <w:t>,却仍按原合同进行虛假验收或终止政府</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采购合同的；</w:t>
      </w:r>
    </w:p>
    <w:p w14:paraId="29B1EBD6">
      <w:pPr>
        <w:spacing w:before="5" w:line="183" w:lineRule="auto"/>
        <w:ind w:left="559"/>
        <w:rPr>
          <w:rFonts w:ascii="微软雅黑" w:hAnsi="微软雅黑" w:eastAsia="微软雅黑" w:cs="微软雅黑"/>
          <w:sz w:val="24"/>
          <w:szCs w:val="24"/>
        </w:rPr>
      </w:pPr>
      <w:r>
        <w:rPr>
          <w:rFonts w:ascii="微软雅黑" w:hAnsi="微软雅黑" w:eastAsia="微软雅黑" w:cs="微软雅黑"/>
          <w:spacing w:val="5"/>
          <w:sz w:val="24"/>
          <w:szCs w:val="24"/>
        </w:rPr>
        <w:t>(十二)与采购人串通,对尚未履约完毕的釆</w:t>
      </w:r>
      <w:r>
        <w:rPr>
          <w:rFonts w:ascii="微软雅黑" w:hAnsi="微软雅黑" w:eastAsia="微软雅黑" w:cs="微软雅黑"/>
          <w:spacing w:val="4"/>
          <w:sz w:val="24"/>
          <w:szCs w:val="24"/>
        </w:rPr>
        <w:t>购项目出具虚假验收报告的;</w:t>
      </w:r>
    </w:p>
    <w:p w14:paraId="3E1A8EF2">
      <w:pPr>
        <w:spacing w:before="20" w:line="190" w:lineRule="auto"/>
        <w:ind w:left="45" w:right="72" w:firstLine="513"/>
        <w:rPr>
          <w:rFonts w:ascii="微软雅黑" w:hAnsi="微软雅黑" w:eastAsia="微软雅黑" w:cs="微软雅黑"/>
          <w:sz w:val="24"/>
          <w:szCs w:val="24"/>
        </w:rPr>
      </w:pPr>
      <w:r>
        <w:rPr>
          <w:rFonts w:ascii="微软雅黑" w:hAnsi="微软雅黑" w:eastAsia="微软雅黑" w:cs="微软雅黑"/>
          <w:spacing w:val="4"/>
          <w:sz w:val="24"/>
          <w:szCs w:val="24"/>
        </w:rPr>
        <w:t>(十三)无不可抗力因素</w:t>
      </w:r>
      <w:r>
        <w:rPr>
          <w:rFonts w:ascii="微软雅黑" w:hAnsi="微软雅黑" w:eastAsia="微软雅黑" w:cs="微软雅黑"/>
          <w:spacing w:val="-19"/>
          <w:sz w:val="24"/>
          <w:szCs w:val="24"/>
        </w:rPr>
        <w:t xml:space="preserve"> </w:t>
      </w:r>
      <w:r>
        <w:rPr>
          <w:rFonts w:ascii="微软雅黑" w:hAnsi="微软雅黑" w:eastAsia="微软雅黑" w:cs="微软雅黑"/>
          <w:spacing w:val="4"/>
          <w:sz w:val="24"/>
          <w:szCs w:val="24"/>
        </w:rPr>
        <w:t>,拒绝提供售后服务、售后服务态度恶劣、故意提高维修配件</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价格(高于市场平均价)的;</w:t>
      </w:r>
    </w:p>
    <w:p w14:paraId="38D6643D">
      <w:pPr>
        <w:spacing w:before="13" w:line="183" w:lineRule="auto"/>
        <w:ind w:left="559"/>
        <w:rPr>
          <w:rFonts w:ascii="微软雅黑" w:hAnsi="微软雅黑" w:eastAsia="微软雅黑" w:cs="微软雅黑"/>
          <w:sz w:val="24"/>
          <w:szCs w:val="24"/>
        </w:rPr>
      </w:pPr>
      <w:r>
        <w:rPr>
          <w:rFonts w:ascii="微软雅黑" w:hAnsi="微软雅黑" w:eastAsia="微软雅黑" w:cs="微软雅黑"/>
          <w:spacing w:val="3"/>
          <w:sz w:val="24"/>
          <w:szCs w:val="24"/>
        </w:rPr>
        <w:t>(十四)开标后对招标文件的相关内容再进行质疑的;</w:t>
      </w:r>
    </w:p>
    <w:p w14:paraId="01A505B5">
      <w:pPr>
        <w:spacing w:before="19" w:line="183" w:lineRule="auto"/>
        <w:ind w:left="559"/>
        <w:rPr>
          <w:rFonts w:ascii="微软雅黑" w:hAnsi="微软雅黑" w:eastAsia="微软雅黑" w:cs="微软雅黑"/>
          <w:sz w:val="24"/>
          <w:szCs w:val="24"/>
        </w:rPr>
      </w:pPr>
      <w:r>
        <w:rPr>
          <w:rFonts w:ascii="微软雅黑" w:hAnsi="微软雅黑" w:eastAsia="微软雅黑" w:cs="微软雅黑"/>
          <w:spacing w:val="-1"/>
          <w:sz w:val="24"/>
          <w:szCs w:val="24"/>
        </w:rPr>
        <w:t>(十五)质疑经查无实据的、捏造事实或者提供虚假质疑材料的；</w:t>
      </w:r>
    </w:p>
    <w:p w14:paraId="581858B2">
      <w:pPr>
        <w:spacing w:before="20" w:line="190" w:lineRule="auto"/>
        <w:ind w:left="559" w:right="3546"/>
        <w:rPr>
          <w:rFonts w:ascii="微软雅黑" w:hAnsi="微软雅黑" w:eastAsia="微软雅黑" w:cs="微软雅黑"/>
          <w:sz w:val="24"/>
          <w:szCs w:val="24"/>
        </w:rPr>
      </w:pPr>
      <w:r>
        <w:rPr>
          <w:rFonts w:ascii="微软雅黑" w:hAnsi="微软雅黑" w:eastAsia="微软雅黑" w:cs="微软雅黑"/>
          <w:spacing w:val="3"/>
          <w:sz w:val="24"/>
          <w:szCs w:val="24"/>
        </w:rPr>
        <w:t>(十六)拒绝有关部门监督检查或者提供虚假情况的;</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(十七)财政、监察部门认定的其他不诚信行为。</w:t>
      </w:r>
    </w:p>
    <w:p w14:paraId="1948D3CA">
      <w:pPr>
        <w:spacing w:line="190" w:lineRule="auto"/>
        <w:rPr>
          <w:rFonts w:ascii="微软雅黑" w:hAnsi="微软雅黑" w:eastAsia="微软雅黑" w:cs="微软雅黑"/>
          <w:sz w:val="24"/>
          <w:szCs w:val="24"/>
        </w:rPr>
        <w:sectPr>
          <w:headerReference r:id="rId101" w:type="default"/>
          <w:footerReference r:id="rId102" w:type="default"/>
          <w:pgSz w:w="11906" w:h="16839"/>
          <w:pgMar w:top="1142" w:right="1061" w:bottom="1171" w:left="1389" w:header="855" w:footer="993" w:gutter="0"/>
          <w:cols w:space="720" w:num="1"/>
        </w:sectPr>
      </w:pPr>
    </w:p>
    <w:p w14:paraId="2399A34A">
      <w:pPr>
        <w:spacing w:before="40" w:line="190" w:lineRule="auto"/>
        <w:ind w:left="2452" w:right="3751" w:firstLine="1437"/>
        <w:rPr>
          <w:rFonts w:ascii="微软雅黑" w:hAnsi="微软雅黑" w:eastAsia="微软雅黑" w:cs="微软雅黑"/>
          <w:sz w:val="24"/>
          <w:szCs w:val="24"/>
        </w:rPr>
      </w:pPr>
      <w:r>
        <w:rPr>
          <w:rFonts w:ascii="微软雅黑" w:hAnsi="微软雅黑" w:eastAsia="微软雅黑" w:cs="微软雅黑"/>
          <w:b/>
          <w:bCs/>
          <w:spacing w:val="9"/>
          <w:sz w:val="24"/>
          <w:szCs w:val="24"/>
        </w:rPr>
        <w:t>公司名称:(盖章)</w:t>
      </w:r>
      <w:r>
        <w:rPr>
          <w:rFonts w:ascii="微软雅黑" w:hAnsi="微软雅黑" w:eastAsia="微软雅黑" w:cs="微软雅黑"/>
          <w:b/>
          <w:bCs/>
          <w:sz w:val="24"/>
          <w:szCs w:val="24"/>
        </w:rPr>
        <w:t xml:space="preserve">  </w:t>
      </w:r>
      <w:r>
        <w:rPr>
          <w:rFonts w:ascii="微软雅黑" w:hAnsi="微软雅黑" w:eastAsia="微软雅黑" w:cs="微软雅黑"/>
          <w:b/>
          <w:bCs/>
          <w:spacing w:val="2"/>
          <w:sz w:val="24"/>
          <w:szCs w:val="24"/>
        </w:rPr>
        <w:t>法人代表或授权委托人:(签字）</w:t>
      </w:r>
    </w:p>
    <w:p w14:paraId="5B7A01AE">
      <w:pPr>
        <w:pStyle w:val="2"/>
        <w:spacing w:line="242" w:lineRule="auto"/>
      </w:pPr>
    </w:p>
    <w:p w14:paraId="1C054BF2">
      <w:pPr>
        <w:spacing w:before="103" w:line="188" w:lineRule="auto"/>
        <w:ind w:left="5329"/>
        <w:rPr>
          <w:rFonts w:ascii="微软雅黑" w:hAnsi="微软雅黑" w:eastAsia="微软雅黑" w:cs="微软雅黑"/>
          <w:sz w:val="24"/>
          <w:szCs w:val="24"/>
        </w:rPr>
      </w:pPr>
      <w:r>
        <w:rPr>
          <w:rFonts w:ascii="微软雅黑" w:hAnsi="微软雅黑" w:eastAsia="微软雅黑" w:cs="微软雅黑"/>
          <w:b/>
          <w:bCs/>
          <w:spacing w:val="-16"/>
          <w:sz w:val="24"/>
          <w:szCs w:val="24"/>
        </w:rPr>
        <w:t>年</w:t>
      </w:r>
      <w:r>
        <w:rPr>
          <w:rFonts w:ascii="微软雅黑" w:hAnsi="微软雅黑" w:eastAsia="微软雅黑" w:cs="微软雅黑"/>
          <w:b/>
          <w:bCs/>
          <w:spacing w:val="5"/>
          <w:sz w:val="24"/>
          <w:szCs w:val="24"/>
        </w:rPr>
        <w:t xml:space="preserve">     </w:t>
      </w:r>
      <w:r>
        <w:rPr>
          <w:rFonts w:ascii="微软雅黑" w:hAnsi="微软雅黑" w:eastAsia="微软雅黑" w:cs="微软雅黑"/>
          <w:b/>
          <w:bCs/>
          <w:spacing w:val="-16"/>
          <w:sz w:val="24"/>
          <w:szCs w:val="24"/>
        </w:rPr>
        <w:t>月</w:t>
      </w:r>
      <w:r>
        <w:rPr>
          <w:rFonts w:ascii="微软雅黑" w:hAnsi="微软雅黑" w:eastAsia="微软雅黑" w:cs="微软雅黑"/>
          <w:b/>
          <w:bCs/>
          <w:spacing w:val="14"/>
          <w:sz w:val="24"/>
          <w:szCs w:val="24"/>
        </w:rPr>
        <w:t xml:space="preserve">     </w:t>
      </w:r>
      <w:r>
        <w:rPr>
          <w:rFonts w:ascii="微软雅黑" w:hAnsi="微软雅黑" w:eastAsia="微软雅黑" w:cs="微软雅黑"/>
          <w:b/>
          <w:bCs/>
          <w:spacing w:val="-16"/>
          <w:sz w:val="24"/>
          <w:szCs w:val="24"/>
        </w:rPr>
        <w:t>日</w:t>
      </w:r>
    </w:p>
    <w:p w14:paraId="76D971F7">
      <w:pPr>
        <w:pStyle w:val="2"/>
        <w:spacing w:line="331" w:lineRule="auto"/>
      </w:pPr>
    </w:p>
    <w:p w14:paraId="1D2610BE">
      <w:pPr>
        <w:spacing w:before="137" w:line="183" w:lineRule="auto"/>
        <w:ind w:left="2327"/>
        <w:rPr>
          <w:rFonts w:ascii="微软雅黑" w:hAnsi="微软雅黑" w:eastAsia="微软雅黑" w:cs="微软雅黑"/>
          <w:sz w:val="32"/>
          <w:szCs w:val="32"/>
        </w:rPr>
      </w:pPr>
      <w:bookmarkStart w:id="67" w:name="bookmark45"/>
      <w:bookmarkEnd w:id="67"/>
      <w:r>
        <w:rPr>
          <w:rFonts w:ascii="微软雅黑" w:hAnsi="微软雅黑" w:eastAsia="微软雅黑" w:cs="微软雅黑"/>
          <w:b/>
          <w:bCs/>
          <w:spacing w:val="-7"/>
          <w:sz w:val="32"/>
          <w:szCs w:val="32"/>
        </w:rPr>
        <w:t>（十三）中小企业声明函</w:t>
      </w:r>
      <w:r>
        <w:rPr>
          <w:rFonts w:ascii="微软雅黑" w:hAnsi="微软雅黑" w:eastAsia="微软雅黑" w:cs="微软雅黑"/>
          <w:b/>
          <w:bCs/>
          <w:spacing w:val="41"/>
          <w:sz w:val="32"/>
          <w:szCs w:val="32"/>
        </w:rPr>
        <w:t xml:space="preserve">  </w:t>
      </w:r>
      <w:r>
        <w:rPr>
          <w:rFonts w:ascii="微软雅黑" w:hAnsi="微软雅黑" w:eastAsia="微软雅黑" w:cs="微软雅黑"/>
          <w:b/>
          <w:bCs/>
          <w:spacing w:val="-7"/>
          <w:sz w:val="32"/>
          <w:szCs w:val="32"/>
        </w:rPr>
        <w:t>(服务）</w:t>
      </w:r>
    </w:p>
    <w:p w14:paraId="7554CCCE">
      <w:pPr>
        <w:pStyle w:val="2"/>
        <w:spacing w:line="406" w:lineRule="auto"/>
      </w:pPr>
    </w:p>
    <w:p w14:paraId="72F4828F">
      <w:pPr>
        <w:spacing w:before="103" w:line="250" w:lineRule="auto"/>
        <w:ind w:left="40" w:firstLine="725"/>
        <w:rPr>
          <w:rFonts w:ascii="微软雅黑" w:hAnsi="微软雅黑" w:eastAsia="微软雅黑" w:cs="微软雅黑"/>
          <w:sz w:val="24"/>
          <w:szCs w:val="24"/>
        </w:rPr>
      </w:pPr>
      <w:r>
        <w:rPr>
          <w:rFonts w:ascii="微软雅黑" w:hAnsi="微软雅黑" w:eastAsia="微软雅黑" w:cs="微软雅黑"/>
          <w:spacing w:val="-3"/>
          <w:sz w:val="24"/>
          <w:szCs w:val="24"/>
        </w:rPr>
        <w:t>本公司（联合体）郑重声明，根据《政府采购促进中小企业</w:t>
      </w:r>
      <w:r>
        <w:rPr>
          <w:rFonts w:ascii="微软雅黑" w:hAnsi="微软雅黑" w:eastAsia="微软雅黑" w:cs="微软雅黑"/>
          <w:spacing w:val="-4"/>
          <w:sz w:val="24"/>
          <w:szCs w:val="24"/>
        </w:rPr>
        <w:t>发展管理办法》（财库﹝</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2020</w:t>
      </w:r>
      <w:r>
        <w:rPr>
          <w:rFonts w:ascii="微软雅黑" w:hAnsi="微软雅黑" w:eastAsia="微软雅黑" w:cs="微软雅黑"/>
          <w:spacing w:val="-50"/>
          <w:sz w:val="24"/>
          <w:szCs w:val="24"/>
        </w:rPr>
        <w:t xml:space="preserve"> </w:t>
      </w:r>
      <w:r>
        <w:rPr>
          <w:rFonts w:ascii="微软雅黑" w:hAnsi="微软雅黑" w:eastAsia="微软雅黑" w:cs="微软雅黑"/>
          <w:spacing w:val="-5"/>
          <w:sz w:val="24"/>
          <w:szCs w:val="24"/>
        </w:rPr>
        <w:t>﹞46  号）</w:t>
      </w:r>
      <w:r>
        <w:rPr>
          <w:rFonts w:ascii="微软雅黑" w:hAnsi="微软雅黑" w:eastAsia="微软雅黑" w:cs="微软雅黑"/>
          <w:spacing w:val="-35"/>
          <w:sz w:val="24"/>
          <w:szCs w:val="24"/>
        </w:rPr>
        <w:t xml:space="preserve"> </w:t>
      </w:r>
      <w:r>
        <w:rPr>
          <w:rFonts w:ascii="微软雅黑" w:hAnsi="微软雅黑" w:eastAsia="微软雅黑" w:cs="微软雅黑"/>
          <w:spacing w:val="-5"/>
          <w:sz w:val="24"/>
          <w:szCs w:val="24"/>
        </w:rPr>
        <w:t>的规定，</w:t>
      </w:r>
      <w:r>
        <w:rPr>
          <w:rFonts w:ascii="微软雅黑" w:hAnsi="微软雅黑" w:eastAsia="微软雅黑" w:cs="微软雅黑"/>
          <w:spacing w:val="-48"/>
          <w:sz w:val="24"/>
          <w:szCs w:val="24"/>
        </w:rPr>
        <w:t xml:space="preserve"> </w:t>
      </w:r>
      <w:r>
        <w:rPr>
          <w:rFonts w:ascii="微软雅黑" w:hAnsi="微软雅黑" w:eastAsia="微软雅黑" w:cs="微软雅黑"/>
          <w:spacing w:val="-5"/>
          <w:sz w:val="24"/>
          <w:szCs w:val="24"/>
        </w:rPr>
        <w:t>本公司（联合体）</w:t>
      </w:r>
      <w:r>
        <w:rPr>
          <w:rFonts w:ascii="微软雅黑" w:hAnsi="微软雅黑" w:eastAsia="微软雅黑" w:cs="微软雅黑"/>
          <w:spacing w:val="-45"/>
          <w:sz w:val="24"/>
          <w:szCs w:val="24"/>
        </w:rPr>
        <w:t xml:space="preserve"> </w:t>
      </w:r>
      <w:r>
        <w:rPr>
          <w:rFonts w:ascii="微软雅黑" w:hAnsi="微软雅黑" w:eastAsia="微软雅黑" w:cs="微软雅黑"/>
          <w:spacing w:val="-5"/>
          <w:sz w:val="24"/>
          <w:szCs w:val="24"/>
        </w:rPr>
        <w:t>参加（单位名称）</w:t>
      </w:r>
      <w:r>
        <w:rPr>
          <w:rFonts w:ascii="微软雅黑" w:hAnsi="微软雅黑" w:eastAsia="微软雅黑" w:cs="微软雅黑"/>
          <w:spacing w:val="-35"/>
          <w:sz w:val="24"/>
          <w:szCs w:val="24"/>
        </w:rPr>
        <w:t xml:space="preserve"> </w:t>
      </w:r>
      <w:r>
        <w:rPr>
          <w:rFonts w:ascii="微软雅黑" w:hAnsi="微软雅黑" w:eastAsia="微软雅黑" w:cs="微软雅黑"/>
          <w:spacing w:val="-5"/>
          <w:sz w:val="24"/>
          <w:szCs w:val="24"/>
        </w:rPr>
        <w:t>的（项目名称）</w:t>
      </w:r>
      <w:r>
        <w:rPr>
          <w:rFonts w:ascii="微软雅黑" w:hAnsi="微软雅黑" w:eastAsia="微软雅黑" w:cs="微软雅黑"/>
          <w:spacing w:val="-47"/>
          <w:sz w:val="24"/>
          <w:szCs w:val="24"/>
        </w:rPr>
        <w:t xml:space="preserve"> </w:t>
      </w:r>
      <w:r>
        <w:rPr>
          <w:rFonts w:ascii="微软雅黑" w:hAnsi="微软雅黑" w:eastAsia="微软雅黑" w:cs="微软雅黑"/>
          <w:spacing w:val="-5"/>
          <w:sz w:val="24"/>
          <w:szCs w:val="24"/>
        </w:rPr>
        <w:t>采购活动，</w:t>
      </w:r>
    </w:p>
    <w:p w14:paraId="462CD0B7">
      <w:pPr>
        <w:spacing w:before="11" w:line="253" w:lineRule="auto"/>
        <w:ind w:left="45" w:right="141" w:firstLine="4"/>
        <w:rPr>
          <w:rFonts w:ascii="微软雅黑" w:hAnsi="微软雅黑" w:eastAsia="微软雅黑" w:cs="微软雅黑"/>
          <w:sz w:val="24"/>
          <w:szCs w:val="24"/>
        </w:rPr>
      </w:pPr>
      <w:r>
        <w:rPr>
          <w:rFonts w:ascii="微软雅黑" w:hAnsi="微软雅黑" w:eastAsia="微软雅黑" w:cs="微软雅黑"/>
          <w:spacing w:val="-1"/>
          <w:sz w:val="24"/>
          <w:szCs w:val="24"/>
        </w:rPr>
        <w:t>工程的施工单位全部为符合政策要求的中小企业（或者：</w:t>
      </w:r>
      <w:r>
        <w:rPr>
          <w:rFonts w:ascii="微软雅黑" w:hAnsi="微软雅黑" w:eastAsia="微软雅黑" w:cs="微软雅黑"/>
          <w:spacing w:val="-50"/>
          <w:sz w:val="24"/>
          <w:szCs w:val="24"/>
        </w:rPr>
        <w:t xml:space="preserve"> </w:t>
      </w:r>
      <w:r>
        <w:rPr>
          <w:rFonts w:ascii="微软雅黑" w:hAnsi="微软雅黑" w:eastAsia="微软雅黑" w:cs="微软雅黑"/>
          <w:spacing w:val="-1"/>
          <w:sz w:val="24"/>
          <w:szCs w:val="24"/>
        </w:rPr>
        <w:t>服务全</w:t>
      </w:r>
      <w:r>
        <w:rPr>
          <w:rFonts w:ascii="微软雅黑" w:hAnsi="微软雅黑" w:eastAsia="微软雅黑" w:cs="微软雅黑"/>
          <w:spacing w:val="-2"/>
          <w:sz w:val="24"/>
          <w:szCs w:val="24"/>
        </w:rPr>
        <w:t>部由符合政策要求的中小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企业承接）。相关企业（含联合体中的中小企业、签订分包意向协议的中小企业）的具体</w:t>
      </w:r>
      <w:r>
        <w:rPr>
          <w:rFonts w:ascii="微软雅黑" w:hAnsi="微软雅黑" w:eastAsia="微软雅黑" w:cs="微软雅黑"/>
          <w:spacing w:val="15"/>
          <w:sz w:val="24"/>
          <w:szCs w:val="24"/>
        </w:rPr>
        <w:t xml:space="preserve"> </w:t>
      </w:r>
      <w:r>
        <w:rPr>
          <w:rFonts w:ascii="微软雅黑" w:hAnsi="微软雅黑" w:eastAsia="微软雅黑" w:cs="微软雅黑"/>
          <w:spacing w:val="-12"/>
          <w:sz w:val="24"/>
          <w:szCs w:val="24"/>
        </w:rPr>
        <w:t>情况如下：</w:t>
      </w:r>
    </w:p>
    <w:p w14:paraId="035C5A7D">
      <w:pPr>
        <w:spacing w:before="169" w:line="192" w:lineRule="auto"/>
        <w:ind w:left="44" w:right="162" w:firstLine="730"/>
        <w:jc w:val="both"/>
        <w:rPr>
          <w:rFonts w:ascii="微软雅黑" w:hAnsi="微软雅黑" w:eastAsia="微软雅黑" w:cs="微软雅黑"/>
          <w:sz w:val="24"/>
          <w:szCs w:val="24"/>
        </w:rPr>
      </w:pPr>
      <w:r>
        <w:rPr>
          <w:rFonts w:ascii="微软雅黑" w:hAnsi="微软雅黑" w:eastAsia="微软雅黑" w:cs="微软雅黑"/>
          <w:spacing w:val="4"/>
          <w:sz w:val="24"/>
          <w:szCs w:val="24"/>
        </w:rPr>
        <w:t>1.</w:t>
      </w:r>
      <w:r>
        <w:rPr>
          <w:rFonts w:ascii="微软雅黑" w:hAnsi="微软雅黑" w:eastAsia="微软雅黑" w:cs="微软雅黑"/>
          <w:spacing w:val="37"/>
          <w:w w:val="101"/>
          <w:sz w:val="24"/>
          <w:szCs w:val="24"/>
        </w:rPr>
        <w:t xml:space="preserve"> </w:t>
      </w:r>
      <w:r>
        <w:rPr>
          <w:rFonts w:ascii="微软雅黑" w:hAnsi="微软雅黑" w:eastAsia="微软雅黑" w:cs="微软雅黑"/>
          <w:spacing w:val="4"/>
          <w:sz w:val="24"/>
          <w:szCs w:val="24"/>
        </w:rPr>
        <w:t>（标的名称</w:t>
      </w:r>
      <w:r>
        <w:rPr>
          <w:rFonts w:ascii="微软雅黑" w:hAnsi="微软雅黑" w:eastAsia="微软雅黑" w:cs="微软雅黑"/>
          <w:spacing w:val="-6"/>
          <w:sz w:val="24"/>
          <w:szCs w:val="24"/>
        </w:rPr>
        <w:t>）</w:t>
      </w:r>
      <w:r>
        <w:rPr>
          <w:rFonts w:ascii="微软雅黑" w:hAnsi="微软雅黑" w:eastAsia="微软雅黑" w:cs="微软雅黑"/>
          <w:spacing w:val="15"/>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45"/>
          <w:sz w:val="24"/>
          <w:szCs w:val="24"/>
        </w:rPr>
        <w:t xml:space="preserve"> </w:t>
      </w:r>
      <w:r>
        <w:rPr>
          <w:rFonts w:ascii="微软雅黑" w:hAnsi="微软雅黑" w:eastAsia="微软雅黑" w:cs="微软雅黑"/>
          <w:spacing w:val="4"/>
          <w:sz w:val="24"/>
          <w:szCs w:val="24"/>
        </w:rPr>
        <w:t>属于（采购文件中明确的所属行业</w:t>
      </w:r>
      <w:r>
        <w:rPr>
          <w:rFonts w:ascii="微软雅黑" w:hAnsi="微软雅黑" w:eastAsia="微软雅黑" w:cs="微软雅黑"/>
          <w:spacing w:val="-6"/>
          <w:sz w:val="24"/>
          <w:szCs w:val="24"/>
        </w:rPr>
        <w:t>）；</w:t>
      </w:r>
      <w:r>
        <w:rPr>
          <w:rFonts w:ascii="微软雅黑" w:hAnsi="微软雅黑" w:eastAsia="微软雅黑" w:cs="微软雅黑"/>
          <w:spacing w:val="-41"/>
          <w:sz w:val="24"/>
          <w:szCs w:val="24"/>
        </w:rPr>
        <w:t xml:space="preserve"> </w:t>
      </w:r>
      <w:r>
        <w:rPr>
          <w:rFonts w:ascii="微软雅黑" w:hAnsi="微软雅黑" w:eastAsia="微软雅黑" w:cs="微软雅黑"/>
          <w:spacing w:val="4"/>
          <w:sz w:val="24"/>
          <w:szCs w:val="24"/>
        </w:rPr>
        <w:t>承建（承接）</w:t>
      </w:r>
      <w:r>
        <w:rPr>
          <w:rFonts w:ascii="微软雅黑" w:hAnsi="微软雅黑" w:eastAsia="微软雅黑" w:cs="微软雅黑"/>
          <w:spacing w:val="-40"/>
          <w:sz w:val="24"/>
          <w:szCs w:val="24"/>
        </w:rPr>
        <w:t xml:space="preserve"> </w:t>
      </w:r>
      <w:r>
        <w:rPr>
          <w:rFonts w:ascii="微软雅黑" w:hAnsi="微软雅黑" w:eastAsia="微软雅黑" w:cs="微软雅黑"/>
          <w:spacing w:val="4"/>
          <w:sz w:val="24"/>
          <w:szCs w:val="24"/>
        </w:rPr>
        <w:t>企业为</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（企业名称</w:t>
      </w:r>
      <w:r>
        <w:rPr>
          <w:rFonts w:ascii="微软雅黑" w:hAnsi="微软雅黑" w:eastAsia="微软雅黑" w:cs="微软雅黑"/>
          <w:spacing w:val="-8"/>
          <w:sz w:val="24"/>
          <w:szCs w:val="24"/>
        </w:rPr>
        <w:t>）</w:t>
      </w:r>
      <w:r>
        <w:rPr>
          <w:rFonts w:ascii="微软雅黑" w:hAnsi="微软雅黑" w:eastAsia="微软雅黑" w:cs="微软雅黑"/>
          <w:spacing w:val="-32"/>
          <w:sz w:val="24"/>
          <w:szCs w:val="24"/>
        </w:rPr>
        <w:t xml:space="preserve"> </w:t>
      </w:r>
      <w:r>
        <w:rPr>
          <w:rFonts w:ascii="微软雅黑" w:hAnsi="微软雅黑" w:eastAsia="微软雅黑" w:cs="微软雅黑"/>
          <w:spacing w:val="-8"/>
          <w:sz w:val="24"/>
          <w:szCs w:val="24"/>
        </w:rPr>
        <w:t>，</w:t>
      </w:r>
      <w:r>
        <w:rPr>
          <w:rFonts w:ascii="微软雅黑" w:hAnsi="微软雅黑" w:eastAsia="微软雅黑" w:cs="微软雅黑"/>
          <w:spacing w:val="-5"/>
          <w:sz w:val="24"/>
          <w:szCs w:val="24"/>
        </w:rPr>
        <w:t>从业人员</w:t>
      </w:r>
      <w:r>
        <w:rPr>
          <w:rFonts w:ascii="微软雅黑" w:hAnsi="微软雅黑" w:eastAsia="微软雅黑" w:cs="微软雅黑"/>
          <w:spacing w:val="-69"/>
          <w:sz w:val="24"/>
          <w:szCs w:val="24"/>
        </w:rPr>
        <w:t xml:space="preserve"> </w:t>
      </w:r>
      <w:r>
        <w:rPr>
          <w:rFonts w:ascii="微软雅黑" w:hAnsi="微软雅黑" w:eastAsia="微软雅黑" w:cs="微软雅黑"/>
          <w:spacing w:val="-5"/>
          <w:sz w:val="24"/>
          <w:szCs w:val="24"/>
          <w:u w:val="single" w:color="auto"/>
        </w:rPr>
        <w:t xml:space="preserve">         人</w:t>
      </w:r>
      <w:r>
        <w:rPr>
          <w:rFonts w:ascii="微软雅黑" w:hAnsi="微软雅黑" w:eastAsia="微软雅黑" w:cs="微软雅黑"/>
          <w:spacing w:val="-35"/>
          <w:sz w:val="24"/>
          <w:szCs w:val="24"/>
        </w:rPr>
        <w:t xml:space="preserve"> </w:t>
      </w:r>
      <w:r>
        <w:rPr>
          <w:rFonts w:ascii="微软雅黑" w:hAnsi="微软雅黑" w:eastAsia="微软雅黑" w:cs="微软雅黑"/>
          <w:spacing w:val="-5"/>
          <w:sz w:val="24"/>
          <w:szCs w:val="24"/>
        </w:rPr>
        <w:t>，</w:t>
      </w:r>
      <w:r>
        <w:rPr>
          <w:rFonts w:ascii="微软雅黑" w:hAnsi="微软雅黑" w:eastAsia="微软雅黑" w:cs="微软雅黑"/>
          <w:spacing w:val="-44"/>
          <w:sz w:val="24"/>
          <w:szCs w:val="24"/>
        </w:rPr>
        <w:t xml:space="preserve"> </w:t>
      </w:r>
      <w:r>
        <w:rPr>
          <w:rFonts w:ascii="微软雅黑" w:hAnsi="微软雅黑" w:eastAsia="微软雅黑" w:cs="微软雅黑"/>
          <w:spacing w:val="-5"/>
          <w:sz w:val="24"/>
          <w:szCs w:val="24"/>
        </w:rPr>
        <w:t>营业收入</w:t>
      </w:r>
      <w:r>
        <w:rPr>
          <w:rFonts w:ascii="微软雅黑" w:hAnsi="微软雅黑" w:eastAsia="微软雅黑" w:cs="微软雅黑"/>
          <w:spacing w:val="-69"/>
          <w:sz w:val="24"/>
          <w:szCs w:val="24"/>
        </w:rPr>
        <w:t xml:space="preserve"> </w:t>
      </w:r>
      <w:r>
        <w:rPr>
          <w:rFonts w:ascii="微软雅黑" w:hAnsi="微软雅黑" w:eastAsia="微软雅黑" w:cs="微软雅黑"/>
          <w:spacing w:val="-46"/>
          <w:sz w:val="24"/>
          <w:szCs w:val="24"/>
          <w:u w:val="single" w:color="auto"/>
        </w:rPr>
        <w:t xml:space="preserve"> </w:t>
      </w:r>
      <w:r>
        <w:rPr>
          <w:rFonts w:ascii="微软雅黑" w:hAnsi="微软雅黑" w:eastAsia="微软雅黑" w:cs="微软雅黑"/>
          <w:spacing w:val="-5"/>
          <w:sz w:val="24"/>
          <w:szCs w:val="24"/>
          <w:u w:val="single" w:color="auto"/>
        </w:rPr>
        <w:t xml:space="preserve">为    </w:t>
      </w:r>
      <w:r>
        <w:rPr>
          <w:rFonts w:ascii="微软雅黑" w:hAnsi="微软雅黑" w:eastAsia="微软雅黑" w:cs="微软雅黑"/>
          <w:spacing w:val="-6"/>
          <w:sz w:val="24"/>
          <w:szCs w:val="24"/>
          <w:u w:val="single" w:color="auto"/>
        </w:rPr>
        <w:t xml:space="preserve">     万元</w:t>
      </w:r>
      <w:r>
        <w:rPr>
          <w:rFonts w:ascii="微软雅黑" w:hAnsi="微软雅黑" w:eastAsia="微软雅黑" w:cs="微软雅黑"/>
          <w:spacing w:val="-36"/>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38"/>
          <w:sz w:val="24"/>
          <w:szCs w:val="24"/>
        </w:rPr>
        <w:t xml:space="preserve"> </w:t>
      </w:r>
      <w:r>
        <w:rPr>
          <w:rFonts w:ascii="微软雅黑" w:hAnsi="微软雅黑" w:eastAsia="微软雅黑" w:cs="微软雅黑"/>
          <w:spacing w:val="-6"/>
          <w:sz w:val="24"/>
          <w:szCs w:val="24"/>
        </w:rPr>
        <w:t>资产总额</w:t>
      </w:r>
      <w:r>
        <w:rPr>
          <w:rFonts w:ascii="微软雅黑" w:hAnsi="微软雅黑" w:eastAsia="微软雅黑" w:cs="微软雅黑"/>
          <w:spacing w:val="-69"/>
          <w:sz w:val="24"/>
          <w:szCs w:val="24"/>
        </w:rPr>
        <w:t xml:space="preserve"> </w:t>
      </w:r>
      <w:r>
        <w:rPr>
          <w:rFonts w:ascii="微软雅黑" w:hAnsi="微软雅黑" w:eastAsia="微软雅黑" w:cs="微软雅黑"/>
          <w:spacing w:val="-46"/>
          <w:sz w:val="24"/>
          <w:szCs w:val="24"/>
          <w:u w:val="single" w:color="auto"/>
        </w:rPr>
        <w:t xml:space="preserve"> </w:t>
      </w:r>
      <w:r>
        <w:rPr>
          <w:rFonts w:ascii="微软雅黑" w:hAnsi="微软雅黑" w:eastAsia="微软雅黑" w:cs="微软雅黑"/>
          <w:spacing w:val="-6"/>
          <w:sz w:val="24"/>
          <w:szCs w:val="24"/>
          <w:u w:val="single" w:color="auto"/>
        </w:rPr>
        <w:t>为         万元</w:t>
      </w:r>
      <w:r>
        <w:rPr>
          <w:rFonts w:ascii="微软雅黑" w:hAnsi="微软雅黑" w:eastAsia="微软雅黑" w:cs="微软雅黑"/>
          <w:spacing w:val="-35"/>
          <w:sz w:val="24"/>
          <w:szCs w:val="24"/>
        </w:rPr>
        <w:t xml:space="preserve"> </w:t>
      </w:r>
      <w:r>
        <w:rPr>
          <w:rFonts w:ascii="微软雅黑" w:hAnsi="微软雅黑" w:eastAsia="微软雅黑" w:cs="微软雅黑"/>
          <w:spacing w:val="-6"/>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6"/>
          <w:sz w:val="24"/>
          <w:szCs w:val="24"/>
        </w:rPr>
        <w:t>属于</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（中型企业、小型企业、微型企业</w:t>
      </w:r>
      <w:r>
        <w:rPr>
          <w:rFonts w:ascii="微软雅黑" w:hAnsi="微软雅黑" w:eastAsia="微软雅黑" w:cs="微软雅黑"/>
          <w:spacing w:val="4"/>
          <w:sz w:val="24"/>
          <w:szCs w:val="24"/>
        </w:rPr>
        <w:t>）；</w:t>
      </w:r>
    </w:p>
    <w:p w14:paraId="65AC1064">
      <w:pPr>
        <w:spacing w:before="10" w:line="192" w:lineRule="auto"/>
        <w:ind w:left="44" w:right="152" w:firstLine="475"/>
        <w:jc w:val="both"/>
        <w:rPr>
          <w:rFonts w:ascii="微软雅黑" w:hAnsi="微软雅黑" w:eastAsia="微软雅黑" w:cs="微软雅黑"/>
          <w:sz w:val="24"/>
          <w:szCs w:val="24"/>
        </w:rPr>
      </w:pPr>
      <w:r>
        <w:rPr>
          <w:rFonts w:ascii="微软雅黑" w:hAnsi="微软雅黑" w:eastAsia="微软雅黑" w:cs="微软雅黑"/>
          <w:sz w:val="24"/>
          <w:szCs w:val="24"/>
        </w:rPr>
        <w:t>2.</w:t>
      </w:r>
      <w:r>
        <w:rPr>
          <w:rFonts w:ascii="微软雅黑" w:hAnsi="微软雅黑" w:eastAsia="微软雅黑" w:cs="微软雅黑"/>
          <w:spacing w:val="32"/>
          <w:sz w:val="24"/>
          <w:szCs w:val="24"/>
        </w:rPr>
        <w:t xml:space="preserve"> </w:t>
      </w:r>
      <w:r>
        <w:rPr>
          <w:rFonts w:ascii="微软雅黑" w:hAnsi="微软雅黑" w:eastAsia="微软雅黑" w:cs="微软雅黑"/>
          <w:sz w:val="24"/>
          <w:szCs w:val="24"/>
        </w:rPr>
        <w:t>（标的名称</w:t>
      </w:r>
      <w:r>
        <w:rPr>
          <w:rFonts w:ascii="微软雅黑" w:hAnsi="微软雅黑" w:eastAsia="微软雅黑" w:cs="微软雅黑"/>
          <w:spacing w:val="3"/>
          <w:sz w:val="24"/>
          <w:szCs w:val="24"/>
        </w:rPr>
        <w:t>）</w:t>
      </w:r>
      <w:r>
        <w:rPr>
          <w:rFonts w:ascii="微软雅黑" w:hAnsi="微软雅黑" w:eastAsia="微软雅黑" w:cs="微软雅黑"/>
          <w:spacing w:val="66"/>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z w:val="24"/>
          <w:szCs w:val="24"/>
        </w:rPr>
        <w:t>属于（采购文件中明确的所属行业</w:t>
      </w:r>
      <w:r>
        <w:rPr>
          <w:rFonts w:ascii="微软雅黑" w:hAnsi="微软雅黑" w:eastAsia="微软雅黑" w:cs="微软雅黑"/>
          <w:spacing w:val="3"/>
          <w:sz w:val="24"/>
          <w:szCs w:val="24"/>
        </w:rPr>
        <w:t>）；</w:t>
      </w:r>
      <w:r>
        <w:rPr>
          <w:rFonts w:ascii="微软雅黑" w:hAnsi="微软雅黑" w:eastAsia="微软雅黑" w:cs="微软雅黑"/>
          <w:sz w:val="24"/>
          <w:szCs w:val="24"/>
        </w:rPr>
        <w:t xml:space="preserve">承建（承接）企业为（企 </w:t>
      </w:r>
      <w:r>
        <w:rPr>
          <w:rFonts w:ascii="微软雅黑" w:hAnsi="微软雅黑" w:eastAsia="微软雅黑" w:cs="微软雅黑"/>
          <w:spacing w:val="-7"/>
          <w:sz w:val="24"/>
          <w:szCs w:val="24"/>
        </w:rPr>
        <w:t>业名称</w:t>
      </w:r>
      <w:r>
        <w:rPr>
          <w:rFonts w:ascii="微软雅黑" w:hAnsi="微软雅黑" w:eastAsia="微软雅黑" w:cs="微软雅黑"/>
          <w:spacing w:val="-8"/>
          <w:sz w:val="24"/>
          <w:szCs w:val="24"/>
        </w:rPr>
        <w:t>）</w:t>
      </w:r>
      <w:r>
        <w:rPr>
          <w:rFonts w:ascii="微软雅黑" w:hAnsi="微软雅黑" w:eastAsia="微软雅黑" w:cs="微软雅黑"/>
          <w:spacing w:val="-33"/>
          <w:sz w:val="24"/>
          <w:szCs w:val="24"/>
        </w:rPr>
        <w:t xml:space="preserve"> </w:t>
      </w:r>
      <w:r>
        <w:rPr>
          <w:rFonts w:ascii="微软雅黑" w:hAnsi="微软雅黑" w:eastAsia="微软雅黑" w:cs="微软雅黑"/>
          <w:spacing w:val="-8"/>
          <w:sz w:val="24"/>
          <w:szCs w:val="24"/>
        </w:rPr>
        <w:t>，</w:t>
      </w:r>
      <w:r>
        <w:rPr>
          <w:rFonts w:ascii="微软雅黑" w:hAnsi="微软雅黑" w:eastAsia="微软雅黑" w:cs="微软雅黑"/>
          <w:spacing w:val="-7"/>
          <w:sz w:val="24"/>
          <w:szCs w:val="24"/>
        </w:rPr>
        <w:t>从业人</w:t>
      </w:r>
      <w:r>
        <w:rPr>
          <w:rFonts w:ascii="微软雅黑" w:hAnsi="微软雅黑" w:eastAsia="微软雅黑" w:cs="微软雅黑"/>
          <w:spacing w:val="-33"/>
          <w:sz w:val="24"/>
          <w:szCs w:val="24"/>
          <w:u w:val="single" w:color="auto"/>
        </w:rPr>
        <w:t xml:space="preserve"> </w:t>
      </w:r>
      <w:r>
        <w:rPr>
          <w:rFonts w:ascii="微软雅黑" w:hAnsi="微软雅黑" w:eastAsia="微软雅黑" w:cs="微软雅黑"/>
          <w:spacing w:val="-7"/>
          <w:sz w:val="24"/>
          <w:szCs w:val="24"/>
          <w:u w:val="single" w:color="auto"/>
        </w:rPr>
        <w:t>员         人</w:t>
      </w:r>
      <w:r>
        <w:rPr>
          <w:rFonts w:ascii="微软雅黑" w:hAnsi="微软雅黑" w:eastAsia="微软雅黑" w:cs="微软雅黑"/>
          <w:spacing w:val="-36"/>
          <w:sz w:val="24"/>
          <w:szCs w:val="24"/>
        </w:rPr>
        <w:t xml:space="preserve"> </w:t>
      </w:r>
      <w:r>
        <w:rPr>
          <w:rFonts w:ascii="微软雅黑" w:hAnsi="微软雅黑" w:eastAsia="微软雅黑" w:cs="微软雅黑"/>
          <w:spacing w:val="-7"/>
          <w:sz w:val="24"/>
          <w:szCs w:val="24"/>
        </w:rPr>
        <w:t>，</w:t>
      </w:r>
      <w:r>
        <w:rPr>
          <w:rFonts w:ascii="微软雅黑" w:hAnsi="微软雅黑" w:eastAsia="微软雅黑" w:cs="微软雅黑"/>
          <w:spacing w:val="-44"/>
          <w:sz w:val="24"/>
          <w:szCs w:val="24"/>
        </w:rPr>
        <w:t xml:space="preserve"> </w:t>
      </w:r>
      <w:r>
        <w:rPr>
          <w:rFonts w:ascii="微软雅黑" w:hAnsi="微软雅黑" w:eastAsia="微软雅黑" w:cs="微软雅黑"/>
          <w:spacing w:val="-7"/>
          <w:sz w:val="24"/>
          <w:szCs w:val="24"/>
        </w:rPr>
        <w:t>营业收入</w:t>
      </w:r>
      <w:r>
        <w:rPr>
          <w:rFonts w:ascii="微软雅黑" w:hAnsi="微软雅黑" w:eastAsia="微软雅黑" w:cs="微软雅黑"/>
          <w:spacing w:val="-68"/>
          <w:sz w:val="24"/>
          <w:szCs w:val="24"/>
        </w:rPr>
        <w:t xml:space="preserve"> </w:t>
      </w:r>
      <w:r>
        <w:rPr>
          <w:rFonts w:ascii="微软雅黑" w:hAnsi="微软雅黑" w:eastAsia="微软雅黑" w:cs="微软雅黑"/>
          <w:spacing w:val="-47"/>
          <w:sz w:val="24"/>
          <w:szCs w:val="24"/>
          <w:u w:val="single" w:color="auto"/>
        </w:rPr>
        <w:t xml:space="preserve"> </w:t>
      </w:r>
      <w:r>
        <w:rPr>
          <w:rFonts w:ascii="微软雅黑" w:hAnsi="微软雅黑" w:eastAsia="微软雅黑" w:cs="微软雅黑"/>
          <w:spacing w:val="-7"/>
          <w:sz w:val="24"/>
          <w:szCs w:val="24"/>
          <w:u w:val="single" w:color="auto"/>
        </w:rPr>
        <w:t>为         万元</w:t>
      </w:r>
      <w:r>
        <w:rPr>
          <w:rFonts w:ascii="微软雅黑" w:hAnsi="微软雅黑" w:eastAsia="微软雅黑" w:cs="微软雅黑"/>
          <w:spacing w:val="-35"/>
          <w:sz w:val="24"/>
          <w:szCs w:val="24"/>
        </w:rPr>
        <w:t xml:space="preserve"> </w:t>
      </w:r>
      <w:r>
        <w:rPr>
          <w:rFonts w:ascii="微软雅黑" w:hAnsi="微软雅黑" w:eastAsia="微软雅黑" w:cs="微软雅黑"/>
          <w:spacing w:val="-7"/>
          <w:sz w:val="24"/>
          <w:szCs w:val="24"/>
        </w:rPr>
        <w:t>，</w:t>
      </w:r>
      <w:r>
        <w:rPr>
          <w:rFonts w:ascii="微软雅黑" w:hAnsi="微软雅黑" w:eastAsia="微软雅黑" w:cs="微软雅黑"/>
          <w:spacing w:val="-39"/>
          <w:sz w:val="24"/>
          <w:szCs w:val="24"/>
        </w:rPr>
        <w:t xml:space="preserve"> </w:t>
      </w:r>
      <w:r>
        <w:rPr>
          <w:rFonts w:ascii="微软雅黑" w:hAnsi="微软雅黑" w:eastAsia="微软雅黑" w:cs="微软雅黑"/>
          <w:spacing w:val="-7"/>
          <w:sz w:val="24"/>
          <w:szCs w:val="24"/>
        </w:rPr>
        <w:t>资产总额</w:t>
      </w:r>
      <w:r>
        <w:rPr>
          <w:rFonts w:ascii="微软雅黑" w:hAnsi="微软雅黑" w:eastAsia="微软雅黑" w:cs="微软雅黑"/>
          <w:spacing w:val="-68"/>
          <w:sz w:val="24"/>
          <w:szCs w:val="24"/>
        </w:rPr>
        <w:t xml:space="preserve"> </w:t>
      </w:r>
      <w:r>
        <w:rPr>
          <w:rFonts w:ascii="微软雅黑" w:hAnsi="微软雅黑" w:eastAsia="微软雅黑" w:cs="微软雅黑"/>
          <w:spacing w:val="-47"/>
          <w:sz w:val="24"/>
          <w:szCs w:val="24"/>
          <w:u w:val="single" w:color="auto"/>
        </w:rPr>
        <w:t xml:space="preserve"> </w:t>
      </w:r>
      <w:r>
        <w:rPr>
          <w:rFonts w:ascii="微软雅黑" w:hAnsi="微软雅黑" w:eastAsia="微软雅黑" w:cs="微软雅黑"/>
          <w:spacing w:val="-7"/>
          <w:sz w:val="24"/>
          <w:szCs w:val="24"/>
          <w:u w:val="single" w:color="auto"/>
        </w:rPr>
        <w:t>为          万元</w:t>
      </w:r>
      <w:r>
        <w:rPr>
          <w:rFonts w:ascii="微软雅黑" w:hAnsi="微软雅黑" w:eastAsia="微软雅黑" w:cs="微软雅黑"/>
          <w:spacing w:val="-35"/>
          <w:sz w:val="24"/>
          <w:szCs w:val="24"/>
        </w:rPr>
        <w:t xml:space="preserve"> </w:t>
      </w:r>
      <w:r>
        <w:rPr>
          <w:rFonts w:ascii="微软雅黑" w:hAnsi="微软雅黑" w:eastAsia="微软雅黑" w:cs="微软雅黑"/>
          <w:spacing w:val="-7"/>
          <w:sz w:val="24"/>
          <w:szCs w:val="24"/>
        </w:rPr>
        <w:t>，</w:t>
      </w:r>
      <w:r>
        <w:rPr>
          <w:rFonts w:ascii="微软雅黑" w:hAnsi="微软雅黑" w:eastAsia="微软雅黑" w:cs="微软雅黑"/>
          <w:spacing w:val="-51"/>
          <w:sz w:val="24"/>
          <w:szCs w:val="24"/>
        </w:rPr>
        <w:t xml:space="preserve"> </w:t>
      </w:r>
      <w:r>
        <w:rPr>
          <w:rFonts w:ascii="微软雅黑" w:hAnsi="微软雅黑" w:eastAsia="微软雅黑" w:cs="微软雅黑"/>
          <w:spacing w:val="-8"/>
          <w:sz w:val="24"/>
          <w:szCs w:val="24"/>
        </w:rPr>
        <w:t>属于（中</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型企业、小型企业、微型企业</w:t>
      </w:r>
      <w:r>
        <w:rPr>
          <w:rFonts w:ascii="微软雅黑" w:hAnsi="微软雅黑" w:eastAsia="微软雅黑" w:cs="微软雅黑"/>
          <w:spacing w:val="4"/>
          <w:sz w:val="24"/>
          <w:szCs w:val="24"/>
        </w:rPr>
        <w:t>）；</w:t>
      </w:r>
      <w:r>
        <w:rPr>
          <w:rFonts w:ascii="微软雅黑" w:hAnsi="微软雅黑" w:eastAsia="微软雅黑" w:cs="微软雅黑"/>
          <w:spacing w:val="-37"/>
          <w:sz w:val="24"/>
          <w:szCs w:val="24"/>
        </w:rPr>
        <w:t xml:space="preserve"> </w:t>
      </w:r>
      <w:r>
        <w:rPr>
          <w:rFonts w:ascii="微软雅黑" w:hAnsi="微软雅黑" w:eastAsia="微软雅黑" w:cs="微软雅黑"/>
          <w:spacing w:val="2"/>
          <w:sz w:val="24"/>
          <w:szCs w:val="24"/>
        </w:rPr>
        <w:t>……</w:t>
      </w:r>
    </w:p>
    <w:p w14:paraId="6FAA980C">
      <w:pPr>
        <w:pStyle w:val="2"/>
        <w:spacing w:line="300" w:lineRule="auto"/>
      </w:pPr>
    </w:p>
    <w:p w14:paraId="590CD443">
      <w:pPr>
        <w:spacing w:before="104" w:line="252" w:lineRule="auto"/>
        <w:ind w:left="44" w:right="141" w:firstLine="24"/>
        <w:rPr>
          <w:rFonts w:ascii="微软雅黑" w:hAnsi="微软雅黑" w:eastAsia="微软雅黑" w:cs="微软雅黑"/>
          <w:sz w:val="24"/>
          <w:szCs w:val="24"/>
        </w:rPr>
      </w:pPr>
      <w:r>
        <w:rPr>
          <w:rFonts w:ascii="微软雅黑" w:hAnsi="微软雅黑" w:eastAsia="微软雅黑" w:cs="微软雅黑"/>
          <w:spacing w:val="-3"/>
          <w:sz w:val="24"/>
          <w:szCs w:val="24"/>
        </w:rPr>
        <w:t>以上企业，</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不属于大企业的分支机构，</w:t>
      </w:r>
      <w:r>
        <w:rPr>
          <w:rFonts w:ascii="微软雅黑" w:hAnsi="微软雅黑" w:eastAsia="微软雅黑" w:cs="微软雅黑"/>
          <w:spacing w:val="-50"/>
          <w:sz w:val="24"/>
          <w:szCs w:val="24"/>
        </w:rPr>
        <w:t xml:space="preserve"> </w:t>
      </w:r>
      <w:r>
        <w:rPr>
          <w:rFonts w:ascii="微软雅黑" w:hAnsi="微软雅黑" w:eastAsia="微软雅黑" w:cs="微软雅黑"/>
          <w:spacing w:val="-3"/>
          <w:sz w:val="24"/>
          <w:szCs w:val="24"/>
        </w:rPr>
        <w:t>不存在控股股东为大企业的情形，</w:t>
      </w:r>
      <w:r>
        <w:rPr>
          <w:rFonts w:ascii="微软雅黑" w:hAnsi="微软雅黑" w:eastAsia="微软雅黑" w:cs="微软雅黑"/>
          <w:spacing w:val="-47"/>
          <w:sz w:val="24"/>
          <w:szCs w:val="24"/>
        </w:rPr>
        <w:t xml:space="preserve"> </w:t>
      </w:r>
      <w:r>
        <w:rPr>
          <w:rFonts w:ascii="微软雅黑" w:hAnsi="微软雅黑" w:eastAsia="微软雅黑" w:cs="微软雅黑"/>
          <w:spacing w:val="-3"/>
          <w:sz w:val="24"/>
          <w:szCs w:val="24"/>
        </w:rPr>
        <w:t>也不存在与大企</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业的负责人为同一人的情形。</w:t>
      </w:r>
    </w:p>
    <w:p w14:paraId="52819097">
      <w:pPr>
        <w:spacing w:before="285" w:line="187" w:lineRule="auto"/>
        <w:ind w:left="882"/>
        <w:rPr>
          <w:rFonts w:ascii="微软雅黑" w:hAnsi="微软雅黑" w:eastAsia="微软雅黑" w:cs="微软雅黑"/>
          <w:sz w:val="24"/>
          <w:szCs w:val="24"/>
        </w:rPr>
      </w:pPr>
      <w:r>
        <w:rPr>
          <w:rFonts w:ascii="微软雅黑" w:hAnsi="微软雅黑" w:eastAsia="微软雅黑" w:cs="微软雅黑"/>
          <w:b/>
          <w:bCs/>
          <w:spacing w:val="-2"/>
          <w:sz w:val="24"/>
          <w:szCs w:val="24"/>
        </w:rPr>
        <w:t>本企业对上述声明内容的真实性负责。如有虚假，将依法承担相应责任。</w:t>
      </w:r>
    </w:p>
    <w:p w14:paraId="3A20EE06">
      <w:pPr>
        <w:spacing w:before="322" w:line="338" w:lineRule="auto"/>
        <w:ind w:left="4414" w:right="3069" w:hanging="49"/>
        <w:rPr>
          <w:rFonts w:ascii="微软雅黑" w:hAnsi="微软雅黑" w:eastAsia="微软雅黑" w:cs="微软雅黑"/>
          <w:sz w:val="24"/>
          <w:szCs w:val="24"/>
        </w:rPr>
      </w:pPr>
      <w:r>
        <w:rPr>
          <w:rFonts w:ascii="微软雅黑" w:hAnsi="微软雅黑" w:eastAsia="微软雅黑" w:cs="微软雅黑"/>
          <w:spacing w:val="-8"/>
          <w:sz w:val="24"/>
          <w:szCs w:val="24"/>
        </w:rPr>
        <w:t>企业名称（盖章）：</w:t>
      </w:r>
      <w:r>
        <w:rPr>
          <w:rFonts w:ascii="微软雅黑" w:hAnsi="微软雅黑" w:eastAsia="微软雅黑" w:cs="微软雅黑"/>
          <w:sz w:val="24"/>
          <w:szCs w:val="24"/>
        </w:rPr>
        <w:t xml:space="preserve"> </w:t>
      </w:r>
      <w:r>
        <w:rPr>
          <w:rFonts w:ascii="微软雅黑" w:hAnsi="微软雅黑" w:eastAsia="微软雅黑" w:cs="微软雅黑"/>
          <w:spacing w:val="-27"/>
          <w:sz w:val="24"/>
          <w:szCs w:val="24"/>
        </w:rPr>
        <w:t>日期：</w:t>
      </w:r>
    </w:p>
    <w:p w14:paraId="1AD57622">
      <w:pPr>
        <w:spacing w:before="55" w:line="188" w:lineRule="auto"/>
        <w:ind w:left="44"/>
        <w:rPr>
          <w:rFonts w:ascii="微软雅黑" w:hAnsi="微软雅黑" w:eastAsia="微软雅黑" w:cs="微软雅黑"/>
          <w:sz w:val="21"/>
          <w:szCs w:val="21"/>
        </w:rPr>
      </w:pPr>
      <w:r>
        <w:rPr>
          <w:rFonts w:ascii="微软雅黑" w:hAnsi="微软雅黑" w:eastAsia="微软雅黑" w:cs="微软雅黑"/>
          <w:b/>
          <w:bCs/>
          <w:spacing w:val="-3"/>
          <w:sz w:val="21"/>
          <w:szCs w:val="21"/>
        </w:rPr>
        <w:t>备注：1、从业人员、营业收入、资产总额填</w:t>
      </w:r>
      <w:r>
        <w:rPr>
          <w:rFonts w:ascii="微软雅黑" w:hAnsi="微软雅黑" w:eastAsia="微软雅黑" w:cs="微软雅黑"/>
          <w:b/>
          <w:bCs/>
          <w:spacing w:val="-4"/>
          <w:sz w:val="21"/>
          <w:szCs w:val="21"/>
        </w:rPr>
        <w:t>报上一年度数据，无上一年度数据的新成立企业可不填报。</w:t>
      </w:r>
    </w:p>
    <w:p w14:paraId="29C87B9D">
      <w:pPr>
        <w:spacing w:before="118" w:line="265" w:lineRule="auto"/>
        <w:ind w:left="47" w:right="186" w:firstLine="620"/>
        <w:rPr>
          <w:rFonts w:ascii="微软雅黑" w:hAnsi="微软雅黑" w:eastAsia="微软雅黑" w:cs="微软雅黑"/>
          <w:sz w:val="21"/>
          <w:szCs w:val="21"/>
        </w:rPr>
      </w:pPr>
      <w:r>
        <w:rPr>
          <w:rFonts w:ascii="微软雅黑" w:hAnsi="微软雅黑" w:eastAsia="微软雅黑" w:cs="微软雅黑"/>
          <w:b/>
          <w:bCs/>
          <w:spacing w:val="-2"/>
          <w:sz w:val="21"/>
          <w:szCs w:val="21"/>
        </w:rPr>
        <w:t>2、投标人为中小企业时需提供本声明函，并完整填写从业人员、营业收入、资产总额等内容，</w:t>
      </w:r>
      <w:r>
        <w:rPr>
          <w:rFonts w:ascii="微软雅黑" w:hAnsi="微软雅黑" w:eastAsia="微软雅黑" w:cs="微软雅黑"/>
          <w:b/>
          <w:bCs/>
          <w:spacing w:val="13"/>
          <w:sz w:val="21"/>
          <w:szCs w:val="21"/>
        </w:rPr>
        <w:t xml:space="preserve"> </w:t>
      </w:r>
      <w:bookmarkStart w:id="68" w:name="bookmark47"/>
      <w:bookmarkEnd w:id="68"/>
      <w:r>
        <w:rPr>
          <w:rFonts w:ascii="微软雅黑" w:hAnsi="微软雅黑" w:eastAsia="微软雅黑" w:cs="微软雅黑"/>
          <w:b/>
          <w:bCs/>
          <w:spacing w:val="-3"/>
          <w:sz w:val="21"/>
          <w:szCs w:val="21"/>
        </w:rPr>
        <w:t>否则评审时不能享受相应的价格扣除。</w:t>
      </w:r>
    </w:p>
    <w:p w14:paraId="03E8E23F">
      <w:pPr>
        <w:spacing w:before="206" w:line="184" w:lineRule="auto"/>
        <w:ind w:left="1907"/>
        <w:rPr>
          <w:rFonts w:ascii="宋体" w:hAnsi="宋体" w:eastAsia="宋体" w:cs="宋体"/>
          <w:sz w:val="21"/>
          <w:szCs w:val="21"/>
        </w:rPr>
      </w:pPr>
      <w:r>
        <w:rPr>
          <w:rFonts w:ascii="微软雅黑" w:hAnsi="微软雅黑" w:eastAsia="微软雅黑" w:cs="微软雅黑"/>
          <w:b/>
          <w:bCs/>
          <w:spacing w:val="-2"/>
          <w:sz w:val="32"/>
          <w:szCs w:val="32"/>
        </w:rPr>
        <w:t>（十四）残疾人福利性单位声明函</w:t>
      </w:r>
      <w:r>
        <w:rPr>
          <w:rFonts w:ascii="宋体" w:hAnsi="宋体" w:eastAsia="宋体" w:cs="宋体"/>
          <w:spacing w:val="-2"/>
          <w:sz w:val="21"/>
          <w:szCs w:val="21"/>
        </w:rPr>
        <w:t>（可选）</w:t>
      </w:r>
    </w:p>
    <w:p w14:paraId="1347821A">
      <w:pPr>
        <w:pStyle w:val="2"/>
        <w:spacing w:line="263" w:lineRule="auto"/>
      </w:pPr>
    </w:p>
    <w:p w14:paraId="5DD8B916">
      <w:pPr>
        <w:spacing w:before="103" w:line="290" w:lineRule="auto"/>
        <w:ind w:left="45" w:right="81" w:firstLine="720"/>
        <w:jc w:val="both"/>
        <w:rPr>
          <w:rFonts w:ascii="微软雅黑" w:hAnsi="微软雅黑" w:eastAsia="微软雅黑" w:cs="微软雅黑"/>
          <w:sz w:val="24"/>
          <w:szCs w:val="24"/>
        </w:rPr>
      </w:pPr>
      <w:r>
        <w:rPr>
          <w:rFonts w:ascii="微软雅黑" w:hAnsi="微软雅黑" w:eastAsia="微软雅黑" w:cs="微软雅黑"/>
          <w:spacing w:val="-2"/>
          <w:sz w:val="24"/>
          <w:szCs w:val="24"/>
        </w:rPr>
        <w:t>本单位郑重声明，根据《财政部  民政部  中国残疾人联合会关于促进残疾人就业政</w:t>
      </w:r>
      <w:r>
        <w:rPr>
          <w:rFonts w:ascii="微软雅黑" w:hAnsi="微软雅黑" w:eastAsia="微软雅黑" w:cs="微软雅黑"/>
          <w:spacing w:val="8"/>
          <w:sz w:val="24"/>
          <w:szCs w:val="24"/>
        </w:rPr>
        <w:t xml:space="preserve">  </w:t>
      </w:r>
      <w:r>
        <w:rPr>
          <w:rFonts w:ascii="微软雅黑" w:hAnsi="微软雅黑" w:eastAsia="微软雅黑" w:cs="微软雅黑"/>
          <w:spacing w:val="-4"/>
          <w:sz w:val="24"/>
          <w:szCs w:val="24"/>
        </w:rPr>
        <w:t>府采购政策的通知》（财库〔2017〕  14</w:t>
      </w:r>
      <w:r>
        <w:rPr>
          <w:rFonts w:ascii="微软雅黑" w:hAnsi="微软雅黑" w:eastAsia="微软雅黑" w:cs="微软雅黑"/>
          <w:spacing w:val="-5"/>
          <w:sz w:val="24"/>
          <w:szCs w:val="24"/>
        </w:rPr>
        <w:t>1 号）的规定，本单位为符合条件的残疾人福利性</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单位，且本单位参加采购文件编号为</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36"/>
          <w:sz w:val="24"/>
          <w:szCs w:val="24"/>
        </w:rPr>
        <w:t xml:space="preserve"> </w:t>
      </w:r>
      <w:r>
        <w:rPr>
          <w:rFonts w:ascii="微软雅黑" w:hAnsi="微软雅黑" w:eastAsia="微软雅黑" w:cs="微软雅黑"/>
          <w:spacing w:val="-1"/>
          <w:sz w:val="24"/>
          <w:szCs w:val="24"/>
        </w:rPr>
        <w:t>的项目采购活动提供本单位制造的服</w:t>
      </w:r>
    </w:p>
    <w:p w14:paraId="7F4A7B6A">
      <w:pPr>
        <w:spacing w:line="290" w:lineRule="auto"/>
        <w:rPr>
          <w:rFonts w:ascii="微软雅黑" w:hAnsi="微软雅黑" w:eastAsia="微软雅黑" w:cs="微软雅黑"/>
          <w:sz w:val="24"/>
          <w:szCs w:val="24"/>
        </w:rPr>
        <w:sectPr>
          <w:headerReference r:id="rId103" w:type="default"/>
          <w:footerReference r:id="rId104" w:type="default"/>
          <w:pgSz w:w="11906" w:h="16839"/>
          <w:pgMar w:top="1142" w:right="992" w:bottom="1171" w:left="1389" w:header="855" w:footer="993" w:gutter="0"/>
          <w:cols w:space="720" w:num="1"/>
        </w:sectPr>
      </w:pPr>
    </w:p>
    <w:p w14:paraId="6F7B82F1">
      <w:pPr>
        <w:spacing w:before="124" w:line="287" w:lineRule="auto"/>
        <w:ind w:left="58" w:right="29" w:firstLine="712"/>
        <w:rPr>
          <w:rFonts w:ascii="微软雅黑" w:hAnsi="微软雅黑" w:eastAsia="微软雅黑" w:cs="微软雅黑"/>
          <w:sz w:val="24"/>
          <w:szCs w:val="24"/>
        </w:rPr>
      </w:pPr>
      <w:bookmarkStart w:id="69" w:name="bookmark64"/>
      <w:bookmarkEnd w:id="69"/>
      <w:r>
        <w:rPr>
          <w:rFonts w:ascii="微软雅黑" w:hAnsi="微软雅黑" w:eastAsia="微软雅黑" w:cs="微软雅黑"/>
          <w:spacing w:val="2"/>
          <w:sz w:val="24"/>
          <w:szCs w:val="24"/>
        </w:rPr>
        <w:t>务或产品（由本单位承担工程/提供服务</w:t>
      </w:r>
      <w:r>
        <w:rPr>
          <w:rFonts w:ascii="微软雅黑" w:hAnsi="微软雅黑" w:eastAsia="微软雅黑" w:cs="微软雅黑"/>
          <w:spacing w:val="-13"/>
          <w:sz w:val="24"/>
          <w:szCs w:val="24"/>
        </w:rPr>
        <w:t>）</w:t>
      </w:r>
      <w:r>
        <w:rPr>
          <w:rFonts w:ascii="微软雅黑" w:hAnsi="微软雅黑" w:eastAsia="微软雅黑" w:cs="微软雅黑"/>
          <w:spacing w:val="-31"/>
          <w:sz w:val="24"/>
          <w:szCs w:val="24"/>
        </w:rPr>
        <w:t xml:space="preserve"> </w:t>
      </w:r>
      <w:r>
        <w:rPr>
          <w:rFonts w:ascii="微软雅黑" w:hAnsi="微软雅黑" w:eastAsia="微软雅黑" w:cs="微软雅黑"/>
          <w:spacing w:val="-13"/>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或者提供其他残疾人福利性单位制造</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的服务或产品（不包括使用非残疾人福利性单位注册商标的服务或产品）。</w:t>
      </w:r>
    </w:p>
    <w:p w14:paraId="7CF553A9">
      <w:pPr>
        <w:spacing w:before="14" w:line="287" w:lineRule="auto"/>
        <w:ind w:left="67" w:right="38" w:firstLine="458"/>
        <w:rPr>
          <w:rFonts w:ascii="微软雅黑" w:hAnsi="微软雅黑" w:eastAsia="微软雅黑" w:cs="微软雅黑"/>
          <w:sz w:val="24"/>
          <w:szCs w:val="24"/>
        </w:rPr>
      </w:pPr>
      <w:r>
        <w:rPr>
          <w:rFonts w:ascii="微软雅黑" w:hAnsi="微软雅黑" w:eastAsia="微软雅黑" w:cs="微软雅黑"/>
          <w:spacing w:val="-1"/>
          <w:sz w:val="24"/>
          <w:szCs w:val="24"/>
        </w:rPr>
        <w:t>本单位在本次政府采购活动中提供的残疾人福利单位产品报价合计为人民币（大写）</w:t>
      </w:r>
      <w:r>
        <w:rPr>
          <w:rFonts w:ascii="微软雅黑" w:hAnsi="微软雅黑" w:eastAsia="微软雅黑" w:cs="微软雅黑"/>
          <w:spacing w:val="3"/>
          <w:sz w:val="24"/>
          <w:szCs w:val="24"/>
        </w:rPr>
        <w:t xml:space="preserve"> </w:t>
      </w:r>
      <w:r>
        <w:rPr>
          <w:rFonts w:ascii="微软雅黑" w:hAnsi="微软雅黑" w:eastAsia="微软雅黑" w:cs="微软雅黑"/>
          <w:spacing w:val="31"/>
          <w:sz w:val="24"/>
          <w:szCs w:val="24"/>
        </w:rPr>
        <w:t>圆整(￥:</w:t>
      </w:r>
      <w:r>
        <w:rPr>
          <w:rFonts w:ascii="微软雅黑" w:hAnsi="微软雅黑" w:eastAsia="微软雅黑" w:cs="微软雅黑"/>
          <w:spacing w:val="2"/>
          <w:sz w:val="24"/>
          <w:szCs w:val="24"/>
        </w:rPr>
        <w:t xml:space="preserve">           </w:t>
      </w:r>
      <w:r>
        <w:rPr>
          <w:rFonts w:ascii="微软雅黑" w:hAnsi="微软雅黑" w:eastAsia="微软雅黑" w:cs="微软雅黑"/>
          <w:spacing w:val="31"/>
          <w:sz w:val="24"/>
          <w:szCs w:val="24"/>
        </w:rPr>
        <w:t>)。</w:t>
      </w:r>
    </w:p>
    <w:p w14:paraId="33025EE4">
      <w:pPr>
        <w:spacing w:before="12" w:line="188" w:lineRule="auto"/>
        <w:ind w:left="525"/>
        <w:rPr>
          <w:rFonts w:ascii="微软雅黑" w:hAnsi="微软雅黑" w:eastAsia="微软雅黑" w:cs="微软雅黑"/>
          <w:sz w:val="24"/>
          <w:szCs w:val="24"/>
        </w:rPr>
      </w:pPr>
      <w:r>
        <w:rPr>
          <w:rFonts w:ascii="微软雅黑" w:hAnsi="微软雅黑" w:eastAsia="微软雅黑" w:cs="微软雅黑"/>
          <w:spacing w:val="-2"/>
          <w:sz w:val="24"/>
          <w:szCs w:val="24"/>
        </w:rPr>
        <w:t>本单位对上述声明的真实性负责。如有虚假，将依法承担相应责任。</w:t>
      </w:r>
    </w:p>
    <w:p w14:paraId="5C852046">
      <w:pPr>
        <w:spacing w:before="178" w:line="287" w:lineRule="auto"/>
        <w:ind w:left="44" w:right="51"/>
        <w:rPr>
          <w:rFonts w:ascii="微软雅黑" w:hAnsi="微软雅黑" w:eastAsia="微软雅黑" w:cs="微软雅黑"/>
          <w:sz w:val="24"/>
          <w:szCs w:val="24"/>
        </w:rPr>
      </w:pPr>
      <w:r>
        <w:rPr>
          <w:rFonts w:ascii="微软雅黑" w:hAnsi="微软雅黑" w:eastAsia="微软雅黑" w:cs="微软雅黑"/>
          <w:spacing w:val="-3"/>
          <w:sz w:val="24"/>
          <w:szCs w:val="24"/>
        </w:rPr>
        <w:t>（备注：</w:t>
      </w:r>
      <w:r>
        <w:rPr>
          <w:rFonts w:ascii="微软雅黑" w:hAnsi="微软雅黑" w:eastAsia="微软雅黑" w:cs="微软雅黑"/>
          <w:spacing w:val="-35"/>
          <w:sz w:val="24"/>
          <w:szCs w:val="24"/>
        </w:rPr>
        <w:t xml:space="preserve"> </w:t>
      </w:r>
      <w:r>
        <w:rPr>
          <w:rFonts w:ascii="微软雅黑" w:hAnsi="微软雅黑" w:eastAsia="微软雅黑" w:cs="微软雅黑"/>
          <w:spacing w:val="-3"/>
          <w:sz w:val="24"/>
          <w:szCs w:val="24"/>
        </w:rPr>
        <w:t>1、投标人如不提供此声明函，价格将不做相应扣除。2、中标投标人为残</w:t>
      </w:r>
      <w:r>
        <w:rPr>
          <w:rFonts w:ascii="微软雅黑" w:hAnsi="微软雅黑" w:eastAsia="微软雅黑" w:cs="微软雅黑"/>
          <w:spacing w:val="-4"/>
          <w:sz w:val="24"/>
          <w:szCs w:val="24"/>
        </w:rPr>
        <w:t>疾人福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利单位的，此声明函将随中标结果同时公告，接受社</w:t>
      </w:r>
      <w:r>
        <w:rPr>
          <w:rFonts w:ascii="微软雅黑" w:hAnsi="微软雅黑" w:eastAsia="微软雅黑" w:cs="微软雅黑"/>
          <w:spacing w:val="-2"/>
          <w:sz w:val="24"/>
          <w:szCs w:val="24"/>
        </w:rPr>
        <w:t>会监督）</w:t>
      </w:r>
    </w:p>
    <w:p w14:paraId="543DF96C">
      <w:pPr>
        <w:spacing w:before="179" w:line="386" w:lineRule="auto"/>
        <w:ind w:left="4415" w:right="2899" w:hanging="234"/>
        <w:rPr>
          <w:rFonts w:ascii="微软雅黑" w:hAnsi="微软雅黑" w:eastAsia="微软雅黑" w:cs="微软雅黑"/>
          <w:sz w:val="24"/>
          <w:szCs w:val="24"/>
        </w:rPr>
      </w:pPr>
      <w:r>
        <w:rPr>
          <w:rFonts w:ascii="微软雅黑" w:hAnsi="微软雅黑" w:eastAsia="微软雅黑" w:cs="微软雅黑"/>
          <w:spacing w:val="-7"/>
          <w:sz w:val="24"/>
          <w:szCs w:val="24"/>
        </w:rPr>
        <w:t>投标商全称（盖章）：</w:t>
      </w:r>
      <w:r>
        <w:rPr>
          <w:rFonts w:ascii="微软雅黑" w:hAnsi="微软雅黑" w:eastAsia="微软雅黑" w:cs="微软雅黑"/>
          <w:sz w:val="24"/>
          <w:szCs w:val="24"/>
        </w:rPr>
        <w:t xml:space="preserve"> </w:t>
      </w:r>
      <w:r>
        <w:rPr>
          <w:rFonts w:ascii="微软雅黑" w:hAnsi="微软雅黑" w:eastAsia="微软雅黑" w:cs="微软雅黑"/>
          <w:spacing w:val="-34"/>
          <w:sz w:val="24"/>
          <w:szCs w:val="24"/>
        </w:rPr>
        <w:t>日</w:t>
      </w:r>
      <w:r>
        <w:rPr>
          <w:rFonts w:ascii="微软雅黑" w:hAnsi="微软雅黑" w:eastAsia="微软雅黑" w:cs="微软雅黑"/>
          <w:spacing w:val="14"/>
          <w:sz w:val="24"/>
          <w:szCs w:val="24"/>
        </w:rPr>
        <w:t xml:space="preserve">   </w:t>
      </w:r>
      <w:r>
        <w:rPr>
          <w:rFonts w:ascii="微软雅黑" w:hAnsi="微软雅黑" w:eastAsia="微软雅黑" w:cs="微软雅黑"/>
          <w:spacing w:val="-34"/>
          <w:sz w:val="24"/>
          <w:szCs w:val="24"/>
        </w:rPr>
        <w:t>期：</w:t>
      </w:r>
    </w:p>
    <w:p w14:paraId="06169E89">
      <w:pPr>
        <w:spacing w:before="48" w:line="184" w:lineRule="auto"/>
        <w:ind w:left="2707"/>
        <w:outlineLvl w:val="1"/>
        <w:rPr>
          <w:rFonts w:ascii="宋体" w:hAnsi="宋体" w:eastAsia="宋体" w:cs="宋体"/>
          <w:sz w:val="21"/>
          <w:szCs w:val="21"/>
        </w:rPr>
      </w:pPr>
      <w:bookmarkStart w:id="70" w:name="bookmark49"/>
      <w:bookmarkEnd w:id="70"/>
      <w:bookmarkStart w:id="71" w:name="bookmark40"/>
      <w:bookmarkEnd w:id="71"/>
      <w:r>
        <w:rPr>
          <w:rFonts w:ascii="微软雅黑" w:hAnsi="微软雅黑" w:eastAsia="微软雅黑" w:cs="微软雅黑"/>
          <w:b/>
          <w:bCs/>
          <w:spacing w:val="-6"/>
          <w:sz w:val="32"/>
          <w:szCs w:val="32"/>
        </w:rPr>
        <w:t>（十五）监狱企业证明</w:t>
      </w:r>
      <w:r>
        <w:rPr>
          <w:rFonts w:ascii="微软雅黑" w:hAnsi="微软雅黑" w:eastAsia="微软雅黑" w:cs="微软雅黑"/>
          <w:b/>
          <w:bCs/>
          <w:spacing w:val="-44"/>
          <w:sz w:val="32"/>
          <w:szCs w:val="32"/>
        </w:rPr>
        <w:t xml:space="preserve"> </w:t>
      </w:r>
      <w:r>
        <w:rPr>
          <w:rFonts w:ascii="宋体" w:hAnsi="宋体" w:eastAsia="宋体" w:cs="宋体"/>
          <w:spacing w:val="-6"/>
          <w:sz w:val="21"/>
          <w:szCs w:val="21"/>
        </w:rPr>
        <w:t>（可选）</w:t>
      </w:r>
    </w:p>
    <w:p w14:paraId="22F0F53A">
      <w:pPr>
        <w:pStyle w:val="2"/>
        <w:spacing w:line="347" w:lineRule="auto"/>
      </w:pPr>
    </w:p>
    <w:p w14:paraId="136C2B3F">
      <w:pPr>
        <w:spacing w:before="104" w:line="190" w:lineRule="auto"/>
        <w:ind w:left="44" w:right="28" w:firstLine="486"/>
        <w:rPr>
          <w:rFonts w:ascii="微软雅黑" w:hAnsi="微软雅黑" w:eastAsia="微软雅黑" w:cs="微软雅黑"/>
          <w:sz w:val="24"/>
          <w:szCs w:val="24"/>
        </w:rPr>
      </w:pPr>
      <w:r>
        <w:rPr>
          <w:rFonts w:ascii="微软雅黑" w:hAnsi="微软雅黑" w:eastAsia="微软雅黑" w:cs="微软雅黑"/>
          <w:spacing w:val="-1"/>
          <w:sz w:val="24"/>
          <w:szCs w:val="24"/>
        </w:rPr>
        <w:t>注：</w:t>
      </w:r>
      <w:r>
        <w:rPr>
          <w:rFonts w:ascii="微软雅黑" w:hAnsi="微软雅黑" w:eastAsia="微软雅黑" w:cs="微软雅黑"/>
          <w:spacing w:val="-22"/>
          <w:sz w:val="24"/>
          <w:szCs w:val="24"/>
        </w:rPr>
        <w:t xml:space="preserve"> </w:t>
      </w:r>
      <w:r>
        <w:rPr>
          <w:rFonts w:ascii="微软雅黑" w:hAnsi="微软雅黑" w:eastAsia="微软雅黑" w:cs="微软雅黑"/>
          <w:spacing w:val="-1"/>
          <w:sz w:val="24"/>
          <w:szCs w:val="24"/>
        </w:rPr>
        <w:t>1.监狱企业参加政府采购活动时，应当提供由省级以上监狱管理局、戒毒管理局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（含新疆生产建设兵团）出具的属于监狱企业</w:t>
      </w:r>
      <w:r>
        <w:rPr>
          <w:rFonts w:ascii="微软雅黑" w:hAnsi="微软雅黑" w:eastAsia="微软雅黑" w:cs="微软雅黑"/>
          <w:spacing w:val="-2"/>
          <w:sz w:val="24"/>
          <w:szCs w:val="24"/>
        </w:rPr>
        <w:t>的证明文件，并加盖单位公章。</w:t>
      </w:r>
    </w:p>
    <w:p w14:paraId="4B514699">
      <w:pPr>
        <w:spacing w:before="172" w:line="193" w:lineRule="auto"/>
        <w:ind w:left="44" w:right="28" w:firstLine="475"/>
        <w:rPr>
          <w:rFonts w:ascii="微软雅黑" w:hAnsi="微软雅黑" w:eastAsia="微软雅黑" w:cs="微软雅黑"/>
          <w:sz w:val="24"/>
          <w:szCs w:val="24"/>
        </w:rPr>
      </w:pPr>
      <w:r>
        <w:rPr>
          <w:rFonts w:ascii="微软雅黑" w:hAnsi="微软雅黑" w:eastAsia="微软雅黑" w:cs="微软雅黑"/>
          <w:spacing w:val="-4"/>
          <w:sz w:val="24"/>
          <w:szCs w:val="24"/>
        </w:rPr>
        <w:t>2.监狱企业视同小型、微型企业，</w:t>
      </w:r>
      <w:r>
        <w:rPr>
          <w:rFonts w:ascii="微软雅黑" w:hAnsi="微软雅黑" w:eastAsia="微软雅黑" w:cs="微软雅黑"/>
          <w:spacing w:val="23"/>
          <w:sz w:val="24"/>
          <w:szCs w:val="24"/>
        </w:rPr>
        <w:t xml:space="preserve">  </w:t>
      </w:r>
      <w:r>
        <w:rPr>
          <w:rFonts w:ascii="微软雅黑" w:hAnsi="微软雅黑" w:eastAsia="微软雅黑" w:cs="微软雅黑"/>
          <w:spacing w:val="-4"/>
          <w:sz w:val="24"/>
          <w:szCs w:val="24"/>
        </w:rPr>
        <w:t>享受预留份额、评</w:t>
      </w:r>
      <w:r>
        <w:rPr>
          <w:rFonts w:ascii="微软雅黑" w:hAnsi="微软雅黑" w:eastAsia="微软雅黑" w:cs="微软雅黑"/>
          <w:spacing w:val="-5"/>
          <w:sz w:val="24"/>
          <w:szCs w:val="24"/>
        </w:rPr>
        <w:t>审中价格扣除等政府采购促进中</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小企业发展的政府采购政策。监狱企业属于小型、微型</w:t>
      </w:r>
      <w:r>
        <w:rPr>
          <w:rFonts w:ascii="微软雅黑" w:hAnsi="微软雅黑" w:eastAsia="微软雅黑" w:cs="微软雅黑"/>
          <w:spacing w:val="-2"/>
          <w:sz w:val="24"/>
          <w:szCs w:val="24"/>
        </w:rPr>
        <w:t>企业的，不重复享受政策。</w:t>
      </w:r>
    </w:p>
    <w:sectPr>
      <w:headerReference r:id="rId105" w:type="default"/>
      <w:footerReference r:id="rId106" w:type="default"/>
      <w:pgSz w:w="11906" w:h="16839"/>
      <w:pgMar w:top="1142" w:right="1105" w:bottom="1171" w:left="1389" w:header="855"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B5B08">
    <w:pPr>
      <w:pStyle w:val="2"/>
      <w:spacing w:line="43" w:lineRule="auto"/>
      <w:rPr>
        <w:sz w:val="2"/>
      </w:rPr>
    </w:pPr>
    <w:r>
      <w:pict>
        <v:shape id="_x0000_s2050" o:spid="_x0000_s2050" style="position:absolute;left:0pt;margin-left:58.3pt;margin-top:795pt;height:0.75pt;width:494pt;mso-position-horizontal-relative:page;mso-position-vertical-relative:page;z-index:251659264;mso-width-relative:page;mso-height-relative:page;" filled="f" stroked="t" coordsize="9880,15" o:allowincell="f" path="m0,7l9880,7e">
          <v:fill on="f" focussize="0,0"/>
          <v:stroke weight="0.71pt" color="#000000" miterlimit="10" joinstyle="miter"/>
          <v:imagedata o:title=""/>
          <o:lock v:ext="edit"/>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15CAE">
    <w:pPr>
      <w:pStyle w:val="2"/>
      <w:spacing w:line="43" w:lineRule="auto"/>
      <w:rPr>
        <w:sz w:val="2"/>
      </w:rPr>
    </w:pPr>
    <w:r>
      <w:pict>
        <v:shape id="_x0000_s2069" o:spid="_x0000_s2069" style="position:absolute;left:0pt;margin-left:58.3pt;margin-top:795pt;height:0.75pt;width:494pt;mso-position-horizontal-relative:page;mso-position-vertical-relative:page;z-index:251709440;mso-width-relative:page;mso-height-relative:page;" filled="f" stroked="t" coordsize="9880,15" o:allowincell="f" path="m0,7l9880,7e">
          <v:fill on="f" focussize="0,0"/>
          <v:stroke weight="0.71pt" color="#000000" miterlimit="10" joinstyle="miter"/>
          <v:imagedata o:title=""/>
          <o:lock v:ext="edit"/>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B4B55">
    <w:pPr>
      <w:pStyle w:val="2"/>
      <w:spacing w:line="43" w:lineRule="auto"/>
      <w:rPr>
        <w:sz w:val="2"/>
      </w:rPr>
    </w:pPr>
    <w:r>
      <w:pict>
        <v:shape id="_x0000_s2071" o:spid="_x0000_s2071" style="position:absolute;left:0pt;margin-left:58.3pt;margin-top:795pt;height:0.75pt;width:494pt;mso-position-horizontal-relative:page;mso-position-vertical-relative:page;z-index:251659264;mso-width-relative:page;mso-height-relative:page;" filled="f" stroked="t" coordsize="9880,15" o:allowincell="f" path="m0,7l9880,7e">
          <v:fill on="f" focussize="0,0"/>
          <v:stroke weight="0.71pt" color="#000000" miterlimit="10" joinstyle="miter"/>
          <v:imagedata o:title=""/>
          <o:lock v:ext="edit"/>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433C6">
    <w:pPr>
      <w:pStyle w:val="2"/>
      <w:spacing w:line="43" w:lineRule="auto"/>
      <w:rPr>
        <w:sz w:val="2"/>
      </w:rPr>
    </w:pPr>
    <w:r>
      <w:pict>
        <v:shape id="_x0000_s2073" o:spid="_x0000_s2073" style="position:absolute;left:0pt;margin-left:58.3pt;margin-top:795pt;height:0.75pt;width:494pt;mso-position-horizontal-relative:page;mso-position-vertical-relative:page;z-index:251712512;mso-width-relative:page;mso-height-relative:page;" filled="f" stroked="t" coordsize="9880,15" o:allowincell="f" path="m0,7l9880,7e">
          <v:fill on="f" focussize="0,0"/>
          <v:stroke weight="0.71pt" color="#000000" miterlimit="10" joinstyle="miter"/>
          <v:imagedata o:title=""/>
          <o:lock v:ext="edit"/>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CAEF1">
    <w:pPr>
      <w:pStyle w:val="2"/>
      <w:spacing w:line="43" w:lineRule="auto"/>
      <w:rPr>
        <w:sz w:val="2"/>
      </w:rPr>
    </w:pPr>
    <w:r>
      <w:pict>
        <v:shape id="_x0000_s2075" o:spid="_x0000_s2075" style="position:absolute;left:0pt;margin-left:58.3pt;margin-top:795pt;height:0.75pt;width:494pt;mso-position-horizontal-relative:page;mso-position-vertical-relative:page;z-index:251673600;mso-width-relative:page;mso-height-relative:page;" filled="f" stroked="t" coordsize="9880,15" o:allowincell="f" path="m0,7l9880,7e">
          <v:fill on="f" focussize="0,0"/>
          <v:stroke weight="0.71pt" color="#000000" miterlimit="10" joinstyle="miter"/>
          <v:imagedata o:title=""/>
          <o:lock v:ext="edit"/>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DD53C">
    <w:pPr>
      <w:pStyle w:val="2"/>
      <w:spacing w:line="43" w:lineRule="auto"/>
      <w:rPr>
        <w:sz w:val="2"/>
      </w:rPr>
    </w:pPr>
    <w:r>
      <w:pict>
        <v:shape id="_x0000_s2077" o:spid="_x0000_s2077" style="position:absolute;left:0pt;margin-left:58.3pt;margin-top:795pt;height:0.75pt;width:494pt;mso-position-horizontal-relative:page;mso-position-vertical-relative:page;z-index:251659264;mso-width-relative:page;mso-height-relative:page;" filled="f" stroked="t" coordsize="9880,15" o:allowincell="f" path="m0,7l9880,7e">
          <v:fill on="f" focussize="0,0"/>
          <v:stroke weight="0.71pt" color="#000000" miterlimit="10" joinstyle="miter"/>
          <v:imagedata o:title=""/>
          <o:lock v:ext="edit"/>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BA7A2">
    <w:pPr>
      <w:pStyle w:val="2"/>
      <w:spacing w:line="43" w:lineRule="auto"/>
      <w:rPr>
        <w:sz w:val="2"/>
      </w:rPr>
    </w:pPr>
    <w:r>
      <w:pict>
        <v:shape id="_x0000_s2079" o:spid="_x0000_s2079" style="position:absolute;left:0pt;margin-left:58.3pt;margin-top:795pt;height:0.75pt;width:494pt;mso-position-horizontal-relative:page;mso-position-vertical-relative:page;z-index:251714560;mso-width-relative:page;mso-height-relative:page;" filled="f" stroked="t" coordsize="9880,15" o:allowincell="f" path="m0,7l9880,7e">
          <v:fill on="f" focussize="0,0"/>
          <v:stroke weight="0.71pt" color="#000000" miterlimit="10" joinstyle="miter"/>
          <v:imagedata o:title=""/>
          <o:lock v:ext="edit"/>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585A6">
    <w:pPr>
      <w:pStyle w:val="2"/>
      <w:spacing w:line="43" w:lineRule="auto"/>
      <w:rPr>
        <w:sz w:val="2"/>
      </w:rPr>
    </w:pPr>
    <w:r>
      <w:pict>
        <v:shape id="_x0000_s2081" o:spid="_x0000_s2081" style="position:absolute;left:0pt;margin-left:58.3pt;margin-top:795pt;height:0.75pt;width:494pt;mso-position-horizontal-relative:page;mso-position-vertical-relative:page;z-index:251659264;mso-width-relative:page;mso-height-relative:page;" filled="f" stroked="t" coordsize="9880,15" o:allowincell="f" path="m0,7l9880,7e">
          <v:fill on="f" focussize="0,0"/>
          <v:stroke weight="0.71pt" color="#000000" miterlimit="10" joinstyle="miter"/>
          <v:imagedata o:title=""/>
          <o:lock v:ext="edit"/>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BACB">
    <w:pPr>
      <w:pStyle w:val="2"/>
      <w:spacing w:line="43" w:lineRule="auto"/>
      <w:rPr>
        <w:sz w:val="2"/>
      </w:rPr>
    </w:pPr>
    <w:r>
      <w:pict>
        <v:shape id="_x0000_s2083" o:spid="_x0000_s2083" style="position:absolute;left:0pt;margin-left:58.3pt;margin-top:795pt;height:0.75pt;width:494pt;mso-position-horizontal-relative:page;mso-position-vertical-relative:page;z-index:251673600;mso-width-relative:page;mso-height-relative:page;" filled="f" stroked="t" coordsize="9880,15" o:allowincell="f" path="m0,7l9880,7e">
          <v:fill on="f" focussize="0,0"/>
          <v:stroke weight="0.71pt" color="#000000" miterlimit="10" joinstyle="miter"/>
          <v:imagedata o:title=""/>
          <o:lock v:ext="edit"/>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C1C0C">
    <w:pPr>
      <w:pStyle w:val="2"/>
      <w:spacing w:line="43" w:lineRule="auto"/>
      <w:rPr>
        <w:sz w:val="2"/>
      </w:rPr>
    </w:pPr>
    <w:r>
      <w:pict>
        <v:shape id="_x0000_s2085" o:spid="_x0000_s2085" style="position:absolute;left:0pt;margin-left:58.3pt;margin-top:795pt;height:0.75pt;width:494pt;mso-position-horizontal-relative:page;mso-position-vertical-relative:page;z-index:251659264;mso-width-relative:page;mso-height-relative:page;" filled="f" stroked="t" coordsize="9880,15" o:allowincell="f" path="m0,7l9880,7e">
          <v:fill on="f" focussize="0,0"/>
          <v:stroke weight="0.71pt" color="#000000" miterlimit="10" joinstyle="miter"/>
          <v:imagedata o:title=""/>
          <o:lock v:ext="edit"/>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3018C">
    <w:pPr>
      <w:pStyle w:val="2"/>
      <w:spacing w:line="43" w:lineRule="auto"/>
      <w:rPr>
        <w:sz w:val="2"/>
      </w:rPr>
    </w:pPr>
    <w:r>
      <w:pict>
        <v:shape id="_x0000_s2087" o:spid="_x0000_s2087" style="position:absolute;left:0pt;margin-left:58.3pt;margin-top:795pt;height:0.75pt;width:494pt;mso-position-horizontal-relative:page;mso-position-vertical-relative:page;z-index:251673600;mso-width-relative:page;mso-height-relative:page;" filled="f" stroked="t" coordsize="9880,15" o:allowincell="f" path="m0,7l9880,7e">
          <v:fill on="f" focussize="0,0"/>
          <v:stroke weight="0.71pt" color="#000000" miterlimit="10" joinstyle="miter"/>
          <v:imagedata o:title=""/>
          <o:lock v:ext="edi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2ECC2">
    <w:pPr>
      <w:pStyle w:val="2"/>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B52DF">
    <w:pPr>
      <w:pStyle w:val="2"/>
      <w:spacing w:line="43" w:lineRule="auto"/>
      <w:rPr>
        <w:sz w:val="2"/>
      </w:rPr>
    </w:pPr>
    <w:r>
      <w:pict>
        <v:shape id="_x0000_s2089" o:spid="_x0000_s2089" style="position:absolute;left:0pt;margin-left:58.3pt;margin-top:795pt;height:0.75pt;width:494pt;mso-position-horizontal-relative:page;mso-position-vertical-relative:page;z-index:251714560;mso-width-relative:page;mso-height-relative:page;" filled="f" stroked="t" coordsize="9880,15" o:allowincell="f" path="m0,7l9880,7e">
          <v:fill on="f" focussize="0,0"/>
          <v:stroke weight="0.71pt" color="#000000" miterlimit="10" joinstyle="miter"/>
          <v:imagedata o:title=""/>
          <o:lock v:ext="edit"/>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D15F2">
    <w:pPr>
      <w:pStyle w:val="2"/>
      <w:spacing w:line="43" w:lineRule="auto"/>
      <w:rPr>
        <w:sz w:val="2"/>
      </w:rPr>
    </w:pPr>
    <w:r>
      <w:pict>
        <v:shape id="_x0000_s2091" o:spid="_x0000_s2091" style="position:absolute;left:0pt;margin-left:58.3pt;margin-top:795pt;height:0.75pt;width:494pt;mso-position-horizontal-relative:page;mso-position-vertical-relative:page;z-index:251673600;mso-width-relative:page;mso-height-relative:page;" filled="f" stroked="t" coordsize="9880,15" o:allowincell="f" path="m0,7l9880,7e">
          <v:fill on="f" focussize="0,0"/>
          <v:stroke weight="0.71pt" color="#000000" miterlimit="10" joinstyle="miter"/>
          <v:imagedata o:title=""/>
          <o:lock v:ext="edit"/>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59A69">
    <w:pPr>
      <w:pStyle w:val="2"/>
      <w:spacing w:line="43" w:lineRule="auto"/>
      <w:rPr>
        <w:sz w:val="2"/>
      </w:rPr>
    </w:pPr>
    <w:r>
      <w:pict>
        <v:shape id="_x0000_s2093" o:spid="_x0000_s2093" style="position:absolute;left:0pt;margin-left:58.3pt;margin-top:795pt;height:0.75pt;width:494pt;mso-position-horizontal-relative:page;mso-position-vertical-relative:page;z-index:251714560;mso-width-relative:page;mso-height-relative:page;" filled="f" stroked="t" coordsize="9880,15" o:allowincell="f" path="m0,7l9880,7e">
          <v:fill on="f" focussize="0,0"/>
          <v:stroke weight="0.71pt" color="#000000" miterlimit="10" joinstyle="miter"/>
          <v:imagedata o:title=""/>
          <o:lock v:ext="edit"/>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DEAE2">
    <w:pPr>
      <w:pStyle w:val="2"/>
      <w:spacing w:line="43" w:lineRule="auto"/>
      <w:rPr>
        <w:sz w:val="2"/>
      </w:rPr>
    </w:pPr>
    <w:r>
      <w:pict>
        <v:shape id="_x0000_s2095" o:spid="_x0000_s2095" style="position:absolute;left:0pt;margin-left:58.3pt;margin-top:795pt;height:0.75pt;width:494pt;mso-position-horizontal-relative:page;mso-position-vertical-relative:page;z-index:251659264;mso-width-relative:page;mso-height-relative:page;" filled="f" stroked="t" coordsize="9880,15" o:allowincell="f" path="m0,7l9880,7e">
          <v:fill on="f" focussize="0,0"/>
          <v:stroke weight="0.71pt" color="#000000" miterlimit="10" joinstyle="miter"/>
          <v:imagedata o:title=""/>
          <o:lock v:ext="edit"/>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2B29E">
    <w:pPr>
      <w:pStyle w:val="2"/>
      <w:spacing w:line="43" w:lineRule="auto"/>
      <w:rPr>
        <w:sz w:val="2"/>
      </w:rPr>
    </w:pPr>
    <w:r>
      <w:pict>
        <v:shape id="_x0000_s2097" o:spid="_x0000_s2097" style="position:absolute;left:0pt;margin-left:58.3pt;margin-top:795pt;height:0.75pt;width:494pt;mso-position-horizontal-relative:page;mso-position-vertical-relative:page;z-index:251673600;mso-width-relative:page;mso-height-relative:page;" filled="f" stroked="t" coordsize="9880,15" o:allowincell="f" path="m0,7l9880,7e">
          <v:fill on="f" focussize="0,0"/>
          <v:stroke weight="0.71pt" color="#000000" miterlimit="10" joinstyle="miter"/>
          <v:imagedata o:title=""/>
          <o:lock v:ext="edit"/>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F9A2D">
    <w:pPr>
      <w:pStyle w:val="2"/>
      <w:spacing w:line="43" w:lineRule="auto"/>
      <w:rPr>
        <w:sz w:val="2"/>
      </w:rPr>
    </w:pPr>
    <w:r>
      <w:pict>
        <v:shape id="_x0000_s2099" o:spid="_x0000_s2099" style="position:absolute;left:0pt;margin-left:58.3pt;margin-top:795pt;height:0.75pt;width:494pt;mso-position-horizontal-relative:page;mso-position-vertical-relative:page;z-index:251659264;mso-width-relative:page;mso-height-relative:page;" filled="f" stroked="t" coordsize="9880,15" o:allowincell="f" path="m0,7l9880,7e">
          <v:fill on="f" focussize="0,0"/>
          <v:stroke weight="0.71pt" color="#000000" miterlimit="10" joinstyle="miter"/>
          <v:imagedata o:title=""/>
          <o:lock v:ext="edit"/>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54785">
    <w:pPr>
      <w:pStyle w:val="2"/>
      <w:spacing w:line="43" w:lineRule="auto"/>
      <w:rPr>
        <w:sz w:val="2"/>
      </w:rPr>
    </w:pPr>
    <w:r>
      <w:pict>
        <v:shape id="_x0000_s2101" o:spid="_x0000_s2101" style="position:absolute;left:0pt;margin-left:58.3pt;margin-top:795pt;height:0.75pt;width:494pt;mso-position-horizontal-relative:page;mso-position-vertical-relative:page;z-index:251716608;mso-width-relative:page;mso-height-relative:page;" filled="f" stroked="t" coordsize="9880,15" o:allowincell="f" path="m0,7l9880,7e">
          <v:fill on="f" focussize="0,0"/>
          <v:stroke weight="0.71pt" color="#000000" miterlimit="10" joinstyle="miter"/>
          <v:imagedata o:title=""/>
          <o:lock v:ext="edit"/>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084A2">
    <w:pPr>
      <w:pStyle w:val="2"/>
      <w:spacing w:line="43" w:lineRule="auto"/>
      <w:rPr>
        <w:sz w:val="2"/>
      </w:rPr>
    </w:pPr>
    <w:r>
      <w:pict>
        <v:shape id="_x0000_s2103" o:spid="_x0000_s2103" style="position:absolute;left:0pt;margin-left:58.3pt;margin-top:795pt;height:0.75pt;width:494pt;mso-position-horizontal-relative:page;mso-position-vertical-relative:page;z-index:251659264;mso-width-relative:page;mso-height-relative:page;" filled="f" stroked="t" coordsize="9880,15" o:allowincell="f" path="m0,7l9880,7e">
          <v:fill on="f" focussize="0,0"/>
          <v:stroke weight="0.71pt" color="#000000" miterlimit="10" joinstyle="miter"/>
          <v:imagedata o:title=""/>
          <o:lock v:ext="edit"/>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73237">
    <w:pPr>
      <w:pStyle w:val="2"/>
      <w:spacing w:line="43" w:lineRule="auto"/>
      <w:rPr>
        <w:sz w:val="2"/>
      </w:rPr>
    </w:pPr>
    <w:r>
      <w:pict>
        <v:shape id="_x0000_s2105" o:spid="_x0000_s2105" style="position:absolute;left:0pt;margin-left:58.3pt;margin-top:795pt;height:0.75pt;width:494pt;mso-position-horizontal-relative:page;mso-position-vertical-relative:page;z-index:251718656;mso-width-relative:page;mso-height-relative:page;" filled="f" stroked="t" coordsize="9880,15" o:allowincell="f" path="m0,7l9880,7e">
          <v:fill on="f" focussize="0,0"/>
          <v:stroke weight="0.71pt" color="#000000" miterlimit="10" joinstyle="miter"/>
          <v:imagedata o:title=""/>
          <o:lock v:ext="edit"/>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63EF3">
    <w:pPr>
      <w:pStyle w:val="2"/>
      <w:spacing w:line="43" w:lineRule="auto"/>
      <w:rPr>
        <w:sz w:val="2"/>
      </w:rPr>
    </w:pPr>
    <w:r>
      <w:pict>
        <v:shape id="_x0000_s2107" o:spid="_x0000_s2107" style="position:absolute;left:0pt;margin-left:58.3pt;margin-top:795pt;height:0.75pt;width:494pt;mso-position-horizontal-relative:page;mso-position-vertical-relative:page;z-index:251659264;mso-width-relative:page;mso-height-relative:page;" filled="f" stroked="t" coordsize="9880,15" o:allowincell="f" path="m0,7l9880,7e">
          <v:fill on="f" focussize="0,0"/>
          <v:stroke weight="0.71pt" color="#000000" miterlimit="10" joinstyle="miter"/>
          <v:imagedata o:title=""/>
          <o:lock v:ext="edit"/>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7D51E">
    <w:pPr>
      <w:pStyle w:val="2"/>
      <w:spacing w:line="43" w:lineRule="auto"/>
      <w:rPr>
        <w:sz w:val="2"/>
      </w:rPr>
    </w:pPr>
    <w:r>
      <w:pict>
        <v:shape id="_x0000_s2053" o:spid="_x0000_s2053" style="position:absolute;left:0pt;margin-left:58.3pt;margin-top:795pt;height:0.75pt;width:494pt;mso-position-horizontal-relative:page;mso-position-vertical-relative:page;z-index:251663360;mso-width-relative:page;mso-height-relative:page;" filled="f" stroked="t" coordsize="9880,15" o:allowincell="f" path="m0,7l9880,7e">
          <v:fill on="f" focussize="0,0"/>
          <v:stroke weight="0.71pt" color="#000000" miterlimit="10" joinstyle="miter"/>
          <v:imagedata o:title=""/>
          <o:lock v:ext="edit"/>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A7483">
    <w:pPr>
      <w:pStyle w:val="2"/>
      <w:spacing w:line="43" w:lineRule="auto"/>
      <w:rPr>
        <w:sz w:val="2"/>
      </w:rPr>
    </w:pPr>
    <w:r>
      <w:pict>
        <v:shape id="_x0000_s2109" o:spid="_x0000_s2109" style="position:absolute;left:0pt;margin-left:58.3pt;margin-top:795pt;height:0.75pt;width:494pt;mso-position-horizontal-relative:page;mso-position-vertical-relative:page;z-index:251720704;mso-width-relative:page;mso-height-relative:page;" filled="f" stroked="t" coordsize="9880,15" o:allowincell="f" path="m0,7l9880,7e">
          <v:fill on="f" focussize="0,0"/>
          <v:stroke weight="0.71pt" color="#000000" miterlimit="10" joinstyle="miter"/>
          <v:imagedata o:title=""/>
          <o:lock v:ext="edit"/>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5CBD5">
    <w:pPr>
      <w:pStyle w:val="2"/>
      <w:spacing w:line="43" w:lineRule="auto"/>
      <w:rPr>
        <w:sz w:val="2"/>
      </w:rPr>
    </w:pPr>
    <w:r>
      <w:pict>
        <v:shape id="_x0000_s2111" o:spid="_x0000_s2111" style="position:absolute;left:0pt;margin-left:58.3pt;margin-top:795pt;height:0.75pt;width:494pt;mso-position-horizontal-relative:page;mso-position-vertical-relative:page;z-index:251659264;mso-width-relative:page;mso-height-relative:page;" filled="f" stroked="t" coordsize="9880,15" o:allowincell="f" path="m0,7l9880,7e">
          <v:fill on="f" focussize="0,0"/>
          <v:stroke weight="0.71pt" color="#000000" miterlimit="10" joinstyle="miter"/>
          <v:imagedata o:title=""/>
          <o:lock v:ext="edit"/>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06F44">
    <w:pPr>
      <w:pStyle w:val="2"/>
      <w:spacing w:line="43" w:lineRule="auto"/>
      <w:rPr>
        <w:sz w:val="2"/>
      </w:rPr>
    </w:pPr>
    <w:r>
      <w:pict>
        <v:shape id="_x0000_s2113" o:spid="_x0000_s2113" style="position:absolute;left:0pt;margin-left:58.3pt;margin-top:795pt;height:0.75pt;width:494pt;mso-position-horizontal-relative:page;mso-position-vertical-relative:page;z-index:251722752;mso-width-relative:page;mso-height-relative:page;" filled="f" stroked="t" coordsize="9880,15" o:allowincell="f" path="m0,7l9880,7e">
          <v:fill on="f" focussize="0,0"/>
          <v:stroke weight="0.71pt" color="#000000" miterlimit="10" joinstyle="miter"/>
          <v:imagedata o:title=""/>
          <o:lock v:ext="edit"/>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9DA22">
    <w:pPr>
      <w:pStyle w:val="2"/>
      <w:spacing w:line="43" w:lineRule="auto"/>
      <w:rPr>
        <w:sz w:val="2"/>
      </w:rPr>
    </w:pPr>
    <w:r>
      <w:pict>
        <v:shape id="_x0000_s2115" o:spid="_x0000_s2115" style="position:absolute;left:0pt;margin-left:58.3pt;margin-top:795pt;height:0.75pt;width:494pt;mso-position-horizontal-relative:page;mso-position-vertical-relative:page;z-index:251724800;mso-width-relative:page;mso-height-relative:page;" filled="f" stroked="t" coordsize="9880,15" o:allowincell="f" path="m0,7l9880,7e">
          <v:fill on="f" focussize="0,0"/>
          <v:stroke weight="0.71pt" color="#000000" miterlimit="10" joinstyle="miter"/>
          <v:imagedata o:title=""/>
          <o:lock v:ext="edit"/>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317D8">
    <w:pPr>
      <w:pStyle w:val="2"/>
      <w:spacing w:line="43" w:lineRule="auto"/>
      <w:rPr>
        <w:sz w:val="2"/>
      </w:rPr>
    </w:pPr>
    <w:r>
      <w:pict>
        <v:shape id="_x0000_s2117" o:spid="_x0000_s2117" style="position:absolute;left:0pt;margin-left:58.3pt;margin-top:795pt;height:0.75pt;width:494pt;mso-position-horizontal-relative:page;mso-position-vertical-relative:page;z-index:251726848;mso-width-relative:page;mso-height-relative:page;" filled="f" stroked="t" coordsize="9880,15" o:allowincell="f" path="m0,7l9880,7e">
          <v:fill on="f" focussize="0,0"/>
          <v:stroke weight="0.71pt" color="#000000" miterlimit="10" joinstyle="miter"/>
          <v:imagedata o:title=""/>
          <o:lock v:ext="edit"/>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727F">
    <w:pPr>
      <w:pStyle w:val="2"/>
      <w:spacing w:line="43" w:lineRule="auto"/>
      <w:rPr>
        <w:sz w:val="2"/>
      </w:rPr>
    </w:pPr>
    <w:r>
      <w:pict>
        <v:shape id="_x0000_s2119" o:spid="_x0000_s2119" style="position:absolute;left:0pt;margin-left:58.3pt;margin-top:795pt;height:0.75pt;width:494pt;mso-position-horizontal-relative:page;mso-position-vertical-relative:page;z-index:251659264;mso-width-relative:page;mso-height-relative:page;" filled="f" stroked="t" coordsize="9880,15" o:allowincell="f" path="m0,7l9880,7e">
          <v:fill on="f" focussize="0,0"/>
          <v:stroke weight="0.71pt" color="#000000" miterlimit="10" joinstyle="miter"/>
          <v:imagedata o:title=""/>
          <o:lock v:ext="edit"/>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BE9B1">
    <w:pPr>
      <w:pStyle w:val="2"/>
      <w:spacing w:line="14" w:lineRule="auto"/>
      <w:rPr>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1C622">
    <w:pPr>
      <w:pStyle w:val="2"/>
      <w:spacing w:line="43" w:lineRule="auto"/>
      <w:rPr>
        <w:sz w:val="2"/>
      </w:rPr>
    </w:pPr>
    <w:r>
      <w:pict>
        <v:shape id="_x0000_s2123" o:spid="_x0000_s2123" style="position:absolute;left:0pt;margin-left:58.3pt;margin-top:795pt;height:0.75pt;width:494pt;mso-position-horizontal-relative:page;mso-position-vertical-relative:page;z-index:251732992;mso-width-relative:page;mso-height-relative:page;" filled="f" stroked="t" coordsize="9880,15" o:allowincell="f" path="m0,7l9880,7e">
          <v:fill on="f" focussize="0,0"/>
          <v:stroke weight="0.71pt" color="#000000" miterlimit="10" joinstyle="miter"/>
          <v:imagedata o:title=""/>
          <o:lock v:ext="edit"/>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D8246">
    <w:pPr>
      <w:pStyle w:val="2"/>
      <w:spacing w:line="14" w:lineRule="auto"/>
      <w:rPr>
        <w:sz w:val="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EA722">
    <w:pPr>
      <w:pStyle w:val="2"/>
      <w:spacing w:line="43" w:lineRule="auto"/>
      <w:rPr>
        <w:sz w:val="2"/>
      </w:rPr>
    </w:pPr>
    <w:r>
      <w:pict>
        <v:shape id="_x0000_s2125" o:spid="_x0000_s2125" style="position:absolute;left:0pt;margin-left:58.3pt;margin-top:795pt;height:0.75pt;width:494pt;mso-position-horizontal-relative:page;mso-position-vertical-relative:page;z-index:251735040;mso-width-relative:page;mso-height-relative:page;" filled="f" stroked="t" coordsize="9880,15" o:allowincell="f" path="m0,7l9880,7e">
          <v:fill on="f" focussize="0,0"/>
          <v:stroke weight="0.71pt" color="#000000" miterlimit="10" joinstyle="miter"/>
          <v:imagedata o:title=""/>
          <o:lock v:ext="edit"/>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F9EE3">
    <w:pPr>
      <w:pStyle w:val="2"/>
      <w:spacing w:line="43" w:lineRule="auto"/>
      <w:rPr>
        <w:sz w:val="2"/>
      </w:rPr>
    </w:pPr>
    <w:r>
      <w:pict>
        <v:shape id="_x0000_s2055" o:spid="_x0000_s2055" style="position:absolute;left:0pt;margin-left:58.3pt;margin-top:795pt;height:0.75pt;width:494pt;mso-position-horizontal-relative:page;mso-position-vertical-relative:page;z-index:251665408;mso-width-relative:page;mso-height-relative:page;" filled="f" stroked="t" coordsize="9880,15" o:allowincell="f" path="m0,7l9880,7e">
          <v:fill on="f" focussize="0,0"/>
          <v:stroke weight="0.71pt" color="#000000" miterlimit="10" joinstyle="miter"/>
          <v:imagedata o:title=""/>
          <o:lock v:ext="edit"/>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00C25">
    <w:pPr>
      <w:pStyle w:val="2"/>
      <w:spacing w:line="43" w:lineRule="auto"/>
      <w:rPr>
        <w:sz w:val="2"/>
      </w:rPr>
    </w:pPr>
    <w:r>
      <w:pict>
        <v:shape id="_x0000_s2127" o:spid="_x0000_s2127" style="position:absolute;left:0pt;margin-left:58.3pt;margin-top:795pt;height:0.75pt;width:494pt;mso-position-horizontal-relative:page;mso-position-vertical-relative:page;z-index:251659264;mso-width-relative:page;mso-height-relative:page;" filled="f" stroked="t" coordsize="9880,15" o:allowincell="f" path="m0,7l9880,7e">
          <v:fill on="f" focussize="0,0"/>
          <v:stroke weight="0.71pt" color="#000000" miterlimit="10" joinstyle="miter"/>
          <v:imagedata o:title=""/>
          <o:lock v:ext="edit"/>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BD573">
    <w:pPr>
      <w:pStyle w:val="2"/>
      <w:spacing w:line="43" w:lineRule="auto"/>
      <w:rPr>
        <w:sz w:val="2"/>
      </w:rPr>
    </w:pPr>
    <w:r>
      <w:pict>
        <v:shape id="_x0000_s2129" o:spid="_x0000_s2129" style="position:absolute;left:0pt;margin-left:58.3pt;margin-top:795pt;height:0.75pt;width:494pt;mso-position-horizontal-relative:page;mso-position-vertical-relative:page;z-index:251667456;mso-width-relative:page;mso-height-relative:page;" filled="f" stroked="t" coordsize="9880,15" o:allowincell="f" path="m0,7l9880,7e">
          <v:fill on="f" focussize="0,0"/>
          <v:stroke weight="0.71pt" color="#000000" miterlimit="10" joinstyle="miter"/>
          <v:imagedata o:title=""/>
          <o:lock v:ext="edit"/>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447E">
    <w:pPr>
      <w:pStyle w:val="2"/>
      <w:spacing w:line="43" w:lineRule="auto"/>
      <w:rPr>
        <w:sz w:val="2"/>
      </w:rPr>
    </w:pPr>
    <w:r>
      <w:pict>
        <v:shape id="_x0000_s2131" o:spid="_x0000_s2131" style="position:absolute;left:0pt;margin-left:58.3pt;margin-top:795pt;height:0.75pt;width:494pt;mso-position-horizontal-relative:page;mso-position-vertical-relative:page;z-index:251738112;mso-width-relative:page;mso-height-relative:page;" filled="f" stroked="t" coordsize="9880,15" o:allowincell="f" path="m0,7l9880,7e">
          <v:fill on="f" focussize="0,0"/>
          <v:stroke weight="0.71pt" color="#000000" miterlimit="10" joinstyle="miter"/>
          <v:imagedata o:title=""/>
          <o:lock v:ext="edit"/>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4AE73">
    <w:pPr>
      <w:pStyle w:val="2"/>
      <w:spacing w:line="14" w:lineRule="auto"/>
      <w:rPr>
        <w:sz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329BA">
    <w:pPr>
      <w:spacing w:line="162" w:lineRule="auto"/>
      <w:ind w:left="4379"/>
      <w:rPr>
        <w:rFonts w:ascii="仿宋" w:hAnsi="仿宋" w:eastAsia="仿宋" w:cs="仿宋"/>
        <w:sz w:val="19"/>
        <w:szCs w:val="19"/>
      </w:rPr>
    </w:pPr>
    <w:r>
      <w:rPr>
        <w:rFonts w:ascii="仿宋" w:hAnsi="仿宋" w:eastAsia="仿宋" w:cs="仿宋"/>
        <w:b/>
        <w:bCs/>
        <w:i/>
        <w:iCs/>
        <w:spacing w:val="1"/>
        <w:sz w:val="19"/>
        <w:szCs w:val="19"/>
      </w:rPr>
      <w:t>102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E8A80">
    <w:pPr>
      <w:spacing w:line="162" w:lineRule="auto"/>
      <w:ind w:left="4919"/>
      <w:rPr>
        <w:rFonts w:ascii="仿宋" w:hAnsi="仿宋" w:eastAsia="仿宋" w:cs="仿宋"/>
        <w:sz w:val="19"/>
        <w:szCs w:val="19"/>
      </w:rPr>
    </w:pPr>
    <w:r>
      <w:rPr>
        <w:rFonts w:ascii="仿宋" w:hAnsi="仿宋" w:eastAsia="仿宋" w:cs="仿宋"/>
        <w:b/>
        <w:bCs/>
        <w:i/>
        <w:iCs/>
        <w:spacing w:val="1"/>
        <w:sz w:val="19"/>
        <w:szCs w:val="19"/>
      </w:rPr>
      <w:t>103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FA3E3">
    <w:pPr>
      <w:spacing w:line="162" w:lineRule="auto"/>
      <w:ind w:left="4369"/>
      <w:rPr>
        <w:rFonts w:ascii="仿宋" w:hAnsi="仿宋" w:eastAsia="仿宋" w:cs="仿宋"/>
        <w:sz w:val="19"/>
        <w:szCs w:val="19"/>
      </w:rPr>
    </w:pPr>
    <w:r>
      <w:rPr>
        <w:rFonts w:ascii="仿宋" w:hAnsi="仿宋" w:eastAsia="仿宋" w:cs="仿宋"/>
        <w:b/>
        <w:bCs/>
        <w:i/>
        <w:iCs/>
        <w:spacing w:val="1"/>
        <w:sz w:val="19"/>
        <w:szCs w:val="19"/>
      </w:rPr>
      <w:t>104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6BFDF">
    <w:pPr>
      <w:spacing w:line="162" w:lineRule="auto"/>
      <w:ind w:left="4369"/>
      <w:rPr>
        <w:rFonts w:ascii="仿宋" w:hAnsi="仿宋" w:eastAsia="仿宋" w:cs="仿宋"/>
        <w:sz w:val="19"/>
        <w:szCs w:val="19"/>
      </w:rPr>
    </w:pPr>
    <w:r>
      <w:rPr>
        <w:rFonts w:ascii="仿宋" w:hAnsi="仿宋" w:eastAsia="仿宋" w:cs="仿宋"/>
        <w:b/>
        <w:bCs/>
        <w:i/>
        <w:iCs/>
        <w:spacing w:val="1"/>
        <w:sz w:val="19"/>
        <w:szCs w:val="19"/>
      </w:rPr>
      <w:t>105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7864F">
    <w:pPr>
      <w:spacing w:line="162" w:lineRule="auto"/>
      <w:ind w:left="4638"/>
      <w:rPr>
        <w:rFonts w:ascii="仿宋" w:hAnsi="仿宋" w:eastAsia="仿宋" w:cs="仿宋"/>
        <w:sz w:val="19"/>
        <w:szCs w:val="19"/>
      </w:rPr>
    </w:pPr>
    <w:r>
      <w:rPr>
        <w:rFonts w:ascii="仿宋" w:hAnsi="仿宋" w:eastAsia="仿宋" w:cs="仿宋"/>
        <w:b/>
        <w:bCs/>
        <w:i/>
        <w:iCs/>
        <w:spacing w:val="1"/>
        <w:sz w:val="19"/>
        <w:szCs w:val="19"/>
      </w:rPr>
      <w:t>106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1B787">
    <w:pPr>
      <w:pStyle w:val="2"/>
      <w:spacing w:line="43" w:lineRule="auto"/>
      <w:rPr>
        <w:sz w:val="2"/>
      </w:rPr>
    </w:pPr>
    <w:r>
      <w:pict>
        <v:shape id="_x0000_s2057" o:spid="_x0000_s2057" style="position:absolute;left:0pt;margin-left:58.3pt;margin-top:795pt;height:0.75pt;width:494pt;mso-position-horizontal-relative:page;mso-position-vertical-relative:page;z-index:251667456;mso-width-relative:page;mso-height-relative:page;" filled="f" stroked="t" coordsize="9880,15" o:allowincell="f" path="m0,7l9880,7e">
          <v:fill on="f" focussize="0,0"/>
          <v:stroke weight="0.71pt" color="#000000" miterlimit="10" joinstyle="miter"/>
          <v:imagedata o:title=""/>
          <o:lock v:ext="edit"/>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840C0">
    <w:pPr>
      <w:pStyle w:val="2"/>
      <w:spacing w:line="43" w:lineRule="auto"/>
      <w:rPr>
        <w:sz w:val="2"/>
      </w:rPr>
    </w:pPr>
    <w:r>
      <w:pict>
        <v:shape id="_x0000_s2059" o:spid="_x0000_s2059" style="position:absolute;left:0pt;margin-left:58.3pt;margin-top:795pt;height:0.75pt;width:494pt;mso-position-horizontal-relative:page;mso-position-vertical-relative:page;z-index:251669504;mso-width-relative:page;mso-height-relative:page;" filled="f" stroked="t" coordsize="9880,15" o:allowincell="f" path="m0,7l9880,7e">
          <v:fill on="f" focussize="0,0"/>
          <v:stroke weight="0.71pt" color="#000000" miterlimit="10" joinstyle="miter"/>
          <v:imagedata o:title=""/>
          <o:lock v:ext="edit"/>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148BD">
    <w:pPr>
      <w:pStyle w:val="2"/>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986BD">
    <w:pPr>
      <w:pStyle w:val="2"/>
      <w:spacing w:line="43" w:lineRule="auto"/>
      <w:rPr>
        <w:sz w:val="2"/>
      </w:rPr>
    </w:pPr>
    <w:r>
      <w:pict>
        <v:shape id="_x0000_s2062" o:spid="_x0000_s2062" style="position:absolute;left:0pt;margin-left:58.3pt;margin-top:795pt;height:0.75pt;width:494pt;mso-position-horizontal-relative:page;mso-position-vertical-relative:page;z-index:251673600;mso-width-relative:page;mso-height-relative:page;" filled="f" stroked="t" coordsize="9880,15" o:allowincell="f" path="m0,7l9880,7e">
          <v:fill on="f" focussize="0,0"/>
          <v:stroke weight="0.71pt" color="#000000" miterlimit="10" joinstyle="miter"/>
          <v:imagedata o:title=""/>
          <o:lock v:ext="edit"/>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F9929">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B3C5D">
    <w:pPr>
      <w:pStyle w:val="2"/>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BF68C">
    <w:pPr>
      <w:spacing w:before="23" w:line="210" w:lineRule="auto"/>
      <w:ind w:left="116"/>
      <w:rPr>
        <w:rFonts w:ascii="宋体" w:hAnsi="宋体" w:eastAsia="宋体" w:cs="宋体"/>
        <w:sz w:val="19"/>
        <w:szCs w:val="19"/>
      </w:rPr>
    </w:pPr>
    <w:r>
      <w:pict>
        <v:shape id="_x0000_s2063" o:spid="_x0000_s2063" style="position:absolute;left:0pt;margin-left:56.85pt;margin-top:55.15pt;height:0.5pt;width:496.9pt;mso-position-horizontal-relative:page;mso-position-vertical-relative:page;z-index:251675648;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9C7F3">
    <w:pPr>
      <w:spacing w:before="23" w:line="210" w:lineRule="auto"/>
      <w:ind w:left="42"/>
      <w:rPr>
        <w:rFonts w:ascii="宋体" w:hAnsi="宋体" w:eastAsia="宋体" w:cs="宋体"/>
        <w:sz w:val="19"/>
        <w:szCs w:val="19"/>
      </w:rPr>
    </w:pPr>
    <w:r>
      <w:pict>
        <v:shape id="_x0000_s2064" o:spid="_x0000_s2064" style="position:absolute;left:0pt;margin-left:56.85pt;margin-top:55.15pt;height:0.5pt;width:496.9pt;mso-position-horizontal-relative:page;mso-position-vertical-relative:page;z-index:251683840;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90F61">
    <w:pPr>
      <w:spacing w:before="23" w:line="210" w:lineRule="auto"/>
      <w:ind w:left="116"/>
      <w:rPr>
        <w:rFonts w:ascii="宋体" w:hAnsi="宋体" w:eastAsia="宋体" w:cs="宋体"/>
        <w:sz w:val="19"/>
        <w:szCs w:val="19"/>
      </w:rPr>
    </w:pPr>
    <w:r>
      <w:pict>
        <v:shape id="_x0000_s2065" o:spid="_x0000_s2065" style="position:absolute;left:0pt;margin-left:56.85pt;margin-top:55.15pt;height:0.5pt;width:496.9pt;mso-position-horizontal-relative:page;mso-position-vertical-relative:page;z-index:251706368;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8A0A9">
    <w:pPr>
      <w:spacing w:before="23" w:line="210" w:lineRule="auto"/>
      <w:ind w:left="116"/>
      <w:rPr>
        <w:rFonts w:ascii="宋体" w:hAnsi="宋体" w:eastAsia="宋体" w:cs="宋体"/>
        <w:sz w:val="19"/>
        <w:szCs w:val="19"/>
      </w:rPr>
    </w:pPr>
    <w:r>
      <w:pict>
        <v:shape id="_x0000_s2066" o:spid="_x0000_s2066" style="position:absolute;left:0pt;margin-left:56.85pt;margin-top:55.15pt;height:0.5pt;width:496.9pt;mso-position-horizontal-relative:page;mso-position-vertical-relative:page;z-index:251661312;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80208">
    <w:pPr>
      <w:spacing w:before="23" w:line="210" w:lineRule="auto"/>
      <w:ind w:left="116"/>
      <w:rPr>
        <w:rFonts w:ascii="宋体" w:hAnsi="宋体" w:eastAsia="宋体" w:cs="宋体"/>
        <w:sz w:val="19"/>
        <w:szCs w:val="19"/>
      </w:rPr>
    </w:pPr>
    <w:r>
      <w:pict>
        <v:shape id="_x0000_s2067" o:spid="_x0000_s2067" style="position:absolute;left:0pt;margin-left:56.85pt;margin-top:55.15pt;height:0.5pt;width:496.9pt;mso-position-horizontal-relative:page;mso-position-vertical-relative:page;z-index:251708416;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9F1B8">
    <w:pPr>
      <w:spacing w:before="23" w:line="210" w:lineRule="auto"/>
      <w:ind w:left="32"/>
      <w:rPr>
        <w:rFonts w:ascii="宋体" w:hAnsi="宋体" w:eastAsia="宋体" w:cs="宋体"/>
        <w:sz w:val="19"/>
        <w:szCs w:val="19"/>
      </w:rPr>
    </w:pPr>
    <w:r>
      <w:pict>
        <v:shape id="_x0000_s2068" o:spid="_x0000_s2068" style="position:absolute;left:0pt;margin-left:56.85pt;margin-top:55.15pt;height:0.5pt;width:496.9pt;mso-position-horizontal-relative:page;mso-position-vertical-relative:page;z-index:251710464;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20100">
    <w:pPr>
      <w:spacing w:before="23" w:line="210" w:lineRule="auto"/>
      <w:ind w:left="32"/>
      <w:rPr>
        <w:rFonts w:ascii="宋体" w:hAnsi="宋体" w:eastAsia="宋体" w:cs="宋体"/>
        <w:sz w:val="19"/>
        <w:szCs w:val="19"/>
      </w:rPr>
    </w:pPr>
    <w:r>
      <w:pict>
        <v:shape id="_x0000_s2070" o:spid="_x0000_s2070" style="position:absolute;left:0pt;margin-left:56.85pt;margin-top:55.15pt;height:0.5pt;width:496.9pt;mso-position-horizontal-relative:page;mso-position-vertical-relative:page;z-index:251660288;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8083B">
    <w:pPr>
      <w:spacing w:before="23" w:line="210" w:lineRule="auto"/>
      <w:ind w:left="32"/>
      <w:rPr>
        <w:rFonts w:ascii="宋体" w:hAnsi="宋体" w:eastAsia="宋体" w:cs="宋体"/>
        <w:sz w:val="19"/>
        <w:szCs w:val="19"/>
      </w:rPr>
    </w:pPr>
    <w:r>
      <w:pict>
        <v:shape id="_x0000_s2072" o:spid="_x0000_s2072" style="position:absolute;left:0pt;margin-left:56.85pt;margin-top:55.15pt;height:0.5pt;width:496.9pt;mso-position-horizontal-relative:page;mso-position-vertical-relative:page;z-index:251713536;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8667">
    <w:pPr>
      <w:spacing w:before="23" w:line="210" w:lineRule="auto"/>
      <w:ind w:left="32"/>
      <w:rPr>
        <w:rFonts w:ascii="宋体" w:hAnsi="宋体" w:eastAsia="宋体" w:cs="宋体"/>
        <w:sz w:val="19"/>
        <w:szCs w:val="19"/>
      </w:rPr>
    </w:pPr>
    <w:r>
      <w:pict>
        <v:shape id="_x0000_s2074" o:spid="_x0000_s2074" style="position:absolute;left:0pt;margin-left:56.85pt;margin-top:55.15pt;height:0.5pt;width:496.9pt;mso-position-horizontal-relative:page;mso-position-vertical-relative:page;z-index:251674624;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9C0E">
    <w:pPr>
      <w:spacing w:before="23" w:line="210" w:lineRule="auto"/>
      <w:ind w:left="32"/>
      <w:rPr>
        <w:rFonts w:ascii="宋体" w:hAnsi="宋体" w:eastAsia="宋体" w:cs="宋体"/>
        <w:sz w:val="19"/>
        <w:szCs w:val="19"/>
      </w:rPr>
    </w:pPr>
    <w:r>
      <w:pict>
        <v:shape id="_x0000_s2076" o:spid="_x0000_s2076" style="position:absolute;left:0pt;margin-left:56.85pt;margin-top:55.15pt;height:0.5pt;width:496.9pt;mso-position-horizontal-relative:page;mso-position-vertical-relative:page;z-index:251660288;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CBE3A">
    <w:pPr>
      <w:spacing w:before="23" w:line="210" w:lineRule="auto"/>
      <w:ind w:left="32"/>
      <w:rPr>
        <w:rFonts w:ascii="宋体" w:hAnsi="宋体" w:eastAsia="宋体" w:cs="宋体"/>
        <w:sz w:val="19"/>
        <w:szCs w:val="19"/>
      </w:rPr>
    </w:pPr>
    <w:r>
      <w:pict>
        <v:shape id="_x0000_s2049" o:spid="_x0000_s2049" style="position:absolute;left:0pt;margin-left:56.85pt;margin-top:55.15pt;height:0.5pt;width:496.9pt;mso-position-horizontal-relative:page;mso-position-vertical-relative:page;z-index:251660288;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BA39E">
    <w:pPr>
      <w:spacing w:before="23" w:line="210" w:lineRule="auto"/>
      <w:ind w:left="32"/>
      <w:rPr>
        <w:rFonts w:ascii="宋体" w:hAnsi="宋体" w:eastAsia="宋体" w:cs="宋体"/>
        <w:sz w:val="19"/>
        <w:szCs w:val="19"/>
      </w:rPr>
    </w:pPr>
    <w:r>
      <w:pict>
        <v:shape id="_x0000_s2078" o:spid="_x0000_s2078" style="position:absolute;left:0pt;margin-left:56.85pt;margin-top:55.15pt;height:0.5pt;width:496.9pt;mso-position-horizontal-relative:page;mso-position-vertical-relative:page;z-index:251715584;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C7270">
    <w:pPr>
      <w:spacing w:before="23" w:line="210" w:lineRule="auto"/>
      <w:ind w:left="32"/>
      <w:rPr>
        <w:rFonts w:ascii="宋体" w:hAnsi="宋体" w:eastAsia="宋体" w:cs="宋体"/>
        <w:sz w:val="19"/>
        <w:szCs w:val="19"/>
      </w:rPr>
    </w:pPr>
    <w:r>
      <w:pict>
        <v:shape id="_x0000_s2080" o:spid="_x0000_s2080" style="position:absolute;left:0pt;margin-left:56.85pt;margin-top:55.15pt;height:0.5pt;width:496.9pt;mso-position-horizontal-relative:page;mso-position-vertical-relative:page;z-index:251660288;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6ABC9">
    <w:pPr>
      <w:spacing w:before="23" w:line="210" w:lineRule="auto"/>
      <w:ind w:left="32"/>
      <w:rPr>
        <w:rFonts w:ascii="宋体" w:hAnsi="宋体" w:eastAsia="宋体" w:cs="宋体"/>
        <w:sz w:val="19"/>
        <w:szCs w:val="19"/>
      </w:rPr>
    </w:pPr>
    <w:r>
      <w:pict>
        <v:shape id="_x0000_s2082" o:spid="_x0000_s2082" style="position:absolute;left:0pt;margin-left:56.85pt;margin-top:55.15pt;height:0.5pt;width:496.9pt;mso-position-horizontal-relative:page;mso-position-vertical-relative:page;z-index:251674624;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1D31">
    <w:pPr>
      <w:spacing w:before="23" w:line="210" w:lineRule="auto"/>
      <w:ind w:left="32"/>
      <w:rPr>
        <w:rFonts w:ascii="宋体" w:hAnsi="宋体" w:eastAsia="宋体" w:cs="宋体"/>
        <w:sz w:val="19"/>
        <w:szCs w:val="19"/>
      </w:rPr>
    </w:pPr>
    <w:r>
      <w:pict>
        <v:shape id="_x0000_s2084" o:spid="_x0000_s2084" style="position:absolute;left:0pt;margin-left:56.85pt;margin-top:55.15pt;height:0.5pt;width:496.9pt;mso-position-horizontal-relative:page;mso-position-vertical-relative:page;z-index:251660288;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49BAE">
    <w:pPr>
      <w:spacing w:before="23" w:line="210" w:lineRule="auto"/>
      <w:ind w:left="32"/>
      <w:rPr>
        <w:rFonts w:ascii="宋体" w:hAnsi="宋体" w:eastAsia="宋体" w:cs="宋体"/>
        <w:sz w:val="19"/>
        <w:szCs w:val="19"/>
      </w:rPr>
    </w:pPr>
    <w:r>
      <w:pict>
        <v:shape id="_x0000_s2086" o:spid="_x0000_s2086" style="position:absolute;left:0pt;margin-left:56.85pt;margin-top:55.15pt;height:0.5pt;width:496.9pt;mso-position-horizontal-relative:page;mso-position-vertical-relative:page;z-index:251674624;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21DC1">
    <w:pPr>
      <w:spacing w:before="23" w:line="210" w:lineRule="auto"/>
      <w:ind w:left="32"/>
      <w:rPr>
        <w:rFonts w:ascii="宋体" w:hAnsi="宋体" w:eastAsia="宋体" w:cs="宋体"/>
        <w:sz w:val="19"/>
        <w:szCs w:val="19"/>
      </w:rPr>
    </w:pPr>
    <w:r>
      <w:pict>
        <v:shape id="_x0000_s2088" o:spid="_x0000_s2088" style="position:absolute;left:0pt;margin-left:56.85pt;margin-top:55.15pt;height:0.5pt;width:496.9pt;mso-position-horizontal-relative:page;mso-position-vertical-relative:page;z-index:251715584;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95A71">
    <w:pPr>
      <w:spacing w:before="23" w:line="210" w:lineRule="auto"/>
      <w:ind w:left="32"/>
      <w:rPr>
        <w:rFonts w:ascii="宋体" w:hAnsi="宋体" w:eastAsia="宋体" w:cs="宋体"/>
        <w:sz w:val="19"/>
        <w:szCs w:val="19"/>
      </w:rPr>
    </w:pPr>
    <w:r>
      <w:pict>
        <v:shape id="_x0000_s2090" o:spid="_x0000_s2090" style="position:absolute;left:0pt;margin-left:56.85pt;margin-top:55.15pt;height:0.5pt;width:496.9pt;mso-position-horizontal-relative:page;mso-position-vertical-relative:page;z-index:251674624;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E1C5C">
    <w:pPr>
      <w:spacing w:before="23" w:line="210" w:lineRule="auto"/>
      <w:ind w:left="32"/>
      <w:rPr>
        <w:rFonts w:ascii="宋体" w:hAnsi="宋体" w:eastAsia="宋体" w:cs="宋体"/>
        <w:sz w:val="19"/>
        <w:szCs w:val="19"/>
      </w:rPr>
    </w:pPr>
    <w:r>
      <w:pict>
        <v:shape id="_x0000_s2092" o:spid="_x0000_s2092" style="position:absolute;left:0pt;margin-left:56.85pt;margin-top:55.15pt;height:0.5pt;width:496.9pt;mso-position-horizontal-relative:page;mso-position-vertical-relative:page;z-index:251715584;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4C1FF">
    <w:pPr>
      <w:spacing w:before="23" w:line="210" w:lineRule="auto"/>
      <w:ind w:left="32"/>
      <w:rPr>
        <w:rFonts w:ascii="宋体" w:hAnsi="宋体" w:eastAsia="宋体" w:cs="宋体"/>
        <w:sz w:val="19"/>
        <w:szCs w:val="19"/>
      </w:rPr>
    </w:pPr>
    <w:r>
      <w:pict>
        <v:shape id="_x0000_s2094" o:spid="_x0000_s2094" style="position:absolute;left:0pt;margin-left:56.85pt;margin-top:55.15pt;height:0.5pt;width:496.9pt;mso-position-horizontal-relative:page;mso-position-vertical-relative:page;z-index:251660288;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AE23C">
    <w:pPr>
      <w:spacing w:before="23" w:line="210" w:lineRule="auto"/>
      <w:ind w:left="32"/>
      <w:rPr>
        <w:rFonts w:ascii="宋体" w:hAnsi="宋体" w:eastAsia="宋体" w:cs="宋体"/>
        <w:sz w:val="19"/>
        <w:szCs w:val="19"/>
      </w:rPr>
    </w:pPr>
    <w:r>
      <w:pict>
        <v:shape id="_x0000_s2096" o:spid="_x0000_s2096" style="position:absolute;left:0pt;margin-left:56.85pt;margin-top:55.15pt;height:0.5pt;width:496.9pt;mso-position-horizontal-relative:page;mso-position-vertical-relative:page;z-index:251674624;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5694D">
    <w:pPr>
      <w:spacing w:before="23" w:line="210" w:lineRule="auto"/>
      <w:ind w:left="116"/>
      <w:rPr>
        <w:rFonts w:ascii="宋体" w:hAnsi="宋体" w:eastAsia="宋体" w:cs="宋体"/>
        <w:sz w:val="19"/>
        <w:szCs w:val="19"/>
      </w:rPr>
    </w:pPr>
    <w:r>
      <w:pict>
        <v:shape id="_x0000_s2051" o:spid="_x0000_s2051" style="position:absolute;left:0pt;margin-left:56.85pt;margin-top:55.15pt;height:0.5pt;width:496.9pt;mso-position-horizontal-relative:page;mso-position-vertical-relative:page;z-index:251661312;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A0F2A">
    <w:pPr>
      <w:spacing w:before="23" w:line="210" w:lineRule="auto"/>
      <w:ind w:left="32"/>
      <w:rPr>
        <w:rFonts w:ascii="宋体" w:hAnsi="宋体" w:eastAsia="宋体" w:cs="宋体"/>
        <w:sz w:val="19"/>
        <w:szCs w:val="19"/>
      </w:rPr>
    </w:pPr>
    <w:r>
      <w:pict>
        <v:shape id="_x0000_s2098" o:spid="_x0000_s2098" style="position:absolute;left:0pt;margin-left:56.85pt;margin-top:55.15pt;height:0.5pt;width:496.9pt;mso-position-horizontal-relative:page;mso-position-vertical-relative:page;z-index:251660288;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DE7A8">
    <w:pPr>
      <w:spacing w:before="23" w:line="210" w:lineRule="auto"/>
      <w:ind w:left="32"/>
      <w:rPr>
        <w:rFonts w:ascii="宋体" w:hAnsi="宋体" w:eastAsia="宋体" w:cs="宋体"/>
        <w:sz w:val="19"/>
        <w:szCs w:val="19"/>
      </w:rPr>
    </w:pPr>
    <w:r>
      <w:pict>
        <v:shape id="_x0000_s2100" o:spid="_x0000_s2100" style="position:absolute;left:0pt;margin-left:56.85pt;margin-top:55.15pt;height:0.5pt;width:496.9pt;mso-position-horizontal-relative:page;mso-position-vertical-relative:page;z-index:251717632;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EF2A1">
    <w:pPr>
      <w:spacing w:before="23" w:line="210" w:lineRule="auto"/>
      <w:ind w:left="32"/>
      <w:rPr>
        <w:rFonts w:ascii="宋体" w:hAnsi="宋体" w:eastAsia="宋体" w:cs="宋体"/>
        <w:sz w:val="19"/>
        <w:szCs w:val="19"/>
      </w:rPr>
    </w:pPr>
    <w:r>
      <w:pict>
        <v:shape id="_x0000_s2102" o:spid="_x0000_s2102" style="position:absolute;left:0pt;margin-left:56.85pt;margin-top:55.15pt;height:0.5pt;width:496.9pt;mso-position-horizontal-relative:page;mso-position-vertical-relative:page;z-index:251660288;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1DDE4">
    <w:pPr>
      <w:spacing w:before="23" w:line="210" w:lineRule="auto"/>
      <w:ind w:left="32"/>
      <w:rPr>
        <w:rFonts w:ascii="宋体" w:hAnsi="宋体" w:eastAsia="宋体" w:cs="宋体"/>
        <w:sz w:val="19"/>
        <w:szCs w:val="19"/>
      </w:rPr>
    </w:pPr>
    <w:r>
      <w:pict>
        <v:shape id="_x0000_s2104" o:spid="_x0000_s2104" style="position:absolute;left:0pt;margin-left:56.85pt;margin-top:55.15pt;height:0.5pt;width:496.9pt;mso-position-horizontal-relative:page;mso-position-vertical-relative:page;z-index:251719680;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FCD29">
    <w:pPr>
      <w:spacing w:before="23" w:line="210" w:lineRule="auto"/>
      <w:ind w:left="32"/>
      <w:rPr>
        <w:rFonts w:ascii="宋体" w:hAnsi="宋体" w:eastAsia="宋体" w:cs="宋体"/>
        <w:sz w:val="19"/>
        <w:szCs w:val="19"/>
      </w:rPr>
    </w:pPr>
    <w:r>
      <w:pict>
        <v:shape id="_x0000_s2106" o:spid="_x0000_s2106" style="position:absolute;left:0pt;margin-left:56.85pt;margin-top:55.15pt;height:0.5pt;width:496.9pt;mso-position-horizontal-relative:page;mso-position-vertical-relative:page;z-index:251660288;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344DB">
    <w:pPr>
      <w:spacing w:before="23" w:line="210" w:lineRule="auto"/>
      <w:ind w:left="32"/>
      <w:rPr>
        <w:rFonts w:ascii="宋体" w:hAnsi="宋体" w:eastAsia="宋体" w:cs="宋体"/>
        <w:sz w:val="19"/>
        <w:szCs w:val="19"/>
      </w:rPr>
    </w:pPr>
    <w:r>
      <w:pict>
        <v:shape id="_x0000_s2108" o:spid="_x0000_s2108" style="position:absolute;left:0pt;margin-left:56.85pt;margin-top:55.15pt;height:0.5pt;width:496.9pt;mso-position-horizontal-relative:page;mso-position-vertical-relative:page;z-index:251721728;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267F1">
    <w:pPr>
      <w:spacing w:before="23" w:line="210" w:lineRule="auto"/>
      <w:ind w:left="32"/>
      <w:rPr>
        <w:rFonts w:ascii="宋体" w:hAnsi="宋体" w:eastAsia="宋体" w:cs="宋体"/>
        <w:sz w:val="19"/>
        <w:szCs w:val="19"/>
      </w:rPr>
    </w:pPr>
    <w:r>
      <w:pict>
        <v:shape id="_x0000_s2110" o:spid="_x0000_s2110" style="position:absolute;left:0pt;margin-left:56.85pt;margin-top:55.15pt;height:0.5pt;width:496.9pt;mso-position-horizontal-relative:page;mso-position-vertical-relative:page;z-index:251660288;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26867">
    <w:pPr>
      <w:spacing w:before="23" w:line="210" w:lineRule="auto"/>
      <w:ind w:left="32"/>
      <w:rPr>
        <w:rFonts w:ascii="宋体" w:hAnsi="宋体" w:eastAsia="宋体" w:cs="宋体"/>
        <w:sz w:val="19"/>
        <w:szCs w:val="19"/>
      </w:rPr>
    </w:pPr>
    <w:r>
      <w:pict>
        <v:shape id="_x0000_s2112" o:spid="_x0000_s2112" style="position:absolute;left:0pt;margin-left:56.85pt;margin-top:55.15pt;height:0.5pt;width:496.9pt;mso-position-horizontal-relative:page;mso-position-vertical-relative:page;z-index:251723776;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9A59A">
    <w:pPr>
      <w:spacing w:before="23" w:line="210" w:lineRule="auto"/>
      <w:ind w:left="32"/>
      <w:rPr>
        <w:rFonts w:ascii="宋体" w:hAnsi="宋体" w:eastAsia="宋体" w:cs="宋体"/>
        <w:sz w:val="19"/>
        <w:szCs w:val="19"/>
      </w:rPr>
    </w:pPr>
    <w:r>
      <w:pict>
        <v:shape id="_x0000_s2114" o:spid="_x0000_s2114" style="position:absolute;left:0pt;margin-left:56.85pt;margin-top:55.15pt;height:0.5pt;width:496.9pt;mso-position-horizontal-relative:page;mso-position-vertical-relative:page;z-index:251725824;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17A47">
    <w:pPr>
      <w:spacing w:before="23" w:line="210" w:lineRule="auto"/>
      <w:ind w:left="32"/>
      <w:rPr>
        <w:rFonts w:ascii="宋体" w:hAnsi="宋体" w:eastAsia="宋体" w:cs="宋体"/>
        <w:sz w:val="19"/>
        <w:szCs w:val="19"/>
      </w:rPr>
    </w:pPr>
    <w:r>
      <w:pict>
        <v:shape id="_x0000_s2116" o:spid="_x0000_s2116" style="position:absolute;left:0pt;margin-left:56.85pt;margin-top:55.15pt;height:0.5pt;width:496.9pt;mso-position-horizontal-relative:page;mso-position-vertical-relative:page;z-index:251727872;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FE200">
    <w:pPr>
      <w:spacing w:before="23" w:line="210" w:lineRule="auto"/>
      <w:ind w:left="32"/>
      <w:rPr>
        <w:rFonts w:ascii="宋体" w:hAnsi="宋体" w:eastAsia="宋体" w:cs="宋体"/>
        <w:sz w:val="19"/>
        <w:szCs w:val="19"/>
      </w:rPr>
    </w:pPr>
    <w:r>
      <w:pict>
        <v:shape id="_x0000_s2052" o:spid="_x0000_s2052" style="position:absolute;left:0pt;margin-left:56.85pt;margin-top:55.15pt;height:0.5pt;width:496.9pt;mso-position-horizontal-relative:page;mso-position-vertical-relative:page;z-index:251664384;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BC397">
    <w:pPr>
      <w:spacing w:before="23" w:line="210" w:lineRule="auto"/>
      <w:ind w:left="32"/>
      <w:rPr>
        <w:rFonts w:ascii="宋体" w:hAnsi="宋体" w:eastAsia="宋体" w:cs="宋体"/>
        <w:sz w:val="19"/>
        <w:szCs w:val="19"/>
      </w:rPr>
    </w:pPr>
    <w:r>
      <w:pict>
        <v:shape id="_x0000_s2118" o:spid="_x0000_s2118" style="position:absolute;left:0pt;margin-left:56.85pt;margin-top:55.15pt;height:0.5pt;width:496.9pt;mso-position-horizontal-relative:page;mso-position-vertical-relative:page;z-index:251660288;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AD0ED">
    <w:pPr>
      <w:spacing w:before="23" w:line="210" w:lineRule="auto"/>
      <w:ind w:left="32"/>
      <w:rPr>
        <w:rFonts w:ascii="宋体" w:hAnsi="宋体" w:eastAsia="宋体" w:cs="宋体"/>
        <w:sz w:val="19"/>
        <w:szCs w:val="19"/>
      </w:rPr>
    </w:pPr>
    <w:r>
      <w:pict>
        <v:shape id="_x0000_s2120" o:spid="_x0000_s2120" style="position:absolute;left:0pt;margin-left:56.85pt;margin-top:55.15pt;height:0.5pt;width:496.9pt;mso-position-horizontal-relative:page;mso-position-vertical-relative:page;z-index:251723776;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0626F">
    <w:pPr>
      <w:spacing w:before="23" w:line="210" w:lineRule="auto"/>
      <w:ind w:left="32"/>
      <w:rPr>
        <w:rFonts w:ascii="宋体" w:hAnsi="宋体" w:eastAsia="宋体" w:cs="宋体"/>
        <w:sz w:val="19"/>
        <w:szCs w:val="19"/>
      </w:rPr>
    </w:pPr>
    <w:r>
      <w:pict>
        <v:shape id="_x0000_s2121" o:spid="_x0000_s2121" style="position:absolute;left:0pt;margin-left:56.85pt;margin-top:55.15pt;height:0.5pt;width:496.9pt;mso-position-horizontal-relative:page;mso-position-vertical-relative:page;z-index:251660288;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D144D">
    <w:pPr>
      <w:spacing w:before="23" w:line="210" w:lineRule="auto"/>
      <w:ind w:left="76"/>
      <w:rPr>
        <w:rFonts w:ascii="宋体" w:hAnsi="宋体" w:eastAsia="宋体" w:cs="宋体"/>
        <w:sz w:val="19"/>
        <w:szCs w:val="19"/>
      </w:rPr>
    </w:pPr>
    <w:r>
      <w:pict>
        <v:shape id="_x0000_s2122" o:spid="_x0000_s2122" style="position:absolute;left:0pt;margin-left:56.85pt;margin-top:55.15pt;height:0.5pt;width:496.9pt;mso-position-horizontal-relative:page;mso-position-vertical-relative:page;z-index:251731968;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D1CBB">
    <w:pPr>
      <w:spacing w:before="23" w:line="210" w:lineRule="auto"/>
      <w:ind w:left="32"/>
      <w:rPr>
        <w:rFonts w:ascii="宋体" w:hAnsi="宋体" w:eastAsia="宋体" w:cs="宋体"/>
        <w:sz w:val="19"/>
        <w:szCs w:val="19"/>
      </w:rPr>
    </w:pPr>
    <w:r>
      <w:pict>
        <v:shape id="_x0000_s2124" o:spid="_x0000_s2124" style="position:absolute;left:0pt;margin-left:56.85pt;margin-top:55.15pt;height:0.5pt;width:496.9pt;mso-position-horizontal-relative:page;mso-position-vertical-relative:page;z-index:251736064;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F054B">
    <w:pPr>
      <w:spacing w:before="23" w:line="210" w:lineRule="auto"/>
      <w:ind w:left="32"/>
      <w:rPr>
        <w:rFonts w:ascii="宋体" w:hAnsi="宋体" w:eastAsia="宋体" w:cs="宋体"/>
        <w:sz w:val="19"/>
        <w:szCs w:val="19"/>
      </w:rPr>
    </w:pPr>
    <w:r>
      <w:pict>
        <v:shape id="_x0000_s2126" o:spid="_x0000_s2126" style="position:absolute;left:0pt;margin-left:56.85pt;margin-top:55.15pt;height:0.5pt;width:496.9pt;mso-position-horizontal-relative:page;mso-position-vertical-relative:page;z-index:251660288;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B4545">
    <w:pPr>
      <w:spacing w:before="23" w:line="210" w:lineRule="auto"/>
      <w:ind w:left="32"/>
      <w:rPr>
        <w:rFonts w:ascii="宋体" w:hAnsi="宋体" w:eastAsia="宋体" w:cs="宋体"/>
        <w:sz w:val="19"/>
        <w:szCs w:val="19"/>
      </w:rPr>
    </w:pPr>
    <w:r>
      <w:pict>
        <v:shape id="_x0000_s2128" o:spid="_x0000_s2128" style="position:absolute;left:0pt;margin-left:56.85pt;margin-top:55.15pt;height:0.5pt;width:496.9pt;mso-position-horizontal-relative:page;mso-position-vertical-relative:page;z-index:251668480;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5C7B3">
    <w:pPr>
      <w:spacing w:before="23" w:line="210" w:lineRule="auto"/>
      <w:ind w:left="32"/>
      <w:rPr>
        <w:rFonts w:ascii="宋体" w:hAnsi="宋体" w:eastAsia="宋体" w:cs="宋体"/>
        <w:sz w:val="19"/>
        <w:szCs w:val="19"/>
      </w:rPr>
    </w:pPr>
    <w:r>
      <w:pict>
        <v:shape id="_x0000_s2130" o:spid="_x0000_s2130" style="position:absolute;left:0pt;margin-left:56.85pt;margin-top:55.15pt;height:0.5pt;width:496.9pt;mso-position-horizontal-relative:page;mso-position-vertical-relative:page;z-index:251739136;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FB396">
    <w:pPr>
      <w:spacing w:before="23" w:line="210" w:lineRule="auto"/>
      <w:ind w:left="32"/>
      <w:rPr>
        <w:rFonts w:ascii="宋体" w:hAnsi="宋体" w:eastAsia="宋体" w:cs="宋体"/>
        <w:sz w:val="19"/>
        <w:szCs w:val="19"/>
      </w:rPr>
    </w:pPr>
    <w:r>
      <w:pict>
        <v:shape id="_x0000_s2132" o:spid="_x0000_s2132" style="position:absolute;left:0pt;margin-left:56.85pt;margin-top:55.15pt;height:0.5pt;width:496.9pt;mso-position-horizontal-relative:page;mso-position-vertical-relative:page;z-index:251660288;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6EB08">
    <w:pPr>
      <w:spacing w:before="27" w:line="191" w:lineRule="auto"/>
      <w:ind w:left="111"/>
      <w:rPr>
        <w:rFonts w:ascii="仿宋" w:hAnsi="仿宋" w:eastAsia="仿宋" w:cs="仿宋"/>
        <w:sz w:val="22"/>
        <w:szCs w:val="22"/>
      </w:rPr>
    </w:pPr>
    <w:r>
      <w:rPr>
        <w:rFonts w:ascii="仿宋" w:hAnsi="仿宋" w:eastAsia="仿宋" w:cs="仿宋"/>
        <w:b/>
        <w:bCs/>
        <w:i/>
        <w:iCs/>
        <w:spacing w:val="-4"/>
        <w:sz w:val="22"/>
        <w:szCs w:val="22"/>
        <w:u w:val="single" w:color="auto"/>
      </w:rPr>
      <w:t>伊犁州公共资源交易中心招标文件</w:t>
    </w:r>
    <w:r>
      <w:rPr>
        <w:rFonts w:ascii="仿宋" w:hAnsi="仿宋" w:eastAsia="仿宋" w:cs="仿宋"/>
        <w:spacing w:val="-4"/>
        <w:sz w:val="22"/>
        <w:szCs w:val="22"/>
        <w:u w:val="single" w:color="auto"/>
      </w:rPr>
      <w:t xml:space="preserve">                  </w:t>
    </w:r>
    <w:r>
      <w:rPr>
        <w:rFonts w:ascii="仿宋" w:hAnsi="仿宋" w:eastAsia="仿宋" w:cs="仿宋"/>
        <w:spacing w:val="-5"/>
        <w:sz w:val="22"/>
        <w:szCs w:val="22"/>
        <w:u w:val="single" w:color="auto"/>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81BA3">
    <w:pPr>
      <w:spacing w:before="23" w:line="210" w:lineRule="auto"/>
      <w:ind w:left="32"/>
      <w:rPr>
        <w:rFonts w:ascii="宋体" w:hAnsi="宋体" w:eastAsia="宋体" w:cs="宋体"/>
        <w:sz w:val="19"/>
        <w:szCs w:val="19"/>
      </w:rPr>
    </w:pPr>
    <w:r>
      <w:pict>
        <v:shape id="_x0000_s2054" o:spid="_x0000_s2054" style="position:absolute;left:0pt;margin-left:56.85pt;margin-top:55.15pt;height:0.5pt;width:496.9pt;mso-position-horizontal-relative:page;mso-position-vertical-relative:page;z-index:251666432;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BD17B">
    <w:pPr>
      <w:spacing w:before="23" w:line="210" w:lineRule="auto"/>
      <w:ind w:left="210"/>
      <w:rPr>
        <w:rFonts w:ascii="宋体" w:hAnsi="宋体" w:eastAsia="宋体" w:cs="宋体"/>
        <w:sz w:val="18"/>
        <w:szCs w:val="18"/>
      </w:rPr>
    </w:pPr>
    <w:r>
      <w:pict>
        <v:shape id="_x0000_s2133" o:spid="_x0000_s2133" style="position:absolute;left:0pt;margin-left:69.45pt;margin-top:55.2pt;height:0.75pt;width:470.6pt;mso-position-horizontal-relative:page;mso-position-vertical-relative:page;z-index:251742208;mso-width-relative:page;mso-height-relative:page;" filled="f" stroked="t" coordsize="9412,15" o:allowincell="f" path="m0,7l9411,7e">
          <v:fill on="f" focussize="0,0"/>
          <v:stroke color="#000000" miterlimit="10" joinstyle="miter"/>
          <v:imagedata o:title=""/>
          <o:lock v:ext="edit"/>
        </v:shape>
      </w:pict>
    </w:r>
    <w:r>
      <w:rPr>
        <w:rFonts w:ascii="楷体" w:hAnsi="楷体" w:eastAsia="楷体" w:cs="楷体"/>
        <w:b/>
        <w:bCs/>
        <w:i/>
        <w:iCs/>
        <w:sz w:val="19"/>
        <w:szCs w:val="19"/>
      </w:rPr>
      <w:t>公开招标文件</w:t>
    </w:r>
    <w:r>
      <w:rPr>
        <w:rFonts w:ascii="楷体" w:hAnsi="楷体" w:eastAsia="楷体" w:cs="楷体"/>
        <w:spacing w:val="1"/>
        <w:sz w:val="19"/>
        <w:szCs w:val="19"/>
      </w:rPr>
      <w:t xml:space="preserve">                                                                  </w:t>
    </w:r>
    <w:r>
      <w:rPr>
        <w:rFonts w:ascii="Times New Roman" w:hAnsi="Times New Roman" w:eastAsia="Times New Roman" w:cs="Times New Roman"/>
        <w:sz w:val="18"/>
        <w:szCs w:val="18"/>
      </w:rPr>
      <w:t xml:space="preserve">YLCG-2024 GK- 019 </w:t>
    </w:r>
    <w:r>
      <w:rPr>
        <w:rFonts w:ascii="宋体" w:hAnsi="宋体" w:eastAsia="宋体" w:cs="宋体"/>
        <w:sz w:val="18"/>
        <w:szCs w:val="18"/>
      </w:rPr>
      <w:t>号</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117E5">
    <w:pPr>
      <w:pStyle w:val="2"/>
      <w:spacing w:line="14" w:lineRule="auto"/>
      <w:rPr>
        <w:sz w:val="2"/>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6C39D">
    <w:pPr>
      <w:spacing w:before="23" w:line="210" w:lineRule="auto"/>
      <w:ind w:left="20"/>
      <w:rPr>
        <w:rFonts w:ascii="宋体" w:hAnsi="宋体" w:eastAsia="宋体" w:cs="宋体"/>
        <w:sz w:val="18"/>
        <w:szCs w:val="18"/>
      </w:rPr>
    </w:pPr>
    <w:r>
      <w:pict>
        <v:shape id="_x0000_s2134" o:spid="_x0000_s2134" style="position:absolute;left:0pt;margin-left:69.45pt;margin-top:55.2pt;height:0.75pt;width:470.6pt;mso-position-horizontal-relative:page;mso-position-vertical-relative:page;z-index:251744256;mso-width-relative:page;mso-height-relative:page;" filled="f" stroked="t" coordsize="9412,15" o:allowincell="f" path="m0,7l9411,7e">
          <v:fill on="f" focussize="0,0"/>
          <v:stroke color="#000000" miterlimit="10" joinstyle="miter"/>
          <v:imagedata o:title=""/>
          <o:lock v:ext="edit"/>
        </v:shape>
      </w:pict>
    </w:r>
    <w:r>
      <w:rPr>
        <w:rFonts w:ascii="楷体" w:hAnsi="楷体" w:eastAsia="楷体" w:cs="楷体"/>
        <w:b/>
        <w:bCs/>
        <w:i/>
        <w:iCs/>
        <w:sz w:val="19"/>
        <w:szCs w:val="19"/>
      </w:rPr>
      <w:t>公开招标文件</w:t>
    </w:r>
    <w:r>
      <w:rPr>
        <w:rFonts w:ascii="楷体" w:hAnsi="楷体" w:eastAsia="楷体" w:cs="楷体"/>
        <w:spacing w:val="1"/>
        <w:sz w:val="19"/>
        <w:szCs w:val="19"/>
      </w:rPr>
      <w:t xml:space="preserve">                                                                  </w:t>
    </w:r>
    <w:r>
      <w:rPr>
        <w:rFonts w:ascii="Times New Roman" w:hAnsi="Times New Roman" w:eastAsia="Times New Roman" w:cs="Times New Roman"/>
        <w:sz w:val="18"/>
        <w:szCs w:val="18"/>
      </w:rPr>
      <w:t xml:space="preserve">YLCG-2024 GK- 019 </w:t>
    </w:r>
    <w:r>
      <w:rPr>
        <w:rFonts w:ascii="宋体" w:hAnsi="宋体" w:eastAsia="宋体" w:cs="宋体"/>
        <w:sz w:val="18"/>
        <w:szCs w:val="18"/>
      </w:rPr>
      <w:t>号</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E7C6C">
    <w:pPr>
      <w:spacing w:before="23" w:line="210" w:lineRule="auto"/>
      <w:ind w:left="20"/>
      <w:rPr>
        <w:rFonts w:ascii="宋体" w:hAnsi="宋体" w:eastAsia="宋体" w:cs="宋体"/>
        <w:sz w:val="18"/>
        <w:szCs w:val="18"/>
      </w:rPr>
    </w:pPr>
    <w:r>
      <w:pict>
        <v:shape id="_x0000_s2135" o:spid="_x0000_s2135" style="position:absolute;left:0pt;margin-left:69.45pt;margin-top:55.2pt;height:0.75pt;width:470.6pt;mso-position-horizontal-relative:page;mso-position-vertical-relative:page;z-index:251745280;mso-width-relative:page;mso-height-relative:page;" filled="f" stroked="t" coordsize="9412,15" o:allowincell="f" path="m0,7l9411,7e">
          <v:fill on="f" focussize="0,0"/>
          <v:stroke color="#000000" miterlimit="10" joinstyle="miter"/>
          <v:imagedata o:title=""/>
          <o:lock v:ext="edit"/>
        </v:shape>
      </w:pict>
    </w:r>
    <w:r>
      <w:rPr>
        <w:rFonts w:ascii="楷体" w:hAnsi="楷体" w:eastAsia="楷体" w:cs="楷体"/>
        <w:b/>
        <w:bCs/>
        <w:i/>
        <w:iCs/>
        <w:sz w:val="19"/>
        <w:szCs w:val="19"/>
      </w:rPr>
      <w:t>公开招标文件</w:t>
    </w:r>
    <w:r>
      <w:rPr>
        <w:rFonts w:ascii="楷体" w:hAnsi="楷体" w:eastAsia="楷体" w:cs="楷体"/>
        <w:spacing w:val="1"/>
        <w:sz w:val="19"/>
        <w:szCs w:val="19"/>
      </w:rPr>
      <w:t xml:space="preserve">                                                                  </w:t>
    </w:r>
    <w:r>
      <w:rPr>
        <w:rFonts w:ascii="Times New Roman" w:hAnsi="Times New Roman" w:eastAsia="Times New Roman" w:cs="Times New Roman"/>
        <w:sz w:val="18"/>
        <w:szCs w:val="18"/>
      </w:rPr>
      <w:t xml:space="preserve">YLCG-2024 GK- 019 </w:t>
    </w:r>
    <w:r>
      <w:rPr>
        <w:rFonts w:ascii="宋体" w:hAnsi="宋体" w:eastAsia="宋体" w:cs="宋体"/>
        <w:sz w:val="18"/>
        <w:szCs w:val="18"/>
      </w:rPr>
      <w:t>号</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C3BF7">
    <w:pPr>
      <w:spacing w:before="23" w:line="210" w:lineRule="auto"/>
      <w:ind w:left="20"/>
      <w:rPr>
        <w:rFonts w:ascii="宋体" w:hAnsi="宋体" w:eastAsia="宋体" w:cs="宋体"/>
        <w:sz w:val="18"/>
        <w:szCs w:val="18"/>
      </w:rPr>
    </w:pPr>
    <w:r>
      <w:pict>
        <v:shape id="_x0000_s2136" o:spid="_x0000_s2136" style="position:absolute;left:0pt;margin-left:69.45pt;margin-top:55.2pt;height:0.75pt;width:470.6pt;mso-position-horizontal-relative:page;mso-position-vertical-relative:page;z-index:251746304;mso-width-relative:page;mso-height-relative:page;" filled="f" stroked="t" coordsize="9412,15" o:allowincell="f" path="m0,7l9411,7e">
          <v:fill on="f" focussize="0,0"/>
          <v:stroke color="#000000" miterlimit="10" joinstyle="miter"/>
          <v:imagedata o:title=""/>
          <o:lock v:ext="edit"/>
        </v:shape>
      </w:pict>
    </w:r>
    <w:r>
      <w:rPr>
        <w:rFonts w:ascii="楷体" w:hAnsi="楷体" w:eastAsia="楷体" w:cs="楷体"/>
        <w:b/>
        <w:bCs/>
        <w:i/>
        <w:iCs/>
        <w:sz w:val="19"/>
        <w:szCs w:val="19"/>
      </w:rPr>
      <w:t>公开招标文件</w:t>
    </w:r>
    <w:r>
      <w:rPr>
        <w:rFonts w:ascii="楷体" w:hAnsi="楷体" w:eastAsia="楷体" w:cs="楷体"/>
        <w:spacing w:val="1"/>
        <w:sz w:val="19"/>
        <w:szCs w:val="19"/>
      </w:rPr>
      <w:t xml:space="preserve">                                                                  </w:t>
    </w:r>
    <w:r>
      <w:rPr>
        <w:rFonts w:ascii="Times New Roman" w:hAnsi="Times New Roman" w:eastAsia="Times New Roman" w:cs="Times New Roman"/>
        <w:sz w:val="18"/>
        <w:szCs w:val="18"/>
      </w:rPr>
      <w:t xml:space="preserve">YLCG-2024 GK- 019 </w:t>
    </w:r>
    <w:r>
      <w:rPr>
        <w:rFonts w:ascii="宋体" w:hAnsi="宋体" w:eastAsia="宋体" w:cs="宋体"/>
        <w:sz w:val="18"/>
        <w:szCs w:val="18"/>
      </w:rPr>
      <w:t>号</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57702">
    <w:pPr>
      <w:spacing w:before="23" w:line="210" w:lineRule="auto"/>
      <w:ind w:left="32"/>
      <w:rPr>
        <w:rFonts w:ascii="宋体" w:hAnsi="宋体" w:eastAsia="宋体" w:cs="宋体"/>
        <w:sz w:val="19"/>
        <w:szCs w:val="19"/>
      </w:rPr>
    </w:pPr>
    <w:r>
      <w:pict>
        <v:shape id="_x0000_s2056" o:spid="_x0000_s2056" style="position:absolute;left:0pt;margin-left:56.85pt;margin-top:55.15pt;height:0.5pt;width:496.9pt;mso-position-horizontal-relative:page;mso-position-vertical-relative:page;z-index:251668480;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91346">
    <w:pPr>
      <w:spacing w:before="23" w:line="210" w:lineRule="auto"/>
      <w:ind w:left="32"/>
      <w:rPr>
        <w:rFonts w:ascii="宋体" w:hAnsi="宋体" w:eastAsia="宋体" w:cs="宋体"/>
        <w:sz w:val="19"/>
        <w:szCs w:val="19"/>
      </w:rPr>
    </w:pPr>
    <w:r>
      <w:pict>
        <v:shape id="_x0000_s2058" o:spid="_x0000_s2058" style="position:absolute;left:0pt;margin-left:56.85pt;margin-top:55.15pt;height:0.5pt;width:496.9pt;mso-position-horizontal-relative:page;mso-position-vertical-relative:page;z-index:251670528;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F608D">
    <w:pPr>
      <w:spacing w:before="23" w:line="210" w:lineRule="auto"/>
      <w:ind w:left="116"/>
      <w:rPr>
        <w:rFonts w:ascii="宋体" w:hAnsi="宋体" w:eastAsia="宋体" w:cs="宋体"/>
        <w:sz w:val="19"/>
        <w:szCs w:val="19"/>
      </w:rPr>
    </w:pPr>
    <w:r>
      <w:pict>
        <v:shape id="_x0000_s2060" o:spid="_x0000_s2060" style="position:absolute;left:0pt;margin-left:56.85pt;margin-top:55.15pt;height:0.5pt;width:496.9pt;mso-position-horizontal-relative:page;mso-position-vertical-relative:page;z-index:251671552;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FDB68">
    <w:pPr>
      <w:spacing w:before="23" w:line="210" w:lineRule="auto"/>
      <w:ind w:left="32"/>
      <w:rPr>
        <w:rFonts w:ascii="宋体" w:hAnsi="宋体" w:eastAsia="宋体" w:cs="宋体"/>
        <w:sz w:val="19"/>
        <w:szCs w:val="19"/>
      </w:rPr>
    </w:pPr>
    <w:r>
      <w:pict>
        <v:shape id="_x0000_s2061" o:spid="_x0000_s2061" style="position:absolute;left:0pt;margin-left:56.85pt;margin-top:55.15pt;height:0.5pt;width:496.9pt;mso-position-horizontal-relative:page;mso-position-vertical-relative:page;z-index:251674624;mso-width-relative:page;mso-height-relative:page;" filled="f" stroked="t" coordsize="9937,10" o:allowincell="f" path="m0,5l9937,5e">
          <v:fill on="f" focussize="0,0"/>
          <v:stroke weight="0.5pt" color="#000000" miterlimit="10" joinstyle="miter"/>
          <v:imagedata o:title=""/>
          <o:lock v:ext="edit"/>
        </v:shape>
      </w:pict>
    </w:r>
    <w:r>
      <w:rPr>
        <w:rFonts w:ascii="宋体" w:hAnsi="宋体" w:eastAsia="宋体" w:cs="宋体"/>
        <w:b/>
        <w:bCs/>
        <w:i/>
        <w:iCs/>
        <w:spacing w:val="2"/>
        <w:sz w:val="19"/>
        <w:szCs w:val="19"/>
      </w:rPr>
      <w:t>公开招标文件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Times New Roman" w:hAnsi="Times New Roman" w:eastAsia="Times New Roman" w:cs="Times New Roman"/>
        <w:b/>
        <w:bCs/>
        <w:i/>
        <w:iCs/>
        <w:sz w:val="18"/>
        <w:szCs w:val="18"/>
      </w:rPr>
      <w:t>YLCG</w:t>
    </w:r>
    <w:r>
      <w:rPr>
        <w:rFonts w:ascii="Times New Roman" w:hAnsi="Times New Roman" w:eastAsia="Times New Roman" w:cs="Times New Roman"/>
        <w:b/>
        <w:bCs/>
        <w:i/>
        <w:iCs/>
        <w:spacing w:val="1"/>
        <w:sz w:val="18"/>
        <w:szCs w:val="18"/>
      </w:rPr>
      <w:t>-2024</w:t>
    </w:r>
    <w:r>
      <w:rPr>
        <w:rFonts w:ascii="Times New Roman" w:hAnsi="Times New Roman" w:eastAsia="Times New Roman" w:cs="Times New Roman"/>
        <w:b/>
        <w:bCs/>
        <w:i/>
        <w:iCs/>
        <w:sz w:val="18"/>
        <w:szCs w:val="18"/>
      </w:rPr>
      <w:t>GK</w:t>
    </w:r>
    <w:r>
      <w:rPr>
        <w:rFonts w:ascii="Times New Roman" w:hAnsi="Times New Roman" w:eastAsia="Times New Roman" w:cs="Times New Roman"/>
        <w:b/>
        <w:bCs/>
        <w:i/>
        <w:iCs/>
        <w:spacing w:val="1"/>
        <w:sz w:val="18"/>
        <w:szCs w:val="18"/>
      </w:rPr>
      <w:t xml:space="preserve">-019  </w:t>
    </w:r>
    <w:r>
      <w:rPr>
        <w:rFonts w:ascii="宋体" w:hAnsi="宋体" w:eastAsia="宋体" w:cs="宋体"/>
        <w:b/>
        <w:bCs/>
        <w:i/>
        <w:iCs/>
        <w:spacing w:val="1"/>
        <w:sz w:val="19"/>
        <w:szCs w:val="19"/>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RlZTFkYjU5OTVlMjE2OWY1ZmUyZGE3ZThmYjVhMTMifQ=="/>
    <w:docVar w:name="KSO_WPS_MARK_KEY" w:val="d32b2644-c4d2-4a8b-9bb0-49f7283f8694"/>
  </w:docVars>
  <w:rsids>
    <w:rsidRoot w:val="00000000"/>
    <w:rsid w:val="05C74782"/>
    <w:rsid w:val="0D764F55"/>
    <w:rsid w:val="10093E5F"/>
    <w:rsid w:val="290A0860"/>
    <w:rsid w:val="2D1759B5"/>
    <w:rsid w:val="30110DE2"/>
    <w:rsid w:val="4CFA1D97"/>
    <w:rsid w:val="514651A1"/>
    <w:rsid w:val="591434BD"/>
    <w:rsid w:val="796C0B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51.xml"/><Relationship Id="rId98" Type="http://schemas.openxmlformats.org/officeDocument/2006/relationships/footer" Target="footer44.xml"/><Relationship Id="rId97" Type="http://schemas.openxmlformats.org/officeDocument/2006/relationships/header" Target="header50.xml"/><Relationship Id="rId96" Type="http://schemas.openxmlformats.org/officeDocument/2006/relationships/header" Target="header49.xml"/><Relationship Id="rId95" Type="http://schemas.openxmlformats.org/officeDocument/2006/relationships/footer" Target="footer43.xml"/><Relationship Id="rId94" Type="http://schemas.openxmlformats.org/officeDocument/2006/relationships/header" Target="header48.xml"/><Relationship Id="rId93" Type="http://schemas.openxmlformats.org/officeDocument/2006/relationships/footer" Target="footer42.xml"/><Relationship Id="rId92" Type="http://schemas.openxmlformats.org/officeDocument/2006/relationships/header" Target="header47.xml"/><Relationship Id="rId91" Type="http://schemas.openxmlformats.org/officeDocument/2006/relationships/footer" Target="footer41.xml"/><Relationship Id="rId90" Type="http://schemas.openxmlformats.org/officeDocument/2006/relationships/header" Target="header46.xml"/><Relationship Id="rId9" Type="http://schemas.openxmlformats.org/officeDocument/2006/relationships/footer" Target="footer2.xml"/><Relationship Id="rId89" Type="http://schemas.openxmlformats.org/officeDocument/2006/relationships/footer" Target="footer40.xml"/><Relationship Id="rId88" Type="http://schemas.openxmlformats.org/officeDocument/2006/relationships/header" Target="header45.xml"/><Relationship Id="rId87" Type="http://schemas.openxmlformats.org/officeDocument/2006/relationships/footer" Target="footer39.xml"/><Relationship Id="rId86" Type="http://schemas.openxmlformats.org/officeDocument/2006/relationships/header" Target="header44.xml"/><Relationship Id="rId85" Type="http://schemas.openxmlformats.org/officeDocument/2006/relationships/footer" Target="footer38.xml"/><Relationship Id="rId84" Type="http://schemas.openxmlformats.org/officeDocument/2006/relationships/footer" Target="footer37.xml"/><Relationship Id="rId83" Type="http://schemas.openxmlformats.org/officeDocument/2006/relationships/header" Target="header43.xml"/><Relationship Id="rId82" Type="http://schemas.openxmlformats.org/officeDocument/2006/relationships/header" Target="header42.xml"/><Relationship Id="rId81" Type="http://schemas.openxmlformats.org/officeDocument/2006/relationships/footer" Target="footer36.xml"/><Relationship Id="rId80" Type="http://schemas.openxmlformats.org/officeDocument/2006/relationships/header" Target="header41.xml"/><Relationship Id="rId8" Type="http://schemas.openxmlformats.org/officeDocument/2006/relationships/header" Target="header3.xml"/><Relationship Id="rId79" Type="http://schemas.openxmlformats.org/officeDocument/2006/relationships/footer" Target="footer35.xml"/><Relationship Id="rId78" Type="http://schemas.openxmlformats.org/officeDocument/2006/relationships/header" Target="header40.xml"/><Relationship Id="rId77" Type="http://schemas.openxmlformats.org/officeDocument/2006/relationships/footer" Target="footer34.xml"/><Relationship Id="rId76" Type="http://schemas.openxmlformats.org/officeDocument/2006/relationships/header" Target="header39.xml"/><Relationship Id="rId75" Type="http://schemas.openxmlformats.org/officeDocument/2006/relationships/footer" Target="footer33.xml"/><Relationship Id="rId74" Type="http://schemas.openxmlformats.org/officeDocument/2006/relationships/header" Target="header38.xml"/><Relationship Id="rId73" Type="http://schemas.openxmlformats.org/officeDocument/2006/relationships/footer" Target="footer32.xml"/><Relationship Id="rId72" Type="http://schemas.openxmlformats.org/officeDocument/2006/relationships/header" Target="header37.xml"/><Relationship Id="rId71" Type="http://schemas.openxmlformats.org/officeDocument/2006/relationships/footer" Target="footer31.xml"/><Relationship Id="rId70" Type="http://schemas.openxmlformats.org/officeDocument/2006/relationships/header" Target="header36.xml"/><Relationship Id="rId7" Type="http://schemas.openxmlformats.org/officeDocument/2006/relationships/footer" Target="footer1.xml"/><Relationship Id="rId69" Type="http://schemas.openxmlformats.org/officeDocument/2006/relationships/footer" Target="footer30.xml"/><Relationship Id="rId68" Type="http://schemas.openxmlformats.org/officeDocument/2006/relationships/header" Target="header35.xml"/><Relationship Id="rId67" Type="http://schemas.openxmlformats.org/officeDocument/2006/relationships/footer" Target="footer29.xml"/><Relationship Id="rId66" Type="http://schemas.openxmlformats.org/officeDocument/2006/relationships/header" Target="header34.xml"/><Relationship Id="rId65" Type="http://schemas.openxmlformats.org/officeDocument/2006/relationships/footer" Target="footer28.xml"/><Relationship Id="rId64" Type="http://schemas.openxmlformats.org/officeDocument/2006/relationships/header" Target="header33.xml"/><Relationship Id="rId63" Type="http://schemas.openxmlformats.org/officeDocument/2006/relationships/footer" Target="footer27.xml"/><Relationship Id="rId62" Type="http://schemas.openxmlformats.org/officeDocument/2006/relationships/header" Target="header32.xml"/><Relationship Id="rId61" Type="http://schemas.openxmlformats.org/officeDocument/2006/relationships/footer" Target="footer26.xml"/><Relationship Id="rId60" Type="http://schemas.openxmlformats.org/officeDocument/2006/relationships/header" Target="header31.xml"/><Relationship Id="rId6" Type="http://schemas.openxmlformats.org/officeDocument/2006/relationships/header" Target="header2.xml"/><Relationship Id="rId59" Type="http://schemas.openxmlformats.org/officeDocument/2006/relationships/footer" Target="footer25.xml"/><Relationship Id="rId58" Type="http://schemas.openxmlformats.org/officeDocument/2006/relationships/header" Target="header30.xml"/><Relationship Id="rId57" Type="http://schemas.openxmlformats.org/officeDocument/2006/relationships/footer" Target="footer24.xml"/><Relationship Id="rId56" Type="http://schemas.openxmlformats.org/officeDocument/2006/relationships/header" Target="header29.xml"/><Relationship Id="rId55" Type="http://schemas.openxmlformats.org/officeDocument/2006/relationships/footer" Target="footer23.xml"/><Relationship Id="rId54" Type="http://schemas.openxmlformats.org/officeDocument/2006/relationships/header" Target="header28.xml"/><Relationship Id="rId53" Type="http://schemas.openxmlformats.org/officeDocument/2006/relationships/footer" Target="footer22.xml"/><Relationship Id="rId52" Type="http://schemas.openxmlformats.org/officeDocument/2006/relationships/header" Target="header27.xml"/><Relationship Id="rId51" Type="http://schemas.openxmlformats.org/officeDocument/2006/relationships/footer" Target="footer21.xml"/><Relationship Id="rId50" Type="http://schemas.openxmlformats.org/officeDocument/2006/relationships/header" Target="header26.xml"/><Relationship Id="rId5" Type="http://schemas.openxmlformats.org/officeDocument/2006/relationships/header" Target="header1.xml"/><Relationship Id="rId49" Type="http://schemas.openxmlformats.org/officeDocument/2006/relationships/footer" Target="footer20.xml"/><Relationship Id="rId48" Type="http://schemas.openxmlformats.org/officeDocument/2006/relationships/header" Target="header25.xml"/><Relationship Id="rId47" Type="http://schemas.openxmlformats.org/officeDocument/2006/relationships/footer" Target="footer19.xml"/><Relationship Id="rId46" Type="http://schemas.openxmlformats.org/officeDocument/2006/relationships/header" Target="header24.xml"/><Relationship Id="rId45" Type="http://schemas.openxmlformats.org/officeDocument/2006/relationships/footer" Target="footer18.xml"/><Relationship Id="rId44" Type="http://schemas.openxmlformats.org/officeDocument/2006/relationships/header" Target="header23.xml"/><Relationship Id="rId43" Type="http://schemas.openxmlformats.org/officeDocument/2006/relationships/footer" Target="footer17.xml"/><Relationship Id="rId42" Type="http://schemas.openxmlformats.org/officeDocument/2006/relationships/header" Target="header22.xml"/><Relationship Id="rId41" Type="http://schemas.openxmlformats.org/officeDocument/2006/relationships/footer" Target="footer16.xml"/><Relationship Id="rId40" Type="http://schemas.openxmlformats.org/officeDocument/2006/relationships/header" Target="header21.xml"/><Relationship Id="rId4" Type="http://schemas.openxmlformats.org/officeDocument/2006/relationships/endnotes" Target="endnotes.xml"/><Relationship Id="rId39" Type="http://schemas.openxmlformats.org/officeDocument/2006/relationships/footer" Target="footer15.xml"/><Relationship Id="rId38" Type="http://schemas.openxmlformats.org/officeDocument/2006/relationships/header" Target="header20.xml"/><Relationship Id="rId37" Type="http://schemas.openxmlformats.org/officeDocument/2006/relationships/footer" Target="footer14.xml"/><Relationship Id="rId36" Type="http://schemas.openxmlformats.org/officeDocument/2006/relationships/header" Target="header19.xml"/><Relationship Id="rId35" Type="http://schemas.openxmlformats.org/officeDocument/2006/relationships/footer" Target="footer13.xml"/><Relationship Id="rId34" Type="http://schemas.openxmlformats.org/officeDocument/2006/relationships/header" Target="header18.xml"/><Relationship Id="rId33" Type="http://schemas.openxmlformats.org/officeDocument/2006/relationships/footer" Target="footer12.xml"/><Relationship Id="rId32" Type="http://schemas.openxmlformats.org/officeDocument/2006/relationships/header" Target="header17.xml"/><Relationship Id="rId31" Type="http://schemas.openxmlformats.org/officeDocument/2006/relationships/footer" Target="footer11.xml"/><Relationship Id="rId30" Type="http://schemas.openxmlformats.org/officeDocument/2006/relationships/header" Target="header16.xml"/><Relationship Id="rId3" Type="http://schemas.openxmlformats.org/officeDocument/2006/relationships/footnotes" Target="footnotes.xml"/><Relationship Id="rId29" Type="http://schemas.openxmlformats.org/officeDocument/2006/relationships/footer" Target="footer10.xml"/><Relationship Id="rId28" Type="http://schemas.openxmlformats.org/officeDocument/2006/relationships/header" Target="header15.xml"/><Relationship Id="rId27" Type="http://schemas.openxmlformats.org/officeDocument/2006/relationships/header" Target="header14.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9" Type="http://schemas.openxmlformats.org/officeDocument/2006/relationships/fontTable" Target="fontTable.xml"/><Relationship Id="rId108" Type="http://schemas.openxmlformats.org/officeDocument/2006/relationships/customXml" Target="../customXml/item1.xml"/><Relationship Id="rId107" Type="http://schemas.openxmlformats.org/officeDocument/2006/relationships/theme" Target="theme/theme1.xml"/><Relationship Id="rId106" Type="http://schemas.openxmlformats.org/officeDocument/2006/relationships/footer" Target="footer48.xml"/><Relationship Id="rId105" Type="http://schemas.openxmlformats.org/officeDocument/2006/relationships/header" Target="header54.xml"/><Relationship Id="rId104" Type="http://schemas.openxmlformats.org/officeDocument/2006/relationships/footer" Target="footer47.xml"/><Relationship Id="rId103" Type="http://schemas.openxmlformats.org/officeDocument/2006/relationships/header" Target="header53.xml"/><Relationship Id="rId102" Type="http://schemas.openxmlformats.org/officeDocument/2006/relationships/footer" Target="footer46.xml"/><Relationship Id="rId101" Type="http://schemas.openxmlformats.org/officeDocument/2006/relationships/header" Target="header52.xml"/><Relationship Id="rId100" Type="http://schemas.openxmlformats.org/officeDocument/2006/relationships/footer" Target="footer4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8"/>
    <customShpInfo spid="_x0000_s1079"/>
    <customShpInfo spid="_x0000_s1077"/>
    <customShpInfo spid="_x0000_s1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106</Pages>
  <Words>9263</Words>
  <Characters>10032</Characters>
  <TotalTime>16</TotalTime>
  <ScaleCrop>false</ScaleCrop>
  <LinksUpToDate>false</LinksUpToDate>
  <CharactersWithSpaces>11487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2024-12-10T05:31:00Z</dcterms:created>
  <dc:creator>张继国</dc:creator>
  <cp:lastModifiedBy>天山红花</cp:lastModifiedBy>
  <cp:lastPrinted>2024-12-27T05:42:00Z</cp:lastPrinted>
  <dcterms:modified xsi:type="dcterms:W3CDTF">2024-12-27T09:37:13Z</dcterms:modified>
  <dc:title>伊犁州政府采购中心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2024-12-27T12:59:02Z</vt:filetime>
  </property>
  <property fmtid="{D5CDD505-2E9C-101B-9397-08002B2CF9AE}" pid="4" name="KSOProductBuildVer">
    <vt:lpwstr>2052-12.1.0.19770</vt:lpwstr>
  </property>
  <property fmtid="{D5CDD505-2E9C-101B-9397-08002B2CF9AE}" pid="5" name="ICV">
    <vt:lpwstr>CD489FD4DF464FDD9BCBEBA1A1ED46D0</vt:lpwstr>
  </property>
  <property fmtid="{D5CDD505-2E9C-101B-9397-08002B2CF9AE}" pid="6" name="KSOTemplateDocerSaveRecord">
    <vt:lpwstr>eyJoZGlkIjoiMzRlZTFkYjU5OTVlMjE2OWY1ZmUyZGE3ZThmYjVhMTMiLCJ1c2VySWQiOiIxMzkyMzA2ODQ4In0=</vt:lpwstr>
  </property>
</Properties>
</file>